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olor w:val="auto"/>
          <w:highlight w:val="none"/>
        </w:rPr>
      </w:pPr>
      <w:r>
        <w:rPr>
          <w:rFonts w:hint="eastAsia" w:ascii="宋体" w:hAnsi="宋体" w:cs="宋体"/>
          <w:b/>
          <w:bCs/>
          <w:color w:val="auto"/>
          <w:sz w:val="52"/>
          <w:szCs w:val="52"/>
          <w:highlight w:val="none"/>
        </w:rPr>
        <w:drawing>
          <wp:anchor distT="0" distB="0" distL="114300" distR="114300" simplePos="0" relativeHeight="251661312" behindDoc="0" locked="0" layoutInCell="1" allowOverlap="1">
            <wp:simplePos x="0" y="0"/>
            <wp:positionH relativeFrom="column">
              <wp:posOffset>1148080</wp:posOffset>
            </wp:positionH>
            <wp:positionV relativeFrom="paragraph">
              <wp:posOffset>40640</wp:posOffset>
            </wp:positionV>
            <wp:extent cx="4104640" cy="2390775"/>
            <wp:effectExtent l="0" t="0" r="10160" b="9525"/>
            <wp:wrapTopAndBottom/>
            <wp:docPr id="2" name="图片 2" descr="QQ图片20180808164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80808164344"/>
                    <pic:cNvPicPr>
                      <a:picLocks noChangeAspect="1"/>
                    </pic:cNvPicPr>
                  </pic:nvPicPr>
                  <pic:blipFill>
                    <a:blip r:embed="rId7"/>
                    <a:stretch>
                      <a:fillRect/>
                    </a:stretch>
                  </pic:blipFill>
                  <pic:spPr>
                    <a:xfrm>
                      <a:off x="0" y="0"/>
                      <a:ext cx="4104640" cy="2390775"/>
                    </a:xfrm>
                    <a:prstGeom prst="rect">
                      <a:avLst/>
                    </a:prstGeom>
                    <a:noFill/>
                    <a:ln>
                      <a:noFill/>
                    </a:ln>
                  </pic:spPr>
                </pic:pic>
              </a:graphicData>
            </a:graphic>
          </wp:anchor>
        </w:drawing>
      </w:r>
    </w:p>
    <w:p>
      <w:pPr>
        <w:pBdr>
          <w:bottom w:val="single" w:color="auto" w:sz="6" w:space="1"/>
        </w:pBdr>
        <w:snapToGrid w:val="0"/>
        <w:spacing w:line="360" w:lineRule="auto"/>
        <w:jc w:val="center"/>
        <w:rPr>
          <w:rFonts w:ascii="宋体"/>
          <w:color w:val="auto"/>
          <w:sz w:val="52"/>
          <w:highlight w:val="none"/>
        </w:rPr>
      </w:pPr>
      <w:r>
        <w:rPr>
          <w:rFonts w:hint="eastAsia" w:ascii="宋体"/>
          <w:color w:val="auto"/>
          <w:sz w:val="52"/>
          <w:highlight w:val="none"/>
        </w:rPr>
        <w:t>广西大中招标有限公司</w:t>
      </w:r>
    </w:p>
    <w:p>
      <w:pPr>
        <w:pStyle w:val="9"/>
        <w:spacing w:line="360" w:lineRule="auto"/>
        <w:jc w:val="center"/>
        <w:rPr>
          <w:b/>
          <w:color w:val="auto"/>
          <w:spacing w:val="20"/>
          <w:sz w:val="72"/>
          <w:szCs w:val="72"/>
          <w:highlight w:val="none"/>
        </w:rPr>
      </w:pPr>
    </w:p>
    <w:p>
      <w:pPr>
        <w:pStyle w:val="9"/>
        <w:spacing w:line="360" w:lineRule="auto"/>
        <w:jc w:val="center"/>
        <w:rPr>
          <w:b/>
          <w:color w:val="auto"/>
          <w:spacing w:val="20"/>
          <w:sz w:val="72"/>
          <w:szCs w:val="72"/>
          <w:highlight w:val="none"/>
        </w:rPr>
      </w:pPr>
      <w:r>
        <w:rPr>
          <w:rFonts w:hint="eastAsia" w:eastAsia="宋体"/>
          <w:b/>
          <w:color w:val="auto"/>
          <w:spacing w:val="20"/>
          <w:sz w:val="72"/>
          <w:szCs w:val="72"/>
          <w:highlight w:val="none"/>
        </w:rPr>
        <w:t>公开招标</w:t>
      </w:r>
      <w:r>
        <w:rPr>
          <w:rFonts w:hint="eastAsia"/>
          <w:b/>
          <w:color w:val="auto"/>
          <w:spacing w:val="20"/>
          <w:sz w:val="72"/>
          <w:szCs w:val="72"/>
          <w:highlight w:val="none"/>
        </w:rPr>
        <w:t>文件</w:t>
      </w:r>
    </w:p>
    <w:p>
      <w:pPr>
        <w:pStyle w:val="9"/>
        <w:spacing w:line="360" w:lineRule="auto"/>
        <w:jc w:val="center"/>
        <w:rPr>
          <w:b/>
          <w:color w:val="auto"/>
          <w:spacing w:val="20"/>
          <w:sz w:val="72"/>
          <w:szCs w:val="72"/>
          <w:highlight w:val="none"/>
        </w:rPr>
      </w:pPr>
    </w:p>
    <w:p>
      <w:pPr>
        <w:snapToGrid w:val="0"/>
        <w:ind w:left="2552" w:leftChars="338" w:hanging="1842"/>
        <w:jc w:val="left"/>
        <w:rPr>
          <w:rFonts w:ascii="宋体"/>
          <w:bCs/>
          <w:color w:val="auto"/>
          <w:sz w:val="36"/>
          <w:szCs w:val="36"/>
          <w:highlight w:val="none"/>
        </w:rPr>
      </w:pPr>
      <w:r>
        <w:rPr>
          <w:rFonts w:hint="eastAsia" w:ascii="宋体"/>
          <w:b/>
          <w:color w:val="auto"/>
          <w:sz w:val="36"/>
          <w:szCs w:val="36"/>
          <w:highlight w:val="none"/>
        </w:rPr>
        <w:t>项目名称：</w:t>
      </w:r>
      <w:r>
        <w:rPr>
          <w:rFonts w:hint="eastAsia" w:ascii="宋体"/>
          <w:bCs/>
          <w:color w:val="auto"/>
          <w:sz w:val="36"/>
          <w:szCs w:val="36"/>
          <w:highlight w:val="none"/>
        </w:rPr>
        <w:t>崇左市基于一张蓝图的“多规合一”业务协同平台建设项目</w:t>
      </w:r>
    </w:p>
    <w:p>
      <w:pPr>
        <w:snapToGrid w:val="0"/>
        <w:jc w:val="left"/>
        <w:rPr>
          <w:rFonts w:ascii="宋体"/>
          <w:b/>
          <w:color w:val="auto"/>
          <w:sz w:val="36"/>
          <w:szCs w:val="36"/>
          <w:highlight w:val="none"/>
        </w:rPr>
      </w:pPr>
      <w:r>
        <w:rPr>
          <w:rFonts w:hint="eastAsia" w:ascii="宋体"/>
          <w:b/>
          <w:color w:val="auto"/>
          <w:sz w:val="36"/>
          <w:szCs w:val="36"/>
          <w:highlight w:val="none"/>
        </w:rPr>
        <w:t xml:space="preserve"> </w:t>
      </w:r>
      <w:r>
        <w:rPr>
          <w:rFonts w:ascii="宋体"/>
          <w:b/>
          <w:color w:val="auto"/>
          <w:sz w:val="36"/>
          <w:szCs w:val="36"/>
          <w:highlight w:val="none"/>
        </w:rPr>
        <w:t xml:space="preserve">            </w:t>
      </w:r>
    </w:p>
    <w:p>
      <w:pPr>
        <w:snapToGrid w:val="0"/>
        <w:ind w:left="2552" w:leftChars="338" w:hanging="1842"/>
        <w:jc w:val="left"/>
        <w:rPr>
          <w:rFonts w:ascii="宋体"/>
          <w:bCs/>
          <w:color w:val="auto"/>
          <w:sz w:val="36"/>
          <w:szCs w:val="36"/>
          <w:highlight w:val="none"/>
        </w:rPr>
      </w:pPr>
      <w:r>
        <w:rPr>
          <w:rFonts w:hint="eastAsia" w:ascii="宋体"/>
          <w:b/>
          <w:color w:val="auto"/>
          <w:sz w:val="36"/>
          <w:szCs w:val="36"/>
          <w:highlight w:val="none"/>
        </w:rPr>
        <w:t>项目编号：</w:t>
      </w:r>
      <w:r>
        <w:rPr>
          <w:rFonts w:hint="eastAsia" w:ascii="宋体"/>
          <w:bCs/>
          <w:color w:val="auto"/>
          <w:sz w:val="36"/>
          <w:szCs w:val="36"/>
          <w:highlight w:val="none"/>
        </w:rPr>
        <w:t>CZZC2020-G3-00004-DZZB</w:t>
      </w:r>
    </w:p>
    <w:p>
      <w:pPr>
        <w:pBdr>
          <w:bottom w:val="single" w:color="auto" w:sz="6" w:space="1"/>
        </w:pBdr>
        <w:snapToGrid w:val="0"/>
        <w:spacing w:line="360" w:lineRule="auto"/>
        <w:jc w:val="center"/>
        <w:rPr>
          <w:rFonts w:ascii="宋体"/>
          <w:color w:val="auto"/>
          <w:sz w:val="24"/>
          <w:highlight w:val="none"/>
        </w:rPr>
      </w:pPr>
    </w:p>
    <w:p>
      <w:pPr>
        <w:snapToGrid w:val="0"/>
        <w:spacing w:before="156" w:beforeLines="50" w:line="360" w:lineRule="auto"/>
        <w:ind w:left="708" w:leftChars="337"/>
        <w:jc w:val="left"/>
        <w:rPr>
          <w:rFonts w:ascii="宋体"/>
          <w:bCs/>
          <w:color w:val="auto"/>
          <w:sz w:val="32"/>
          <w:szCs w:val="32"/>
          <w:highlight w:val="none"/>
        </w:rPr>
      </w:pPr>
      <w:r>
        <w:rPr>
          <w:rFonts w:hint="eastAsia" w:ascii="宋体"/>
          <w:b/>
          <w:color w:val="auto"/>
          <w:sz w:val="32"/>
          <w:szCs w:val="32"/>
          <w:highlight w:val="none"/>
        </w:rPr>
        <w:t>采   购  人 ：</w:t>
      </w:r>
      <w:r>
        <w:rPr>
          <w:rFonts w:hint="eastAsia" w:ascii="宋体"/>
          <w:bCs/>
          <w:color w:val="auto"/>
          <w:sz w:val="32"/>
          <w:szCs w:val="32"/>
          <w:highlight w:val="none"/>
        </w:rPr>
        <w:t>崇左市自然资源局</w:t>
      </w:r>
    </w:p>
    <w:p>
      <w:pPr>
        <w:snapToGrid w:val="0"/>
        <w:spacing w:line="360" w:lineRule="auto"/>
        <w:ind w:left="708" w:leftChars="337"/>
        <w:jc w:val="left"/>
        <w:rPr>
          <w:rFonts w:ascii="宋体"/>
          <w:bCs/>
          <w:color w:val="auto"/>
          <w:sz w:val="32"/>
          <w:szCs w:val="32"/>
          <w:highlight w:val="none"/>
        </w:rPr>
      </w:pPr>
      <w:r>
        <w:rPr>
          <w:rFonts w:hint="eastAsia" w:ascii="宋体"/>
          <w:b/>
          <w:color w:val="auto"/>
          <w:sz w:val="32"/>
          <w:szCs w:val="32"/>
          <w:highlight w:val="none"/>
        </w:rPr>
        <w:t>采购代理机构：</w:t>
      </w:r>
      <w:r>
        <w:rPr>
          <w:rFonts w:hint="eastAsia" w:ascii="宋体"/>
          <w:bCs/>
          <w:color w:val="auto"/>
          <w:sz w:val="32"/>
          <w:szCs w:val="32"/>
          <w:highlight w:val="none"/>
        </w:rPr>
        <w:t>广西大中招标有限公司</w:t>
      </w:r>
    </w:p>
    <w:p>
      <w:pPr>
        <w:pStyle w:val="12"/>
        <w:spacing w:line="360" w:lineRule="auto"/>
        <w:rPr>
          <w:rFonts w:cs="Times New Roman"/>
          <w:color w:val="auto"/>
          <w:highlight w:val="none"/>
        </w:rPr>
      </w:pPr>
      <w:r>
        <w:rPr>
          <w:rFonts w:hint="eastAsia"/>
          <w:color w:val="auto"/>
          <w:sz w:val="32"/>
          <w:szCs w:val="32"/>
          <w:highlight w:val="none"/>
        </w:rPr>
        <w:t xml:space="preserve">2020年11月 </w:t>
      </w:r>
      <w:r>
        <w:rPr>
          <w:rFonts w:ascii="仿宋" w:hAnsi="仿宋" w:eastAsia="仿宋"/>
          <w:color w:val="auto"/>
          <w:sz w:val="44"/>
          <w:highlight w:val="none"/>
        </w:rPr>
        <w:br w:type="page"/>
      </w:r>
      <w:r>
        <w:rPr>
          <w:rFonts w:cs="Times New Roman"/>
          <w:color w:val="auto"/>
          <w:highlight w:val="none"/>
        </w:rPr>
        <w:t>目    录</w:t>
      </w:r>
    </w:p>
    <w:p>
      <w:pPr>
        <w:pStyle w:val="12"/>
        <w:spacing w:line="360" w:lineRule="auto"/>
        <w:rPr>
          <w:rFonts w:cs="Times New Roman"/>
          <w:color w:val="auto"/>
          <w:highlight w:val="none"/>
        </w:rPr>
      </w:pPr>
    </w:p>
    <w:p>
      <w:pPr>
        <w:pStyle w:val="12"/>
        <w:spacing w:line="360" w:lineRule="auto"/>
        <w:rPr>
          <w:rFonts w:cs="Times New Roman" w:eastAsiaTheme="minorEastAsia"/>
          <w:b w:val="0"/>
          <w:color w:val="auto"/>
          <w:kern w:val="2"/>
          <w:sz w:val="30"/>
          <w:szCs w:val="30"/>
          <w:highlight w:val="none"/>
        </w:rPr>
      </w:pPr>
      <w:r>
        <w:rPr>
          <w:rFonts w:cs="Times New Roman"/>
          <w:b w:val="0"/>
          <w:color w:val="auto"/>
          <w:sz w:val="30"/>
          <w:szCs w:val="30"/>
          <w:highlight w:val="none"/>
        </w:rPr>
        <w:fldChar w:fldCharType="begin"/>
      </w:r>
      <w:r>
        <w:rPr>
          <w:rFonts w:cs="Times New Roman"/>
          <w:b w:val="0"/>
          <w:color w:val="auto"/>
          <w:sz w:val="30"/>
          <w:szCs w:val="30"/>
          <w:highlight w:val="none"/>
        </w:rPr>
        <w:instrText xml:space="preserve"> TOC \o "1-1" \h \z \u </w:instrText>
      </w:r>
      <w:r>
        <w:rPr>
          <w:rFonts w:cs="Times New Roman"/>
          <w:b w:val="0"/>
          <w:color w:val="auto"/>
          <w:sz w:val="30"/>
          <w:szCs w:val="30"/>
          <w:highlight w:val="none"/>
        </w:rPr>
        <w:fldChar w:fldCharType="separate"/>
      </w:r>
      <w:r>
        <w:rPr>
          <w:color w:val="auto"/>
          <w:highlight w:val="none"/>
        </w:rPr>
        <w:fldChar w:fldCharType="begin"/>
      </w:r>
      <w:r>
        <w:rPr>
          <w:color w:val="auto"/>
          <w:highlight w:val="none"/>
        </w:rPr>
        <w:instrText xml:space="preserve"> HYPERLINK \l "_Toc503191180" </w:instrText>
      </w:r>
      <w:r>
        <w:rPr>
          <w:color w:val="auto"/>
          <w:highlight w:val="none"/>
        </w:rPr>
        <w:fldChar w:fldCharType="separate"/>
      </w:r>
      <w:r>
        <w:rPr>
          <w:rStyle w:val="17"/>
          <w:rFonts w:cs="Times New Roman"/>
          <w:b w:val="0"/>
          <w:color w:val="auto"/>
          <w:sz w:val="30"/>
          <w:szCs w:val="30"/>
          <w:highlight w:val="none"/>
        </w:rPr>
        <w:t>第一章  招标公告</w:t>
      </w:r>
      <w:r>
        <w:rPr>
          <w:rFonts w:cs="Times New Roman"/>
          <w:b w:val="0"/>
          <w:color w:val="auto"/>
          <w:sz w:val="30"/>
          <w:szCs w:val="30"/>
          <w:highlight w:val="none"/>
        </w:rPr>
        <w:tab/>
      </w:r>
      <w:r>
        <w:rPr>
          <w:rFonts w:cs="Times New Roman"/>
          <w:b w:val="0"/>
          <w:color w:val="auto"/>
          <w:sz w:val="30"/>
          <w:szCs w:val="30"/>
          <w:highlight w:val="none"/>
        </w:rPr>
        <w:fldChar w:fldCharType="begin"/>
      </w:r>
      <w:r>
        <w:rPr>
          <w:rFonts w:cs="Times New Roman"/>
          <w:b w:val="0"/>
          <w:color w:val="auto"/>
          <w:sz w:val="30"/>
          <w:szCs w:val="30"/>
          <w:highlight w:val="none"/>
        </w:rPr>
        <w:instrText xml:space="preserve"> PAGEREF _Toc503191180 \h </w:instrText>
      </w:r>
      <w:r>
        <w:rPr>
          <w:rFonts w:cs="Times New Roman"/>
          <w:b w:val="0"/>
          <w:color w:val="auto"/>
          <w:sz w:val="30"/>
          <w:szCs w:val="30"/>
          <w:highlight w:val="none"/>
        </w:rPr>
        <w:fldChar w:fldCharType="separate"/>
      </w:r>
      <w:r>
        <w:rPr>
          <w:rFonts w:cs="Times New Roman"/>
          <w:b w:val="0"/>
          <w:color w:val="auto"/>
          <w:sz w:val="30"/>
          <w:szCs w:val="30"/>
          <w:highlight w:val="none"/>
        </w:rPr>
        <w:t>3</w:t>
      </w:r>
      <w:r>
        <w:rPr>
          <w:rFonts w:cs="Times New Roman"/>
          <w:b w:val="0"/>
          <w:color w:val="auto"/>
          <w:sz w:val="30"/>
          <w:szCs w:val="30"/>
          <w:highlight w:val="none"/>
        </w:rPr>
        <w:fldChar w:fldCharType="end"/>
      </w:r>
      <w:r>
        <w:rPr>
          <w:rFonts w:cs="Times New Roman"/>
          <w:b w:val="0"/>
          <w:color w:val="auto"/>
          <w:sz w:val="30"/>
          <w:szCs w:val="30"/>
          <w:highlight w:val="none"/>
        </w:rPr>
        <w:fldChar w:fldCharType="end"/>
      </w:r>
    </w:p>
    <w:p>
      <w:pPr>
        <w:pStyle w:val="12"/>
        <w:spacing w:line="360" w:lineRule="auto"/>
        <w:rPr>
          <w:rFonts w:cs="Times New Roman" w:eastAsiaTheme="minorEastAsia"/>
          <w:b w:val="0"/>
          <w:color w:val="auto"/>
          <w:kern w:val="2"/>
          <w:sz w:val="30"/>
          <w:szCs w:val="30"/>
          <w:highlight w:val="none"/>
        </w:rPr>
      </w:pPr>
      <w:r>
        <w:rPr>
          <w:color w:val="auto"/>
          <w:highlight w:val="none"/>
        </w:rPr>
        <w:fldChar w:fldCharType="begin"/>
      </w:r>
      <w:r>
        <w:rPr>
          <w:color w:val="auto"/>
          <w:highlight w:val="none"/>
        </w:rPr>
        <w:instrText xml:space="preserve"> HYPERLINK \l "_Toc503191181" </w:instrText>
      </w:r>
      <w:r>
        <w:rPr>
          <w:color w:val="auto"/>
          <w:highlight w:val="none"/>
        </w:rPr>
        <w:fldChar w:fldCharType="separate"/>
      </w:r>
      <w:r>
        <w:rPr>
          <w:rStyle w:val="17"/>
          <w:rFonts w:cs="Times New Roman"/>
          <w:b w:val="0"/>
          <w:color w:val="auto"/>
          <w:sz w:val="30"/>
          <w:szCs w:val="30"/>
          <w:highlight w:val="none"/>
        </w:rPr>
        <w:t>第二章  采购需求</w:t>
      </w:r>
      <w:r>
        <w:rPr>
          <w:rFonts w:cs="Times New Roman"/>
          <w:b w:val="0"/>
          <w:color w:val="auto"/>
          <w:sz w:val="30"/>
          <w:szCs w:val="30"/>
          <w:highlight w:val="none"/>
        </w:rPr>
        <w:tab/>
      </w:r>
      <w:r>
        <w:rPr>
          <w:rFonts w:cs="Times New Roman"/>
          <w:b w:val="0"/>
          <w:color w:val="auto"/>
          <w:sz w:val="30"/>
          <w:szCs w:val="30"/>
          <w:highlight w:val="none"/>
        </w:rPr>
        <w:fldChar w:fldCharType="begin"/>
      </w:r>
      <w:r>
        <w:rPr>
          <w:rFonts w:cs="Times New Roman"/>
          <w:b w:val="0"/>
          <w:color w:val="auto"/>
          <w:sz w:val="30"/>
          <w:szCs w:val="30"/>
          <w:highlight w:val="none"/>
        </w:rPr>
        <w:instrText xml:space="preserve"> PAGEREF _Toc503191181 \h </w:instrText>
      </w:r>
      <w:r>
        <w:rPr>
          <w:rFonts w:cs="Times New Roman"/>
          <w:b w:val="0"/>
          <w:color w:val="auto"/>
          <w:sz w:val="30"/>
          <w:szCs w:val="30"/>
          <w:highlight w:val="none"/>
        </w:rPr>
        <w:fldChar w:fldCharType="separate"/>
      </w:r>
      <w:r>
        <w:rPr>
          <w:rFonts w:cs="Times New Roman"/>
          <w:b w:val="0"/>
          <w:color w:val="auto"/>
          <w:sz w:val="30"/>
          <w:szCs w:val="30"/>
          <w:highlight w:val="none"/>
        </w:rPr>
        <w:t>3</w:t>
      </w:r>
      <w:r>
        <w:rPr>
          <w:rFonts w:cs="Times New Roman"/>
          <w:b w:val="0"/>
          <w:color w:val="auto"/>
          <w:sz w:val="30"/>
          <w:szCs w:val="30"/>
          <w:highlight w:val="none"/>
        </w:rPr>
        <w:fldChar w:fldCharType="end"/>
      </w:r>
      <w:r>
        <w:rPr>
          <w:rFonts w:cs="Times New Roman"/>
          <w:b w:val="0"/>
          <w:color w:val="auto"/>
          <w:sz w:val="30"/>
          <w:szCs w:val="30"/>
          <w:highlight w:val="none"/>
        </w:rPr>
        <w:fldChar w:fldCharType="end"/>
      </w:r>
    </w:p>
    <w:p>
      <w:pPr>
        <w:pStyle w:val="12"/>
        <w:spacing w:line="360" w:lineRule="auto"/>
        <w:rPr>
          <w:rFonts w:cs="Times New Roman" w:eastAsiaTheme="minorEastAsia"/>
          <w:b w:val="0"/>
          <w:color w:val="auto"/>
          <w:kern w:val="2"/>
          <w:sz w:val="30"/>
          <w:szCs w:val="30"/>
          <w:highlight w:val="none"/>
        </w:rPr>
      </w:pPr>
      <w:r>
        <w:rPr>
          <w:color w:val="auto"/>
          <w:highlight w:val="none"/>
        </w:rPr>
        <w:fldChar w:fldCharType="begin"/>
      </w:r>
      <w:r>
        <w:rPr>
          <w:color w:val="auto"/>
          <w:highlight w:val="none"/>
        </w:rPr>
        <w:instrText xml:space="preserve"> HYPERLINK \l "_Toc503191182" </w:instrText>
      </w:r>
      <w:r>
        <w:rPr>
          <w:color w:val="auto"/>
          <w:highlight w:val="none"/>
        </w:rPr>
        <w:fldChar w:fldCharType="separate"/>
      </w:r>
      <w:r>
        <w:rPr>
          <w:rStyle w:val="17"/>
          <w:rFonts w:cs="Times New Roman"/>
          <w:b w:val="0"/>
          <w:color w:val="auto"/>
          <w:sz w:val="30"/>
          <w:szCs w:val="30"/>
          <w:highlight w:val="none"/>
        </w:rPr>
        <w:t>第三章  投标人须知</w:t>
      </w:r>
      <w:r>
        <w:rPr>
          <w:rFonts w:cs="Times New Roman"/>
          <w:b w:val="0"/>
          <w:color w:val="auto"/>
          <w:sz w:val="30"/>
          <w:szCs w:val="30"/>
          <w:highlight w:val="none"/>
        </w:rPr>
        <w:tab/>
      </w:r>
      <w:r>
        <w:rPr>
          <w:rFonts w:cs="Times New Roman"/>
          <w:b w:val="0"/>
          <w:color w:val="auto"/>
          <w:sz w:val="30"/>
          <w:szCs w:val="30"/>
          <w:highlight w:val="none"/>
        </w:rPr>
        <w:fldChar w:fldCharType="begin"/>
      </w:r>
      <w:r>
        <w:rPr>
          <w:rFonts w:cs="Times New Roman"/>
          <w:b w:val="0"/>
          <w:color w:val="auto"/>
          <w:sz w:val="30"/>
          <w:szCs w:val="30"/>
          <w:highlight w:val="none"/>
        </w:rPr>
        <w:instrText xml:space="preserve"> PAGEREF _Toc503191182 \h </w:instrText>
      </w:r>
      <w:r>
        <w:rPr>
          <w:rFonts w:cs="Times New Roman"/>
          <w:b w:val="0"/>
          <w:color w:val="auto"/>
          <w:sz w:val="30"/>
          <w:szCs w:val="30"/>
          <w:highlight w:val="none"/>
        </w:rPr>
        <w:fldChar w:fldCharType="separate"/>
      </w:r>
      <w:r>
        <w:rPr>
          <w:rFonts w:cs="Times New Roman"/>
          <w:b w:val="0"/>
          <w:color w:val="auto"/>
          <w:sz w:val="30"/>
          <w:szCs w:val="30"/>
          <w:highlight w:val="none"/>
        </w:rPr>
        <w:t>8</w:t>
      </w:r>
      <w:r>
        <w:rPr>
          <w:rFonts w:cs="Times New Roman"/>
          <w:b w:val="0"/>
          <w:color w:val="auto"/>
          <w:sz w:val="30"/>
          <w:szCs w:val="30"/>
          <w:highlight w:val="none"/>
        </w:rPr>
        <w:fldChar w:fldCharType="end"/>
      </w:r>
      <w:r>
        <w:rPr>
          <w:rFonts w:cs="Times New Roman"/>
          <w:b w:val="0"/>
          <w:color w:val="auto"/>
          <w:sz w:val="30"/>
          <w:szCs w:val="30"/>
          <w:highlight w:val="none"/>
        </w:rPr>
        <w:fldChar w:fldCharType="end"/>
      </w:r>
    </w:p>
    <w:p>
      <w:pPr>
        <w:pStyle w:val="12"/>
        <w:spacing w:line="360" w:lineRule="auto"/>
        <w:rPr>
          <w:rFonts w:cs="Times New Roman" w:eastAsiaTheme="minorEastAsia"/>
          <w:b w:val="0"/>
          <w:color w:val="auto"/>
          <w:kern w:val="2"/>
          <w:sz w:val="30"/>
          <w:szCs w:val="30"/>
          <w:highlight w:val="none"/>
        </w:rPr>
      </w:pPr>
      <w:r>
        <w:rPr>
          <w:color w:val="auto"/>
          <w:highlight w:val="none"/>
        </w:rPr>
        <w:fldChar w:fldCharType="begin"/>
      </w:r>
      <w:r>
        <w:rPr>
          <w:color w:val="auto"/>
          <w:highlight w:val="none"/>
        </w:rPr>
        <w:instrText xml:space="preserve"> HYPERLINK \l "_Toc503191183" </w:instrText>
      </w:r>
      <w:r>
        <w:rPr>
          <w:color w:val="auto"/>
          <w:highlight w:val="none"/>
        </w:rPr>
        <w:fldChar w:fldCharType="separate"/>
      </w:r>
      <w:r>
        <w:rPr>
          <w:rStyle w:val="17"/>
          <w:rFonts w:cs="Times New Roman"/>
          <w:b w:val="0"/>
          <w:color w:val="auto"/>
          <w:sz w:val="30"/>
          <w:szCs w:val="30"/>
          <w:highlight w:val="none"/>
        </w:rPr>
        <w:t>第四章  评标方法</w:t>
      </w:r>
      <w:r>
        <w:rPr>
          <w:rFonts w:cs="Times New Roman"/>
          <w:b w:val="0"/>
          <w:color w:val="auto"/>
          <w:sz w:val="30"/>
          <w:szCs w:val="30"/>
          <w:highlight w:val="none"/>
        </w:rPr>
        <w:tab/>
      </w:r>
      <w:r>
        <w:rPr>
          <w:rFonts w:cs="Times New Roman"/>
          <w:b w:val="0"/>
          <w:color w:val="auto"/>
          <w:sz w:val="30"/>
          <w:szCs w:val="30"/>
          <w:highlight w:val="none"/>
        </w:rPr>
        <w:fldChar w:fldCharType="begin"/>
      </w:r>
      <w:r>
        <w:rPr>
          <w:rFonts w:cs="Times New Roman"/>
          <w:b w:val="0"/>
          <w:color w:val="auto"/>
          <w:sz w:val="30"/>
          <w:szCs w:val="30"/>
          <w:highlight w:val="none"/>
        </w:rPr>
        <w:instrText xml:space="preserve"> PAGEREF _Toc503191183 \h </w:instrText>
      </w:r>
      <w:r>
        <w:rPr>
          <w:rFonts w:cs="Times New Roman"/>
          <w:b w:val="0"/>
          <w:color w:val="auto"/>
          <w:sz w:val="30"/>
          <w:szCs w:val="30"/>
          <w:highlight w:val="none"/>
        </w:rPr>
        <w:fldChar w:fldCharType="separate"/>
      </w:r>
      <w:r>
        <w:rPr>
          <w:rFonts w:cs="Times New Roman"/>
          <w:b w:val="0"/>
          <w:color w:val="auto"/>
          <w:sz w:val="30"/>
          <w:szCs w:val="30"/>
          <w:highlight w:val="none"/>
        </w:rPr>
        <w:t>33</w:t>
      </w:r>
      <w:r>
        <w:rPr>
          <w:rFonts w:cs="Times New Roman"/>
          <w:b w:val="0"/>
          <w:color w:val="auto"/>
          <w:sz w:val="30"/>
          <w:szCs w:val="30"/>
          <w:highlight w:val="none"/>
        </w:rPr>
        <w:fldChar w:fldCharType="end"/>
      </w:r>
      <w:r>
        <w:rPr>
          <w:rFonts w:cs="Times New Roman"/>
          <w:b w:val="0"/>
          <w:color w:val="auto"/>
          <w:sz w:val="30"/>
          <w:szCs w:val="30"/>
          <w:highlight w:val="none"/>
        </w:rPr>
        <w:fldChar w:fldCharType="end"/>
      </w:r>
    </w:p>
    <w:p>
      <w:pPr>
        <w:pStyle w:val="12"/>
        <w:spacing w:line="360" w:lineRule="auto"/>
        <w:rPr>
          <w:rFonts w:cs="Times New Roman" w:eastAsiaTheme="minorEastAsia"/>
          <w:b w:val="0"/>
          <w:color w:val="auto"/>
          <w:kern w:val="2"/>
          <w:sz w:val="30"/>
          <w:szCs w:val="30"/>
          <w:highlight w:val="none"/>
        </w:rPr>
      </w:pPr>
      <w:r>
        <w:rPr>
          <w:color w:val="auto"/>
          <w:highlight w:val="none"/>
        </w:rPr>
        <w:fldChar w:fldCharType="begin"/>
      </w:r>
      <w:r>
        <w:rPr>
          <w:color w:val="auto"/>
          <w:highlight w:val="none"/>
        </w:rPr>
        <w:instrText xml:space="preserve"> HYPERLINK \l "_Toc503191184" </w:instrText>
      </w:r>
      <w:r>
        <w:rPr>
          <w:color w:val="auto"/>
          <w:highlight w:val="none"/>
        </w:rPr>
        <w:fldChar w:fldCharType="separate"/>
      </w:r>
      <w:r>
        <w:rPr>
          <w:rStyle w:val="17"/>
          <w:rFonts w:cs="Times New Roman"/>
          <w:b w:val="0"/>
          <w:color w:val="auto"/>
          <w:sz w:val="30"/>
          <w:szCs w:val="30"/>
          <w:highlight w:val="none"/>
        </w:rPr>
        <w:t>第五章  投标文件格式</w:t>
      </w:r>
      <w:r>
        <w:rPr>
          <w:rFonts w:cs="Times New Roman"/>
          <w:b w:val="0"/>
          <w:color w:val="auto"/>
          <w:sz w:val="30"/>
          <w:szCs w:val="30"/>
          <w:highlight w:val="none"/>
        </w:rPr>
        <w:tab/>
      </w:r>
      <w:r>
        <w:rPr>
          <w:rFonts w:cs="Times New Roman"/>
          <w:b w:val="0"/>
          <w:color w:val="auto"/>
          <w:sz w:val="30"/>
          <w:szCs w:val="30"/>
          <w:highlight w:val="none"/>
        </w:rPr>
        <w:fldChar w:fldCharType="begin"/>
      </w:r>
      <w:r>
        <w:rPr>
          <w:rFonts w:cs="Times New Roman"/>
          <w:b w:val="0"/>
          <w:color w:val="auto"/>
          <w:sz w:val="30"/>
          <w:szCs w:val="30"/>
          <w:highlight w:val="none"/>
        </w:rPr>
        <w:instrText xml:space="preserve"> PAGEREF _Toc503191184 \h </w:instrText>
      </w:r>
      <w:r>
        <w:rPr>
          <w:rFonts w:cs="Times New Roman"/>
          <w:b w:val="0"/>
          <w:color w:val="auto"/>
          <w:sz w:val="30"/>
          <w:szCs w:val="30"/>
          <w:highlight w:val="none"/>
        </w:rPr>
        <w:fldChar w:fldCharType="separate"/>
      </w:r>
      <w:r>
        <w:rPr>
          <w:rFonts w:cs="Times New Roman"/>
          <w:b w:val="0"/>
          <w:color w:val="auto"/>
          <w:sz w:val="30"/>
          <w:szCs w:val="30"/>
          <w:highlight w:val="none"/>
        </w:rPr>
        <w:t>38</w:t>
      </w:r>
      <w:r>
        <w:rPr>
          <w:rFonts w:cs="Times New Roman"/>
          <w:b w:val="0"/>
          <w:color w:val="auto"/>
          <w:sz w:val="30"/>
          <w:szCs w:val="30"/>
          <w:highlight w:val="none"/>
        </w:rPr>
        <w:fldChar w:fldCharType="end"/>
      </w:r>
      <w:r>
        <w:rPr>
          <w:rFonts w:cs="Times New Roman"/>
          <w:b w:val="0"/>
          <w:color w:val="auto"/>
          <w:sz w:val="30"/>
          <w:szCs w:val="30"/>
          <w:highlight w:val="none"/>
        </w:rPr>
        <w:fldChar w:fldCharType="end"/>
      </w:r>
    </w:p>
    <w:p>
      <w:pPr>
        <w:pStyle w:val="12"/>
        <w:spacing w:line="360" w:lineRule="auto"/>
        <w:rPr>
          <w:rFonts w:cs="Times New Roman"/>
          <w:b w:val="0"/>
          <w:color w:val="auto"/>
          <w:kern w:val="2"/>
          <w:szCs w:val="22"/>
          <w:highlight w:val="none"/>
        </w:rPr>
      </w:pPr>
      <w:r>
        <w:rPr>
          <w:color w:val="auto"/>
          <w:highlight w:val="none"/>
        </w:rPr>
        <w:fldChar w:fldCharType="begin"/>
      </w:r>
      <w:r>
        <w:rPr>
          <w:color w:val="auto"/>
          <w:highlight w:val="none"/>
        </w:rPr>
        <w:instrText xml:space="preserve"> HYPERLINK \l "_Toc503191185" </w:instrText>
      </w:r>
      <w:r>
        <w:rPr>
          <w:color w:val="auto"/>
          <w:highlight w:val="none"/>
        </w:rPr>
        <w:fldChar w:fldCharType="separate"/>
      </w:r>
      <w:r>
        <w:rPr>
          <w:rStyle w:val="17"/>
          <w:rFonts w:cs="Times New Roman"/>
          <w:b w:val="0"/>
          <w:color w:val="auto"/>
          <w:sz w:val="30"/>
          <w:szCs w:val="30"/>
          <w:highlight w:val="none"/>
        </w:rPr>
        <w:t>第六章  合同条款及格式</w:t>
      </w:r>
      <w:r>
        <w:rPr>
          <w:rFonts w:cs="Times New Roman"/>
          <w:b w:val="0"/>
          <w:color w:val="auto"/>
          <w:sz w:val="30"/>
          <w:szCs w:val="30"/>
          <w:highlight w:val="none"/>
        </w:rPr>
        <w:tab/>
      </w:r>
      <w:r>
        <w:rPr>
          <w:rFonts w:hint="eastAsia" w:cs="Times New Roman"/>
          <w:b w:val="0"/>
          <w:color w:val="auto"/>
          <w:sz w:val="30"/>
          <w:szCs w:val="30"/>
          <w:highlight w:val="none"/>
        </w:rPr>
        <w:t>5</w:t>
      </w:r>
      <w:r>
        <w:rPr>
          <w:rFonts w:hint="eastAsia" w:cs="Times New Roman"/>
          <w:b w:val="0"/>
          <w:color w:val="auto"/>
          <w:sz w:val="30"/>
          <w:szCs w:val="30"/>
          <w:highlight w:val="none"/>
        </w:rPr>
        <w:fldChar w:fldCharType="end"/>
      </w:r>
      <w:r>
        <w:rPr>
          <w:rFonts w:hint="eastAsia" w:cs="Times New Roman"/>
          <w:b w:val="0"/>
          <w:color w:val="auto"/>
          <w:sz w:val="30"/>
          <w:szCs w:val="30"/>
          <w:highlight w:val="none"/>
        </w:rPr>
        <w:t>1</w:t>
      </w:r>
    </w:p>
    <w:p>
      <w:pPr>
        <w:spacing w:before="156" w:beforeLines="50" w:line="360" w:lineRule="auto"/>
        <w:ind w:firstLine="600"/>
        <w:rPr>
          <w:color w:val="auto"/>
          <w:sz w:val="30"/>
          <w:szCs w:val="30"/>
          <w:highlight w:val="none"/>
        </w:rPr>
      </w:pPr>
      <w:r>
        <w:rPr>
          <w:color w:val="auto"/>
          <w:sz w:val="30"/>
          <w:szCs w:val="30"/>
          <w:highlight w:val="none"/>
        </w:rPr>
        <w:fldChar w:fldCharType="end"/>
      </w:r>
    </w:p>
    <w:p>
      <w:pPr>
        <w:spacing w:before="156" w:beforeLines="50" w:line="360" w:lineRule="auto"/>
        <w:ind w:firstLine="600"/>
        <w:rPr>
          <w:rFonts w:eastAsia="仿宋_GB2312"/>
          <w:color w:val="auto"/>
          <w:sz w:val="30"/>
          <w:highlight w:val="none"/>
        </w:rPr>
      </w:pPr>
    </w:p>
    <w:p>
      <w:pPr>
        <w:pStyle w:val="9"/>
        <w:snapToGrid w:val="0"/>
        <w:spacing w:before="120" w:after="120" w:line="360" w:lineRule="auto"/>
        <w:jc w:val="center"/>
        <w:rPr>
          <w:rFonts w:ascii="Times New Roman" w:hAnsi="Times New Roman"/>
          <w:b/>
          <w:color w:val="auto"/>
          <w:sz w:val="30"/>
          <w:szCs w:val="30"/>
          <w:highlight w:val="none"/>
        </w:rPr>
        <w:sectPr>
          <w:headerReference r:id="rId3" w:type="default"/>
          <w:footerReference r:id="rId4" w:type="default"/>
          <w:pgSz w:w="11906" w:h="16838"/>
          <w:pgMar w:top="1418" w:right="1588" w:bottom="1418" w:left="1588" w:header="851" w:footer="992" w:gutter="0"/>
          <w:pgNumType w:start="1"/>
          <w:cols w:space="425" w:num="1"/>
          <w:docGrid w:type="lines" w:linePitch="312" w:charSpace="0"/>
        </w:sectPr>
      </w:pPr>
    </w:p>
    <w:p>
      <w:pPr>
        <w:pStyle w:val="4"/>
        <w:spacing w:after="312" w:line="360" w:lineRule="auto"/>
        <w:rPr>
          <w:rFonts w:ascii="华文中宋" w:hAnsi="华文中宋" w:eastAsia="华文中宋"/>
          <w:color w:val="auto"/>
          <w:highlight w:val="none"/>
        </w:rPr>
      </w:pPr>
      <w:bookmarkStart w:id="0" w:name="_Toc503191180"/>
      <w:bookmarkStart w:id="1" w:name="_Toc489970642"/>
      <w:r>
        <w:rPr>
          <w:color w:val="auto"/>
          <w:highlight w:val="none"/>
        </w:rPr>
        <w:t>第一章  招标公告</w:t>
      </w:r>
      <w:bookmarkEnd w:id="0"/>
      <w:bookmarkEnd w:id="1"/>
      <w:bookmarkStart w:id="2" w:name="_Toc139967215"/>
      <w:bookmarkEnd w:id="2"/>
      <w:bookmarkStart w:id="3" w:name="_Toc213206172"/>
      <w:bookmarkEnd w:id="3"/>
      <w:bookmarkStart w:id="4" w:name="_Toc139966431"/>
      <w:bookmarkEnd w:id="4"/>
      <w:bookmarkStart w:id="5" w:name="_Toc213325921"/>
      <w:bookmarkEnd w:id="5"/>
      <w:bookmarkStart w:id="6" w:name="_Toc489970643"/>
      <w:bookmarkStart w:id="7" w:name="_Toc503191181"/>
    </w:p>
    <w:p>
      <w:pPr>
        <w:pBdr>
          <w:top w:val="single" w:color="auto" w:sz="4" w:space="1"/>
          <w:left w:val="single" w:color="auto" w:sz="4" w:space="4"/>
          <w:bottom w:val="single" w:color="auto" w:sz="4" w:space="1"/>
          <w:right w:val="single" w:color="auto" w:sz="4" w:space="4"/>
        </w:pBd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项目概况</w:t>
      </w:r>
    </w:p>
    <w:p>
      <w:pPr>
        <w:pBdr>
          <w:top w:val="single" w:color="auto" w:sz="4" w:space="1"/>
          <w:left w:val="single" w:color="auto" w:sz="4" w:space="4"/>
          <w:bottom w:val="single" w:color="auto" w:sz="4" w:space="1"/>
          <w:right w:val="single" w:color="auto" w:sz="4" w:space="4"/>
        </w:pBdr>
        <w:ind w:firstLine="480" w:firstLineChars="200"/>
        <w:rPr>
          <w:rFonts w:ascii="宋体" w:hAnsi="宋体" w:cs="宋体"/>
          <w:color w:val="auto"/>
          <w:sz w:val="24"/>
          <w:highlight w:val="none"/>
        </w:rPr>
      </w:pPr>
      <w:r>
        <w:rPr>
          <w:rFonts w:hint="eastAsia" w:ascii="宋体" w:hAnsi="宋体" w:cs="宋体"/>
          <w:color w:val="auto"/>
          <w:sz w:val="24"/>
          <w:highlight w:val="none"/>
          <w:u w:val="single"/>
        </w:rPr>
        <w:t xml:space="preserve"> 崇左市基于一张蓝图的“多规合一”业务协同平台建设项目 </w:t>
      </w:r>
      <w:r>
        <w:rPr>
          <w:rFonts w:hint="eastAsia" w:ascii="宋体" w:hAnsi="宋体" w:cs="宋体"/>
          <w:color w:val="auto"/>
          <w:sz w:val="24"/>
          <w:highlight w:val="none"/>
        </w:rPr>
        <w:t xml:space="preserve"> 招标项目的潜在投标人应在</w:t>
      </w:r>
      <w:r>
        <w:rPr>
          <w:rFonts w:hint="eastAsia" w:ascii="宋体" w:hAnsi="宋体" w:cs="宋体"/>
          <w:color w:val="auto"/>
          <w:sz w:val="24"/>
          <w:highlight w:val="none"/>
          <w:u w:val="single"/>
        </w:rPr>
        <w:t>广西政府采购网政采云平台（www.zcygov.cn），通过实名制在线免费</w:t>
      </w:r>
      <w:r>
        <w:rPr>
          <w:rFonts w:hint="eastAsia" w:ascii="宋体" w:hAnsi="宋体" w:cs="宋体"/>
          <w:color w:val="auto"/>
          <w:sz w:val="24"/>
          <w:highlight w:val="none"/>
        </w:rPr>
        <w:t>获取招标文件，并于</w:t>
      </w:r>
      <w:r>
        <w:rPr>
          <w:rFonts w:hint="eastAsia" w:ascii="宋体" w:hAnsi="宋体" w:cs="宋体"/>
          <w:color w:val="auto"/>
          <w:sz w:val="24"/>
          <w:highlight w:val="none"/>
          <w:u w:val="single"/>
        </w:rPr>
        <w:t xml:space="preserve"> 2020</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12</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1</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09</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30</w:t>
      </w:r>
      <w:r>
        <w:rPr>
          <w:rFonts w:hint="eastAsia" w:ascii="宋体" w:hAnsi="宋体" w:cs="宋体"/>
          <w:bCs/>
          <w:color w:val="auto"/>
          <w:sz w:val="24"/>
          <w:highlight w:val="none"/>
          <w:u w:val="single"/>
        </w:rPr>
        <w:t>分（</w:t>
      </w:r>
      <w:r>
        <w:rPr>
          <w:rFonts w:hint="eastAsia" w:ascii="宋体" w:hAnsi="宋体" w:cs="宋体"/>
          <w:bCs/>
          <w:color w:val="auto"/>
          <w:sz w:val="24"/>
          <w:highlight w:val="none"/>
        </w:rPr>
        <w:t>北京时间）前递交投标文件</w:t>
      </w:r>
      <w:r>
        <w:rPr>
          <w:rFonts w:hint="eastAsia" w:ascii="宋体" w:hAnsi="宋体" w:cs="宋体"/>
          <w:color w:val="auto"/>
          <w:sz w:val="24"/>
          <w:highlight w:val="none"/>
        </w:rPr>
        <w:t>。</w:t>
      </w:r>
    </w:p>
    <w:p>
      <w:pPr>
        <w:pStyle w:val="13"/>
        <w:keepNext/>
        <w:spacing w:line="300" w:lineRule="exact"/>
        <w:rPr>
          <w:rFonts w:cs="宋体"/>
          <w:color w:val="auto"/>
          <w:sz w:val="21"/>
          <w:szCs w:val="21"/>
          <w:highlight w:val="none"/>
        </w:rPr>
      </w:pPr>
      <w:r>
        <w:rPr>
          <w:rStyle w:val="16"/>
          <w:rFonts w:hint="eastAsia" w:cs="宋体"/>
          <w:color w:val="auto"/>
          <w:sz w:val="21"/>
          <w:szCs w:val="21"/>
          <w:highlight w:val="none"/>
        </w:rPr>
        <w:t>一、项目基本情况</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项目编号：CZZC2020-G3-00004-DZZB</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采购计划文号：</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项目名称：崇左市基于一张蓝图的“多规合一”业务协同平台建设项目</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预算金额（人民币）：3800000.00元</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最高限价：同预算金额</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采购需求：</w:t>
      </w:r>
    </w:p>
    <w:tbl>
      <w:tblPr>
        <w:tblStyle w:val="14"/>
        <w:tblW w:w="0" w:type="auto"/>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4905"/>
        <w:gridCol w:w="208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0" w:type="dxa"/>
            <w:vAlign w:val="center"/>
          </w:tcPr>
          <w:p>
            <w:pPr>
              <w:pStyle w:val="13"/>
              <w:spacing w:line="400" w:lineRule="exact"/>
              <w:jc w:val="center"/>
              <w:rPr>
                <w:rFonts w:cs="宋体"/>
                <w:color w:val="auto"/>
                <w:sz w:val="21"/>
                <w:szCs w:val="21"/>
                <w:highlight w:val="none"/>
              </w:rPr>
            </w:pPr>
            <w:r>
              <w:rPr>
                <w:rFonts w:hint="eastAsia" w:cs="宋体"/>
                <w:color w:val="auto"/>
                <w:sz w:val="21"/>
                <w:szCs w:val="21"/>
                <w:highlight w:val="none"/>
              </w:rPr>
              <w:t>序号</w:t>
            </w:r>
          </w:p>
        </w:tc>
        <w:tc>
          <w:tcPr>
            <w:tcW w:w="4905" w:type="dxa"/>
            <w:vAlign w:val="center"/>
          </w:tcPr>
          <w:p>
            <w:pPr>
              <w:pStyle w:val="13"/>
              <w:spacing w:line="400" w:lineRule="exact"/>
              <w:jc w:val="center"/>
              <w:rPr>
                <w:rFonts w:cs="宋体"/>
                <w:color w:val="auto"/>
                <w:sz w:val="21"/>
                <w:szCs w:val="21"/>
                <w:highlight w:val="none"/>
              </w:rPr>
            </w:pPr>
            <w:r>
              <w:rPr>
                <w:rFonts w:hint="eastAsia" w:cs="宋体"/>
                <w:color w:val="auto"/>
                <w:sz w:val="21"/>
                <w:szCs w:val="21"/>
                <w:highlight w:val="none"/>
              </w:rPr>
              <w:t>服务内容</w:t>
            </w:r>
          </w:p>
        </w:tc>
        <w:tc>
          <w:tcPr>
            <w:tcW w:w="2085" w:type="dxa"/>
            <w:vAlign w:val="center"/>
          </w:tcPr>
          <w:p>
            <w:pPr>
              <w:pStyle w:val="13"/>
              <w:spacing w:line="400" w:lineRule="exact"/>
              <w:jc w:val="center"/>
              <w:rPr>
                <w:rFonts w:cs="宋体"/>
                <w:color w:val="auto"/>
                <w:sz w:val="21"/>
                <w:szCs w:val="21"/>
                <w:highlight w:val="none"/>
              </w:rPr>
            </w:pPr>
            <w:r>
              <w:rPr>
                <w:rFonts w:hint="eastAsia" w:cs="宋体"/>
                <w:color w:val="auto"/>
                <w:sz w:val="21"/>
                <w:szCs w:val="21"/>
                <w:highlight w:val="none"/>
              </w:rPr>
              <w:t>单位</w:t>
            </w:r>
          </w:p>
        </w:tc>
        <w:tc>
          <w:tcPr>
            <w:tcW w:w="1365" w:type="dxa"/>
            <w:vAlign w:val="center"/>
          </w:tcPr>
          <w:p>
            <w:pPr>
              <w:pStyle w:val="13"/>
              <w:spacing w:line="400" w:lineRule="exact"/>
              <w:jc w:val="center"/>
              <w:rPr>
                <w:rFonts w:cs="宋体"/>
                <w:color w:val="auto"/>
                <w:sz w:val="21"/>
                <w:szCs w:val="21"/>
                <w:highlight w:val="none"/>
              </w:rPr>
            </w:pPr>
            <w:r>
              <w:rPr>
                <w:rFonts w:hint="eastAsia" w:cs="宋体"/>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0" w:type="dxa"/>
            <w:vAlign w:val="center"/>
          </w:tcPr>
          <w:p>
            <w:pPr>
              <w:pStyle w:val="13"/>
              <w:spacing w:line="400" w:lineRule="exact"/>
              <w:jc w:val="center"/>
              <w:rPr>
                <w:rFonts w:cs="宋体"/>
                <w:color w:val="auto"/>
                <w:sz w:val="21"/>
                <w:szCs w:val="21"/>
                <w:highlight w:val="none"/>
              </w:rPr>
            </w:pPr>
            <w:r>
              <w:rPr>
                <w:rFonts w:hint="eastAsia" w:cs="宋体"/>
                <w:color w:val="auto"/>
                <w:sz w:val="21"/>
                <w:szCs w:val="21"/>
                <w:highlight w:val="none"/>
              </w:rPr>
              <w:t>1</w:t>
            </w:r>
          </w:p>
        </w:tc>
        <w:tc>
          <w:tcPr>
            <w:tcW w:w="4905" w:type="dxa"/>
            <w:vAlign w:val="center"/>
          </w:tcPr>
          <w:p>
            <w:pPr>
              <w:pStyle w:val="13"/>
              <w:spacing w:line="400" w:lineRule="exact"/>
              <w:jc w:val="center"/>
              <w:rPr>
                <w:rFonts w:cs="宋体"/>
                <w:color w:val="auto"/>
                <w:sz w:val="21"/>
                <w:szCs w:val="21"/>
                <w:highlight w:val="none"/>
              </w:rPr>
            </w:pPr>
            <w:r>
              <w:rPr>
                <w:rFonts w:hint="eastAsia" w:cs="宋体"/>
                <w:color w:val="auto"/>
                <w:sz w:val="21"/>
                <w:szCs w:val="21"/>
                <w:highlight w:val="none"/>
              </w:rPr>
              <w:t>崇左市基于一张蓝图的“多规合一”业务协同平台建设项目</w:t>
            </w:r>
          </w:p>
        </w:tc>
        <w:tc>
          <w:tcPr>
            <w:tcW w:w="2085" w:type="dxa"/>
            <w:vAlign w:val="center"/>
          </w:tcPr>
          <w:p>
            <w:pPr>
              <w:pStyle w:val="13"/>
              <w:spacing w:line="400" w:lineRule="exact"/>
              <w:jc w:val="center"/>
              <w:rPr>
                <w:rFonts w:cs="宋体"/>
                <w:color w:val="auto"/>
                <w:sz w:val="21"/>
                <w:szCs w:val="21"/>
                <w:highlight w:val="none"/>
              </w:rPr>
            </w:pPr>
            <w:r>
              <w:rPr>
                <w:rFonts w:hint="eastAsia" w:cs="宋体"/>
                <w:color w:val="auto"/>
                <w:sz w:val="21"/>
                <w:szCs w:val="21"/>
                <w:highlight w:val="none"/>
              </w:rPr>
              <w:t>项</w:t>
            </w:r>
          </w:p>
        </w:tc>
        <w:tc>
          <w:tcPr>
            <w:tcW w:w="1365" w:type="dxa"/>
            <w:vAlign w:val="center"/>
          </w:tcPr>
          <w:p>
            <w:pPr>
              <w:pStyle w:val="13"/>
              <w:spacing w:line="400" w:lineRule="exact"/>
              <w:jc w:val="center"/>
              <w:rPr>
                <w:rFonts w:cs="宋体"/>
                <w:color w:val="auto"/>
                <w:sz w:val="21"/>
                <w:szCs w:val="21"/>
                <w:highlight w:val="none"/>
              </w:rPr>
            </w:pPr>
            <w:r>
              <w:rPr>
                <w:rFonts w:hint="eastAsia" w:cs="宋体"/>
                <w:color w:val="auto"/>
                <w:sz w:val="21"/>
                <w:szCs w:val="21"/>
                <w:highlight w:val="none"/>
              </w:rPr>
              <w:t>1</w:t>
            </w:r>
          </w:p>
        </w:tc>
      </w:tr>
    </w:tbl>
    <w:p>
      <w:pPr>
        <w:pStyle w:val="13"/>
        <w:spacing w:line="300" w:lineRule="exact"/>
        <w:ind w:firstLine="420"/>
        <w:rPr>
          <w:rFonts w:cs="宋体"/>
          <w:color w:val="auto"/>
          <w:sz w:val="21"/>
          <w:szCs w:val="21"/>
          <w:highlight w:val="none"/>
        </w:rPr>
      </w:pPr>
      <w:r>
        <w:rPr>
          <w:rFonts w:hint="eastAsia" w:cs="宋体"/>
          <w:color w:val="auto"/>
          <w:sz w:val="21"/>
          <w:szCs w:val="21"/>
          <w:highlight w:val="none"/>
        </w:rPr>
        <w:t xml:space="preserve"> 合同履行期限：自合同签订之日起</w:t>
      </w:r>
      <w:r>
        <w:rPr>
          <w:rFonts w:hint="eastAsia" w:cs="宋体"/>
          <w:color w:val="auto"/>
          <w:sz w:val="21"/>
          <w:szCs w:val="21"/>
          <w:highlight w:val="none"/>
          <w:lang w:val="en-US" w:eastAsia="zh-CN"/>
        </w:rPr>
        <w:t>3</w:t>
      </w:r>
      <w:r>
        <w:rPr>
          <w:rFonts w:hint="eastAsia" w:cs="宋体"/>
          <w:color w:val="auto"/>
          <w:sz w:val="21"/>
          <w:szCs w:val="21"/>
          <w:highlight w:val="none"/>
        </w:rPr>
        <w:t>个月内。</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本项目</w:t>
      </w:r>
      <w:r>
        <w:rPr>
          <w:rStyle w:val="16"/>
          <w:rFonts w:hint="eastAsia" w:cs="宋体"/>
          <w:color w:val="auto"/>
          <w:sz w:val="21"/>
          <w:szCs w:val="21"/>
          <w:highlight w:val="none"/>
        </w:rPr>
        <w:t>不接受</w:t>
      </w:r>
      <w:r>
        <w:rPr>
          <w:rFonts w:hint="eastAsia" w:cs="宋体"/>
          <w:color w:val="auto"/>
          <w:sz w:val="21"/>
          <w:szCs w:val="21"/>
          <w:highlight w:val="none"/>
        </w:rPr>
        <w:t>联合体投标。</w:t>
      </w:r>
    </w:p>
    <w:p>
      <w:pPr>
        <w:pStyle w:val="13"/>
        <w:keepNext/>
        <w:spacing w:line="300" w:lineRule="exact"/>
        <w:rPr>
          <w:rFonts w:cs="宋体"/>
          <w:color w:val="auto"/>
          <w:sz w:val="21"/>
          <w:szCs w:val="21"/>
          <w:highlight w:val="none"/>
        </w:rPr>
      </w:pPr>
      <w:r>
        <w:rPr>
          <w:rStyle w:val="16"/>
          <w:rFonts w:hint="eastAsia" w:cs="宋体"/>
          <w:color w:val="auto"/>
          <w:sz w:val="21"/>
          <w:szCs w:val="21"/>
          <w:highlight w:val="none"/>
        </w:rPr>
        <w:t>二、投标人的资格要求</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1.满足《中华人民共和国政府采购法》第二十二条规定；</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2.落实政府采购政策需满足的资格要求：无；</w:t>
      </w:r>
    </w:p>
    <w:p>
      <w:pPr>
        <w:pStyle w:val="13"/>
        <w:spacing w:line="360" w:lineRule="auto"/>
        <w:ind w:firstLine="420"/>
        <w:rPr>
          <w:rFonts w:cs="宋体"/>
          <w:color w:val="auto"/>
          <w:sz w:val="21"/>
          <w:szCs w:val="21"/>
          <w:highlight w:val="none"/>
        </w:rPr>
      </w:pPr>
      <w:r>
        <w:rPr>
          <w:rFonts w:hint="eastAsia" w:cs="宋体"/>
          <w:color w:val="auto"/>
          <w:sz w:val="21"/>
          <w:szCs w:val="21"/>
          <w:highlight w:val="none"/>
        </w:rPr>
        <w:t>3.本项目的特定资格要求：无；</w:t>
      </w:r>
    </w:p>
    <w:p>
      <w:pPr>
        <w:pStyle w:val="13"/>
        <w:spacing w:line="360" w:lineRule="auto"/>
        <w:ind w:firstLine="420"/>
        <w:rPr>
          <w:rFonts w:cs="宋体"/>
          <w:color w:val="auto"/>
          <w:sz w:val="21"/>
          <w:szCs w:val="21"/>
          <w:highlight w:val="none"/>
        </w:rPr>
      </w:pPr>
      <w:r>
        <w:rPr>
          <w:rFonts w:hint="eastAsia" w:cs="宋体"/>
          <w:color w:val="auto"/>
          <w:sz w:val="21"/>
          <w:szCs w:val="21"/>
          <w:highlight w:val="none"/>
        </w:rPr>
        <w:t>4.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pPr>
        <w:pStyle w:val="13"/>
        <w:spacing w:line="360" w:lineRule="auto"/>
        <w:ind w:firstLine="420"/>
        <w:rPr>
          <w:rFonts w:cs="宋体"/>
          <w:color w:val="auto"/>
          <w:sz w:val="21"/>
          <w:szCs w:val="21"/>
          <w:highlight w:val="none"/>
        </w:rPr>
      </w:pPr>
      <w:r>
        <w:rPr>
          <w:rFonts w:hint="eastAsia" w:cs="宋体"/>
          <w:color w:val="auto"/>
          <w:sz w:val="21"/>
          <w:szCs w:val="21"/>
          <w:highlight w:val="none"/>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p>
    <w:p>
      <w:pPr>
        <w:pStyle w:val="13"/>
        <w:keepNext/>
        <w:spacing w:line="300" w:lineRule="exact"/>
        <w:rPr>
          <w:rFonts w:cs="宋体"/>
          <w:color w:val="auto"/>
          <w:sz w:val="21"/>
          <w:szCs w:val="21"/>
          <w:highlight w:val="none"/>
        </w:rPr>
      </w:pPr>
      <w:r>
        <w:rPr>
          <w:rStyle w:val="16"/>
          <w:rFonts w:hint="eastAsia" w:cs="宋体"/>
          <w:color w:val="auto"/>
          <w:sz w:val="21"/>
          <w:szCs w:val="21"/>
          <w:highlight w:val="none"/>
        </w:rPr>
        <w:t>三、获取招标文件</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时间：自招标公告发出之时起至2020年</w:t>
      </w:r>
      <w:r>
        <w:rPr>
          <w:rFonts w:hint="eastAsia" w:cs="宋体"/>
          <w:color w:val="auto"/>
          <w:sz w:val="21"/>
          <w:szCs w:val="21"/>
          <w:highlight w:val="none"/>
          <w:lang w:val="en-US" w:eastAsia="zh-CN"/>
        </w:rPr>
        <w:t>11</w:t>
      </w:r>
      <w:r>
        <w:rPr>
          <w:rFonts w:hint="eastAsia" w:cs="宋体"/>
          <w:color w:val="auto"/>
          <w:sz w:val="21"/>
          <w:szCs w:val="21"/>
          <w:highlight w:val="none"/>
        </w:rPr>
        <w:t>月</w:t>
      </w:r>
      <w:r>
        <w:rPr>
          <w:rFonts w:hint="eastAsia" w:cs="宋体"/>
          <w:color w:val="auto"/>
          <w:sz w:val="21"/>
          <w:szCs w:val="21"/>
          <w:highlight w:val="none"/>
          <w:lang w:val="en-US" w:eastAsia="zh-CN"/>
        </w:rPr>
        <w:t>17</w:t>
      </w:r>
      <w:r>
        <w:rPr>
          <w:rFonts w:hint="eastAsia" w:cs="宋体"/>
          <w:color w:val="auto"/>
          <w:sz w:val="21"/>
          <w:szCs w:val="21"/>
          <w:highlight w:val="none"/>
        </w:rPr>
        <w:t>日止。</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获取方式：实行供应商实名制在线免费获取采购文件。</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注：1.供应商须登录政采云平台（www.zcygov.cn）在“供应商入驻”完成账号注册后，登录政采云平台“项目采购—获取采购文件”模块自行下载招标文件。</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2.已获取招标文件的供应商不等于符合本项目的供应商资格条件。</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3.如在政采云平台操作过程中遇到问题或者需要技术支持，请致电政采云客服热线：400-881-7190。</w:t>
      </w:r>
    </w:p>
    <w:p>
      <w:pPr>
        <w:pStyle w:val="13"/>
        <w:spacing w:line="300" w:lineRule="exact"/>
        <w:rPr>
          <w:rFonts w:cs="宋体"/>
          <w:b/>
          <w:bCs/>
          <w:color w:val="auto"/>
          <w:sz w:val="21"/>
          <w:szCs w:val="21"/>
          <w:highlight w:val="none"/>
        </w:rPr>
      </w:pPr>
      <w:r>
        <w:rPr>
          <w:rFonts w:hint="eastAsia" w:cs="宋体"/>
          <w:b/>
          <w:bCs/>
          <w:color w:val="auto"/>
          <w:sz w:val="21"/>
          <w:szCs w:val="21"/>
          <w:highlight w:val="none"/>
        </w:rPr>
        <w:t>四、提交投标文件截止时间、开标时间和地点</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提交投标文件截止时间和开标时间：2020年</w:t>
      </w:r>
      <w:r>
        <w:rPr>
          <w:rFonts w:hint="eastAsia" w:cs="宋体"/>
          <w:color w:val="auto"/>
          <w:sz w:val="21"/>
          <w:szCs w:val="21"/>
          <w:highlight w:val="none"/>
          <w:lang w:val="en-US" w:eastAsia="zh-CN"/>
        </w:rPr>
        <w:t>12</w:t>
      </w:r>
      <w:r>
        <w:rPr>
          <w:rFonts w:hint="eastAsia" w:cs="宋体"/>
          <w:color w:val="auto"/>
          <w:sz w:val="21"/>
          <w:szCs w:val="21"/>
          <w:highlight w:val="none"/>
        </w:rPr>
        <w:t>月</w:t>
      </w:r>
      <w:r>
        <w:rPr>
          <w:rFonts w:hint="eastAsia" w:cs="宋体"/>
          <w:color w:val="auto"/>
          <w:sz w:val="21"/>
          <w:szCs w:val="21"/>
          <w:highlight w:val="none"/>
          <w:lang w:val="en-US" w:eastAsia="zh-CN"/>
        </w:rPr>
        <w:t>1</w:t>
      </w:r>
      <w:r>
        <w:rPr>
          <w:rFonts w:hint="eastAsia" w:cs="宋体"/>
          <w:color w:val="auto"/>
          <w:sz w:val="21"/>
          <w:szCs w:val="21"/>
          <w:highlight w:val="none"/>
        </w:rPr>
        <w:t>日</w:t>
      </w:r>
      <w:r>
        <w:rPr>
          <w:rFonts w:hint="eastAsia" w:cs="宋体"/>
          <w:color w:val="auto"/>
          <w:sz w:val="21"/>
          <w:szCs w:val="21"/>
          <w:highlight w:val="none"/>
          <w:lang w:val="en-US" w:eastAsia="zh-CN"/>
        </w:rPr>
        <w:t>09</w:t>
      </w:r>
      <w:r>
        <w:rPr>
          <w:rFonts w:hint="eastAsia" w:cs="宋体"/>
          <w:color w:val="auto"/>
          <w:sz w:val="21"/>
          <w:szCs w:val="21"/>
          <w:highlight w:val="none"/>
        </w:rPr>
        <w:t>时</w:t>
      </w:r>
      <w:r>
        <w:rPr>
          <w:rFonts w:hint="eastAsia" w:cs="宋体"/>
          <w:color w:val="auto"/>
          <w:sz w:val="21"/>
          <w:szCs w:val="21"/>
          <w:highlight w:val="none"/>
          <w:lang w:val="en-US" w:eastAsia="zh-CN"/>
        </w:rPr>
        <w:t>30</w:t>
      </w:r>
      <w:r>
        <w:rPr>
          <w:rFonts w:hint="eastAsia" w:cs="宋体"/>
          <w:color w:val="auto"/>
          <w:sz w:val="21"/>
          <w:szCs w:val="21"/>
          <w:highlight w:val="none"/>
        </w:rPr>
        <w:t>分（北京时间）</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投标文件提交起止时间：2020年</w:t>
      </w:r>
      <w:r>
        <w:rPr>
          <w:rFonts w:hint="eastAsia" w:cs="宋体"/>
          <w:color w:val="auto"/>
          <w:sz w:val="21"/>
          <w:szCs w:val="21"/>
          <w:highlight w:val="none"/>
          <w:lang w:val="en-US" w:eastAsia="zh-CN"/>
        </w:rPr>
        <w:t>12</w:t>
      </w:r>
      <w:r>
        <w:rPr>
          <w:rFonts w:hint="eastAsia" w:cs="宋体"/>
          <w:color w:val="auto"/>
          <w:sz w:val="21"/>
          <w:szCs w:val="21"/>
          <w:highlight w:val="none"/>
        </w:rPr>
        <w:t>月</w:t>
      </w:r>
      <w:r>
        <w:rPr>
          <w:rFonts w:hint="eastAsia" w:cs="宋体"/>
          <w:color w:val="auto"/>
          <w:sz w:val="21"/>
          <w:szCs w:val="21"/>
          <w:highlight w:val="none"/>
          <w:lang w:val="en-US" w:eastAsia="zh-CN"/>
        </w:rPr>
        <w:t>1</w:t>
      </w:r>
      <w:r>
        <w:rPr>
          <w:rFonts w:hint="eastAsia" w:cs="宋体"/>
          <w:color w:val="auto"/>
          <w:sz w:val="21"/>
          <w:szCs w:val="21"/>
          <w:highlight w:val="none"/>
        </w:rPr>
        <w:t>日</w:t>
      </w:r>
      <w:r>
        <w:rPr>
          <w:rFonts w:hint="eastAsia" w:cs="宋体"/>
          <w:color w:val="auto"/>
          <w:sz w:val="21"/>
          <w:szCs w:val="21"/>
          <w:highlight w:val="none"/>
          <w:lang w:val="en-US" w:eastAsia="zh-CN"/>
        </w:rPr>
        <w:t>08</w:t>
      </w:r>
      <w:r>
        <w:rPr>
          <w:rFonts w:hint="eastAsia" w:cs="宋体"/>
          <w:color w:val="auto"/>
          <w:sz w:val="21"/>
          <w:szCs w:val="21"/>
          <w:highlight w:val="none"/>
        </w:rPr>
        <w:t>时</w:t>
      </w:r>
      <w:r>
        <w:rPr>
          <w:rFonts w:hint="eastAsia" w:cs="宋体"/>
          <w:color w:val="auto"/>
          <w:sz w:val="21"/>
          <w:szCs w:val="21"/>
          <w:highlight w:val="none"/>
          <w:lang w:val="en-US" w:eastAsia="zh-CN"/>
        </w:rPr>
        <w:t>30</w:t>
      </w:r>
      <w:r>
        <w:rPr>
          <w:rFonts w:hint="eastAsia" w:cs="宋体"/>
          <w:color w:val="auto"/>
          <w:sz w:val="21"/>
          <w:szCs w:val="21"/>
          <w:highlight w:val="none"/>
        </w:rPr>
        <w:t>分至</w:t>
      </w:r>
      <w:r>
        <w:rPr>
          <w:rFonts w:hint="eastAsia" w:cs="宋体"/>
          <w:color w:val="auto"/>
          <w:sz w:val="21"/>
          <w:szCs w:val="21"/>
          <w:highlight w:val="none"/>
          <w:lang w:val="en-US" w:eastAsia="zh-CN"/>
        </w:rPr>
        <w:t>09</w:t>
      </w:r>
      <w:r>
        <w:rPr>
          <w:rFonts w:hint="eastAsia" w:cs="宋体"/>
          <w:color w:val="auto"/>
          <w:sz w:val="21"/>
          <w:szCs w:val="21"/>
          <w:highlight w:val="none"/>
        </w:rPr>
        <w:t>时</w:t>
      </w:r>
      <w:r>
        <w:rPr>
          <w:rFonts w:hint="eastAsia" w:cs="宋体"/>
          <w:color w:val="auto"/>
          <w:sz w:val="21"/>
          <w:szCs w:val="21"/>
          <w:highlight w:val="none"/>
          <w:lang w:val="en-US" w:eastAsia="zh-CN"/>
        </w:rPr>
        <w:t>30</w:t>
      </w:r>
      <w:r>
        <w:rPr>
          <w:rFonts w:hint="eastAsia" w:cs="宋体"/>
          <w:color w:val="auto"/>
          <w:sz w:val="21"/>
          <w:szCs w:val="21"/>
          <w:highlight w:val="none"/>
        </w:rPr>
        <w:t>分</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投标和开标地点：崇左市公共资源交易中心（崇左市城南新区石景林路东段政务服务中心综合楼五楼）</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注：投标人应在投标文件提交起止时间内，将投标文件密封送达投标地点，未在规定时间内送达或未按照招标文件要求密封的投标文件，将予以拒收。</w:t>
      </w:r>
    </w:p>
    <w:p>
      <w:pPr>
        <w:pStyle w:val="13"/>
        <w:spacing w:line="300" w:lineRule="exact"/>
        <w:rPr>
          <w:rFonts w:cs="宋体"/>
          <w:color w:val="auto"/>
          <w:sz w:val="21"/>
          <w:szCs w:val="21"/>
          <w:highlight w:val="none"/>
        </w:rPr>
      </w:pPr>
      <w:r>
        <w:rPr>
          <w:rFonts w:hint="eastAsia" w:cs="宋体"/>
          <w:b/>
          <w:bCs/>
          <w:color w:val="auto"/>
          <w:sz w:val="21"/>
          <w:szCs w:val="21"/>
          <w:highlight w:val="none"/>
        </w:rPr>
        <w:t>五、公告期限</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自本公告发布之日起5个工作日。</w:t>
      </w:r>
    </w:p>
    <w:p>
      <w:pPr>
        <w:pStyle w:val="13"/>
        <w:spacing w:line="300" w:lineRule="exact"/>
        <w:rPr>
          <w:rFonts w:cs="宋体"/>
          <w:color w:val="auto"/>
          <w:sz w:val="21"/>
          <w:szCs w:val="21"/>
          <w:highlight w:val="none"/>
        </w:rPr>
      </w:pPr>
      <w:r>
        <w:rPr>
          <w:rFonts w:hint="eastAsia" w:cs="宋体"/>
          <w:b/>
          <w:bCs/>
          <w:color w:val="auto"/>
          <w:sz w:val="21"/>
          <w:szCs w:val="21"/>
          <w:highlight w:val="none"/>
        </w:rPr>
        <w:t>六、其他补充事宜</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1.投标保证金：柒万元整（¥70000.00元）</w:t>
      </w:r>
    </w:p>
    <w:p>
      <w:pPr>
        <w:pStyle w:val="13"/>
        <w:spacing w:line="360" w:lineRule="auto"/>
        <w:ind w:firstLine="420"/>
        <w:rPr>
          <w:rFonts w:cs="宋体"/>
          <w:color w:val="auto"/>
          <w:sz w:val="21"/>
          <w:szCs w:val="21"/>
          <w:highlight w:val="none"/>
        </w:rPr>
      </w:pPr>
      <w:r>
        <w:rPr>
          <w:rFonts w:hint="eastAsia" w:cs="宋体"/>
          <w:color w:val="auto"/>
          <w:sz w:val="21"/>
          <w:szCs w:val="21"/>
          <w:highlight w:val="none"/>
        </w:rPr>
        <w:t>投标保证金缴纳方式：供应商可自主选择以转账、电汇、支票、汇票、本票、保函等非现金形式缴纳保证金。采用转账、电汇形式的，保证金必须从投标人银行账户转出，并于投标文件递交截止时间前到达以下指定账户；采用支票、汇票、本票、保险、保函形式的，投标人应于投标文件递交截止时间前递交单独密封的支票、汇票、本票、保险、保函原件；否则视为无效保证金。本项目不接受现金形式或从个人账户转出的保证金。</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开户名称：崇左市公共资源交易中心</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开户行：中国建设银行股份有限公司崇左友谊大道支行</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开户账号1：45001598054059556677</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2. 网上查询地址</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中国政府采购网、广西壮族自治区政府采购网、崇左市公共资源交易中心网</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3. 本项目需要落实的政府采购政策</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（1）政府采购促进中小企业发展。</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（2）政府采购支持采用本国产品的政策。</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（3）强制采购节能产品；优先采购节能产品、环境标志产品。</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（4）政府采购促进残疾人就业政策。</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（5）政府采购支持监狱企业发展。</w:t>
      </w:r>
    </w:p>
    <w:p>
      <w:pPr>
        <w:pStyle w:val="13"/>
        <w:spacing w:line="300" w:lineRule="exact"/>
        <w:ind w:firstLine="420"/>
        <w:rPr>
          <w:rFonts w:cs="宋体"/>
          <w:color w:val="auto"/>
          <w:sz w:val="21"/>
          <w:szCs w:val="21"/>
          <w:highlight w:val="none"/>
        </w:rPr>
      </w:pPr>
      <w:r>
        <w:rPr>
          <w:rFonts w:hint="eastAsia" w:cs="宋体"/>
          <w:b/>
          <w:bCs/>
          <w:color w:val="auto"/>
          <w:sz w:val="21"/>
          <w:szCs w:val="21"/>
          <w:highlight w:val="none"/>
        </w:rPr>
        <w:t>七、对本次招标提出询问，请按以下方式联系。</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1.采购人信息</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名 称：崇左市自然资源局</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地 址：崇左市友谊大道205号</w:t>
      </w:r>
    </w:p>
    <w:p>
      <w:pPr>
        <w:pStyle w:val="13"/>
        <w:spacing w:line="300" w:lineRule="exact"/>
        <w:ind w:firstLine="420"/>
        <w:rPr>
          <w:rFonts w:hint="eastAsia" w:eastAsia="宋体" w:cs="宋体"/>
          <w:color w:val="auto"/>
          <w:sz w:val="21"/>
          <w:szCs w:val="21"/>
          <w:highlight w:val="none"/>
          <w:lang w:eastAsia="zh-CN"/>
        </w:rPr>
      </w:pPr>
      <w:r>
        <w:rPr>
          <w:rFonts w:hint="eastAsia" w:cs="宋体"/>
          <w:color w:val="auto"/>
          <w:sz w:val="21"/>
          <w:szCs w:val="21"/>
          <w:highlight w:val="none"/>
        </w:rPr>
        <w:t>联系人：</w:t>
      </w:r>
      <w:r>
        <w:rPr>
          <w:rFonts w:hint="eastAsia" w:cs="宋体"/>
          <w:color w:val="auto"/>
          <w:sz w:val="21"/>
          <w:szCs w:val="21"/>
          <w:highlight w:val="none"/>
          <w:lang w:eastAsia="zh-CN"/>
        </w:rPr>
        <w:t>冯工</w:t>
      </w:r>
    </w:p>
    <w:p>
      <w:pPr>
        <w:pStyle w:val="13"/>
        <w:spacing w:line="300" w:lineRule="exact"/>
        <w:ind w:firstLine="420"/>
        <w:rPr>
          <w:rFonts w:hint="default" w:eastAsia="宋体" w:cs="宋体"/>
          <w:color w:val="auto"/>
          <w:sz w:val="21"/>
          <w:szCs w:val="21"/>
          <w:highlight w:val="none"/>
          <w:lang w:val="en-US" w:eastAsia="zh-CN"/>
        </w:rPr>
      </w:pPr>
      <w:r>
        <w:rPr>
          <w:rFonts w:hint="eastAsia" w:cs="宋体"/>
          <w:color w:val="auto"/>
          <w:sz w:val="21"/>
          <w:szCs w:val="21"/>
          <w:highlight w:val="none"/>
        </w:rPr>
        <w:t>联系方式：</w:t>
      </w:r>
      <w:r>
        <w:rPr>
          <w:rFonts w:hint="eastAsia" w:cs="宋体"/>
          <w:color w:val="auto"/>
          <w:sz w:val="21"/>
          <w:szCs w:val="21"/>
          <w:highlight w:val="none"/>
          <w:lang w:val="en-US" w:eastAsia="zh-CN"/>
        </w:rPr>
        <w:t>0771-7961800</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2.采购代理机构信息</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名 称：广西大中招标有限公司</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地 址：崇左市花山路万隆商务领寓3楼307</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联系方式：18177742187</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3.项目联系方式</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项目联系人：杨工</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电 话：18177742187</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4.监督部门</w:t>
      </w:r>
    </w:p>
    <w:p>
      <w:pPr>
        <w:spacing w:line="360" w:lineRule="auto"/>
        <w:ind w:firstLine="630" w:firstLineChars="300"/>
        <w:rPr>
          <w:bCs/>
          <w:color w:val="auto"/>
          <w:kern w:val="1"/>
          <w:szCs w:val="21"/>
          <w:highlight w:val="none"/>
        </w:rPr>
      </w:pPr>
      <w:r>
        <w:rPr>
          <w:rFonts w:hint="eastAsia"/>
          <w:bCs/>
          <w:color w:val="auto"/>
          <w:kern w:val="1"/>
          <w:szCs w:val="21"/>
          <w:highlight w:val="none"/>
        </w:rPr>
        <w:t>名    称</w:t>
      </w:r>
      <w:r>
        <w:rPr>
          <w:bCs/>
          <w:color w:val="auto"/>
          <w:kern w:val="1"/>
          <w:szCs w:val="21"/>
          <w:highlight w:val="none"/>
        </w:rPr>
        <w:t>：</w:t>
      </w:r>
      <w:r>
        <w:rPr>
          <w:rFonts w:hint="eastAsia"/>
          <w:bCs/>
          <w:color w:val="auto"/>
          <w:kern w:val="1"/>
          <w:szCs w:val="21"/>
          <w:highlight w:val="none"/>
        </w:rPr>
        <w:t xml:space="preserve">崇左市自然资源局    </w:t>
      </w:r>
      <w:r>
        <w:rPr>
          <w:rFonts w:hint="eastAsia"/>
          <w:color w:val="auto"/>
          <w:highlight w:val="none"/>
        </w:rPr>
        <w:t>崇左市财政局政府采购监督管理科</w:t>
      </w:r>
    </w:p>
    <w:p>
      <w:pPr>
        <w:spacing w:line="360" w:lineRule="auto"/>
        <w:rPr>
          <w:bCs/>
          <w:color w:val="auto"/>
          <w:kern w:val="1"/>
          <w:szCs w:val="21"/>
          <w:highlight w:val="none"/>
        </w:rPr>
      </w:pPr>
      <w:r>
        <w:rPr>
          <w:rFonts w:hint="eastAsia"/>
          <w:bCs/>
          <w:color w:val="auto"/>
          <w:kern w:val="1"/>
          <w:szCs w:val="21"/>
          <w:highlight w:val="none"/>
        </w:rPr>
        <w:t xml:space="preserve">      联系电话：0771-7836126         0771-5962613</w:t>
      </w:r>
    </w:p>
    <w:p>
      <w:pPr>
        <w:pStyle w:val="4"/>
        <w:spacing w:after="312" w:line="360" w:lineRule="auto"/>
        <w:rPr>
          <w:color w:val="auto"/>
          <w:highlight w:val="none"/>
        </w:rPr>
      </w:pPr>
    </w:p>
    <w:p>
      <w:pPr>
        <w:spacing w:line="360" w:lineRule="auto"/>
        <w:ind w:firstLine="420" w:firstLineChars="200"/>
        <w:jc w:val="center"/>
        <w:rPr>
          <w:bCs/>
          <w:color w:val="auto"/>
          <w:szCs w:val="21"/>
          <w:highlight w:val="none"/>
        </w:rPr>
      </w:pPr>
      <w:r>
        <w:rPr>
          <w:rFonts w:hint="eastAsia"/>
          <w:bCs/>
          <w:color w:val="auto"/>
          <w:szCs w:val="21"/>
          <w:highlight w:val="none"/>
        </w:rPr>
        <w:t xml:space="preserve">                                                       </w:t>
      </w:r>
      <w:r>
        <w:rPr>
          <w:bCs/>
          <w:color w:val="auto"/>
          <w:szCs w:val="21"/>
          <w:highlight w:val="none"/>
        </w:rPr>
        <w:t>采购人：</w:t>
      </w:r>
      <w:r>
        <w:rPr>
          <w:rFonts w:hint="eastAsia"/>
          <w:bCs/>
          <w:color w:val="auto"/>
          <w:szCs w:val="21"/>
          <w:highlight w:val="none"/>
        </w:rPr>
        <w:t>崇左市自然资源局</w:t>
      </w:r>
    </w:p>
    <w:p>
      <w:pPr>
        <w:spacing w:line="360" w:lineRule="auto"/>
        <w:ind w:firstLine="420" w:firstLineChars="200"/>
        <w:jc w:val="right"/>
        <w:rPr>
          <w:bCs/>
          <w:color w:val="auto"/>
          <w:szCs w:val="21"/>
          <w:highlight w:val="none"/>
        </w:rPr>
      </w:pPr>
    </w:p>
    <w:p>
      <w:pPr>
        <w:spacing w:line="360" w:lineRule="auto"/>
        <w:ind w:firstLine="420" w:firstLineChars="200"/>
        <w:jc w:val="right"/>
        <w:rPr>
          <w:bCs/>
          <w:color w:val="auto"/>
          <w:szCs w:val="21"/>
          <w:highlight w:val="none"/>
        </w:rPr>
      </w:pPr>
      <w:r>
        <w:rPr>
          <w:bCs/>
          <w:color w:val="auto"/>
          <w:szCs w:val="21"/>
          <w:highlight w:val="none"/>
        </w:rPr>
        <w:t>采购代理机构：</w:t>
      </w:r>
      <w:r>
        <w:rPr>
          <w:rFonts w:hint="eastAsia"/>
          <w:bCs/>
          <w:color w:val="auto"/>
          <w:szCs w:val="21"/>
          <w:highlight w:val="none"/>
        </w:rPr>
        <w:t>广西大中招标有限公司</w:t>
      </w:r>
    </w:p>
    <w:p>
      <w:pPr>
        <w:spacing w:line="360" w:lineRule="auto"/>
        <w:ind w:firstLine="420" w:firstLineChars="200"/>
        <w:jc w:val="right"/>
        <w:rPr>
          <w:bCs/>
          <w:color w:val="auto"/>
          <w:szCs w:val="21"/>
          <w:highlight w:val="none"/>
        </w:rPr>
      </w:pPr>
    </w:p>
    <w:p>
      <w:pPr>
        <w:spacing w:line="360" w:lineRule="auto"/>
        <w:ind w:firstLine="420" w:firstLineChars="200"/>
        <w:jc w:val="right"/>
        <w:rPr>
          <w:bCs/>
          <w:color w:val="auto"/>
          <w:szCs w:val="21"/>
          <w:highlight w:val="none"/>
        </w:rPr>
      </w:pPr>
      <w:bookmarkStart w:id="8" w:name="_Toc26666_WPSOffice_Level1"/>
      <w:r>
        <w:rPr>
          <w:rFonts w:hint="eastAsia"/>
          <w:bCs/>
          <w:color w:val="auto"/>
          <w:szCs w:val="21"/>
          <w:highlight w:val="none"/>
        </w:rPr>
        <w:t>2020年</w:t>
      </w:r>
      <w:r>
        <w:rPr>
          <w:rFonts w:hint="eastAsia"/>
          <w:bCs/>
          <w:color w:val="auto"/>
          <w:szCs w:val="21"/>
          <w:highlight w:val="none"/>
          <w:lang w:val="en-US" w:eastAsia="zh-CN"/>
        </w:rPr>
        <w:t>11</w:t>
      </w:r>
      <w:r>
        <w:rPr>
          <w:bCs/>
          <w:color w:val="auto"/>
          <w:szCs w:val="21"/>
          <w:highlight w:val="none"/>
        </w:rPr>
        <w:t>月</w:t>
      </w:r>
      <w:r>
        <w:rPr>
          <w:rFonts w:hint="eastAsia"/>
          <w:bCs/>
          <w:color w:val="auto"/>
          <w:szCs w:val="21"/>
          <w:highlight w:val="none"/>
          <w:lang w:val="en-US" w:eastAsia="zh-CN"/>
        </w:rPr>
        <w:t>10</w:t>
      </w:r>
      <w:r>
        <w:rPr>
          <w:bCs/>
          <w:color w:val="auto"/>
          <w:szCs w:val="21"/>
          <w:highlight w:val="none"/>
        </w:rPr>
        <w:t>日</w:t>
      </w:r>
      <w:bookmarkEnd w:id="8"/>
    </w:p>
    <w:p>
      <w:pPr>
        <w:spacing w:line="360" w:lineRule="auto"/>
        <w:ind w:firstLine="420" w:firstLineChars="200"/>
        <w:jc w:val="right"/>
        <w:rPr>
          <w:rFonts w:eastAsiaTheme="minorEastAsia"/>
          <w:bCs/>
          <w:color w:val="auto"/>
          <w:szCs w:val="21"/>
          <w:highlight w:val="none"/>
        </w:rPr>
        <w:sectPr>
          <w:pgSz w:w="11906" w:h="16838"/>
          <w:pgMar w:top="1418" w:right="1588" w:bottom="1418" w:left="1588" w:header="851" w:footer="992" w:gutter="0"/>
          <w:cols w:space="425" w:num="1"/>
          <w:docGrid w:type="lines" w:linePitch="312" w:charSpace="0"/>
        </w:sectPr>
      </w:pPr>
    </w:p>
    <w:p>
      <w:pPr>
        <w:pStyle w:val="4"/>
        <w:spacing w:after="312" w:line="360" w:lineRule="auto"/>
        <w:rPr>
          <w:color w:val="auto"/>
          <w:highlight w:val="none"/>
        </w:rPr>
      </w:pPr>
      <w:r>
        <w:rPr>
          <w:color w:val="auto"/>
          <w:highlight w:val="none"/>
        </w:rPr>
        <w:t>第二章</w:t>
      </w:r>
      <w:bookmarkEnd w:id="6"/>
      <w:r>
        <w:rPr>
          <w:color w:val="auto"/>
          <w:highlight w:val="none"/>
        </w:rPr>
        <w:t xml:space="preserve">  采购需求</w:t>
      </w:r>
      <w:bookmarkEnd w:id="7"/>
    </w:p>
    <w:p>
      <w:pPr>
        <w:spacing w:line="360" w:lineRule="auto"/>
        <w:outlineLvl w:val="1"/>
        <w:rPr>
          <w:b/>
          <w:color w:val="auto"/>
          <w:szCs w:val="21"/>
          <w:highlight w:val="none"/>
        </w:rPr>
      </w:pPr>
      <w:bookmarkStart w:id="9" w:name="_Toc28949"/>
      <w:r>
        <w:rPr>
          <w:b/>
          <w:color w:val="auto"/>
          <w:szCs w:val="21"/>
          <w:highlight w:val="none"/>
        </w:rPr>
        <w:t>一、项目概括</w:t>
      </w:r>
      <w:bookmarkEnd w:id="9"/>
    </w:p>
    <w:p>
      <w:pPr>
        <w:spacing w:line="360" w:lineRule="auto"/>
        <w:ind w:firstLine="420"/>
        <w:rPr>
          <w:color w:val="auto"/>
          <w:kern w:val="2"/>
          <w:szCs w:val="21"/>
          <w:highlight w:val="none"/>
        </w:rPr>
      </w:pPr>
      <w:r>
        <w:rPr>
          <w:color w:val="auto"/>
          <w:kern w:val="2"/>
          <w:szCs w:val="21"/>
          <w:highlight w:val="none"/>
        </w:rPr>
        <w:t>1、项目名称：</w:t>
      </w:r>
      <w:r>
        <w:rPr>
          <w:rFonts w:hint="eastAsia"/>
          <w:color w:val="auto"/>
          <w:kern w:val="2"/>
          <w:szCs w:val="21"/>
          <w:highlight w:val="none"/>
        </w:rPr>
        <w:t>崇左市基于一张蓝图的“多规合一”业务协同平台建设项目</w:t>
      </w:r>
    </w:p>
    <w:p>
      <w:pPr>
        <w:spacing w:line="360" w:lineRule="auto"/>
        <w:ind w:firstLine="420"/>
        <w:rPr>
          <w:color w:val="auto"/>
          <w:kern w:val="2"/>
          <w:szCs w:val="21"/>
          <w:highlight w:val="none"/>
        </w:rPr>
      </w:pPr>
      <w:r>
        <w:rPr>
          <w:rFonts w:hint="eastAsia"/>
          <w:color w:val="auto"/>
          <w:kern w:val="2"/>
          <w:szCs w:val="21"/>
          <w:highlight w:val="none"/>
        </w:rPr>
        <w:t xml:space="preserve">   项目编号：CZZC2020-G3-00004-DZZB</w:t>
      </w:r>
    </w:p>
    <w:p>
      <w:pPr>
        <w:spacing w:line="360" w:lineRule="auto"/>
        <w:ind w:firstLine="420"/>
        <w:rPr>
          <w:color w:val="auto"/>
          <w:kern w:val="2"/>
          <w:szCs w:val="21"/>
          <w:highlight w:val="none"/>
        </w:rPr>
      </w:pPr>
      <w:r>
        <w:rPr>
          <w:color w:val="auto"/>
          <w:kern w:val="2"/>
          <w:szCs w:val="21"/>
          <w:highlight w:val="none"/>
        </w:rPr>
        <w:t>2、项目建设规模及内容：</w:t>
      </w:r>
      <w:r>
        <w:rPr>
          <w:rFonts w:hint="eastAsia"/>
          <w:color w:val="auto"/>
          <w:kern w:val="2"/>
          <w:szCs w:val="21"/>
          <w:highlight w:val="none"/>
        </w:rPr>
        <w:t>“多规合一”业务协同平台按照“数据共享、业务共商、空间共管”的总体原则，以工程建设项目审批制度改革工作为核心，基于我市已有各类现状数据及规划成果数据，建设“多规合一”的“一张蓝图”空间数据库，结合项目生成策划机制，统筹协调各部门提出的项目建设条件，满足建设方案及空间利用审查过程多部门业务协同，为审批提速创造条件。</w:t>
      </w:r>
    </w:p>
    <w:p>
      <w:pPr>
        <w:spacing w:line="360" w:lineRule="auto"/>
        <w:rPr>
          <w:bCs/>
          <w:color w:val="auto"/>
          <w:szCs w:val="21"/>
          <w:highlight w:val="none"/>
        </w:rPr>
      </w:pPr>
      <w:r>
        <w:rPr>
          <w:rFonts w:hint="eastAsia"/>
          <w:color w:val="auto"/>
          <w:kern w:val="2"/>
          <w:szCs w:val="21"/>
          <w:highlight w:val="none"/>
        </w:rPr>
        <w:t>“多规合一”业务协同平台依据我市政务外网和政务云平台进行建设，云资源由云平台进行提供。项目主要建设内容主要包括标准规范机制建设、“一张蓝图”数据库建设、应用系统建设、系统接口设计及基础软件采购等内容。</w:t>
      </w:r>
    </w:p>
    <w:p>
      <w:pPr>
        <w:spacing w:line="360" w:lineRule="auto"/>
        <w:ind w:firstLine="420"/>
        <w:rPr>
          <w:color w:val="auto"/>
          <w:kern w:val="2"/>
          <w:szCs w:val="21"/>
          <w:highlight w:val="none"/>
        </w:rPr>
      </w:pPr>
      <w:r>
        <w:rPr>
          <w:color w:val="auto"/>
          <w:kern w:val="2"/>
          <w:szCs w:val="21"/>
          <w:highlight w:val="none"/>
        </w:rPr>
        <w:t>3、项目地点：</w:t>
      </w:r>
      <w:r>
        <w:rPr>
          <w:color w:val="auto"/>
          <w:kern w:val="2"/>
          <w:szCs w:val="21"/>
          <w:highlight w:val="none"/>
          <w:lang w:val="zh-CN"/>
        </w:rPr>
        <w:t>崇左市</w:t>
      </w:r>
    </w:p>
    <w:p>
      <w:pPr>
        <w:spacing w:before="62" w:beforeLines="20" w:after="62" w:afterLines="20" w:line="360" w:lineRule="auto"/>
        <w:jc w:val="left"/>
        <w:outlineLvl w:val="1"/>
        <w:rPr>
          <w:b/>
          <w:color w:val="auto"/>
          <w:szCs w:val="21"/>
          <w:highlight w:val="none"/>
        </w:rPr>
      </w:pPr>
      <w:bookmarkStart w:id="10" w:name="_Toc21454"/>
      <w:r>
        <w:rPr>
          <w:b/>
          <w:color w:val="auto"/>
          <w:szCs w:val="21"/>
          <w:highlight w:val="none"/>
        </w:rPr>
        <w:t>二、</w:t>
      </w:r>
      <w:bookmarkEnd w:id="10"/>
      <w:r>
        <w:rPr>
          <w:rFonts w:hint="eastAsia"/>
          <w:b/>
          <w:color w:val="auto"/>
          <w:szCs w:val="21"/>
          <w:highlight w:val="none"/>
        </w:rPr>
        <w:t>项目背景</w:t>
      </w:r>
    </w:p>
    <w:p>
      <w:pPr>
        <w:spacing w:line="360" w:lineRule="auto"/>
        <w:ind w:firstLine="420" w:firstLineChars="200"/>
        <w:outlineLvl w:val="1"/>
        <w:rPr>
          <w:color w:val="auto"/>
          <w:szCs w:val="21"/>
          <w:highlight w:val="none"/>
        </w:rPr>
      </w:pPr>
      <w:bookmarkStart w:id="11" w:name="_Toc28145"/>
      <w:r>
        <w:rPr>
          <w:rFonts w:hint="eastAsia"/>
          <w:color w:val="auto"/>
          <w:szCs w:val="21"/>
          <w:highlight w:val="none"/>
        </w:rPr>
        <w:t>2018年5月14日，国务院办公厅印发《国务院办公厅关于开展工程建设项目审批制度改革试点的通知》（国办发〔2018〕33号，以下简称《通知》），《通知》要求“一张蓝图”统筹项目实施。加快建立“多规合一”业务协同平台，统筹各类规划。以“多规合一”的“一张蓝图”为基础，统筹协调各部门提出项目建设条件，建设单位落实建设条件要求，相关部门加强监督管理和考核评估。</w:t>
      </w:r>
    </w:p>
    <w:p>
      <w:pPr>
        <w:spacing w:line="360" w:lineRule="auto"/>
        <w:ind w:firstLine="420" w:firstLineChars="200"/>
        <w:outlineLvl w:val="1"/>
        <w:rPr>
          <w:color w:val="auto"/>
          <w:szCs w:val="21"/>
          <w:highlight w:val="none"/>
        </w:rPr>
      </w:pPr>
      <w:r>
        <w:rPr>
          <w:rFonts w:hint="eastAsia"/>
          <w:color w:val="auto"/>
          <w:szCs w:val="21"/>
          <w:highlight w:val="none"/>
        </w:rPr>
        <w:t>2019年3月13日，国务院办公厅印发《关于全面开展工程建设项目审批制度改革的实施意见》（国办发〔2019〕11号）（以下简称《意见》）。《意见》提出要实现工程建设项目审批“四统一”。在统一审批管理体系中，要求整合各类规划，构建“多规合一”的“一张蓝图”，统筹项目实施。</w:t>
      </w:r>
    </w:p>
    <w:p>
      <w:pPr>
        <w:spacing w:line="360" w:lineRule="auto"/>
        <w:ind w:firstLine="420" w:firstLineChars="200"/>
        <w:outlineLvl w:val="1"/>
        <w:rPr>
          <w:color w:val="auto"/>
          <w:szCs w:val="21"/>
          <w:highlight w:val="none"/>
        </w:rPr>
      </w:pPr>
      <w:r>
        <w:rPr>
          <w:rFonts w:hint="eastAsia"/>
          <w:color w:val="auto"/>
          <w:szCs w:val="21"/>
          <w:highlight w:val="none"/>
        </w:rPr>
        <w:t>广西壮族自治区人民政府积极响应国家号召，落实《通知》和《意见》内容和要求，于2019年5月28日印发《广西壮族自治区工程建设项目审批制度改革实施方案》（桂政发〔2019〕28号）（以下简称《方案》）。《方案》要求“一张蓝图”统筹项目实施，工程建设项目审批管理系统要具备“多规合一”业务协同、在线并联审批、统计分析、监督管理等功能，在“一张蓝图”基础上开展审批，做到审批过程、审批结果实时传送，实现统一受理、并联审批、实时流转、跟踪督办、信息共享。《方案》要求完善工程建设项目审批管理系统功能，建立“多规合一”协调机制和数据库，制定项目生成管理办法，整合各类空间规划管控数据，策划项目生成，形成和完善“一张蓝图”，统筹工程实施。</w:t>
      </w:r>
    </w:p>
    <w:p>
      <w:pPr>
        <w:spacing w:line="360" w:lineRule="auto"/>
        <w:ind w:firstLine="420" w:firstLineChars="200"/>
        <w:outlineLvl w:val="1"/>
        <w:rPr>
          <w:color w:val="auto"/>
          <w:szCs w:val="21"/>
          <w:highlight w:val="none"/>
        </w:rPr>
      </w:pPr>
      <w:r>
        <w:rPr>
          <w:rFonts w:hint="eastAsia"/>
          <w:color w:val="auto"/>
          <w:szCs w:val="21"/>
          <w:highlight w:val="none"/>
        </w:rPr>
        <w:t>“一张蓝图”是改革的基础也是关键，城市在推进工程建设项目审批制度改革时，要坚持“统筹规划、规划统筹”，要建立基于“多规合一”的业务协同平台和多部门共同参与的项目前期策划生成机制，在项目前期明确选址、用地指标等审批条件，为项目的后续审批提供依据。“多规合一”业务协同平台的项目前期意见信息、地方规划控制线信息、一张蓝图数据成果需要及时上报至国家和自治区的平台接受监督。目前国家已经开始对广西壮族自治区情况进行通报，同时自治区也对各地市的建设情况每个月进行通报，时间紧，任务重。</w:t>
      </w:r>
    </w:p>
    <w:p>
      <w:pPr>
        <w:spacing w:line="360" w:lineRule="auto"/>
        <w:ind w:firstLine="422" w:firstLineChars="200"/>
        <w:outlineLvl w:val="1"/>
        <w:rPr>
          <w:b/>
          <w:bCs/>
          <w:color w:val="auto"/>
          <w:szCs w:val="21"/>
          <w:highlight w:val="none"/>
        </w:rPr>
      </w:pPr>
      <w:r>
        <w:rPr>
          <w:rFonts w:hint="eastAsia"/>
          <w:b/>
          <w:bCs/>
          <w:color w:val="auto"/>
          <w:szCs w:val="21"/>
          <w:highlight w:val="none"/>
        </w:rPr>
        <w:t>三、项目采用需求</w:t>
      </w:r>
    </w:p>
    <w:bookmarkEnd w:id="11"/>
    <w:tbl>
      <w:tblPr>
        <w:tblStyle w:val="14"/>
        <w:tblW w:w="9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08"/>
        <w:gridCol w:w="385"/>
        <w:gridCol w:w="518"/>
        <w:gridCol w:w="464"/>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966" w:type="dxa"/>
            <w:gridSpan w:val="6"/>
            <w:vAlign w:val="center"/>
          </w:tcPr>
          <w:p>
            <w:pPr>
              <w:spacing w:line="420" w:lineRule="exact"/>
              <w:rPr>
                <w:rFonts w:ascii="仿宋" w:hAnsi="仿宋" w:eastAsia="仿宋" w:cs="仿宋"/>
                <w:b/>
                <w:color w:val="auto"/>
                <w:sz w:val="24"/>
                <w:highlight w:val="none"/>
              </w:rPr>
            </w:pPr>
            <w:bookmarkStart w:id="12" w:name="_Toc489970559"/>
            <w:bookmarkStart w:id="13" w:name="_Toc503191182"/>
            <w:bookmarkStart w:id="14" w:name="_Toc489970645"/>
            <w:r>
              <w:rPr>
                <w:rFonts w:hint="eastAsia" w:ascii="仿宋" w:hAnsi="仿宋" w:eastAsia="仿宋" w:cs="仿宋"/>
                <w:b/>
                <w:color w:val="auto"/>
                <w:sz w:val="24"/>
                <w:highlight w:val="none"/>
              </w:rPr>
              <w:t>一、服务需求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457" w:type="dxa"/>
            <w:vAlign w:val="center"/>
          </w:tcPr>
          <w:p>
            <w:pPr>
              <w:spacing w:line="4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项号</w:t>
            </w:r>
          </w:p>
        </w:tc>
        <w:tc>
          <w:tcPr>
            <w:tcW w:w="1193" w:type="dxa"/>
            <w:gridSpan w:val="2"/>
            <w:vAlign w:val="center"/>
          </w:tcPr>
          <w:p>
            <w:pPr>
              <w:spacing w:line="4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服务名称</w:t>
            </w:r>
          </w:p>
        </w:tc>
        <w:tc>
          <w:tcPr>
            <w:tcW w:w="518" w:type="dxa"/>
            <w:vAlign w:val="center"/>
          </w:tcPr>
          <w:p>
            <w:pPr>
              <w:spacing w:line="4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数量</w:t>
            </w:r>
          </w:p>
        </w:tc>
        <w:tc>
          <w:tcPr>
            <w:tcW w:w="464" w:type="dxa"/>
            <w:vAlign w:val="center"/>
          </w:tcPr>
          <w:p>
            <w:pPr>
              <w:spacing w:line="4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单位</w:t>
            </w:r>
          </w:p>
        </w:tc>
        <w:tc>
          <w:tcPr>
            <w:tcW w:w="7334" w:type="dxa"/>
            <w:vAlign w:val="center"/>
          </w:tcPr>
          <w:p>
            <w:pPr>
              <w:spacing w:line="42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服务内容和要求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57" w:type="dxa"/>
            <w:vAlign w:val="center"/>
          </w:tcPr>
          <w:p>
            <w:pPr>
              <w:spacing w:line="42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193" w:type="dxa"/>
            <w:gridSpan w:val="2"/>
            <w:vAlign w:val="center"/>
          </w:tcPr>
          <w:p>
            <w:pPr>
              <w:spacing w:line="440" w:lineRule="exact"/>
              <w:jc w:val="center"/>
              <w:rPr>
                <w:rFonts w:ascii="仿宋" w:hAnsi="仿宋" w:eastAsia="仿宋" w:cs="仿宋"/>
                <w:color w:val="auto"/>
                <w:sz w:val="24"/>
                <w:highlight w:val="none"/>
              </w:rPr>
            </w:pPr>
            <w:r>
              <w:rPr>
                <w:rFonts w:hint="eastAsia" w:ascii="宋体" w:hAnsi="宋体"/>
                <w:color w:val="auto"/>
                <w:szCs w:val="21"/>
                <w:highlight w:val="none"/>
              </w:rPr>
              <w:t>崇左</w:t>
            </w:r>
            <w:r>
              <w:rPr>
                <w:rFonts w:ascii="宋体" w:hAnsi="宋体"/>
                <w:color w:val="auto"/>
                <w:szCs w:val="21"/>
                <w:highlight w:val="none"/>
              </w:rPr>
              <w:t>市 “多规合一”业务协同平台</w:t>
            </w:r>
          </w:p>
        </w:tc>
        <w:tc>
          <w:tcPr>
            <w:tcW w:w="518" w:type="dxa"/>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464" w:type="dxa"/>
            <w:vAlign w:val="center"/>
          </w:tcPr>
          <w:p>
            <w:pPr>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项</w:t>
            </w:r>
          </w:p>
        </w:tc>
        <w:tc>
          <w:tcPr>
            <w:tcW w:w="7334" w:type="dxa"/>
            <w:vAlign w:val="center"/>
          </w:tcPr>
          <w:p>
            <w:pPr>
              <w:spacing w:line="44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一、项目概况</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为落实《国务院办公厅关于开展工程建设项目审批制度改革试点的通知》（国办发〔2018〕33号）、《关于全面开展工程建设项目审批制度改革的实施意见》（国办发〔2019〕11号）、《广西壮族自治区工程建设项目审批制度改革实施方案》（桂政发〔2019〕28号）的内容和要求，我市建设“多规合一”业务协同平台。</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可实现基于一张蓝图与项目生成策划机制，统筹协调各部门提出的项目建设条件，满足建设方案及空间利用审查过程多部门业务协同，加速项目前期策划落地，为审批提速创造条件，进一步改善我市营商环境。</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以数据共享、空间共管、业务共商为原则，实现基于“多规合一”一张蓝图进行国土空间开发利用，统筹规划项目实施落地，提升我市国土空间治理能力和实现我市国土空间治理体系现代化。</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可实现一张蓝图成果数据共享、项目前期策划多部门业务协同及工程建设项目前期审批意见结果同步推送，可进一步落实了“互联网+政务服务”工作要求。</w:t>
            </w:r>
          </w:p>
          <w:p>
            <w:pPr>
              <w:spacing w:line="440" w:lineRule="exact"/>
              <w:rPr>
                <w:color w:val="auto"/>
                <w:highlight w:val="none"/>
              </w:rPr>
            </w:pPr>
            <w:r>
              <w:rPr>
                <w:rFonts w:hint="eastAsia" w:ascii="仿宋" w:hAnsi="仿宋" w:eastAsia="仿宋" w:cs="仿宋"/>
                <w:b/>
                <w:bCs/>
                <w:color w:val="auto"/>
                <w:sz w:val="24"/>
                <w:highlight w:val="none"/>
              </w:rPr>
              <w:t>二、项目建设内容概述</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多规合一”业务协同平台按照“数据共享、业务共商、空间共管”的总体原则，以工程建设项目审批制度改革工作为核心，基于我市已有各类现状数据及规划成果数据，建设“多规合一”的“一张蓝图”空间数据库，结合项目生成策划机制，统筹协调各部门提出的项目建设条件，满足建设方案及空间利用审查过程多部门业务协同，为审批提速创造条件。</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多规合一”业务协同平台依据我市政务外网和政务云平台进行建设，云资源由云平台进行提供。项目主要建设内容主要包括标准规范机制建设、“一张蓝图”数据库建设、应用系统建设、系统接口设计、系统安全保障及基础软件采购等内容。</w:t>
            </w:r>
          </w:p>
          <w:p>
            <w:pPr>
              <w:spacing w:line="440" w:lineRule="exact"/>
              <w:rPr>
                <w:rFonts w:ascii="仿宋" w:hAnsi="仿宋" w:eastAsia="仿宋" w:cs="仿宋"/>
                <w:b/>
                <w:bCs/>
                <w:color w:val="auto"/>
                <w:sz w:val="24"/>
                <w:highlight w:val="none"/>
              </w:rPr>
            </w:pPr>
            <w:r>
              <w:rPr>
                <w:rFonts w:hint="eastAsia" w:eastAsia="仿宋"/>
                <w:color w:val="auto"/>
                <w:sz w:val="24"/>
                <w:highlight w:val="none"/>
              </w:rPr>
              <w:t>★</w:t>
            </w:r>
            <w:r>
              <w:rPr>
                <w:rFonts w:hint="eastAsia" w:ascii="仿宋" w:hAnsi="仿宋" w:eastAsia="仿宋" w:cs="仿宋"/>
                <w:b/>
                <w:bCs/>
                <w:color w:val="auto"/>
                <w:sz w:val="24"/>
                <w:highlight w:val="none"/>
              </w:rPr>
              <w:t>三、项目建设内容</w:t>
            </w:r>
          </w:p>
          <w:p>
            <w:pPr>
              <w:spacing w:line="440" w:lineRule="exact"/>
              <w:ind w:firstLine="482" w:firstLineChars="200"/>
              <w:rPr>
                <w:rFonts w:ascii="仿宋" w:hAnsi="仿宋" w:eastAsia="仿宋" w:cs="仿宋"/>
                <w:b/>
                <w:bCs/>
                <w:color w:val="auto"/>
                <w:sz w:val="24"/>
                <w:highlight w:val="none"/>
              </w:rPr>
            </w:pPr>
            <w:bookmarkStart w:id="15" w:name="_Toc41683590"/>
            <w:r>
              <w:rPr>
                <w:rFonts w:hint="eastAsia" w:ascii="仿宋" w:hAnsi="仿宋" w:eastAsia="仿宋" w:cs="仿宋"/>
                <w:b/>
                <w:bCs/>
                <w:color w:val="auto"/>
                <w:sz w:val="24"/>
                <w:highlight w:val="none"/>
              </w:rPr>
              <w:t>1.标准规范建设</w:t>
            </w:r>
            <w:bookmarkEnd w:id="15"/>
          </w:p>
          <w:p>
            <w:pPr>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标准规范是“多规合一”业务协同平台建设的依据，需要对平台的数据内容、建库流程、接口标准、共享交换方法、运行管理过程等进行统一定义，形成标准化文档，避免在平台建设过程中出现的各种不一致。</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1.1</w:t>
            </w:r>
            <w:bookmarkStart w:id="16" w:name="_Toc41683591"/>
            <w:r>
              <w:rPr>
                <w:rFonts w:hint="eastAsia" w:ascii="仿宋" w:hAnsi="仿宋" w:eastAsia="仿宋" w:cs="仿宋"/>
                <w:b/>
                <w:bCs/>
                <w:color w:val="auto"/>
                <w:sz w:val="24"/>
                <w:highlight w:val="none"/>
              </w:rPr>
              <w:t>《“一张蓝图”数据建库标准》</w:t>
            </w:r>
            <w:bookmarkEnd w:id="16"/>
          </w:p>
          <w:p>
            <w:pPr>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该标准用于指导“一张蓝图”数据整理及建库管理标准。</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1.2</w:t>
            </w:r>
            <w:bookmarkStart w:id="17" w:name="_Toc41683592"/>
            <w:r>
              <w:rPr>
                <w:rFonts w:hint="eastAsia" w:ascii="仿宋" w:hAnsi="仿宋" w:eastAsia="仿宋" w:cs="仿宋"/>
                <w:b/>
                <w:bCs/>
                <w:color w:val="auto"/>
                <w:sz w:val="24"/>
                <w:highlight w:val="none"/>
              </w:rPr>
              <w:t>《工程建设项目策划生成管理办法》</w:t>
            </w:r>
            <w:bookmarkEnd w:id="17"/>
          </w:p>
          <w:p>
            <w:pPr>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该办法是项目策划生成机制建设的成果文件，明确了工程建设项目的分类，如划拨用地项目、一般经营性用地项目、工业用地项目等。设定各类项目的业务协同流程，规定各部门在业务协同各环节的职责、办理时限、审查内容等，是项目策划生成的指导性文件。</w:t>
            </w:r>
          </w:p>
          <w:p>
            <w:pPr>
              <w:spacing w:line="440" w:lineRule="exact"/>
              <w:ind w:firstLine="482" w:firstLineChars="200"/>
              <w:rPr>
                <w:rFonts w:ascii="仿宋" w:hAnsi="仿宋" w:eastAsia="仿宋" w:cs="仿宋"/>
                <w:b/>
                <w:bCs/>
                <w:color w:val="auto"/>
                <w:sz w:val="24"/>
                <w:highlight w:val="none"/>
              </w:rPr>
            </w:pPr>
            <w:bookmarkStart w:id="18" w:name="_Toc41683593"/>
            <w:r>
              <w:rPr>
                <w:rFonts w:hint="eastAsia" w:ascii="仿宋" w:hAnsi="仿宋" w:eastAsia="仿宋" w:cs="仿宋"/>
                <w:b/>
                <w:bCs/>
                <w:color w:val="auto"/>
                <w:sz w:val="24"/>
                <w:highlight w:val="none"/>
              </w:rPr>
              <w:t>1.3《“多规合一”业务协同平台运行管理办法》</w:t>
            </w:r>
            <w:bookmarkEnd w:id="18"/>
          </w:p>
          <w:p>
            <w:pPr>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该规范“多规合一”业务协同平台的运行与维护，保障系统运行效果，提高“一张蓝图”的利用率，包括明确各部门在业务协同平台运行中的职责和分工，平台日常运行和维护的主要内容，平台推广相关要求等。</w:t>
            </w:r>
          </w:p>
          <w:p>
            <w:pPr>
              <w:spacing w:line="440" w:lineRule="exact"/>
              <w:ind w:firstLine="482" w:firstLineChars="200"/>
              <w:rPr>
                <w:rFonts w:ascii="仿宋" w:hAnsi="仿宋" w:eastAsia="仿宋" w:cs="仿宋"/>
                <w:b/>
                <w:bCs/>
                <w:color w:val="auto"/>
                <w:sz w:val="24"/>
                <w:highlight w:val="none"/>
                <w:lang w:val="zh-CN"/>
              </w:rPr>
            </w:pPr>
            <w:bookmarkStart w:id="19" w:name="_Toc41683594"/>
            <w:r>
              <w:rPr>
                <w:rFonts w:hint="eastAsia" w:ascii="仿宋" w:hAnsi="仿宋" w:eastAsia="仿宋" w:cs="仿宋"/>
                <w:b/>
                <w:bCs/>
                <w:color w:val="auto"/>
                <w:sz w:val="24"/>
                <w:highlight w:val="none"/>
              </w:rPr>
              <w:t>1.4</w:t>
            </w:r>
            <w:r>
              <w:rPr>
                <w:rFonts w:hint="eastAsia" w:ascii="仿宋" w:hAnsi="仿宋" w:eastAsia="仿宋" w:cs="仿宋"/>
                <w:b/>
                <w:bCs/>
                <w:color w:val="auto"/>
                <w:sz w:val="24"/>
                <w:highlight w:val="none"/>
                <w:lang w:val="zh-CN"/>
              </w:rPr>
              <w:t>《“多规合一”业务协同平台接口标准规范》</w:t>
            </w:r>
            <w:bookmarkEnd w:id="19"/>
          </w:p>
          <w:p>
            <w:pPr>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该规范是确定平台与业务协同关联系统的数据对接接口规范，用于指导系统平台开发单位在开发本信息平台时，应该遵守的数据规则和应该实现的数据对接接口，相关业务系统需要的对接接口改造也适用于本规范。具体包括业务协同数据对接接口及“一张蓝图”数据对接接口。本规范主要面向的对象是平台二次用户，依据本规范建立的平台，可以实现发改、自然资源和规划、生态环境等部门之间公共数据的有效共享，实现政务信息资源数据的纵向和横向交换。</w:t>
            </w:r>
          </w:p>
          <w:p>
            <w:pPr>
              <w:spacing w:line="440" w:lineRule="exact"/>
              <w:ind w:firstLine="482" w:firstLineChars="200"/>
              <w:rPr>
                <w:rFonts w:ascii="仿宋" w:hAnsi="仿宋" w:eastAsia="仿宋" w:cs="仿宋"/>
                <w:b/>
                <w:bCs/>
                <w:color w:val="auto"/>
                <w:sz w:val="24"/>
                <w:highlight w:val="none"/>
                <w:lang w:val="zh-CN"/>
              </w:rPr>
            </w:pPr>
            <w:bookmarkStart w:id="20" w:name="_Toc41683595"/>
            <w:r>
              <w:rPr>
                <w:rFonts w:hint="eastAsia" w:ascii="仿宋" w:hAnsi="仿宋" w:eastAsia="仿宋" w:cs="仿宋"/>
                <w:b/>
                <w:bCs/>
                <w:color w:val="auto"/>
                <w:sz w:val="24"/>
                <w:highlight w:val="none"/>
              </w:rPr>
              <w:t>2.</w:t>
            </w:r>
            <w:r>
              <w:rPr>
                <w:rFonts w:hint="eastAsia" w:ascii="仿宋" w:hAnsi="仿宋" w:eastAsia="仿宋" w:cs="仿宋"/>
                <w:b/>
                <w:bCs/>
                <w:color w:val="auto"/>
                <w:sz w:val="24"/>
                <w:highlight w:val="none"/>
                <w:lang w:val="zh-CN"/>
              </w:rPr>
              <w:t>一张蓝图数据建设</w:t>
            </w:r>
            <w:bookmarkEnd w:id="20"/>
          </w:p>
          <w:p>
            <w:pPr>
              <w:spacing w:line="440" w:lineRule="exact"/>
              <w:ind w:firstLine="482" w:firstLineChars="200"/>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rPr>
              <w:t>2.1</w:t>
            </w:r>
            <w:bookmarkStart w:id="21" w:name="_Toc41683596"/>
            <w:r>
              <w:rPr>
                <w:rFonts w:hint="eastAsia" w:ascii="仿宋" w:hAnsi="仿宋" w:eastAsia="仿宋" w:cs="仿宋"/>
                <w:b/>
                <w:bCs/>
                <w:color w:val="auto"/>
                <w:sz w:val="24"/>
                <w:highlight w:val="none"/>
                <w:lang w:val="zh-CN"/>
              </w:rPr>
              <w:t>数据整理</w:t>
            </w:r>
            <w:bookmarkEnd w:id="21"/>
          </w:p>
          <w:p>
            <w:pPr>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数据整理工作内容包括数据收集、格式转换、地理配准、数据编辑、数据核查等。</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2.2</w:t>
            </w:r>
            <w:bookmarkStart w:id="22" w:name="_Toc41683597"/>
            <w:r>
              <w:rPr>
                <w:rFonts w:hint="eastAsia" w:ascii="仿宋" w:hAnsi="仿宋" w:eastAsia="仿宋" w:cs="仿宋"/>
                <w:b/>
                <w:bCs/>
                <w:color w:val="auto"/>
                <w:sz w:val="24"/>
                <w:highlight w:val="none"/>
                <w:lang w:val="zh-CN"/>
              </w:rPr>
              <w:t>数据建库</w:t>
            </w:r>
            <w:bookmarkEnd w:id="22"/>
          </w:p>
          <w:p>
            <w:pPr>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数据建库工作内容包括对基础现状数据、规划成果数据、项目审批数据进行数据质检、数据入库和数据发布等操作。</w:t>
            </w:r>
          </w:p>
          <w:p>
            <w:pPr>
              <w:spacing w:line="440" w:lineRule="exact"/>
              <w:ind w:firstLine="482" w:firstLineChars="200"/>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rPr>
              <w:t>3.</w:t>
            </w:r>
            <w:bookmarkStart w:id="23" w:name="_Toc41683598"/>
            <w:r>
              <w:rPr>
                <w:rFonts w:hint="eastAsia" w:ascii="仿宋" w:hAnsi="仿宋" w:eastAsia="仿宋" w:cs="仿宋"/>
                <w:b/>
                <w:bCs/>
                <w:color w:val="auto"/>
                <w:sz w:val="24"/>
                <w:highlight w:val="none"/>
                <w:lang w:val="zh-CN"/>
              </w:rPr>
              <w:t>应用系统建设</w:t>
            </w:r>
            <w:bookmarkEnd w:id="23"/>
          </w:p>
          <w:p>
            <w:pPr>
              <w:spacing w:line="440" w:lineRule="exact"/>
              <w:ind w:firstLine="482" w:firstLineChars="200"/>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rPr>
              <w:t>3.1</w:t>
            </w:r>
            <w:bookmarkStart w:id="24" w:name="_Toc41683599"/>
            <w:r>
              <w:rPr>
                <w:rFonts w:hint="eastAsia" w:ascii="仿宋" w:hAnsi="仿宋" w:eastAsia="仿宋" w:cs="仿宋"/>
                <w:b/>
                <w:bCs/>
                <w:color w:val="auto"/>
                <w:sz w:val="24"/>
                <w:highlight w:val="none"/>
                <w:lang w:val="zh-CN"/>
              </w:rPr>
              <w:t>“一张蓝图”应用子系统</w:t>
            </w:r>
            <w:bookmarkEnd w:id="24"/>
          </w:p>
          <w:p>
            <w:pPr>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一张蓝图”展示应用子系统主要是面向自然资源、发改、住建、生态环境、交通、水务等工程建设项目审批过程所涉及的部门，提供“一张蓝图”的综合展示应用服务，实现“一张蓝图”辅助项目审批的目标，全面提升项目审批的质量与效率。</w:t>
            </w:r>
          </w:p>
          <w:p>
            <w:pPr>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该系统主要包括一张蓝图数据资源可视化展示、地图操作、两规统计分析、辅助选址、合规性检测、两规冲突检测等功能模块。</w:t>
            </w:r>
          </w:p>
          <w:p>
            <w:pPr>
              <w:spacing w:line="440" w:lineRule="exact"/>
              <w:ind w:firstLine="482" w:firstLineChars="200"/>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rPr>
              <w:t>3.2</w:t>
            </w:r>
            <w:bookmarkStart w:id="25" w:name="_Toc41683600"/>
            <w:r>
              <w:rPr>
                <w:rFonts w:hint="eastAsia" w:ascii="仿宋" w:hAnsi="仿宋" w:eastAsia="仿宋" w:cs="仿宋"/>
                <w:b/>
                <w:bCs/>
                <w:color w:val="auto"/>
                <w:sz w:val="24"/>
                <w:highlight w:val="none"/>
                <w:lang w:val="zh-CN"/>
              </w:rPr>
              <w:t>项目策划生成子系统</w:t>
            </w:r>
            <w:bookmarkEnd w:id="25"/>
          </w:p>
          <w:p>
            <w:pPr>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面向发改、自然资源、环保、交通等部门，以“多规合一”的“一张蓝图”为基础，统筹协调各部门提出项目建设条件，协助建设单位落实项目选址意向、初步建设内容、建设规模、投资估算、建设方案等要求。构建政府及社会投资项目前期策划生成机制，提前谋划，主动作为，使项目成为具备可决策、可落地、可明确实施条件的成熟项目。</w:t>
            </w:r>
          </w:p>
          <w:p>
            <w:pPr>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该系统主要是完成建设项目生成策划流程管理，实现项目生成策划流程创建、项目生成策划流程协调、项目生成策划流程回复、项目生成策划流程汇总意见、项目信息综合管理与统计等功能。具体包括项目储备库、空间协调、意见征集、消息提醒等功能模块。</w:t>
            </w:r>
          </w:p>
          <w:p>
            <w:pPr>
              <w:spacing w:line="440" w:lineRule="exact"/>
              <w:ind w:firstLine="482" w:firstLineChars="200"/>
              <w:rPr>
                <w:rFonts w:ascii="仿宋" w:hAnsi="仿宋" w:eastAsia="仿宋" w:cs="仿宋"/>
                <w:b/>
                <w:bCs/>
                <w:color w:val="auto"/>
                <w:sz w:val="24"/>
                <w:highlight w:val="none"/>
                <w:lang w:val="zh-CN"/>
              </w:rPr>
            </w:pPr>
            <w:r>
              <w:rPr>
                <w:rFonts w:hint="eastAsia" w:ascii="仿宋" w:hAnsi="仿宋" w:eastAsia="仿宋" w:cs="仿宋"/>
                <w:b/>
                <w:bCs/>
                <w:color w:val="auto"/>
                <w:sz w:val="24"/>
                <w:highlight w:val="none"/>
              </w:rPr>
              <w:t>3.</w:t>
            </w:r>
            <w:bookmarkStart w:id="26" w:name="_Toc41683601"/>
            <w:r>
              <w:rPr>
                <w:rFonts w:ascii="仿宋" w:hAnsi="仿宋" w:eastAsia="仿宋" w:cs="仿宋"/>
                <w:b/>
                <w:bCs/>
                <w:color w:val="auto"/>
                <w:sz w:val="24"/>
                <w:highlight w:val="none"/>
              </w:rPr>
              <w:t>3</w:t>
            </w:r>
            <w:r>
              <w:rPr>
                <w:rFonts w:hint="eastAsia" w:ascii="仿宋" w:hAnsi="仿宋" w:eastAsia="仿宋" w:cs="仿宋"/>
                <w:b/>
                <w:bCs/>
                <w:color w:val="auto"/>
                <w:sz w:val="24"/>
                <w:highlight w:val="none"/>
                <w:lang w:val="zh-CN"/>
              </w:rPr>
              <w:t>平台运维管理子系统</w:t>
            </w:r>
            <w:bookmarkEnd w:id="26"/>
          </w:p>
          <w:p>
            <w:pPr>
              <w:spacing w:line="44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平台运维管理系统是“多规合一”业务协同平台的一个综合后台支撑系统，主要实现对角色、权限、数据服务及应用功能配置、工作流定制。具体包括后台配置管理、流程设计管理、地图运维管理、权限管理等功能模块。</w:t>
            </w:r>
          </w:p>
          <w:p>
            <w:pPr>
              <w:spacing w:line="440" w:lineRule="exact"/>
              <w:ind w:firstLine="482" w:firstLineChars="200"/>
              <w:rPr>
                <w:rFonts w:ascii="仿宋" w:hAnsi="仿宋" w:eastAsia="仿宋" w:cs="仿宋"/>
                <w:b/>
                <w:bCs/>
                <w:color w:val="auto"/>
                <w:sz w:val="24"/>
                <w:highlight w:val="none"/>
                <w:lang w:val="zh-CN"/>
              </w:rPr>
            </w:pPr>
            <w:bookmarkStart w:id="27" w:name="_Toc41683602"/>
            <w:r>
              <w:rPr>
                <w:rFonts w:hint="eastAsia" w:ascii="仿宋" w:hAnsi="仿宋" w:eastAsia="仿宋" w:cs="仿宋"/>
                <w:b/>
                <w:bCs/>
                <w:color w:val="auto"/>
                <w:sz w:val="24"/>
                <w:highlight w:val="none"/>
              </w:rPr>
              <w:t>4.</w:t>
            </w:r>
            <w:r>
              <w:rPr>
                <w:rFonts w:hint="eastAsia" w:ascii="仿宋" w:hAnsi="仿宋" w:eastAsia="仿宋" w:cs="仿宋"/>
                <w:b/>
                <w:bCs/>
                <w:color w:val="auto"/>
                <w:sz w:val="24"/>
                <w:highlight w:val="none"/>
                <w:lang w:val="zh-CN"/>
              </w:rPr>
              <w:t>系统接口设计</w:t>
            </w:r>
            <w:bookmarkEnd w:id="27"/>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4.1</w:t>
            </w:r>
            <w:bookmarkStart w:id="28" w:name="_Toc41683603"/>
            <w:r>
              <w:rPr>
                <w:rFonts w:hint="eastAsia" w:ascii="仿宋" w:hAnsi="仿宋" w:eastAsia="仿宋" w:cs="仿宋"/>
                <w:b/>
                <w:bCs/>
                <w:color w:val="auto"/>
                <w:sz w:val="24"/>
                <w:highlight w:val="none"/>
              </w:rPr>
              <w:t>与国家、自治区工程建设项目审批管理系统对接</w:t>
            </w:r>
            <w:bookmarkEnd w:id="28"/>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将项目策划生成信息提供给国家及自治区工程建设项目审批管理系统调用，接受国家、自治区监督。同时，提供“一张蓝图”展示应用页面，供国家、自治区平台调用。</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4.2</w:t>
            </w:r>
            <w:bookmarkStart w:id="29" w:name="_Toc41683604"/>
            <w:r>
              <w:rPr>
                <w:rFonts w:hint="eastAsia" w:ascii="仿宋" w:hAnsi="仿宋" w:eastAsia="仿宋" w:cs="仿宋"/>
                <w:b/>
                <w:bCs/>
                <w:color w:val="auto"/>
                <w:sz w:val="24"/>
                <w:highlight w:val="none"/>
              </w:rPr>
              <w:t>与市工程建设项目审批管理系统对接</w:t>
            </w:r>
            <w:bookmarkEnd w:id="29"/>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与市工程建设项目审批管理系统对接，将项目策划生成项目信息、各部门前期意见信息等推送至市工程建设项目审批管理系统，并向其提供一张图查询、合规性检测等功能，为项目联合审批提速提供支撑。</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4.3</w:t>
            </w:r>
            <w:bookmarkStart w:id="30" w:name="_Toc41683605"/>
            <w:r>
              <w:rPr>
                <w:rFonts w:hint="eastAsia" w:ascii="仿宋" w:hAnsi="仿宋" w:eastAsia="仿宋" w:cs="仿宋"/>
                <w:b/>
                <w:bCs/>
                <w:color w:val="auto"/>
                <w:sz w:val="24"/>
                <w:highlight w:val="none"/>
              </w:rPr>
              <w:t>与市国土空间基础信息平台对接</w:t>
            </w:r>
            <w:bookmarkEnd w:id="30"/>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与市国土空间规划基础信息平台对接，后续实现“一张蓝图”数据共享交换与信息互联互通。</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4.4</w:t>
            </w:r>
            <w:bookmarkStart w:id="31" w:name="_Toc41683606"/>
            <w:r>
              <w:rPr>
                <w:rFonts w:hint="eastAsia" w:ascii="仿宋" w:hAnsi="仿宋" w:eastAsia="仿宋" w:cs="仿宋"/>
                <w:b/>
                <w:bCs/>
                <w:color w:val="auto"/>
                <w:sz w:val="24"/>
                <w:highlight w:val="none"/>
              </w:rPr>
              <w:t>预留与各部门业务审批系统对接接口</w:t>
            </w:r>
            <w:bookmarkEnd w:id="31"/>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与各部门业务审批系统对接，通过前置库方式，各部门与“多规合一”业务协同平台项目策划生成的业务协同。主要包括：发改业务系统、住建业务系统、自然资源业务系统、生态环境业务系统等。</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5采取集中培训方式进行平台标准规范培训，平台推广使用培训。</w:t>
            </w:r>
          </w:p>
          <w:p>
            <w:pPr>
              <w:spacing w:line="440" w:lineRule="exact"/>
              <w:ind w:firstLine="480" w:firstLineChars="200"/>
              <w:rPr>
                <w:rFonts w:ascii="仿宋" w:hAnsi="仿宋" w:eastAsia="仿宋" w:cs="仿宋"/>
                <w:color w:val="auto"/>
                <w:sz w:val="24"/>
                <w:highlight w:val="none"/>
              </w:rPr>
            </w:pPr>
            <w:r>
              <w:rPr>
                <w:rFonts w:ascii="仿宋" w:hAnsi="仿宋" w:eastAsia="仿宋" w:cs="仿宋"/>
                <w:color w:val="auto"/>
                <w:sz w:val="24"/>
                <w:highlight w:val="none"/>
              </w:rPr>
              <w:t>5</w:t>
            </w:r>
            <w:r>
              <w:rPr>
                <w:rFonts w:hint="eastAsia" w:ascii="仿宋" w:hAnsi="仿宋" w:eastAsia="仿宋" w:cs="仿宋"/>
                <w:color w:val="auto"/>
                <w:sz w:val="24"/>
                <w:highlight w:val="none"/>
              </w:rPr>
              <w:t>.1提供相应的应用软件技术和系统操作等方面的培训。有关应用软件的操作培训课程，培训均在系统运作前完成培训。</w:t>
            </w:r>
          </w:p>
          <w:p>
            <w:pPr>
              <w:spacing w:line="440" w:lineRule="exact"/>
              <w:ind w:firstLine="480" w:firstLineChars="200"/>
              <w:rPr>
                <w:rFonts w:ascii="仿宋" w:hAnsi="仿宋" w:eastAsia="仿宋" w:cs="仿宋"/>
                <w:color w:val="auto"/>
                <w:sz w:val="24"/>
                <w:highlight w:val="none"/>
              </w:rPr>
            </w:pPr>
            <w:r>
              <w:rPr>
                <w:rFonts w:ascii="仿宋" w:hAnsi="仿宋" w:eastAsia="仿宋" w:cs="仿宋"/>
                <w:color w:val="auto"/>
                <w:sz w:val="24"/>
                <w:highlight w:val="none"/>
              </w:rPr>
              <w:t>5</w:t>
            </w:r>
            <w:r>
              <w:rPr>
                <w:rFonts w:hint="eastAsia" w:ascii="仿宋" w:hAnsi="仿宋" w:eastAsia="仿宋" w:cs="仿宋"/>
                <w:color w:val="auto"/>
                <w:sz w:val="24"/>
                <w:highlight w:val="none"/>
              </w:rPr>
              <w:t>.2在实施过程中提供全面的培训，包括面向系统管理员和业务人员的相应的培训、配置管理和系统维护培训、客户端操作培训所有的培训均应用中文普通话进行。</w:t>
            </w:r>
          </w:p>
          <w:p>
            <w:pPr>
              <w:spacing w:line="440" w:lineRule="exact"/>
              <w:ind w:firstLine="480" w:firstLineChars="200"/>
              <w:rPr>
                <w:rFonts w:ascii="仿宋" w:hAnsi="仿宋" w:eastAsia="仿宋" w:cs="仿宋"/>
                <w:color w:val="auto"/>
                <w:sz w:val="24"/>
                <w:highlight w:val="none"/>
              </w:rPr>
            </w:pPr>
            <w:r>
              <w:rPr>
                <w:rFonts w:ascii="仿宋" w:hAnsi="仿宋" w:eastAsia="仿宋" w:cs="仿宋"/>
                <w:color w:val="auto"/>
                <w:sz w:val="24"/>
                <w:highlight w:val="none"/>
              </w:rPr>
              <w:t>5</w:t>
            </w:r>
            <w:r>
              <w:rPr>
                <w:rFonts w:hint="eastAsia" w:ascii="仿宋" w:hAnsi="仿宋" w:eastAsia="仿宋" w:cs="仿宋"/>
                <w:color w:val="auto"/>
                <w:sz w:val="24"/>
                <w:highlight w:val="none"/>
              </w:rPr>
              <w:t>.3提供详细的培训计划。</w:t>
            </w:r>
          </w:p>
          <w:p>
            <w:pPr>
              <w:tabs>
                <w:tab w:val="left" w:pos="425"/>
              </w:tabs>
              <w:spacing w:line="440" w:lineRule="exact"/>
              <w:ind w:firstLine="482" w:firstLineChars="200"/>
              <w:rPr>
                <w:rFonts w:ascii="仿宋" w:hAnsi="仿宋" w:eastAsia="仿宋" w:cs="仿宋"/>
                <w:b/>
                <w:bCs/>
                <w:color w:val="auto"/>
                <w:sz w:val="24"/>
                <w:highlight w:val="none"/>
              </w:rPr>
            </w:pPr>
            <w:bookmarkStart w:id="32" w:name="_Toc51717168"/>
            <w:r>
              <w:rPr>
                <w:rFonts w:ascii="仿宋" w:hAnsi="仿宋" w:eastAsia="仿宋" w:cs="仿宋"/>
                <w:b/>
                <w:bCs/>
                <w:color w:val="auto"/>
                <w:sz w:val="24"/>
                <w:highlight w:val="none"/>
              </w:rPr>
              <w:t>6.</w:t>
            </w:r>
            <w:r>
              <w:rPr>
                <w:rFonts w:hint="eastAsia" w:ascii="仿宋" w:hAnsi="仿宋" w:eastAsia="仿宋" w:cs="仿宋"/>
                <w:b/>
                <w:bCs/>
                <w:color w:val="auto"/>
                <w:sz w:val="24"/>
                <w:highlight w:val="none"/>
              </w:rPr>
              <w:t>基础软件清单</w:t>
            </w:r>
            <w:bookmarkEnd w:id="32"/>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“多规合一”业务协同平台应用系统运行和云服务器的安全性需基础软件支持，需要操作系统、数据库、G</w:t>
            </w:r>
            <w:r>
              <w:rPr>
                <w:rFonts w:ascii="仿宋" w:hAnsi="仿宋" w:eastAsia="仿宋" w:cs="仿宋"/>
                <w:color w:val="auto"/>
                <w:sz w:val="24"/>
                <w:highlight w:val="none"/>
              </w:rPr>
              <w:t>IS</w:t>
            </w:r>
            <w:r>
              <w:rPr>
                <w:rFonts w:hint="eastAsia" w:ascii="仿宋" w:hAnsi="仿宋" w:eastAsia="仿宋" w:cs="仿宋"/>
                <w:color w:val="auto"/>
                <w:sz w:val="24"/>
                <w:highlight w:val="none"/>
              </w:rPr>
              <w:t>平台、杀毒软件等。</w:t>
            </w:r>
          </w:p>
          <w:tbl>
            <w:tblPr>
              <w:tblStyle w:val="14"/>
              <w:tblW w:w="5000" w:type="pct"/>
              <w:tblInd w:w="0" w:type="dxa"/>
              <w:tblLayout w:type="autofit"/>
              <w:tblCellMar>
                <w:top w:w="0" w:type="dxa"/>
                <w:left w:w="108" w:type="dxa"/>
                <w:bottom w:w="0" w:type="dxa"/>
                <w:right w:w="108" w:type="dxa"/>
              </w:tblCellMar>
            </w:tblPr>
            <w:tblGrid>
              <w:gridCol w:w="725"/>
              <w:gridCol w:w="1448"/>
              <w:gridCol w:w="3378"/>
              <w:gridCol w:w="1567"/>
            </w:tblGrid>
            <w:tr>
              <w:tblPrEx>
                <w:tblCellMar>
                  <w:top w:w="0" w:type="dxa"/>
                  <w:left w:w="108" w:type="dxa"/>
                  <w:bottom w:w="0" w:type="dxa"/>
                  <w:right w:w="108" w:type="dxa"/>
                </w:tblCellMar>
              </w:tblPrEx>
              <w:trPr>
                <w:trHeight w:val="270" w:hRule="atLeast"/>
              </w:trPr>
              <w:tc>
                <w:tcPr>
                  <w:tcW w:w="509" w:type="pct"/>
                  <w:tcBorders>
                    <w:top w:val="single" w:color="auto" w:sz="4" w:space="0"/>
                    <w:left w:val="single" w:color="auto" w:sz="4" w:space="0"/>
                    <w:bottom w:val="single" w:color="auto" w:sz="4" w:space="0"/>
                    <w:right w:val="single" w:color="auto" w:sz="4" w:space="0"/>
                  </w:tcBorders>
                  <w:shd w:val="clear" w:color="auto" w:fill="BFBFBF"/>
                  <w:vAlign w:val="center"/>
                </w:tcPr>
                <w:p>
                  <w:pPr>
                    <w:widowControl/>
                    <w:spacing w:line="360" w:lineRule="auto"/>
                    <w:jc w:val="center"/>
                    <w:rPr>
                      <w:rFonts w:ascii="仿宋" w:hAnsi="仿宋" w:eastAsia="仿宋"/>
                      <w:b/>
                      <w:bCs/>
                      <w:color w:val="auto"/>
                      <w:sz w:val="24"/>
                      <w:highlight w:val="none"/>
                    </w:rPr>
                  </w:pPr>
                  <w:r>
                    <w:rPr>
                      <w:rFonts w:ascii="仿宋" w:hAnsi="仿宋" w:eastAsia="仿宋"/>
                      <w:b/>
                      <w:bCs/>
                      <w:color w:val="auto"/>
                      <w:sz w:val="24"/>
                      <w:highlight w:val="none"/>
                    </w:rPr>
                    <w:t>序号</w:t>
                  </w:r>
                </w:p>
              </w:tc>
              <w:tc>
                <w:tcPr>
                  <w:tcW w:w="1017" w:type="pct"/>
                  <w:tcBorders>
                    <w:top w:val="single" w:color="auto" w:sz="4" w:space="0"/>
                    <w:left w:val="nil"/>
                    <w:bottom w:val="single" w:color="auto" w:sz="4" w:space="0"/>
                    <w:right w:val="single" w:color="auto" w:sz="4" w:space="0"/>
                  </w:tcBorders>
                  <w:shd w:val="clear" w:color="auto" w:fill="BFBFBF"/>
                  <w:vAlign w:val="center"/>
                </w:tcPr>
                <w:p>
                  <w:pPr>
                    <w:widowControl/>
                    <w:spacing w:line="360" w:lineRule="auto"/>
                    <w:jc w:val="center"/>
                    <w:rPr>
                      <w:rFonts w:ascii="仿宋" w:hAnsi="仿宋" w:eastAsia="仿宋"/>
                      <w:b/>
                      <w:bCs/>
                      <w:color w:val="auto"/>
                      <w:sz w:val="24"/>
                      <w:highlight w:val="none"/>
                    </w:rPr>
                  </w:pPr>
                  <w:r>
                    <w:rPr>
                      <w:rFonts w:ascii="仿宋" w:hAnsi="仿宋" w:eastAsia="仿宋"/>
                      <w:b/>
                      <w:bCs/>
                      <w:color w:val="auto"/>
                      <w:sz w:val="24"/>
                      <w:highlight w:val="none"/>
                    </w:rPr>
                    <w:t>软件名称</w:t>
                  </w:r>
                </w:p>
              </w:tc>
              <w:tc>
                <w:tcPr>
                  <w:tcW w:w="2373" w:type="pct"/>
                  <w:tcBorders>
                    <w:top w:val="single" w:color="auto" w:sz="4" w:space="0"/>
                    <w:left w:val="nil"/>
                    <w:bottom w:val="single" w:color="auto" w:sz="4" w:space="0"/>
                    <w:right w:val="single" w:color="auto" w:sz="4" w:space="0"/>
                  </w:tcBorders>
                  <w:shd w:val="clear" w:color="auto" w:fill="BFBFBF"/>
                  <w:vAlign w:val="center"/>
                </w:tcPr>
                <w:p>
                  <w:pPr>
                    <w:widowControl/>
                    <w:spacing w:line="360" w:lineRule="auto"/>
                    <w:jc w:val="center"/>
                    <w:rPr>
                      <w:rFonts w:ascii="仿宋" w:hAnsi="仿宋" w:eastAsia="仿宋"/>
                      <w:b/>
                      <w:bCs/>
                      <w:color w:val="auto"/>
                      <w:sz w:val="24"/>
                      <w:highlight w:val="none"/>
                    </w:rPr>
                  </w:pPr>
                  <w:r>
                    <w:rPr>
                      <w:rFonts w:ascii="仿宋" w:hAnsi="仿宋" w:eastAsia="仿宋"/>
                      <w:b/>
                      <w:bCs/>
                      <w:color w:val="auto"/>
                      <w:sz w:val="24"/>
                      <w:highlight w:val="none"/>
                    </w:rPr>
                    <w:t>软件说明</w:t>
                  </w:r>
                </w:p>
              </w:tc>
              <w:tc>
                <w:tcPr>
                  <w:tcW w:w="1102" w:type="pct"/>
                  <w:tcBorders>
                    <w:top w:val="single" w:color="auto" w:sz="4" w:space="0"/>
                    <w:left w:val="nil"/>
                    <w:bottom w:val="single" w:color="auto" w:sz="4" w:space="0"/>
                    <w:right w:val="single" w:color="auto" w:sz="4" w:space="0"/>
                  </w:tcBorders>
                  <w:shd w:val="clear" w:color="auto" w:fill="BFBFBF"/>
                  <w:vAlign w:val="center"/>
                </w:tcPr>
                <w:p>
                  <w:pPr>
                    <w:widowControl/>
                    <w:spacing w:line="360" w:lineRule="auto"/>
                    <w:jc w:val="center"/>
                    <w:rPr>
                      <w:rFonts w:ascii="仿宋" w:hAnsi="仿宋" w:eastAsia="仿宋"/>
                      <w:b/>
                      <w:bCs/>
                      <w:color w:val="auto"/>
                      <w:sz w:val="24"/>
                      <w:highlight w:val="none"/>
                    </w:rPr>
                  </w:pPr>
                  <w:r>
                    <w:rPr>
                      <w:rFonts w:ascii="仿宋" w:hAnsi="仿宋" w:eastAsia="仿宋"/>
                      <w:b/>
                      <w:bCs/>
                      <w:color w:val="auto"/>
                      <w:sz w:val="24"/>
                      <w:highlight w:val="none"/>
                    </w:rPr>
                    <w:t>备注</w:t>
                  </w:r>
                </w:p>
              </w:tc>
            </w:tr>
            <w:tr>
              <w:tblPrEx>
                <w:tblCellMar>
                  <w:top w:w="0" w:type="dxa"/>
                  <w:left w:w="108" w:type="dxa"/>
                  <w:bottom w:w="0" w:type="dxa"/>
                  <w:right w:w="108" w:type="dxa"/>
                </w:tblCellMar>
              </w:tblPrEx>
              <w:trPr>
                <w:trHeight w:val="285" w:hRule="atLeast"/>
              </w:trPr>
              <w:tc>
                <w:tcPr>
                  <w:tcW w:w="50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1</w:t>
                  </w:r>
                </w:p>
              </w:tc>
              <w:tc>
                <w:tcPr>
                  <w:tcW w:w="1017"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ascii="仿宋" w:hAnsi="仿宋" w:eastAsia="仿宋"/>
                      <w:color w:val="auto"/>
                      <w:sz w:val="24"/>
                      <w:highlight w:val="none"/>
                    </w:rPr>
                    <w:t>操作系统</w:t>
                  </w:r>
                </w:p>
              </w:tc>
              <w:tc>
                <w:tcPr>
                  <w:tcW w:w="2373"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Windows Server 2016</w:t>
                  </w:r>
                  <w:r>
                    <w:rPr>
                      <w:rFonts w:ascii="仿宋" w:hAnsi="仿宋" w:eastAsia="仿宋"/>
                      <w:color w:val="auto"/>
                      <w:sz w:val="24"/>
                      <w:highlight w:val="none"/>
                    </w:rPr>
                    <w:t xml:space="preserve"> </w:t>
                  </w:r>
                  <w:r>
                    <w:rPr>
                      <w:rFonts w:hint="eastAsia" w:ascii="仿宋" w:hAnsi="仿宋" w:eastAsia="仿宋"/>
                      <w:color w:val="auto"/>
                      <w:sz w:val="24"/>
                      <w:highlight w:val="none"/>
                    </w:rPr>
                    <w:t>标准版</w:t>
                  </w:r>
                </w:p>
              </w:tc>
              <w:tc>
                <w:tcPr>
                  <w:tcW w:w="1102"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4</w:t>
                  </w:r>
                  <w:r>
                    <w:rPr>
                      <w:rFonts w:ascii="仿宋" w:hAnsi="仿宋" w:eastAsia="仿宋"/>
                      <w:color w:val="auto"/>
                      <w:sz w:val="24"/>
                      <w:highlight w:val="none"/>
                    </w:rPr>
                    <w:t>套</w:t>
                  </w:r>
                </w:p>
              </w:tc>
            </w:tr>
            <w:tr>
              <w:tblPrEx>
                <w:tblCellMar>
                  <w:top w:w="0" w:type="dxa"/>
                  <w:left w:w="108" w:type="dxa"/>
                  <w:bottom w:w="0" w:type="dxa"/>
                  <w:right w:w="108" w:type="dxa"/>
                </w:tblCellMar>
              </w:tblPrEx>
              <w:trPr>
                <w:trHeight w:val="499" w:hRule="atLeast"/>
              </w:trPr>
              <w:tc>
                <w:tcPr>
                  <w:tcW w:w="50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2</w:t>
                  </w:r>
                </w:p>
              </w:tc>
              <w:tc>
                <w:tcPr>
                  <w:tcW w:w="1017"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G</w:t>
                  </w:r>
                  <w:r>
                    <w:rPr>
                      <w:rFonts w:ascii="仿宋" w:hAnsi="仿宋" w:eastAsia="仿宋"/>
                      <w:color w:val="auto"/>
                      <w:sz w:val="24"/>
                      <w:highlight w:val="none"/>
                    </w:rPr>
                    <w:t>IS</w:t>
                  </w:r>
                  <w:r>
                    <w:rPr>
                      <w:rFonts w:hint="eastAsia" w:ascii="仿宋" w:hAnsi="仿宋" w:eastAsia="仿宋"/>
                      <w:color w:val="auto"/>
                      <w:sz w:val="24"/>
                      <w:highlight w:val="none"/>
                    </w:rPr>
                    <w:t>平台</w:t>
                  </w:r>
                </w:p>
              </w:tc>
              <w:tc>
                <w:tcPr>
                  <w:tcW w:w="2373"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易智瑞地理信息系统标准版V10.7及以上（企业级平台软件、桌面软件）</w:t>
                  </w:r>
                </w:p>
              </w:tc>
              <w:tc>
                <w:tcPr>
                  <w:tcW w:w="1102"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1套</w:t>
                  </w:r>
                </w:p>
              </w:tc>
            </w:tr>
            <w:tr>
              <w:tblPrEx>
                <w:tblCellMar>
                  <w:top w:w="0" w:type="dxa"/>
                  <w:left w:w="108" w:type="dxa"/>
                  <w:bottom w:w="0" w:type="dxa"/>
                  <w:right w:w="108" w:type="dxa"/>
                </w:tblCellMar>
              </w:tblPrEx>
              <w:trPr>
                <w:trHeight w:val="499" w:hRule="atLeast"/>
              </w:trPr>
              <w:tc>
                <w:tcPr>
                  <w:tcW w:w="50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3</w:t>
                  </w:r>
                </w:p>
              </w:tc>
              <w:tc>
                <w:tcPr>
                  <w:tcW w:w="1017"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数据库</w:t>
                  </w:r>
                </w:p>
              </w:tc>
              <w:tc>
                <w:tcPr>
                  <w:tcW w:w="2373"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ascii="仿宋" w:hAnsi="仿宋" w:eastAsia="仿宋"/>
                      <w:color w:val="auto"/>
                      <w:sz w:val="24"/>
                      <w:highlight w:val="none"/>
                    </w:rPr>
                    <w:t>M</w:t>
                  </w:r>
                  <w:r>
                    <w:rPr>
                      <w:rFonts w:hint="eastAsia" w:ascii="仿宋" w:hAnsi="仿宋" w:eastAsia="仿宋"/>
                      <w:color w:val="auto"/>
                      <w:sz w:val="24"/>
                      <w:highlight w:val="none"/>
                    </w:rPr>
                    <w:t>ysql、postgresql</w:t>
                  </w:r>
                  <w:r>
                    <w:rPr>
                      <w:rFonts w:ascii="仿宋" w:hAnsi="仿宋" w:eastAsia="仿宋"/>
                      <w:color w:val="auto"/>
                      <w:sz w:val="24"/>
                      <w:highlight w:val="none"/>
                    </w:rPr>
                    <w:t xml:space="preserve"> </w:t>
                  </w:r>
                </w:p>
              </w:tc>
              <w:tc>
                <w:tcPr>
                  <w:tcW w:w="1102"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1套</w:t>
                  </w:r>
                </w:p>
              </w:tc>
            </w:tr>
            <w:tr>
              <w:tblPrEx>
                <w:tblCellMar>
                  <w:top w:w="0" w:type="dxa"/>
                  <w:left w:w="108" w:type="dxa"/>
                  <w:bottom w:w="0" w:type="dxa"/>
                  <w:right w:w="108" w:type="dxa"/>
                </w:tblCellMar>
              </w:tblPrEx>
              <w:trPr>
                <w:trHeight w:val="499" w:hRule="atLeast"/>
              </w:trPr>
              <w:tc>
                <w:tcPr>
                  <w:tcW w:w="50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4</w:t>
                  </w:r>
                </w:p>
              </w:tc>
              <w:tc>
                <w:tcPr>
                  <w:tcW w:w="1017"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杀毒软件</w:t>
                  </w:r>
                </w:p>
              </w:tc>
              <w:tc>
                <w:tcPr>
                  <w:tcW w:w="2373"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360（非企业版）</w:t>
                  </w:r>
                </w:p>
              </w:tc>
              <w:tc>
                <w:tcPr>
                  <w:tcW w:w="1102"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4套</w:t>
                  </w:r>
                </w:p>
              </w:tc>
            </w:tr>
          </w:tbl>
          <w:p>
            <w:pPr>
              <w:pStyle w:val="18"/>
              <w:rPr>
                <w:rFonts w:eastAsia="等线"/>
                <w:color w:val="auto"/>
                <w:highlight w:val="none"/>
              </w:rPr>
            </w:pPr>
            <w:bookmarkStart w:id="33" w:name="_Toc18441676"/>
            <w:bookmarkEnd w:id="33"/>
            <w:bookmarkStart w:id="34" w:name="_Toc18443235"/>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966" w:type="dxa"/>
            <w:gridSpan w:val="6"/>
            <w:vAlign w:val="center"/>
          </w:tcPr>
          <w:p>
            <w:pPr>
              <w:spacing w:line="440" w:lineRule="exact"/>
              <w:rPr>
                <w:rFonts w:ascii="仿宋" w:hAnsi="仿宋" w:eastAsia="仿宋" w:cs="仿宋"/>
                <w:color w:val="auto"/>
                <w:sz w:val="24"/>
                <w:highlight w:val="none"/>
              </w:rPr>
            </w:pPr>
            <w:r>
              <w:rPr>
                <w:rFonts w:hint="eastAsia" w:ascii="仿宋" w:hAnsi="仿宋" w:eastAsia="仿宋" w:cs="仿宋"/>
                <w:b/>
                <w:bCs/>
                <w:color w:val="auto"/>
                <w:sz w:val="24"/>
                <w:highlight w:val="none"/>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5" w:type="dxa"/>
            <w:gridSpan w:val="2"/>
            <w:vAlign w:val="center"/>
          </w:tcPr>
          <w:p>
            <w:pPr>
              <w:snapToGrid w:val="0"/>
              <w:spacing w:line="420" w:lineRule="exact"/>
              <w:ind w:left="480" w:hanging="480" w:hangingChars="200"/>
              <w:rPr>
                <w:rFonts w:ascii="仿宋" w:hAnsi="仿宋" w:eastAsia="仿宋" w:cs="仿宋"/>
                <w:color w:val="auto"/>
                <w:sz w:val="24"/>
                <w:highlight w:val="none"/>
              </w:rPr>
            </w:pPr>
            <w:r>
              <w:rPr>
                <w:rFonts w:hint="eastAsia" w:ascii="仿宋" w:hAnsi="仿宋" w:eastAsia="仿宋" w:cs="仿宋"/>
                <w:color w:val="auto"/>
                <w:sz w:val="24"/>
                <w:highlight w:val="none"/>
              </w:rPr>
              <w:t>★报价要求</w:t>
            </w:r>
          </w:p>
        </w:tc>
        <w:tc>
          <w:tcPr>
            <w:tcW w:w="8701" w:type="dxa"/>
            <w:gridSpan w:val="4"/>
            <w:vAlign w:val="center"/>
          </w:tcPr>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报价为采购人指定地点的现场交货价，包括但不限于实施和完成本项目全部服务工作所需的服务费、人工费、资料费、培训费、验收费、交通、通讯、保险、税费、利润和招标代理服务费等业务有关一切费用，中标人成交总价为实际提交合格的服务成果发生费用。在合同有效期内，合同单价不受市场价格变化的影响，采购人实际支付的总价不超过投标报价，供应商须综合考虑在报价中。</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2.有效的投标报价</w:t>
            </w:r>
            <w:r>
              <w:rPr>
                <w:rFonts w:hint="eastAsia" w:ascii="宋体" w:hAnsi="宋体"/>
                <w:color w:val="auto"/>
                <w:sz w:val="24"/>
                <w:highlight w:val="none"/>
              </w:rPr>
              <w:t>≦</w:t>
            </w:r>
            <w:r>
              <w:rPr>
                <w:rFonts w:hint="eastAsia" w:ascii="仿宋" w:hAnsi="仿宋" w:eastAsia="仿宋" w:cs="仿宋"/>
                <w:color w:val="auto"/>
                <w:sz w:val="24"/>
                <w:highlight w:val="none"/>
              </w:rPr>
              <w:t>招标预算价。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5" w:type="dxa"/>
            <w:gridSpan w:val="2"/>
            <w:vAlign w:val="center"/>
          </w:tcPr>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★服务期限及地点</w:t>
            </w:r>
          </w:p>
        </w:tc>
        <w:tc>
          <w:tcPr>
            <w:tcW w:w="8701" w:type="dxa"/>
            <w:gridSpan w:val="4"/>
            <w:vAlign w:val="center"/>
          </w:tcPr>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1.服务期限：自合同签订之日起3个月。</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2.服务地点：崇左市。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5" w:type="dxa"/>
            <w:gridSpan w:val="2"/>
            <w:vAlign w:val="center"/>
          </w:tcPr>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付款时间和方式</w:t>
            </w:r>
          </w:p>
        </w:tc>
        <w:tc>
          <w:tcPr>
            <w:tcW w:w="8701" w:type="dxa"/>
            <w:gridSpan w:val="4"/>
            <w:vAlign w:val="center"/>
          </w:tcPr>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本项目按实施进度分期付款，具体付款方式如下：</w:t>
            </w:r>
          </w:p>
          <w:p>
            <w:pPr>
              <w:numPr>
                <w:ilvl w:val="0"/>
                <w:numId w:val="1"/>
              </w:num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合同签订后，招标人支付合同金额的</w:t>
            </w:r>
            <w:r>
              <w:rPr>
                <w:rFonts w:ascii="仿宋" w:hAnsi="仿宋" w:eastAsia="仿宋" w:cs="仿宋"/>
                <w:color w:val="auto"/>
                <w:sz w:val="24"/>
                <w:highlight w:val="none"/>
              </w:rPr>
              <w:t>50</w:t>
            </w:r>
            <w:r>
              <w:rPr>
                <w:rFonts w:hint="eastAsia" w:ascii="仿宋" w:hAnsi="仿宋" w:eastAsia="仿宋" w:cs="仿宋"/>
                <w:color w:val="auto"/>
                <w:sz w:val="24"/>
                <w:highlight w:val="none"/>
              </w:rPr>
              <w:t>%；</w:t>
            </w:r>
          </w:p>
          <w:p>
            <w:pPr>
              <w:numPr>
                <w:ilvl w:val="0"/>
                <w:numId w:val="1"/>
              </w:num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中标供应商完成项目全部平台建设、安装调试、上线运行且验收合格后7个工作日内，招标人支付合同金额的</w:t>
            </w:r>
            <w:r>
              <w:rPr>
                <w:rFonts w:ascii="仿宋" w:hAnsi="仿宋" w:eastAsia="仿宋" w:cs="仿宋"/>
                <w:color w:val="auto"/>
                <w:sz w:val="24"/>
                <w:highlight w:val="none"/>
              </w:rPr>
              <w:t>45</w:t>
            </w:r>
            <w:r>
              <w:rPr>
                <w:rFonts w:hint="eastAsia" w:ascii="仿宋" w:hAnsi="仿宋" w:eastAsia="仿宋" w:cs="仿宋"/>
                <w:color w:val="auto"/>
                <w:sz w:val="24"/>
                <w:highlight w:val="none"/>
              </w:rPr>
              <w:t>%；</w:t>
            </w:r>
          </w:p>
          <w:p>
            <w:pPr>
              <w:numPr>
                <w:ilvl w:val="0"/>
                <w:numId w:val="1"/>
              </w:num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上线运行且验收合格满1年起7个工作日内，招标人支付合同金额的</w:t>
            </w:r>
            <w:r>
              <w:rPr>
                <w:rFonts w:ascii="仿宋" w:hAnsi="仿宋" w:eastAsia="仿宋" w:cs="仿宋"/>
                <w:color w:val="auto"/>
                <w:sz w:val="24"/>
                <w:highlight w:val="none"/>
              </w:rPr>
              <w:t>5</w:t>
            </w:r>
            <w:r>
              <w:rPr>
                <w:rFonts w:hint="eastAsia" w:ascii="仿宋" w:hAnsi="仿宋" w:eastAsia="仿宋" w:cs="仿宋"/>
                <w:color w:val="auto"/>
                <w:sz w:val="24"/>
                <w:highlight w:val="none"/>
              </w:rPr>
              <w:t>%。</w:t>
            </w:r>
          </w:p>
          <w:p>
            <w:pPr>
              <w:spacing w:line="440" w:lineRule="exact"/>
              <w:ind w:left="420" w:leftChars="200"/>
              <w:rPr>
                <w:color w:val="auto"/>
                <w:highlight w:val="none"/>
              </w:rPr>
            </w:pPr>
            <w:r>
              <w:rPr>
                <w:rFonts w:hint="eastAsia" w:ascii="仿宋" w:hAnsi="仿宋" w:eastAsia="仿宋" w:cs="仿宋"/>
                <w:color w:val="auto"/>
                <w:sz w:val="24"/>
                <w:highlight w:val="none"/>
              </w:rPr>
              <w:t>每次付款前，中标供应商应当向招标人开具正式等额发票。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5" w:type="dxa"/>
            <w:gridSpan w:val="2"/>
            <w:vAlign w:val="center"/>
          </w:tcPr>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★实施要求</w:t>
            </w:r>
          </w:p>
        </w:tc>
        <w:tc>
          <w:tcPr>
            <w:tcW w:w="8701" w:type="dxa"/>
            <w:gridSpan w:val="4"/>
            <w:vAlign w:val="center"/>
          </w:tcPr>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1、中标供应商应结合本项目建设需求进行平台建设。同时，提供的服务必须达到招标方关于功能性要求和易用性评价标准。各功能模块的需达到招标方的要求，如达不到要求，无条件进行整改完善。</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2、处理问题响应时间：电话响应时间要求为7×8小时，接到服务问题报告后30分钟内响应处理。</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3、运维期内提供至少1名维保人员实行驻场服务，提供7×8小时本地化技术服务支持。</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4、须安排不少于</w:t>
            </w:r>
            <w:r>
              <w:rPr>
                <w:rFonts w:ascii="仿宋" w:hAnsi="仿宋" w:eastAsia="仿宋" w:cs="仿宋"/>
                <w:color w:val="auto"/>
                <w:sz w:val="24"/>
                <w:highlight w:val="none"/>
              </w:rPr>
              <w:t>3</w:t>
            </w:r>
            <w:r>
              <w:rPr>
                <w:rFonts w:hint="eastAsia" w:ascii="仿宋" w:hAnsi="仿宋" w:eastAsia="仿宋" w:cs="仿宋"/>
                <w:color w:val="auto"/>
                <w:sz w:val="24"/>
                <w:highlight w:val="none"/>
              </w:rPr>
              <w:t>人的技术团队开展需求调研、系统部署、标准规范编制、数据分析处理等工作。</w:t>
            </w:r>
          </w:p>
          <w:p>
            <w:pPr>
              <w:spacing w:line="440" w:lineRule="exact"/>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4、中标供应商须承诺在重大节日、重大活动期间提供服务保障工作。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5" w:type="dxa"/>
            <w:gridSpan w:val="2"/>
            <w:vAlign w:val="center"/>
          </w:tcPr>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★培训</w:t>
            </w:r>
          </w:p>
          <w:p>
            <w:pPr>
              <w:spacing w:line="440" w:lineRule="exact"/>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要求</w:t>
            </w:r>
          </w:p>
        </w:tc>
        <w:tc>
          <w:tcPr>
            <w:tcW w:w="8701" w:type="dxa"/>
            <w:gridSpan w:val="4"/>
            <w:vAlign w:val="center"/>
          </w:tcPr>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标供应商须在项目服务期内分别对招标人及项目各使用人员开展至少每年3次集中现场培训（具体培训人数、时间及地点由招标人确定），并在项目实施和维护过程中根据实际工作要求对相关人员进行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5" w:type="dxa"/>
            <w:gridSpan w:val="2"/>
            <w:vAlign w:val="center"/>
          </w:tcPr>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★其他要求</w:t>
            </w:r>
          </w:p>
        </w:tc>
        <w:tc>
          <w:tcPr>
            <w:tcW w:w="8701" w:type="dxa"/>
            <w:gridSpan w:val="4"/>
            <w:vAlign w:val="center"/>
          </w:tcPr>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中标供应商应当保证其所提供的产品为符合国家知识产权法律法规要求的正规正版产品，不属于假冒伪劣商品；中标供应商还应保证招标采购单位不受到第三方关于侵犯知识产权以及专利权、商标权或工业设计权等知识产权方面的指控，任何第三方如果提出此方面指控均与招标采购单位无关，中标人应与第三方交涉，并承担可能发生的一切法律责任、费用和后果；若招标采购单位因此而遭致损失的，中标供应商应赔偿该损失。</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2.中标人须承担参与实施本项目人员的工资、福利、意外保险及其他社会保险等，承担项目实施期间所发生的安全责任事故、用工意外伤害等事故责任。</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3.中标人应无条件接受项目采购人的保密约定，包括在合同期结束后承诺保密义务，并承担相应的涉密责任。涉及本项目的信息如有泄露，采购人有权追究法律责任，并要求中标人承担经济损失。</w:t>
            </w:r>
          </w:p>
          <w:p>
            <w:pP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投标人必须对其投标文件中提供各种资料、说明的真实性负责。如发现中标人是提供虚假材料谋取中标资格，采购人将取消其中标资格并上报监督管理部门，给采购人造成损失的，还必须进行赔偿并负相关责任。</w:t>
            </w:r>
          </w:p>
        </w:tc>
      </w:tr>
    </w:tbl>
    <w:p>
      <w:pPr>
        <w:rPr>
          <w:color w:val="auto"/>
          <w:highlight w:val="none"/>
        </w:rPr>
      </w:pPr>
    </w:p>
    <w:p>
      <w:pPr>
        <w:pStyle w:val="4"/>
        <w:spacing w:after="312" w:line="360" w:lineRule="auto"/>
        <w:rPr>
          <w:color w:val="auto"/>
          <w:highlight w:val="none"/>
        </w:rPr>
      </w:pPr>
      <w:r>
        <w:rPr>
          <w:color w:val="auto"/>
          <w:highlight w:val="none"/>
        </w:rPr>
        <w:br w:type="page"/>
      </w:r>
    </w:p>
    <w:p>
      <w:pPr>
        <w:pStyle w:val="4"/>
        <w:spacing w:after="312" w:line="360" w:lineRule="auto"/>
        <w:rPr>
          <w:color w:val="auto"/>
          <w:highlight w:val="none"/>
        </w:rPr>
      </w:pPr>
      <w:r>
        <w:rPr>
          <w:color w:val="auto"/>
          <w:highlight w:val="none"/>
        </w:rPr>
        <w:t>第三章  投标人须知</w:t>
      </w:r>
      <w:bookmarkEnd w:id="12"/>
      <w:bookmarkEnd w:id="13"/>
      <w:bookmarkEnd w:id="14"/>
      <w:bookmarkStart w:id="35" w:name="_Toc213326415"/>
      <w:bookmarkEnd w:id="35"/>
    </w:p>
    <w:p>
      <w:pPr>
        <w:pStyle w:val="9"/>
        <w:spacing w:line="360" w:lineRule="auto"/>
        <w:jc w:val="center"/>
        <w:rPr>
          <w:rFonts w:ascii="Times New Roman" w:hAnsi="Times New Roman" w:eastAsiaTheme="minorEastAsia"/>
          <w:b/>
          <w:color w:val="auto"/>
          <w:sz w:val="30"/>
          <w:szCs w:val="30"/>
          <w:highlight w:val="none"/>
        </w:rPr>
      </w:pPr>
      <w:r>
        <w:rPr>
          <w:rFonts w:ascii="Times New Roman" w:hAnsi="Times New Roman" w:eastAsiaTheme="minorEastAsia"/>
          <w:b/>
          <w:color w:val="auto"/>
          <w:sz w:val="30"/>
          <w:szCs w:val="30"/>
          <w:highlight w:val="none"/>
        </w:rPr>
        <w:t>投标人须知前附表</w:t>
      </w:r>
    </w:p>
    <w:tbl>
      <w:tblPr>
        <w:tblStyle w:val="14"/>
        <w:tblW w:w="8946" w:type="dxa"/>
        <w:tblInd w:w="0" w:type="dxa"/>
        <w:tblLayout w:type="fixed"/>
        <w:tblCellMar>
          <w:top w:w="0" w:type="dxa"/>
          <w:left w:w="108" w:type="dxa"/>
          <w:bottom w:w="0" w:type="dxa"/>
          <w:right w:w="108" w:type="dxa"/>
        </w:tblCellMar>
      </w:tblPr>
      <w:tblGrid>
        <w:gridCol w:w="697"/>
        <w:gridCol w:w="2509"/>
        <w:gridCol w:w="5740"/>
      </w:tblGrid>
      <w:tr>
        <w:tblPrEx>
          <w:tblCellMar>
            <w:top w:w="0" w:type="dxa"/>
            <w:left w:w="108" w:type="dxa"/>
            <w:bottom w:w="0" w:type="dxa"/>
            <w:right w:w="108" w:type="dxa"/>
          </w:tblCellMar>
        </w:tblPrEx>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b/>
                <w:color w:val="auto"/>
                <w:szCs w:val="21"/>
                <w:highlight w:val="none"/>
              </w:rPr>
            </w:pPr>
            <w:r>
              <w:rPr>
                <w:rFonts w:eastAsia="宋体"/>
                <w:b/>
                <w:color w:val="auto"/>
                <w:szCs w:val="21"/>
                <w:highlight w:val="none"/>
              </w:rPr>
              <w:t>条款号</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b/>
                <w:color w:val="auto"/>
                <w:szCs w:val="21"/>
                <w:highlight w:val="none"/>
              </w:rPr>
            </w:pPr>
            <w:r>
              <w:rPr>
                <w:rFonts w:eastAsia="宋体"/>
                <w:b/>
                <w:color w:val="auto"/>
                <w:szCs w:val="21"/>
                <w:highlight w:val="none"/>
              </w:rPr>
              <w:t>条款名称</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b/>
                <w:color w:val="auto"/>
                <w:szCs w:val="21"/>
                <w:highlight w:val="none"/>
              </w:rPr>
            </w:pPr>
            <w:r>
              <w:rPr>
                <w:rFonts w:eastAsia="宋体"/>
                <w:b/>
                <w:color w:val="auto"/>
                <w:szCs w:val="21"/>
                <w:highlight w:val="none"/>
              </w:rPr>
              <w:t>详细内容</w:t>
            </w:r>
          </w:p>
        </w:tc>
      </w:tr>
      <w:tr>
        <w:tblPrEx>
          <w:tblCellMar>
            <w:top w:w="0" w:type="dxa"/>
            <w:left w:w="108" w:type="dxa"/>
            <w:bottom w:w="0" w:type="dxa"/>
            <w:right w:w="108" w:type="dxa"/>
          </w:tblCellMar>
        </w:tblPrEx>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1.1</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采购人</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color w:val="auto"/>
                <w:szCs w:val="21"/>
                <w:highlight w:val="none"/>
              </w:rPr>
            </w:pPr>
            <w:r>
              <w:rPr>
                <w:rFonts w:eastAsia="宋体"/>
                <w:color w:val="auto"/>
                <w:szCs w:val="21"/>
                <w:highlight w:val="none"/>
              </w:rPr>
              <w:t>名称：</w:t>
            </w:r>
            <w:r>
              <w:rPr>
                <w:rFonts w:hint="eastAsia" w:eastAsia="宋体"/>
                <w:color w:val="auto"/>
                <w:szCs w:val="21"/>
                <w:highlight w:val="none"/>
              </w:rPr>
              <w:t>崇左市自然资源局</w:t>
            </w:r>
          </w:p>
          <w:p>
            <w:pPr>
              <w:pStyle w:val="9"/>
              <w:spacing w:line="440" w:lineRule="exact"/>
              <w:rPr>
                <w:rFonts w:eastAsia="宋体"/>
                <w:color w:val="auto"/>
                <w:szCs w:val="21"/>
                <w:highlight w:val="none"/>
              </w:rPr>
            </w:pPr>
            <w:r>
              <w:rPr>
                <w:rFonts w:hint="eastAsia" w:eastAsia="宋体"/>
                <w:color w:val="auto"/>
                <w:szCs w:val="21"/>
                <w:highlight w:val="none"/>
              </w:rPr>
              <w:t xml:space="preserve">地址：崇左市友谊大道205号 </w:t>
            </w:r>
          </w:p>
          <w:p>
            <w:pPr>
              <w:pStyle w:val="9"/>
              <w:spacing w:line="440" w:lineRule="exact"/>
              <w:rPr>
                <w:rFonts w:hint="default" w:eastAsia="宋体"/>
                <w:color w:val="auto"/>
                <w:szCs w:val="21"/>
                <w:highlight w:val="none"/>
                <w:lang w:val="en-US" w:eastAsia="zh-CN"/>
              </w:rPr>
            </w:pPr>
            <w:r>
              <w:rPr>
                <w:rFonts w:hint="eastAsia" w:eastAsia="宋体"/>
                <w:color w:val="auto"/>
                <w:szCs w:val="21"/>
                <w:highlight w:val="none"/>
              </w:rPr>
              <w:t>联系人及电话：</w:t>
            </w:r>
            <w:r>
              <w:rPr>
                <w:rFonts w:hint="eastAsia" w:eastAsia="宋体"/>
                <w:color w:val="auto"/>
                <w:szCs w:val="21"/>
                <w:highlight w:val="none"/>
                <w:lang w:eastAsia="zh-CN"/>
              </w:rPr>
              <w:t>冯</w:t>
            </w:r>
            <w:r>
              <w:rPr>
                <w:rFonts w:hint="eastAsia" w:eastAsia="宋体"/>
                <w:color w:val="auto"/>
                <w:szCs w:val="21"/>
                <w:highlight w:val="none"/>
              </w:rPr>
              <w:t>工  0771-7</w:t>
            </w:r>
            <w:r>
              <w:rPr>
                <w:rFonts w:hint="eastAsia" w:eastAsia="宋体"/>
                <w:color w:val="auto"/>
                <w:szCs w:val="21"/>
                <w:highlight w:val="none"/>
                <w:lang w:val="en-US" w:eastAsia="zh-CN"/>
              </w:rPr>
              <w:t>961800</w:t>
            </w:r>
          </w:p>
        </w:tc>
      </w:tr>
      <w:tr>
        <w:tblPrEx>
          <w:tblCellMar>
            <w:top w:w="0" w:type="dxa"/>
            <w:left w:w="108" w:type="dxa"/>
            <w:bottom w:w="0" w:type="dxa"/>
            <w:right w:w="108" w:type="dxa"/>
          </w:tblCellMar>
        </w:tblPrEx>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1.2</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采购代理单位</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color w:val="auto"/>
                <w:szCs w:val="21"/>
                <w:highlight w:val="none"/>
              </w:rPr>
            </w:pPr>
            <w:r>
              <w:rPr>
                <w:rFonts w:eastAsia="宋体"/>
                <w:color w:val="auto"/>
                <w:szCs w:val="21"/>
                <w:highlight w:val="none"/>
              </w:rPr>
              <w:t>名称：</w:t>
            </w:r>
            <w:r>
              <w:rPr>
                <w:rFonts w:hint="eastAsia" w:eastAsia="宋体"/>
                <w:color w:val="auto"/>
                <w:szCs w:val="21"/>
                <w:highlight w:val="none"/>
              </w:rPr>
              <w:t>广西大中招标有限公司</w:t>
            </w:r>
          </w:p>
          <w:p>
            <w:pPr>
              <w:pStyle w:val="9"/>
              <w:spacing w:line="440" w:lineRule="exact"/>
              <w:rPr>
                <w:color w:val="auto"/>
                <w:szCs w:val="21"/>
                <w:highlight w:val="none"/>
              </w:rPr>
            </w:pPr>
            <w:r>
              <w:rPr>
                <w:color w:val="auto"/>
                <w:szCs w:val="21"/>
                <w:highlight w:val="none"/>
              </w:rPr>
              <w:t>地址：</w:t>
            </w:r>
            <w:r>
              <w:rPr>
                <w:rFonts w:hint="eastAsia" w:eastAsia="宋体"/>
                <w:color w:val="auto"/>
                <w:szCs w:val="21"/>
                <w:highlight w:val="none"/>
              </w:rPr>
              <w:t>崇左市花山路万隆商务领寓3楼307号</w:t>
            </w:r>
            <w:r>
              <w:rPr>
                <w:rFonts w:hint="eastAsia"/>
                <w:color w:val="auto"/>
                <w:szCs w:val="21"/>
                <w:highlight w:val="none"/>
              </w:rPr>
              <w:t xml:space="preserve"> </w:t>
            </w:r>
          </w:p>
          <w:p>
            <w:pPr>
              <w:pStyle w:val="9"/>
              <w:spacing w:line="440" w:lineRule="exact"/>
              <w:rPr>
                <w:rFonts w:eastAsia="宋体"/>
                <w:color w:val="auto"/>
                <w:szCs w:val="21"/>
                <w:highlight w:val="none"/>
              </w:rPr>
            </w:pPr>
            <w:r>
              <w:rPr>
                <w:rFonts w:hint="eastAsia"/>
                <w:color w:val="auto"/>
                <w:szCs w:val="21"/>
                <w:highlight w:val="none"/>
              </w:rPr>
              <w:t>联系人及电话：</w:t>
            </w:r>
            <w:r>
              <w:rPr>
                <w:rFonts w:hint="eastAsia" w:eastAsia="宋体"/>
                <w:color w:val="auto"/>
                <w:szCs w:val="21"/>
                <w:highlight w:val="none"/>
              </w:rPr>
              <w:t>杨</w:t>
            </w:r>
            <w:r>
              <w:rPr>
                <w:rFonts w:hint="eastAsia"/>
                <w:color w:val="auto"/>
                <w:szCs w:val="21"/>
                <w:highlight w:val="none"/>
              </w:rPr>
              <w:t xml:space="preserve">工  </w:t>
            </w:r>
            <w:r>
              <w:rPr>
                <w:rFonts w:hint="eastAsia" w:eastAsia="宋体"/>
                <w:color w:val="auto"/>
                <w:szCs w:val="21"/>
                <w:highlight w:val="none"/>
              </w:rPr>
              <w:t>18177742187</w:t>
            </w:r>
          </w:p>
        </w:tc>
      </w:tr>
      <w:tr>
        <w:tblPrEx>
          <w:tblCellMar>
            <w:top w:w="0" w:type="dxa"/>
            <w:left w:w="108" w:type="dxa"/>
            <w:bottom w:w="0" w:type="dxa"/>
            <w:right w:w="108" w:type="dxa"/>
          </w:tblCellMar>
        </w:tblPrEx>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1.3</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项目名称</w:t>
            </w:r>
          </w:p>
        </w:tc>
        <w:tc>
          <w:tcPr>
            <w:tcW w:w="57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ascii="宋体" w:hAnsi="宋体"/>
                <w:color w:val="auto"/>
                <w:kern w:val="1"/>
                <w:szCs w:val="21"/>
                <w:highlight w:val="none"/>
              </w:rPr>
            </w:pPr>
            <w:r>
              <w:rPr>
                <w:rFonts w:hint="eastAsia" w:ascii="宋体" w:hAnsi="宋体"/>
                <w:color w:val="auto"/>
                <w:kern w:val="1"/>
                <w:szCs w:val="21"/>
                <w:highlight w:val="none"/>
              </w:rPr>
              <w:t>崇左市基于一张蓝图的“多规合一”业务协同平台建设项目</w:t>
            </w:r>
          </w:p>
        </w:tc>
      </w:tr>
      <w:tr>
        <w:tblPrEx>
          <w:tblCellMar>
            <w:top w:w="0" w:type="dxa"/>
            <w:left w:w="108" w:type="dxa"/>
            <w:bottom w:w="0" w:type="dxa"/>
            <w:right w:w="108" w:type="dxa"/>
          </w:tblCellMar>
        </w:tblPrEx>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1.4</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项目编号</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color w:val="auto"/>
                <w:szCs w:val="21"/>
                <w:highlight w:val="none"/>
              </w:rPr>
            </w:pPr>
            <w:r>
              <w:rPr>
                <w:rFonts w:hint="eastAsia" w:eastAsia="宋体"/>
                <w:color w:val="auto"/>
                <w:szCs w:val="21"/>
                <w:highlight w:val="none"/>
              </w:rPr>
              <w:t>CZZC2020-G3-00004-DZZB</w:t>
            </w:r>
          </w:p>
        </w:tc>
      </w:tr>
      <w:tr>
        <w:tblPrEx>
          <w:tblCellMar>
            <w:top w:w="0" w:type="dxa"/>
            <w:left w:w="108" w:type="dxa"/>
            <w:bottom w:w="0" w:type="dxa"/>
            <w:right w:w="108" w:type="dxa"/>
          </w:tblCellMar>
        </w:tblPrEx>
        <w:trPr>
          <w:trHeight w:val="248" w:hRule="atLeast"/>
        </w:trPr>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1.5</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报价要求</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color w:val="auto"/>
                <w:szCs w:val="21"/>
                <w:highlight w:val="none"/>
              </w:rPr>
            </w:pPr>
            <w:r>
              <w:rPr>
                <w:rFonts w:hint="eastAsia" w:eastAsia="宋体"/>
                <w:color w:val="auto"/>
                <w:szCs w:val="21"/>
                <w:highlight w:val="none"/>
              </w:rPr>
              <w:t>本项目最终结算的总设计费不能超过人民币叁佰捌拾万元整（¥3800000.00元）。</w:t>
            </w:r>
          </w:p>
          <w:p>
            <w:pPr>
              <w:pStyle w:val="9"/>
              <w:spacing w:line="440" w:lineRule="exact"/>
              <w:rPr>
                <w:rFonts w:eastAsia="宋体"/>
                <w:color w:val="auto"/>
                <w:szCs w:val="21"/>
                <w:highlight w:val="none"/>
              </w:rPr>
            </w:pPr>
            <w:r>
              <w:rPr>
                <w:rFonts w:hint="eastAsia" w:eastAsia="宋体"/>
                <w:color w:val="auto"/>
                <w:szCs w:val="21"/>
                <w:highlight w:val="none"/>
              </w:rPr>
              <w:t>报价中包含（但不限于）项目全过程成本、利润、税金等，完成服务所涉及的一切费用，不论投标结果如何，投标人均应自行承担所有与投标有关的全部费用。</w:t>
            </w:r>
          </w:p>
          <w:p>
            <w:pPr>
              <w:pStyle w:val="9"/>
              <w:spacing w:line="440" w:lineRule="exact"/>
              <w:rPr>
                <w:rFonts w:eastAsia="宋体"/>
                <w:b/>
                <w:bCs/>
                <w:color w:val="auto"/>
                <w:szCs w:val="21"/>
                <w:highlight w:val="none"/>
              </w:rPr>
            </w:pPr>
            <w:r>
              <w:rPr>
                <w:rFonts w:hint="eastAsia" w:eastAsia="宋体"/>
                <w:color w:val="auto"/>
                <w:szCs w:val="21"/>
                <w:highlight w:val="none"/>
              </w:rPr>
              <w:t>本项目无补偿费。</w:t>
            </w:r>
          </w:p>
        </w:tc>
      </w:tr>
      <w:tr>
        <w:tblPrEx>
          <w:tblCellMar>
            <w:top w:w="0" w:type="dxa"/>
            <w:left w:w="108" w:type="dxa"/>
            <w:bottom w:w="0" w:type="dxa"/>
            <w:right w:w="108" w:type="dxa"/>
          </w:tblCellMar>
        </w:tblPrEx>
        <w:trPr>
          <w:trHeight w:val="247" w:hRule="atLeast"/>
        </w:trPr>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4"/>
                <w:highlight w:val="none"/>
              </w:rPr>
            </w:pPr>
            <w:r>
              <w:rPr>
                <w:rFonts w:eastAsia="宋体"/>
                <w:color w:val="auto"/>
                <w:szCs w:val="24"/>
                <w:highlight w:val="none"/>
              </w:rPr>
              <w:t>1.7</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获取招标文件的时间、地点、方式</w:t>
            </w:r>
          </w:p>
        </w:tc>
        <w:tc>
          <w:tcPr>
            <w:tcW w:w="574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宋体" w:hAnsi="宋体"/>
                <w:color w:val="auto"/>
                <w:kern w:val="1"/>
                <w:highlight w:val="none"/>
              </w:rPr>
            </w:pPr>
            <w:r>
              <w:rPr>
                <w:rFonts w:ascii="宋体" w:hAnsi="宋体"/>
                <w:color w:val="auto"/>
                <w:kern w:val="1"/>
                <w:szCs w:val="21"/>
                <w:highlight w:val="none"/>
              </w:rPr>
              <w:t>详见招标公告。</w:t>
            </w:r>
          </w:p>
        </w:tc>
      </w:tr>
      <w:tr>
        <w:tblPrEx>
          <w:tblCellMar>
            <w:top w:w="0" w:type="dxa"/>
            <w:left w:w="108" w:type="dxa"/>
            <w:bottom w:w="0" w:type="dxa"/>
            <w:right w:w="108" w:type="dxa"/>
          </w:tblCellMar>
        </w:tblPrEx>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3.2</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投标人应具备的条件</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13"/>
              <w:spacing w:line="300" w:lineRule="exact"/>
              <w:ind w:firstLine="420"/>
              <w:rPr>
                <w:rFonts w:cs="宋体"/>
                <w:color w:val="auto"/>
                <w:sz w:val="21"/>
                <w:szCs w:val="21"/>
                <w:highlight w:val="none"/>
              </w:rPr>
            </w:pPr>
            <w:r>
              <w:rPr>
                <w:rFonts w:hint="eastAsia" w:cs="宋体"/>
                <w:color w:val="auto"/>
                <w:sz w:val="21"/>
                <w:szCs w:val="21"/>
                <w:highlight w:val="none"/>
              </w:rPr>
              <w:t>1.满足《中华人民共和国政府采购法》第二十二条规定；</w:t>
            </w:r>
          </w:p>
          <w:p>
            <w:pPr>
              <w:pStyle w:val="13"/>
              <w:spacing w:line="300" w:lineRule="exact"/>
              <w:ind w:firstLine="420"/>
              <w:rPr>
                <w:rFonts w:cs="宋体"/>
                <w:color w:val="auto"/>
                <w:sz w:val="21"/>
                <w:szCs w:val="21"/>
                <w:highlight w:val="none"/>
              </w:rPr>
            </w:pPr>
            <w:r>
              <w:rPr>
                <w:rFonts w:hint="eastAsia" w:cs="宋体"/>
                <w:color w:val="auto"/>
                <w:sz w:val="21"/>
                <w:szCs w:val="21"/>
                <w:highlight w:val="none"/>
              </w:rPr>
              <w:t>2.落实政府采购政策需满足的资格要求：无；</w:t>
            </w:r>
          </w:p>
          <w:p>
            <w:pPr>
              <w:pStyle w:val="13"/>
              <w:spacing w:line="360" w:lineRule="auto"/>
              <w:ind w:firstLine="420"/>
              <w:rPr>
                <w:rFonts w:hint="eastAsia" w:eastAsia="宋体" w:cs="宋体"/>
                <w:color w:val="auto"/>
                <w:sz w:val="21"/>
                <w:szCs w:val="21"/>
                <w:highlight w:val="none"/>
                <w:lang w:eastAsia="zh-CN"/>
              </w:rPr>
            </w:pPr>
            <w:r>
              <w:rPr>
                <w:rFonts w:hint="eastAsia" w:cs="宋体"/>
                <w:color w:val="auto"/>
                <w:sz w:val="21"/>
                <w:szCs w:val="21"/>
                <w:highlight w:val="none"/>
              </w:rPr>
              <w:t>3.本项目的特定资格要求：</w:t>
            </w:r>
            <w:r>
              <w:rPr>
                <w:rFonts w:hint="eastAsia" w:cs="宋体"/>
                <w:color w:val="auto"/>
                <w:sz w:val="21"/>
                <w:szCs w:val="21"/>
                <w:highlight w:val="none"/>
                <w:lang w:eastAsia="zh-CN"/>
              </w:rPr>
              <w:t>无</w:t>
            </w:r>
            <w:r>
              <w:rPr>
                <w:rFonts w:hint="eastAsia" w:cs="宋体"/>
                <w:color w:val="auto"/>
                <w:sz w:val="21"/>
                <w:szCs w:val="21"/>
                <w:highlight w:val="none"/>
              </w:rPr>
              <w:t>；</w:t>
            </w:r>
          </w:p>
          <w:p>
            <w:pPr>
              <w:pStyle w:val="13"/>
              <w:spacing w:line="360" w:lineRule="auto"/>
              <w:ind w:firstLine="420"/>
              <w:rPr>
                <w:rFonts w:cs="宋体"/>
                <w:color w:val="auto"/>
                <w:sz w:val="21"/>
                <w:szCs w:val="21"/>
                <w:highlight w:val="none"/>
              </w:rPr>
            </w:pPr>
            <w:r>
              <w:rPr>
                <w:rFonts w:hint="eastAsia" w:cs="宋体"/>
                <w:color w:val="auto"/>
                <w:sz w:val="21"/>
                <w:szCs w:val="21"/>
                <w:highlight w:val="none"/>
              </w:rPr>
              <w:t>4.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pPr>
              <w:pStyle w:val="13"/>
              <w:spacing w:line="360" w:lineRule="auto"/>
              <w:ind w:firstLine="420"/>
              <w:rPr>
                <w:color w:val="auto"/>
                <w:kern w:val="1"/>
                <w:szCs w:val="21"/>
                <w:highlight w:val="none"/>
              </w:rPr>
            </w:pPr>
            <w:r>
              <w:rPr>
                <w:rFonts w:hint="eastAsia" w:cs="宋体"/>
                <w:color w:val="auto"/>
                <w:sz w:val="21"/>
                <w:szCs w:val="21"/>
                <w:highlight w:val="none"/>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p>
        </w:tc>
      </w:tr>
      <w:tr>
        <w:tblPrEx>
          <w:tblCellMar>
            <w:top w:w="0" w:type="dxa"/>
            <w:left w:w="108" w:type="dxa"/>
            <w:bottom w:w="0" w:type="dxa"/>
            <w:right w:w="108" w:type="dxa"/>
          </w:tblCellMar>
        </w:tblPrEx>
        <w:trPr>
          <w:trHeight w:val="248" w:hRule="atLeast"/>
        </w:trPr>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3.3</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是否接受联合体投标</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color w:val="auto"/>
                <w:szCs w:val="21"/>
                <w:highlight w:val="none"/>
              </w:rPr>
            </w:pPr>
            <w:r>
              <w:rPr>
                <w:rFonts w:eastAsia="宋体"/>
                <w:color w:val="auto"/>
                <w:szCs w:val="21"/>
                <w:highlight w:val="none"/>
              </w:rPr>
              <w:t>否</w:t>
            </w:r>
          </w:p>
        </w:tc>
      </w:tr>
      <w:tr>
        <w:tblPrEx>
          <w:tblCellMar>
            <w:top w:w="0" w:type="dxa"/>
            <w:left w:w="108" w:type="dxa"/>
            <w:bottom w:w="0" w:type="dxa"/>
            <w:right w:w="108" w:type="dxa"/>
          </w:tblCellMar>
        </w:tblPrEx>
        <w:trPr>
          <w:trHeight w:val="90" w:hRule="atLeast"/>
        </w:trPr>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4.1</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投标疑问提交截止时间</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color w:val="auto"/>
                <w:szCs w:val="21"/>
                <w:highlight w:val="none"/>
              </w:rPr>
            </w:pPr>
            <w:r>
              <w:rPr>
                <w:rFonts w:eastAsia="宋体"/>
                <w:color w:val="auto"/>
                <w:szCs w:val="21"/>
                <w:highlight w:val="none"/>
              </w:rPr>
              <w:t>收到招标文件之日起七日内</w:t>
            </w:r>
          </w:p>
        </w:tc>
      </w:tr>
      <w:tr>
        <w:tblPrEx>
          <w:tblCellMar>
            <w:top w:w="0" w:type="dxa"/>
            <w:left w:w="108" w:type="dxa"/>
            <w:bottom w:w="0" w:type="dxa"/>
            <w:right w:w="108" w:type="dxa"/>
          </w:tblCellMar>
        </w:tblPrEx>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7.1</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投标人要求澄清的截止时间</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color w:val="auto"/>
                <w:szCs w:val="21"/>
                <w:highlight w:val="none"/>
              </w:rPr>
            </w:pPr>
            <w:r>
              <w:rPr>
                <w:rFonts w:eastAsia="宋体"/>
                <w:color w:val="auto"/>
                <w:szCs w:val="21"/>
                <w:highlight w:val="none"/>
              </w:rPr>
              <w:t>截标前15日</w:t>
            </w:r>
          </w:p>
        </w:tc>
      </w:tr>
      <w:tr>
        <w:tblPrEx>
          <w:tblCellMar>
            <w:top w:w="0" w:type="dxa"/>
            <w:left w:w="108" w:type="dxa"/>
            <w:bottom w:w="0" w:type="dxa"/>
            <w:right w:w="108" w:type="dxa"/>
          </w:tblCellMar>
        </w:tblPrEx>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8.6</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投标文件正副本份数</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color w:val="auto"/>
                <w:szCs w:val="21"/>
                <w:highlight w:val="none"/>
              </w:rPr>
            </w:pPr>
            <w:r>
              <w:rPr>
                <w:rFonts w:eastAsia="宋体"/>
                <w:color w:val="auto"/>
                <w:szCs w:val="21"/>
                <w:highlight w:val="none"/>
              </w:rPr>
              <w:t>正本一份，</w:t>
            </w:r>
            <w:r>
              <w:rPr>
                <w:rFonts w:hint="eastAsia" w:eastAsia="宋体"/>
                <w:color w:val="auto"/>
                <w:szCs w:val="21"/>
                <w:highlight w:val="none"/>
              </w:rPr>
              <w:t>副本四份，另附电子版文件一份，电子版须为纸质版盖章后的PDF文件（U盘拷贝）</w:t>
            </w:r>
          </w:p>
        </w:tc>
      </w:tr>
      <w:tr>
        <w:tblPrEx>
          <w:tblCellMar>
            <w:top w:w="0" w:type="dxa"/>
            <w:left w:w="108" w:type="dxa"/>
            <w:bottom w:w="0" w:type="dxa"/>
            <w:right w:w="108" w:type="dxa"/>
          </w:tblCellMar>
        </w:tblPrEx>
        <w:trPr>
          <w:trHeight w:val="803" w:hRule="atLeast"/>
        </w:trPr>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8.6</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投标文件电子版</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color w:val="auto"/>
                <w:szCs w:val="21"/>
                <w:highlight w:val="none"/>
              </w:rPr>
            </w:pPr>
            <w:r>
              <w:rPr>
                <w:rFonts w:eastAsia="宋体"/>
                <w:color w:val="auto"/>
                <w:szCs w:val="21"/>
                <w:highlight w:val="none"/>
              </w:rPr>
              <w:t>本项目投标不要求递交投标文件电子版</w:t>
            </w:r>
          </w:p>
        </w:tc>
      </w:tr>
      <w:tr>
        <w:tblPrEx>
          <w:tblCellMar>
            <w:top w:w="0" w:type="dxa"/>
            <w:left w:w="108" w:type="dxa"/>
            <w:bottom w:w="0" w:type="dxa"/>
            <w:right w:w="108" w:type="dxa"/>
          </w:tblCellMar>
        </w:tblPrEx>
        <w:trPr>
          <w:trHeight w:val="443" w:hRule="atLeast"/>
        </w:trPr>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11.4</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采购代理服务费</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color w:val="auto"/>
                <w:szCs w:val="24"/>
                <w:highlight w:val="none"/>
              </w:rPr>
            </w:pPr>
            <w:r>
              <w:rPr>
                <w:rFonts w:eastAsia="宋体"/>
                <w:color w:val="auto"/>
                <w:szCs w:val="24"/>
                <w:highlight w:val="none"/>
              </w:rPr>
              <w:t>1、代理服务费由中标人向采购代理机构支付，在领取中标通知书前，中标人应向采购代理机构一次付清代理服务费。</w:t>
            </w:r>
          </w:p>
          <w:p>
            <w:pPr>
              <w:pStyle w:val="9"/>
              <w:spacing w:line="440" w:lineRule="exact"/>
              <w:rPr>
                <w:rFonts w:eastAsia="宋体"/>
                <w:color w:val="auto"/>
                <w:szCs w:val="24"/>
                <w:highlight w:val="none"/>
              </w:rPr>
            </w:pPr>
            <w:r>
              <w:rPr>
                <w:rFonts w:eastAsia="宋体"/>
                <w:color w:val="auto"/>
                <w:kern w:val="0"/>
                <w:szCs w:val="21"/>
                <w:highlight w:val="none"/>
              </w:rPr>
              <w:t>2</w:t>
            </w:r>
            <w:r>
              <w:rPr>
                <w:rFonts w:hint="eastAsia" w:eastAsia="宋体" w:cs="宋体"/>
                <w:color w:val="auto"/>
                <w:kern w:val="0"/>
                <w:szCs w:val="21"/>
                <w:highlight w:val="none"/>
              </w:rPr>
              <w:t>、</w:t>
            </w:r>
            <w:r>
              <w:rPr>
                <w:rFonts w:eastAsia="宋体"/>
                <w:color w:val="auto"/>
                <w:szCs w:val="21"/>
                <w:highlight w:val="none"/>
              </w:rPr>
              <w:t>代理服务收费标准：按国家计委印发的《招标代理服务收费管理暂行办法》[计价格（2002）1980号]规定的服务类标准计取。</w:t>
            </w:r>
          </w:p>
        </w:tc>
      </w:tr>
      <w:tr>
        <w:tblPrEx>
          <w:tblCellMar>
            <w:top w:w="0" w:type="dxa"/>
            <w:left w:w="108" w:type="dxa"/>
            <w:bottom w:w="0" w:type="dxa"/>
            <w:right w:w="108" w:type="dxa"/>
          </w:tblCellMar>
        </w:tblPrEx>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12.1</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投标有效期</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color w:val="auto"/>
                <w:szCs w:val="21"/>
                <w:highlight w:val="none"/>
              </w:rPr>
            </w:pPr>
            <w:r>
              <w:rPr>
                <w:rFonts w:hint="eastAsia" w:eastAsia="宋体"/>
                <w:color w:val="auto"/>
                <w:szCs w:val="21"/>
                <w:highlight w:val="none"/>
              </w:rPr>
              <w:t>60</w:t>
            </w:r>
            <w:r>
              <w:rPr>
                <w:rFonts w:eastAsia="宋体"/>
                <w:color w:val="auto"/>
                <w:szCs w:val="21"/>
                <w:highlight w:val="none"/>
              </w:rPr>
              <w:t>日。</w:t>
            </w:r>
          </w:p>
        </w:tc>
      </w:tr>
      <w:tr>
        <w:tblPrEx>
          <w:tblCellMar>
            <w:top w:w="0" w:type="dxa"/>
            <w:left w:w="108" w:type="dxa"/>
            <w:bottom w:w="0" w:type="dxa"/>
            <w:right w:w="108" w:type="dxa"/>
          </w:tblCellMar>
        </w:tblPrEx>
        <w:trPr>
          <w:trHeight w:val="248" w:hRule="atLeast"/>
        </w:trPr>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13.1</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投标保证金金额</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color w:val="auto"/>
                <w:kern w:val="0"/>
                <w:szCs w:val="21"/>
                <w:highlight w:val="none"/>
              </w:rPr>
            </w:pPr>
            <w:r>
              <w:rPr>
                <w:rFonts w:eastAsia="宋体"/>
                <w:color w:val="auto"/>
                <w:kern w:val="0"/>
                <w:szCs w:val="21"/>
                <w:highlight w:val="none"/>
              </w:rPr>
              <w:t>投标保证金的形式：银行转账或电汇</w:t>
            </w:r>
          </w:p>
          <w:p>
            <w:pPr>
              <w:pStyle w:val="9"/>
              <w:spacing w:line="440" w:lineRule="exact"/>
              <w:rPr>
                <w:rFonts w:eastAsia="宋体"/>
                <w:color w:val="auto"/>
                <w:kern w:val="0"/>
                <w:szCs w:val="21"/>
                <w:highlight w:val="none"/>
              </w:rPr>
            </w:pPr>
            <w:r>
              <w:rPr>
                <w:rFonts w:eastAsia="宋体"/>
                <w:color w:val="auto"/>
                <w:kern w:val="0"/>
                <w:szCs w:val="21"/>
                <w:highlight w:val="none"/>
              </w:rPr>
              <w:t>投标保证金的金额：</w:t>
            </w:r>
            <w:r>
              <w:rPr>
                <w:rFonts w:hint="eastAsia" w:eastAsia="宋体"/>
                <w:color w:val="auto"/>
                <w:kern w:val="0"/>
                <w:szCs w:val="21"/>
                <w:highlight w:val="none"/>
              </w:rPr>
              <w:t>人民币柒万元整（¥70000.00元）</w:t>
            </w:r>
          </w:p>
          <w:p>
            <w:pPr>
              <w:pStyle w:val="9"/>
              <w:spacing w:line="440" w:lineRule="exact"/>
              <w:rPr>
                <w:rFonts w:eastAsia="宋体"/>
                <w:color w:val="auto"/>
                <w:kern w:val="0"/>
                <w:szCs w:val="21"/>
                <w:highlight w:val="none"/>
              </w:rPr>
            </w:pPr>
            <w:r>
              <w:rPr>
                <w:rFonts w:eastAsia="宋体"/>
                <w:color w:val="auto"/>
                <w:kern w:val="0"/>
                <w:szCs w:val="21"/>
                <w:highlight w:val="none"/>
              </w:rPr>
              <w:t>递交方式：</w:t>
            </w:r>
          </w:p>
          <w:p>
            <w:pPr>
              <w:pStyle w:val="9"/>
              <w:spacing w:line="440" w:lineRule="exact"/>
              <w:rPr>
                <w:rFonts w:eastAsia="宋体" w:cs="宋体"/>
                <w:color w:val="auto"/>
                <w:szCs w:val="21"/>
                <w:highlight w:val="none"/>
              </w:rPr>
            </w:pPr>
            <w:r>
              <w:rPr>
                <w:rFonts w:hint="eastAsia" w:eastAsia="宋体" w:cs="宋体"/>
                <w:color w:val="auto"/>
                <w:szCs w:val="21"/>
                <w:highlight w:val="none"/>
              </w:rPr>
              <w:t>供应商可自主选择以转账、电汇、支票、汇票、本票、保函等非现金形式缴纳保证金。采用转账、电汇形式的，保证金必须从投标人银行账户转出，并于投标文件递交截止时间前到达以下指定账户；采用支票、汇票、本票、保险、保函形式的，投标人应于投标文件递交截止时间前递交单独密封的支票、汇票、本票、保险、保函原件；否则视为无效保证金。本项目不接受现金形式或从个人账户转出的保证金。</w:t>
            </w:r>
          </w:p>
          <w:p>
            <w:pPr>
              <w:pStyle w:val="9"/>
              <w:spacing w:line="440" w:lineRule="exact"/>
              <w:rPr>
                <w:rFonts w:eastAsia="宋体"/>
                <w:color w:val="auto"/>
                <w:kern w:val="0"/>
                <w:szCs w:val="21"/>
                <w:highlight w:val="none"/>
              </w:rPr>
            </w:pPr>
            <w:r>
              <w:rPr>
                <w:rFonts w:hint="eastAsia" w:eastAsia="宋体"/>
                <w:color w:val="auto"/>
                <w:kern w:val="0"/>
                <w:szCs w:val="21"/>
                <w:highlight w:val="none"/>
              </w:rPr>
              <w:t>开户名称：崇左市公共资源交易中心</w:t>
            </w:r>
          </w:p>
          <w:p>
            <w:pPr>
              <w:pStyle w:val="9"/>
              <w:spacing w:line="440" w:lineRule="exact"/>
              <w:rPr>
                <w:rFonts w:eastAsia="宋体"/>
                <w:color w:val="auto"/>
                <w:kern w:val="0"/>
                <w:szCs w:val="21"/>
                <w:highlight w:val="none"/>
              </w:rPr>
            </w:pPr>
            <w:r>
              <w:rPr>
                <w:rFonts w:hint="eastAsia" w:eastAsia="宋体"/>
                <w:color w:val="auto"/>
                <w:kern w:val="0"/>
                <w:szCs w:val="21"/>
                <w:highlight w:val="none"/>
              </w:rPr>
              <w:t>开户行：中国建设银行股份有限公司崇左友谊大道支行</w:t>
            </w:r>
          </w:p>
          <w:p>
            <w:pPr>
              <w:pStyle w:val="9"/>
              <w:spacing w:line="440" w:lineRule="exact"/>
              <w:rPr>
                <w:rFonts w:eastAsia="宋体"/>
                <w:color w:val="auto"/>
                <w:kern w:val="0"/>
                <w:szCs w:val="21"/>
                <w:highlight w:val="none"/>
              </w:rPr>
            </w:pPr>
            <w:r>
              <w:rPr>
                <w:rFonts w:hint="eastAsia" w:eastAsia="宋体"/>
                <w:color w:val="auto"/>
                <w:kern w:val="0"/>
                <w:szCs w:val="21"/>
                <w:highlight w:val="none"/>
              </w:rPr>
              <w:t>开户账号：4500 1598 0540 5955 6677</w:t>
            </w:r>
          </w:p>
        </w:tc>
      </w:tr>
      <w:tr>
        <w:tblPrEx>
          <w:tblCellMar>
            <w:top w:w="0" w:type="dxa"/>
            <w:left w:w="108" w:type="dxa"/>
            <w:bottom w:w="0" w:type="dxa"/>
            <w:right w:w="108" w:type="dxa"/>
          </w:tblCellMar>
        </w:tblPrEx>
        <w:trPr>
          <w:trHeight w:val="247" w:hRule="atLeast"/>
        </w:trPr>
        <w:tc>
          <w:tcPr>
            <w:tcW w:w="69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olor w:val="auto"/>
                <w:kern w:val="1"/>
                <w:highlight w:val="none"/>
              </w:rPr>
            </w:pPr>
            <w:r>
              <w:rPr>
                <w:rFonts w:ascii="宋体" w:hAnsi="宋体"/>
                <w:color w:val="auto"/>
                <w:kern w:val="1"/>
                <w:highlight w:val="none"/>
              </w:rPr>
              <w:t>13.2</w:t>
            </w:r>
          </w:p>
        </w:tc>
        <w:tc>
          <w:tcPr>
            <w:tcW w:w="250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olor w:val="auto"/>
                <w:kern w:val="1"/>
                <w:highlight w:val="none"/>
              </w:rPr>
            </w:pPr>
            <w:r>
              <w:rPr>
                <w:rFonts w:ascii="宋体" w:hAnsi="宋体"/>
                <w:color w:val="auto"/>
                <w:kern w:val="1"/>
                <w:highlight w:val="none"/>
              </w:rPr>
              <w:t>未中标供应商投标保证金的退还</w:t>
            </w:r>
          </w:p>
        </w:tc>
        <w:tc>
          <w:tcPr>
            <w:tcW w:w="5740" w:type="dxa"/>
            <w:tcBorders>
              <w:top w:val="single" w:color="000000" w:sz="4" w:space="0"/>
              <w:left w:val="single" w:color="000000" w:sz="4" w:space="0"/>
              <w:bottom w:val="single" w:color="000000" w:sz="4" w:space="0"/>
              <w:right w:val="single" w:color="000000" w:sz="4" w:space="0"/>
            </w:tcBorders>
          </w:tcPr>
          <w:p>
            <w:pPr>
              <w:spacing w:line="440" w:lineRule="exact"/>
              <w:rPr>
                <w:rFonts w:ascii="宋体" w:hAnsi="宋体"/>
                <w:color w:val="auto"/>
                <w:kern w:val="1"/>
                <w:highlight w:val="none"/>
              </w:rPr>
            </w:pPr>
            <w:r>
              <w:rPr>
                <w:rFonts w:ascii="宋体" w:hAnsi="宋体"/>
                <w:color w:val="auto"/>
                <w:kern w:val="1"/>
                <w:szCs w:val="20"/>
                <w:highlight w:val="none"/>
              </w:rPr>
              <w:t>中标结果公布后</w:t>
            </w:r>
            <w:r>
              <w:rPr>
                <w:rFonts w:ascii="宋体" w:hAnsi="宋体"/>
                <w:color w:val="auto"/>
                <w:szCs w:val="21"/>
                <w:highlight w:val="none"/>
              </w:rPr>
              <w:t>于中标通知书发出后五个工作日内以转账或电汇方式无息退还到投标人帐户</w:t>
            </w:r>
            <w:r>
              <w:rPr>
                <w:rFonts w:ascii="宋体" w:hAnsi="宋体"/>
                <w:color w:val="auto"/>
                <w:kern w:val="1"/>
                <w:highlight w:val="none"/>
              </w:rPr>
              <w:t>。</w:t>
            </w:r>
          </w:p>
        </w:tc>
      </w:tr>
      <w:tr>
        <w:tblPrEx>
          <w:tblCellMar>
            <w:top w:w="0" w:type="dxa"/>
            <w:left w:w="108" w:type="dxa"/>
            <w:bottom w:w="0" w:type="dxa"/>
            <w:right w:w="108" w:type="dxa"/>
          </w:tblCellMar>
        </w:tblPrEx>
        <w:trPr>
          <w:trHeight w:val="349" w:hRule="atLeast"/>
        </w:trPr>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15.1</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投标截止时间</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color w:val="auto"/>
                <w:szCs w:val="21"/>
                <w:highlight w:val="none"/>
              </w:rPr>
            </w:pPr>
            <w:r>
              <w:rPr>
                <w:rFonts w:hint="eastAsia" w:eastAsia="宋体"/>
                <w:color w:val="auto"/>
                <w:szCs w:val="21"/>
                <w:highlight w:val="none"/>
              </w:rPr>
              <w:t>2020年</w:t>
            </w:r>
            <w:r>
              <w:rPr>
                <w:rFonts w:hint="eastAsia" w:eastAsia="宋体"/>
                <w:color w:val="auto"/>
                <w:szCs w:val="21"/>
                <w:highlight w:val="none"/>
                <w:lang w:eastAsia="zh-CN"/>
              </w:rPr>
              <w:t>12月1日</w:t>
            </w:r>
            <w:r>
              <w:rPr>
                <w:rFonts w:hint="eastAsia" w:eastAsia="宋体"/>
                <w:color w:val="auto"/>
                <w:szCs w:val="21"/>
                <w:highlight w:val="none"/>
              </w:rPr>
              <w:t>北京时间09时30分</w:t>
            </w:r>
          </w:p>
        </w:tc>
      </w:tr>
      <w:tr>
        <w:tblPrEx>
          <w:tblCellMar>
            <w:top w:w="0" w:type="dxa"/>
            <w:left w:w="108" w:type="dxa"/>
            <w:bottom w:w="0" w:type="dxa"/>
            <w:right w:w="108" w:type="dxa"/>
          </w:tblCellMar>
        </w:tblPrEx>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15.2</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递交投标文件地点</w:t>
            </w:r>
          </w:p>
        </w:tc>
        <w:tc>
          <w:tcPr>
            <w:tcW w:w="57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ascii="宋体" w:hAnsi="宋体"/>
                <w:bCs/>
                <w:color w:val="auto"/>
                <w:kern w:val="1"/>
                <w:szCs w:val="21"/>
                <w:highlight w:val="none"/>
              </w:rPr>
            </w:pPr>
            <w:r>
              <w:rPr>
                <w:rFonts w:ascii="宋体" w:hAnsi="宋体"/>
                <w:bCs/>
                <w:color w:val="auto"/>
                <w:kern w:val="1"/>
                <w:szCs w:val="21"/>
                <w:highlight w:val="none"/>
              </w:rPr>
              <w:t>崇左市公共资源交易中心5楼（详见崇左市石景林路政务服务中心5楼电子屏）</w:t>
            </w:r>
          </w:p>
        </w:tc>
      </w:tr>
      <w:tr>
        <w:tblPrEx>
          <w:tblCellMar>
            <w:top w:w="0" w:type="dxa"/>
            <w:left w:w="108" w:type="dxa"/>
            <w:bottom w:w="0" w:type="dxa"/>
            <w:right w:w="108" w:type="dxa"/>
          </w:tblCellMar>
        </w:tblPrEx>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16.1</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开标地点</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bCs/>
                <w:color w:val="auto"/>
                <w:szCs w:val="21"/>
                <w:highlight w:val="none"/>
              </w:rPr>
            </w:pPr>
            <w:r>
              <w:rPr>
                <w:rFonts w:eastAsia="宋体"/>
                <w:bCs/>
                <w:color w:val="auto"/>
                <w:szCs w:val="21"/>
                <w:highlight w:val="none"/>
              </w:rPr>
              <w:t>崇左市公共资源交易中心5楼（详见崇左市石景林路政务服务中心5楼电子屏）</w:t>
            </w:r>
          </w:p>
        </w:tc>
      </w:tr>
      <w:tr>
        <w:tblPrEx>
          <w:tblCellMar>
            <w:top w:w="0" w:type="dxa"/>
            <w:left w:w="108" w:type="dxa"/>
            <w:bottom w:w="0" w:type="dxa"/>
            <w:right w:w="108" w:type="dxa"/>
          </w:tblCellMar>
        </w:tblPrEx>
        <w:trPr>
          <w:trHeight w:val="248" w:hRule="atLeast"/>
        </w:trPr>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17.3</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评标方法</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color w:val="auto"/>
                <w:szCs w:val="21"/>
                <w:highlight w:val="none"/>
              </w:rPr>
            </w:pPr>
            <w:r>
              <w:rPr>
                <w:rFonts w:eastAsia="宋体"/>
                <w:color w:val="auto"/>
                <w:szCs w:val="24"/>
                <w:highlight w:val="none"/>
              </w:rPr>
              <w:t>综合评分法。</w:t>
            </w:r>
          </w:p>
        </w:tc>
      </w:tr>
      <w:tr>
        <w:tblPrEx>
          <w:tblCellMar>
            <w:top w:w="0" w:type="dxa"/>
            <w:left w:w="108" w:type="dxa"/>
            <w:bottom w:w="0" w:type="dxa"/>
            <w:right w:w="108" w:type="dxa"/>
          </w:tblCellMar>
        </w:tblPrEx>
        <w:trPr>
          <w:trHeight w:val="248" w:hRule="atLeast"/>
        </w:trPr>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信用查询</w:t>
            </w:r>
          </w:p>
        </w:tc>
        <w:tc>
          <w:tcPr>
            <w:tcW w:w="5740"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宋体" w:hAnsi="宋体"/>
                <w:color w:val="auto"/>
                <w:szCs w:val="21"/>
                <w:highlight w:val="none"/>
              </w:rPr>
            </w:pPr>
            <w:r>
              <w:rPr>
                <w:rFonts w:ascii="宋体" w:hAnsi="宋体"/>
                <w:color w:val="auto"/>
                <w:szCs w:val="21"/>
                <w:highlight w:val="none"/>
              </w:rPr>
              <w:t>在对投标人资格审查时进行信用查询</w:t>
            </w:r>
          </w:p>
          <w:p>
            <w:pPr>
              <w:snapToGrid w:val="0"/>
              <w:spacing w:line="440" w:lineRule="exact"/>
              <w:rPr>
                <w:rFonts w:ascii="宋体" w:hAnsi="宋体"/>
                <w:color w:val="auto"/>
                <w:szCs w:val="21"/>
                <w:highlight w:val="none"/>
              </w:rPr>
            </w:pPr>
            <w:r>
              <w:rPr>
                <w:rFonts w:ascii="宋体" w:hAnsi="宋体"/>
                <w:color w:val="auto"/>
                <w:szCs w:val="21"/>
                <w:highlight w:val="none"/>
              </w:rPr>
              <w:t>查询渠道：“信用中国”网站(www.creditchina.gov.cn)、中国政府采购网(www.ccgp.gov.cn)等</w:t>
            </w:r>
          </w:p>
          <w:p>
            <w:pPr>
              <w:snapToGrid w:val="0"/>
              <w:spacing w:line="440" w:lineRule="exact"/>
              <w:rPr>
                <w:rFonts w:ascii="宋体" w:hAnsi="宋体"/>
                <w:color w:val="auto"/>
                <w:szCs w:val="21"/>
                <w:highlight w:val="none"/>
              </w:rPr>
            </w:pPr>
            <w:r>
              <w:rPr>
                <w:rFonts w:ascii="宋体" w:hAnsi="宋体"/>
                <w:color w:val="auto"/>
                <w:szCs w:val="21"/>
                <w:highlight w:val="none"/>
              </w:rPr>
              <w:t>查询起止时间：投标截止之日前三年</w:t>
            </w:r>
          </w:p>
          <w:p>
            <w:pPr>
              <w:snapToGrid w:val="0"/>
              <w:spacing w:line="440" w:lineRule="exact"/>
              <w:rPr>
                <w:rFonts w:ascii="宋体" w:hAnsi="宋体"/>
                <w:color w:val="auto"/>
                <w:szCs w:val="21"/>
                <w:highlight w:val="none"/>
              </w:rPr>
            </w:pPr>
            <w:r>
              <w:rPr>
                <w:rFonts w:ascii="宋体" w:hAnsi="宋体"/>
                <w:color w:val="auto"/>
                <w:szCs w:val="21"/>
                <w:highlight w:val="none"/>
              </w:rPr>
              <w:t>查询记录和证据留存方式：在查询网站中直接打印查询记录，打印材料作为评审资料保存。</w:t>
            </w:r>
          </w:p>
          <w:p>
            <w:pPr>
              <w:pStyle w:val="9"/>
              <w:spacing w:line="440" w:lineRule="exact"/>
              <w:rPr>
                <w:rFonts w:eastAsia="宋体"/>
                <w:color w:val="auto"/>
                <w:szCs w:val="21"/>
                <w:highlight w:val="none"/>
              </w:rPr>
            </w:pPr>
            <w:r>
              <w:rPr>
                <w:rFonts w:eastAsia="宋体"/>
                <w:color w:val="auto"/>
                <w:szCs w:val="21"/>
                <w:highlight w:val="none"/>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r>
        <w:tblPrEx>
          <w:tblCellMar>
            <w:top w:w="0" w:type="dxa"/>
            <w:left w:w="108" w:type="dxa"/>
            <w:bottom w:w="0" w:type="dxa"/>
            <w:right w:w="108" w:type="dxa"/>
          </w:tblCellMar>
        </w:tblPrEx>
        <w:trPr>
          <w:trHeight w:val="248" w:hRule="atLeast"/>
        </w:trPr>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p>
        </w:tc>
        <w:tc>
          <w:tcPr>
            <w:tcW w:w="250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lang w:val="zh-CN"/>
              </w:rPr>
              <w:t>评标委员会构成</w:t>
            </w:r>
          </w:p>
        </w:tc>
        <w:tc>
          <w:tcPr>
            <w:tcW w:w="5740" w:type="dxa"/>
            <w:tcBorders>
              <w:top w:val="single" w:color="000000" w:sz="4" w:space="0"/>
              <w:left w:val="single" w:color="000000" w:sz="4" w:space="0"/>
              <w:bottom w:val="single" w:color="000000" w:sz="4" w:space="0"/>
              <w:right w:val="single" w:color="000000" w:sz="4" w:space="0"/>
            </w:tcBorders>
          </w:tcPr>
          <w:p>
            <w:pPr>
              <w:spacing w:line="440" w:lineRule="exact"/>
              <w:rPr>
                <w:rFonts w:ascii="宋体" w:hAnsi="宋体"/>
                <w:color w:val="auto"/>
                <w:szCs w:val="21"/>
                <w:highlight w:val="none"/>
              </w:rPr>
            </w:pPr>
            <w:r>
              <w:rPr>
                <w:rFonts w:ascii="宋体" w:hAnsi="宋体"/>
                <w:color w:val="auto"/>
                <w:szCs w:val="21"/>
                <w:highlight w:val="none"/>
              </w:rPr>
              <w:t>评标委员会构成：5人，其中</w:t>
            </w:r>
            <w:r>
              <w:rPr>
                <w:rFonts w:hint="eastAsia" w:ascii="宋体" w:hAnsi="宋体"/>
                <w:color w:val="auto"/>
                <w:szCs w:val="21"/>
                <w:highlight w:val="none"/>
              </w:rPr>
              <w:t>采购</w:t>
            </w:r>
            <w:r>
              <w:rPr>
                <w:rFonts w:ascii="宋体" w:hAnsi="宋体"/>
                <w:color w:val="auto"/>
                <w:szCs w:val="21"/>
                <w:highlight w:val="none"/>
              </w:rPr>
              <w:t>人代表1人，专家4人。</w:t>
            </w:r>
          </w:p>
          <w:p>
            <w:pPr>
              <w:spacing w:line="440" w:lineRule="exact"/>
              <w:rPr>
                <w:rFonts w:ascii="宋体" w:hAnsi="宋体"/>
                <w:color w:val="auto"/>
                <w:szCs w:val="21"/>
                <w:highlight w:val="none"/>
              </w:rPr>
            </w:pPr>
            <w:r>
              <w:rPr>
                <w:rFonts w:ascii="宋体" w:hAnsi="宋体"/>
                <w:color w:val="auto"/>
                <w:szCs w:val="21"/>
                <w:highlight w:val="none"/>
                <w:lang w:val="zh-CN"/>
              </w:rPr>
              <w:t>评标专家分工：分技术、商务类。其中，</w:t>
            </w:r>
            <w:r>
              <w:rPr>
                <w:rFonts w:hint="eastAsia" w:ascii="宋体" w:hAnsi="宋体"/>
                <w:color w:val="auto"/>
                <w:szCs w:val="21"/>
                <w:highlight w:val="none"/>
                <w:lang w:val="zh-CN"/>
              </w:rPr>
              <w:t>采购</w:t>
            </w:r>
            <w:r>
              <w:rPr>
                <w:rFonts w:ascii="宋体" w:hAnsi="宋体"/>
                <w:color w:val="auto"/>
                <w:szCs w:val="21"/>
                <w:highlight w:val="none"/>
                <w:lang w:val="zh-CN"/>
              </w:rPr>
              <w:t>人代表参加技术类1人；技术类专家</w:t>
            </w:r>
            <w:r>
              <w:rPr>
                <w:rFonts w:hint="eastAsia" w:ascii="宋体" w:hAnsi="宋体"/>
                <w:color w:val="auto"/>
                <w:szCs w:val="21"/>
                <w:highlight w:val="none"/>
              </w:rPr>
              <w:t>2</w:t>
            </w:r>
            <w:r>
              <w:rPr>
                <w:rFonts w:ascii="宋体" w:hAnsi="宋体"/>
                <w:color w:val="auto"/>
                <w:szCs w:val="21"/>
                <w:highlight w:val="none"/>
                <w:lang w:val="zh-CN"/>
              </w:rPr>
              <w:t>人、商务类专家</w:t>
            </w:r>
            <w:r>
              <w:rPr>
                <w:rFonts w:hint="eastAsia" w:ascii="宋体" w:hAnsi="宋体"/>
                <w:color w:val="auto"/>
                <w:szCs w:val="21"/>
                <w:highlight w:val="none"/>
              </w:rPr>
              <w:t>2</w:t>
            </w:r>
            <w:r>
              <w:rPr>
                <w:rFonts w:ascii="宋体" w:hAnsi="宋体"/>
                <w:color w:val="auto"/>
                <w:szCs w:val="21"/>
                <w:highlight w:val="none"/>
                <w:lang w:val="zh-CN"/>
              </w:rPr>
              <w:t>人。</w:t>
            </w:r>
          </w:p>
          <w:p>
            <w:pPr>
              <w:spacing w:line="440" w:lineRule="exact"/>
              <w:rPr>
                <w:rFonts w:ascii="宋体" w:hAnsi="宋体" w:cs="宋体"/>
                <w:color w:val="auto"/>
                <w:szCs w:val="21"/>
                <w:highlight w:val="none"/>
              </w:rPr>
            </w:pPr>
            <w:r>
              <w:rPr>
                <w:rFonts w:ascii="宋体" w:hAnsi="宋体"/>
                <w:color w:val="auto"/>
                <w:szCs w:val="21"/>
                <w:highlight w:val="none"/>
                <w:lang w:val="zh-CN"/>
              </w:rPr>
              <w:t>评标专家确定方式：</w:t>
            </w:r>
            <w:r>
              <w:rPr>
                <w:rFonts w:hint="eastAsia" w:ascii="宋体" w:hAnsi="宋体"/>
                <w:color w:val="auto"/>
                <w:szCs w:val="21"/>
                <w:highlight w:val="none"/>
                <w:lang w:val="zh-CN"/>
              </w:rPr>
              <w:t>从</w:t>
            </w:r>
            <w:r>
              <w:rPr>
                <w:rFonts w:hint="eastAsia" w:ascii="宋体" w:hAnsi="宋体"/>
                <w:bCs/>
                <w:color w:val="auto"/>
                <w:kern w:val="1"/>
                <w:szCs w:val="21"/>
                <w:highlight w:val="none"/>
              </w:rPr>
              <w:t>政府采购云平台专家库</w:t>
            </w:r>
            <w:r>
              <w:rPr>
                <w:rFonts w:ascii="宋体" w:hAnsi="宋体"/>
                <w:color w:val="auto"/>
                <w:szCs w:val="21"/>
                <w:highlight w:val="none"/>
                <w:lang w:val="zh-CN"/>
              </w:rPr>
              <w:t>随机抽取</w:t>
            </w:r>
            <w:r>
              <w:rPr>
                <w:rFonts w:hint="eastAsia" w:ascii="宋体" w:hAnsi="宋体"/>
                <w:color w:val="auto"/>
                <w:szCs w:val="21"/>
                <w:highlight w:val="none"/>
                <w:lang w:val="zh-CN"/>
              </w:rPr>
              <w:t>。</w:t>
            </w:r>
          </w:p>
        </w:tc>
      </w:tr>
      <w:tr>
        <w:tblPrEx>
          <w:tblCellMar>
            <w:top w:w="0" w:type="dxa"/>
            <w:left w:w="108" w:type="dxa"/>
            <w:bottom w:w="0" w:type="dxa"/>
            <w:right w:w="108" w:type="dxa"/>
          </w:tblCellMar>
        </w:tblPrEx>
        <w:trPr>
          <w:trHeight w:val="248" w:hRule="atLeast"/>
        </w:trPr>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中标结果公告内容</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left"/>
              <w:rPr>
                <w:rFonts w:eastAsia="宋体"/>
                <w:color w:val="auto"/>
                <w:szCs w:val="24"/>
                <w:highlight w:val="none"/>
              </w:rPr>
            </w:pPr>
            <w:r>
              <w:rPr>
                <w:rFonts w:eastAsia="宋体"/>
                <w:color w:val="auto"/>
                <w:szCs w:val="21"/>
                <w:highlight w:val="none"/>
              </w:rPr>
              <w:t>参照</w:t>
            </w:r>
            <w:r>
              <w:rPr>
                <w:rFonts w:hint="eastAsia" w:eastAsia="宋体"/>
                <w:color w:val="auto"/>
                <w:szCs w:val="21"/>
                <w:highlight w:val="none"/>
              </w:rPr>
              <w:t>《</w:t>
            </w:r>
            <w:r>
              <w:rPr>
                <w:rFonts w:hint="eastAsia" w:eastAsia="宋体" w:cs="宋体"/>
                <w:color w:val="auto"/>
                <w:szCs w:val="21"/>
                <w:highlight w:val="none"/>
              </w:rPr>
              <w:t>中华人民共和国政府采购法实施条例》第四十三条规定，中标结果公告内容中包括中标供应商名称、地址</w:t>
            </w:r>
            <w:r>
              <w:rPr>
                <w:rFonts w:eastAsia="宋体"/>
                <w:color w:val="auto"/>
                <w:szCs w:val="21"/>
                <w:highlight w:val="none"/>
              </w:rPr>
              <w:t>、</w:t>
            </w:r>
            <w:r>
              <w:rPr>
                <w:rFonts w:hint="eastAsia" w:eastAsia="宋体" w:cs="宋体"/>
                <w:color w:val="auto"/>
                <w:szCs w:val="21"/>
                <w:highlight w:val="none"/>
              </w:rPr>
              <w:t>中标</w:t>
            </w:r>
            <w:r>
              <w:rPr>
                <w:rFonts w:eastAsia="宋体"/>
                <w:color w:val="auto"/>
                <w:szCs w:val="21"/>
                <w:highlight w:val="none"/>
              </w:rPr>
              <w:t>报价</w:t>
            </w:r>
            <w:r>
              <w:rPr>
                <w:rFonts w:hint="eastAsia" w:eastAsia="宋体" w:cs="宋体"/>
                <w:color w:val="auto"/>
                <w:szCs w:val="21"/>
                <w:highlight w:val="none"/>
              </w:rPr>
              <w:t>，主要中标标的的名称、服务要求。</w:t>
            </w:r>
          </w:p>
        </w:tc>
      </w:tr>
      <w:tr>
        <w:tblPrEx>
          <w:tblCellMar>
            <w:top w:w="0" w:type="dxa"/>
            <w:left w:w="108" w:type="dxa"/>
            <w:bottom w:w="0" w:type="dxa"/>
            <w:right w:w="108" w:type="dxa"/>
          </w:tblCellMar>
        </w:tblPrEx>
        <w:trPr>
          <w:trHeight w:val="247" w:hRule="atLeast"/>
        </w:trPr>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28.1</w:t>
            </w: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中标通知书的发放</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color w:val="auto"/>
                <w:szCs w:val="21"/>
                <w:highlight w:val="none"/>
              </w:rPr>
            </w:pPr>
            <w:r>
              <w:rPr>
                <w:rFonts w:eastAsia="宋体"/>
                <w:color w:val="auto"/>
                <w:szCs w:val="24"/>
                <w:highlight w:val="none"/>
              </w:rPr>
              <w:t>按相关规定在</w:t>
            </w:r>
            <w:r>
              <w:rPr>
                <w:rFonts w:eastAsia="宋体"/>
                <w:color w:val="auto"/>
                <w:kern w:val="0"/>
                <w:szCs w:val="21"/>
                <w:highlight w:val="none"/>
              </w:rPr>
              <w:t>规定的采购信息发布媒体上公示中标结果，同时向中标供应商发出中标通知书。公示期为1个工作日，公示期满无异议的，由中标供应商与采购人签订采购合同。</w:t>
            </w:r>
          </w:p>
        </w:tc>
      </w:tr>
      <w:tr>
        <w:tblPrEx>
          <w:tblCellMar>
            <w:top w:w="0" w:type="dxa"/>
            <w:left w:w="108" w:type="dxa"/>
            <w:bottom w:w="0" w:type="dxa"/>
            <w:right w:w="108" w:type="dxa"/>
          </w:tblCellMar>
        </w:tblPrEx>
        <w:trPr>
          <w:trHeight w:val="483" w:hRule="atLeast"/>
        </w:trPr>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p>
        </w:tc>
        <w:tc>
          <w:tcPr>
            <w:tcW w:w="2509"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hint="eastAsia" w:eastAsia="宋体"/>
                <w:color w:val="auto"/>
                <w:szCs w:val="21"/>
                <w:highlight w:val="none"/>
              </w:rPr>
              <w:t>履约保证金</w:t>
            </w:r>
          </w:p>
        </w:tc>
        <w:tc>
          <w:tcPr>
            <w:tcW w:w="5740"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rPr>
                <w:rFonts w:eastAsia="宋体"/>
                <w:color w:val="auto"/>
                <w:szCs w:val="24"/>
                <w:highlight w:val="none"/>
              </w:rPr>
            </w:pPr>
            <w:r>
              <w:rPr>
                <w:rFonts w:hint="eastAsia" w:eastAsia="宋体"/>
                <w:color w:val="auto"/>
                <w:szCs w:val="24"/>
                <w:highlight w:val="none"/>
              </w:rPr>
              <w:t>无</w:t>
            </w:r>
          </w:p>
        </w:tc>
      </w:tr>
      <w:tr>
        <w:tblPrEx>
          <w:tblCellMar>
            <w:top w:w="0" w:type="dxa"/>
            <w:left w:w="108" w:type="dxa"/>
            <w:bottom w:w="0" w:type="dxa"/>
            <w:right w:w="108" w:type="dxa"/>
          </w:tblCellMar>
        </w:tblPrEx>
        <w:trPr>
          <w:trHeight w:val="248" w:hRule="atLeast"/>
        </w:trPr>
        <w:tc>
          <w:tcPr>
            <w:tcW w:w="697" w:type="dxa"/>
            <w:tcBorders>
              <w:top w:val="single" w:color="000000" w:sz="4" w:space="0"/>
              <w:left w:val="single" w:color="000000" w:sz="4" w:space="0"/>
              <w:bottom w:val="single" w:color="000000" w:sz="4" w:space="0"/>
              <w:right w:val="single" w:color="000000" w:sz="4" w:space="0"/>
            </w:tcBorders>
            <w:vAlign w:val="center"/>
          </w:tcPr>
          <w:p>
            <w:pPr>
              <w:pStyle w:val="9"/>
              <w:spacing w:line="440" w:lineRule="exact"/>
              <w:jc w:val="center"/>
              <w:rPr>
                <w:rFonts w:eastAsia="宋体"/>
                <w:color w:val="auto"/>
                <w:szCs w:val="21"/>
                <w:highlight w:val="none"/>
              </w:rPr>
            </w:pPr>
            <w:r>
              <w:rPr>
                <w:rFonts w:eastAsia="宋体"/>
                <w:color w:val="auto"/>
                <w:szCs w:val="21"/>
                <w:highlight w:val="none"/>
              </w:rPr>
              <w:t>29.1</w:t>
            </w:r>
          </w:p>
        </w:tc>
        <w:tc>
          <w:tcPr>
            <w:tcW w:w="250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olor w:val="auto"/>
                <w:highlight w:val="none"/>
              </w:rPr>
            </w:pPr>
            <w:r>
              <w:rPr>
                <w:rFonts w:ascii="宋体" w:hAnsi="宋体"/>
                <w:color w:val="auto"/>
                <w:highlight w:val="none"/>
              </w:rPr>
              <w:t>需要补充的其他内容</w:t>
            </w:r>
          </w:p>
        </w:tc>
        <w:tc>
          <w:tcPr>
            <w:tcW w:w="574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ascii="宋体" w:hAnsi="宋体"/>
                <w:color w:val="auto"/>
                <w:kern w:val="1"/>
                <w:szCs w:val="21"/>
                <w:highlight w:val="none"/>
              </w:rPr>
            </w:pPr>
            <w:r>
              <w:rPr>
                <w:rFonts w:ascii="宋体" w:hAnsi="宋体"/>
                <w:color w:val="auto"/>
                <w:kern w:val="1"/>
                <w:szCs w:val="21"/>
                <w:highlight w:val="none"/>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widowControl/>
              <w:spacing w:line="440" w:lineRule="exact"/>
              <w:jc w:val="left"/>
              <w:rPr>
                <w:rFonts w:ascii="宋体" w:hAnsi="宋体"/>
                <w:color w:val="auto"/>
                <w:kern w:val="1"/>
                <w:szCs w:val="21"/>
                <w:highlight w:val="none"/>
              </w:rPr>
            </w:pPr>
            <w:r>
              <w:rPr>
                <w:rFonts w:ascii="宋体" w:hAnsi="宋体"/>
                <w:color w:val="auto"/>
                <w:kern w:val="1"/>
                <w:szCs w:val="21"/>
                <w:highlight w:val="none"/>
              </w:rPr>
              <w:t>2、本招标文件中描述投标人的“签字”是指投标人的法定代表人或被授权人亲自在招标文件规定签署处亲笔写上个人的名字的行为，私章、签字章、印鉴、影印等其它形式均不能代替亲笔签字。</w:t>
            </w:r>
          </w:p>
        </w:tc>
      </w:tr>
    </w:tbl>
    <w:p>
      <w:pPr>
        <w:spacing w:line="360" w:lineRule="auto"/>
        <w:rPr>
          <w:rFonts w:eastAsiaTheme="minorEastAsia"/>
          <w:color w:val="auto"/>
          <w:szCs w:val="21"/>
          <w:highlight w:val="none"/>
        </w:rPr>
        <w:sectPr>
          <w:pgSz w:w="11906" w:h="16838"/>
          <w:pgMar w:top="1418" w:right="1588" w:bottom="1418" w:left="1588" w:header="851" w:footer="992" w:gutter="0"/>
          <w:cols w:space="425" w:num="1"/>
          <w:docGrid w:type="lines" w:linePitch="312" w:charSpace="0"/>
        </w:sectPr>
      </w:pPr>
    </w:p>
    <w:p>
      <w:pPr>
        <w:pStyle w:val="5"/>
        <w:spacing w:line="360" w:lineRule="auto"/>
        <w:rPr>
          <w:rFonts w:ascii="Times New Roman" w:hAnsi="Times New Roman" w:cs="Times New Roman"/>
          <w:color w:val="auto"/>
          <w:szCs w:val="21"/>
          <w:highlight w:val="none"/>
        </w:rPr>
      </w:pPr>
      <w:r>
        <w:rPr>
          <w:rFonts w:ascii="Times New Roman" w:hAnsi="Times New Roman" w:cs="Times New Roman"/>
          <w:color w:val="auto"/>
          <w:highlight w:val="none"/>
        </w:rPr>
        <w:t>一   总  则</w:t>
      </w:r>
    </w:p>
    <w:p>
      <w:pPr>
        <w:pStyle w:val="9"/>
        <w:spacing w:line="360"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1.项目概况：</w:t>
      </w:r>
    </w:p>
    <w:p>
      <w:pPr>
        <w:pStyle w:val="9"/>
        <w:spacing w:line="360" w:lineRule="auto"/>
        <w:ind w:firstLine="420" w:firstLineChars="200"/>
        <w:jc w:val="left"/>
        <w:rPr>
          <w:rFonts w:ascii="Times New Roman" w:hAnsi="Times New Roman" w:eastAsia="宋体"/>
          <w:color w:val="auto"/>
          <w:szCs w:val="21"/>
          <w:highlight w:val="none"/>
        </w:rPr>
      </w:pPr>
      <w:r>
        <w:rPr>
          <w:rFonts w:ascii="Times New Roman" w:hAnsi="Times New Roman" w:eastAsia="宋体"/>
          <w:color w:val="auto"/>
          <w:szCs w:val="21"/>
          <w:highlight w:val="none"/>
        </w:rPr>
        <w:t>1.1  采购人：见投标人须知前附表。</w:t>
      </w:r>
    </w:p>
    <w:p>
      <w:pPr>
        <w:pStyle w:val="9"/>
        <w:spacing w:line="360" w:lineRule="auto"/>
        <w:ind w:firstLine="420" w:firstLineChars="200"/>
        <w:jc w:val="left"/>
        <w:rPr>
          <w:rFonts w:ascii="Times New Roman" w:hAnsi="Times New Roman" w:eastAsia="宋体"/>
          <w:color w:val="auto"/>
          <w:szCs w:val="21"/>
          <w:highlight w:val="none"/>
        </w:rPr>
      </w:pPr>
      <w:r>
        <w:rPr>
          <w:rFonts w:ascii="Times New Roman" w:hAnsi="Times New Roman" w:eastAsia="宋体"/>
          <w:bCs/>
          <w:color w:val="auto"/>
          <w:szCs w:val="21"/>
          <w:highlight w:val="none"/>
        </w:rPr>
        <w:t xml:space="preserve">1.2  </w:t>
      </w:r>
      <w:r>
        <w:rPr>
          <w:rFonts w:ascii="Times New Roman" w:hAnsi="Times New Roman" w:eastAsia="宋体"/>
          <w:color w:val="auto"/>
          <w:szCs w:val="21"/>
          <w:highlight w:val="none"/>
        </w:rPr>
        <w:t>采购代理机构：见投标人须知前附表。</w:t>
      </w:r>
    </w:p>
    <w:p>
      <w:pPr>
        <w:pStyle w:val="9"/>
        <w:spacing w:line="360" w:lineRule="auto"/>
        <w:ind w:firstLine="420" w:firstLineChars="200"/>
        <w:jc w:val="left"/>
        <w:rPr>
          <w:rFonts w:ascii="Times New Roman" w:hAnsi="Times New Roman" w:eastAsia="宋体"/>
          <w:color w:val="auto"/>
          <w:szCs w:val="21"/>
          <w:highlight w:val="none"/>
        </w:rPr>
      </w:pPr>
      <w:r>
        <w:rPr>
          <w:rFonts w:ascii="Times New Roman" w:hAnsi="Times New Roman" w:eastAsia="宋体"/>
          <w:color w:val="auto"/>
          <w:szCs w:val="21"/>
          <w:highlight w:val="none"/>
        </w:rPr>
        <w:t>1.3  项目名称：见投标人须知前附表。</w:t>
      </w:r>
    </w:p>
    <w:p>
      <w:pPr>
        <w:pStyle w:val="9"/>
        <w:spacing w:line="360" w:lineRule="auto"/>
        <w:ind w:firstLine="420" w:firstLineChars="200"/>
        <w:jc w:val="left"/>
        <w:rPr>
          <w:rFonts w:ascii="Times New Roman" w:hAnsi="Times New Roman" w:eastAsia="宋体"/>
          <w:color w:val="auto"/>
          <w:szCs w:val="21"/>
          <w:highlight w:val="none"/>
        </w:rPr>
      </w:pPr>
      <w:r>
        <w:rPr>
          <w:rFonts w:ascii="Times New Roman" w:hAnsi="Times New Roman" w:eastAsia="宋体"/>
          <w:color w:val="auto"/>
          <w:szCs w:val="21"/>
          <w:highlight w:val="none"/>
        </w:rPr>
        <w:t>1.4  项目编号：见投标人须知前附表。</w:t>
      </w:r>
    </w:p>
    <w:p>
      <w:pPr>
        <w:pStyle w:val="9"/>
        <w:spacing w:line="360" w:lineRule="auto"/>
        <w:ind w:firstLine="420" w:firstLineChars="200"/>
        <w:jc w:val="left"/>
        <w:rPr>
          <w:rFonts w:ascii="Times New Roman" w:hAnsi="Times New Roman" w:eastAsia="宋体"/>
          <w:color w:val="auto"/>
          <w:szCs w:val="21"/>
          <w:highlight w:val="none"/>
        </w:rPr>
      </w:pPr>
      <w:r>
        <w:rPr>
          <w:rFonts w:ascii="Times New Roman" w:hAnsi="Times New Roman" w:eastAsia="宋体"/>
          <w:color w:val="auto"/>
          <w:szCs w:val="21"/>
          <w:highlight w:val="none"/>
        </w:rPr>
        <w:t>1.5  采购预算：见投标人须知前附表。</w:t>
      </w:r>
    </w:p>
    <w:p>
      <w:pPr>
        <w:pStyle w:val="9"/>
        <w:spacing w:line="360" w:lineRule="auto"/>
        <w:ind w:firstLine="420" w:firstLineChars="200"/>
        <w:jc w:val="left"/>
        <w:rPr>
          <w:rFonts w:ascii="Times New Roman" w:hAnsi="Times New Roman" w:eastAsia="宋体"/>
          <w:color w:val="auto"/>
          <w:szCs w:val="21"/>
          <w:highlight w:val="none"/>
        </w:rPr>
      </w:pPr>
      <w:r>
        <w:rPr>
          <w:rFonts w:ascii="Times New Roman" w:hAnsi="Times New Roman" w:eastAsia="宋体"/>
          <w:color w:val="auto"/>
          <w:szCs w:val="21"/>
          <w:highlight w:val="none"/>
        </w:rPr>
        <w:t>1.6  资金来源：政府财政资金</w:t>
      </w:r>
    </w:p>
    <w:p>
      <w:pPr>
        <w:pStyle w:val="9"/>
        <w:spacing w:line="360" w:lineRule="auto"/>
        <w:ind w:firstLine="420" w:firstLineChars="200"/>
        <w:jc w:val="left"/>
        <w:rPr>
          <w:rFonts w:ascii="Times New Roman" w:hAnsi="Times New Roman" w:eastAsia="宋体"/>
          <w:color w:val="auto"/>
          <w:szCs w:val="21"/>
          <w:highlight w:val="none"/>
        </w:rPr>
      </w:pPr>
      <w:r>
        <w:rPr>
          <w:rFonts w:ascii="Times New Roman" w:hAnsi="Times New Roman" w:eastAsia="宋体"/>
          <w:color w:val="auto"/>
          <w:szCs w:val="21"/>
          <w:highlight w:val="none"/>
        </w:rPr>
        <w:t>1.7  获取招标文件的时间、地点、方式：见投标人须知前附表。</w:t>
      </w:r>
    </w:p>
    <w:p>
      <w:pPr>
        <w:pStyle w:val="9"/>
        <w:spacing w:line="360"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2.采购信息发布媒体：</w:t>
      </w:r>
    </w:p>
    <w:p>
      <w:pPr>
        <w:spacing w:line="360" w:lineRule="auto"/>
        <w:ind w:firstLine="420" w:firstLineChars="200"/>
        <w:rPr>
          <w:color w:val="auto"/>
          <w:kern w:val="1"/>
          <w:szCs w:val="21"/>
          <w:highlight w:val="none"/>
          <w:u w:val="single"/>
        </w:rPr>
      </w:pPr>
      <w:r>
        <w:rPr>
          <w:bCs/>
          <w:color w:val="auto"/>
          <w:kern w:val="1"/>
          <w:szCs w:val="21"/>
          <w:highlight w:val="none"/>
        </w:rPr>
        <w:t>与本项目相关的采购业务信息（包括公开招标公告、中标公告及其更正事项等）将在以下媒体上发布：中国政府采购网、广西壮族自治区政府采购网、崇左市公共资源交易中心网</w:t>
      </w:r>
      <w:r>
        <w:rPr>
          <w:rFonts w:hint="eastAsia"/>
          <w:bCs/>
          <w:color w:val="auto"/>
          <w:kern w:val="1"/>
          <w:szCs w:val="21"/>
          <w:highlight w:val="none"/>
        </w:rPr>
        <w:t>、中国采购与招标网。</w:t>
      </w:r>
    </w:p>
    <w:p>
      <w:pPr>
        <w:pStyle w:val="9"/>
        <w:spacing w:line="360"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3.投标人资格要求：</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3.1投标人未被列入失信被执行人、重大税收违法案件当事人名单、政府采购严重违法失信行为记录名单，且应符合《中华人民共和国政府采购法》第二十二条规定的下列投标人资格条件：</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（1）具有独立承担民事责任的能力；</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（2）具有良好的商业信誉和健全的财务会计制度；</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 xml:space="preserve">（3）具有履行合同所必需的设备和专业技术能力； </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（4）有依法缴纳税收和社会保障资金的良好记录；</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（5）参加采购活动前三年内，在经营活动中没有重大违法记录；</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（6）法律、行政法规规定的其他条件。</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3.2  针对本项目，投标人应具备的特定条件：见投标人须知前附表。</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3.3投标人须知前附表规定接受联合体投标的，两个以上供应商可以组成一个投标联合体，以一个投标人的身份共同参加投标。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3.4  投标人不得直接或间接地与为本次采购的项目内容进行设计、编制规范和其他文件的咨询公司、采购代理机构或其附属机构有任何关联。</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4.询问质疑：</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4.1  投标人对政府采购活动事项有疑问的，可以向采购人或采购代理机构项目负责人提出询问。</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4.2 投标人认为公开招标文件使自己的权益受到损害的，应当在公开招标文件公告期限届满之日起七个工作日内以书面形式向采购人委托的采购代理机构质疑；质疑提交截止时间后，采购代理机构不再受理对公开招标文件的质疑。投标人认为采购过程和中标、成交结果使自己的权益受到损害的，可以在中标结果公告期限届满之日起七个工作日内，以书面形式向采购人委托的采购代理机构质疑。</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4.3  供应商质疑实行实名制，其质疑应当有具体的质疑事项及事实根据，不得进行虚假、恶意质疑;</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4.4  供应商提出质疑应当提交质疑函和必要的证明材料。质疑函应当包括下列内容：</w:t>
      </w:r>
    </w:p>
    <w:p>
      <w:pPr>
        <w:pStyle w:val="9"/>
        <w:spacing w:line="360" w:lineRule="auto"/>
        <w:ind w:firstLine="840" w:firstLineChars="400"/>
        <w:rPr>
          <w:rFonts w:ascii="Times New Roman" w:hAnsi="Times New Roman" w:eastAsia="宋体"/>
          <w:color w:val="auto"/>
          <w:szCs w:val="21"/>
          <w:highlight w:val="none"/>
        </w:rPr>
      </w:pPr>
      <w:r>
        <w:rPr>
          <w:rFonts w:ascii="Times New Roman" w:hAnsi="Times New Roman" w:eastAsia="宋体"/>
          <w:color w:val="auto"/>
          <w:szCs w:val="21"/>
          <w:highlight w:val="none"/>
        </w:rPr>
        <w:t>（一）供应商的姓名或者名称、地址、邮编、联系人及联系电话；</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　　（二）质疑项目的名称、编号；</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　　（三）具体、明确的质疑事项和与质疑事项相关的请求；</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　　（四）事实依据；</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　　（五）必要的法律依据；</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　　（六）提出质疑的日期。</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供应商为自然人的，应当由本人签字；供应商为法人或者其他组织的，应当由法定代表人、主要负责人，或者其授权代表签字或者盖章，并加盖公章。</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4.5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4.6  提出质疑的供应商（以下简称质疑供应商）应当是参与所质疑项目采购活动的供应商。</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潜在供应商已依法获取其可质疑的采购文件的，可以对该文件提出质疑。对采购文件提出质疑的，应当在获取采购文件或者采购文件公告期限届满之日起7个工作日内提出。</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4.7  采购人、采购代理机构不得拒收质疑供应商在法定质疑期内发出的质疑函，应当在收到质疑函后7个工作日内作出答复，并以书面形式通知质疑供应商和其他有关供应商。</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5.投诉：</w:t>
      </w:r>
    </w:p>
    <w:p>
      <w:pPr>
        <w:pStyle w:val="9"/>
        <w:spacing w:line="360" w:lineRule="auto"/>
        <w:ind w:firstLine="420" w:firstLineChars="200"/>
        <w:jc w:val="left"/>
        <w:rPr>
          <w:rFonts w:ascii="Times New Roman" w:hAnsi="Times New Roman" w:eastAsia="宋体"/>
          <w:color w:val="auto"/>
          <w:szCs w:val="21"/>
          <w:highlight w:val="none"/>
        </w:rPr>
      </w:pPr>
      <w:r>
        <w:rPr>
          <w:rFonts w:ascii="Times New Roman" w:hAnsi="Times New Roman" w:eastAsia="宋体"/>
          <w:color w:val="auto"/>
          <w:szCs w:val="21"/>
          <w:highlight w:val="none"/>
        </w:rPr>
        <w:t>5.1质疑供应商对采购人、采购代理机构的答复不满意，或者采购人、采购代理机构未在规定时间内作出答复的，可以在答复期满后15个工作日内向本办法第六条规定的财政部门提起投诉。</w:t>
      </w:r>
    </w:p>
    <w:p>
      <w:pPr>
        <w:pStyle w:val="9"/>
        <w:spacing w:line="360" w:lineRule="auto"/>
        <w:ind w:firstLine="420" w:firstLineChars="200"/>
        <w:jc w:val="left"/>
        <w:rPr>
          <w:rFonts w:ascii="Times New Roman" w:hAnsi="Times New Roman" w:eastAsia="宋体"/>
          <w:color w:val="auto"/>
          <w:szCs w:val="21"/>
          <w:highlight w:val="none"/>
        </w:rPr>
      </w:pPr>
      <w:r>
        <w:rPr>
          <w:rFonts w:ascii="Times New Roman" w:hAnsi="Times New Roman" w:eastAsia="宋体"/>
          <w:color w:val="auto"/>
          <w:szCs w:val="21"/>
          <w:highlight w:val="none"/>
        </w:rPr>
        <w:t>5.2投诉人投诉时,应当提交投诉书和必要的证明材料，并按照被投诉采购人、采购代理机构（以下简称被投诉人）和与投诉事项有关的供应商数量提供投诉书的副本。投诉书应当包括下列内容：</w:t>
      </w:r>
    </w:p>
    <w:p>
      <w:pPr>
        <w:pStyle w:val="9"/>
        <w:spacing w:line="360" w:lineRule="auto"/>
        <w:ind w:firstLine="840" w:firstLineChars="400"/>
        <w:jc w:val="left"/>
        <w:rPr>
          <w:rFonts w:ascii="Times New Roman" w:hAnsi="Times New Roman" w:eastAsia="宋体"/>
          <w:color w:val="auto"/>
          <w:szCs w:val="21"/>
          <w:highlight w:val="none"/>
        </w:rPr>
      </w:pPr>
      <w:r>
        <w:rPr>
          <w:rFonts w:ascii="Times New Roman" w:hAnsi="Times New Roman" w:eastAsia="宋体"/>
          <w:color w:val="auto"/>
          <w:szCs w:val="21"/>
          <w:highlight w:val="none"/>
        </w:rPr>
        <w:t>（一）投诉人和被投诉人的姓名或者名称、通讯地址、邮编、联系人及联系电话；</w:t>
      </w:r>
    </w:p>
    <w:p>
      <w:pPr>
        <w:pStyle w:val="9"/>
        <w:spacing w:line="360" w:lineRule="auto"/>
        <w:ind w:firstLine="420" w:firstLineChars="200"/>
        <w:jc w:val="left"/>
        <w:rPr>
          <w:rFonts w:ascii="Times New Roman" w:hAnsi="Times New Roman" w:eastAsia="宋体"/>
          <w:color w:val="auto"/>
          <w:szCs w:val="21"/>
          <w:highlight w:val="none"/>
        </w:rPr>
      </w:pPr>
      <w:r>
        <w:rPr>
          <w:rFonts w:ascii="Times New Roman" w:hAnsi="Times New Roman" w:eastAsia="宋体"/>
          <w:color w:val="auto"/>
          <w:szCs w:val="21"/>
          <w:highlight w:val="none"/>
        </w:rPr>
        <w:t>　　（二）质疑和质疑答复情况说明及相关证明材料；</w:t>
      </w:r>
    </w:p>
    <w:p>
      <w:pPr>
        <w:pStyle w:val="9"/>
        <w:spacing w:line="360" w:lineRule="auto"/>
        <w:ind w:firstLine="420" w:firstLineChars="200"/>
        <w:jc w:val="left"/>
        <w:rPr>
          <w:rFonts w:ascii="Times New Roman" w:hAnsi="Times New Roman" w:eastAsia="宋体"/>
          <w:color w:val="auto"/>
          <w:szCs w:val="21"/>
          <w:highlight w:val="none"/>
        </w:rPr>
      </w:pPr>
      <w:r>
        <w:rPr>
          <w:rFonts w:ascii="Times New Roman" w:hAnsi="Times New Roman" w:eastAsia="宋体"/>
          <w:color w:val="auto"/>
          <w:szCs w:val="21"/>
          <w:highlight w:val="none"/>
        </w:rPr>
        <w:t>　　（三）具体、明确的投诉事项和与投诉事项相关的投诉请求；</w:t>
      </w:r>
    </w:p>
    <w:p>
      <w:pPr>
        <w:pStyle w:val="9"/>
        <w:spacing w:line="360" w:lineRule="auto"/>
        <w:ind w:firstLine="420" w:firstLineChars="200"/>
        <w:jc w:val="left"/>
        <w:rPr>
          <w:rFonts w:ascii="Times New Roman" w:hAnsi="Times New Roman" w:eastAsia="宋体"/>
          <w:color w:val="auto"/>
          <w:szCs w:val="21"/>
          <w:highlight w:val="none"/>
        </w:rPr>
      </w:pPr>
      <w:r>
        <w:rPr>
          <w:rFonts w:ascii="Times New Roman" w:hAnsi="Times New Roman" w:eastAsia="宋体"/>
          <w:color w:val="auto"/>
          <w:szCs w:val="21"/>
          <w:highlight w:val="none"/>
        </w:rPr>
        <w:t>　　（四）事实依据；</w:t>
      </w:r>
    </w:p>
    <w:p>
      <w:pPr>
        <w:pStyle w:val="9"/>
        <w:spacing w:line="360" w:lineRule="auto"/>
        <w:ind w:firstLine="420" w:firstLineChars="200"/>
        <w:jc w:val="left"/>
        <w:rPr>
          <w:rFonts w:ascii="Times New Roman" w:hAnsi="Times New Roman" w:eastAsia="宋体"/>
          <w:color w:val="auto"/>
          <w:szCs w:val="21"/>
          <w:highlight w:val="none"/>
        </w:rPr>
      </w:pPr>
      <w:r>
        <w:rPr>
          <w:rFonts w:ascii="Times New Roman" w:hAnsi="Times New Roman" w:eastAsia="宋体"/>
          <w:color w:val="auto"/>
          <w:szCs w:val="21"/>
          <w:highlight w:val="none"/>
        </w:rPr>
        <w:t>　　（五）法律依据；</w:t>
      </w:r>
    </w:p>
    <w:p>
      <w:pPr>
        <w:pStyle w:val="9"/>
        <w:spacing w:line="360" w:lineRule="auto"/>
        <w:ind w:firstLine="420" w:firstLineChars="200"/>
        <w:jc w:val="left"/>
        <w:rPr>
          <w:rFonts w:ascii="Times New Roman" w:hAnsi="Times New Roman" w:eastAsia="宋体"/>
          <w:color w:val="auto"/>
          <w:szCs w:val="21"/>
          <w:highlight w:val="none"/>
        </w:rPr>
      </w:pPr>
      <w:r>
        <w:rPr>
          <w:rFonts w:ascii="Times New Roman" w:hAnsi="Times New Roman" w:eastAsia="宋体"/>
          <w:color w:val="auto"/>
          <w:szCs w:val="21"/>
          <w:highlight w:val="none"/>
        </w:rPr>
        <w:t xml:space="preserve">　　（六）提起投诉的日期。 </w:t>
      </w:r>
    </w:p>
    <w:p>
      <w:pPr>
        <w:pStyle w:val="9"/>
        <w:spacing w:line="360" w:lineRule="auto"/>
        <w:ind w:firstLine="420" w:firstLineChars="200"/>
        <w:jc w:val="left"/>
        <w:rPr>
          <w:rFonts w:ascii="Times New Roman" w:hAnsi="Times New Roman" w:eastAsia="宋体"/>
          <w:color w:val="auto"/>
          <w:szCs w:val="21"/>
          <w:highlight w:val="none"/>
        </w:rPr>
      </w:pPr>
      <w:r>
        <w:rPr>
          <w:rFonts w:ascii="Times New Roman" w:hAnsi="Times New Roman" w:eastAsia="宋体"/>
          <w:color w:val="auto"/>
          <w:szCs w:val="21"/>
          <w:highlight w:val="none"/>
        </w:rPr>
        <w:t>投诉人为自然人的，应当由本人签字；投诉人为法人或者其他组织的，应当由法定代表人、主要负责人，或者其授权代表签字或者盖章，并加盖公章。</w:t>
      </w:r>
    </w:p>
    <w:p>
      <w:pPr>
        <w:pStyle w:val="9"/>
        <w:spacing w:line="360" w:lineRule="auto"/>
        <w:ind w:firstLine="420" w:firstLineChars="200"/>
        <w:jc w:val="left"/>
        <w:rPr>
          <w:rFonts w:ascii="Times New Roman" w:hAnsi="Times New Roman" w:eastAsia="宋体"/>
          <w:color w:val="auto"/>
          <w:szCs w:val="21"/>
          <w:highlight w:val="none"/>
        </w:rPr>
      </w:pPr>
      <w:r>
        <w:rPr>
          <w:rFonts w:ascii="Times New Roman" w:hAnsi="Times New Roman" w:eastAsia="宋体"/>
          <w:color w:val="auto"/>
          <w:szCs w:val="21"/>
          <w:highlight w:val="none"/>
        </w:rPr>
        <w:t>5.3投诉人可以委托代理人办理投诉事务。代理人办理投诉事务时，除提交投诉书外，还应当提交投诉人的授权委托书，授权委托书应当载明委托代理的具体权限和事项。</w:t>
      </w:r>
    </w:p>
    <w:p>
      <w:pPr>
        <w:spacing w:line="360" w:lineRule="auto"/>
        <w:ind w:firstLine="420" w:firstLineChars="200"/>
        <w:rPr>
          <w:color w:val="auto"/>
          <w:szCs w:val="21"/>
          <w:highlight w:val="none"/>
        </w:rPr>
      </w:pPr>
      <w:r>
        <w:rPr>
          <w:color w:val="auto"/>
          <w:szCs w:val="21"/>
          <w:highlight w:val="none"/>
        </w:rPr>
        <w:t>5.4  投诉人提起投诉应当符合下列条件：</w:t>
      </w:r>
    </w:p>
    <w:p>
      <w:pPr>
        <w:spacing w:line="360" w:lineRule="auto"/>
        <w:ind w:firstLine="420" w:firstLineChars="200"/>
        <w:rPr>
          <w:color w:val="auto"/>
          <w:szCs w:val="21"/>
          <w:highlight w:val="none"/>
        </w:rPr>
      </w:pPr>
      <w:r>
        <w:rPr>
          <w:color w:val="auto"/>
          <w:szCs w:val="21"/>
          <w:highlight w:val="none"/>
        </w:rPr>
        <w:t>　　（一）提起投诉前已依法进行质疑；</w:t>
      </w:r>
    </w:p>
    <w:p>
      <w:pPr>
        <w:spacing w:line="360" w:lineRule="auto"/>
        <w:ind w:firstLine="420" w:firstLineChars="200"/>
        <w:rPr>
          <w:color w:val="auto"/>
          <w:szCs w:val="21"/>
          <w:highlight w:val="none"/>
        </w:rPr>
      </w:pPr>
      <w:r>
        <w:rPr>
          <w:color w:val="auto"/>
          <w:szCs w:val="21"/>
          <w:highlight w:val="none"/>
        </w:rPr>
        <w:t>　　（二）投诉书内容符合本办法的规定；</w:t>
      </w:r>
    </w:p>
    <w:p>
      <w:pPr>
        <w:spacing w:line="360" w:lineRule="auto"/>
        <w:ind w:firstLine="420" w:firstLineChars="200"/>
        <w:rPr>
          <w:color w:val="auto"/>
          <w:szCs w:val="21"/>
          <w:highlight w:val="none"/>
        </w:rPr>
      </w:pPr>
      <w:r>
        <w:rPr>
          <w:color w:val="auto"/>
          <w:szCs w:val="21"/>
          <w:highlight w:val="none"/>
        </w:rPr>
        <w:t>　　（三）在投诉有效期限内提起投诉；</w:t>
      </w:r>
    </w:p>
    <w:p>
      <w:pPr>
        <w:spacing w:line="360" w:lineRule="auto"/>
        <w:ind w:firstLine="420" w:firstLineChars="200"/>
        <w:rPr>
          <w:color w:val="auto"/>
          <w:szCs w:val="21"/>
          <w:highlight w:val="none"/>
        </w:rPr>
      </w:pPr>
      <w:r>
        <w:rPr>
          <w:color w:val="auto"/>
          <w:szCs w:val="21"/>
          <w:highlight w:val="none"/>
        </w:rPr>
        <w:t>　　（四）同一投诉事项未经财政部门投诉处理；</w:t>
      </w:r>
    </w:p>
    <w:p>
      <w:pPr>
        <w:spacing w:line="360" w:lineRule="auto"/>
        <w:ind w:firstLine="420" w:firstLineChars="200"/>
        <w:rPr>
          <w:color w:val="auto"/>
          <w:szCs w:val="21"/>
          <w:highlight w:val="none"/>
        </w:rPr>
      </w:pPr>
      <w:r>
        <w:rPr>
          <w:color w:val="auto"/>
          <w:szCs w:val="21"/>
          <w:highlight w:val="none"/>
        </w:rPr>
        <w:t>　　（五）财政部规定的其他条件。</w:t>
      </w:r>
    </w:p>
    <w:p>
      <w:pPr>
        <w:spacing w:line="360" w:lineRule="auto"/>
        <w:ind w:firstLine="420" w:firstLineChars="200"/>
        <w:rPr>
          <w:color w:val="auto"/>
          <w:szCs w:val="21"/>
          <w:highlight w:val="none"/>
        </w:rPr>
      </w:pPr>
      <w:r>
        <w:rPr>
          <w:color w:val="auto"/>
          <w:szCs w:val="21"/>
          <w:highlight w:val="none"/>
        </w:rPr>
        <w:t>供应商投诉的事项不得超出已质疑事项的范围，但基于质疑答复内容提出的投诉事项除外。</w:t>
      </w:r>
    </w:p>
    <w:p>
      <w:pPr>
        <w:spacing w:line="360" w:lineRule="auto"/>
        <w:ind w:firstLine="420" w:firstLineChars="200"/>
        <w:rPr>
          <w:color w:val="auto"/>
          <w:kern w:val="1"/>
          <w:szCs w:val="21"/>
          <w:highlight w:val="none"/>
        </w:rPr>
      </w:pPr>
      <w:r>
        <w:rPr>
          <w:color w:val="auto"/>
          <w:kern w:val="1"/>
          <w:szCs w:val="21"/>
          <w:highlight w:val="none"/>
        </w:rPr>
        <w:t>5.5  财政部门收到投诉书后，应当在5个工作日内进行审查，审查后按照情况处理。</w:t>
      </w:r>
    </w:p>
    <w:p>
      <w:pPr>
        <w:spacing w:line="360" w:lineRule="auto"/>
        <w:ind w:firstLine="420" w:firstLineChars="200"/>
        <w:rPr>
          <w:color w:val="auto"/>
          <w:kern w:val="1"/>
          <w:szCs w:val="21"/>
          <w:highlight w:val="none"/>
        </w:rPr>
      </w:pPr>
      <w:r>
        <w:rPr>
          <w:color w:val="auto"/>
          <w:kern w:val="1"/>
          <w:szCs w:val="21"/>
          <w:highlight w:val="none"/>
        </w:rPr>
        <w:t xml:space="preserve">5.6  </w:t>
      </w:r>
      <w:r>
        <w:rPr>
          <w:rFonts w:hint="eastAsia"/>
          <w:color w:val="auto"/>
          <w:kern w:val="1"/>
          <w:szCs w:val="21"/>
          <w:highlight w:val="none"/>
        </w:rPr>
        <w:t>本项目允许分包</w:t>
      </w:r>
    </w:p>
    <w:p>
      <w:pPr>
        <w:pStyle w:val="5"/>
        <w:spacing w:line="360" w:lineRule="auto"/>
        <w:rPr>
          <w:rFonts w:ascii="Times New Roman" w:hAnsi="Times New Roman" w:cs="Times New Roman"/>
          <w:color w:val="auto"/>
          <w:highlight w:val="none"/>
        </w:rPr>
      </w:pPr>
      <w:r>
        <w:rPr>
          <w:rFonts w:ascii="Times New Roman" w:hAnsi="Times New Roman" w:cs="Times New Roman"/>
          <w:color w:val="auto"/>
          <w:highlight w:val="none"/>
        </w:rPr>
        <w:t>二   公开招标文件</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6.公开招标文件的组成</w:t>
      </w:r>
    </w:p>
    <w:p>
      <w:pPr>
        <w:pStyle w:val="9"/>
        <w:spacing w:line="360" w:lineRule="auto"/>
        <w:ind w:firstLine="359"/>
        <w:rPr>
          <w:rFonts w:ascii="Times New Roman" w:hAnsi="Times New Roman" w:eastAsia="宋体"/>
          <w:color w:val="auto"/>
          <w:szCs w:val="21"/>
          <w:highlight w:val="none"/>
        </w:rPr>
      </w:pPr>
      <w:r>
        <w:rPr>
          <w:rFonts w:ascii="Times New Roman" w:hAnsi="Times New Roman" w:eastAsia="宋体"/>
          <w:color w:val="auto"/>
          <w:szCs w:val="21"/>
          <w:highlight w:val="none"/>
        </w:rPr>
        <w:t>6.1  本</w:t>
      </w:r>
      <w:r>
        <w:rPr>
          <w:rFonts w:ascii="Times New Roman" w:hAnsi="Times New Roman" w:eastAsia="宋体"/>
          <w:bCs/>
          <w:color w:val="auto"/>
          <w:szCs w:val="21"/>
          <w:highlight w:val="none"/>
        </w:rPr>
        <w:t>公开招标</w:t>
      </w:r>
      <w:r>
        <w:rPr>
          <w:rFonts w:ascii="Times New Roman" w:hAnsi="Times New Roman" w:eastAsia="宋体"/>
          <w:color w:val="auto"/>
          <w:szCs w:val="21"/>
          <w:highlight w:val="none"/>
        </w:rPr>
        <w:t>文件包括六个章节，各章的内容如下：</w:t>
      </w:r>
    </w:p>
    <w:p>
      <w:pPr>
        <w:pStyle w:val="9"/>
        <w:spacing w:line="360" w:lineRule="auto"/>
        <w:ind w:firstLine="718"/>
        <w:rPr>
          <w:rFonts w:ascii="Times New Roman" w:hAnsi="Times New Roman" w:eastAsia="宋体"/>
          <w:color w:val="auto"/>
          <w:szCs w:val="21"/>
          <w:highlight w:val="none"/>
        </w:rPr>
      </w:pPr>
      <w:r>
        <w:rPr>
          <w:rFonts w:ascii="Times New Roman" w:hAnsi="Times New Roman" w:eastAsia="宋体"/>
          <w:color w:val="auto"/>
          <w:szCs w:val="21"/>
          <w:highlight w:val="none"/>
        </w:rPr>
        <w:t>第一章  公告</w:t>
      </w:r>
    </w:p>
    <w:p>
      <w:pPr>
        <w:pStyle w:val="9"/>
        <w:spacing w:line="360" w:lineRule="auto"/>
        <w:ind w:firstLine="718"/>
        <w:rPr>
          <w:rFonts w:ascii="Times New Roman" w:hAnsi="Times New Roman" w:eastAsia="宋体"/>
          <w:color w:val="auto"/>
          <w:szCs w:val="21"/>
          <w:highlight w:val="none"/>
        </w:rPr>
      </w:pPr>
      <w:r>
        <w:rPr>
          <w:rFonts w:ascii="Times New Roman" w:hAnsi="Times New Roman" w:eastAsia="宋体"/>
          <w:color w:val="auto"/>
          <w:szCs w:val="21"/>
          <w:highlight w:val="none"/>
        </w:rPr>
        <w:t>第二章  采购需求</w:t>
      </w:r>
    </w:p>
    <w:p>
      <w:pPr>
        <w:pStyle w:val="9"/>
        <w:spacing w:line="360" w:lineRule="auto"/>
        <w:ind w:firstLine="718"/>
        <w:rPr>
          <w:rFonts w:ascii="Times New Roman" w:hAnsi="Times New Roman" w:eastAsia="宋体"/>
          <w:color w:val="auto"/>
          <w:szCs w:val="21"/>
          <w:highlight w:val="none"/>
        </w:rPr>
      </w:pPr>
      <w:r>
        <w:rPr>
          <w:rFonts w:ascii="Times New Roman" w:hAnsi="Times New Roman" w:eastAsia="宋体"/>
          <w:color w:val="auto"/>
          <w:szCs w:val="21"/>
          <w:highlight w:val="none"/>
        </w:rPr>
        <w:t>第三章  投标人须知</w:t>
      </w:r>
    </w:p>
    <w:p>
      <w:pPr>
        <w:pStyle w:val="9"/>
        <w:spacing w:line="360" w:lineRule="auto"/>
        <w:ind w:firstLine="718"/>
        <w:rPr>
          <w:rFonts w:ascii="Times New Roman" w:hAnsi="Times New Roman" w:eastAsia="宋体"/>
          <w:color w:val="auto"/>
          <w:szCs w:val="21"/>
          <w:highlight w:val="none"/>
        </w:rPr>
      </w:pPr>
      <w:r>
        <w:rPr>
          <w:rFonts w:ascii="Times New Roman" w:hAnsi="Times New Roman" w:eastAsia="宋体"/>
          <w:color w:val="auto"/>
          <w:szCs w:val="21"/>
          <w:highlight w:val="none"/>
        </w:rPr>
        <w:t>第四章  评标办法</w:t>
      </w:r>
    </w:p>
    <w:p>
      <w:pPr>
        <w:pStyle w:val="9"/>
        <w:spacing w:line="360" w:lineRule="auto"/>
        <w:ind w:firstLine="718"/>
        <w:rPr>
          <w:rFonts w:ascii="Times New Roman" w:hAnsi="Times New Roman" w:eastAsia="宋体"/>
          <w:color w:val="auto"/>
          <w:szCs w:val="21"/>
          <w:highlight w:val="none"/>
        </w:rPr>
      </w:pPr>
      <w:r>
        <w:rPr>
          <w:rFonts w:ascii="Times New Roman" w:hAnsi="Times New Roman" w:eastAsia="宋体"/>
          <w:color w:val="auto"/>
          <w:szCs w:val="21"/>
          <w:highlight w:val="none"/>
        </w:rPr>
        <w:t>第五章  投标文件格式</w:t>
      </w:r>
    </w:p>
    <w:p>
      <w:pPr>
        <w:pStyle w:val="9"/>
        <w:spacing w:line="360" w:lineRule="auto"/>
        <w:ind w:firstLine="718"/>
        <w:rPr>
          <w:rFonts w:ascii="Times New Roman" w:hAnsi="Times New Roman" w:eastAsia="宋体"/>
          <w:color w:val="auto"/>
          <w:szCs w:val="21"/>
          <w:highlight w:val="none"/>
        </w:rPr>
      </w:pPr>
      <w:r>
        <w:rPr>
          <w:rFonts w:ascii="Times New Roman" w:hAnsi="Times New Roman" w:eastAsia="宋体"/>
          <w:color w:val="auto"/>
          <w:szCs w:val="21"/>
          <w:highlight w:val="none"/>
        </w:rPr>
        <w:t>第六章  合同条款及格式</w:t>
      </w:r>
    </w:p>
    <w:p>
      <w:pPr>
        <w:pStyle w:val="9"/>
        <w:spacing w:line="360" w:lineRule="auto"/>
        <w:ind w:firstLine="462"/>
        <w:rPr>
          <w:rFonts w:ascii="Times New Roman" w:hAnsi="Times New Roman" w:eastAsia="宋体"/>
          <w:color w:val="auto"/>
          <w:szCs w:val="21"/>
          <w:highlight w:val="none"/>
        </w:rPr>
      </w:pPr>
      <w:r>
        <w:rPr>
          <w:rFonts w:ascii="Times New Roman" w:hAnsi="Times New Roman" w:eastAsia="宋体"/>
          <w:color w:val="auto"/>
          <w:szCs w:val="21"/>
          <w:highlight w:val="none"/>
        </w:rPr>
        <w:t>6.2根据本章第7.1项的规定对公开招标文件所做的澄清、修改，构成招标文件的组成部分。当公开招标文件与招标文件的澄清和修改就同一内容的表述不一致时，以最后发出的书面文件为准。</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7.招标文件的澄清和修改</w:t>
      </w:r>
    </w:p>
    <w:p>
      <w:pPr>
        <w:pStyle w:val="9"/>
        <w:spacing w:line="360" w:lineRule="auto"/>
        <w:ind w:firstLine="480"/>
        <w:rPr>
          <w:rFonts w:ascii="Times New Roman" w:hAnsi="Times New Roman" w:eastAsia="宋体"/>
          <w:color w:val="auto"/>
          <w:szCs w:val="21"/>
          <w:highlight w:val="none"/>
        </w:rPr>
      </w:pPr>
      <w:r>
        <w:rPr>
          <w:rFonts w:ascii="Times New Roman" w:hAnsi="Times New Roman" w:eastAsia="宋体"/>
          <w:color w:val="auto"/>
          <w:szCs w:val="21"/>
          <w:highlight w:val="none"/>
        </w:rPr>
        <w:t>7.1投标人应认真审阅本公开招标文件，如有疑问，或发现其中有误或有要求不合理的，应在投标人须知前附表规定的</w:t>
      </w:r>
      <w:r>
        <w:rPr>
          <w:rFonts w:ascii="Times New Roman" w:hAnsi="Times New Roman" w:eastAsia="宋体"/>
          <w:color w:val="auto"/>
          <w:kern w:val="0"/>
          <w:szCs w:val="21"/>
          <w:highlight w:val="none"/>
        </w:rPr>
        <w:t>投标人要求澄清的截止时间</w:t>
      </w:r>
      <w:r>
        <w:rPr>
          <w:rFonts w:ascii="Times New Roman" w:hAnsi="Times New Roman" w:eastAsia="宋体"/>
          <w:color w:val="auto"/>
          <w:szCs w:val="21"/>
          <w:highlight w:val="none"/>
        </w:rPr>
        <w:t>前以书面形式要求采购人或采购代理机构对招标文件予以澄清；否则，由此产生的后果由投标人自行负责。</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7.2采购人或者采购代理机构可以对已发出的招标文件进行必要的澄清或者修改，但不得改变采购标的和资格条件。</w:t>
      </w:r>
    </w:p>
    <w:p>
      <w:pPr>
        <w:spacing w:line="360" w:lineRule="auto"/>
        <w:ind w:firstLine="420" w:firstLineChars="200"/>
        <w:rPr>
          <w:color w:val="auto"/>
          <w:szCs w:val="21"/>
          <w:highlight w:val="none"/>
        </w:rPr>
      </w:pPr>
      <w:r>
        <w:rPr>
          <w:color w:val="auto"/>
          <w:szCs w:val="21"/>
          <w:highlight w:val="none"/>
        </w:rPr>
        <w:t>7.3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同时，采购代理机构在本章第2.1项规定的采购信息发布媒体上发布更正公告。</w:t>
      </w:r>
    </w:p>
    <w:p>
      <w:pPr>
        <w:pStyle w:val="5"/>
        <w:spacing w:line="360" w:lineRule="auto"/>
        <w:rPr>
          <w:rFonts w:ascii="Times New Roman" w:hAnsi="Times New Roman" w:cs="Times New Roman"/>
          <w:b w:val="0"/>
          <w:color w:val="auto"/>
          <w:szCs w:val="24"/>
          <w:highlight w:val="none"/>
        </w:rPr>
      </w:pPr>
      <w:r>
        <w:rPr>
          <w:rFonts w:ascii="Times New Roman" w:hAnsi="Times New Roman" w:cs="Times New Roman"/>
          <w:color w:val="auto"/>
          <w:highlight w:val="none"/>
        </w:rPr>
        <w:t>三   投标文件</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8.投标文件的编制</w:t>
      </w:r>
    </w:p>
    <w:p>
      <w:pPr>
        <w:pStyle w:val="9"/>
        <w:spacing w:line="360" w:lineRule="auto"/>
        <w:ind w:left="2" w:firstLine="360"/>
        <w:rPr>
          <w:rFonts w:ascii="Times New Roman" w:hAnsi="Times New Roman" w:eastAsia="宋体"/>
          <w:color w:val="auto"/>
          <w:szCs w:val="21"/>
          <w:highlight w:val="none"/>
        </w:rPr>
      </w:pPr>
      <w:r>
        <w:rPr>
          <w:rFonts w:ascii="Times New Roman" w:hAnsi="Times New Roman" w:eastAsia="宋体"/>
          <w:color w:val="auto"/>
          <w:szCs w:val="21"/>
          <w:highlight w:val="none"/>
        </w:rPr>
        <w:t>8.1投标人应仔细阅读招标文件，在充分了解招标的内容要求和商务条款等实质性要求和条件后，编写投标文件。</w:t>
      </w:r>
    </w:p>
    <w:p>
      <w:pPr>
        <w:pStyle w:val="9"/>
        <w:spacing w:line="360" w:lineRule="auto"/>
        <w:ind w:left="2" w:firstLine="360"/>
        <w:rPr>
          <w:rFonts w:ascii="Times New Roman" w:hAnsi="Times New Roman" w:eastAsia="宋体"/>
          <w:color w:val="auto"/>
          <w:szCs w:val="21"/>
          <w:highlight w:val="none"/>
        </w:rPr>
      </w:pPr>
      <w:r>
        <w:rPr>
          <w:rFonts w:ascii="Times New Roman" w:hAnsi="Times New Roman" w:eastAsia="宋体"/>
          <w:color w:val="auto"/>
          <w:szCs w:val="21"/>
          <w:highlight w:val="none"/>
        </w:rPr>
        <w:t>8.2对招标文件的实质性要求和条件作出响应是指投标人必须对招标文件实质性要求内容</w:t>
      </w:r>
      <w:r>
        <w:rPr>
          <w:rFonts w:ascii="Times New Roman" w:hAnsi="Times New Roman" w:eastAsia="宋体"/>
          <w:bCs/>
          <w:color w:val="auto"/>
          <w:szCs w:val="21"/>
          <w:highlight w:val="none"/>
        </w:rPr>
        <w:t>作出满足或者优于原要求和条件的承诺。</w:t>
      </w:r>
    </w:p>
    <w:p>
      <w:pPr>
        <w:pStyle w:val="9"/>
        <w:spacing w:line="360" w:lineRule="auto"/>
        <w:ind w:left="2" w:firstLine="360"/>
        <w:rPr>
          <w:rFonts w:ascii="Times New Roman" w:hAnsi="Times New Roman" w:eastAsia="宋体"/>
          <w:color w:val="auto"/>
          <w:szCs w:val="21"/>
          <w:highlight w:val="none"/>
        </w:rPr>
      </w:pPr>
      <w:r>
        <w:rPr>
          <w:rFonts w:ascii="Times New Roman" w:hAnsi="Times New Roman" w:eastAsia="宋体"/>
          <w:color w:val="auto"/>
          <w:szCs w:val="21"/>
          <w:highlight w:val="none"/>
        </w:rPr>
        <w:t>8.3投标文件应用不褪色的材料书写或打印，保证其清楚、工整，相关材料的复印件应清晰可辨认。投标文件字迹潦草、表达不清、模糊无法辨认而导致非唯一理解是投标人的风险，很可能导致该投标无效。</w:t>
      </w:r>
    </w:p>
    <w:p>
      <w:pPr>
        <w:pStyle w:val="9"/>
        <w:spacing w:line="360" w:lineRule="auto"/>
        <w:ind w:left="2" w:firstLine="360"/>
        <w:rPr>
          <w:rFonts w:ascii="Times New Roman" w:hAnsi="Times New Roman" w:eastAsia="宋体"/>
          <w:color w:val="auto"/>
          <w:szCs w:val="21"/>
          <w:highlight w:val="none"/>
        </w:rPr>
      </w:pPr>
      <w:r>
        <w:rPr>
          <w:rFonts w:ascii="Times New Roman" w:hAnsi="Times New Roman" w:eastAsia="宋体"/>
          <w:color w:val="auto"/>
          <w:szCs w:val="21"/>
          <w:highlight w:val="none"/>
        </w:rPr>
        <w:t>8.4  第五章“投标文件格式”中规定了投标文件格式的，应按相应格式要求编写。</w:t>
      </w:r>
    </w:p>
    <w:p>
      <w:pPr>
        <w:pStyle w:val="9"/>
        <w:spacing w:line="360" w:lineRule="auto"/>
        <w:ind w:left="2" w:firstLine="360"/>
        <w:rPr>
          <w:rFonts w:ascii="Times New Roman" w:hAnsi="Times New Roman" w:eastAsia="宋体"/>
          <w:color w:val="auto"/>
          <w:szCs w:val="21"/>
          <w:highlight w:val="none"/>
        </w:rPr>
      </w:pPr>
      <w:r>
        <w:rPr>
          <w:rFonts w:ascii="Times New Roman" w:hAnsi="Times New Roman" w:eastAsia="宋体"/>
          <w:color w:val="auto"/>
          <w:szCs w:val="21"/>
          <w:highlight w:val="none"/>
        </w:rPr>
        <w:t>8.5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9"/>
        <w:spacing w:line="360" w:lineRule="auto"/>
        <w:ind w:left="2" w:firstLine="360"/>
        <w:rPr>
          <w:rFonts w:ascii="Times New Roman" w:hAnsi="Times New Roman" w:eastAsia="宋体"/>
          <w:color w:val="auto"/>
          <w:szCs w:val="21"/>
          <w:highlight w:val="none"/>
        </w:rPr>
      </w:pPr>
      <w:r>
        <w:rPr>
          <w:rFonts w:ascii="Times New Roman" w:hAnsi="Times New Roman" w:eastAsia="宋体"/>
          <w:color w:val="auto"/>
          <w:szCs w:val="21"/>
          <w:highlight w:val="none"/>
        </w:rPr>
        <w:t>8.6投标文件的正本和副本应分别装订成册，封面上应清楚地标记“正本”或“副本”字样，并标明项目名称、项目编号、投标人名称等内容。副本可以采用正本的复印件，当副本和正本不一致时，以正本为准。投标文件由资格审查部分、商务部分、技术部分三部分组成，投标文件正副本份数见投标人须知前附表。</w:t>
      </w:r>
    </w:p>
    <w:p>
      <w:pPr>
        <w:snapToGrid w:val="0"/>
        <w:spacing w:line="360" w:lineRule="auto"/>
        <w:ind w:firstLine="420"/>
        <w:jc w:val="left"/>
        <w:rPr>
          <w:color w:val="auto"/>
          <w:szCs w:val="21"/>
          <w:highlight w:val="none"/>
        </w:rPr>
      </w:pPr>
      <w:r>
        <w:rPr>
          <w:color w:val="auto"/>
          <w:szCs w:val="21"/>
          <w:highlight w:val="none"/>
        </w:rPr>
        <w:t>8.7特别说明：</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8.7.1投标人投标所使用的资格、信誉、荣誉、单位业绩与企业认证必须为法人单位所拥有。投标人投标所使用的采购项目实施人员必须为本法人单位员工（或必须为本法人或控股公司正式员工）。</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8.7.2投标人应仔细阅读招标文件的所有内容，按照招标文件的要求提交投标文件，并对所提供的全部资料的真实性承担法律责任。</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8.7.3投标人在投标活动中提供任何虚假材料,其投标无效，并报监管部门查处；中标后发现的,中标人须依照《中华人民共和国消费者权益保护法》规定赔偿采购人，且民事赔偿并不免除违法投标人的行政与刑事责任。</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8.7.4在政府采购活动中，采购人员及相关人员与投标人有下列利害关系之一的，应当回避：</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（1）参加采购活动前3年内与投标人存在劳动关系；</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（2）参加采购活动前3年内担任投标人的董事、监事；</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（3）参加采购活动前3年内是投标人的控股股东或者实际控制人；</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（4）与投标人的法定代表人或者负责人有夫妻、直系血亲、三代以内旁系血亲或者近姻亲关系；</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（5）与投标人有其他可能影响政府采购活动公平、公正进行的关系。</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8.7.5有下列情形之一的视为投标人相互串通投标，投标文件将被视为无效：</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（1）不同投标人的投标文件由同一单位或者个人编制；或不同投标人报名的IP地址一致的；</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（2）不同投标人委托同一单位或者个人办理投标事宜；</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（3）不同的投标人的投标文件载明的项目管理员为同一个人；</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（4）不同投标人的投标文件异常一致或投标报价呈规律性差异；</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（5）不同投标人的投标文件相互混装；</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（6）不同投标人的投标保证金从同一单位或者个人账户转出。</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8.7.6供应商有下列情形之一的，属于恶意串通行为：</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（1）供应商直接或者间接从采购人或者采购代理机构处获得其他供应商的相关信息并修改其投标文件或者响应文件：</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（2）供应商按照采购人或者采购代理机构的授意撤换、修改投标文件或者响应文件；</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（3）供应商之间协商报价、技术方案等投标文件或者响应文件的实质性内容；</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（4）属于同一集团、协会、商会等组织成员的供应商按照该组织要求协同参加政府采购活动；</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（5）供应商之间事先约定一致抬高或者压低投标报价,或者在招标项目中事先约定轮流以高价位或者低价位中标,或者事先约定由某一特定供应商中标,然后再参加投标；</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（6）供应商之间商定部分供应商放弃参加政府采购活动或者放弃中标；</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（7）供应商与采购人或者采购代理机构之间、供应商相互之间，为谋求特定供应商中标或者排斥其他供应商的其他串通行为。</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8.7.7关联供应商不得参加同一合同项下政府采购活动，否则投标文件将被视为无效：</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（1）单位负责人为同一人或者存在直接控股、管理关系的不同的供应商，不得参加同一合同项下的政府采购活动；</w:t>
      </w:r>
    </w:p>
    <w:p>
      <w:pPr>
        <w:pStyle w:val="9"/>
        <w:snapToGrid w:val="0"/>
        <w:spacing w:line="360" w:lineRule="auto"/>
        <w:ind w:left="2" w:leftChars="1" w:firstLine="420" w:firstLineChars="20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（2）生产厂商授权给供应商后自己不得参加同一合同项下的政府采购活动；生产厂商对同一品牌同一型号的货物，仅能委托一个代理商参加投标。</w:t>
      </w:r>
    </w:p>
    <w:p>
      <w:pPr>
        <w:pStyle w:val="9"/>
        <w:spacing w:line="360" w:lineRule="auto"/>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9.投标语言文字及计量单位</w:t>
      </w:r>
    </w:p>
    <w:p>
      <w:pPr>
        <w:pStyle w:val="9"/>
        <w:spacing w:line="360" w:lineRule="auto"/>
        <w:ind w:firstLine="36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9.1投标人的投标文件以及投标人与采购人、采购代理机构就有关投标的所有往来函电统一使用中文。</w:t>
      </w:r>
    </w:p>
    <w:p>
      <w:pPr>
        <w:pStyle w:val="9"/>
        <w:spacing w:line="360" w:lineRule="auto"/>
        <w:ind w:firstLine="36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9.2投标人的投标文件中提供的证明材料是中文以外的其他语言的，应附有中文翻译。</w:t>
      </w:r>
    </w:p>
    <w:p>
      <w:pPr>
        <w:pStyle w:val="9"/>
        <w:spacing w:line="360" w:lineRule="auto"/>
        <w:ind w:firstLine="36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9.3 对不同文字文本投标文件的解释发生异议的，以中文文本为准。</w:t>
      </w:r>
    </w:p>
    <w:p>
      <w:pPr>
        <w:pStyle w:val="9"/>
        <w:spacing w:line="360" w:lineRule="auto"/>
        <w:ind w:firstLine="36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9.4投标文件使用的计量单位除招标文件中有特殊规定外，一律使用中华人民共和国法定计量单位。</w:t>
      </w:r>
    </w:p>
    <w:p>
      <w:pPr>
        <w:pStyle w:val="9"/>
        <w:spacing w:line="360" w:lineRule="auto"/>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10.投标文件的组成</w:t>
      </w:r>
    </w:p>
    <w:p>
      <w:pPr>
        <w:pStyle w:val="9"/>
        <w:spacing w:line="360" w:lineRule="auto"/>
        <w:ind w:firstLine="360"/>
        <w:rPr>
          <w:rFonts w:ascii="Times New Roman" w:hAnsi="Times New Roman" w:eastAsiaTheme="minorEastAsia"/>
          <w:bCs/>
          <w:color w:val="auto"/>
          <w:szCs w:val="21"/>
          <w:highlight w:val="none"/>
        </w:rPr>
      </w:pPr>
      <w:r>
        <w:rPr>
          <w:rFonts w:ascii="Times New Roman" w:hAnsi="Times New Roman" w:eastAsiaTheme="minorEastAsia"/>
          <w:bCs/>
          <w:color w:val="auto"/>
          <w:szCs w:val="21"/>
          <w:highlight w:val="none"/>
        </w:rPr>
        <w:t>10.1投标人需编制的投标文件由</w:t>
      </w:r>
      <w:r>
        <w:rPr>
          <w:rFonts w:hint="eastAsia"/>
          <w:color w:val="auto"/>
          <w:highlight w:val="none"/>
        </w:rPr>
        <w:t>报价文件、技术文件和商务文件三部分</w:t>
      </w:r>
      <w:r>
        <w:rPr>
          <w:rFonts w:ascii="Times New Roman" w:hAnsi="Times New Roman" w:eastAsiaTheme="minorEastAsia"/>
          <w:bCs/>
          <w:color w:val="auto"/>
          <w:szCs w:val="21"/>
          <w:highlight w:val="none"/>
        </w:rPr>
        <w:t>，投标人应按下列说明编写和提交。应递交的有关文件如未特别注明为原件的，可提交复印件。</w:t>
      </w:r>
    </w:p>
    <w:p>
      <w:pPr>
        <w:pStyle w:val="9"/>
        <w:spacing w:line="440" w:lineRule="exact"/>
        <w:ind w:firstLine="420" w:firstLineChars="200"/>
        <w:rPr>
          <w:color w:val="auto"/>
          <w:highlight w:val="none"/>
        </w:rPr>
      </w:pPr>
      <w:r>
        <w:rPr>
          <w:color w:val="auto"/>
          <w:highlight w:val="none"/>
        </w:rPr>
        <w:t xml:space="preserve">10.1.1  </w:t>
      </w:r>
      <w:r>
        <w:rPr>
          <w:rFonts w:hint="eastAsia"/>
          <w:color w:val="auto"/>
          <w:highlight w:val="none"/>
        </w:rPr>
        <w:t>报价文件，包括：</w:t>
      </w:r>
    </w:p>
    <w:p>
      <w:pPr>
        <w:pStyle w:val="9"/>
        <w:spacing w:line="440" w:lineRule="exact"/>
        <w:ind w:firstLine="420"/>
        <w:rPr>
          <w:color w:val="auto"/>
          <w:highlight w:val="none"/>
        </w:rPr>
      </w:pPr>
      <w:r>
        <w:rPr>
          <w:rFonts w:hint="eastAsia"/>
          <w:color w:val="auto"/>
          <w:highlight w:val="none"/>
        </w:rPr>
        <w:t>（</w:t>
      </w:r>
      <w:r>
        <w:rPr>
          <w:color w:val="auto"/>
          <w:highlight w:val="none"/>
        </w:rPr>
        <w:t>1</w:t>
      </w:r>
      <w:r>
        <w:rPr>
          <w:rFonts w:hint="eastAsia"/>
          <w:color w:val="auto"/>
          <w:highlight w:val="none"/>
        </w:rPr>
        <w:t>）投标函：按第五章“投标文件格式”提供的“投标函（格式）”的要求填写；</w:t>
      </w:r>
    </w:p>
    <w:p>
      <w:pPr>
        <w:pStyle w:val="9"/>
        <w:spacing w:line="440" w:lineRule="exact"/>
        <w:ind w:firstLine="420"/>
        <w:rPr>
          <w:color w:val="auto"/>
          <w:highlight w:val="none"/>
        </w:rPr>
      </w:pPr>
      <w:r>
        <w:rPr>
          <w:rFonts w:hint="eastAsia"/>
          <w:color w:val="auto"/>
          <w:highlight w:val="none"/>
        </w:rPr>
        <w:t>（</w:t>
      </w:r>
      <w:r>
        <w:rPr>
          <w:color w:val="auto"/>
          <w:highlight w:val="none"/>
        </w:rPr>
        <w:t>2</w:t>
      </w:r>
      <w:r>
        <w:rPr>
          <w:rFonts w:hint="eastAsia"/>
          <w:color w:val="auto"/>
          <w:highlight w:val="none"/>
        </w:rPr>
        <w:t>）投标报价表：按第五章“投标文件格式”提供的“投标报价表（格式）”的要求填写；</w:t>
      </w:r>
    </w:p>
    <w:p>
      <w:pPr>
        <w:pStyle w:val="9"/>
        <w:spacing w:line="440" w:lineRule="exact"/>
        <w:ind w:firstLine="420"/>
        <w:rPr>
          <w:color w:val="auto"/>
          <w:highlight w:val="none"/>
        </w:rPr>
      </w:pPr>
      <w:r>
        <w:rPr>
          <w:rFonts w:hint="eastAsia"/>
          <w:color w:val="auto"/>
          <w:highlight w:val="none"/>
        </w:rPr>
        <w:t>（</w:t>
      </w:r>
      <w:r>
        <w:rPr>
          <w:color w:val="auto"/>
          <w:highlight w:val="none"/>
        </w:rPr>
        <w:t>3</w:t>
      </w:r>
      <w:r>
        <w:rPr>
          <w:rFonts w:hint="eastAsia"/>
          <w:color w:val="auto"/>
          <w:highlight w:val="none"/>
        </w:rPr>
        <w:t>）中小企业声明函：按第五章“投标文件格式”提供的“中小企业声明函（格式）”的要求填写。</w:t>
      </w:r>
    </w:p>
    <w:p>
      <w:pPr>
        <w:pStyle w:val="9"/>
        <w:spacing w:line="440" w:lineRule="exact"/>
        <w:ind w:firstLine="420"/>
        <w:rPr>
          <w:color w:val="auto"/>
          <w:highlight w:val="none"/>
        </w:rPr>
      </w:pPr>
      <w:r>
        <w:rPr>
          <w:rFonts w:hint="eastAsia"/>
          <w:color w:val="auto"/>
          <w:highlight w:val="none"/>
        </w:rPr>
        <w:t>（4）残疾人福利性单位声明函：按第五章“竞标文件格式”提供的“ 残疾人福利性单位声明函（格式）”的要求填写。</w:t>
      </w:r>
    </w:p>
    <w:p>
      <w:pPr>
        <w:pStyle w:val="9"/>
        <w:spacing w:line="440" w:lineRule="exact"/>
        <w:ind w:firstLine="420"/>
        <w:rPr>
          <w:color w:val="auto"/>
          <w:highlight w:val="none"/>
        </w:rPr>
      </w:pPr>
      <w:r>
        <w:rPr>
          <w:rFonts w:hint="eastAsia"/>
          <w:b/>
          <w:color w:val="auto"/>
          <w:highlight w:val="none"/>
        </w:rPr>
        <w:t>其中，报价文件组成要求的第（</w:t>
      </w:r>
      <w:r>
        <w:rPr>
          <w:b/>
          <w:color w:val="auto"/>
          <w:highlight w:val="none"/>
        </w:rPr>
        <w:t>1</w:t>
      </w:r>
      <w:r>
        <w:rPr>
          <w:rFonts w:hint="eastAsia"/>
          <w:b/>
          <w:color w:val="auto"/>
          <w:highlight w:val="none"/>
        </w:rPr>
        <w:t>）～（</w:t>
      </w:r>
      <w:r>
        <w:rPr>
          <w:b/>
          <w:color w:val="auto"/>
          <w:highlight w:val="none"/>
        </w:rPr>
        <w:t>2</w:t>
      </w:r>
      <w:r>
        <w:rPr>
          <w:rFonts w:hint="eastAsia"/>
          <w:b/>
          <w:color w:val="auto"/>
          <w:highlight w:val="none"/>
        </w:rPr>
        <w:t>）项必须提交；第（</w:t>
      </w:r>
      <w:r>
        <w:rPr>
          <w:b/>
          <w:color w:val="auto"/>
          <w:highlight w:val="none"/>
        </w:rPr>
        <w:t>3</w:t>
      </w:r>
      <w:r>
        <w:rPr>
          <w:rFonts w:hint="eastAsia"/>
          <w:b/>
          <w:color w:val="auto"/>
          <w:highlight w:val="none"/>
        </w:rPr>
        <w:t>）～（4）项如有请提交。</w:t>
      </w:r>
    </w:p>
    <w:p>
      <w:pPr>
        <w:pStyle w:val="9"/>
        <w:spacing w:line="440" w:lineRule="exact"/>
        <w:ind w:firstLine="420" w:firstLineChars="200"/>
        <w:rPr>
          <w:b/>
          <w:bCs/>
          <w:color w:val="auto"/>
          <w:highlight w:val="none"/>
        </w:rPr>
      </w:pPr>
      <w:r>
        <w:rPr>
          <w:color w:val="auto"/>
          <w:highlight w:val="none"/>
        </w:rPr>
        <w:t xml:space="preserve">10.1.2  </w:t>
      </w:r>
      <w:r>
        <w:rPr>
          <w:rFonts w:hint="eastAsia"/>
          <w:color w:val="auto"/>
          <w:highlight w:val="none"/>
        </w:rPr>
        <w:t>技术文件，包括：</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hAnsi="宋体" w:cs="宋体"/>
          <w:color w:val="auto"/>
          <w:highlight w:val="none"/>
        </w:rPr>
        <w:t>项目技术方案</w:t>
      </w:r>
      <w:r>
        <w:rPr>
          <w:rFonts w:hint="eastAsia" w:ascii="宋体" w:hAnsi="宋体"/>
          <w:color w:val="auto"/>
          <w:szCs w:val="21"/>
          <w:highlight w:val="none"/>
        </w:rPr>
        <w:t>；（格式自拟）</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s="宋体"/>
          <w:color w:val="auto"/>
          <w:szCs w:val="21"/>
          <w:highlight w:val="none"/>
        </w:rPr>
        <w:t>质量和保密保证措施及承诺；</w:t>
      </w:r>
      <w:r>
        <w:rPr>
          <w:rFonts w:hint="eastAsia" w:ascii="宋体" w:hAnsi="宋体"/>
          <w:color w:val="auto"/>
          <w:szCs w:val="21"/>
          <w:highlight w:val="none"/>
        </w:rPr>
        <w:t>（格式自拟）</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（3）项目</w:t>
      </w:r>
      <w:r>
        <w:rPr>
          <w:rFonts w:hint="eastAsia" w:ascii="宋体" w:hAnsi="宋体" w:cs="宋体"/>
          <w:color w:val="auto"/>
          <w:szCs w:val="21"/>
          <w:highlight w:val="none"/>
        </w:rPr>
        <w:t>拟投入的技术力量、人员配置</w:t>
      </w:r>
      <w:r>
        <w:rPr>
          <w:rFonts w:hint="eastAsia" w:ascii="宋体" w:hAnsi="宋体"/>
          <w:color w:val="auto"/>
          <w:szCs w:val="21"/>
          <w:highlight w:val="none"/>
        </w:rPr>
        <w:t>；（</w:t>
      </w:r>
      <w:r>
        <w:rPr>
          <w:rFonts w:hint="eastAsia" w:hAnsi="宋体"/>
          <w:color w:val="auto"/>
          <w:highlight w:val="none"/>
        </w:rPr>
        <w:t>按第五章提供的</w:t>
      </w:r>
      <w:r>
        <w:rPr>
          <w:rFonts w:hint="eastAsia" w:ascii="宋体" w:hAnsi="宋体"/>
          <w:color w:val="auto"/>
          <w:szCs w:val="21"/>
          <w:highlight w:val="none"/>
        </w:rPr>
        <w:t>格式</w:t>
      </w:r>
      <w:r>
        <w:rPr>
          <w:rFonts w:hint="eastAsia" w:hAnsi="宋体"/>
          <w:color w:val="auto"/>
          <w:highlight w:val="none"/>
        </w:rPr>
        <w:t>填写</w:t>
      </w:r>
      <w:r>
        <w:rPr>
          <w:rFonts w:hint="eastAsia" w:ascii="宋体" w:hAnsi="宋体"/>
          <w:color w:val="auto"/>
          <w:szCs w:val="21"/>
          <w:highlight w:val="none"/>
        </w:rPr>
        <w:t>）</w:t>
      </w:r>
    </w:p>
    <w:p>
      <w:pPr>
        <w:pStyle w:val="9"/>
        <w:spacing w:line="440" w:lineRule="exact"/>
        <w:ind w:firstLine="426"/>
        <w:rPr>
          <w:b/>
          <w:bCs/>
          <w:color w:val="auto"/>
          <w:highlight w:val="none"/>
        </w:rPr>
      </w:pPr>
      <w:r>
        <w:rPr>
          <w:rFonts w:hint="eastAsia"/>
          <w:color w:val="auto"/>
          <w:highlight w:val="none"/>
        </w:rPr>
        <w:t>（4）技术资料表：按第五章“投标文件格式”提供的“技术资料表（格式）”的要求填写；</w:t>
      </w:r>
    </w:p>
    <w:p>
      <w:pPr>
        <w:pStyle w:val="9"/>
        <w:spacing w:line="440" w:lineRule="exact"/>
        <w:ind w:firstLine="426"/>
        <w:rPr>
          <w:b/>
          <w:bCs/>
          <w:color w:val="auto"/>
          <w:highlight w:val="none"/>
        </w:rPr>
      </w:pPr>
      <w:r>
        <w:rPr>
          <w:rFonts w:hint="eastAsia"/>
          <w:color w:val="auto"/>
          <w:highlight w:val="none"/>
        </w:rPr>
        <w:t>（5）</w:t>
      </w:r>
      <w:r>
        <w:rPr>
          <w:rFonts w:hint="eastAsia"/>
          <w:color w:val="auto"/>
          <w:szCs w:val="21"/>
          <w:highlight w:val="none"/>
        </w:rPr>
        <w:t>投标人需要提供的其他文件和说明</w:t>
      </w:r>
      <w:r>
        <w:rPr>
          <w:rFonts w:hint="eastAsia"/>
          <w:color w:val="auto"/>
          <w:highlight w:val="none"/>
        </w:rPr>
        <w:t>。</w:t>
      </w:r>
    </w:p>
    <w:p>
      <w:pPr>
        <w:pStyle w:val="9"/>
        <w:spacing w:line="440" w:lineRule="exact"/>
        <w:ind w:firstLine="412" w:firstLineChars="196"/>
        <w:rPr>
          <w:b/>
          <w:color w:val="auto"/>
          <w:highlight w:val="none"/>
        </w:rPr>
      </w:pPr>
      <w:r>
        <w:rPr>
          <w:rFonts w:hint="eastAsia"/>
          <w:b/>
          <w:color w:val="auto"/>
          <w:highlight w:val="none"/>
        </w:rPr>
        <w:t>技术文件中的第（</w:t>
      </w:r>
      <w:r>
        <w:rPr>
          <w:b/>
          <w:color w:val="auto"/>
          <w:highlight w:val="none"/>
        </w:rPr>
        <w:t>1</w:t>
      </w:r>
      <w:r>
        <w:rPr>
          <w:rFonts w:hint="eastAsia"/>
          <w:b/>
          <w:color w:val="auto"/>
          <w:highlight w:val="none"/>
        </w:rPr>
        <w:t>）～（4）项必须提交；技术文件中的第（5）项如有请提交。</w:t>
      </w:r>
    </w:p>
    <w:p>
      <w:pPr>
        <w:pStyle w:val="9"/>
        <w:spacing w:line="440" w:lineRule="exact"/>
        <w:ind w:firstLine="420" w:firstLineChars="200"/>
        <w:rPr>
          <w:color w:val="auto"/>
          <w:highlight w:val="none"/>
        </w:rPr>
      </w:pPr>
      <w:r>
        <w:rPr>
          <w:color w:val="auto"/>
          <w:highlight w:val="none"/>
        </w:rPr>
        <w:t xml:space="preserve">10.1.3  </w:t>
      </w:r>
      <w:r>
        <w:rPr>
          <w:rFonts w:hint="eastAsia"/>
          <w:color w:val="auto"/>
          <w:highlight w:val="none"/>
        </w:rPr>
        <w:t>商务文件，包括：</w:t>
      </w:r>
    </w:p>
    <w:p>
      <w:pPr>
        <w:spacing w:line="460" w:lineRule="exact"/>
        <w:ind w:firstLine="420" w:firstLineChars="200"/>
        <w:rPr>
          <w:rFonts w:hAnsi="宋体"/>
          <w:color w:val="auto"/>
          <w:highlight w:val="none"/>
        </w:rPr>
      </w:pPr>
      <w:r>
        <w:rPr>
          <w:rFonts w:hint="eastAsia" w:hAnsi="宋体"/>
          <w:color w:val="auto"/>
          <w:highlight w:val="none"/>
        </w:rPr>
        <w:t>（</w:t>
      </w:r>
      <w:r>
        <w:rPr>
          <w:rFonts w:hAnsi="宋体"/>
          <w:color w:val="auto"/>
          <w:highlight w:val="none"/>
        </w:rPr>
        <w:t>1</w:t>
      </w:r>
      <w:r>
        <w:rPr>
          <w:rFonts w:hint="eastAsia" w:hAnsi="宋体"/>
          <w:color w:val="auto"/>
          <w:highlight w:val="none"/>
        </w:rPr>
        <w:t>）投标人资格文件：根据本章第</w:t>
      </w:r>
      <w:r>
        <w:rPr>
          <w:rFonts w:hAnsi="宋体"/>
          <w:color w:val="auto"/>
          <w:highlight w:val="none"/>
        </w:rPr>
        <w:t>3.2</w:t>
      </w:r>
      <w:r>
        <w:rPr>
          <w:rFonts w:hint="eastAsia" w:hAnsi="宋体"/>
          <w:color w:val="auto"/>
          <w:highlight w:val="none"/>
        </w:rPr>
        <w:t>项规定的投标人应具备的特定条件提供，包括营业执照副本内页或事业单位法人证复印件（投标人如为企业的，要求证件有效并清晰反映企业法人和经营范围，如需要核验营业执照原件，供应商可按有关规定提供电子营业执照或纸质营业执照原件供现场审核）、资格声明函（按第五章“投标文件格式”提供的“资格声明函（格式）”的要求填写。对列入失信被执行人、重大税收违法案件当事人名单、政府采购严重违法失信行为记录名单的投标人，将被拒绝参与本项目政府采购活动。）、信用管理提供材料和投标人资格的其他证明文件等复印件；</w:t>
      </w:r>
    </w:p>
    <w:p>
      <w:pPr>
        <w:spacing w:line="460" w:lineRule="exact"/>
        <w:ind w:firstLine="420" w:firstLineChars="200"/>
        <w:rPr>
          <w:rFonts w:hAnsi="宋体"/>
          <w:color w:val="auto"/>
          <w:highlight w:val="none"/>
        </w:rPr>
      </w:pPr>
      <w:r>
        <w:rPr>
          <w:rFonts w:hint="eastAsia" w:hAnsi="宋体"/>
          <w:color w:val="auto"/>
          <w:highlight w:val="none"/>
        </w:rPr>
        <w:t>（</w:t>
      </w:r>
      <w:r>
        <w:rPr>
          <w:rFonts w:hAnsi="宋体"/>
          <w:color w:val="auto"/>
          <w:highlight w:val="none"/>
        </w:rPr>
        <w:t>2</w:t>
      </w:r>
      <w:r>
        <w:rPr>
          <w:rFonts w:hint="eastAsia" w:hAnsi="宋体"/>
          <w:color w:val="auto"/>
          <w:highlight w:val="none"/>
        </w:rPr>
        <w:t>）法定代表人身份证明复印件：如使用第二代身份证应提交正、反面复印件，如法定代表人非中国国籍应提交护照复印件，要求证件有效并与营业执照中的法定代表人相符；</w:t>
      </w:r>
      <w:r>
        <w:rPr>
          <w:rFonts w:hAnsi="宋体"/>
          <w:color w:val="auto"/>
          <w:highlight w:val="none"/>
        </w:rPr>
        <w:t xml:space="preserve"> </w:t>
      </w:r>
    </w:p>
    <w:p>
      <w:pPr>
        <w:pStyle w:val="9"/>
        <w:spacing w:line="440" w:lineRule="exact"/>
        <w:ind w:firstLine="420"/>
        <w:rPr>
          <w:color w:val="auto"/>
          <w:highlight w:val="none"/>
        </w:rPr>
      </w:pPr>
      <w:r>
        <w:rPr>
          <w:rFonts w:hint="eastAsia"/>
          <w:color w:val="auto"/>
          <w:highlight w:val="none"/>
        </w:rPr>
        <w:t>（</w:t>
      </w:r>
      <w:r>
        <w:rPr>
          <w:color w:val="auto"/>
          <w:highlight w:val="none"/>
        </w:rPr>
        <w:t>3</w:t>
      </w:r>
      <w:r>
        <w:rPr>
          <w:rFonts w:hint="eastAsia"/>
          <w:color w:val="auto"/>
          <w:highlight w:val="none"/>
        </w:rPr>
        <w:t>）法定代表人资格证明书复印件；</w:t>
      </w:r>
    </w:p>
    <w:p>
      <w:pPr>
        <w:pStyle w:val="9"/>
        <w:spacing w:line="440" w:lineRule="exact"/>
        <w:ind w:firstLine="420"/>
        <w:rPr>
          <w:color w:val="auto"/>
          <w:highlight w:val="none"/>
        </w:rPr>
      </w:pPr>
      <w:r>
        <w:rPr>
          <w:rFonts w:hint="eastAsia"/>
          <w:color w:val="auto"/>
          <w:highlight w:val="none"/>
        </w:rPr>
        <w:t>（4）商务条款偏离表：按第五章“投标文件格式”提供的“商务条款偏离表（格式）”</w:t>
      </w:r>
      <w:r>
        <w:rPr>
          <w:color w:val="auto"/>
          <w:highlight w:val="none"/>
        </w:rPr>
        <w:t xml:space="preserve"> </w:t>
      </w:r>
      <w:r>
        <w:rPr>
          <w:rFonts w:hint="eastAsia"/>
          <w:color w:val="auto"/>
          <w:highlight w:val="none"/>
        </w:rPr>
        <w:t>的要求填写；</w:t>
      </w:r>
    </w:p>
    <w:p>
      <w:pPr>
        <w:pStyle w:val="9"/>
        <w:spacing w:line="440" w:lineRule="exact"/>
        <w:ind w:firstLine="420"/>
        <w:rPr>
          <w:color w:val="auto"/>
          <w:highlight w:val="none"/>
        </w:rPr>
      </w:pPr>
      <w:r>
        <w:rPr>
          <w:rFonts w:hint="eastAsia"/>
          <w:color w:val="auto"/>
          <w:highlight w:val="none"/>
        </w:rPr>
        <w:t>（5）法定代表人授权委托书：按第五章“投标文件格式”提供的“法定代表人授权委托书（格式）”的要求填写；</w:t>
      </w:r>
    </w:p>
    <w:p>
      <w:pPr>
        <w:pStyle w:val="9"/>
        <w:spacing w:line="440" w:lineRule="exact"/>
        <w:ind w:firstLine="420"/>
        <w:rPr>
          <w:color w:val="auto"/>
          <w:highlight w:val="none"/>
        </w:rPr>
      </w:pPr>
      <w:r>
        <w:rPr>
          <w:rFonts w:hint="eastAsia"/>
          <w:color w:val="auto"/>
          <w:highlight w:val="none"/>
        </w:rPr>
        <w:t>（6）委托代理人身份证明复印件：如使用第二代身份证应提交正、反面复印件，如委托代理人非中国国籍应提交护照复印件，要求证件有效并与法定代表人授权委托书中的委托代理人相符；</w:t>
      </w:r>
    </w:p>
    <w:p>
      <w:pPr>
        <w:pStyle w:val="9"/>
        <w:spacing w:line="440" w:lineRule="exact"/>
        <w:ind w:firstLine="420"/>
        <w:rPr>
          <w:color w:val="auto"/>
          <w:highlight w:val="none"/>
        </w:rPr>
      </w:pPr>
      <w:r>
        <w:rPr>
          <w:rFonts w:hint="eastAsia"/>
          <w:color w:val="auto"/>
          <w:highlight w:val="none"/>
        </w:rPr>
        <w:t>（7）投标截止之日前半年内投标人连续三个月的依法纳税的依法缴纳税费或依法免缴税费的证明材料复印件；无纳税记录的，应提供由投标人所在地税务部门出具的《依法纳税或依法免税证明》复印件，新成立不足三个月的投标人按实际提供（原件备查）；</w:t>
      </w:r>
    </w:p>
    <w:p>
      <w:pPr>
        <w:pStyle w:val="9"/>
        <w:spacing w:line="440" w:lineRule="exact"/>
        <w:ind w:firstLine="420"/>
        <w:rPr>
          <w:color w:val="auto"/>
          <w:highlight w:val="none"/>
        </w:rPr>
      </w:pPr>
      <w:r>
        <w:rPr>
          <w:rFonts w:hint="eastAsia"/>
          <w:color w:val="auto"/>
          <w:highlight w:val="none"/>
        </w:rPr>
        <w:t>(8)投标截止之日前半年内投标人连续三个月的依法缴纳社保费的缴费凭证复印件；无缴费记录的，应提供由投标人所在地行政主管部门出具的《依法缴纳或依法免缴社保费证明》复印件，新成立不足三个月的投标人按实际提供（原件备查）；</w:t>
      </w:r>
    </w:p>
    <w:p>
      <w:pPr>
        <w:pStyle w:val="9"/>
        <w:spacing w:line="440" w:lineRule="exact"/>
        <w:ind w:firstLine="420"/>
        <w:rPr>
          <w:color w:val="auto"/>
          <w:highlight w:val="none"/>
        </w:rPr>
      </w:pPr>
      <w:r>
        <w:rPr>
          <w:rFonts w:hint="eastAsia"/>
          <w:color w:val="auto"/>
          <w:highlight w:val="none"/>
        </w:rPr>
        <w:t>（9）财务会计报表复印件：投标人近一年的经会计师事务所或审计机构审计的财务会计报表，包括资产负债表、现金流量表、利润表、财务情况说明书和审计报告；</w:t>
      </w:r>
    </w:p>
    <w:p>
      <w:pPr>
        <w:pStyle w:val="9"/>
        <w:spacing w:line="440" w:lineRule="exact"/>
        <w:ind w:firstLine="420" w:firstLineChars="200"/>
        <w:rPr>
          <w:color w:val="auto"/>
          <w:highlight w:val="none"/>
        </w:rPr>
      </w:pPr>
      <w:r>
        <w:rPr>
          <w:rFonts w:hint="eastAsia"/>
          <w:color w:val="auto"/>
          <w:highlight w:val="none"/>
        </w:rPr>
        <w:t>（10）其它：投标人通过国家或国际认证资格证书复印件、银行出具的投标人资信证明或信用等级证明复印件、投标人近三年同类服务销售的实际业绩证明（附中标通知书复印件或合同复印件）、投标服务近三年的质量获奖荣誉证书复印件、投标人近三年发生的诉讼及仲裁情况说明（附法院或仲裁机构作出的判决、裁决等有关法律文书复印件），等等。</w:t>
      </w:r>
    </w:p>
    <w:p>
      <w:pPr>
        <w:pStyle w:val="9"/>
        <w:spacing w:line="440" w:lineRule="exact"/>
        <w:ind w:firstLine="412" w:firstLineChars="196"/>
        <w:rPr>
          <w:color w:val="auto"/>
          <w:highlight w:val="none"/>
        </w:rPr>
      </w:pPr>
      <w:r>
        <w:rPr>
          <w:rFonts w:hint="eastAsia"/>
          <w:b/>
          <w:color w:val="auto"/>
          <w:highlight w:val="none"/>
        </w:rPr>
        <w:t>商务文件中的第（</w:t>
      </w:r>
      <w:r>
        <w:rPr>
          <w:b/>
          <w:color w:val="auto"/>
          <w:highlight w:val="none"/>
        </w:rPr>
        <w:t>1</w:t>
      </w:r>
      <w:r>
        <w:rPr>
          <w:rFonts w:hint="eastAsia"/>
          <w:b/>
          <w:color w:val="auto"/>
          <w:highlight w:val="none"/>
        </w:rPr>
        <w:t>）～（4）、（7）、（8）项必须提交；第（5）、（6）项在委托代理时必须提交；第（9）、（10）项如有请提交。</w:t>
      </w:r>
    </w:p>
    <w:p>
      <w:pPr>
        <w:pStyle w:val="9"/>
        <w:spacing w:line="440" w:lineRule="exact"/>
        <w:ind w:firstLine="420" w:firstLineChars="200"/>
        <w:rPr>
          <w:color w:val="auto"/>
          <w:highlight w:val="none"/>
        </w:rPr>
      </w:pPr>
      <w:r>
        <w:rPr>
          <w:color w:val="auto"/>
          <w:highlight w:val="none"/>
        </w:rPr>
        <w:t xml:space="preserve">10.2  </w:t>
      </w:r>
      <w:r>
        <w:rPr>
          <w:rFonts w:hint="eastAsia"/>
          <w:color w:val="auto"/>
          <w:highlight w:val="none"/>
        </w:rPr>
        <w:t>投标人应按上述顺序将报价文件、技术文件和商务文件</w:t>
      </w:r>
      <w:r>
        <w:rPr>
          <w:rFonts w:hint="eastAsia"/>
          <w:b/>
          <w:color w:val="auto"/>
          <w:highlight w:val="none"/>
        </w:rPr>
        <w:t>分别装订成册</w:t>
      </w:r>
      <w:r>
        <w:rPr>
          <w:rFonts w:hint="eastAsia"/>
          <w:color w:val="auto"/>
          <w:highlight w:val="none"/>
        </w:rPr>
        <w:t>。</w:t>
      </w:r>
      <w:r>
        <w:rPr>
          <w:rFonts w:hint="eastAsia"/>
          <w:b/>
          <w:color w:val="auto"/>
          <w:highlight w:val="none"/>
        </w:rPr>
        <w:t>特别注意投标报价不得出现在技术文件和商务文件中。</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11.投标报价</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11.1  投标人应以人民币报价。</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11.2投标人可就第二章“采购需求”中的</w:t>
      </w:r>
      <w:r>
        <w:rPr>
          <w:rFonts w:ascii="Times New Roman" w:hAnsi="Times New Roman" w:eastAsia="宋体"/>
          <w:bCs/>
          <w:color w:val="auto"/>
          <w:szCs w:val="21"/>
          <w:highlight w:val="none"/>
        </w:rPr>
        <w:t>采购内容做出完整且唯一报价，附带有条件的报价将不予接受。</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11.3投标报价为完成本采购项目服务的全部费用，采购人不再向中标供应商支付其投标报价之外的任何费用。</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11.4  本项目的采购代理服务费按国家物价部门核准的收费标准执行。</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11.5  不论投标结果如何，投标人均应自行承担与编制和递交投标文件有关的全部费用。</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12.投标有效期</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12.1  在投标人须知前附表规定的投标有效期内，投标人不得要求撤销或修改其投标文件。</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12.2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13.投标保证金</w:t>
      </w:r>
    </w:p>
    <w:p>
      <w:pPr>
        <w:pStyle w:val="9"/>
        <w:tabs>
          <w:tab w:val="left" w:pos="0"/>
        </w:tabs>
        <w:spacing w:line="360" w:lineRule="auto"/>
        <w:ind w:firstLine="359"/>
        <w:rPr>
          <w:rFonts w:ascii="Times New Roman" w:hAnsi="Times New Roman" w:eastAsia="宋体"/>
          <w:color w:val="auto"/>
          <w:szCs w:val="21"/>
          <w:highlight w:val="none"/>
        </w:rPr>
      </w:pPr>
      <w:r>
        <w:rPr>
          <w:rFonts w:ascii="Times New Roman" w:hAnsi="Times New Roman" w:eastAsia="宋体"/>
          <w:color w:val="auto"/>
          <w:szCs w:val="21"/>
          <w:highlight w:val="none"/>
        </w:rPr>
        <w:t>13.1  投标保证金必须按第一章公告规定的金额缴纳投标保证金。</w:t>
      </w:r>
    </w:p>
    <w:p>
      <w:pPr>
        <w:pStyle w:val="9"/>
        <w:tabs>
          <w:tab w:val="left" w:pos="0"/>
        </w:tabs>
        <w:spacing w:line="360" w:lineRule="auto"/>
        <w:ind w:firstLine="359"/>
        <w:rPr>
          <w:rFonts w:ascii="Times New Roman" w:hAnsi="Times New Roman" w:eastAsia="宋体"/>
          <w:color w:val="auto"/>
          <w:szCs w:val="21"/>
          <w:highlight w:val="none"/>
        </w:rPr>
      </w:pPr>
      <w:r>
        <w:rPr>
          <w:rFonts w:ascii="Times New Roman" w:hAnsi="Times New Roman" w:eastAsia="宋体"/>
          <w:color w:val="auto"/>
          <w:szCs w:val="21"/>
          <w:highlight w:val="none"/>
        </w:rPr>
        <w:t>13.1.1投标保证金应按招标公告规定的账号使用银行转账或网银支付形式缴纳投标保证金。</w:t>
      </w:r>
    </w:p>
    <w:p>
      <w:pPr>
        <w:pStyle w:val="9"/>
        <w:tabs>
          <w:tab w:val="left" w:pos="0"/>
        </w:tabs>
        <w:spacing w:line="360" w:lineRule="auto"/>
        <w:ind w:firstLine="359"/>
        <w:rPr>
          <w:rFonts w:ascii="Times New Roman" w:hAnsi="Times New Roman" w:eastAsia="宋体"/>
          <w:color w:val="auto"/>
          <w:szCs w:val="21"/>
          <w:highlight w:val="none"/>
        </w:rPr>
      </w:pPr>
      <w:r>
        <w:rPr>
          <w:rFonts w:ascii="Times New Roman" w:hAnsi="Times New Roman" w:eastAsia="宋体"/>
          <w:color w:val="auto"/>
          <w:szCs w:val="21"/>
          <w:highlight w:val="none"/>
        </w:rPr>
        <w:t>13.1.2投标保证金应于投标截止时间前到达专用账户（到账时间以银行确认的到达专用账户时间为准）。</w:t>
      </w:r>
    </w:p>
    <w:p>
      <w:pPr>
        <w:pStyle w:val="9"/>
        <w:tabs>
          <w:tab w:val="left" w:pos="0"/>
        </w:tabs>
        <w:spacing w:line="360" w:lineRule="auto"/>
        <w:ind w:firstLine="359"/>
        <w:rPr>
          <w:rFonts w:ascii="Times New Roman" w:hAnsi="Times New Roman" w:eastAsia="宋体"/>
          <w:color w:val="auto"/>
          <w:szCs w:val="21"/>
          <w:highlight w:val="none"/>
        </w:rPr>
      </w:pPr>
      <w:r>
        <w:rPr>
          <w:rFonts w:ascii="Times New Roman" w:hAnsi="Times New Roman" w:eastAsia="宋体"/>
          <w:color w:val="auto"/>
          <w:szCs w:val="21"/>
          <w:highlight w:val="none"/>
        </w:rPr>
        <w:t>13.2未中标供应商的投标保证金，除本章第13.4项规定的不予退还的情形外，将在中标通知书发出后五个工作日内以转账或电汇方式无息退还至投标人账户。</w:t>
      </w:r>
    </w:p>
    <w:p>
      <w:pPr>
        <w:pStyle w:val="9"/>
        <w:tabs>
          <w:tab w:val="left" w:pos="0"/>
        </w:tabs>
        <w:spacing w:line="360" w:lineRule="auto"/>
        <w:ind w:firstLine="359"/>
        <w:rPr>
          <w:rFonts w:ascii="Times New Roman" w:hAnsi="Times New Roman" w:eastAsia="宋体"/>
          <w:color w:val="auto"/>
          <w:szCs w:val="21"/>
          <w:highlight w:val="none"/>
        </w:rPr>
      </w:pPr>
      <w:r>
        <w:rPr>
          <w:rFonts w:ascii="Times New Roman" w:hAnsi="Times New Roman" w:eastAsia="宋体"/>
          <w:color w:val="auto"/>
          <w:szCs w:val="21"/>
          <w:highlight w:val="none"/>
        </w:rPr>
        <w:t>13.3  涉及质疑和投诉的供应商，在质疑和投诉调查处理结束前其投标保证金暂不退还。</w:t>
      </w:r>
    </w:p>
    <w:p>
      <w:pPr>
        <w:pStyle w:val="9"/>
        <w:tabs>
          <w:tab w:val="left" w:pos="0"/>
        </w:tabs>
        <w:spacing w:line="360" w:lineRule="auto"/>
        <w:ind w:firstLine="359"/>
        <w:rPr>
          <w:rFonts w:ascii="Times New Roman" w:hAnsi="Times New Roman" w:eastAsia="宋体"/>
          <w:color w:val="auto"/>
          <w:szCs w:val="21"/>
          <w:highlight w:val="none"/>
        </w:rPr>
      </w:pPr>
      <w:r>
        <w:rPr>
          <w:rFonts w:ascii="Times New Roman" w:hAnsi="Times New Roman" w:eastAsia="宋体"/>
          <w:color w:val="auto"/>
          <w:szCs w:val="21"/>
          <w:highlight w:val="none"/>
        </w:rPr>
        <w:t>13.4  投标人有下列情形之一的，不予退还其交纳的投标保证金：</w:t>
      </w:r>
    </w:p>
    <w:p>
      <w:pPr>
        <w:pStyle w:val="9"/>
        <w:spacing w:line="360" w:lineRule="auto"/>
        <w:ind w:left="2" w:firstLine="424"/>
        <w:rPr>
          <w:rFonts w:ascii="Times New Roman" w:hAnsi="Times New Roman" w:eastAsia="宋体"/>
          <w:color w:val="auto"/>
          <w:szCs w:val="21"/>
          <w:highlight w:val="none"/>
        </w:rPr>
      </w:pPr>
      <w:r>
        <w:rPr>
          <w:rFonts w:ascii="Times New Roman" w:hAnsi="Times New Roman" w:eastAsia="宋体"/>
          <w:color w:val="auto"/>
          <w:szCs w:val="21"/>
          <w:highlight w:val="none"/>
        </w:rPr>
        <w:t>（1）在开标后要求撤回投标的；</w:t>
      </w:r>
    </w:p>
    <w:p>
      <w:pPr>
        <w:pStyle w:val="9"/>
        <w:spacing w:line="360" w:lineRule="auto"/>
        <w:ind w:left="2" w:firstLine="424"/>
        <w:rPr>
          <w:rFonts w:ascii="Times New Roman" w:hAnsi="Times New Roman" w:eastAsia="宋体"/>
          <w:color w:val="auto"/>
          <w:szCs w:val="21"/>
          <w:highlight w:val="none"/>
        </w:rPr>
      </w:pPr>
      <w:r>
        <w:rPr>
          <w:rFonts w:ascii="Times New Roman" w:hAnsi="Times New Roman" w:eastAsia="宋体"/>
          <w:color w:val="auto"/>
          <w:szCs w:val="21"/>
          <w:highlight w:val="none"/>
        </w:rPr>
        <w:t>（2）中标后未按规定缴纳履约保证金的；</w:t>
      </w:r>
    </w:p>
    <w:p>
      <w:pPr>
        <w:pStyle w:val="9"/>
        <w:spacing w:line="360" w:lineRule="auto"/>
        <w:ind w:left="2" w:firstLine="424"/>
        <w:rPr>
          <w:rFonts w:ascii="Times New Roman" w:hAnsi="Times New Roman" w:eastAsia="宋体"/>
          <w:color w:val="auto"/>
          <w:szCs w:val="21"/>
          <w:highlight w:val="none"/>
        </w:rPr>
      </w:pPr>
      <w:r>
        <w:rPr>
          <w:rFonts w:ascii="Times New Roman" w:hAnsi="Times New Roman" w:eastAsia="宋体"/>
          <w:color w:val="auto"/>
          <w:szCs w:val="21"/>
          <w:highlight w:val="none"/>
        </w:rPr>
        <w:t>（3）中标后无正当理由不与采购人或者采购代理机构按规定的时间、地点签订合同的；</w:t>
      </w:r>
    </w:p>
    <w:p>
      <w:pPr>
        <w:pStyle w:val="9"/>
        <w:spacing w:line="360" w:lineRule="auto"/>
        <w:ind w:left="2" w:firstLine="424"/>
        <w:rPr>
          <w:rFonts w:ascii="Times New Roman" w:hAnsi="Times New Roman" w:eastAsia="宋体"/>
          <w:color w:val="auto"/>
          <w:szCs w:val="21"/>
          <w:highlight w:val="none"/>
        </w:rPr>
      </w:pPr>
      <w:r>
        <w:rPr>
          <w:rFonts w:ascii="Times New Roman" w:hAnsi="Times New Roman" w:eastAsia="宋体"/>
          <w:color w:val="auto"/>
          <w:szCs w:val="21"/>
          <w:highlight w:val="none"/>
        </w:rPr>
        <w:t>（4）中标后与采购人签订对招标文件和投标文件作了实质性修改的合同，或与采购人私下订立背离合同实质性内容的协议的；</w:t>
      </w:r>
    </w:p>
    <w:p>
      <w:pPr>
        <w:pStyle w:val="9"/>
        <w:spacing w:line="360" w:lineRule="auto"/>
        <w:ind w:left="2" w:firstLine="424"/>
        <w:rPr>
          <w:rFonts w:ascii="Times New Roman" w:hAnsi="Times New Roman" w:eastAsia="宋体"/>
          <w:color w:val="auto"/>
          <w:szCs w:val="21"/>
          <w:highlight w:val="none"/>
        </w:rPr>
      </w:pPr>
      <w:r>
        <w:rPr>
          <w:rFonts w:ascii="Times New Roman" w:hAnsi="Times New Roman" w:eastAsia="宋体"/>
          <w:color w:val="auto"/>
          <w:szCs w:val="21"/>
          <w:highlight w:val="none"/>
        </w:rPr>
        <w:t>（5）将中标项目转让给他人，或者在投标文件中未说明，且未经采购人或采购代理机构同意，将中标项目分包给他人的。</w:t>
      </w:r>
    </w:p>
    <w:p>
      <w:pPr>
        <w:pStyle w:val="5"/>
        <w:spacing w:line="360" w:lineRule="auto"/>
        <w:rPr>
          <w:rFonts w:ascii="Times New Roman" w:hAnsi="Times New Roman" w:cs="Times New Roman"/>
          <w:color w:val="auto"/>
          <w:highlight w:val="none"/>
        </w:rPr>
      </w:pPr>
      <w:r>
        <w:rPr>
          <w:rFonts w:ascii="Times New Roman" w:hAnsi="Times New Roman" w:cs="Times New Roman"/>
          <w:color w:val="auto"/>
          <w:highlight w:val="none"/>
        </w:rPr>
        <w:t>四   投标</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14.投标文件的装订、密封和标记</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14.1投标人应将投标文件正、副本密封在一个密封袋内，封口处须盖投标单位公章或密封章或法定代表人（或委托代理人）签字均可。</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14.2  投标文件的密封袋封面上应写明：</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ab/>
      </w:r>
      <w:r>
        <w:rPr>
          <w:rFonts w:ascii="Times New Roman" w:hAnsi="Times New Roman" w:eastAsia="宋体"/>
          <w:color w:val="auto"/>
          <w:szCs w:val="21"/>
          <w:highlight w:val="none"/>
        </w:rPr>
        <w:t xml:space="preserve">采购项目名称：                                </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 xml:space="preserve">项目编号：                                    </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投标人名称：      （盖公章）</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 xml:space="preserve">投标人地址：  </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在  年</w:t>
      </w:r>
      <w:r>
        <w:rPr>
          <w:rFonts w:ascii="Times New Roman" w:hAnsi="Times New Roman" w:eastAsia="宋体"/>
          <w:color w:val="auto"/>
          <w:szCs w:val="21"/>
          <w:highlight w:val="none"/>
        </w:rPr>
        <w:tab/>
      </w:r>
      <w:r>
        <w:rPr>
          <w:rFonts w:ascii="Times New Roman" w:hAnsi="Times New Roman" w:eastAsia="宋体"/>
          <w:color w:val="auto"/>
          <w:szCs w:val="21"/>
          <w:highlight w:val="none"/>
        </w:rPr>
        <w:t>月</w:t>
      </w:r>
      <w:r>
        <w:rPr>
          <w:rFonts w:ascii="Times New Roman" w:hAnsi="Times New Roman" w:eastAsia="宋体"/>
          <w:color w:val="auto"/>
          <w:szCs w:val="21"/>
          <w:highlight w:val="none"/>
        </w:rPr>
        <w:tab/>
      </w:r>
      <w:r>
        <w:rPr>
          <w:rFonts w:ascii="Times New Roman" w:hAnsi="Times New Roman" w:eastAsia="宋体"/>
          <w:color w:val="auto"/>
          <w:szCs w:val="21"/>
          <w:highlight w:val="none"/>
        </w:rPr>
        <w:t xml:space="preserve"> 日</w:t>
      </w:r>
      <w:r>
        <w:rPr>
          <w:rFonts w:ascii="Times New Roman" w:hAnsi="Times New Roman" w:eastAsia="宋体"/>
          <w:color w:val="auto"/>
          <w:szCs w:val="21"/>
          <w:highlight w:val="none"/>
        </w:rPr>
        <w:tab/>
      </w:r>
      <w:r>
        <w:rPr>
          <w:rFonts w:ascii="Times New Roman" w:hAnsi="Times New Roman" w:eastAsia="宋体"/>
          <w:color w:val="auto"/>
          <w:szCs w:val="21"/>
          <w:highlight w:val="none"/>
        </w:rPr>
        <w:t xml:space="preserve"> 时</w:t>
      </w:r>
      <w:r>
        <w:rPr>
          <w:rFonts w:ascii="Times New Roman" w:hAnsi="Times New Roman" w:eastAsia="宋体"/>
          <w:color w:val="auto"/>
          <w:szCs w:val="21"/>
          <w:highlight w:val="none"/>
        </w:rPr>
        <w:tab/>
      </w:r>
      <w:r>
        <w:rPr>
          <w:rFonts w:ascii="Times New Roman" w:hAnsi="Times New Roman" w:eastAsia="宋体"/>
          <w:color w:val="auto"/>
          <w:szCs w:val="21"/>
          <w:highlight w:val="none"/>
        </w:rPr>
        <w:t xml:space="preserve"> 分之前不得启封                                </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ab/>
      </w:r>
      <w:r>
        <w:rPr>
          <w:rFonts w:ascii="Times New Roman" w:hAnsi="Times New Roman" w:eastAsia="宋体"/>
          <w:color w:val="auto"/>
          <w:szCs w:val="21"/>
          <w:highlight w:val="none"/>
        </w:rPr>
        <w:t>1</w:t>
      </w:r>
      <w:r>
        <w:rPr>
          <w:rFonts w:hint="eastAsia" w:ascii="Times New Roman" w:hAnsi="Times New Roman" w:eastAsia="宋体"/>
          <w:color w:val="auto"/>
          <w:szCs w:val="21"/>
          <w:highlight w:val="none"/>
        </w:rPr>
        <w:t>4</w:t>
      </w:r>
      <w:r>
        <w:rPr>
          <w:rFonts w:ascii="Times New Roman" w:hAnsi="Times New Roman" w:eastAsia="宋体"/>
          <w:color w:val="auto"/>
          <w:szCs w:val="21"/>
          <w:highlight w:val="none"/>
        </w:rPr>
        <w:t>.3  如果投标文件没有按本须知第1</w:t>
      </w:r>
      <w:r>
        <w:rPr>
          <w:rFonts w:hint="eastAsia" w:ascii="Times New Roman" w:hAnsi="Times New Roman" w:eastAsia="宋体"/>
          <w:color w:val="auto"/>
          <w:szCs w:val="21"/>
          <w:highlight w:val="none"/>
        </w:rPr>
        <w:t>4</w:t>
      </w:r>
      <w:r>
        <w:rPr>
          <w:rFonts w:ascii="Times New Roman" w:hAnsi="Times New Roman" w:eastAsia="宋体"/>
          <w:color w:val="auto"/>
          <w:szCs w:val="21"/>
          <w:highlight w:val="none"/>
        </w:rPr>
        <w:t>.1款、第1</w:t>
      </w:r>
      <w:r>
        <w:rPr>
          <w:rFonts w:hint="eastAsia" w:ascii="Times New Roman" w:hAnsi="Times New Roman" w:eastAsia="宋体"/>
          <w:color w:val="auto"/>
          <w:szCs w:val="21"/>
          <w:highlight w:val="none"/>
        </w:rPr>
        <w:t>4</w:t>
      </w:r>
      <w:r>
        <w:rPr>
          <w:rFonts w:ascii="Times New Roman" w:hAnsi="Times New Roman" w:eastAsia="宋体"/>
          <w:color w:val="auto"/>
          <w:szCs w:val="21"/>
          <w:highlight w:val="none"/>
        </w:rPr>
        <w:t>.2款和第1</w:t>
      </w:r>
      <w:r>
        <w:rPr>
          <w:rFonts w:hint="eastAsia" w:ascii="Times New Roman" w:hAnsi="Times New Roman" w:eastAsia="宋体"/>
          <w:color w:val="auto"/>
          <w:szCs w:val="21"/>
          <w:highlight w:val="none"/>
        </w:rPr>
        <w:t>4</w:t>
      </w:r>
      <w:r>
        <w:rPr>
          <w:rFonts w:ascii="Times New Roman" w:hAnsi="Times New Roman" w:eastAsia="宋体"/>
          <w:color w:val="auto"/>
          <w:szCs w:val="21"/>
          <w:highlight w:val="none"/>
        </w:rPr>
        <w:t>.4款规定装订和加写标记及密封，其投标文件不予接收。</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ab/>
      </w:r>
      <w:r>
        <w:rPr>
          <w:rFonts w:ascii="Times New Roman" w:hAnsi="Times New Roman" w:eastAsia="宋体"/>
          <w:color w:val="auto"/>
          <w:szCs w:val="21"/>
          <w:highlight w:val="none"/>
        </w:rPr>
        <w:t>1</w:t>
      </w:r>
      <w:r>
        <w:rPr>
          <w:rFonts w:hint="eastAsia" w:ascii="Times New Roman" w:hAnsi="Times New Roman" w:eastAsia="宋体"/>
          <w:color w:val="auto"/>
          <w:szCs w:val="21"/>
          <w:highlight w:val="none"/>
        </w:rPr>
        <w:t>4</w:t>
      </w:r>
      <w:r>
        <w:rPr>
          <w:rFonts w:ascii="Times New Roman" w:hAnsi="Times New Roman" w:eastAsia="宋体"/>
          <w:color w:val="auto"/>
          <w:szCs w:val="21"/>
          <w:highlight w:val="none"/>
        </w:rPr>
        <w:t>.4 投标文件的密封袋封口处须盖投标单位公章或密封章或法定代表人（或委托代理人）签字。</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15.投标文件的递交</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15.1  投标人投标截止时间：见投标人须知前附表。</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15.2  投标人递交投标文件地点：见投标人须知前附表。</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16.投标文件的份数和签署</w:t>
      </w:r>
    </w:p>
    <w:p>
      <w:pPr>
        <w:spacing w:line="360" w:lineRule="auto"/>
        <w:ind w:firstLine="420"/>
        <w:rPr>
          <w:color w:val="auto"/>
          <w:kern w:val="2"/>
          <w:szCs w:val="21"/>
          <w:highlight w:val="none"/>
        </w:rPr>
      </w:pPr>
      <w:r>
        <w:rPr>
          <w:color w:val="auto"/>
          <w:kern w:val="2"/>
          <w:szCs w:val="21"/>
          <w:highlight w:val="none"/>
        </w:rPr>
        <w:t>16.1 投标人应按投标须知前附表“招标基本情况数据表”第19项要求提供投标文件的份数。编制一份投标文件“正本”和</w:t>
      </w:r>
      <w:r>
        <w:rPr>
          <w:rFonts w:hint="eastAsia"/>
          <w:color w:val="auto"/>
          <w:kern w:val="2"/>
          <w:szCs w:val="21"/>
          <w:highlight w:val="none"/>
        </w:rPr>
        <w:t>四份</w:t>
      </w:r>
      <w:r>
        <w:rPr>
          <w:color w:val="auto"/>
          <w:kern w:val="2"/>
          <w:szCs w:val="21"/>
          <w:highlight w:val="none"/>
        </w:rPr>
        <w:t>“副本”，并明确标明“投标文件正本”和“投标文件副本”。投标文件正本和副本如有不一致之处，以正本为准。</w:t>
      </w:r>
    </w:p>
    <w:p>
      <w:pPr>
        <w:spacing w:line="360" w:lineRule="auto"/>
        <w:ind w:firstLine="420"/>
        <w:rPr>
          <w:color w:val="auto"/>
          <w:kern w:val="2"/>
          <w:szCs w:val="21"/>
          <w:highlight w:val="none"/>
        </w:rPr>
      </w:pPr>
      <w:r>
        <w:rPr>
          <w:color w:val="auto"/>
          <w:kern w:val="2"/>
          <w:szCs w:val="21"/>
          <w:highlight w:val="none"/>
        </w:rPr>
        <w:t>16.2 投标文件的正本和副本均需打印或使用不褪色的蓝、黑墨水笔书写，字迹应清晰易于辨认，并应在投标文件封面清楚地注明“正本”或“副本”。正本和副本如有不一致之处，以正本为准。</w:t>
      </w:r>
    </w:p>
    <w:p>
      <w:pPr>
        <w:spacing w:line="360" w:lineRule="auto"/>
        <w:ind w:firstLine="420"/>
        <w:rPr>
          <w:color w:val="auto"/>
          <w:kern w:val="2"/>
          <w:szCs w:val="21"/>
          <w:highlight w:val="none"/>
        </w:rPr>
      </w:pPr>
      <w:r>
        <w:rPr>
          <w:color w:val="auto"/>
          <w:kern w:val="2"/>
          <w:szCs w:val="21"/>
          <w:highlight w:val="none"/>
        </w:rPr>
        <w:t>16.3 投标文件必须由投标人在招标文件规定的相关位置加盖投标人单位公章，法定代表人（或其委托代理人）签署或加盖印鉴。否则影响其投标响应的作否决投标处理。</w:t>
      </w:r>
    </w:p>
    <w:p>
      <w:pPr>
        <w:spacing w:line="360" w:lineRule="auto"/>
        <w:ind w:firstLine="420"/>
        <w:rPr>
          <w:color w:val="auto"/>
          <w:kern w:val="2"/>
          <w:szCs w:val="21"/>
          <w:highlight w:val="none"/>
        </w:rPr>
      </w:pPr>
      <w:r>
        <w:rPr>
          <w:color w:val="auto"/>
          <w:kern w:val="2"/>
          <w:szCs w:val="21"/>
          <w:highlight w:val="none"/>
        </w:rPr>
        <w:t>由授权代表签字或盖章的在投标文件中须同时提交投标文件签署授权委托书。投标文件签署授权委托书格式、签字、盖章及内容均应符合要求，否则投标文件签署授权委托书无效。</w:t>
      </w:r>
    </w:p>
    <w:p>
      <w:pPr>
        <w:spacing w:line="360" w:lineRule="auto"/>
        <w:ind w:firstLine="420"/>
        <w:rPr>
          <w:color w:val="auto"/>
          <w:kern w:val="2"/>
          <w:szCs w:val="21"/>
          <w:highlight w:val="none"/>
        </w:rPr>
      </w:pPr>
      <w:r>
        <w:rPr>
          <w:color w:val="auto"/>
          <w:kern w:val="2"/>
          <w:szCs w:val="21"/>
          <w:highlight w:val="none"/>
        </w:rPr>
        <w:t>16.4 投标文件应尽量避免涂改、行间插字或删除。如果出现上述情况，改动之处应加盖投标人单位章或由投标人的法定代表人或其委托代理人签字确认。</w:t>
      </w:r>
    </w:p>
    <w:p>
      <w:pPr>
        <w:pStyle w:val="5"/>
        <w:spacing w:line="360" w:lineRule="auto"/>
        <w:rPr>
          <w:rFonts w:ascii="Times New Roman" w:hAnsi="Times New Roman" w:cs="Times New Roman"/>
          <w:color w:val="auto"/>
          <w:highlight w:val="none"/>
        </w:rPr>
      </w:pPr>
      <w:bookmarkStart w:id="36" w:name="_Toc213326420"/>
      <w:bookmarkEnd w:id="36"/>
      <w:bookmarkStart w:id="37" w:name="_Toc401396879"/>
      <w:bookmarkEnd w:id="37"/>
      <w:r>
        <w:rPr>
          <w:rFonts w:ascii="Times New Roman" w:hAnsi="Times New Roman" w:cs="Times New Roman"/>
          <w:color w:val="auto"/>
          <w:highlight w:val="none"/>
        </w:rPr>
        <w:t>五   开标与评标</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16.开标</w:t>
      </w:r>
    </w:p>
    <w:p>
      <w:pPr>
        <w:pStyle w:val="9"/>
        <w:spacing w:line="360" w:lineRule="auto"/>
        <w:ind w:firstLine="359"/>
        <w:rPr>
          <w:rFonts w:ascii="Times New Roman" w:hAnsi="Times New Roman" w:eastAsia="宋体"/>
          <w:color w:val="auto"/>
          <w:szCs w:val="21"/>
          <w:highlight w:val="none"/>
        </w:rPr>
      </w:pPr>
      <w:r>
        <w:rPr>
          <w:rFonts w:ascii="Times New Roman" w:hAnsi="Times New Roman" w:eastAsia="宋体"/>
          <w:color w:val="auto"/>
          <w:szCs w:val="21"/>
          <w:highlight w:val="none"/>
        </w:rPr>
        <w:t>16.1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pPr>
        <w:pStyle w:val="9"/>
        <w:spacing w:line="360" w:lineRule="auto"/>
        <w:ind w:firstLine="359"/>
        <w:rPr>
          <w:rFonts w:ascii="Times New Roman" w:hAnsi="Times New Roman" w:eastAsia="宋体"/>
          <w:color w:val="auto"/>
          <w:szCs w:val="21"/>
          <w:highlight w:val="none"/>
        </w:rPr>
      </w:pPr>
      <w:r>
        <w:rPr>
          <w:rFonts w:ascii="Times New Roman" w:hAnsi="Times New Roman" w:eastAsia="宋体"/>
          <w:color w:val="auto"/>
          <w:szCs w:val="21"/>
          <w:highlight w:val="none"/>
        </w:rPr>
        <w:t>16.2  开标程序：</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（1）宣布开标：开标会由采购代理机构主持，主持人宣布开标会议开始；</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（2）公布在投标截止时间前递交投标文件的投标人家数；</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（3）宣布开标人、唱标人、记录人、监标人等有关人员；</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4）由采购人代表和监督人员检查投标人的资格证件（包括法定代表人身份证明原件（企业法定代表人参加投标会时检查）或委托代理投标相关证明（附法定代表人身份证明的授权委托书原件、受委托的代理人身份证原件，委托代理人参加投标会时检查）、投标保证金提交收据（如有）、投标保证金转账（电汇）底单原件（电子转账的底单原件可采用彩色打印加盖转账单位公章）</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（5）由投标人或其推选的代表交叉检查投标文件的密封情况，并签字确认；</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（6）经投标人确认投标文件密封无误后，由采购代理机构工作当众拆封，宣布投标人名称、投标价格和其他需要宣布的内容。</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7）相关人员在开标记录上签字确认；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（8）宣布评标期间的有关事项；</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（9）开标会结束，进行投标文件审查。</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（注：1.投标人不足3家的，不得开标。2.投标人未参加开标的，视同认可开标结果。）</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17.资格审查</w:t>
      </w:r>
    </w:p>
    <w:p>
      <w:pPr>
        <w:spacing w:line="360" w:lineRule="auto"/>
        <w:ind w:firstLine="420"/>
        <w:rPr>
          <w:color w:val="auto"/>
          <w:szCs w:val="21"/>
          <w:highlight w:val="none"/>
        </w:rPr>
      </w:pPr>
      <w:r>
        <w:rPr>
          <w:color w:val="auto"/>
          <w:szCs w:val="21"/>
          <w:highlight w:val="none"/>
        </w:rPr>
        <w:t>开标结束后，根据《政府采购货物和服务招标投标管理办法》（财政部令第 87 号），由采购人及采购代理机构法对投标人的资格进行审查。合格投标人不足3家的，不得评标。</w:t>
      </w:r>
    </w:p>
    <w:p>
      <w:pPr>
        <w:spacing w:line="360" w:lineRule="auto"/>
        <w:ind w:firstLine="420"/>
        <w:rPr>
          <w:color w:val="auto"/>
          <w:szCs w:val="21"/>
          <w:highlight w:val="none"/>
        </w:rPr>
      </w:pPr>
      <w:r>
        <w:rPr>
          <w:color w:val="auto"/>
          <w:highlight w:val="none"/>
        </w:rPr>
        <w:t>根据《政府采购货物和服务招标投标管理办法》（财政部令第 87 号），本项目由采购人和代理单位代表负责资格审查，参加资格审查的人员须提供授权委托书，参加资格审查的采购人代表不能再以评标委员会成员身份参加评标（详评）。</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18.评标</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18.1评标委员会：评标由依法组建的评标委员会负责。评标委员会由采购人代表和有关专家组成。采购人或采购代理机构根据本项目的特点，从财政部门设立的采购评审专家库中，通过随机方式抽取专家。</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18.2 评标原则：评标活动遵循公平、公正、科学和择优的原则。</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18.3评标方法：评标委员会按照投标人须知前附表和第四章“评标方法”规定的方法、评审因素和标准对投标文件进行评审。在评标中，不得改变第四章“评标办法”规定的方法、评审因素和标准；第四章“评标办法”没有规定的方法、评审因素和标准，不作为评标依据。</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18.4 评标程序：</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18.4.1采购代理机构项目负责人宣读评标现场纪律要求，集中管理通讯工具，公布通过资格审查投标人名单，告知评审专家应当回避的情形并询问在场人员是否申请回避；</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18.4.2采购代理机构项目负责人介绍项目概况及评标委员会组成情况（但不得发表影响评审的倾向性、歧视性言论），推选评标组长（原则上采购人不得担任评标组长）；</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18.4.3 评标委员会按分工开展评标工作：</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（1）符合性检查。依据招标文件的规定，对符合资格要求的投标人的投标文件</w:t>
      </w:r>
      <w:r>
        <w:rPr>
          <w:rFonts w:ascii="Times New Roman" w:hAnsi="Times New Roman" w:eastAsia="宋体"/>
          <w:color w:val="auto"/>
          <w:sz w:val="20"/>
          <w:highlight w:val="none"/>
          <w:shd w:val="clear" w:color="auto" w:fill="FFFFFF"/>
        </w:rPr>
        <w:t>进行符合性审查，以确定其是否满足招标文件的实质性要求。</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2）澄清有关问题。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（3）比较与评价。按照招标文件中规定的评标方法和标准，对符合性审查合格的投标文件进行商务和技术评估，综合比较与评价。</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（4）评标委员会根据全体评标成员签字的原始评标记录和评标结果编写评标报告，并确定中标供应商名单。</w:t>
      </w:r>
    </w:p>
    <w:p>
      <w:pPr>
        <w:pStyle w:val="9"/>
        <w:snapToGrid w:val="0"/>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9"/>
        <w:spacing w:line="360" w:lineRule="auto"/>
        <w:ind w:firstLine="360"/>
        <w:rPr>
          <w:rFonts w:ascii="Times New Roman" w:hAnsi="Times New Roman" w:eastAsia="宋体"/>
          <w:color w:val="auto"/>
          <w:sz w:val="20"/>
          <w:highlight w:val="none"/>
          <w:shd w:val="clear" w:color="auto" w:fill="FFFFFF"/>
        </w:rPr>
      </w:pPr>
      <w:r>
        <w:rPr>
          <w:rFonts w:ascii="Times New Roman" w:hAnsi="Times New Roman" w:eastAsia="宋体"/>
          <w:color w:val="auto"/>
          <w:szCs w:val="21"/>
          <w:highlight w:val="none"/>
        </w:rPr>
        <w:t>18.4.4整个现场评标过程中，采购代理机构应严格按照招标文件既定的程序组织评委评审，</w:t>
      </w:r>
      <w:r>
        <w:rPr>
          <w:rFonts w:ascii="Times New Roman" w:hAnsi="Times New Roman" w:eastAsia="宋体"/>
          <w:color w:val="auto"/>
          <w:szCs w:val="21"/>
          <w:highlight w:val="none"/>
          <w:shd w:val="clear" w:color="auto" w:fill="FFFFFF"/>
        </w:rPr>
        <w:t>根据评标委员会的要求介绍政府采购相关政策法规、招标文件；维护评标秩序，监督评标委员会依照招标文件规定的评标程序、方法和标准进行独立评审，及时制止和纠正采购人代表、评审专家的倾向性言论或者违法违规行为；核对评标结果，要求评标委员会复核或者书面说明理由，评标委员会拒绝的，应予记录并向本级财政部门报告；处理与评标有关的其他事项。</w:t>
      </w:r>
    </w:p>
    <w:p>
      <w:pPr>
        <w:pStyle w:val="9"/>
        <w:spacing w:line="360" w:lineRule="auto"/>
        <w:ind w:firstLine="359"/>
        <w:rPr>
          <w:rFonts w:ascii="Times New Roman" w:hAnsi="Times New Roman" w:eastAsia="宋体"/>
          <w:color w:val="auto"/>
          <w:szCs w:val="21"/>
          <w:highlight w:val="none"/>
        </w:rPr>
      </w:pPr>
      <w:r>
        <w:rPr>
          <w:rFonts w:ascii="Times New Roman" w:hAnsi="Times New Roman" w:eastAsia="宋体"/>
          <w:color w:val="auto"/>
          <w:szCs w:val="21"/>
          <w:highlight w:val="none"/>
        </w:rPr>
        <w:t>18.5在确定中标供应商前，采购人或采购代理机构不得与投标供应商就投标价格、投标方案等实质性内容进行谈判。</w:t>
      </w:r>
    </w:p>
    <w:p>
      <w:pPr>
        <w:pStyle w:val="9"/>
        <w:spacing w:line="360" w:lineRule="auto"/>
        <w:ind w:firstLine="359"/>
        <w:rPr>
          <w:rFonts w:ascii="Times New Roman" w:hAnsi="Times New Roman" w:eastAsia="宋体"/>
          <w:color w:val="auto"/>
          <w:szCs w:val="21"/>
          <w:highlight w:val="none"/>
        </w:rPr>
      </w:pPr>
      <w:r>
        <w:rPr>
          <w:rFonts w:ascii="Times New Roman" w:hAnsi="Times New Roman" w:eastAsia="宋体"/>
          <w:color w:val="auto"/>
          <w:szCs w:val="21"/>
          <w:highlight w:val="none"/>
        </w:rPr>
        <w:t>18.6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19.投标文件的修正</w:t>
      </w:r>
    </w:p>
    <w:p>
      <w:pPr>
        <w:pStyle w:val="9"/>
        <w:spacing w:line="360" w:lineRule="auto"/>
        <w:ind w:firstLine="359"/>
        <w:rPr>
          <w:rFonts w:ascii="Times New Roman" w:hAnsi="Times New Roman" w:eastAsia="宋体"/>
          <w:color w:val="auto"/>
          <w:szCs w:val="21"/>
          <w:highlight w:val="none"/>
        </w:rPr>
      </w:pPr>
      <w:r>
        <w:rPr>
          <w:rFonts w:ascii="Times New Roman" w:hAnsi="Times New Roman" w:eastAsia="宋体"/>
          <w:color w:val="auto"/>
          <w:szCs w:val="21"/>
          <w:highlight w:val="none"/>
        </w:rPr>
        <w:t>19.1 如果出现计算或表达上的错误，修正的原则如下：</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（1）投标文件中报价表内容与投标文件中相应内容不一致的，以报价表为准；</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（2）大写金额和小写金额不一致的，以大写金额为准；</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（3）单价金额小数点或者百分比有明显错位的，以报价表的总价为准，并修改单价；</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（4）总价金额与按单价汇总金额不一致的，以单价金额计算结果为准。</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（5）对不同文字文本投标文件的解释发生异议的，以中文文本为准。</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19.2按上述修正原则修正后的投标报价经投标人书面确认后对投标人具有约束力。如果投标人不接受修正后的投标报价，则其投标无效且其投标保证金不予退回。</w:t>
      </w:r>
    </w:p>
    <w:p>
      <w:pPr>
        <w:pStyle w:val="9"/>
        <w:spacing w:line="360" w:lineRule="auto"/>
        <w:rPr>
          <w:rFonts w:ascii="Times New Roman" w:hAnsi="Times New Roman" w:eastAsia="宋体"/>
          <w:bCs/>
          <w:color w:val="auto"/>
          <w:szCs w:val="21"/>
          <w:highlight w:val="none"/>
        </w:rPr>
      </w:pPr>
      <w:r>
        <w:rPr>
          <w:rFonts w:ascii="Times New Roman" w:hAnsi="Times New Roman" w:eastAsia="宋体"/>
          <w:bCs/>
          <w:color w:val="auto"/>
          <w:szCs w:val="21"/>
          <w:highlight w:val="none"/>
        </w:rPr>
        <w:t>20.拒绝接收</w:t>
      </w:r>
    </w:p>
    <w:p>
      <w:pPr>
        <w:pStyle w:val="9"/>
        <w:spacing w:line="360" w:lineRule="auto"/>
        <w:ind w:firstLine="420" w:firstLineChars="200"/>
        <w:rPr>
          <w:rFonts w:ascii="Times New Roman" w:hAnsi="Times New Roman" w:eastAsia="宋体"/>
          <w:color w:val="auto"/>
          <w:szCs w:val="21"/>
          <w:highlight w:val="none"/>
        </w:rPr>
      </w:pPr>
      <w:r>
        <w:rPr>
          <w:rFonts w:ascii="Times New Roman" w:hAnsi="Times New Roman" w:eastAsia="宋体"/>
          <w:color w:val="auto"/>
          <w:szCs w:val="21"/>
          <w:highlight w:val="none"/>
        </w:rPr>
        <w:t>投标人未在本章第15.1项规定的时间之前将投标文件送达至本章第15.2项指定地点的，采购代理机构应当拒绝接收该投标人的投标文件。</w:t>
      </w:r>
    </w:p>
    <w:p>
      <w:pPr>
        <w:pStyle w:val="9"/>
        <w:spacing w:line="360" w:lineRule="auto"/>
        <w:rPr>
          <w:rFonts w:ascii="Times New Roman" w:hAnsi="Times New Roman" w:eastAsia="宋体"/>
          <w:bCs/>
          <w:color w:val="auto"/>
          <w:szCs w:val="21"/>
          <w:highlight w:val="none"/>
        </w:rPr>
      </w:pPr>
      <w:r>
        <w:rPr>
          <w:rFonts w:ascii="Times New Roman" w:hAnsi="Times New Roman" w:eastAsia="宋体"/>
          <w:bCs/>
          <w:color w:val="auto"/>
          <w:szCs w:val="21"/>
          <w:highlight w:val="none"/>
        </w:rPr>
        <w:t>21.无效投标</w:t>
      </w:r>
    </w:p>
    <w:p>
      <w:pPr>
        <w:pStyle w:val="9"/>
        <w:spacing w:line="360" w:lineRule="auto"/>
        <w:ind w:firstLine="359"/>
        <w:rPr>
          <w:rFonts w:ascii="Times New Roman" w:hAnsi="Times New Roman" w:eastAsia="宋体"/>
          <w:color w:val="auto"/>
          <w:szCs w:val="21"/>
          <w:highlight w:val="none"/>
        </w:rPr>
      </w:pPr>
      <w:r>
        <w:rPr>
          <w:rFonts w:ascii="Times New Roman" w:hAnsi="Times New Roman" w:eastAsia="宋体"/>
          <w:color w:val="auto"/>
          <w:szCs w:val="21"/>
          <w:highlight w:val="none"/>
        </w:rPr>
        <w:t>21.1 属下列情形之一的，投标人的投标无效：</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（1）投标人不具备本章第3项规定的投标人资格要求的；</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 xml:space="preserve">（2）投标文件未按本章第8.6项的规定标识或未按规定的正、副本数量递交的； </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（3）投标文件未按本章第10.1项的规定编写和提交的（包括缺少应提交的文件或格式不符合第五章“投标文件格式”的要求）；</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（4）投标文件不符合本章第10.2项规定的；</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（5）投标报价不符合本章第11项规定的或超过</w:t>
      </w:r>
      <w:r>
        <w:rPr>
          <w:rFonts w:hint="eastAsia" w:ascii="Times New Roman" w:hAnsi="Times New Roman" w:eastAsia="宋体"/>
          <w:color w:val="auto"/>
          <w:szCs w:val="21"/>
          <w:highlight w:val="none"/>
        </w:rPr>
        <w:t>报价有效范围</w:t>
      </w:r>
      <w:r>
        <w:rPr>
          <w:rFonts w:ascii="Times New Roman" w:hAnsi="Times New Roman" w:eastAsia="宋体"/>
          <w:color w:val="auto"/>
          <w:szCs w:val="21"/>
          <w:highlight w:val="none"/>
        </w:rPr>
        <w:t>的；</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（6）投标文件不符合本章第14项规定的；</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（7）投标人出现本章第19.2项所述情形的；</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（8）投标文件未对招标文件提出的要求和条件作出实质性响应的；</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（9）投标文件附有采购需求以外的条件使评标委员会认为不能接受的；</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（10）投标人在投标过程中提供虚假材料的；</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（11）报价超过招标文件中规定的预算金额或最高限价的；</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（12）投标文件含有采购人不能接受的附加条件的；</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 xml:space="preserve">（13）投标文件含有违反国家法律、法规的内容的。 </w:t>
      </w:r>
    </w:p>
    <w:p>
      <w:pPr>
        <w:pStyle w:val="9"/>
        <w:spacing w:line="360" w:lineRule="auto"/>
        <w:rPr>
          <w:rFonts w:ascii="Times New Roman" w:hAnsi="Times New Roman" w:eastAsia="宋体"/>
          <w:b/>
          <w:color w:val="auto"/>
          <w:szCs w:val="21"/>
          <w:highlight w:val="none"/>
        </w:rPr>
      </w:pPr>
      <w:r>
        <w:rPr>
          <w:rFonts w:ascii="Times New Roman" w:hAnsi="Times New Roman" w:eastAsia="宋体"/>
          <w:bCs/>
          <w:color w:val="auto"/>
          <w:szCs w:val="21"/>
          <w:highlight w:val="none"/>
        </w:rPr>
        <w:t>22.评标结果汇总完成后，除下列情形外，任何人不得修改评标结果：</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（1）分值汇总计算错误的；</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（2）分项评分超出评分标准范围的；</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（3）评标委员会成员对客观评审因素评分不一致的；</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（4）经评标委员会认定评分畸高、畸低的。</w:t>
      </w:r>
    </w:p>
    <w:p>
      <w:pPr>
        <w:pStyle w:val="9"/>
        <w:spacing w:line="360" w:lineRule="auto"/>
        <w:ind w:firstLine="426"/>
        <w:rPr>
          <w:rFonts w:ascii="Times New Roman" w:hAnsi="Times New Roman" w:eastAsia="宋体"/>
          <w:color w:val="auto"/>
          <w:szCs w:val="21"/>
          <w:highlight w:val="none"/>
        </w:rPr>
      </w:pPr>
      <w:r>
        <w:rPr>
          <w:rFonts w:ascii="Times New Roman" w:hAnsi="Times New Roman" w:eastAsia="宋体"/>
          <w:color w:val="auto"/>
          <w:szCs w:val="21"/>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9"/>
        <w:spacing w:line="360" w:lineRule="auto"/>
        <w:rPr>
          <w:rFonts w:ascii="Times New Roman" w:hAnsi="Times New Roman" w:eastAsia="宋体"/>
          <w:bCs/>
          <w:color w:val="auto"/>
          <w:szCs w:val="21"/>
          <w:highlight w:val="none"/>
        </w:rPr>
      </w:pPr>
      <w:r>
        <w:rPr>
          <w:rFonts w:ascii="Times New Roman" w:hAnsi="Times New Roman" w:eastAsia="宋体"/>
          <w:bCs/>
          <w:color w:val="auto"/>
          <w:szCs w:val="21"/>
          <w:highlight w:val="none"/>
        </w:rPr>
        <w:t>23.废标</w:t>
      </w:r>
    </w:p>
    <w:p>
      <w:pPr>
        <w:pStyle w:val="9"/>
        <w:spacing w:line="360" w:lineRule="auto"/>
        <w:ind w:firstLine="359"/>
        <w:rPr>
          <w:rFonts w:ascii="Times New Roman" w:hAnsi="Times New Roman" w:eastAsia="宋体"/>
          <w:color w:val="auto"/>
          <w:szCs w:val="21"/>
          <w:highlight w:val="none"/>
        </w:rPr>
      </w:pPr>
      <w:r>
        <w:rPr>
          <w:rFonts w:ascii="Times New Roman" w:hAnsi="Times New Roman" w:eastAsia="宋体"/>
          <w:color w:val="auto"/>
          <w:szCs w:val="21"/>
          <w:highlight w:val="none"/>
        </w:rPr>
        <w:t>23.1  在招标过程中，出现下列情形之一的，予以废标：</w:t>
      </w:r>
    </w:p>
    <w:p>
      <w:pPr>
        <w:pStyle w:val="9"/>
        <w:spacing w:line="360" w:lineRule="auto"/>
        <w:ind w:firstLine="210" w:firstLineChars="100"/>
        <w:rPr>
          <w:rFonts w:ascii="Times New Roman" w:hAnsi="Times New Roman" w:eastAsia="宋体"/>
          <w:color w:val="auto"/>
          <w:szCs w:val="21"/>
          <w:highlight w:val="none"/>
        </w:rPr>
      </w:pPr>
      <w:r>
        <w:rPr>
          <w:rFonts w:ascii="Times New Roman" w:hAnsi="Times New Roman" w:eastAsia="宋体"/>
          <w:color w:val="auto"/>
          <w:szCs w:val="21"/>
          <w:highlight w:val="none"/>
        </w:rPr>
        <w:t>（1）符合专业条件的供应商或者对招标文件作实质响应的供应商不足三家的，供应商家数计算规则：</w:t>
      </w:r>
    </w:p>
    <w:p>
      <w:pPr>
        <w:widowControl/>
        <w:spacing w:line="360" w:lineRule="auto"/>
        <w:ind w:firstLine="420" w:firstLineChars="200"/>
        <w:jc w:val="left"/>
        <w:rPr>
          <w:color w:val="auto"/>
          <w:szCs w:val="20"/>
          <w:highlight w:val="none"/>
        </w:rPr>
      </w:pPr>
      <w:r>
        <w:rPr>
          <w:color w:val="auto"/>
          <w:szCs w:val="20"/>
          <w:highlight w:val="none"/>
        </w:rPr>
        <w:t>1）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spacing w:line="360" w:lineRule="auto"/>
        <w:ind w:firstLine="420" w:firstLineChars="200"/>
        <w:jc w:val="left"/>
        <w:rPr>
          <w:color w:val="auto"/>
          <w:szCs w:val="20"/>
          <w:highlight w:val="none"/>
        </w:rPr>
      </w:pPr>
      <w:r>
        <w:rPr>
          <w:color w:val="auto"/>
          <w:szCs w:val="20"/>
          <w:highlight w:val="none"/>
        </w:rPr>
        <w:t>2）非单一产品采购项目，采购人应当根据采购项目技术构成、产品价格比重等合理确定核心产品，并在招标文件中载明。多家投标人提供的核心产品品牌相同的，按上述规定处理。</w:t>
      </w:r>
    </w:p>
    <w:p>
      <w:pPr>
        <w:pStyle w:val="9"/>
        <w:spacing w:line="360" w:lineRule="auto"/>
        <w:ind w:firstLine="210" w:firstLineChars="100"/>
        <w:rPr>
          <w:rFonts w:ascii="Times New Roman" w:hAnsi="Times New Roman" w:eastAsia="宋体"/>
          <w:color w:val="auto"/>
          <w:szCs w:val="21"/>
          <w:highlight w:val="none"/>
        </w:rPr>
      </w:pPr>
      <w:r>
        <w:rPr>
          <w:rFonts w:ascii="Times New Roman" w:hAnsi="Times New Roman" w:eastAsia="宋体"/>
          <w:color w:val="auto"/>
          <w:szCs w:val="21"/>
          <w:highlight w:val="none"/>
        </w:rPr>
        <w:t>（2）出现影响采购公正的违法、违规行为的；</w:t>
      </w:r>
    </w:p>
    <w:p>
      <w:pPr>
        <w:pStyle w:val="9"/>
        <w:spacing w:line="360" w:lineRule="auto"/>
        <w:ind w:firstLine="210" w:firstLineChars="100"/>
        <w:rPr>
          <w:rFonts w:ascii="Times New Roman" w:hAnsi="Times New Roman" w:eastAsia="宋体"/>
          <w:color w:val="auto"/>
          <w:szCs w:val="21"/>
          <w:highlight w:val="none"/>
        </w:rPr>
      </w:pPr>
      <w:r>
        <w:rPr>
          <w:rFonts w:ascii="Times New Roman" w:hAnsi="Times New Roman" w:eastAsia="宋体"/>
          <w:color w:val="auto"/>
          <w:szCs w:val="21"/>
          <w:highlight w:val="none"/>
        </w:rPr>
        <w:t>（3）投标人的报价均超过了采购预算，采购人不能支付的；</w:t>
      </w:r>
    </w:p>
    <w:p>
      <w:pPr>
        <w:pStyle w:val="9"/>
        <w:spacing w:line="360" w:lineRule="auto"/>
        <w:ind w:firstLine="210" w:firstLineChars="100"/>
        <w:rPr>
          <w:rFonts w:ascii="Times New Roman" w:hAnsi="Times New Roman" w:eastAsia="宋体"/>
          <w:color w:val="auto"/>
          <w:szCs w:val="21"/>
          <w:highlight w:val="none"/>
        </w:rPr>
      </w:pPr>
      <w:r>
        <w:rPr>
          <w:rFonts w:ascii="Times New Roman" w:hAnsi="Times New Roman" w:eastAsia="宋体"/>
          <w:color w:val="auto"/>
          <w:szCs w:val="21"/>
          <w:highlight w:val="none"/>
        </w:rPr>
        <w:t>（4）因重大变故，采购任务取消的。</w:t>
      </w:r>
    </w:p>
    <w:p>
      <w:pPr>
        <w:pStyle w:val="5"/>
        <w:spacing w:line="360" w:lineRule="auto"/>
        <w:rPr>
          <w:rFonts w:ascii="Times New Roman" w:hAnsi="Times New Roman" w:cs="Times New Roman"/>
          <w:color w:val="auto"/>
          <w:highlight w:val="none"/>
        </w:rPr>
      </w:pPr>
      <w:r>
        <w:rPr>
          <w:rFonts w:ascii="Times New Roman" w:hAnsi="Times New Roman" w:cs="Times New Roman"/>
          <w:color w:val="auto"/>
          <w:highlight w:val="none"/>
        </w:rPr>
        <w:t>六  合同授予</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24.中标供应商的确定</w:t>
      </w:r>
    </w:p>
    <w:p>
      <w:pPr>
        <w:spacing w:line="360" w:lineRule="auto"/>
        <w:ind w:firstLine="420"/>
        <w:rPr>
          <w:color w:val="auto"/>
          <w:kern w:val="1"/>
          <w:szCs w:val="21"/>
          <w:highlight w:val="none"/>
        </w:rPr>
      </w:pPr>
      <w:r>
        <w:rPr>
          <w:color w:val="auto"/>
          <w:kern w:val="1"/>
          <w:szCs w:val="21"/>
          <w:highlight w:val="none"/>
        </w:rPr>
        <w:t>24.1 评标委员会按第四章“评标方法”的规定排列中标候选供应商顺序，并依照次序确定中标供应商。</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25.中标通知书</w:t>
      </w:r>
    </w:p>
    <w:p>
      <w:pPr>
        <w:pStyle w:val="9"/>
        <w:spacing w:line="360" w:lineRule="auto"/>
        <w:ind w:firstLine="360"/>
        <w:rPr>
          <w:rFonts w:ascii="Times New Roman" w:hAnsi="Times New Roman" w:eastAsia="宋体"/>
          <w:color w:val="auto"/>
          <w:kern w:val="0"/>
          <w:szCs w:val="21"/>
          <w:highlight w:val="none"/>
        </w:rPr>
      </w:pPr>
      <w:r>
        <w:rPr>
          <w:rFonts w:ascii="Times New Roman" w:hAnsi="Times New Roman" w:eastAsia="宋体"/>
          <w:color w:val="auto"/>
          <w:szCs w:val="21"/>
          <w:highlight w:val="none"/>
        </w:rPr>
        <w:t>25.1</w:t>
      </w:r>
      <w:r>
        <w:rPr>
          <w:rFonts w:ascii="Times New Roman" w:hAnsi="Times New Roman" w:eastAsia="宋体"/>
          <w:color w:val="auto"/>
          <w:kern w:val="0"/>
          <w:szCs w:val="21"/>
          <w:highlight w:val="none"/>
        </w:rPr>
        <w:t>评标结束后，在中标供应商确定之日起2个工作日内，由采购代理机构在本章第2.1项规定的政府采购信息发布媒体上发布中标结果公告（中标结果公告期限为1个工作日），同时向中标供应商发出中标通知书。</w:t>
      </w:r>
    </w:p>
    <w:p>
      <w:pPr>
        <w:pStyle w:val="9"/>
        <w:spacing w:line="360" w:lineRule="auto"/>
        <w:ind w:firstLine="360"/>
        <w:rPr>
          <w:rFonts w:ascii="Times New Roman" w:hAnsi="Times New Roman" w:eastAsia="宋体"/>
          <w:color w:val="auto"/>
          <w:kern w:val="0"/>
          <w:szCs w:val="21"/>
          <w:highlight w:val="none"/>
        </w:rPr>
      </w:pPr>
      <w:r>
        <w:rPr>
          <w:rFonts w:ascii="Times New Roman" w:hAnsi="Times New Roman" w:eastAsia="宋体"/>
          <w:color w:val="auto"/>
          <w:kern w:val="0"/>
          <w:szCs w:val="21"/>
          <w:highlight w:val="none"/>
        </w:rPr>
        <w:t>25.2中标通知书对采购人和中标供应商具有同等法律效力。中标通知书发出后，采购人改变中标结果，或者中标供应商放弃中标，应当承担相应的法律责任。</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26.投标文件的退回</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采购人及采购代理机构无义务向未中标供应商或中标供应商退回投标文件。</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27.签订合同</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27.1采购合同签订应遵照政府采购法律法规的有关要求。</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27.2采购人和中标供应商应当在第二章“采购需求”中要求载明的合同签订期内，按第六章“合同条款及格式”订立书面合同。</w:t>
      </w:r>
    </w:p>
    <w:p>
      <w:pPr>
        <w:pStyle w:val="9"/>
        <w:spacing w:line="360" w:lineRule="auto"/>
        <w:ind w:firstLine="420"/>
        <w:rPr>
          <w:rFonts w:ascii="Times New Roman" w:hAnsi="Times New Roman" w:eastAsia="宋体"/>
          <w:color w:val="auto"/>
          <w:kern w:val="0"/>
          <w:szCs w:val="21"/>
          <w:highlight w:val="none"/>
        </w:rPr>
      </w:pPr>
      <w:r>
        <w:rPr>
          <w:rFonts w:ascii="Times New Roman" w:hAnsi="Times New Roman" w:eastAsia="宋体"/>
          <w:color w:val="auto"/>
          <w:kern w:val="0"/>
          <w:szCs w:val="21"/>
          <w:highlight w:val="none"/>
        </w:rPr>
        <w:t>27.3采购合同签订应当采用采购合同格式文本，合同应内容完整、盖章齐全；项目合同的各要素和内容应与招标文件、中标供应商的承诺、中标通知书等的内容一致；合同附件齐全；多页合同每页应顺序标出页码并盖骑缝章。</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kern w:val="0"/>
          <w:szCs w:val="21"/>
          <w:highlight w:val="none"/>
        </w:rPr>
        <w:t>27.4采购合同（正本、副本）自签订之日起七个工作日内，由采购人将合同副本送政府采购监管部门备案。</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27.5中标通知书发出后，中标供应商有本章第13.4项第（2）至（5）项情形之一的，中标无效，不予退还其交纳的投标保证金，采购人可追究中标供应商</w:t>
      </w:r>
      <w:r>
        <w:rPr>
          <w:rFonts w:ascii="Times New Roman" w:hAnsi="Times New Roman" w:eastAsia="宋体"/>
          <w:color w:val="auto"/>
          <w:kern w:val="0"/>
          <w:szCs w:val="21"/>
          <w:highlight w:val="none"/>
        </w:rPr>
        <w:t>承担相应的法律责任</w:t>
      </w:r>
      <w:r>
        <w:rPr>
          <w:rFonts w:ascii="Times New Roman" w:hAnsi="Times New Roman" w:eastAsia="宋体"/>
          <w:color w:val="auto"/>
          <w:szCs w:val="21"/>
          <w:highlight w:val="none"/>
        </w:rPr>
        <w:t>。如采购人无正当理由拒签合同的，应退还中标供应商投标保证金；采购人给中标供应商造成损失的，中标供应商可追究采购人承担相应的法律责任。</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27.6采购人在签订合同之前有权要求中标供应商提供本项目招标文件要求的资料原件进行核查，中标供应商不得拒绝。如中标供应商拒绝提供，则自行承担由此产生的后果。</w:t>
      </w:r>
    </w:p>
    <w:p>
      <w:pPr>
        <w:pStyle w:val="9"/>
        <w:spacing w:line="360" w:lineRule="auto"/>
        <w:ind w:firstLine="360"/>
        <w:rPr>
          <w:rFonts w:ascii="Times New Roman" w:hAnsi="Times New Roman" w:eastAsia="宋体"/>
          <w:color w:val="auto"/>
          <w:szCs w:val="21"/>
          <w:highlight w:val="none"/>
        </w:rPr>
      </w:pPr>
      <w:r>
        <w:rPr>
          <w:rFonts w:ascii="Times New Roman" w:hAnsi="Times New Roman" w:eastAsia="宋体"/>
          <w:color w:val="auto"/>
          <w:szCs w:val="21"/>
          <w:highlight w:val="none"/>
        </w:rPr>
        <w:t>27.7中标供应商因不可抗力或者自身原因不能履行采购合同的，如仍在投标有效期内，采购人可以与排位在中标供应商之后第一位的中标候选供应商签订采购合同，以此类推。</w:t>
      </w:r>
    </w:p>
    <w:p>
      <w:pPr>
        <w:pStyle w:val="9"/>
        <w:spacing w:line="360" w:lineRule="auto"/>
        <w:ind w:firstLine="360"/>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27.8安装、调试阶段：合同签订后，在30自然日内完成系统的安装、调试。</w:t>
      </w:r>
    </w:p>
    <w:p>
      <w:pPr>
        <w:pStyle w:val="9"/>
        <w:spacing w:line="360" w:lineRule="auto"/>
        <w:ind w:firstLine="360"/>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27.9如因中标方原因，违反项目有关进度的约定，造成系统安装上线延期超过 1个月的，采购人有权解除合同。中标方应当在收到采购的解除合同通知后，10日内全额退还采购方已支付的合同价款并承担已支付合同价款30%的违约赔偿责任。</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28.履约保证金及质量保证金</w:t>
      </w:r>
    </w:p>
    <w:p>
      <w:pPr>
        <w:widowControl/>
        <w:spacing w:line="360" w:lineRule="auto"/>
        <w:ind w:firstLine="420" w:firstLineChars="200"/>
        <w:jc w:val="left"/>
        <w:rPr>
          <w:color w:val="auto"/>
          <w:szCs w:val="21"/>
          <w:highlight w:val="none"/>
        </w:rPr>
      </w:pPr>
      <w:r>
        <w:rPr>
          <w:color w:val="auto"/>
          <w:szCs w:val="21"/>
          <w:highlight w:val="none"/>
        </w:rPr>
        <w:t xml:space="preserve">28.1 </w:t>
      </w:r>
      <w:r>
        <w:rPr>
          <w:rFonts w:hint="eastAsia"/>
          <w:color w:val="auto"/>
          <w:szCs w:val="21"/>
          <w:highlight w:val="none"/>
        </w:rPr>
        <w:t>无</w:t>
      </w:r>
      <w:r>
        <w:rPr>
          <w:color w:val="auto"/>
          <w:szCs w:val="21"/>
          <w:highlight w:val="none"/>
        </w:rPr>
        <w:t>。</w:t>
      </w:r>
    </w:p>
    <w:p>
      <w:pPr>
        <w:pStyle w:val="5"/>
        <w:spacing w:line="360" w:lineRule="auto"/>
        <w:rPr>
          <w:rFonts w:ascii="Times New Roman" w:hAnsi="Times New Roman" w:cs="Times New Roman"/>
          <w:color w:val="auto"/>
          <w:highlight w:val="none"/>
        </w:rPr>
      </w:pPr>
      <w:bookmarkStart w:id="38" w:name="_Toc213326422"/>
      <w:bookmarkEnd w:id="38"/>
      <w:bookmarkStart w:id="39" w:name="_Toc401396881"/>
      <w:bookmarkEnd w:id="39"/>
      <w:r>
        <w:rPr>
          <w:rFonts w:ascii="Times New Roman" w:hAnsi="Times New Roman" w:cs="Times New Roman"/>
          <w:color w:val="auto"/>
          <w:highlight w:val="none"/>
        </w:rPr>
        <w:t>七  其他事项</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29.解释权</w:t>
      </w:r>
    </w:p>
    <w:p>
      <w:pPr>
        <w:pStyle w:val="9"/>
        <w:spacing w:line="360" w:lineRule="auto"/>
        <w:ind w:firstLine="357"/>
        <w:jc w:val="left"/>
        <w:rPr>
          <w:rFonts w:ascii="Times New Roman" w:hAnsi="Times New Roman" w:eastAsia="宋体"/>
          <w:color w:val="auto"/>
          <w:szCs w:val="21"/>
          <w:highlight w:val="none"/>
        </w:rPr>
      </w:pPr>
      <w:r>
        <w:rPr>
          <w:rFonts w:ascii="Times New Roman" w:hAnsi="Times New Roman" w:eastAsia="宋体"/>
          <w:color w:val="auto"/>
          <w:szCs w:val="21"/>
          <w:highlight w:val="none"/>
        </w:rPr>
        <w:t>本招标文件参照《中华人民共和国政府采购法》及相关法律法规编制。</w:t>
      </w:r>
    </w:p>
    <w:p>
      <w:pPr>
        <w:pStyle w:val="9"/>
        <w:spacing w:line="360" w:lineRule="auto"/>
        <w:rPr>
          <w:rFonts w:ascii="Times New Roman" w:hAnsi="Times New Roman" w:eastAsia="宋体"/>
          <w:color w:val="auto"/>
          <w:szCs w:val="21"/>
          <w:highlight w:val="none"/>
        </w:rPr>
      </w:pPr>
      <w:r>
        <w:rPr>
          <w:rFonts w:ascii="Times New Roman" w:hAnsi="Times New Roman" w:eastAsia="宋体"/>
          <w:color w:val="auto"/>
          <w:szCs w:val="21"/>
          <w:highlight w:val="none"/>
        </w:rPr>
        <w:t>30. 代理服务收费标准：</w:t>
      </w:r>
    </w:p>
    <w:p>
      <w:pPr>
        <w:pStyle w:val="9"/>
        <w:spacing w:line="360" w:lineRule="auto"/>
        <w:ind w:firstLine="357"/>
        <w:jc w:val="left"/>
        <w:rPr>
          <w:rFonts w:ascii="Times New Roman" w:hAnsi="Times New Roman" w:eastAsia="宋体"/>
          <w:color w:val="auto"/>
          <w:szCs w:val="21"/>
          <w:highlight w:val="none"/>
        </w:rPr>
      </w:pPr>
      <w:r>
        <w:rPr>
          <w:rFonts w:ascii="Times New Roman" w:hAnsi="Times New Roman" w:eastAsia="宋体"/>
          <w:color w:val="auto"/>
          <w:szCs w:val="21"/>
          <w:highlight w:val="none"/>
        </w:rPr>
        <w:t>30.1代理服务费由成交供应商向采购代理机构支付。成交供应商在领取中标通知书前，应向采购代理机构一次付清代理服务费。</w:t>
      </w:r>
    </w:p>
    <w:p>
      <w:pPr>
        <w:pStyle w:val="9"/>
        <w:spacing w:line="360" w:lineRule="auto"/>
        <w:ind w:firstLine="357"/>
        <w:jc w:val="left"/>
        <w:rPr>
          <w:rFonts w:ascii="Times New Roman" w:hAnsi="Times New Roman" w:eastAsia="宋体"/>
          <w:color w:val="auto"/>
          <w:szCs w:val="21"/>
          <w:highlight w:val="none"/>
        </w:rPr>
      </w:pPr>
      <w:r>
        <w:rPr>
          <w:rFonts w:ascii="Times New Roman" w:hAnsi="Times New Roman" w:eastAsia="宋体"/>
          <w:color w:val="auto"/>
          <w:szCs w:val="21"/>
          <w:highlight w:val="none"/>
        </w:rPr>
        <w:t>30.2代理服务收费标准：按国家计委印发的《招标代理服务收费管理暂行办法》[计价格（2002）1980号]规定的服务类标准计取。</w:t>
      </w:r>
    </w:p>
    <w:p>
      <w:pPr>
        <w:pStyle w:val="4"/>
        <w:spacing w:after="312" w:line="360" w:lineRule="auto"/>
        <w:rPr>
          <w:color w:val="auto"/>
          <w:highlight w:val="none"/>
        </w:rPr>
      </w:pPr>
      <w:bookmarkStart w:id="40" w:name="_Toc503191183"/>
      <w:r>
        <w:rPr>
          <w:color w:val="auto"/>
          <w:highlight w:val="none"/>
        </w:rPr>
        <w:br w:type="page"/>
      </w:r>
    </w:p>
    <w:p>
      <w:pPr>
        <w:pStyle w:val="4"/>
        <w:spacing w:after="312" w:line="360" w:lineRule="auto"/>
        <w:rPr>
          <w:color w:val="auto"/>
          <w:highlight w:val="none"/>
        </w:rPr>
      </w:pPr>
      <w:r>
        <w:rPr>
          <w:color w:val="auto"/>
          <w:highlight w:val="none"/>
        </w:rPr>
        <w:t>第四章  评标方法</w:t>
      </w:r>
      <w:bookmarkEnd w:id="40"/>
    </w:p>
    <w:p>
      <w:pPr>
        <w:pStyle w:val="5"/>
        <w:spacing w:line="360" w:lineRule="auto"/>
        <w:rPr>
          <w:rFonts w:ascii="Times New Roman" w:hAnsi="Times New Roman" w:cs="Times New Roman"/>
          <w:color w:val="auto"/>
          <w:highlight w:val="none"/>
        </w:rPr>
      </w:pPr>
      <w:r>
        <w:rPr>
          <w:rFonts w:ascii="Times New Roman" w:hAnsi="Times New Roman" w:cs="Times New Roman"/>
          <w:color w:val="auto"/>
          <w:highlight w:val="none"/>
        </w:rPr>
        <w:t>一、评标原则</w:t>
      </w:r>
    </w:p>
    <w:p>
      <w:pPr>
        <w:pStyle w:val="7"/>
        <w:spacing w:line="360" w:lineRule="auto"/>
        <w:ind w:firstLine="396" w:firstLineChars="200"/>
        <w:rPr>
          <w:rFonts w:ascii="Times New Roman" w:hAnsi="Times New Roman" w:eastAsia="宋体" w:cs="Times New Roman"/>
          <w:b w:val="0"/>
          <w:color w:val="auto"/>
          <w:spacing w:val="-6"/>
          <w:kern w:val="1"/>
          <w:sz w:val="21"/>
          <w:szCs w:val="22"/>
          <w:highlight w:val="none"/>
          <w:lang w:val="en-US"/>
        </w:rPr>
      </w:pPr>
      <w:r>
        <w:rPr>
          <w:rFonts w:ascii="Times New Roman" w:hAnsi="Times New Roman" w:eastAsia="宋体" w:cs="Times New Roman"/>
          <w:b w:val="0"/>
          <w:color w:val="auto"/>
          <w:spacing w:val="-6"/>
          <w:kern w:val="1"/>
          <w:sz w:val="21"/>
          <w:szCs w:val="22"/>
          <w:highlight w:val="none"/>
          <w:lang w:val="en-US"/>
        </w:rPr>
        <w:t>1.评委构成：本招标采购项目的评委分别由依法组成的评审专家、采购</w:t>
      </w:r>
      <w:r>
        <w:rPr>
          <w:rFonts w:hint="eastAsia" w:ascii="Times New Roman" w:hAnsi="Times New Roman" w:eastAsia="宋体" w:cs="Times New Roman"/>
          <w:b w:val="0"/>
          <w:color w:val="auto"/>
          <w:spacing w:val="-6"/>
          <w:kern w:val="1"/>
          <w:sz w:val="21"/>
          <w:szCs w:val="22"/>
          <w:highlight w:val="none"/>
          <w:lang w:val="en-US"/>
        </w:rPr>
        <w:t>人</w:t>
      </w:r>
      <w:r>
        <w:rPr>
          <w:rFonts w:ascii="Times New Roman" w:hAnsi="Times New Roman" w:eastAsia="宋体" w:cs="Times New Roman"/>
          <w:b w:val="0"/>
          <w:color w:val="auto"/>
          <w:spacing w:val="-6"/>
          <w:kern w:val="1"/>
          <w:sz w:val="21"/>
          <w:szCs w:val="22"/>
          <w:highlight w:val="none"/>
          <w:lang w:val="en-US"/>
        </w:rPr>
        <w:t>代表共五人以上单数构成，其中专家人数不少于成员总数的三分之二。</w:t>
      </w:r>
    </w:p>
    <w:p>
      <w:pPr>
        <w:pStyle w:val="7"/>
        <w:spacing w:line="360" w:lineRule="auto"/>
        <w:ind w:firstLine="396" w:firstLineChars="200"/>
        <w:rPr>
          <w:rFonts w:ascii="Times New Roman" w:hAnsi="Times New Roman" w:eastAsia="宋体" w:cs="Times New Roman"/>
          <w:b w:val="0"/>
          <w:color w:val="auto"/>
          <w:spacing w:val="-6"/>
          <w:kern w:val="1"/>
          <w:sz w:val="21"/>
          <w:szCs w:val="22"/>
          <w:highlight w:val="none"/>
          <w:lang w:val="en-US"/>
        </w:rPr>
      </w:pPr>
      <w:r>
        <w:rPr>
          <w:rFonts w:ascii="Times New Roman" w:hAnsi="Times New Roman" w:eastAsia="宋体" w:cs="Times New Roman"/>
          <w:b w:val="0"/>
          <w:color w:val="auto"/>
          <w:spacing w:val="-6"/>
          <w:kern w:val="1"/>
          <w:sz w:val="21"/>
          <w:szCs w:val="22"/>
          <w:highlight w:val="none"/>
          <w:lang w:val="en-US"/>
        </w:rPr>
        <w:t>2.评标依据：评委将以招投标文件为评标依据，对投标人的投标文件进行评审。</w:t>
      </w:r>
    </w:p>
    <w:p>
      <w:pPr>
        <w:pStyle w:val="7"/>
        <w:spacing w:line="360" w:lineRule="auto"/>
        <w:ind w:firstLine="396" w:firstLineChars="200"/>
        <w:rPr>
          <w:rFonts w:ascii="Times New Roman" w:hAnsi="Times New Roman" w:eastAsia="宋体" w:cs="Times New Roman"/>
          <w:b w:val="0"/>
          <w:color w:val="auto"/>
          <w:spacing w:val="-6"/>
          <w:kern w:val="1"/>
          <w:sz w:val="21"/>
          <w:szCs w:val="22"/>
          <w:highlight w:val="none"/>
          <w:lang w:val="en-US"/>
        </w:rPr>
      </w:pPr>
      <w:r>
        <w:rPr>
          <w:rFonts w:ascii="Times New Roman" w:hAnsi="Times New Roman" w:eastAsia="宋体" w:cs="Times New Roman"/>
          <w:b w:val="0"/>
          <w:color w:val="auto"/>
          <w:spacing w:val="-6"/>
          <w:kern w:val="1"/>
          <w:sz w:val="21"/>
          <w:szCs w:val="22"/>
          <w:highlight w:val="none"/>
          <w:lang w:val="en-US"/>
        </w:rPr>
        <w:t>3.评标方式：以封闭方式进行评标。</w:t>
      </w:r>
    </w:p>
    <w:p>
      <w:pPr>
        <w:pStyle w:val="7"/>
        <w:spacing w:line="360" w:lineRule="auto"/>
        <w:ind w:firstLine="396" w:firstLineChars="200"/>
        <w:rPr>
          <w:rFonts w:ascii="Times New Roman" w:hAnsi="Times New Roman" w:eastAsia="宋体" w:cs="Times New Roman"/>
          <w:b w:val="0"/>
          <w:color w:val="auto"/>
          <w:spacing w:val="-6"/>
          <w:kern w:val="1"/>
          <w:sz w:val="21"/>
          <w:szCs w:val="22"/>
          <w:highlight w:val="none"/>
          <w:lang w:val="en-US"/>
        </w:rPr>
      </w:pPr>
      <w:r>
        <w:rPr>
          <w:rFonts w:ascii="Times New Roman" w:hAnsi="Times New Roman" w:eastAsia="宋体" w:cs="Times New Roman"/>
          <w:b w:val="0"/>
          <w:color w:val="auto"/>
          <w:spacing w:val="-6"/>
          <w:kern w:val="1"/>
          <w:sz w:val="21"/>
          <w:szCs w:val="22"/>
          <w:highlight w:val="none"/>
          <w:lang w:val="en-US"/>
        </w:rPr>
        <w:t>4.根据财库〔2012〕69号文规定，采购人和采购代理机构、评标委员会成员要严格遵守政府采购相关法律制度，依法履行各自职责，公正、客观、审慎地组织和参与评审工作。</w:t>
      </w:r>
    </w:p>
    <w:p>
      <w:pPr>
        <w:pStyle w:val="7"/>
        <w:spacing w:line="360" w:lineRule="auto"/>
        <w:ind w:firstLine="396" w:firstLineChars="200"/>
        <w:rPr>
          <w:rFonts w:ascii="Times New Roman" w:hAnsi="Times New Roman" w:eastAsia="宋体" w:cs="Times New Roman"/>
          <w:b w:val="0"/>
          <w:color w:val="auto"/>
          <w:spacing w:val="-6"/>
          <w:kern w:val="1"/>
          <w:sz w:val="21"/>
          <w:szCs w:val="22"/>
          <w:highlight w:val="none"/>
          <w:lang w:val="en-US"/>
        </w:rPr>
      </w:pPr>
      <w:r>
        <w:rPr>
          <w:rFonts w:ascii="Times New Roman" w:hAnsi="Times New Roman" w:eastAsia="宋体" w:cs="Times New Roman"/>
          <w:b w:val="0"/>
          <w:color w:val="auto"/>
          <w:spacing w:val="-6"/>
          <w:kern w:val="1"/>
          <w:sz w:val="21"/>
          <w:szCs w:val="22"/>
          <w:highlight w:val="none"/>
          <w:lang w:val="en-US"/>
        </w:rPr>
        <w:t>5.通过资格审查</w:t>
      </w:r>
      <w:r>
        <w:rPr>
          <w:rFonts w:hint="eastAsia" w:ascii="Times New Roman" w:hAnsi="Times New Roman" w:eastAsia="宋体" w:cs="Times New Roman"/>
          <w:b w:val="0"/>
          <w:color w:val="auto"/>
          <w:spacing w:val="-6"/>
          <w:kern w:val="1"/>
          <w:sz w:val="21"/>
          <w:szCs w:val="22"/>
          <w:highlight w:val="none"/>
          <w:lang w:val="en-US"/>
        </w:rPr>
        <w:t>、符合性审查</w:t>
      </w:r>
      <w:r>
        <w:rPr>
          <w:rFonts w:ascii="Times New Roman" w:hAnsi="Times New Roman" w:eastAsia="宋体" w:cs="Times New Roman"/>
          <w:b w:val="0"/>
          <w:color w:val="auto"/>
          <w:spacing w:val="-6"/>
          <w:kern w:val="1"/>
          <w:sz w:val="21"/>
          <w:szCs w:val="22"/>
          <w:highlight w:val="none"/>
          <w:lang w:val="en-US"/>
        </w:rPr>
        <w:t>的投标人投标文件才能进入评标评分，资格审查由采购人或采购代理机构的授权委托代理人负责审核，已负责资格审查的采购人代表不得再以评标委员会成员参加评标工作。</w:t>
      </w:r>
    </w:p>
    <w:p>
      <w:pPr>
        <w:pStyle w:val="5"/>
        <w:spacing w:line="360" w:lineRule="auto"/>
        <w:rPr>
          <w:rFonts w:ascii="Times New Roman" w:hAnsi="Times New Roman" w:cs="Times New Roman"/>
          <w:color w:val="auto"/>
          <w:highlight w:val="none"/>
        </w:rPr>
      </w:pPr>
      <w:r>
        <w:rPr>
          <w:rFonts w:ascii="Times New Roman" w:hAnsi="Times New Roman" w:cs="Times New Roman"/>
          <w:color w:val="auto"/>
          <w:highlight w:val="none"/>
        </w:rPr>
        <w:t>二、评标方法</w:t>
      </w:r>
    </w:p>
    <w:p>
      <w:pPr>
        <w:spacing w:line="360" w:lineRule="auto"/>
        <w:ind w:firstLine="396" w:firstLineChars="200"/>
        <w:rPr>
          <w:color w:val="auto"/>
          <w:spacing w:val="-6"/>
          <w:kern w:val="1"/>
          <w:szCs w:val="22"/>
          <w:highlight w:val="none"/>
        </w:rPr>
      </w:pPr>
      <w:r>
        <w:rPr>
          <w:color w:val="auto"/>
          <w:spacing w:val="-6"/>
          <w:kern w:val="1"/>
          <w:szCs w:val="22"/>
          <w:highlight w:val="none"/>
        </w:rPr>
        <w:t>（一）对进入详评的，采用百分制综合评分法。</w:t>
      </w:r>
    </w:p>
    <w:p>
      <w:pPr>
        <w:spacing w:line="360" w:lineRule="auto"/>
        <w:ind w:firstLine="396" w:firstLineChars="200"/>
        <w:rPr>
          <w:color w:val="auto"/>
          <w:spacing w:val="-6"/>
          <w:kern w:val="1"/>
          <w:szCs w:val="22"/>
          <w:highlight w:val="none"/>
        </w:rPr>
      </w:pPr>
      <w:r>
        <w:rPr>
          <w:color w:val="auto"/>
          <w:spacing w:val="-6"/>
          <w:kern w:val="1"/>
          <w:szCs w:val="22"/>
          <w:highlight w:val="none"/>
        </w:rPr>
        <w:t>（二）计分办法（按四舍五入取至百分位）：</w:t>
      </w:r>
    </w:p>
    <w:p>
      <w:pPr>
        <w:pStyle w:val="7"/>
        <w:spacing w:line="360" w:lineRule="auto"/>
        <w:ind w:firstLine="398" w:firstLineChars="200"/>
        <w:rPr>
          <w:rFonts w:ascii="Times New Roman" w:hAnsi="Times New Roman" w:eastAsia="宋体" w:cs="Times New Roman"/>
          <w:b w:val="0"/>
          <w:color w:val="auto"/>
          <w:spacing w:val="-6"/>
          <w:kern w:val="1"/>
          <w:sz w:val="21"/>
          <w:szCs w:val="22"/>
          <w:highlight w:val="none"/>
          <w:lang w:val="en-US"/>
        </w:rPr>
      </w:pPr>
      <w:r>
        <w:rPr>
          <w:rFonts w:ascii="Times New Roman" w:hAnsi="Times New Roman" w:eastAsia="宋体" w:cs="Times New Roman"/>
          <w:bCs/>
          <w:color w:val="auto"/>
          <w:spacing w:val="-6"/>
          <w:kern w:val="1"/>
          <w:sz w:val="21"/>
          <w:szCs w:val="22"/>
          <w:highlight w:val="none"/>
          <w:lang w:val="en-US"/>
        </w:rPr>
        <w:t>1. 价格分…………………………………………………………………………………………10 分</w:t>
      </w:r>
    </w:p>
    <w:p>
      <w:pPr>
        <w:pStyle w:val="7"/>
        <w:spacing w:line="360" w:lineRule="auto"/>
        <w:ind w:firstLine="396" w:firstLineChars="200"/>
        <w:rPr>
          <w:rFonts w:ascii="Times New Roman" w:hAnsi="Times New Roman" w:eastAsia="宋体" w:cs="Times New Roman"/>
          <w:b w:val="0"/>
          <w:color w:val="auto"/>
          <w:spacing w:val="-6"/>
          <w:kern w:val="1"/>
          <w:sz w:val="21"/>
          <w:szCs w:val="22"/>
          <w:highlight w:val="none"/>
          <w:lang w:val="en-US"/>
        </w:rPr>
      </w:pPr>
      <w:r>
        <w:rPr>
          <w:rFonts w:ascii="Times New Roman" w:hAnsi="Times New Roman" w:eastAsia="宋体" w:cs="Times New Roman"/>
          <w:b w:val="0"/>
          <w:color w:val="auto"/>
          <w:spacing w:val="-6"/>
          <w:kern w:val="1"/>
          <w:sz w:val="21"/>
          <w:szCs w:val="22"/>
          <w:highlight w:val="none"/>
          <w:lang w:val="en-US"/>
        </w:rPr>
        <w:t>（1）评标报价为投标人的投标报价进行政策性扣除后的价格，评标报价只是作为评标时使用。最终中标人的中标金额＝投标报价。</w:t>
      </w:r>
    </w:p>
    <w:p>
      <w:pPr>
        <w:pStyle w:val="7"/>
        <w:spacing w:line="360" w:lineRule="auto"/>
        <w:ind w:firstLine="396" w:firstLineChars="200"/>
        <w:rPr>
          <w:rFonts w:ascii="Times New Roman" w:hAnsi="Times New Roman" w:eastAsia="宋体" w:cs="Times New Roman"/>
          <w:b w:val="0"/>
          <w:color w:val="auto"/>
          <w:spacing w:val="-6"/>
          <w:kern w:val="1"/>
          <w:sz w:val="21"/>
          <w:szCs w:val="22"/>
          <w:highlight w:val="none"/>
          <w:lang w:val="en-US"/>
        </w:rPr>
      </w:pPr>
      <w:r>
        <w:rPr>
          <w:rFonts w:ascii="Times New Roman" w:hAnsi="Times New Roman" w:eastAsia="宋体" w:cs="Times New Roman"/>
          <w:b w:val="0"/>
          <w:color w:val="auto"/>
          <w:spacing w:val="-6"/>
          <w:kern w:val="1"/>
          <w:sz w:val="21"/>
          <w:szCs w:val="22"/>
          <w:highlight w:val="none"/>
          <w:lang w:val="en-US"/>
        </w:rPr>
        <w:t xml:space="preserve">（2）按照《政府采购促进中小企业发展暂行办法》（财库[2011]181 号）之规定，对小型和微型企业产品的价格给予 </w:t>
      </w:r>
      <w:r>
        <w:rPr>
          <w:rFonts w:hint="eastAsia" w:ascii="Times New Roman" w:hAnsi="Times New Roman" w:eastAsia="宋体" w:cs="Times New Roman"/>
          <w:b w:val="0"/>
          <w:color w:val="auto"/>
          <w:spacing w:val="-6"/>
          <w:kern w:val="1"/>
          <w:sz w:val="21"/>
          <w:szCs w:val="22"/>
          <w:highlight w:val="none"/>
          <w:lang w:val="en-US" w:eastAsia="zh-CN"/>
        </w:rPr>
        <w:t>10</w:t>
      </w:r>
      <w:r>
        <w:rPr>
          <w:rFonts w:ascii="Times New Roman" w:hAnsi="Times New Roman" w:eastAsia="宋体" w:cs="Times New Roman"/>
          <w:b w:val="0"/>
          <w:color w:val="auto"/>
          <w:spacing w:val="-6"/>
          <w:kern w:val="1"/>
          <w:sz w:val="21"/>
          <w:szCs w:val="22"/>
          <w:highlight w:val="none"/>
          <w:lang w:val="en-US"/>
        </w:rPr>
        <w:t>%的扣除。</w:t>
      </w:r>
    </w:p>
    <w:p>
      <w:pPr>
        <w:pStyle w:val="7"/>
        <w:spacing w:line="360" w:lineRule="auto"/>
        <w:ind w:firstLine="396" w:firstLineChars="200"/>
        <w:rPr>
          <w:rFonts w:ascii="Times New Roman" w:hAnsi="Times New Roman" w:eastAsia="宋体" w:cs="Times New Roman"/>
          <w:b w:val="0"/>
          <w:color w:val="auto"/>
          <w:spacing w:val="-6"/>
          <w:kern w:val="1"/>
          <w:sz w:val="21"/>
          <w:szCs w:val="22"/>
          <w:highlight w:val="none"/>
          <w:lang w:val="en-US"/>
        </w:rPr>
      </w:pPr>
      <w:r>
        <w:rPr>
          <w:rFonts w:ascii="Times New Roman" w:hAnsi="Times New Roman" w:eastAsia="宋体" w:cs="Times New Roman"/>
          <w:b w:val="0"/>
          <w:color w:val="auto"/>
          <w:spacing w:val="-6"/>
          <w:kern w:val="1"/>
          <w:sz w:val="21"/>
          <w:szCs w:val="22"/>
          <w:highlight w:val="none"/>
          <w:lang w:val="en-US"/>
        </w:rPr>
        <w:t>（3）按照《财政部、司法部关于政府采购支持监狱企业发展有关问题的通知》（财库〔2014〕68 号） 的规定，监狱企业视同小型、微型企业，享受预留份额、评审中价格扣除等促进中小企业发展的政府采购政策。</w:t>
      </w:r>
    </w:p>
    <w:p>
      <w:pPr>
        <w:pStyle w:val="7"/>
        <w:spacing w:line="360" w:lineRule="auto"/>
        <w:ind w:firstLine="396" w:firstLineChars="200"/>
        <w:rPr>
          <w:rFonts w:ascii="Times New Roman" w:hAnsi="Times New Roman" w:eastAsia="宋体" w:cs="Times New Roman"/>
          <w:b w:val="0"/>
          <w:color w:val="auto"/>
          <w:spacing w:val="-6"/>
          <w:kern w:val="1"/>
          <w:sz w:val="21"/>
          <w:szCs w:val="22"/>
          <w:highlight w:val="none"/>
          <w:lang w:val="en-US"/>
        </w:rPr>
      </w:pPr>
      <w:r>
        <w:rPr>
          <w:rFonts w:ascii="Times New Roman" w:hAnsi="Times New Roman" w:eastAsia="宋体" w:cs="Times New Roman"/>
          <w:b w:val="0"/>
          <w:color w:val="auto"/>
          <w:spacing w:val="-6"/>
          <w:kern w:val="1"/>
          <w:sz w:val="21"/>
          <w:szCs w:val="22"/>
          <w:highlight w:val="none"/>
          <w:lang w:val="en-US"/>
        </w:rPr>
        <w:t>（4）按照《关于促进残疾人就业政府采购政策的通知》（财库〔2017〕141 号）的规定，残疾人福利性单位视同小型、微型企业，享受预留份额、评审中价格扣除等促进中小企业发展的政府采购政策。残疾人福利性单位属于小型、微型企业的，不重复享受政策。</w:t>
      </w:r>
    </w:p>
    <w:p>
      <w:pPr>
        <w:pStyle w:val="7"/>
        <w:spacing w:line="360" w:lineRule="auto"/>
        <w:ind w:firstLine="396" w:firstLineChars="200"/>
        <w:rPr>
          <w:rFonts w:ascii="Times New Roman" w:hAnsi="Times New Roman" w:eastAsia="宋体" w:cs="Times New Roman"/>
          <w:b w:val="0"/>
          <w:color w:val="auto"/>
          <w:spacing w:val="-6"/>
          <w:kern w:val="1"/>
          <w:sz w:val="21"/>
          <w:szCs w:val="22"/>
          <w:highlight w:val="none"/>
          <w:lang w:val="en-US"/>
        </w:rPr>
      </w:pPr>
      <w:r>
        <w:rPr>
          <w:rFonts w:ascii="Times New Roman" w:hAnsi="Times New Roman" w:eastAsia="宋体" w:cs="Times New Roman"/>
          <w:b w:val="0"/>
          <w:color w:val="auto"/>
          <w:spacing w:val="-6"/>
          <w:kern w:val="1"/>
          <w:sz w:val="21"/>
          <w:szCs w:val="22"/>
          <w:highlight w:val="none"/>
          <w:lang w:val="en-US"/>
        </w:rPr>
        <w:t>（5）政策性扣除计算方法。</w:t>
      </w:r>
    </w:p>
    <w:p>
      <w:pPr>
        <w:pStyle w:val="7"/>
        <w:spacing w:line="360" w:lineRule="auto"/>
        <w:ind w:firstLine="396" w:firstLineChars="200"/>
        <w:rPr>
          <w:rFonts w:ascii="Times New Roman" w:hAnsi="Times New Roman" w:eastAsia="宋体" w:cs="Times New Roman"/>
          <w:b w:val="0"/>
          <w:color w:val="auto"/>
          <w:spacing w:val="-6"/>
          <w:kern w:val="1"/>
          <w:sz w:val="21"/>
          <w:szCs w:val="22"/>
          <w:highlight w:val="none"/>
          <w:lang w:val="en-US"/>
        </w:rPr>
      </w:pPr>
      <w:r>
        <w:rPr>
          <w:rFonts w:ascii="Times New Roman" w:hAnsi="Times New Roman" w:eastAsia="宋体" w:cs="Times New Roman"/>
          <w:b w:val="0"/>
          <w:color w:val="auto"/>
          <w:spacing w:val="-6"/>
          <w:kern w:val="1"/>
          <w:sz w:val="21"/>
          <w:szCs w:val="22"/>
          <w:highlight w:val="none"/>
          <w:lang w:val="en-US"/>
        </w:rPr>
        <w:t xml:space="preserve">投标人被认定为监狱企业或残疾人福利性单位或小型和微型企业的，其投标报价给予 </w:t>
      </w:r>
      <w:r>
        <w:rPr>
          <w:rFonts w:hint="eastAsia" w:ascii="Times New Roman" w:hAnsi="Times New Roman" w:eastAsia="宋体" w:cs="Times New Roman"/>
          <w:b w:val="0"/>
          <w:color w:val="auto"/>
          <w:spacing w:val="-6"/>
          <w:kern w:val="1"/>
          <w:sz w:val="21"/>
          <w:szCs w:val="22"/>
          <w:highlight w:val="none"/>
          <w:lang w:val="en-US"/>
        </w:rPr>
        <w:t>10</w:t>
      </w:r>
      <w:r>
        <w:rPr>
          <w:rFonts w:ascii="Times New Roman" w:hAnsi="Times New Roman" w:eastAsia="宋体" w:cs="Times New Roman"/>
          <w:b w:val="0"/>
          <w:color w:val="auto"/>
          <w:spacing w:val="-6"/>
          <w:kern w:val="1"/>
          <w:sz w:val="21"/>
          <w:szCs w:val="22"/>
          <w:highlight w:val="none"/>
          <w:lang w:val="en-US"/>
        </w:rPr>
        <w:t>%的扣除，扣除后的价格为评标报价，即该投标人的评标报价=</w:t>
      </w:r>
      <w:r>
        <w:rPr>
          <w:rFonts w:hint="eastAsia" w:ascii="Times New Roman" w:hAnsi="Times New Roman" w:eastAsia="宋体" w:cs="Times New Roman"/>
          <w:b w:val="0"/>
          <w:color w:val="auto"/>
          <w:spacing w:val="-6"/>
          <w:kern w:val="1"/>
          <w:sz w:val="21"/>
          <w:szCs w:val="22"/>
          <w:highlight w:val="none"/>
          <w:lang w:val="en-US"/>
        </w:rPr>
        <w:t>（1-该投标人的投标报价）</w:t>
      </w:r>
      <w:r>
        <w:rPr>
          <w:rFonts w:ascii="Times New Roman" w:hAnsi="Times New Roman" w:eastAsia="宋体" w:cs="Times New Roman"/>
          <w:b w:val="0"/>
          <w:color w:val="auto"/>
          <w:spacing w:val="-6"/>
          <w:kern w:val="1"/>
          <w:sz w:val="21"/>
          <w:szCs w:val="22"/>
          <w:highlight w:val="none"/>
          <w:lang w:val="en-US"/>
        </w:rPr>
        <w:t>×（1-</w:t>
      </w:r>
      <w:r>
        <w:rPr>
          <w:rFonts w:hint="eastAsia" w:ascii="Times New Roman" w:hAnsi="Times New Roman" w:eastAsia="宋体" w:cs="Times New Roman"/>
          <w:b w:val="0"/>
          <w:color w:val="auto"/>
          <w:spacing w:val="-6"/>
          <w:kern w:val="1"/>
          <w:sz w:val="21"/>
          <w:szCs w:val="22"/>
          <w:highlight w:val="none"/>
          <w:lang w:val="en-US"/>
        </w:rPr>
        <w:t>10</w:t>
      </w:r>
      <w:r>
        <w:rPr>
          <w:rFonts w:ascii="Times New Roman" w:hAnsi="Times New Roman" w:eastAsia="宋体" w:cs="Times New Roman"/>
          <w:b w:val="0"/>
          <w:color w:val="auto"/>
          <w:spacing w:val="-6"/>
          <w:kern w:val="1"/>
          <w:sz w:val="21"/>
          <w:szCs w:val="22"/>
          <w:highlight w:val="none"/>
          <w:lang w:val="en-US"/>
        </w:rPr>
        <w:t>%）； 大中型企业和其他自然人、法人或者其他组织与小型、微型企业组成联合体投标，且联合体投标协议中约定小型、微型企业的协议合同金额占到联合体协议合同总金额 30%以上的，联合体投标价给予 2%的扣除，扣除后的价格为评标价，即评标报价=</w:t>
      </w:r>
      <w:r>
        <w:rPr>
          <w:rFonts w:hint="eastAsia" w:ascii="Times New Roman" w:hAnsi="Times New Roman" w:eastAsia="宋体" w:cs="Times New Roman"/>
          <w:b w:val="0"/>
          <w:color w:val="auto"/>
          <w:spacing w:val="-6"/>
          <w:kern w:val="1"/>
          <w:sz w:val="21"/>
          <w:szCs w:val="22"/>
          <w:highlight w:val="none"/>
          <w:lang w:val="en-US"/>
        </w:rPr>
        <w:t>（1-该投标人的投标报价）</w:t>
      </w:r>
      <w:r>
        <w:rPr>
          <w:rFonts w:ascii="Times New Roman" w:hAnsi="Times New Roman" w:eastAsia="宋体" w:cs="Times New Roman"/>
          <w:b w:val="0"/>
          <w:color w:val="auto"/>
          <w:spacing w:val="-6"/>
          <w:kern w:val="1"/>
          <w:sz w:val="21"/>
          <w:szCs w:val="22"/>
          <w:highlight w:val="none"/>
          <w:lang w:val="en-US"/>
        </w:rPr>
        <w:t>×（1-2%）；除上述情况外，评标报价=</w:t>
      </w:r>
      <w:r>
        <w:rPr>
          <w:rFonts w:hint="eastAsia" w:ascii="Times New Roman" w:hAnsi="Times New Roman" w:eastAsia="宋体" w:cs="Times New Roman"/>
          <w:b w:val="0"/>
          <w:color w:val="auto"/>
          <w:spacing w:val="-6"/>
          <w:kern w:val="1"/>
          <w:sz w:val="21"/>
          <w:szCs w:val="22"/>
          <w:highlight w:val="none"/>
          <w:lang w:val="en-US"/>
        </w:rPr>
        <w:t>（1-该投标人的投标报价）</w:t>
      </w:r>
      <w:r>
        <w:rPr>
          <w:rFonts w:ascii="Times New Roman" w:hAnsi="Times New Roman" w:eastAsia="宋体" w:cs="Times New Roman"/>
          <w:b w:val="0"/>
          <w:color w:val="auto"/>
          <w:spacing w:val="-6"/>
          <w:kern w:val="1"/>
          <w:sz w:val="21"/>
          <w:szCs w:val="22"/>
          <w:highlight w:val="none"/>
          <w:lang w:val="en-US"/>
        </w:rPr>
        <w:t>。</w:t>
      </w:r>
    </w:p>
    <w:p>
      <w:pPr>
        <w:pStyle w:val="7"/>
        <w:spacing w:line="360" w:lineRule="auto"/>
        <w:ind w:firstLine="396" w:firstLineChars="200"/>
        <w:rPr>
          <w:rFonts w:ascii="Times New Roman" w:hAnsi="Times New Roman" w:eastAsia="宋体" w:cs="Times New Roman"/>
          <w:b w:val="0"/>
          <w:color w:val="auto"/>
          <w:spacing w:val="-6"/>
          <w:kern w:val="1"/>
          <w:sz w:val="21"/>
          <w:szCs w:val="22"/>
          <w:highlight w:val="none"/>
          <w:lang w:val="en-US"/>
        </w:rPr>
      </w:pPr>
      <w:r>
        <w:rPr>
          <w:rFonts w:ascii="Times New Roman" w:hAnsi="Times New Roman" w:eastAsia="宋体" w:cs="Times New Roman"/>
          <w:b w:val="0"/>
          <w:color w:val="auto"/>
          <w:spacing w:val="-6"/>
          <w:kern w:val="1"/>
          <w:sz w:val="21"/>
          <w:szCs w:val="22"/>
          <w:highlight w:val="none"/>
          <w:lang w:val="en-US"/>
        </w:rPr>
        <w:t>（6）进入综合评分环节的最低评标报价得分为 10 分。</w:t>
      </w:r>
    </w:p>
    <w:p>
      <w:pPr>
        <w:pStyle w:val="7"/>
        <w:spacing w:line="360" w:lineRule="auto"/>
        <w:ind w:firstLine="396" w:firstLineChars="200"/>
        <w:rPr>
          <w:rFonts w:ascii="Times New Roman" w:hAnsi="Times New Roman" w:eastAsia="宋体" w:cs="Times New Roman"/>
          <w:b w:val="0"/>
          <w:color w:val="auto"/>
          <w:spacing w:val="-6"/>
          <w:kern w:val="1"/>
          <w:sz w:val="21"/>
          <w:szCs w:val="22"/>
          <w:highlight w:val="none"/>
          <w:lang w:val="en-US"/>
        </w:rPr>
      </w:pPr>
      <w:r>
        <w:rPr>
          <w:rFonts w:ascii="Times New Roman" w:hAnsi="Times New Roman" w:eastAsia="宋体" w:cs="Times New Roman"/>
          <w:b w:val="0"/>
          <w:color w:val="auto"/>
          <w:spacing w:val="-6"/>
          <w:kern w:val="1"/>
          <w:sz w:val="21"/>
          <w:szCs w:val="22"/>
          <w:highlight w:val="none"/>
          <w:lang w:val="en-US"/>
        </w:rPr>
        <w:t>（7）价格分计算公式：</w:t>
      </w:r>
    </w:p>
    <w:p>
      <w:pPr>
        <w:pStyle w:val="7"/>
        <w:spacing w:line="360" w:lineRule="auto"/>
        <w:ind w:firstLine="396" w:firstLineChars="200"/>
        <w:rPr>
          <w:rFonts w:ascii="Times New Roman" w:hAnsi="Times New Roman" w:eastAsia="宋体" w:cs="Times New Roman"/>
          <w:b w:val="0"/>
          <w:color w:val="auto"/>
          <w:spacing w:val="-6"/>
          <w:kern w:val="1"/>
          <w:sz w:val="21"/>
          <w:szCs w:val="22"/>
          <w:highlight w:val="none"/>
          <w:lang w:val="en-US"/>
        </w:rPr>
      </w:pPr>
      <w:r>
        <w:rPr>
          <w:rFonts w:ascii="Times New Roman" w:hAnsi="Times New Roman" w:eastAsia="宋体" w:cs="Times New Roman"/>
          <w:b w:val="0"/>
          <w:color w:val="auto"/>
          <w:spacing w:val="-6"/>
          <w:kern w:val="1"/>
          <w:sz w:val="21"/>
          <w:szCs w:val="22"/>
          <w:highlight w:val="none"/>
          <w:lang w:val="en-US"/>
        </w:rPr>
        <w:t>某投标人价格分=（最低评标报价/某投标人评标报价金额）×10 分</w:t>
      </w:r>
    </w:p>
    <w:p>
      <w:pPr>
        <w:pStyle w:val="19"/>
        <w:ind w:firstLine="0" w:firstLineChars="0"/>
        <w:rPr>
          <w:color w:val="auto"/>
          <w:szCs w:val="21"/>
          <w:highlight w:val="none"/>
        </w:rPr>
      </w:pPr>
      <w:r>
        <w:rPr>
          <w:rFonts w:hint="eastAsia" w:hAnsi="宋体"/>
          <w:b/>
          <w:bCs/>
          <w:color w:val="auto"/>
          <w:szCs w:val="21"/>
          <w:highlight w:val="none"/>
        </w:rPr>
        <w:t>2.总体设计</w:t>
      </w:r>
      <w:r>
        <w:rPr>
          <w:rFonts w:hAnsi="宋体"/>
          <w:b/>
          <w:bCs/>
          <w:color w:val="auto"/>
          <w:szCs w:val="21"/>
          <w:highlight w:val="none"/>
        </w:rPr>
        <w:t>方案</w:t>
      </w:r>
      <w:r>
        <w:rPr>
          <w:rFonts w:hint="eastAsia" w:hAnsi="宋体"/>
          <w:b/>
          <w:bCs/>
          <w:color w:val="auto"/>
          <w:szCs w:val="21"/>
          <w:highlight w:val="none"/>
        </w:rPr>
        <w:t>分………………………………………………………………………………</w:t>
      </w:r>
      <w:r>
        <w:rPr>
          <w:rFonts w:hint="eastAsia" w:hAnsi="宋体"/>
          <w:b/>
          <w:bCs/>
          <w:color w:val="auto"/>
          <w:szCs w:val="21"/>
          <w:highlight w:val="none"/>
          <w:lang w:val="en-US" w:eastAsia="zh-CN"/>
        </w:rPr>
        <w:t>10</w:t>
      </w:r>
      <w:r>
        <w:rPr>
          <w:rFonts w:hint="eastAsia" w:hAnsi="宋体"/>
          <w:b/>
          <w:bCs/>
          <w:color w:val="auto"/>
          <w:szCs w:val="21"/>
          <w:highlight w:val="none"/>
        </w:rPr>
        <w:t>分</w:t>
      </w:r>
    </w:p>
    <w:p>
      <w:pPr>
        <w:widowControl/>
        <w:spacing w:line="360" w:lineRule="auto"/>
        <w:rPr>
          <w:color w:val="auto"/>
          <w:szCs w:val="21"/>
          <w:highlight w:val="none"/>
        </w:rPr>
      </w:pPr>
      <w:r>
        <w:rPr>
          <w:rFonts w:hint="eastAsia"/>
          <w:color w:val="auto"/>
          <w:szCs w:val="21"/>
          <w:highlight w:val="none"/>
        </w:rPr>
        <w:t>根据各投标人对</w:t>
      </w:r>
      <w:r>
        <w:rPr>
          <w:color w:val="auto"/>
          <w:szCs w:val="21"/>
          <w:highlight w:val="none"/>
        </w:rPr>
        <w:t>项目背景、建设目标、建设内容的理解深度，需求分析</w:t>
      </w:r>
      <w:r>
        <w:rPr>
          <w:rFonts w:hint="eastAsia"/>
          <w:color w:val="auto"/>
          <w:szCs w:val="21"/>
          <w:highlight w:val="none"/>
        </w:rPr>
        <w:t>和</w:t>
      </w:r>
      <w:r>
        <w:rPr>
          <w:color w:val="auto"/>
          <w:szCs w:val="21"/>
          <w:highlight w:val="none"/>
        </w:rPr>
        <w:t>建设思路</w:t>
      </w:r>
      <w:r>
        <w:rPr>
          <w:rFonts w:hint="eastAsia"/>
          <w:color w:val="auto"/>
          <w:szCs w:val="21"/>
          <w:highlight w:val="none"/>
        </w:rPr>
        <w:t>等进行评审：</w:t>
      </w:r>
    </w:p>
    <w:p>
      <w:pPr>
        <w:widowControl/>
        <w:spacing w:line="360" w:lineRule="auto"/>
        <w:rPr>
          <w:color w:val="auto"/>
          <w:szCs w:val="21"/>
          <w:highlight w:val="none"/>
        </w:rPr>
      </w:pPr>
      <w:r>
        <w:rPr>
          <w:rFonts w:ascii="宋体" w:hAnsi="宋体"/>
          <w:color w:val="auto"/>
          <w:szCs w:val="21"/>
          <w:highlight w:val="none"/>
        </w:rPr>
        <w:t>一档（</w:t>
      </w:r>
      <w:r>
        <w:rPr>
          <w:rFonts w:hint="eastAsia" w:ascii="宋体" w:hAnsi="宋体"/>
          <w:color w:val="auto"/>
          <w:szCs w:val="21"/>
          <w:highlight w:val="none"/>
        </w:rPr>
        <w:t>5</w:t>
      </w:r>
      <w:r>
        <w:rPr>
          <w:rFonts w:ascii="宋体" w:hAnsi="宋体"/>
          <w:color w:val="auto"/>
          <w:szCs w:val="21"/>
          <w:highlight w:val="none"/>
        </w:rPr>
        <w:t>分）</w:t>
      </w:r>
      <w:r>
        <w:rPr>
          <w:rFonts w:hint="eastAsia" w:ascii="宋体" w:hAnsi="宋体"/>
          <w:color w:val="auto"/>
          <w:szCs w:val="21"/>
          <w:highlight w:val="none"/>
        </w:rPr>
        <w:t>：</w:t>
      </w:r>
      <w:r>
        <w:rPr>
          <w:rFonts w:hint="eastAsia"/>
          <w:color w:val="auto"/>
          <w:szCs w:val="21"/>
          <w:highlight w:val="none"/>
        </w:rPr>
        <w:t>基本能理解项目建设背景、建设目标，建设方案针对性一般，方案的先进性、可行性、可扩展性、跨平台能力一般，设计思路基本可行，方案大部分满足用户需求核心要求相关内容，功能较齐全。</w:t>
      </w:r>
    </w:p>
    <w:p>
      <w:pPr>
        <w:widowControl/>
        <w:spacing w:line="360" w:lineRule="auto"/>
        <w:rPr>
          <w:color w:val="auto"/>
          <w:szCs w:val="21"/>
          <w:highlight w:val="none"/>
        </w:rPr>
      </w:pPr>
      <w:r>
        <w:rPr>
          <w:rFonts w:hint="eastAsia" w:ascii="宋体" w:hAnsi="宋体"/>
          <w:color w:val="auto"/>
          <w:szCs w:val="21"/>
          <w:highlight w:val="none"/>
        </w:rPr>
        <w:t>二</w:t>
      </w:r>
      <w:r>
        <w:rPr>
          <w:rFonts w:ascii="宋体" w:hAnsi="宋体"/>
          <w:color w:val="auto"/>
          <w:szCs w:val="21"/>
          <w:highlight w:val="none"/>
        </w:rPr>
        <w:t>档（</w:t>
      </w:r>
      <w:r>
        <w:rPr>
          <w:rFonts w:hint="eastAsia" w:ascii="宋体" w:hAnsi="宋体"/>
          <w:color w:val="auto"/>
          <w:szCs w:val="21"/>
          <w:highlight w:val="none"/>
          <w:lang w:val="en-US" w:eastAsia="zh-CN"/>
        </w:rPr>
        <w:t>8</w:t>
      </w:r>
      <w:r>
        <w:rPr>
          <w:rFonts w:ascii="宋体" w:hAnsi="宋体"/>
          <w:color w:val="auto"/>
          <w:szCs w:val="21"/>
          <w:highlight w:val="none"/>
        </w:rPr>
        <w:t>分）</w:t>
      </w:r>
      <w:r>
        <w:rPr>
          <w:rFonts w:hint="eastAsia" w:ascii="宋体" w:hAnsi="宋体"/>
          <w:color w:val="auto"/>
          <w:szCs w:val="21"/>
          <w:highlight w:val="none"/>
        </w:rPr>
        <w:t>：</w:t>
      </w:r>
      <w:r>
        <w:rPr>
          <w:rFonts w:hint="eastAsia"/>
          <w:color w:val="auto"/>
          <w:szCs w:val="21"/>
          <w:highlight w:val="none"/>
        </w:rPr>
        <w:t>较准确理解项目建设背景、建设目标，针对本项目能够提出较切合实际的建设方案，方案具备良好的先进性、可行性、可扩展性、跨平台能力，设计思路较可行，方案基本满足用户需求核心要求相关内容，功能基本齐全。</w:t>
      </w:r>
    </w:p>
    <w:p>
      <w:pPr>
        <w:widowControl/>
        <w:spacing w:line="360" w:lineRule="auto"/>
        <w:rPr>
          <w:b/>
          <w:bCs/>
          <w:color w:val="auto"/>
          <w:szCs w:val="21"/>
          <w:highlight w:val="none"/>
        </w:rPr>
      </w:pPr>
      <w:r>
        <w:rPr>
          <w:rFonts w:hint="eastAsia"/>
          <w:color w:val="auto"/>
          <w:szCs w:val="21"/>
          <w:highlight w:val="none"/>
        </w:rPr>
        <w:t>三挡（</w:t>
      </w:r>
      <w:r>
        <w:rPr>
          <w:rFonts w:hint="eastAsia"/>
          <w:color w:val="auto"/>
          <w:szCs w:val="21"/>
          <w:highlight w:val="none"/>
          <w:lang w:val="en-US" w:eastAsia="zh-CN"/>
        </w:rPr>
        <w:t>10</w:t>
      </w:r>
      <w:r>
        <w:rPr>
          <w:rFonts w:hint="eastAsia"/>
          <w:color w:val="auto"/>
          <w:szCs w:val="21"/>
          <w:highlight w:val="none"/>
        </w:rPr>
        <w:t>分）：能准确理解项目建设背景、建设目标，针对本项目能够提出切合实际的设计方案，方案具备良好的</w:t>
      </w:r>
      <w:r>
        <w:rPr>
          <w:color w:val="auto"/>
          <w:szCs w:val="21"/>
          <w:highlight w:val="none"/>
        </w:rPr>
        <w:t>先进性、可行性、可扩展性、跨平台</w:t>
      </w:r>
      <w:r>
        <w:rPr>
          <w:rFonts w:hint="eastAsia"/>
          <w:color w:val="auto"/>
          <w:szCs w:val="21"/>
          <w:highlight w:val="none"/>
        </w:rPr>
        <w:t>能力，设计思路可行，方案完全满足用户需求核心要求相关内容，功能齐全。</w:t>
      </w:r>
    </w:p>
    <w:p>
      <w:pPr>
        <w:pStyle w:val="19"/>
        <w:ind w:firstLine="0" w:firstLineChars="0"/>
        <w:rPr>
          <w:rFonts w:hAnsi="宋体"/>
          <w:b/>
          <w:bCs/>
          <w:color w:val="auto"/>
          <w:szCs w:val="21"/>
          <w:highlight w:val="none"/>
        </w:rPr>
      </w:pPr>
      <w:r>
        <w:rPr>
          <w:rFonts w:hint="eastAsia" w:hAnsi="宋体"/>
          <w:b/>
          <w:bCs/>
          <w:color w:val="auto"/>
          <w:szCs w:val="21"/>
          <w:highlight w:val="none"/>
        </w:rPr>
        <w:t>3.</w:t>
      </w:r>
      <w:r>
        <w:rPr>
          <w:rFonts w:hAnsi="宋体"/>
          <w:b/>
          <w:bCs/>
          <w:color w:val="auto"/>
          <w:szCs w:val="21"/>
          <w:highlight w:val="none"/>
        </w:rPr>
        <w:t>技术响应方案</w:t>
      </w:r>
      <w:r>
        <w:rPr>
          <w:rFonts w:hint="eastAsia" w:hAnsi="宋体"/>
          <w:b/>
          <w:bCs/>
          <w:color w:val="auto"/>
          <w:szCs w:val="21"/>
          <w:highlight w:val="none"/>
        </w:rPr>
        <w:t>分</w:t>
      </w:r>
      <w:r>
        <w:rPr>
          <w:rFonts w:hAnsi="宋体"/>
          <w:b/>
          <w:bCs/>
          <w:color w:val="auto"/>
          <w:szCs w:val="21"/>
          <w:highlight w:val="none"/>
        </w:rPr>
        <w:t>……………………………………………………………………………</w:t>
      </w:r>
      <w:r>
        <w:rPr>
          <w:rFonts w:hint="eastAsia" w:hAnsi="宋体"/>
          <w:b/>
          <w:bCs/>
          <w:color w:val="auto"/>
          <w:szCs w:val="21"/>
          <w:highlight w:val="none"/>
          <w:lang w:val="en-US" w:eastAsia="zh-CN"/>
        </w:rPr>
        <w:t>15</w:t>
      </w:r>
      <w:r>
        <w:rPr>
          <w:rFonts w:hint="eastAsia" w:hAnsi="宋体"/>
          <w:b/>
          <w:bCs/>
          <w:color w:val="auto"/>
          <w:szCs w:val="21"/>
          <w:highlight w:val="none"/>
        </w:rPr>
        <w:t>分</w:t>
      </w:r>
    </w:p>
    <w:p>
      <w:pPr>
        <w:spacing w:line="360" w:lineRule="auto"/>
        <w:rPr>
          <w:color w:val="auto"/>
          <w:szCs w:val="21"/>
          <w:highlight w:val="none"/>
        </w:rPr>
      </w:pPr>
      <w:r>
        <w:rPr>
          <w:color w:val="auto"/>
          <w:spacing w:val="-6"/>
          <w:kern w:val="1"/>
          <w:szCs w:val="22"/>
          <w:highlight w:val="none"/>
        </w:rPr>
        <w:t>（1）</w:t>
      </w:r>
      <w:r>
        <w:rPr>
          <w:rFonts w:hint="eastAsia"/>
          <w:color w:val="auto"/>
          <w:szCs w:val="21"/>
          <w:highlight w:val="none"/>
        </w:rPr>
        <w:t>根据各投标人</w:t>
      </w:r>
      <w:r>
        <w:rPr>
          <w:color w:val="auto"/>
          <w:szCs w:val="21"/>
          <w:highlight w:val="none"/>
        </w:rPr>
        <w:t>对</w:t>
      </w:r>
      <w:r>
        <w:rPr>
          <w:rFonts w:hint="eastAsia"/>
          <w:color w:val="auto"/>
          <w:szCs w:val="21"/>
          <w:highlight w:val="none"/>
        </w:rPr>
        <w:t>标准规范建设、“一张蓝图”数据库建设方案进行评审：</w:t>
      </w:r>
    </w:p>
    <w:p>
      <w:pPr>
        <w:spacing w:line="360" w:lineRule="auto"/>
        <w:ind w:firstLine="420" w:firstLineChars="200"/>
        <w:rPr>
          <w:color w:val="auto"/>
          <w:szCs w:val="21"/>
          <w:highlight w:val="none"/>
        </w:rPr>
      </w:pPr>
      <w:r>
        <w:rPr>
          <w:rFonts w:ascii="宋体" w:hAnsi="宋体"/>
          <w:color w:val="auto"/>
          <w:szCs w:val="21"/>
          <w:highlight w:val="none"/>
        </w:rPr>
        <w:t>一档（</w:t>
      </w:r>
      <w:r>
        <w:rPr>
          <w:rFonts w:hint="eastAsia" w:ascii="宋体" w:hAnsi="宋体"/>
          <w:color w:val="auto"/>
          <w:szCs w:val="21"/>
          <w:highlight w:val="none"/>
        </w:rPr>
        <w:t>1</w:t>
      </w:r>
      <w:r>
        <w:rPr>
          <w:rFonts w:ascii="宋体" w:hAnsi="宋体"/>
          <w:color w:val="auto"/>
          <w:szCs w:val="21"/>
          <w:highlight w:val="none"/>
        </w:rPr>
        <w:t>分）</w:t>
      </w:r>
      <w:r>
        <w:rPr>
          <w:rFonts w:hint="eastAsia" w:ascii="宋体" w:hAnsi="宋体"/>
          <w:color w:val="auto"/>
          <w:szCs w:val="21"/>
          <w:highlight w:val="none"/>
        </w:rPr>
        <w:t>：</w:t>
      </w:r>
      <w:r>
        <w:rPr>
          <w:rFonts w:hint="eastAsia"/>
          <w:color w:val="auto"/>
          <w:szCs w:val="21"/>
          <w:highlight w:val="none"/>
        </w:rPr>
        <w:t>方案响应基本完善，设计一般合理、基本可行，得1分；</w:t>
      </w:r>
    </w:p>
    <w:p>
      <w:pPr>
        <w:spacing w:line="360" w:lineRule="auto"/>
        <w:ind w:firstLine="420" w:firstLineChars="200"/>
        <w:rPr>
          <w:color w:val="auto"/>
          <w:szCs w:val="21"/>
          <w:highlight w:val="none"/>
        </w:rPr>
      </w:pPr>
      <w:r>
        <w:rPr>
          <w:rFonts w:hint="eastAsia" w:ascii="宋体" w:hAnsi="宋体"/>
          <w:color w:val="auto"/>
          <w:szCs w:val="21"/>
          <w:highlight w:val="none"/>
        </w:rPr>
        <w:t>二</w:t>
      </w:r>
      <w:r>
        <w:rPr>
          <w:rFonts w:ascii="宋体" w:hAnsi="宋体"/>
          <w:color w:val="auto"/>
          <w:szCs w:val="21"/>
          <w:highlight w:val="none"/>
        </w:rPr>
        <w:t>档（</w:t>
      </w:r>
      <w:r>
        <w:rPr>
          <w:rFonts w:hint="eastAsia" w:ascii="宋体" w:hAnsi="宋体"/>
          <w:color w:val="auto"/>
          <w:szCs w:val="21"/>
          <w:highlight w:val="none"/>
        </w:rPr>
        <w:t>2</w:t>
      </w:r>
      <w:r>
        <w:rPr>
          <w:rFonts w:ascii="宋体" w:hAnsi="宋体"/>
          <w:color w:val="auto"/>
          <w:szCs w:val="21"/>
          <w:highlight w:val="none"/>
        </w:rPr>
        <w:t>分）</w:t>
      </w:r>
      <w:r>
        <w:rPr>
          <w:rFonts w:hint="eastAsia" w:ascii="宋体" w:hAnsi="宋体"/>
          <w:color w:val="auto"/>
          <w:szCs w:val="21"/>
          <w:highlight w:val="none"/>
        </w:rPr>
        <w:t>：</w:t>
      </w:r>
      <w:r>
        <w:rPr>
          <w:rFonts w:hint="eastAsia"/>
          <w:color w:val="auto"/>
          <w:szCs w:val="21"/>
          <w:highlight w:val="none"/>
        </w:rPr>
        <w:t>方案响应较为完善，设计较合理、较可行，得2分；</w:t>
      </w:r>
    </w:p>
    <w:p>
      <w:pPr>
        <w:spacing w:line="360" w:lineRule="auto"/>
        <w:ind w:firstLine="420" w:firstLineChars="200"/>
        <w:rPr>
          <w:color w:val="auto"/>
          <w:szCs w:val="21"/>
          <w:highlight w:val="none"/>
        </w:rPr>
      </w:pPr>
      <w:r>
        <w:rPr>
          <w:rFonts w:hint="eastAsia"/>
          <w:color w:val="auto"/>
          <w:szCs w:val="21"/>
          <w:highlight w:val="none"/>
        </w:rPr>
        <w:t>三档（</w:t>
      </w:r>
      <w:r>
        <w:rPr>
          <w:rFonts w:hint="eastAsia"/>
          <w:color w:val="auto"/>
          <w:szCs w:val="21"/>
          <w:highlight w:val="none"/>
          <w:lang w:val="en-US" w:eastAsia="zh-CN"/>
        </w:rPr>
        <w:t>3</w:t>
      </w:r>
      <w:r>
        <w:rPr>
          <w:rFonts w:ascii="宋体" w:hAnsi="宋体"/>
          <w:color w:val="auto"/>
          <w:szCs w:val="21"/>
          <w:highlight w:val="none"/>
        </w:rPr>
        <w:t>分</w:t>
      </w:r>
      <w:r>
        <w:rPr>
          <w:rFonts w:hint="eastAsia"/>
          <w:color w:val="auto"/>
          <w:szCs w:val="21"/>
          <w:highlight w:val="none"/>
        </w:rPr>
        <w:t>）：方案响应完善或优于要求，设计合理、可行得</w:t>
      </w:r>
      <w:r>
        <w:rPr>
          <w:rFonts w:hint="eastAsia"/>
          <w:color w:val="auto"/>
          <w:szCs w:val="21"/>
          <w:highlight w:val="none"/>
          <w:lang w:val="en-US" w:eastAsia="zh-CN"/>
        </w:rPr>
        <w:t>3</w:t>
      </w:r>
      <w:r>
        <w:rPr>
          <w:rFonts w:hint="eastAsia"/>
          <w:color w:val="auto"/>
          <w:szCs w:val="21"/>
          <w:highlight w:val="none"/>
        </w:rPr>
        <w:t>分；</w:t>
      </w:r>
    </w:p>
    <w:p>
      <w:pPr>
        <w:spacing w:line="360" w:lineRule="auto"/>
        <w:rPr>
          <w:color w:val="auto"/>
          <w:szCs w:val="21"/>
          <w:highlight w:val="none"/>
        </w:rPr>
      </w:pPr>
      <w:r>
        <w:rPr>
          <w:color w:val="auto"/>
          <w:spacing w:val="-6"/>
          <w:kern w:val="1"/>
          <w:szCs w:val="22"/>
          <w:highlight w:val="none"/>
        </w:rPr>
        <w:t>（</w:t>
      </w:r>
      <w:r>
        <w:rPr>
          <w:rFonts w:hint="eastAsia"/>
          <w:color w:val="auto"/>
          <w:spacing w:val="-6"/>
          <w:kern w:val="1"/>
          <w:szCs w:val="22"/>
          <w:highlight w:val="none"/>
        </w:rPr>
        <w:t>2</w:t>
      </w:r>
      <w:r>
        <w:rPr>
          <w:color w:val="auto"/>
          <w:spacing w:val="-6"/>
          <w:kern w:val="1"/>
          <w:szCs w:val="22"/>
          <w:highlight w:val="none"/>
        </w:rPr>
        <w:t>）</w:t>
      </w:r>
      <w:r>
        <w:rPr>
          <w:rFonts w:hint="eastAsia"/>
          <w:color w:val="auto"/>
          <w:szCs w:val="21"/>
          <w:highlight w:val="none"/>
        </w:rPr>
        <w:t>根据各投标人</w:t>
      </w:r>
      <w:r>
        <w:rPr>
          <w:color w:val="auto"/>
          <w:szCs w:val="21"/>
          <w:highlight w:val="none"/>
        </w:rPr>
        <w:t>对</w:t>
      </w:r>
      <w:r>
        <w:rPr>
          <w:rFonts w:hint="eastAsia"/>
          <w:color w:val="auto"/>
          <w:szCs w:val="21"/>
          <w:highlight w:val="none"/>
        </w:rPr>
        <w:t>“一张蓝图”展示应用系统</w:t>
      </w:r>
      <w:r>
        <w:rPr>
          <w:color w:val="auto"/>
          <w:szCs w:val="21"/>
          <w:highlight w:val="none"/>
        </w:rPr>
        <w:t>、</w:t>
      </w:r>
      <w:r>
        <w:rPr>
          <w:rFonts w:hint="eastAsia"/>
          <w:color w:val="auto"/>
          <w:szCs w:val="21"/>
          <w:highlight w:val="none"/>
        </w:rPr>
        <w:t>项目策划生成</w:t>
      </w:r>
      <w:r>
        <w:rPr>
          <w:color w:val="auto"/>
          <w:szCs w:val="21"/>
          <w:highlight w:val="none"/>
        </w:rPr>
        <w:t>系统、</w:t>
      </w:r>
      <w:r>
        <w:rPr>
          <w:rFonts w:hint="eastAsia"/>
          <w:color w:val="auto"/>
          <w:szCs w:val="21"/>
          <w:highlight w:val="none"/>
        </w:rPr>
        <w:t>平台运维管理</w:t>
      </w:r>
      <w:r>
        <w:rPr>
          <w:color w:val="auto"/>
          <w:szCs w:val="21"/>
          <w:highlight w:val="none"/>
        </w:rPr>
        <w:t>系统进行设计</w:t>
      </w:r>
      <w:r>
        <w:rPr>
          <w:rFonts w:hint="eastAsia"/>
          <w:color w:val="auto"/>
          <w:szCs w:val="21"/>
          <w:highlight w:val="none"/>
        </w:rPr>
        <w:t>情况进行评审（</w:t>
      </w:r>
      <w:r>
        <w:rPr>
          <w:color w:val="auto"/>
          <w:szCs w:val="21"/>
          <w:highlight w:val="none"/>
        </w:rPr>
        <w:t>提供系统截图</w:t>
      </w:r>
      <w:r>
        <w:rPr>
          <w:rFonts w:hint="eastAsia"/>
          <w:color w:val="auto"/>
          <w:szCs w:val="21"/>
          <w:highlight w:val="none"/>
        </w:rPr>
        <w:t>或原型效果图作证明材料）：</w:t>
      </w:r>
    </w:p>
    <w:p>
      <w:pPr>
        <w:spacing w:line="360" w:lineRule="auto"/>
        <w:ind w:firstLine="420" w:firstLineChars="200"/>
        <w:rPr>
          <w:color w:val="auto"/>
          <w:szCs w:val="21"/>
          <w:highlight w:val="none"/>
        </w:rPr>
      </w:pPr>
      <w:r>
        <w:rPr>
          <w:rFonts w:ascii="宋体" w:hAnsi="宋体"/>
          <w:color w:val="auto"/>
          <w:szCs w:val="21"/>
          <w:highlight w:val="none"/>
        </w:rPr>
        <w:t>一档（</w:t>
      </w:r>
      <w:r>
        <w:rPr>
          <w:rFonts w:hint="eastAsia" w:ascii="宋体" w:hAnsi="宋体"/>
          <w:color w:val="auto"/>
          <w:szCs w:val="21"/>
          <w:highlight w:val="none"/>
        </w:rPr>
        <w:t>2</w:t>
      </w:r>
      <w:r>
        <w:rPr>
          <w:rFonts w:ascii="宋体" w:hAnsi="宋体"/>
          <w:color w:val="auto"/>
          <w:szCs w:val="21"/>
          <w:highlight w:val="none"/>
        </w:rPr>
        <w:t>分）</w:t>
      </w:r>
      <w:r>
        <w:rPr>
          <w:rFonts w:hint="eastAsia" w:ascii="宋体" w:hAnsi="宋体"/>
          <w:color w:val="auto"/>
          <w:szCs w:val="21"/>
          <w:highlight w:val="none"/>
        </w:rPr>
        <w:t>：</w:t>
      </w:r>
      <w:r>
        <w:rPr>
          <w:rFonts w:hint="eastAsia"/>
          <w:color w:val="auto"/>
          <w:szCs w:val="21"/>
          <w:highlight w:val="none"/>
        </w:rPr>
        <w:t>功能响应基本完善，设计一般合理、基本可行，得</w:t>
      </w:r>
      <w:r>
        <w:rPr>
          <w:rFonts w:hint="eastAsia"/>
          <w:color w:val="auto"/>
          <w:szCs w:val="21"/>
          <w:highlight w:val="none"/>
          <w:lang w:val="en-US" w:eastAsia="zh-CN"/>
        </w:rPr>
        <w:t>2</w:t>
      </w:r>
      <w:r>
        <w:rPr>
          <w:rFonts w:hint="eastAsia"/>
          <w:color w:val="auto"/>
          <w:szCs w:val="21"/>
          <w:highlight w:val="none"/>
        </w:rPr>
        <w:t>分；</w:t>
      </w:r>
    </w:p>
    <w:p>
      <w:pPr>
        <w:spacing w:line="360" w:lineRule="auto"/>
        <w:ind w:firstLine="420" w:firstLineChars="200"/>
        <w:rPr>
          <w:color w:val="auto"/>
          <w:szCs w:val="21"/>
          <w:highlight w:val="none"/>
        </w:rPr>
      </w:pPr>
      <w:r>
        <w:rPr>
          <w:rFonts w:hint="eastAsia" w:ascii="宋体" w:hAnsi="宋体"/>
          <w:color w:val="auto"/>
          <w:szCs w:val="21"/>
          <w:highlight w:val="none"/>
        </w:rPr>
        <w:t>二</w:t>
      </w:r>
      <w:r>
        <w:rPr>
          <w:rFonts w:ascii="宋体" w:hAnsi="宋体"/>
          <w:color w:val="auto"/>
          <w:szCs w:val="21"/>
          <w:highlight w:val="none"/>
        </w:rPr>
        <w:t>档（</w:t>
      </w:r>
      <w:r>
        <w:rPr>
          <w:rFonts w:hint="eastAsia" w:ascii="宋体" w:hAnsi="宋体"/>
          <w:color w:val="auto"/>
          <w:szCs w:val="21"/>
          <w:highlight w:val="none"/>
          <w:lang w:val="en-US" w:eastAsia="zh-CN"/>
        </w:rPr>
        <w:t>5</w:t>
      </w:r>
      <w:r>
        <w:rPr>
          <w:rFonts w:ascii="宋体" w:hAnsi="宋体"/>
          <w:color w:val="auto"/>
          <w:szCs w:val="21"/>
          <w:highlight w:val="none"/>
        </w:rPr>
        <w:t>分）</w:t>
      </w:r>
      <w:r>
        <w:rPr>
          <w:rFonts w:hint="eastAsia" w:ascii="宋体" w:hAnsi="宋体"/>
          <w:color w:val="auto"/>
          <w:szCs w:val="21"/>
          <w:highlight w:val="none"/>
        </w:rPr>
        <w:t>：</w:t>
      </w:r>
      <w:r>
        <w:rPr>
          <w:rFonts w:hint="eastAsia"/>
          <w:color w:val="auto"/>
          <w:szCs w:val="21"/>
          <w:highlight w:val="none"/>
        </w:rPr>
        <w:t>功能响应较为完善，设计较合理、较可行，得</w:t>
      </w:r>
      <w:r>
        <w:rPr>
          <w:color w:val="auto"/>
          <w:szCs w:val="21"/>
          <w:highlight w:val="none"/>
        </w:rPr>
        <w:t>5</w:t>
      </w:r>
      <w:r>
        <w:rPr>
          <w:rFonts w:hint="eastAsia"/>
          <w:color w:val="auto"/>
          <w:szCs w:val="21"/>
          <w:highlight w:val="none"/>
        </w:rPr>
        <w:t>分；</w:t>
      </w:r>
    </w:p>
    <w:p>
      <w:pPr>
        <w:spacing w:line="360" w:lineRule="auto"/>
        <w:ind w:firstLine="420" w:firstLineChars="200"/>
        <w:rPr>
          <w:color w:val="auto"/>
          <w:szCs w:val="21"/>
          <w:highlight w:val="none"/>
        </w:rPr>
      </w:pPr>
      <w:r>
        <w:rPr>
          <w:rFonts w:hint="eastAsia"/>
          <w:color w:val="auto"/>
          <w:szCs w:val="21"/>
          <w:highlight w:val="none"/>
        </w:rPr>
        <w:t>三档（</w:t>
      </w:r>
      <w:r>
        <w:rPr>
          <w:rFonts w:hint="eastAsia"/>
          <w:color w:val="auto"/>
          <w:szCs w:val="21"/>
          <w:highlight w:val="none"/>
          <w:lang w:val="en-US" w:eastAsia="zh-CN"/>
        </w:rPr>
        <w:t>8</w:t>
      </w:r>
      <w:r>
        <w:rPr>
          <w:rFonts w:ascii="宋体" w:hAnsi="宋体"/>
          <w:color w:val="auto"/>
          <w:szCs w:val="21"/>
          <w:highlight w:val="none"/>
        </w:rPr>
        <w:t>分</w:t>
      </w:r>
      <w:r>
        <w:rPr>
          <w:rFonts w:hint="eastAsia"/>
          <w:color w:val="auto"/>
          <w:szCs w:val="21"/>
          <w:highlight w:val="none"/>
        </w:rPr>
        <w:t>）：功能响应完善或优于要求，设计合理、可行，得</w:t>
      </w:r>
      <w:r>
        <w:rPr>
          <w:rFonts w:hint="eastAsia"/>
          <w:color w:val="auto"/>
          <w:szCs w:val="21"/>
          <w:highlight w:val="none"/>
          <w:lang w:val="en-US" w:eastAsia="zh-CN"/>
        </w:rPr>
        <w:t>8</w:t>
      </w:r>
      <w:r>
        <w:rPr>
          <w:rFonts w:hint="eastAsia"/>
          <w:color w:val="auto"/>
          <w:szCs w:val="21"/>
          <w:highlight w:val="none"/>
        </w:rPr>
        <w:t>分；</w:t>
      </w:r>
    </w:p>
    <w:p>
      <w:pPr>
        <w:spacing w:line="360" w:lineRule="auto"/>
        <w:rPr>
          <w:color w:val="auto"/>
          <w:szCs w:val="21"/>
          <w:highlight w:val="none"/>
        </w:rPr>
      </w:pPr>
      <w:r>
        <w:rPr>
          <w:color w:val="auto"/>
          <w:spacing w:val="-6"/>
          <w:kern w:val="1"/>
          <w:szCs w:val="22"/>
          <w:highlight w:val="none"/>
        </w:rPr>
        <w:t>（</w:t>
      </w:r>
      <w:r>
        <w:rPr>
          <w:rFonts w:hint="eastAsia"/>
          <w:color w:val="auto"/>
          <w:spacing w:val="-6"/>
          <w:kern w:val="1"/>
          <w:szCs w:val="22"/>
          <w:highlight w:val="none"/>
        </w:rPr>
        <w:t>3</w:t>
      </w:r>
      <w:r>
        <w:rPr>
          <w:color w:val="auto"/>
          <w:spacing w:val="-6"/>
          <w:kern w:val="1"/>
          <w:szCs w:val="22"/>
          <w:highlight w:val="none"/>
        </w:rPr>
        <w:t>）</w:t>
      </w:r>
      <w:r>
        <w:rPr>
          <w:rFonts w:hint="eastAsia"/>
          <w:color w:val="auto"/>
          <w:szCs w:val="21"/>
          <w:highlight w:val="none"/>
        </w:rPr>
        <w:t>根据各投标人</w:t>
      </w:r>
      <w:r>
        <w:rPr>
          <w:color w:val="auto"/>
          <w:szCs w:val="21"/>
          <w:highlight w:val="none"/>
        </w:rPr>
        <w:t>对</w:t>
      </w:r>
      <w:r>
        <w:rPr>
          <w:rFonts w:hint="eastAsia"/>
          <w:color w:val="auto"/>
          <w:szCs w:val="21"/>
          <w:highlight w:val="none"/>
        </w:rPr>
        <w:t>系统对接建设方案进行评审：</w:t>
      </w:r>
    </w:p>
    <w:p>
      <w:pPr>
        <w:spacing w:line="360" w:lineRule="auto"/>
        <w:ind w:firstLine="420" w:firstLineChars="200"/>
        <w:rPr>
          <w:color w:val="auto"/>
          <w:szCs w:val="21"/>
          <w:highlight w:val="none"/>
        </w:rPr>
      </w:pPr>
      <w:r>
        <w:rPr>
          <w:rFonts w:ascii="宋体" w:hAnsi="宋体"/>
          <w:color w:val="auto"/>
          <w:szCs w:val="21"/>
          <w:highlight w:val="none"/>
        </w:rPr>
        <w:t>一档（</w:t>
      </w:r>
      <w:r>
        <w:rPr>
          <w:rFonts w:hint="eastAsia" w:ascii="宋体" w:hAnsi="宋体"/>
          <w:color w:val="auto"/>
          <w:szCs w:val="21"/>
          <w:highlight w:val="none"/>
        </w:rPr>
        <w:t>1</w:t>
      </w:r>
      <w:r>
        <w:rPr>
          <w:rFonts w:ascii="宋体" w:hAnsi="宋体"/>
          <w:color w:val="auto"/>
          <w:szCs w:val="21"/>
          <w:highlight w:val="none"/>
        </w:rPr>
        <w:t>分）</w:t>
      </w:r>
      <w:r>
        <w:rPr>
          <w:rFonts w:hint="eastAsia" w:ascii="宋体" w:hAnsi="宋体"/>
          <w:color w:val="auto"/>
          <w:szCs w:val="21"/>
          <w:highlight w:val="none"/>
        </w:rPr>
        <w:t>：</w:t>
      </w:r>
      <w:r>
        <w:rPr>
          <w:rFonts w:hint="eastAsia"/>
          <w:color w:val="auto"/>
          <w:highlight w:val="none"/>
        </w:rPr>
        <w:t>方案分析基本完整、理解程度一般，得</w:t>
      </w:r>
      <w:r>
        <w:rPr>
          <w:color w:val="auto"/>
          <w:highlight w:val="none"/>
        </w:rPr>
        <w:t>1</w:t>
      </w:r>
      <w:r>
        <w:rPr>
          <w:rFonts w:hint="eastAsia"/>
          <w:color w:val="auto"/>
          <w:highlight w:val="none"/>
        </w:rPr>
        <w:t>分</w:t>
      </w:r>
      <w:r>
        <w:rPr>
          <w:rFonts w:hint="eastAsia"/>
          <w:color w:val="auto"/>
          <w:szCs w:val="21"/>
          <w:highlight w:val="none"/>
        </w:rPr>
        <w:t>；</w:t>
      </w:r>
    </w:p>
    <w:p>
      <w:pPr>
        <w:spacing w:line="360" w:lineRule="auto"/>
        <w:ind w:firstLine="420" w:firstLineChars="200"/>
        <w:rPr>
          <w:color w:val="auto"/>
          <w:szCs w:val="21"/>
          <w:highlight w:val="none"/>
        </w:rPr>
      </w:pPr>
      <w:r>
        <w:rPr>
          <w:rFonts w:hint="eastAsia" w:ascii="宋体" w:hAnsi="宋体"/>
          <w:color w:val="auto"/>
          <w:szCs w:val="21"/>
          <w:highlight w:val="none"/>
        </w:rPr>
        <w:t>二</w:t>
      </w:r>
      <w:r>
        <w:rPr>
          <w:rFonts w:ascii="宋体" w:hAnsi="宋体"/>
          <w:color w:val="auto"/>
          <w:szCs w:val="21"/>
          <w:highlight w:val="none"/>
        </w:rPr>
        <w:t>档（</w:t>
      </w:r>
      <w:r>
        <w:rPr>
          <w:rFonts w:hint="eastAsia" w:ascii="宋体" w:hAnsi="宋体"/>
          <w:color w:val="auto"/>
          <w:szCs w:val="21"/>
          <w:highlight w:val="none"/>
        </w:rPr>
        <w:t>2</w:t>
      </w:r>
      <w:r>
        <w:rPr>
          <w:rFonts w:ascii="宋体" w:hAnsi="宋体"/>
          <w:color w:val="auto"/>
          <w:szCs w:val="21"/>
          <w:highlight w:val="none"/>
        </w:rPr>
        <w:t>分）</w:t>
      </w:r>
      <w:r>
        <w:rPr>
          <w:rFonts w:hint="eastAsia" w:ascii="宋体" w:hAnsi="宋体"/>
          <w:color w:val="auto"/>
          <w:szCs w:val="21"/>
          <w:highlight w:val="none"/>
        </w:rPr>
        <w:t>：</w:t>
      </w:r>
      <w:r>
        <w:rPr>
          <w:rFonts w:hint="eastAsia"/>
          <w:color w:val="auto"/>
          <w:highlight w:val="none"/>
        </w:rPr>
        <w:t>方案分析较详细完整、理解程度较高，得</w:t>
      </w:r>
      <w:r>
        <w:rPr>
          <w:color w:val="auto"/>
          <w:highlight w:val="none"/>
        </w:rPr>
        <w:t>2</w:t>
      </w:r>
      <w:r>
        <w:rPr>
          <w:rFonts w:hint="eastAsia"/>
          <w:color w:val="auto"/>
          <w:highlight w:val="none"/>
        </w:rPr>
        <w:t>分</w:t>
      </w:r>
      <w:r>
        <w:rPr>
          <w:rFonts w:hint="eastAsia"/>
          <w:color w:val="auto"/>
          <w:szCs w:val="21"/>
          <w:highlight w:val="none"/>
        </w:rPr>
        <w:t>；</w:t>
      </w:r>
    </w:p>
    <w:p>
      <w:pPr>
        <w:spacing w:line="360" w:lineRule="auto"/>
        <w:ind w:firstLine="420" w:firstLineChars="200"/>
        <w:rPr>
          <w:color w:val="auto"/>
          <w:highlight w:val="none"/>
        </w:rPr>
      </w:pPr>
      <w:r>
        <w:rPr>
          <w:rFonts w:hint="eastAsia"/>
          <w:color w:val="auto"/>
          <w:szCs w:val="21"/>
          <w:highlight w:val="none"/>
        </w:rPr>
        <w:t>三档（</w:t>
      </w:r>
      <w:r>
        <w:rPr>
          <w:rFonts w:hint="eastAsia"/>
          <w:color w:val="auto"/>
          <w:szCs w:val="21"/>
          <w:highlight w:val="none"/>
          <w:lang w:val="en-US" w:eastAsia="zh-CN"/>
        </w:rPr>
        <w:t>4</w:t>
      </w:r>
      <w:r>
        <w:rPr>
          <w:rFonts w:ascii="宋体" w:hAnsi="宋体"/>
          <w:color w:val="auto"/>
          <w:szCs w:val="21"/>
          <w:highlight w:val="none"/>
        </w:rPr>
        <w:t>分</w:t>
      </w:r>
      <w:r>
        <w:rPr>
          <w:rFonts w:hint="eastAsia"/>
          <w:color w:val="auto"/>
          <w:szCs w:val="21"/>
          <w:highlight w:val="none"/>
        </w:rPr>
        <w:t>）</w:t>
      </w:r>
      <w:r>
        <w:rPr>
          <w:rFonts w:hint="eastAsia"/>
          <w:color w:val="auto"/>
          <w:highlight w:val="none"/>
        </w:rPr>
        <w:t>方案分析详细完整、理解程度高，得</w:t>
      </w:r>
      <w:r>
        <w:rPr>
          <w:rFonts w:hint="eastAsia"/>
          <w:color w:val="auto"/>
          <w:highlight w:val="none"/>
          <w:lang w:val="en-US" w:eastAsia="zh-CN"/>
        </w:rPr>
        <w:t>4</w:t>
      </w:r>
      <w:r>
        <w:rPr>
          <w:rFonts w:hint="eastAsia"/>
          <w:color w:val="auto"/>
          <w:highlight w:val="none"/>
        </w:rPr>
        <w:t>分；</w:t>
      </w:r>
    </w:p>
    <w:p>
      <w:pPr>
        <w:pStyle w:val="19"/>
        <w:ind w:firstLine="0" w:firstLineChars="0"/>
        <w:rPr>
          <w:rFonts w:hAnsi="宋体"/>
          <w:b/>
          <w:bCs/>
          <w:color w:val="auto"/>
          <w:szCs w:val="21"/>
          <w:highlight w:val="none"/>
        </w:rPr>
      </w:pPr>
      <w:r>
        <w:rPr>
          <w:rFonts w:hint="eastAsia" w:hAnsi="宋体"/>
          <w:b/>
          <w:bCs/>
          <w:color w:val="auto"/>
          <w:szCs w:val="21"/>
          <w:highlight w:val="none"/>
        </w:rPr>
        <w:t>4.</w:t>
      </w:r>
      <w:bookmarkStart w:id="46" w:name="_GoBack"/>
      <w:r>
        <w:rPr>
          <w:rFonts w:hint="eastAsia" w:hAnsi="宋体"/>
          <w:b/>
          <w:bCs/>
          <w:color w:val="auto"/>
          <w:szCs w:val="21"/>
          <w:highlight w:val="none"/>
        </w:rPr>
        <w:t>服务方案分</w:t>
      </w:r>
      <w:bookmarkEnd w:id="46"/>
      <w:r>
        <w:rPr>
          <w:rFonts w:hAnsi="宋体"/>
          <w:b/>
          <w:bCs/>
          <w:color w:val="auto"/>
          <w:szCs w:val="21"/>
          <w:highlight w:val="none"/>
        </w:rPr>
        <w:t>………………………………………………………………………………………</w:t>
      </w:r>
      <w:r>
        <w:rPr>
          <w:rFonts w:hint="eastAsia" w:hAnsi="宋体"/>
          <w:b/>
          <w:bCs/>
          <w:color w:val="auto"/>
          <w:szCs w:val="21"/>
          <w:highlight w:val="none"/>
        </w:rPr>
        <w:t>25分</w:t>
      </w:r>
    </w:p>
    <w:p>
      <w:pPr>
        <w:pStyle w:val="19"/>
        <w:spacing w:line="360" w:lineRule="auto"/>
        <w:ind w:firstLine="0" w:firstLineChars="0"/>
        <w:rPr>
          <w:color w:val="auto"/>
          <w:highlight w:val="none"/>
        </w:rPr>
      </w:pPr>
      <w:r>
        <w:rPr>
          <w:color w:val="auto"/>
          <w:spacing w:val="-6"/>
          <w:kern w:val="1"/>
          <w:szCs w:val="22"/>
          <w:highlight w:val="none"/>
        </w:rPr>
        <w:t>（1）</w:t>
      </w:r>
      <w:r>
        <w:rPr>
          <w:color w:val="auto"/>
          <w:highlight w:val="none"/>
        </w:rPr>
        <w:t>根据各投标人售后服务</w:t>
      </w:r>
      <w:r>
        <w:rPr>
          <w:rFonts w:hint="eastAsia"/>
          <w:color w:val="auto"/>
          <w:highlight w:val="none"/>
        </w:rPr>
        <w:t>（</w:t>
      </w:r>
      <w:r>
        <w:rPr>
          <w:color w:val="auto"/>
          <w:highlight w:val="none"/>
        </w:rPr>
        <w:t>包括但不限于：配备稳定的技术服务人员、响应时间、服务承诺及服务便利性等</w:t>
      </w:r>
      <w:r>
        <w:rPr>
          <w:rFonts w:hint="eastAsia"/>
          <w:color w:val="auto"/>
          <w:highlight w:val="none"/>
        </w:rPr>
        <w:t>）</w:t>
      </w:r>
      <w:r>
        <w:rPr>
          <w:color w:val="auto"/>
          <w:highlight w:val="none"/>
        </w:rPr>
        <w:t>情况横向比较</w:t>
      </w:r>
      <w:r>
        <w:rPr>
          <w:rFonts w:hint="eastAsia"/>
          <w:color w:val="auto"/>
          <w:highlight w:val="none"/>
        </w:rPr>
        <w:t>：</w:t>
      </w:r>
    </w:p>
    <w:p>
      <w:pPr>
        <w:spacing w:line="360" w:lineRule="auto"/>
        <w:ind w:firstLine="420" w:firstLineChars="200"/>
        <w:rPr>
          <w:color w:val="auto"/>
          <w:highlight w:val="none"/>
        </w:rPr>
      </w:pPr>
      <w:r>
        <w:rPr>
          <w:rFonts w:ascii="宋体" w:hAnsi="宋体"/>
          <w:color w:val="auto"/>
          <w:szCs w:val="21"/>
          <w:highlight w:val="none"/>
        </w:rPr>
        <w:t>一档（</w:t>
      </w:r>
      <w:r>
        <w:rPr>
          <w:rFonts w:hint="eastAsia" w:ascii="宋体" w:hAnsi="宋体"/>
          <w:color w:val="auto"/>
          <w:szCs w:val="21"/>
          <w:highlight w:val="none"/>
        </w:rPr>
        <w:t>1</w:t>
      </w:r>
      <w:r>
        <w:rPr>
          <w:rFonts w:ascii="宋体" w:hAnsi="宋体"/>
          <w:color w:val="auto"/>
          <w:szCs w:val="21"/>
          <w:highlight w:val="none"/>
        </w:rPr>
        <w:t>分）</w:t>
      </w:r>
      <w:r>
        <w:rPr>
          <w:rFonts w:hint="eastAsia" w:ascii="宋体" w:hAnsi="宋体"/>
          <w:color w:val="auto"/>
          <w:szCs w:val="21"/>
          <w:highlight w:val="none"/>
        </w:rPr>
        <w:t>：</w:t>
      </w:r>
      <w:r>
        <w:rPr>
          <w:rFonts w:hint="eastAsia"/>
          <w:color w:val="auto"/>
          <w:highlight w:val="none"/>
        </w:rPr>
        <w:t>方案基本符合项目需求，基本完整、基本可行，得1分</w:t>
      </w:r>
    </w:p>
    <w:p>
      <w:pPr>
        <w:spacing w:line="360" w:lineRule="auto"/>
        <w:ind w:firstLine="420" w:firstLineChars="200"/>
        <w:rPr>
          <w:color w:val="auto"/>
          <w:highlight w:val="none"/>
        </w:rPr>
      </w:pPr>
      <w:r>
        <w:rPr>
          <w:rFonts w:hint="eastAsia" w:ascii="宋体" w:hAnsi="宋体"/>
          <w:color w:val="auto"/>
          <w:szCs w:val="21"/>
          <w:highlight w:val="none"/>
        </w:rPr>
        <w:t>二</w:t>
      </w:r>
      <w:r>
        <w:rPr>
          <w:rFonts w:ascii="宋体" w:hAnsi="宋体"/>
          <w:color w:val="auto"/>
          <w:szCs w:val="21"/>
          <w:highlight w:val="none"/>
        </w:rPr>
        <w:t>档（</w:t>
      </w:r>
      <w:r>
        <w:rPr>
          <w:rFonts w:hint="eastAsia" w:ascii="宋体" w:hAnsi="宋体"/>
          <w:color w:val="auto"/>
          <w:szCs w:val="21"/>
          <w:highlight w:val="none"/>
        </w:rPr>
        <w:t>3</w:t>
      </w:r>
      <w:r>
        <w:rPr>
          <w:rFonts w:ascii="宋体" w:hAnsi="宋体"/>
          <w:color w:val="auto"/>
          <w:szCs w:val="21"/>
          <w:highlight w:val="none"/>
        </w:rPr>
        <w:t>分）</w:t>
      </w:r>
      <w:r>
        <w:rPr>
          <w:rFonts w:hint="eastAsia" w:ascii="宋体" w:hAnsi="宋体"/>
          <w:color w:val="auto"/>
          <w:szCs w:val="21"/>
          <w:highlight w:val="none"/>
        </w:rPr>
        <w:t>：</w:t>
      </w:r>
      <w:r>
        <w:rPr>
          <w:rFonts w:hint="eastAsia"/>
          <w:color w:val="auto"/>
          <w:highlight w:val="none"/>
        </w:rPr>
        <w:t>方案符合项目需求，比较完整、比较周详、比较可行，得3分；</w:t>
      </w:r>
    </w:p>
    <w:p>
      <w:pPr>
        <w:spacing w:line="360" w:lineRule="auto"/>
        <w:ind w:firstLine="420" w:firstLineChars="200"/>
        <w:rPr>
          <w:color w:val="auto"/>
          <w:highlight w:val="none"/>
        </w:rPr>
      </w:pPr>
      <w:r>
        <w:rPr>
          <w:rFonts w:hint="eastAsia"/>
          <w:color w:val="auto"/>
          <w:szCs w:val="21"/>
          <w:highlight w:val="none"/>
        </w:rPr>
        <w:t>三档（5</w:t>
      </w:r>
      <w:r>
        <w:rPr>
          <w:rFonts w:ascii="宋体" w:hAnsi="宋体"/>
          <w:color w:val="auto"/>
          <w:szCs w:val="21"/>
          <w:highlight w:val="none"/>
        </w:rPr>
        <w:t>分</w:t>
      </w:r>
      <w:r>
        <w:rPr>
          <w:rFonts w:hint="eastAsia"/>
          <w:color w:val="auto"/>
          <w:szCs w:val="21"/>
          <w:highlight w:val="none"/>
        </w:rPr>
        <w:t>）</w:t>
      </w:r>
      <w:r>
        <w:rPr>
          <w:rFonts w:hint="eastAsia"/>
          <w:color w:val="auto"/>
          <w:highlight w:val="none"/>
        </w:rPr>
        <w:t>；方案符合或优于项目需求，完整、周详、可行，得5分；</w:t>
      </w:r>
    </w:p>
    <w:p>
      <w:pPr>
        <w:pStyle w:val="19"/>
        <w:spacing w:line="360" w:lineRule="auto"/>
        <w:ind w:firstLine="0" w:firstLineChars="0"/>
        <w:rPr>
          <w:color w:val="auto"/>
          <w:highlight w:val="none"/>
        </w:rPr>
      </w:pPr>
      <w:r>
        <w:rPr>
          <w:color w:val="auto"/>
          <w:spacing w:val="-6"/>
          <w:kern w:val="1"/>
          <w:szCs w:val="22"/>
          <w:highlight w:val="none"/>
        </w:rPr>
        <w:t>（</w:t>
      </w:r>
      <w:r>
        <w:rPr>
          <w:rFonts w:hint="eastAsia"/>
          <w:color w:val="auto"/>
          <w:spacing w:val="-6"/>
          <w:kern w:val="1"/>
          <w:szCs w:val="22"/>
          <w:highlight w:val="none"/>
        </w:rPr>
        <w:t>2</w:t>
      </w:r>
      <w:r>
        <w:rPr>
          <w:color w:val="auto"/>
          <w:spacing w:val="-6"/>
          <w:kern w:val="1"/>
          <w:szCs w:val="22"/>
          <w:highlight w:val="none"/>
        </w:rPr>
        <w:t>）</w:t>
      </w:r>
      <w:r>
        <w:rPr>
          <w:color w:val="auto"/>
          <w:highlight w:val="none"/>
        </w:rPr>
        <w:t>根据各投标人有针对性的培训方案</w:t>
      </w:r>
      <w:r>
        <w:rPr>
          <w:rFonts w:hint="eastAsia"/>
          <w:color w:val="auto"/>
          <w:highlight w:val="none"/>
        </w:rPr>
        <w:t>（</w:t>
      </w:r>
      <w:r>
        <w:rPr>
          <w:color w:val="auto"/>
          <w:highlight w:val="none"/>
        </w:rPr>
        <w:t>应包括培训的时间、地点、目标、方式、内容、对象和措施</w:t>
      </w:r>
      <w:r>
        <w:rPr>
          <w:rFonts w:hint="eastAsia"/>
          <w:color w:val="auto"/>
          <w:highlight w:val="none"/>
        </w:rPr>
        <w:t>）</w:t>
      </w:r>
      <w:r>
        <w:rPr>
          <w:color w:val="auto"/>
          <w:highlight w:val="none"/>
        </w:rPr>
        <w:t>的科学性可行性</w:t>
      </w:r>
      <w:r>
        <w:rPr>
          <w:rFonts w:hint="eastAsia"/>
          <w:color w:val="auto"/>
          <w:highlight w:val="none"/>
        </w:rPr>
        <w:t>进行评审：</w:t>
      </w:r>
    </w:p>
    <w:p>
      <w:pPr>
        <w:pStyle w:val="19"/>
        <w:spacing w:line="360" w:lineRule="auto"/>
        <w:ind w:left="420" w:firstLine="0" w:firstLineChars="0"/>
        <w:rPr>
          <w:color w:val="auto"/>
          <w:highlight w:val="none"/>
        </w:rPr>
      </w:pPr>
      <w:r>
        <w:rPr>
          <w:rFonts w:ascii="宋体" w:hAnsi="宋体"/>
          <w:color w:val="auto"/>
          <w:szCs w:val="21"/>
          <w:highlight w:val="none"/>
        </w:rPr>
        <w:t>一档（</w:t>
      </w:r>
      <w:r>
        <w:rPr>
          <w:rFonts w:hint="eastAsia" w:ascii="宋体" w:hAnsi="宋体"/>
          <w:color w:val="auto"/>
          <w:szCs w:val="21"/>
          <w:highlight w:val="none"/>
        </w:rPr>
        <w:t>1</w:t>
      </w:r>
      <w:r>
        <w:rPr>
          <w:rFonts w:ascii="宋体" w:hAnsi="宋体"/>
          <w:color w:val="auto"/>
          <w:szCs w:val="21"/>
          <w:highlight w:val="none"/>
        </w:rPr>
        <w:t>分）</w:t>
      </w:r>
      <w:r>
        <w:rPr>
          <w:rFonts w:hint="eastAsia" w:ascii="宋体" w:hAnsi="宋体"/>
          <w:color w:val="auto"/>
          <w:szCs w:val="21"/>
          <w:highlight w:val="none"/>
        </w:rPr>
        <w:t>：</w:t>
      </w:r>
      <w:r>
        <w:rPr>
          <w:rFonts w:hint="eastAsia"/>
          <w:color w:val="auto"/>
          <w:highlight w:val="none"/>
        </w:rPr>
        <w:t>方案基本符合项目需求，基本完整、基本可行，得1分；</w:t>
      </w:r>
    </w:p>
    <w:p>
      <w:pPr>
        <w:pStyle w:val="19"/>
        <w:spacing w:line="360" w:lineRule="auto"/>
        <w:ind w:left="420" w:firstLine="0" w:firstLineChars="0"/>
        <w:rPr>
          <w:color w:val="auto"/>
          <w:highlight w:val="none"/>
        </w:rPr>
      </w:pPr>
      <w:r>
        <w:rPr>
          <w:rFonts w:hint="eastAsia" w:ascii="宋体" w:hAnsi="宋体"/>
          <w:color w:val="auto"/>
          <w:szCs w:val="21"/>
          <w:highlight w:val="none"/>
        </w:rPr>
        <w:t>二</w:t>
      </w:r>
      <w:r>
        <w:rPr>
          <w:rFonts w:ascii="宋体" w:hAnsi="宋体"/>
          <w:color w:val="auto"/>
          <w:szCs w:val="21"/>
          <w:highlight w:val="none"/>
        </w:rPr>
        <w:t>档（</w:t>
      </w:r>
      <w:r>
        <w:rPr>
          <w:rFonts w:hint="eastAsia" w:ascii="宋体" w:hAnsi="宋体"/>
          <w:color w:val="auto"/>
          <w:szCs w:val="21"/>
          <w:highlight w:val="none"/>
        </w:rPr>
        <w:t>3</w:t>
      </w:r>
      <w:r>
        <w:rPr>
          <w:rFonts w:ascii="宋体" w:hAnsi="宋体"/>
          <w:color w:val="auto"/>
          <w:szCs w:val="21"/>
          <w:highlight w:val="none"/>
        </w:rPr>
        <w:t>分）</w:t>
      </w:r>
      <w:r>
        <w:rPr>
          <w:rFonts w:hint="eastAsia" w:ascii="宋体" w:hAnsi="宋体"/>
          <w:color w:val="auto"/>
          <w:szCs w:val="21"/>
          <w:highlight w:val="none"/>
        </w:rPr>
        <w:t>：</w:t>
      </w:r>
      <w:r>
        <w:rPr>
          <w:rFonts w:hint="eastAsia"/>
          <w:color w:val="auto"/>
          <w:highlight w:val="none"/>
        </w:rPr>
        <w:t>方案符合项目需求，比较完整、比较周详、比较可行，得3分；</w:t>
      </w:r>
    </w:p>
    <w:p>
      <w:pPr>
        <w:spacing w:line="360" w:lineRule="auto"/>
        <w:ind w:firstLine="420" w:firstLineChars="200"/>
        <w:rPr>
          <w:color w:val="auto"/>
          <w:highlight w:val="none"/>
        </w:rPr>
      </w:pPr>
      <w:r>
        <w:rPr>
          <w:rFonts w:hint="eastAsia"/>
          <w:color w:val="auto"/>
          <w:szCs w:val="21"/>
          <w:highlight w:val="none"/>
        </w:rPr>
        <w:t>三档（5</w:t>
      </w:r>
      <w:r>
        <w:rPr>
          <w:rFonts w:ascii="宋体" w:hAnsi="宋体"/>
          <w:color w:val="auto"/>
          <w:szCs w:val="21"/>
          <w:highlight w:val="none"/>
        </w:rPr>
        <w:t>分</w:t>
      </w:r>
      <w:r>
        <w:rPr>
          <w:rFonts w:hint="eastAsia"/>
          <w:color w:val="auto"/>
          <w:szCs w:val="21"/>
          <w:highlight w:val="none"/>
        </w:rPr>
        <w:t>）：</w:t>
      </w:r>
      <w:r>
        <w:rPr>
          <w:rFonts w:hint="eastAsia"/>
          <w:color w:val="auto"/>
          <w:highlight w:val="none"/>
        </w:rPr>
        <w:t>方案符合或优于项目需求，完整、周详、可行，得5分；</w:t>
      </w:r>
    </w:p>
    <w:p>
      <w:pPr>
        <w:pStyle w:val="19"/>
        <w:spacing w:line="360" w:lineRule="auto"/>
        <w:ind w:firstLine="0" w:firstLineChars="0"/>
        <w:rPr>
          <w:color w:val="auto"/>
          <w:highlight w:val="none"/>
        </w:rPr>
      </w:pPr>
      <w:r>
        <w:rPr>
          <w:color w:val="auto"/>
          <w:spacing w:val="-6"/>
          <w:kern w:val="1"/>
          <w:szCs w:val="22"/>
          <w:highlight w:val="none"/>
        </w:rPr>
        <w:t>（</w:t>
      </w:r>
      <w:r>
        <w:rPr>
          <w:rFonts w:hint="eastAsia"/>
          <w:color w:val="auto"/>
          <w:spacing w:val="-6"/>
          <w:kern w:val="1"/>
          <w:szCs w:val="22"/>
          <w:highlight w:val="none"/>
        </w:rPr>
        <w:t>3</w:t>
      </w:r>
      <w:r>
        <w:rPr>
          <w:color w:val="auto"/>
          <w:spacing w:val="-6"/>
          <w:kern w:val="1"/>
          <w:szCs w:val="22"/>
          <w:highlight w:val="none"/>
        </w:rPr>
        <w:t>）</w:t>
      </w:r>
      <w:r>
        <w:rPr>
          <w:color w:val="auto"/>
          <w:highlight w:val="none"/>
        </w:rPr>
        <w:t>根据各投标人</w:t>
      </w:r>
      <w:r>
        <w:rPr>
          <w:rFonts w:hint="eastAsia"/>
          <w:color w:val="auto"/>
          <w:highlight w:val="none"/>
        </w:rPr>
        <w:t>服务团队人员进行评审：</w:t>
      </w:r>
    </w:p>
    <w:p>
      <w:pPr>
        <w:adjustRightInd w:val="0"/>
        <w:spacing w:line="440" w:lineRule="exact"/>
        <w:ind w:firstLine="420" w:firstLineChars="200"/>
        <w:contextualSpacing/>
        <w:rPr>
          <w:rFonts w:ascii="宋体" w:hAnsi="宋体"/>
          <w:color w:val="auto"/>
          <w:szCs w:val="21"/>
          <w:highlight w:val="none"/>
        </w:rPr>
      </w:pPr>
      <w:r>
        <w:rPr>
          <w:rFonts w:ascii="宋体" w:hAnsi="宋体"/>
          <w:color w:val="auto"/>
          <w:szCs w:val="21"/>
          <w:highlight w:val="none"/>
        </w:rPr>
        <w:t>一档（</w:t>
      </w:r>
      <w:r>
        <w:rPr>
          <w:rFonts w:hint="eastAsia" w:ascii="宋体" w:hAnsi="宋体"/>
          <w:color w:val="auto"/>
          <w:szCs w:val="21"/>
          <w:highlight w:val="none"/>
        </w:rPr>
        <w:t>5</w:t>
      </w:r>
      <w:r>
        <w:rPr>
          <w:rFonts w:ascii="宋体" w:hAnsi="宋体"/>
          <w:color w:val="auto"/>
          <w:szCs w:val="21"/>
          <w:highlight w:val="none"/>
        </w:rPr>
        <w:t>分）：投标人</w:t>
      </w:r>
      <w:r>
        <w:rPr>
          <w:rFonts w:hint="eastAsia" w:ascii="宋体" w:hAnsi="宋体"/>
          <w:color w:val="auto"/>
          <w:szCs w:val="21"/>
          <w:highlight w:val="none"/>
        </w:rPr>
        <w:t>实施及售后团队</w:t>
      </w:r>
      <w:r>
        <w:rPr>
          <w:rFonts w:ascii="宋体" w:hAnsi="宋体"/>
          <w:color w:val="auto"/>
          <w:szCs w:val="21"/>
          <w:highlight w:val="none"/>
        </w:rPr>
        <w:t>不少于</w:t>
      </w:r>
      <w:r>
        <w:rPr>
          <w:rFonts w:hint="eastAsia" w:ascii="宋体" w:hAnsi="宋体"/>
          <w:color w:val="auto"/>
          <w:szCs w:val="21"/>
          <w:highlight w:val="none"/>
        </w:rPr>
        <w:t>10</w:t>
      </w:r>
      <w:r>
        <w:rPr>
          <w:rFonts w:ascii="宋体" w:hAnsi="宋体"/>
          <w:color w:val="auto"/>
          <w:szCs w:val="21"/>
          <w:highlight w:val="none"/>
        </w:rPr>
        <w:t>人</w:t>
      </w:r>
      <w:r>
        <w:rPr>
          <w:rFonts w:hint="eastAsia" w:ascii="宋体" w:hAnsi="宋体"/>
          <w:color w:val="auto"/>
          <w:szCs w:val="21"/>
          <w:highlight w:val="none"/>
        </w:rPr>
        <w:t>，提供至少2名项目实施人员；</w:t>
      </w:r>
    </w:p>
    <w:p>
      <w:pPr>
        <w:adjustRightInd w:val="0"/>
        <w:spacing w:line="440" w:lineRule="exact"/>
        <w:ind w:firstLine="420" w:firstLineChars="200"/>
        <w:contextualSpacing/>
        <w:rPr>
          <w:rFonts w:ascii="宋体" w:hAnsi="宋体"/>
          <w:color w:val="auto"/>
          <w:szCs w:val="21"/>
          <w:highlight w:val="none"/>
        </w:rPr>
      </w:pPr>
      <w:r>
        <w:rPr>
          <w:rFonts w:ascii="宋体" w:hAnsi="宋体"/>
          <w:color w:val="auto"/>
          <w:szCs w:val="21"/>
          <w:highlight w:val="none"/>
        </w:rPr>
        <w:t>二档（</w:t>
      </w:r>
      <w:r>
        <w:rPr>
          <w:rFonts w:hint="eastAsia" w:ascii="宋体" w:hAnsi="宋体"/>
          <w:color w:val="auto"/>
          <w:szCs w:val="21"/>
          <w:highlight w:val="none"/>
        </w:rPr>
        <w:t>10</w:t>
      </w:r>
      <w:r>
        <w:rPr>
          <w:rFonts w:ascii="宋体" w:hAnsi="宋体"/>
          <w:color w:val="auto"/>
          <w:szCs w:val="21"/>
          <w:highlight w:val="none"/>
        </w:rPr>
        <w:t>分）：投标人</w:t>
      </w:r>
      <w:r>
        <w:rPr>
          <w:rFonts w:hint="eastAsia" w:ascii="宋体" w:hAnsi="宋体"/>
          <w:color w:val="auto"/>
          <w:szCs w:val="21"/>
          <w:highlight w:val="none"/>
        </w:rPr>
        <w:t>实施及售后团队</w:t>
      </w:r>
      <w:r>
        <w:rPr>
          <w:rFonts w:ascii="宋体" w:hAnsi="宋体"/>
          <w:color w:val="auto"/>
          <w:szCs w:val="21"/>
          <w:highlight w:val="none"/>
        </w:rPr>
        <w:t>不少于</w:t>
      </w:r>
      <w:r>
        <w:rPr>
          <w:rFonts w:hint="eastAsia" w:ascii="宋体" w:hAnsi="宋体"/>
          <w:color w:val="auto"/>
          <w:szCs w:val="21"/>
          <w:highlight w:val="none"/>
        </w:rPr>
        <w:t>20</w:t>
      </w:r>
      <w:r>
        <w:rPr>
          <w:rFonts w:ascii="宋体" w:hAnsi="宋体"/>
          <w:color w:val="auto"/>
          <w:szCs w:val="21"/>
          <w:highlight w:val="none"/>
        </w:rPr>
        <w:t>人，</w:t>
      </w:r>
      <w:r>
        <w:rPr>
          <w:rFonts w:hint="eastAsia" w:ascii="宋体" w:hAnsi="宋体"/>
          <w:color w:val="auto"/>
          <w:szCs w:val="21"/>
          <w:highlight w:val="none"/>
        </w:rPr>
        <w:t>至少提供1名项目经理，提供至少3名项目实施人员，其中具备中级工程师职称证书的1人；</w:t>
      </w:r>
    </w:p>
    <w:p>
      <w:pPr>
        <w:adjustRightInd w:val="0"/>
        <w:spacing w:line="440" w:lineRule="exact"/>
        <w:ind w:firstLine="420" w:firstLineChars="200"/>
        <w:contextualSpacing/>
        <w:rPr>
          <w:rFonts w:ascii="宋体" w:hAnsi="宋体"/>
          <w:color w:val="auto"/>
          <w:szCs w:val="21"/>
          <w:highlight w:val="none"/>
        </w:rPr>
      </w:pPr>
      <w:r>
        <w:rPr>
          <w:rFonts w:ascii="宋体" w:hAnsi="宋体"/>
          <w:color w:val="auto"/>
          <w:szCs w:val="21"/>
          <w:highlight w:val="none"/>
        </w:rPr>
        <w:t>三档（</w:t>
      </w:r>
      <w:r>
        <w:rPr>
          <w:rFonts w:hint="eastAsia" w:ascii="宋体" w:hAnsi="宋体"/>
          <w:color w:val="auto"/>
          <w:szCs w:val="21"/>
          <w:highlight w:val="none"/>
        </w:rPr>
        <w:t>15</w:t>
      </w:r>
      <w:r>
        <w:rPr>
          <w:rFonts w:ascii="宋体" w:hAnsi="宋体"/>
          <w:color w:val="auto"/>
          <w:szCs w:val="21"/>
          <w:highlight w:val="none"/>
        </w:rPr>
        <w:t>分）：投标人</w:t>
      </w:r>
      <w:r>
        <w:rPr>
          <w:rFonts w:hint="eastAsia" w:ascii="宋体" w:hAnsi="宋体"/>
          <w:color w:val="auto"/>
          <w:szCs w:val="21"/>
          <w:highlight w:val="none"/>
        </w:rPr>
        <w:t>实施及售后团队</w:t>
      </w:r>
      <w:r>
        <w:rPr>
          <w:rFonts w:ascii="宋体" w:hAnsi="宋体"/>
          <w:color w:val="auto"/>
          <w:szCs w:val="21"/>
          <w:highlight w:val="none"/>
        </w:rPr>
        <w:t>不少于</w:t>
      </w:r>
      <w:r>
        <w:rPr>
          <w:rFonts w:hint="eastAsia" w:ascii="宋体" w:hAnsi="宋体"/>
          <w:color w:val="auto"/>
          <w:szCs w:val="21"/>
          <w:highlight w:val="none"/>
        </w:rPr>
        <w:t>35</w:t>
      </w:r>
      <w:r>
        <w:rPr>
          <w:rFonts w:ascii="宋体" w:hAnsi="宋体"/>
          <w:color w:val="auto"/>
          <w:szCs w:val="21"/>
          <w:highlight w:val="none"/>
        </w:rPr>
        <w:t>人，</w:t>
      </w:r>
      <w:r>
        <w:rPr>
          <w:rFonts w:hint="eastAsia" w:ascii="宋体" w:hAnsi="宋体"/>
          <w:color w:val="auto"/>
          <w:szCs w:val="21"/>
          <w:highlight w:val="none"/>
        </w:rPr>
        <w:t>投标人至少提供1名项目经理，提供至少5名项目实施人员，其中具备中级工程师职称证书的1人，具备高级工程师职称证书的1人。</w:t>
      </w:r>
    </w:p>
    <w:p>
      <w:pPr>
        <w:adjustRightInd w:val="0"/>
        <w:spacing w:line="440" w:lineRule="exact"/>
        <w:ind w:firstLine="420" w:firstLineChars="200"/>
        <w:contextualSpacing/>
        <w:rPr>
          <w:rFonts w:ascii="宋体" w:hAnsi="宋体"/>
          <w:color w:val="auto"/>
          <w:szCs w:val="21"/>
          <w:highlight w:val="none"/>
        </w:rPr>
      </w:pPr>
      <w:r>
        <w:rPr>
          <w:rFonts w:hint="eastAsia" w:ascii="宋体" w:hAnsi="宋体"/>
          <w:color w:val="auto"/>
          <w:szCs w:val="21"/>
          <w:highlight w:val="none"/>
        </w:rPr>
        <w:t>实施及售后服务团队人员为</w:t>
      </w:r>
      <w:r>
        <w:rPr>
          <w:rFonts w:ascii="宋体" w:hAnsi="宋体"/>
          <w:color w:val="auto"/>
          <w:szCs w:val="21"/>
          <w:highlight w:val="none"/>
        </w:rPr>
        <w:t>广西区内</w:t>
      </w:r>
      <w:r>
        <w:rPr>
          <w:rFonts w:hint="eastAsia" w:ascii="宋体" w:hAnsi="宋体"/>
          <w:color w:val="auto"/>
          <w:szCs w:val="21"/>
          <w:highlight w:val="none"/>
          <w:lang w:eastAsia="zh-CN"/>
        </w:rPr>
        <w:t>定点服务</w:t>
      </w:r>
      <w:r>
        <w:rPr>
          <w:rFonts w:ascii="宋体" w:hAnsi="宋体"/>
          <w:color w:val="auto"/>
          <w:szCs w:val="21"/>
          <w:highlight w:val="none"/>
        </w:rPr>
        <w:t>人员</w:t>
      </w:r>
      <w:r>
        <w:rPr>
          <w:rFonts w:hint="eastAsia" w:ascii="宋体" w:hAnsi="宋体"/>
          <w:color w:val="auto"/>
          <w:szCs w:val="21"/>
          <w:highlight w:val="none"/>
        </w:rPr>
        <w:t>。</w:t>
      </w:r>
      <w:r>
        <w:rPr>
          <w:rFonts w:ascii="宋体" w:hAnsi="宋体"/>
          <w:color w:val="auto"/>
          <w:szCs w:val="21"/>
          <w:highlight w:val="none"/>
        </w:rPr>
        <w:t>本地服务机构需提供营业执照或分支机构证明复印件（加盖公章）、社保机构出具的</w:t>
      </w:r>
      <w:r>
        <w:rPr>
          <w:rFonts w:hint="eastAsia" w:ascii="宋体" w:hAnsi="宋体"/>
          <w:color w:val="auto"/>
          <w:szCs w:val="21"/>
          <w:highlight w:val="none"/>
        </w:rPr>
        <w:t>2020年</w:t>
      </w:r>
      <w:r>
        <w:rPr>
          <w:rFonts w:ascii="宋体" w:hAnsi="宋体"/>
          <w:color w:val="auto"/>
          <w:szCs w:val="21"/>
          <w:highlight w:val="none"/>
        </w:rPr>
        <w:t>内员工连续3个月缴纳社保费证明复印件，原件备查。</w:t>
      </w:r>
    </w:p>
    <w:p>
      <w:pPr>
        <w:pStyle w:val="19"/>
        <w:ind w:firstLine="0" w:firstLineChars="0"/>
        <w:rPr>
          <w:rFonts w:hAnsi="宋体"/>
          <w:b/>
          <w:bCs/>
          <w:color w:val="auto"/>
          <w:szCs w:val="21"/>
          <w:highlight w:val="none"/>
        </w:rPr>
      </w:pPr>
      <w:r>
        <w:rPr>
          <w:rFonts w:hint="eastAsia" w:hAnsi="宋体"/>
          <w:b/>
          <w:bCs/>
          <w:color w:val="auto"/>
          <w:szCs w:val="21"/>
          <w:highlight w:val="none"/>
        </w:rPr>
        <w:t>5.资质信誉分……………………………………………………………………………满分40分</w:t>
      </w:r>
    </w:p>
    <w:p>
      <w:pPr>
        <w:pStyle w:val="19"/>
        <w:spacing w:line="360" w:lineRule="auto"/>
        <w:ind w:firstLine="0" w:firstLineChars="0"/>
        <w:rPr>
          <w:color w:val="auto"/>
          <w:highlight w:val="none"/>
        </w:rPr>
      </w:pPr>
      <w:r>
        <w:rPr>
          <w:color w:val="auto"/>
          <w:spacing w:val="-6"/>
          <w:kern w:val="1"/>
          <w:szCs w:val="22"/>
          <w:highlight w:val="none"/>
        </w:rPr>
        <w:t>（1）</w:t>
      </w:r>
      <w:r>
        <w:rPr>
          <w:rFonts w:hint="eastAsia"/>
          <w:color w:val="auto"/>
          <w:highlight w:val="none"/>
        </w:rPr>
        <w:t>投标人</w:t>
      </w:r>
      <w:r>
        <w:rPr>
          <w:color w:val="auto"/>
          <w:highlight w:val="none"/>
        </w:rPr>
        <w:t>具有丰富</w:t>
      </w:r>
      <w:r>
        <w:rPr>
          <w:rFonts w:hint="eastAsia"/>
          <w:color w:val="auto"/>
          <w:highlight w:val="none"/>
        </w:rPr>
        <w:t>的数据交换共享对接经验，自20</w:t>
      </w:r>
      <w:r>
        <w:rPr>
          <w:rFonts w:hint="eastAsia"/>
          <w:color w:val="auto"/>
          <w:highlight w:val="none"/>
          <w:lang w:val="en-US" w:eastAsia="zh-CN"/>
        </w:rPr>
        <w:t>18</w:t>
      </w:r>
      <w:r>
        <w:rPr>
          <w:rFonts w:hint="eastAsia"/>
          <w:color w:val="auto"/>
          <w:highlight w:val="none"/>
        </w:rPr>
        <w:t>年以来曾中标</w:t>
      </w:r>
      <w:r>
        <w:rPr>
          <w:rFonts w:hint="eastAsia"/>
          <w:color w:val="auto"/>
          <w:highlight w:val="none"/>
          <w:lang w:eastAsia="zh-CN"/>
        </w:rPr>
        <w:t>省级以上（含省级）</w:t>
      </w:r>
      <w:r>
        <w:rPr>
          <w:rFonts w:hint="eastAsia"/>
          <w:color w:val="auto"/>
          <w:highlight w:val="none"/>
        </w:rPr>
        <w:t>数据交换共享平台（需提供相关证明），得5分；</w:t>
      </w:r>
    </w:p>
    <w:p>
      <w:pPr>
        <w:pStyle w:val="19"/>
        <w:ind w:firstLine="0" w:firstLineChars="0"/>
        <w:rPr>
          <w:color w:val="auto"/>
          <w:highlight w:val="none"/>
        </w:rPr>
      </w:pPr>
      <w:r>
        <w:rPr>
          <w:color w:val="auto"/>
          <w:spacing w:val="-6"/>
          <w:kern w:val="1"/>
          <w:szCs w:val="22"/>
          <w:highlight w:val="none"/>
        </w:rPr>
        <w:t>（</w:t>
      </w:r>
      <w:r>
        <w:rPr>
          <w:rFonts w:hint="eastAsia"/>
          <w:color w:val="auto"/>
          <w:spacing w:val="-6"/>
          <w:kern w:val="1"/>
          <w:szCs w:val="22"/>
          <w:highlight w:val="none"/>
        </w:rPr>
        <w:t>2</w:t>
      </w:r>
      <w:r>
        <w:rPr>
          <w:color w:val="auto"/>
          <w:spacing w:val="-6"/>
          <w:kern w:val="1"/>
          <w:szCs w:val="22"/>
          <w:highlight w:val="none"/>
        </w:rPr>
        <w:t>）</w:t>
      </w:r>
      <w:r>
        <w:rPr>
          <w:rFonts w:hint="eastAsia"/>
          <w:color w:val="auto"/>
          <w:highlight w:val="none"/>
        </w:rPr>
        <w:t>投标人具有丰富的大数据平台经验，自</w:t>
      </w:r>
      <w:r>
        <w:rPr>
          <w:color w:val="auto"/>
          <w:highlight w:val="none"/>
        </w:rPr>
        <w:t>20</w:t>
      </w:r>
      <w:r>
        <w:rPr>
          <w:rFonts w:hint="eastAsia"/>
          <w:color w:val="auto"/>
          <w:highlight w:val="none"/>
          <w:lang w:val="en-US" w:eastAsia="zh-CN"/>
        </w:rPr>
        <w:t>18</w:t>
      </w:r>
      <w:r>
        <w:rPr>
          <w:color w:val="auto"/>
          <w:highlight w:val="none"/>
        </w:rPr>
        <w:t>年1月以来，曾中标过</w:t>
      </w:r>
      <w:r>
        <w:rPr>
          <w:rFonts w:hint="eastAsia"/>
          <w:color w:val="auto"/>
          <w:highlight w:val="none"/>
          <w:lang w:eastAsia="zh-CN"/>
        </w:rPr>
        <w:t>省级以上（含省级）</w:t>
      </w:r>
      <w:r>
        <w:rPr>
          <w:rFonts w:hint="eastAsia"/>
          <w:color w:val="auto"/>
          <w:highlight w:val="none"/>
        </w:rPr>
        <w:t>大数据云平台信息化项目，得6分，</w:t>
      </w:r>
      <w:r>
        <w:rPr>
          <w:color w:val="auto"/>
          <w:highlight w:val="none"/>
        </w:rPr>
        <w:t>曾中标过</w:t>
      </w:r>
      <w:r>
        <w:rPr>
          <w:rFonts w:hint="eastAsia"/>
          <w:color w:val="auto"/>
          <w:highlight w:val="none"/>
          <w:lang w:eastAsia="zh-CN"/>
        </w:rPr>
        <w:t>市级以上（含市级）</w:t>
      </w:r>
      <w:r>
        <w:rPr>
          <w:rFonts w:hint="eastAsia"/>
          <w:color w:val="auto"/>
          <w:highlight w:val="none"/>
        </w:rPr>
        <w:t>大数据云平台信息化项目，得3分</w:t>
      </w:r>
      <w:r>
        <w:rPr>
          <w:color w:val="auto"/>
          <w:highlight w:val="none"/>
        </w:rPr>
        <w:t>（需提供中标通知书或合同）</w:t>
      </w:r>
      <w:r>
        <w:rPr>
          <w:rFonts w:hint="eastAsia"/>
          <w:color w:val="auto"/>
          <w:highlight w:val="none"/>
        </w:rPr>
        <w:t>，满分6分；</w:t>
      </w:r>
    </w:p>
    <w:p>
      <w:pPr>
        <w:pStyle w:val="19"/>
        <w:spacing w:line="360" w:lineRule="auto"/>
        <w:ind w:firstLine="0" w:firstLineChars="0"/>
        <w:rPr>
          <w:color w:val="auto"/>
          <w:highlight w:val="none"/>
        </w:rPr>
      </w:pPr>
      <w:r>
        <w:rPr>
          <w:color w:val="auto"/>
          <w:spacing w:val="-6"/>
          <w:kern w:val="1"/>
          <w:szCs w:val="22"/>
          <w:highlight w:val="none"/>
        </w:rPr>
        <w:t>（</w:t>
      </w:r>
      <w:r>
        <w:rPr>
          <w:rFonts w:hint="eastAsia"/>
          <w:color w:val="auto"/>
          <w:spacing w:val="-6"/>
          <w:kern w:val="1"/>
          <w:szCs w:val="22"/>
          <w:highlight w:val="none"/>
        </w:rPr>
        <w:t>3</w:t>
      </w:r>
      <w:r>
        <w:rPr>
          <w:color w:val="auto"/>
          <w:spacing w:val="-6"/>
          <w:kern w:val="1"/>
          <w:szCs w:val="22"/>
          <w:highlight w:val="none"/>
        </w:rPr>
        <w:t>）</w:t>
      </w:r>
      <w:r>
        <w:rPr>
          <w:rFonts w:hint="eastAsia"/>
          <w:color w:val="auto"/>
          <w:highlight w:val="none"/>
        </w:rPr>
        <w:t>投标人自201</w:t>
      </w:r>
      <w:r>
        <w:rPr>
          <w:rFonts w:hint="eastAsia"/>
          <w:color w:val="auto"/>
          <w:highlight w:val="none"/>
          <w:lang w:val="en-US" w:eastAsia="zh-CN"/>
        </w:rPr>
        <w:t>8</w:t>
      </w:r>
      <w:r>
        <w:rPr>
          <w:rFonts w:hint="eastAsia"/>
          <w:color w:val="auto"/>
          <w:highlight w:val="none"/>
        </w:rPr>
        <w:t>年以来有工程项目审批改革相关平台项目经验，每提供一个项目中标通知书中标通知书得3分，满分9分（提供合同复印件中清晰反应采购内容页面）。</w:t>
      </w:r>
    </w:p>
    <w:p>
      <w:pPr>
        <w:pStyle w:val="19"/>
        <w:spacing w:line="360" w:lineRule="auto"/>
        <w:ind w:firstLine="0" w:firstLineChars="0"/>
        <w:rPr>
          <w:color w:val="auto"/>
          <w:highlight w:val="none"/>
        </w:rPr>
      </w:pPr>
      <w:r>
        <w:rPr>
          <w:color w:val="auto"/>
          <w:spacing w:val="-6"/>
          <w:kern w:val="1"/>
          <w:szCs w:val="22"/>
          <w:highlight w:val="none"/>
        </w:rPr>
        <w:t>（</w:t>
      </w:r>
      <w:r>
        <w:rPr>
          <w:rFonts w:hint="eastAsia"/>
          <w:color w:val="auto"/>
          <w:spacing w:val="-6"/>
          <w:kern w:val="1"/>
          <w:szCs w:val="22"/>
          <w:highlight w:val="none"/>
        </w:rPr>
        <w:t>4</w:t>
      </w:r>
      <w:r>
        <w:rPr>
          <w:color w:val="auto"/>
          <w:spacing w:val="-6"/>
          <w:kern w:val="1"/>
          <w:szCs w:val="22"/>
          <w:highlight w:val="none"/>
        </w:rPr>
        <w:t>）</w:t>
      </w:r>
      <w:r>
        <w:rPr>
          <w:rFonts w:hint="eastAsia"/>
          <w:color w:val="auto"/>
          <w:highlight w:val="none"/>
        </w:rPr>
        <w:t>投标人项目组成员拥有注册信息安全工程师（CISE）证书的得 3分；拥有计算机技术与软件专业技术资格系统集成项目管理工程师证书的得1分；拥有计算机技术与软件专业技术资格网络工程师证书的得1分；满分5分。</w:t>
      </w:r>
    </w:p>
    <w:p>
      <w:pPr>
        <w:pStyle w:val="19"/>
        <w:spacing w:line="360" w:lineRule="auto"/>
        <w:ind w:firstLine="0" w:firstLineChars="0"/>
        <w:rPr>
          <w:color w:val="auto"/>
          <w:highlight w:val="none"/>
        </w:rPr>
      </w:pPr>
      <w:r>
        <w:rPr>
          <w:color w:val="auto"/>
          <w:spacing w:val="-6"/>
          <w:kern w:val="1"/>
          <w:szCs w:val="22"/>
          <w:highlight w:val="none"/>
        </w:rPr>
        <w:t>（</w:t>
      </w:r>
      <w:r>
        <w:rPr>
          <w:rFonts w:hint="eastAsia"/>
          <w:color w:val="auto"/>
          <w:spacing w:val="-6"/>
          <w:kern w:val="1"/>
          <w:szCs w:val="22"/>
          <w:highlight w:val="none"/>
        </w:rPr>
        <w:t>5</w:t>
      </w:r>
      <w:r>
        <w:rPr>
          <w:color w:val="auto"/>
          <w:spacing w:val="-6"/>
          <w:kern w:val="1"/>
          <w:szCs w:val="22"/>
          <w:highlight w:val="none"/>
        </w:rPr>
        <w:t>）</w:t>
      </w:r>
      <w:r>
        <w:rPr>
          <w:rFonts w:hint="eastAsia"/>
          <w:color w:val="auto"/>
          <w:highlight w:val="none"/>
        </w:rPr>
        <w:t>投标人具有涉密信息系统集成资质证书（业务种类：系统集成）乙级及以上的得5分，没有不得分；满分5分。</w:t>
      </w:r>
    </w:p>
    <w:p>
      <w:pPr>
        <w:pStyle w:val="19"/>
        <w:spacing w:line="360" w:lineRule="auto"/>
        <w:ind w:firstLine="0" w:firstLineChars="0"/>
        <w:rPr>
          <w:color w:val="auto"/>
          <w:highlight w:val="none"/>
        </w:rPr>
      </w:pPr>
      <w:r>
        <w:rPr>
          <w:color w:val="auto"/>
          <w:spacing w:val="-6"/>
          <w:kern w:val="1"/>
          <w:szCs w:val="22"/>
          <w:highlight w:val="none"/>
        </w:rPr>
        <w:t>（</w:t>
      </w:r>
      <w:r>
        <w:rPr>
          <w:rFonts w:hint="eastAsia"/>
          <w:color w:val="auto"/>
          <w:spacing w:val="-6"/>
          <w:kern w:val="1"/>
          <w:szCs w:val="22"/>
          <w:highlight w:val="none"/>
        </w:rPr>
        <w:t>6</w:t>
      </w:r>
      <w:r>
        <w:rPr>
          <w:color w:val="auto"/>
          <w:spacing w:val="-6"/>
          <w:kern w:val="1"/>
          <w:szCs w:val="22"/>
          <w:highlight w:val="none"/>
        </w:rPr>
        <w:t>）</w:t>
      </w:r>
      <w:r>
        <w:rPr>
          <w:rFonts w:hint="eastAsia"/>
          <w:color w:val="auto"/>
          <w:highlight w:val="none"/>
        </w:rPr>
        <w:t>投标人提供获得国家级大数据产业发展示范项目证明材料复印件，提供得5分，没有不得分，满分5分</w:t>
      </w:r>
      <w:r>
        <w:rPr>
          <w:color w:val="auto"/>
          <w:highlight w:val="none"/>
        </w:rPr>
        <w:t>。</w:t>
      </w:r>
      <w:r>
        <w:rPr>
          <w:rFonts w:hint="eastAsia"/>
          <w:color w:val="auto"/>
          <w:highlight w:val="none"/>
        </w:rPr>
        <w:t>（复核，提供说明）</w:t>
      </w:r>
    </w:p>
    <w:p>
      <w:pPr>
        <w:pStyle w:val="19"/>
        <w:spacing w:line="360" w:lineRule="auto"/>
        <w:ind w:firstLine="0" w:firstLineChars="0"/>
        <w:rPr>
          <w:color w:val="auto"/>
          <w:highlight w:val="none"/>
        </w:rPr>
      </w:pPr>
      <w:r>
        <w:rPr>
          <w:color w:val="auto"/>
          <w:spacing w:val="-6"/>
          <w:kern w:val="1"/>
          <w:szCs w:val="22"/>
          <w:highlight w:val="none"/>
        </w:rPr>
        <w:t>（</w:t>
      </w:r>
      <w:r>
        <w:rPr>
          <w:rFonts w:hint="eastAsia"/>
          <w:color w:val="auto"/>
          <w:spacing w:val="-6"/>
          <w:kern w:val="1"/>
          <w:szCs w:val="22"/>
          <w:highlight w:val="none"/>
        </w:rPr>
        <w:t>7</w:t>
      </w:r>
      <w:r>
        <w:rPr>
          <w:color w:val="auto"/>
          <w:spacing w:val="-6"/>
          <w:kern w:val="1"/>
          <w:szCs w:val="22"/>
          <w:highlight w:val="none"/>
        </w:rPr>
        <w:t>）</w:t>
      </w:r>
      <w:r>
        <w:rPr>
          <w:rFonts w:hint="eastAsia"/>
          <w:color w:val="auto"/>
          <w:highlight w:val="none"/>
        </w:rPr>
        <w:t>投标人具有易智瑞</w:t>
      </w:r>
      <w:r>
        <w:rPr>
          <w:color w:val="auto"/>
          <w:highlight w:val="none"/>
        </w:rPr>
        <w:t>GIS开发平台原厂或全国总代理项目授权</w:t>
      </w:r>
      <w:r>
        <w:rPr>
          <w:rFonts w:hint="eastAsia"/>
          <w:color w:val="auto"/>
          <w:highlight w:val="none"/>
        </w:rPr>
        <w:t>，</w:t>
      </w:r>
      <w:r>
        <w:rPr>
          <w:color w:val="auto"/>
          <w:highlight w:val="none"/>
        </w:rPr>
        <w:t>得5分</w:t>
      </w:r>
      <w:r>
        <w:rPr>
          <w:rFonts w:hint="eastAsia"/>
          <w:color w:val="auto"/>
          <w:highlight w:val="none"/>
        </w:rPr>
        <w:t>，没有不得分；满分5分</w:t>
      </w:r>
      <w:r>
        <w:rPr>
          <w:color w:val="auto"/>
          <w:highlight w:val="none"/>
        </w:rPr>
        <w:t>。（投标人需提供授权函原件）</w:t>
      </w:r>
    </w:p>
    <w:p>
      <w:pPr>
        <w:pStyle w:val="9"/>
        <w:tabs>
          <w:tab w:val="center" w:pos="4961"/>
        </w:tabs>
        <w:spacing w:line="360" w:lineRule="auto"/>
        <w:ind w:firstLine="422" w:firstLineChars="200"/>
        <w:rPr>
          <w:rFonts w:ascii="Times New Roman" w:hAnsi="Times New Roman" w:eastAsia="宋体"/>
          <w:b/>
          <w:color w:val="auto"/>
          <w:kern w:val="0"/>
          <w:szCs w:val="24"/>
          <w:highlight w:val="none"/>
        </w:rPr>
      </w:pPr>
      <w:r>
        <w:rPr>
          <w:rFonts w:ascii="Times New Roman" w:hAnsi="Times New Roman" w:eastAsia="宋体"/>
          <w:b/>
          <w:color w:val="auto"/>
          <w:kern w:val="0"/>
          <w:szCs w:val="24"/>
          <w:highlight w:val="none"/>
        </w:rPr>
        <w:t xml:space="preserve">投标人总得分＝1 + 2 + 3 </w:t>
      </w:r>
      <w:r>
        <w:rPr>
          <w:rFonts w:hint="eastAsia" w:ascii="Times New Roman" w:hAnsi="Times New Roman" w:eastAsia="宋体"/>
          <w:b/>
          <w:color w:val="auto"/>
          <w:kern w:val="0"/>
          <w:szCs w:val="24"/>
          <w:highlight w:val="none"/>
        </w:rPr>
        <w:t>+4+5</w:t>
      </w:r>
    </w:p>
    <w:p>
      <w:pPr>
        <w:pStyle w:val="5"/>
        <w:spacing w:line="360" w:lineRule="auto"/>
        <w:rPr>
          <w:rFonts w:ascii="Times New Roman" w:hAnsi="Times New Roman" w:cs="Times New Roman"/>
          <w:color w:val="auto"/>
          <w:highlight w:val="none"/>
        </w:rPr>
      </w:pPr>
      <w:r>
        <w:rPr>
          <w:rFonts w:ascii="Times New Roman" w:hAnsi="Times New Roman" w:cs="Times New Roman"/>
          <w:color w:val="auto"/>
          <w:highlight w:val="none"/>
        </w:rPr>
        <w:t>三、中标候选人推荐原则</w:t>
      </w:r>
    </w:p>
    <w:p>
      <w:pPr>
        <w:spacing w:line="360" w:lineRule="auto"/>
        <w:ind w:firstLine="420"/>
        <w:rPr>
          <w:rFonts w:eastAsiaTheme="minorEastAsia"/>
          <w:color w:val="auto"/>
          <w:highlight w:val="none"/>
        </w:rPr>
      </w:pPr>
      <w:r>
        <w:rPr>
          <w:rFonts w:eastAsiaTheme="minorEastAsia"/>
          <w:color w:val="auto"/>
          <w:highlight w:val="none"/>
        </w:rPr>
        <w:t>1.评标委员会按综合得分由高到低顺序推荐中标候选人，得分最高者作为第一中标候选人，得分次高者作为第二中标候选人，以此类推。如综合得分相同，按报价低者优先。若综合得分相同、报价相同，按</w:t>
      </w:r>
      <w:r>
        <w:rPr>
          <w:rFonts w:hint="eastAsia" w:eastAsiaTheme="minorEastAsia"/>
          <w:color w:val="auto"/>
          <w:highlight w:val="none"/>
        </w:rPr>
        <w:t>设计</w:t>
      </w:r>
      <w:r>
        <w:rPr>
          <w:rFonts w:eastAsiaTheme="minorEastAsia"/>
          <w:color w:val="auto"/>
          <w:highlight w:val="none"/>
        </w:rPr>
        <w:t>方案分高优先。若综合得分、报价、</w:t>
      </w:r>
      <w:r>
        <w:rPr>
          <w:rFonts w:hint="eastAsia" w:eastAsiaTheme="minorEastAsia"/>
          <w:color w:val="auto"/>
          <w:highlight w:val="none"/>
        </w:rPr>
        <w:t>设计</w:t>
      </w:r>
      <w:r>
        <w:rPr>
          <w:rFonts w:eastAsiaTheme="minorEastAsia"/>
          <w:color w:val="auto"/>
          <w:highlight w:val="none"/>
        </w:rPr>
        <w:t>方案分各项均相同时，则由评标委员会无记名投票推荐中标候选人，得票数最高的为第一中标候选人，得票数第二的为第二中标候选人，以此类推。</w:t>
      </w:r>
    </w:p>
    <w:p>
      <w:pPr>
        <w:spacing w:line="360" w:lineRule="auto"/>
        <w:ind w:firstLine="420"/>
        <w:rPr>
          <w:rFonts w:eastAsiaTheme="minorEastAsia"/>
          <w:color w:val="auto"/>
          <w:highlight w:val="none"/>
        </w:rPr>
      </w:pPr>
      <w:r>
        <w:rPr>
          <w:rFonts w:eastAsiaTheme="minorEastAsia"/>
          <w:color w:val="auto"/>
          <w:highlight w:val="none"/>
        </w:rPr>
        <w:t>2.采购人应当确定评标委员会推荐排名第一的中标候选人为中标人。</w:t>
      </w:r>
    </w:p>
    <w:p>
      <w:pPr>
        <w:spacing w:line="360" w:lineRule="auto"/>
        <w:ind w:firstLine="420"/>
        <w:rPr>
          <w:rFonts w:eastAsiaTheme="minorEastAsia"/>
          <w:color w:val="auto"/>
          <w:highlight w:val="none"/>
        </w:rPr>
      </w:pPr>
      <w:r>
        <w:rPr>
          <w:rFonts w:eastAsiaTheme="minorEastAsia"/>
          <w:color w:val="auto"/>
          <w:highlight w:val="none"/>
        </w:rPr>
        <w:t>3.排名第一的中标候选人放弃中标、因不可抗力提出不能履行合同，或者招标文件规定应当递交履约保证金而在规定的期限内未能递交的，采购人可以确定排名第二的中标候选人为中标人。</w:t>
      </w:r>
    </w:p>
    <w:p>
      <w:pPr>
        <w:spacing w:line="360" w:lineRule="auto"/>
        <w:ind w:firstLine="420"/>
        <w:rPr>
          <w:rFonts w:eastAsiaTheme="minorEastAsia"/>
          <w:color w:val="auto"/>
          <w:highlight w:val="none"/>
        </w:rPr>
      </w:pPr>
      <w:r>
        <w:rPr>
          <w:rFonts w:eastAsiaTheme="minorEastAsia"/>
          <w:color w:val="auto"/>
          <w:highlight w:val="none"/>
        </w:rPr>
        <w:t>4.排名第二的中标候选人因前款规定的同样原因不能签订合同的，采购人可以确定排名第三的中标候选人为中标人。</w:t>
      </w:r>
    </w:p>
    <w:p>
      <w:pPr>
        <w:pStyle w:val="5"/>
        <w:spacing w:line="360" w:lineRule="auto"/>
        <w:rPr>
          <w:rFonts w:ascii="Times New Roman" w:hAnsi="Times New Roman" w:cs="Times New Roman"/>
          <w:color w:val="auto"/>
          <w:highlight w:val="none"/>
        </w:rPr>
      </w:pPr>
      <w:r>
        <w:rPr>
          <w:rFonts w:ascii="Times New Roman" w:hAnsi="Times New Roman" w:cs="Times New Roman"/>
          <w:color w:val="auto"/>
          <w:highlight w:val="none"/>
        </w:rPr>
        <w:t>四、其他</w:t>
      </w:r>
    </w:p>
    <w:p>
      <w:pPr>
        <w:spacing w:line="360" w:lineRule="auto"/>
        <w:ind w:firstLine="420"/>
        <w:rPr>
          <w:color w:val="auto"/>
          <w:highlight w:val="none"/>
        </w:rPr>
      </w:pPr>
      <w:r>
        <w:rPr>
          <w:color w:val="auto"/>
          <w:highlight w:val="none"/>
        </w:rPr>
        <w:t>1.评标委员会应按招标文件公布的评标方法和标准进行评标，不得擅自更改招标文件的评标方法和标准。</w:t>
      </w:r>
    </w:p>
    <w:p>
      <w:pPr>
        <w:spacing w:line="360" w:lineRule="auto"/>
        <w:ind w:firstLine="420"/>
        <w:rPr>
          <w:color w:val="auto"/>
          <w:highlight w:val="none"/>
        </w:rPr>
      </w:pPr>
      <w:r>
        <w:rPr>
          <w:color w:val="auto"/>
          <w:highlight w:val="none"/>
        </w:rPr>
        <w:t>2.在评审过程中，评标委员会任何人不得对某个投标供应商发表任何倾向性意见，不得向其他专家评委明示或者暗示自己的评审意见。</w:t>
      </w:r>
    </w:p>
    <w:p>
      <w:pPr>
        <w:spacing w:line="360" w:lineRule="auto"/>
        <w:ind w:firstLine="420"/>
        <w:rPr>
          <w:rFonts w:eastAsiaTheme="minorEastAsia"/>
          <w:b/>
          <w:color w:val="auto"/>
          <w:szCs w:val="21"/>
          <w:highlight w:val="none"/>
        </w:rPr>
      </w:pPr>
      <w:r>
        <w:rPr>
          <w:color w:val="auto"/>
          <w:highlight w:val="none"/>
        </w:rPr>
        <w:t>3.采购代理机构或现场监督人员发现评标委员会有明显的违规倾向或歧视现象，或不按规定的评标方法和标准进行，或其他不正常行为的，应当及时制止和纠正。如制止无效，应及时向同级政府采购监督管理部门报告，由政府采购监督管理部门依照法律、法规章规作出处理。</w:t>
      </w:r>
    </w:p>
    <w:p>
      <w:pPr>
        <w:spacing w:line="360" w:lineRule="auto"/>
        <w:ind w:firstLine="420" w:firstLineChars="200"/>
        <w:rPr>
          <w:rFonts w:eastAsiaTheme="minorEastAsia"/>
          <w:color w:val="auto"/>
          <w:szCs w:val="21"/>
          <w:highlight w:val="none"/>
        </w:rPr>
        <w:sectPr>
          <w:pgSz w:w="11906" w:h="16838"/>
          <w:pgMar w:top="1418" w:right="1588" w:bottom="1418" w:left="1588" w:header="851" w:footer="992" w:gutter="0"/>
          <w:cols w:space="425" w:num="1"/>
          <w:docGrid w:type="lines" w:linePitch="312" w:charSpace="0"/>
        </w:sectPr>
      </w:pPr>
    </w:p>
    <w:p>
      <w:pPr>
        <w:pStyle w:val="4"/>
        <w:spacing w:after="312" w:line="360" w:lineRule="auto"/>
        <w:rPr>
          <w:color w:val="auto"/>
          <w:highlight w:val="none"/>
        </w:rPr>
      </w:pPr>
      <w:bookmarkStart w:id="41" w:name="_Toc503191184"/>
    </w:p>
    <w:p>
      <w:pPr>
        <w:pStyle w:val="4"/>
        <w:spacing w:after="312" w:line="360" w:lineRule="auto"/>
        <w:rPr>
          <w:color w:val="auto"/>
          <w:highlight w:val="none"/>
        </w:rPr>
      </w:pPr>
      <w:r>
        <w:rPr>
          <w:color w:val="auto"/>
          <w:highlight w:val="none"/>
        </w:rPr>
        <w:t>第</w:t>
      </w:r>
      <w:r>
        <w:rPr>
          <w:rFonts w:eastAsiaTheme="minorEastAsia"/>
          <w:color w:val="auto"/>
          <w:highlight w:val="none"/>
        </w:rPr>
        <w:t>五</w:t>
      </w:r>
      <w:r>
        <w:rPr>
          <w:color w:val="auto"/>
          <w:highlight w:val="none"/>
        </w:rPr>
        <w:t>章投标文件格式</w:t>
      </w:r>
      <w:bookmarkEnd w:id="41"/>
    </w:p>
    <w:p>
      <w:pPr>
        <w:spacing w:line="360" w:lineRule="auto"/>
        <w:ind w:firstLine="420" w:firstLineChars="200"/>
        <w:rPr>
          <w:rFonts w:eastAsiaTheme="minorEastAsia"/>
          <w:color w:val="auto"/>
          <w:szCs w:val="21"/>
          <w:highlight w:val="none"/>
        </w:rPr>
        <w:sectPr>
          <w:pgSz w:w="11906" w:h="16838"/>
          <w:pgMar w:top="1418" w:right="1588" w:bottom="1418" w:left="1588" w:header="851" w:footer="992" w:gutter="0"/>
          <w:cols w:space="425" w:num="1"/>
          <w:docGrid w:type="lines" w:linePitch="312" w:charSpace="0"/>
        </w:sectPr>
      </w:pPr>
    </w:p>
    <w:p>
      <w:pPr>
        <w:spacing w:line="360" w:lineRule="auto"/>
        <w:jc w:val="center"/>
        <w:rPr>
          <w:rFonts w:eastAsia="黑体"/>
          <w:color w:val="auto"/>
          <w:sz w:val="28"/>
          <w:szCs w:val="28"/>
          <w:highlight w:val="none"/>
        </w:rPr>
      </w:pPr>
      <w:bookmarkStart w:id="42" w:name="_TOC_250004"/>
      <w:bookmarkEnd w:id="42"/>
      <w:r>
        <w:rPr>
          <w:rFonts w:eastAsia="黑体"/>
          <w:color w:val="auto"/>
          <w:sz w:val="28"/>
          <w:szCs w:val="28"/>
          <w:highlight w:val="none"/>
        </w:rPr>
        <w:t>投标文件外层包装封面格式</w:t>
      </w:r>
    </w:p>
    <w:p>
      <w:pPr>
        <w:spacing w:line="360" w:lineRule="auto"/>
        <w:ind w:firstLine="420"/>
        <w:rPr>
          <w:color w:val="auto"/>
          <w:highlight w:val="none"/>
        </w:rPr>
      </w:pPr>
    </w:p>
    <w:p>
      <w:pPr>
        <w:spacing w:line="360" w:lineRule="auto"/>
        <w:ind w:firstLine="420"/>
        <w:rPr>
          <w:color w:val="auto"/>
          <w:highlight w:val="none"/>
        </w:rPr>
      </w:pPr>
    </w:p>
    <w:p>
      <w:pPr>
        <w:spacing w:line="360" w:lineRule="auto"/>
        <w:ind w:firstLine="420"/>
        <w:rPr>
          <w:color w:val="auto"/>
          <w:highlight w:val="none"/>
        </w:rPr>
      </w:pPr>
    </w:p>
    <w:p>
      <w:pPr>
        <w:spacing w:line="360" w:lineRule="auto"/>
        <w:ind w:firstLine="420"/>
        <w:rPr>
          <w:color w:val="auto"/>
          <w:highlight w:val="none"/>
        </w:rPr>
      </w:pPr>
    </w:p>
    <w:p>
      <w:pPr>
        <w:pStyle w:val="7"/>
        <w:spacing w:before="13" w:line="360" w:lineRule="auto"/>
        <w:ind w:firstLine="542"/>
        <w:rPr>
          <w:rFonts w:ascii="Times New Roman" w:hAnsi="Times New Roman" w:cs="Times New Roman"/>
          <w:b w:val="0"/>
          <w:color w:val="auto"/>
          <w:sz w:val="27"/>
          <w:highlight w:val="none"/>
        </w:rPr>
      </w:pPr>
    </w:p>
    <w:p>
      <w:pPr>
        <w:spacing w:before="56" w:line="360" w:lineRule="auto"/>
        <w:ind w:right="232"/>
        <w:jc w:val="center"/>
        <w:rPr>
          <w:color w:val="auto"/>
          <w:sz w:val="32"/>
          <w:highlight w:val="none"/>
        </w:rPr>
      </w:pPr>
      <w:r>
        <w:rPr>
          <w:color w:val="auto"/>
          <w:sz w:val="32"/>
          <w:highlight w:val="none"/>
        </w:rPr>
        <w:t>投 标 文 件</w:t>
      </w:r>
    </w:p>
    <w:p>
      <w:pPr>
        <w:pStyle w:val="7"/>
        <w:spacing w:line="360" w:lineRule="auto"/>
        <w:ind w:firstLine="400"/>
        <w:rPr>
          <w:rFonts w:ascii="Times New Roman" w:hAnsi="Times New Roman" w:cs="Times New Roman"/>
          <w:color w:val="auto"/>
          <w:sz w:val="20"/>
          <w:highlight w:val="none"/>
        </w:rPr>
      </w:pPr>
    </w:p>
    <w:p>
      <w:pPr>
        <w:pStyle w:val="7"/>
        <w:spacing w:line="360" w:lineRule="auto"/>
        <w:ind w:firstLine="400"/>
        <w:rPr>
          <w:rFonts w:ascii="Times New Roman" w:hAnsi="Times New Roman" w:cs="Times New Roman"/>
          <w:color w:val="auto"/>
          <w:sz w:val="20"/>
          <w:highlight w:val="none"/>
        </w:rPr>
      </w:pPr>
    </w:p>
    <w:p>
      <w:pPr>
        <w:pStyle w:val="7"/>
        <w:spacing w:line="360" w:lineRule="auto"/>
        <w:ind w:firstLine="400"/>
        <w:rPr>
          <w:rFonts w:ascii="Times New Roman" w:hAnsi="Times New Roman" w:cs="Times New Roman"/>
          <w:color w:val="auto"/>
          <w:sz w:val="20"/>
          <w:highlight w:val="none"/>
        </w:rPr>
      </w:pPr>
    </w:p>
    <w:p>
      <w:pPr>
        <w:pStyle w:val="7"/>
        <w:spacing w:line="360" w:lineRule="auto"/>
        <w:ind w:firstLine="400"/>
        <w:rPr>
          <w:rFonts w:ascii="Times New Roman" w:hAnsi="Times New Roman" w:cs="Times New Roman"/>
          <w:color w:val="auto"/>
          <w:sz w:val="20"/>
          <w:highlight w:val="none"/>
        </w:rPr>
      </w:pPr>
    </w:p>
    <w:p>
      <w:pPr>
        <w:pStyle w:val="7"/>
        <w:spacing w:line="360" w:lineRule="auto"/>
        <w:ind w:firstLine="400"/>
        <w:rPr>
          <w:rFonts w:ascii="Times New Roman" w:hAnsi="Times New Roman" w:cs="Times New Roman"/>
          <w:color w:val="auto"/>
          <w:sz w:val="20"/>
          <w:highlight w:val="none"/>
        </w:rPr>
      </w:pPr>
    </w:p>
    <w:p>
      <w:pPr>
        <w:pStyle w:val="7"/>
        <w:spacing w:before="9" w:line="360" w:lineRule="auto"/>
        <w:ind w:firstLine="580"/>
        <w:rPr>
          <w:rFonts w:ascii="Times New Roman" w:hAnsi="Times New Roman" w:cs="Times New Roman"/>
          <w:color w:val="auto"/>
          <w:sz w:val="29"/>
          <w:highlight w:val="none"/>
        </w:rPr>
      </w:pPr>
    </w:p>
    <w:p>
      <w:pPr>
        <w:spacing w:before="67" w:line="360" w:lineRule="auto"/>
        <w:ind w:left="652" w:firstLine="482"/>
        <w:rPr>
          <w:color w:val="auto"/>
          <w:sz w:val="25"/>
          <w:highlight w:val="none"/>
        </w:rPr>
      </w:pPr>
      <w:r>
        <w:rPr>
          <w:color w:val="auto"/>
          <w:sz w:val="24"/>
          <w:highlight w:val="none"/>
        </w:rPr>
        <w:t>采购项目名称：</w:t>
      </w:r>
    </w:p>
    <w:p>
      <w:pPr>
        <w:spacing w:before="1" w:line="360" w:lineRule="auto"/>
        <w:ind w:left="652" w:firstLine="482"/>
        <w:rPr>
          <w:color w:val="auto"/>
          <w:highlight w:val="none"/>
        </w:rPr>
      </w:pPr>
      <w:r>
        <w:rPr>
          <w:color w:val="auto"/>
          <w:sz w:val="24"/>
          <w:highlight w:val="none"/>
        </w:rPr>
        <w:t>项目编号：</w:t>
      </w:r>
    </w:p>
    <w:p>
      <w:pPr>
        <w:spacing w:line="360" w:lineRule="auto"/>
        <w:ind w:left="652" w:right="645" w:firstLine="482"/>
        <w:rPr>
          <w:color w:val="auto"/>
          <w:sz w:val="24"/>
          <w:highlight w:val="none"/>
        </w:rPr>
      </w:pPr>
      <w:r>
        <w:rPr>
          <w:color w:val="auto"/>
          <w:sz w:val="24"/>
          <w:highlight w:val="none"/>
        </w:rPr>
        <w:t>投标人名称：（盖公章）</w:t>
      </w:r>
    </w:p>
    <w:p>
      <w:pPr>
        <w:spacing w:before="6" w:line="360" w:lineRule="auto"/>
        <w:ind w:left="652" w:firstLine="482"/>
        <w:rPr>
          <w:color w:val="auto"/>
          <w:sz w:val="24"/>
          <w:highlight w:val="none"/>
          <w:u w:val="single"/>
        </w:rPr>
      </w:pPr>
      <w:r>
        <w:rPr>
          <w:color w:val="auto"/>
          <w:sz w:val="24"/>
          <w:highlight w:val="none"/>
        </w:rPr>
        <w:t>投标人地址：</w:t>
      </w:r>
    </w:p>
    <w:p>
      <w:pPr>
        <w:spacing w:before="6" w:line="360" w:lineRule="auto"/>
        <w:ind w:left="652" w:firstLine="480"/>
        <w:rPr>
          <w:color w:val="auto"/>
          <w:sz w:val="24"/>
          <w:highlight w:val="none"/>
        </w:rPr>
      </w:pPr>
    </w:p>
    <w:p>
      <w:pPr>
        <w:pStyle w:val="7"/>
        <w:spacing w:before="2" w:line="360" w:lineRule="auto"/>
        <w:ind w:firstLine="640"/>
        <w:rPr>
          <w:rFonts w:ascii="Times New Roman" w:hAnsi="Times New Roman" w:cs="Times New Roman"/>
          <w:color w:val="auto"/>
          <w:sz w:val="32"/>
          <w:highlight w:val="none"/>
        </w:rPr>
      </w:pPr>
    </w:p>
    <w:p>
      <w:pPr>
        <w:tabs>
          <w:tab w:val="left" w:pos="1132"/>
          <w:tab w:val="left" w:pos="1612"/>
          <w:tab w:val="left" w:pos="2092"/>
          <w:tab w:val="left" w:pos="2572"/>
          <w:tab w:val="left" w:pos="3052"/>
        </w:tabs>
        <w:spacing w:before="1" w:line="360" w:lineRule="auto"/>
        <w:ind w:left="652" w:firstLine="1560" w:firstLineChars="650"/>
        <w:rPr>
          <w:color w:val="auto"/>
          <w:sz w:val="24"/>
          <w:highlight w:val="none"/>
        </w:rPr>
      </w:pPr>
    </w:p>
    <w:p>
      <w:pPr>
        <w:tabs>
          <w:tab w:val="left" w:pos="1132"/>
          <w:tab w:val="left" w:pos="1612"/>
          <w:tab w:val="left" w:pos="2092"/>
          <w:tab w:val="left" w:pos="2572"/>
          <w:tab w:val="left" w:pos="3052"/>
        </w:tabs>
        <w:spacing w:before="1" w:line="360" w:lineRule="auto"/>
        <w:ind w:left="652" w:firstLine="1560" w:firstLineChars="650"/>
        <w:rPr>
          <w:color w:val="auto"/>
          <w:sz w:val="24"/>
          <w:highlight w:val="none"/>
        </w:rPr>
      </w:pPr>
      <w:r>
        <w:rPr>
          <w:color w:val="auto"/>
          <w:sz w:val="24"/>
          <w:highlight w:val="none"/>
        </w:rPr>
        <w:t>在  年</w:t>
      </w:r>
      <w:r>
        <w:rPr>
          <w:color w:val="auto"/>
          <w:sz w:val="24"/>
          <w:highlight w:val="none"/>
        </w:rPr>
        <w:tab/>
      </w:r>
      <w:r>
        <w:rPr>
          <w:color w:val="auto"/>
          <w:sz w:val="24"/>
          <w:highlight w:val="none"/>
        </w:rPr>
        <w:t>月</w:t>
      </w:r>
      <w:r>
        <w:rPr>
          <w:color w:val="auto"/>
          <w:sz w:val="24"/>
          <w:highlight w:val="none"/>
        </w:rPr>
        <w:tab/>
      </w:r>
      <w:r>
        <w:rPr>
          <w:color w:val="auto"/>
          <w:sz w:val="24"/>
          <w:highlight w:val="none"/>
        </w:rPr>
        <w:t xml:space="preserve"> 日</w:t>
      </w:r>
      <w:r>
        <w:rPr>
          <w:color w:val="auto"/>
          <w:sz w:val="24"/>
          <w:highlight w:val="none"/>
        </w:rPr>
        <w:tab/>
      </w:r>
      <w:r>
        <w:rPr>
          <w:color w:val="auto"/>
          <w:sz w:val="24"/>
          <w:highlight w:val="none"/>
        </w:rPr>
        <w:t xml:space="preserve"> 时</w:t>
      </w:r>
      <w:r>
        <w:rPr>
          <w:color w:val="auto"/>
          <w:sz w:val="24"/>
          <w:highlight w:val="none"/>
        </w:rPr>
        <w:tab/>
      </w:r>
      <w:r>
        <w:rPr>
          <w:color w:val="auto"/>
          <w:sz w:val="24"/>
          <w:highlight w:val="none"/>
        </w:rPr>
        <w:t xml:space="preserve"> 分之前不得启封</w:t>
      </w:r>
    </w:p>
    <w:p>
      <w:pPr>
        <w:pStyle w:val="7"/>
        <w:spacing w:line="360" w:lineRule="auto"/>
        <w:ind w:firstLine="480"/>
        <w:rPr>
          <w:rFonts w:ascii="Times New Roman" w:hAnsi="Times New Roman" w:cs="Times New Roman"/>
          <w:color w:val="auto"/>
          <w:highlight w:val="none"/>
        </w:rPr>
      </w:pPr>
    </w:p>
    <w:p>
      <w:pPr>
        <w:pStyle w:val="7"/>
        <w:spacing w:line="360" w:lineRule="auto"/>
        <w:ind w:firstLine="480"/>
        <w:rPr>
          <w:rFonts w:ascii="Times New Roman" w:hAnsi="Times New Roman" w:cs="Times New Roman"/>
          <w:color w:val="auto"/>
          <w:highlight w:val="none"/>
        </w:rPr>
      </w:pPr>
    </w:p>
    <w:p>
      <w:pPr>
        <w:pStyle w:val="7"/>
        <w:spacing w:line="360" w:lineRule="auto"/>
        <w:ind w:firstLine="480"/>
        <w:rPr>
          <w:rFonts w:ascii="Times New Roman" w:hAnsi="Times New Roman" w:cs="Times New Roman"/>
          <w:color w:val="auto"/>
          <w:highlight w:val="none"/>
        </w:rPr>
      </w:pPr>
    </w:p>
    <w:p>
      <w:pPr>
        <w:pStyle w:val="7"/>
        <w:spacing w:before="3" w:line="360" w:lineRule="auto"/>
        <w:ind w:firstLine="660"/>
        <w:rPr>
          <w:rFonts w:ascii="Times New Roman" w:hAnsi="Times New Roman" w:cs="Times New Roman"/>
          <w:color w:val="auto"/>
          <w:sz w:val="33"/>
          <w:highlight w:val="none"/>
        </w:rPr>
      </w:pPr>
    </w:p>
    <w:p>
      <w:pPr>
        <w:tabs>
          <w:tab w:val="left" w:pos="6609"/>
          <w:tab w:val="left" w:pos="7329"/>
        </w:tabs>
        <w:spacing w:line="360" w:lineRule="auto"/>
        <w:ind w:left="5889" w:firstLine="480"/>
        <w:rPr>
          <w:color w:val="auto"/>
          <w:sz w:val="24"/>
          <w:highlight w:val="none"/>
        </w:rPr>
      </w:pPr>
    </w:p>
    <w:p>
      <w:pPr>
        <w:tabs>
          <w:tab w:val="left" w:pos="6609"/>
          <w:tab w:val="left" w:pos="7329"/>
        </w:tabs>
        <w:spacing w:line="360" w:lineRule="auto"/>
        <w:ind w:left="5889" w:firstLine="480"/>
        <w:rPr>
          <w:color w:val="auto"/>
          <w:sz w:val="24"/>
          <w:highlight w:val="none"/>
        </w:rPr>
      </w:pPr>
    </w:p>
    <w:p>
      <w:pPr>
        <w:spacing w:line="360" w:lineRule="auto"/>
        <w:jc w:val="center"/>
        <w:rPr>
          <w:rFonts w:eastAsia="黑体"/>
          <w:color w:val="auto"/>
          <w:sz w:val="28"/>
          <w:szCs w:val="28"/>
          <w:highlight w:val="none"/>
        </w:rPr>
      </w:pPr>
      <w:r>
        <w:rPr>
          <w:rFonts w:eastAsia="黑体"/>
          <w:color w:val="auto"/>
          <w:sz w:val="28"/>
          <w:szCs w:val="28"/>
          <w:highlight w:val="none"/>
        </w:rPr>
        <w:t>投标文件封面格式</w:t>
      </w:r>
    </w:p>
    <w:p>
      <w:pPr>
        <w:spacing w:line="360" w:lineRule="auto"/>
        <w:ind w:firstLine="420"/>
        <w:rPr>
          <w:color w:val="auto"/>
          <w:highlight w:val="none"/>
        </w:rPr>
      </w:pPr>
    </w:p>
    <w:p>
      <w:pPr>
        <w:spacing w:line="360" w:lineRule="auto"/>
        <w:ind w:firstLine="420"/>
        <w:rPr>
          <w:color w:val="auto"/>
          <w:highlight w:val="none"/>
        </w:rPr>
      </w:pPr>
    </w:p>
    <w:p>
      <w:pPr>
        <w:spacing w:line="360" w:lineRule="auto"/>
        <w:ind w:firstLine="420"/>
        <w:rPr>
          <w:color w:val="auto"/>
          <w:highlight w:val="none"/>
        </w:rPr>
      </w:pPr>
    </w:p>
    <w:p>
      <w:pPr>
        <w:pStyle w:val="7"/>
        <w:spacing w:before="13" w:line="360" w:lineRule="auto"/>
        <w:ind w:firstLine="542"/>
        <w:rPr>
          <w:rFonts w:ascii="Times New Roman" w:hAnsi="Times New Roman" w:cs="Times New Roman"/>
          <w:b w:val="0"/>
          <w:color w:val="auto"/>
          <w:sz w:val="27"/>
          <w:highlight w:val="none"/>
        </w:rPr>
      </w:pPr>
    </w:p>
    <w:p>
      <w:pPr>
        <w:spacing w:before="56" w:line="360" w:lineRule="auto"/>
        <w:ind w:right="232"/>
        <w:jc w:val="center"/>
        <w:rPr>
          <w:color w:val="auto"/>
          <w:sz w:val="32"/>
          <w:highlight w:val="none"/>
        </w:rPr>
      </w:pPr>
      <w:r>
        <w:rPr>
          <w:color w:val="auto"/>
          <w:sz w:val="32"/>
          <w:highlight w:val="none"/>
        </w:rPr>
        <w:t>投 标 文 件</w:t>
      </w:r>
    </w:p>
    <w:p>
      <w:pPr>
        <w:pStyle w:val="7"/>
        <w:spacing w:line="360" w:lineRule="auto"/>
        <w:ind w:firstLine="400"/>
        <w:rPr>
          <w:rFonts w:ascii="Times New Roman" w:hAnsi="Times New Roman" w:cs="Times New Roman"/>
          <w:color w:val="auto"/>
          <w:sz w:val="20"/>
          <w:highlight w:val="none"/>
        </w:rPr>
      </w:pPr>
    </w:p>
    <w:p>
      <w:pPr>
        <w:pStyle w:val="7"/>
        <w:spacing w:line="360" w:lineRule="auto"/>
        <w:ind w:firstLine="400"/>
        <w:rPr>
          <w:rFonts w:ascii="Times New Roman" w:hAnsi="Times New Roman" w:cs="Times New Roman"/>
          <w:color w:val="auto"/>
          <w:sz w:val="20"/>
          <w:highlight w:val="none"/>
        </w:rPr>
      </w:pPr>
    </w:p>
    <w:p>
      <w:pPr>
        <w:pStyle w:val="7"/>
        <w:spacing w:line="360" w:lineRule="auto"/>
        <w:jc w:val="center"/>
        <w:rPr>
          <w:rFonts w:ascii="Times New Roman" w:hAnsi="Times New Roman" w:eastAsia="宋体" w:cs="Times New Roman"/>
          <w:b w:val="0"/>
          <w:color w:val="auto"/>
          <w:spacing w:val="0"/>
          <w:sz w:val="24"/>
          <w:szCs w:val="24"/>
          <w:highlight w:val="none"/>
          <w:lang w:val="en-US"/>
        </w:rPr>
      </w:pPr>
      <w:r>
        <w:rPr>
          <w:rFonts w:ascii="Times New Roman" w:hAnsi="Times New Roman" w:eastAsia="宋体" w:cs="Times New Roman"/>
          <w:b w:val="0"/>
          <w:color w:val="auto"/>
          <w:spacing w:val="0"/>
          <w:sz w:val="24"/>
          <w:szCs w:val="24"/>
          <w:highlight w:val="none"/>
          <w:lang w:val="en-US"/>
        </w:rPr>
        <w:t>（正本或副本）</w:t>
      </w:r>
    </w:p>
    <w:p>
      <w:pPr>
        <w:pStyle w:val="7"/>
        <w:spacing w:line="360" w:lineRule="auto"/>
        <w:ind w:firstLine="400"/>
        <w:rPr>
          <w:rFonts w:ascii="Times New Roman" w:hAnsi="Times New Roman" w:cs="Times New Roman"/>
          <w:color w:val="auto"/>
          <w:sz w:val="20"/>
          <w:highlight w:val="none"/>
        </w:rPr>
      </w:pPr>
    </w:p>
    <w:p>
      <w:pPr>
        <w:pStyle w:val="7"/>
        <w:spacing w:line="360" w:lineRule="auto"/>
        <w:ind w:firstLine="400"/>
        <w:rPr>
          <w:rFonts w:ascii="Times New Roman" w:hAnsi="Times New Roman" w:cs="Times New Roman"/>
          <w:color w:val="auto"/>
          <w:sz w:val="20"/>
          <w:highlight w:val="none"/>
        </w:rPr>
      </w:pPr>
    </w:p>
    <w:p>
      <w:pPr>
        <w:pStyle w:val="7"/>
        <w:spacing w:line="360" w:lineRule="auto"/>
        <w:ind w:firstLine="400"/>
        <w:rPr>
          <w:rFonts w:ascii="Times New Roman" w:hAnsi="Times New Roman" w:cs="Times New Roman"/>
          <w:color w:val="auto"/>
          <w:sz w:val="20"/>
          <w:highlight w:val="none"/>
        </w:rPr>
      </w:pPr>
    </w:p>
    <w:p>
      <w:pPr>
        <w:pStyle w:val="7"/>
        <w:spacing w:line="360" w:lineRule="auto"/>
        <w:ind w:firstLine="400"/>
        <w:rPr>
          <w:rFonts w:ascii="Times New Roman" w:hAnsi="Times New Roman" w:cs="Times New Roman"/>
          <w:color w:val="auto"/>
          <w:sz w:val="20"/>
          <w:highlight w:val="none"/>
        </w:rPr>
      </w:pPr>
    </w:p>
    <w:p>
      <w:pPr>
        <w:spacing w:before="67" w:line="360" w:lineRule="auto"/>
        <w:ind w:left="652" w:firstLine="480"/>
        <w:rPr>
          <w:color w:val="auto"/>
          <w:sz w:val="25"/>
          <w:highlight w:val="none"/>
        </w:rPr>
      </w:pPr>
      <w:r>
        <w:rPr>
          <w:color w:val="auto"/>
          <w:sz w:val="24"/>
          <w:highlight w:val="none"/>
        </w:rPr>
        <w:t>采购项目名称：</w:t>
      </w:r>
    </w:p>
    <w:p>
      <w:pPr>
        <w:spacing w:before="1" w:line="360" w:lineRule="auto"/>
        <w:ind w:left="652" w:firstLine="480"/>
        <w:rPr>
          <w:color w:val="auto"/>
          <w:sz w:val="29"/>
          <w:highlight w:val="none"/>
        </w:rPr>
      </w:pPr>
      <w:r>
        <w:rPr>
          <w:color w:val="auto"/>
          <w:sz w:val="24"/>
          <w:highlight w:val="none"/>
        </w:rPr>
        <w:t>项目编号：</w:t>
      </w:r>
    </w:p>
    <w:p>
      <w:pPr>
        <w:spacing w:line="360" w:lineRule="auto"/>
        <w:ind w:left="210" w:leftChars="100" w:right="645" w:firstLine="960" w:firstLineChars="400"/>
        <w:rPr>
          <w:color w:val="auto"/>
          <w:sz w:val="24"/>
          <w:highlight w:val="none"/>
        </w:rPr>
      </w:pPr>
      <w:r>
        <w:rPr>
          <w:color w:val="auto"/>
          <w:sz w:val="24"/>
          <w:highlight w:val="none"/>
        </w:rPr>
        <w:t>投标人名称： （盖公章）</w:t>
      </w:r>
    </w:p>
    <w:p>
      <w:pPr>
        <w:spacing w:line="360" w:lineRule="auto"/>
        <w:ind w:left="652" w:right="645" w:firstLine="480"/>
        <w:rPr>
          <w:color w:val="auto"/>
          <w:sz w:val="24"/>
          <w:highlight w:val="none"/>
          <w:u w:val="single"/>
        </w:rPr>
      </w:pPr>
      <w:r>
        <w:rPr>
          <w:color w:val="auto"/>
          <w:sz w:val="24"/>
          <w:highlight w:val="none"/>
        </w:rPr>
        <w:t>法定代表人或委托代理人（签字或盖章）：</w:t>
      </w:r>
    </w:p>
    <w:p>
      <w:pPr>
        <w:spacing w:before="6" w:line="360" w:lineRule="auto"/>
        <w:ind w:left="652" w:firstLine="480"/>
        <w:rPr>
          <w:color w:val="auto"/>
          <w:sz w:val="24"/>
          <w:highlight w:val="none"/>
          <w:u w:val="single"/>
        </w:rPr>
      </w:pPr>
      <w:r>
        <w:rPr>
          <w:color w:val="auto"/>
          <w:sz w:val="24"/>
          <w:highlight w:val="none"/>
        </w:rPr>
        <w:t>投标人地址：</w:t>
      </w:r>
    </w:p>
    <w:p>
      <w:pPr>
        <w:spacing w:before="6" w:line="360" w:lineRule="auto"/>
        <w:ind w:left="652" w:firstLine="480"/>
        <w:rPr>
          <w:color w:val="auto"/>
          <w:sz w:val="24"/>
          <w:highlight w:val="none"/>
        </w:rPr>
      </w:pPr>
    </w:p>
    <w:p>
      <w:pPr>
        <w:pStyle w:val="7"/>
        <w:spacing w:line="360" w:lineRule="auto"/>
        <w:ind w:firstLine="480"/>
        <w:rPr>
          <w:rFonts w:ascii="Times New Roman" w:hAnsi="Times New Roman" w:cs="Times New Roman"/>
          <w:color w:val="auto"/>
          <w:highlight w:val="none"/>
        </w:rPr>
      </w:pPr>
    </w:p>
    <w:p>
      <w:pPr>
        <w:pStyle w:val="7"/>
        <w:spacing w:line="360" w:lineRule="auto"/>
        <w:ind w:firstLine="480"/>
        <w:rPr>
          <w:rFonts w:ascii="Times New Roman" w:hAnsi="Times New Roman" w:cs="Times New Roman"/>
          <w:color w:val="auto"/>
          <w:highlight w:val="none"/>
        </w:rPr>
      </w:pPr>
    </w:p>
    <w:p>
      <w:pPr>
        <w:pStyle w:val="7"/>
        <w:spacing w:before="3" w:line="360" w:lineRule="auto"/>
        <w:ind w:firstLine="660"/>
        <w:rPr>
          <w:rFonts w:ascii="Times New Roman" w:hAnsi="Times New Roman" w:cs="Times New Roman"/>
          <w:color w:val="auto"/>
          <w:sz w:val="33"/>
          <w:highlight w:val="none"/>
        </w:rPr>
      </w:pPr>
    </w:p>
    <w:p>
      <w:pPr>
        <w:tabs>
          <w:tab w:val="left" w:pos="6609"/>
          <w:tab w:val="left" w:pos="7329"/>
        </w:tabs>
        <w:spacing w:line="360" w:lineRule="auto"/>
        <w:ind w:left="5889" w:firstLine="480"/>
        <w:rPr>
          <w:color w:val="auto"/>
          <w:highlight w:val="none"/>
        </w:rPr>
        <w:sectPr>
          <w:pgSz w:w="11906" w:h="16838"/>
          <w:pgMar w:top="1418" w:right="1588" w:bottom="1418" w:left="1588" w:header="851" w:footer="992" w:gutter="0"/>
          <w:cols w:space="425" w:num="1"/>
          <w:docGrid w:type="lines" w:linePitch="312" w:charSpace="0"/>
        </w:sectPr>
      </w:pPr>
      <w:r>
        <w:rPr>
          <w:color w:val="auto"/>
          <w:sz w:val="24"/>
          <w:highlight w:val="none"/>
        </w:rPr>
        <w:t>年</w:t>
      </w:r>
      <w:r>
        <w:rPr>
          <w:color w:val="auto"/>
          <w:sz w:val="24"/>
          <w:highlight w:val="none"/>
        </w:rPr>
        <w:tab/>
      </w:r>
      <w:r>
        <w:rPr>
          <w:color w:val="auto"/>
          <w:sz w:val="24"/>
          <w:highlight w:val="none"/>
        </w:rPr>
        <w:t>月</w:t>
      </w:r>
      <w:r>
        <w:rPr>
          <w:color w:val="auto"/>
          <w:sz w:val="24"/>
          <w:highlight w:val="none"/>
        </w:rPr>
        <w:tab/>
      </w:r>
    </w:p>
    <w:p>
      <w:pPr>
        <w:pStyle w:val="9"/>
        <w:spacing w:line="500" w:lineRule="exact"/>
        <w:jc w:val="center"/>
        <w:rPr>
          <w:b/>
          <w:bCs/>
          <w:color w:val="auto"/>
          <w:sz w:val="30"/>
          <w:szCs w:val="30"/>
          <w:highlight w:val="none"/>
        </w:rPr>
      </w:pPr>
      <w:bookmarkStart w:id="43" w:name="_Toc489970647"/>
      <w:bookmarkStart w:id="44" w:name="_Toc489970561"/>
      <w:bookmarkStart w:id="45" w:name="_Toc503191185"/>
      <w:r>
        <w:rPr>
          <w:rFonts w:hint="eastAsia"/>
          <w:b/>
          <w:bCs/>
          <w:color w:val="auto"/>
          <w:sz w:val="30"/>
          <w:szCs w:val="30"/>
          <w:highlight w:val="none"/>
        </w:rPr>
        <w:t>投标函（格式）</w:t>
      </w:r>
    </w:p>
    <w:p>
      <w:pPr>
        <w:pStyle w:val="9"/>
        <w:spacing w:line="440" w:lineRule="exact"/>
        <w:rPr>
          <w:color w:val="auto"/>
          <w:highlight w:val="none"/>
        </w:rPr>
      </w:pPr>
      <w:r>
        <w:rPr>
          <w:rFonts w:hint="eastAsia"/>
          <w:color w:val="auto"/>
          <w:highlight w:val="none"/>
        </w:rPr>
        <w:t>致：（采购代理机构名称）</w:t>
      </w:r>
    </w:p>
    <w:p>
      <w:pPr>
        <w:pStyle w:val="9"/>
        <w:spacing w:line="440" w:lineRule="exact"/>
        <w:ind w:firstLine="420" w:firstLineChars="200"/>
        <w:rPr>
          <w:color w:val="auto"/>
          <w:highlight w:val="none"/>
        </w:rPr>
      </w:pPr>
      <w:r>
        <w:rPr>
          <w:rFonts w:hint="eastAsia"/>
          <w:color w:val="auto"/>
          <w:highlight w:val="none"/>
        </w:rPr>
        <w:t>我方已仔细阅读了贵方组织的</w:t>
      </w:r>
      <w:r>
        <w:rPr>
          <w:rFonts w:hint="eastAsia"/>
          <w:color w:val="auto"/>
          <w:highlight w:val="none"/>
          <w:u w:val="single"/>
        </w:rPr>
        <w:t xml:space="preserve">         </w:t>
      </w:r>
      <w:r>
        <w:rPr>
          <w:rFonts w:hint="eastAsia"/>
          <w:color w:val="auto"/>
          <w:highlight w:val="none"/>
        </w:rPr>
        <w:t>项目（项目编号：</w:t>
      </w:r>
      <w:r>
        <w:rPr>
          <w:rFonts w:hint="eastAsia"/>
          <w:color w:val="auto"/>
          <w:highlight w:val="none"/>
          <w:u w:val="single"/>
        </w:rPr>
        <w:t xml:space="preserve">  </w:t>
      </w:r>
      <w:r>
        <w:rPr>
          <w:rFonts w:hint="eastAsia"/>
          <w:color w:val="auto"/>
          <w:highlight w:val="none"/>
        </w:rPr>
        <w:t>）的招标文件的全部内容，现正式递交下述文件参加贵方组织的本次政府采购活动：</w:t>
      </w:r>
      <w:r>
        <w:rPr>
          <w:color w:val="auto"/>
          <w:highlight w:val="none"/>
        </w:rPr>
        <w:t xml:space="preserve"> </w:t>
      </w:r>
    </w:p>
    <w:p>
      <w:pPr>
        <w:pStyle w:val="9"/>
        <w:spacing w:line="440" w:lineRule="exact"/>
        <w:ind w:firstLine="420" w:firstLineChars="200"/>
        <w:rPr>
          <w:color w:val="auto"/>
          <w:highlight w:val="none"/>
        </w:rPr>
      </w:pPr>
      <w:r>
        <w:rPr>
          <w:rFonts w:hint="eastAsia"/>
          <w:color w:val="auto"/>
          <w:highlight w:val="none"/>
        </w:rPr>
        <w:t>一、投标文件正本一份，副本</w:t>
      </w:r>
      <w:r>
        <w:rPr>
          <w:rFonts w:hint="eastAsia"/>
          <w:color w:val="auto"/>
          <w:highlight w:val="none"/>
          <w:u w:val="single"/>
        </w:rPr>
        <w:t xml:space="preserve">   </w:t>
      </w:r>
      <w:r>
        <w:rPr>
          <w:rFonts w:hint="eastAsia"/>
          <w:color w:val="auto"/>
          <w:highlight w:val="none"/>
        </w:rPr>
        <w:t>份（包含按投标人须知第10.1项要求提交的全部文件）。</w:t>
      </w:r>
    </w:p>
    <w:p>
      <w:pPr>
        <w:pStyle w:val="9"/>
        <w:spacing w:line="440" w:lineRule="exact"/>
        <w:ind w:firstLine="482"/>
        <w:rPr>
          <w:color w:val="auto"/>
          <w:highlight w:val="none"/>
        </w:rPr>
      </w:pPr>
      <w:r>
        <w:rPr>
          <w:rFonts w:hint="eastAsia"/>
          <w:color w:val="auto"/>
          <w:highlight w:val="none"/>
        </w:rPr>
        <w:t>据此函，签字人兹宣布：</w:t>
      </w:r>
    </w:p>
    <w:p>
      <w:pPr>
        <w:pStyle w:val="9"/>
        <w:spacing w:line="440" w:lineRule="exact"/>
        <w:ind w:firstLine="482"/>
        <w:rPr>
          <w:color w:val="auto"/>
          <w:highlight w:val="none"/>
        </w:rPr>
      </w:pPr>
      <w:r>
        <w:rPr>
          <w:color w:val="auto"/>
          <w:highlight w:val="none"/>
        </w:rPr>
        <w:t>1</w:t>
      </w:r>
      <w:r>
        <w:rPr>
          <w:rFonts w:hint="eastAsia"/>
          <w:color w:val="auto"/>
          <w:highlight w:val="none"/>
        </w:rPr>
        <w:t>、我方愿意以（大写）</w:t>
      </w:r>
      <w:r>
        <w:rPr>
          <w:rFonts w:hint="eastAsia"/>
          <w:color w:val="auto"/>
          <w:highlight w:val="none"/>
          <w:u w:val="single"/>
        </w:rPr>
        <w:t xml:space="preserve">       </w:t>
      </w:r>
      <w:r>
        <w:rPr>
          <w:rFonts w:hint="eastAsia"/>
          <w:color w:val="auto"/>
          <w:highlight w:val="none"/>
        </w:rPr>
        <w:t xml:space="preserve"> （小写</w:t>
      </w:r>
      <w:r>
        <w:rPr>
          <w:rFonts w:hint="eastAsia"/>
          <w:color w:val="auto"/>
          <w:highlight w:val="none"/>
          <w:u w:val="single"/>
        </w:rPr>
        <w:t xml:space="preserve">     </w:t>
      </w:r>
      <w:r>
        <w:rPr>
          <w:color w:val="auto"/>
          <w:highlight w:val="none"/>
        </w:rPr>
        <w:t>)</w:t>
      </w:r>
      <w:r>
        <w:rPr>
          <w:rFonts w:hint="eastAsia"/>
          <w:color w:val="auto"/>
          <w:highlight w:val="none"/>
        </w:rPr>
        <w:t>的投标总报价，</w:t>
      </w:r>
      <w:r>
        <w:rPr>
          <w:rFonts w:hint="eastAsia" w:cs="宋体"/>
          <w:color w:val="auto"/>
          <w:szCs w:val="21"/>
          <w:highlight w:val="none"/>
        </w:rPr>
        <w:t>服务成果</w:t>
      </w:r>
      <w:r>
        <w:rPr>
          <w:rFonts w:hint="eastAsia"/>
          <w:color w:val="auto"/>
          <w:szCs w:val="21"/>
          <w:highlight w:val="none"/>
        </w:rPr>
        <w:t>交付使用时间</w:t>
      </w:r>
      <w:r>
        <w:rPr>
          <w:rFonts w:hint="eastAsia"/>
          <w:color w:val="auto"/>
          <w:highlight w:val="none"/>
        </w:rPr>
        <w:t xml:space="preserve"> </w:t>
      </w:r>
      <w:r>
        <w:rPr>
          <w:rFonts w:hint="eastAsia"/>
          <w:color w:val="auto"/>
          <w:highlight w:val="none"/>
          <w:u w:val="single"/>
        </w:rPr>
        <w:t xml:space="preserve">     </w:t>
      </w:r>
      <w:r>
        <w:rPr>
          <w:rFonts w:hint="eastAsia"/>
          <w:color w:val="auto"/>
          <w:highlight w:val="none"/>
        </w:rPr>
        <w:t>。</w:t>
      </w:r>
    </w:p>
    <w:p>
      <w:pPr>
        <w:pStyle w:val="9"/>
        <w:spacing w:line="440" w:lineRule="exact"/>
        <w:ind w:firstLine="482"/>
        <w:rPr>
          <w:color w:val="auto"/>
          <w:highlight w:val="none"/>
        </w:rPr>
      </w:pPr>
      <w:r>
        <w:rPr>
          <w:color w:val="auto"/>
          <w:highlight w:val="none"/>
        </w:rPr>
        <w:t>2</w:t>
      </w:r>
      <w:r>
        <w:rPr>
          <w:rFonts w:hint="eastAsia"/>
          <w:color w:val="auto"/>
          <w:highlight w:val="none"/>
        </w:rPr>
        <w:t>、我方同意自本项目招标文件“投标人须知”第</w:t>
      </w:r>
      <w:r>
        <w:rPr>
          <w:color w:val="auto"/>
          <w:highlight w:val="none"/>
        </w:rPr>
        <w:t>15.1</w:t>
      </w:r>
      <w:r>
        <w:rPr>
          <w:rFonts w:hint="eastAsia"/>
          <w:color w:val="auto"/>
          <w:highlight w:val="none"/>
        </w:rPr>
        <w:t>项规定的递交投标文件截止时间起遵循本投标函，并承诺在“投标人须知”第</w:t>
      </w:r>
      <w:r>
        <w:rPr>
          <w:color w:val="auto"/>
          <w:highlight w:val="none"/>
        </w:rPr>
        <w:t>12.1</w:t>
      </w:r>
      <w:r>
        <w:rPr>
          <w:rFonts w:hint="eastAsia"/>
          <w:color w:val="auto"/>
          <w:highlight w:val="none"/>
        </w:rPr>
        <w:t>项规定的投标有效期内不修改、撤销投标文件。</w:t>
      </w:r>
    </w:p>
    <w:p>
      <w:pPr>
        <w:pStyle w:val="9"/>
        <w:spacing w:line="440" w:lineRule="exact"/>
        <w:ind w:firstLine="482"/>
        <w:rPr>
          <w:color w:val="auto"/>
          <w:highlight w:val="none"/>
        </w:rPr>
      </w:pPr>
      <w:r>
        <w:rPr>
          <w:color w:val="auto"/>
          <w:highlight w:val="none"/>
        </w:rPr>
        <w:t>3</w:t>
      </w:r>
      <w:r>
        <w:rPr>
          <w:rFonts w:hint="eastAsia"/>
          <w:color w:val="auto"/>
          <w:highlight w:val="none"/>
        </w:rPr>
        <w:t>、我方在此声明，所递交的投标文件及有关资料内容完整、真实和准确。</w:t>
      </w:r>
    </w:p>
    <w:p>
      <w:pPr>
        <w:pStyle w:val="9"/>
        <w:spacing w:line="440" w:lineRule="exact"/>
        <w:ind w:firstLine="482"/>
        <w:rPr>
          <w:color w:val="auto"/>
          <w:highlight w:val="none"/>
        </w:rPr>
      </w:pPr>
      <w:r>
        <w:rPr>
          <w:color w:val="auto"/>
          <w:highlight w:val="none"/>
        </w:rPr>
        <w:t>4</w:t>
      </w:r>
      <w:r>
        <w:rPr>
          <w:rFonts w:hint="eastAsia"/>
          <w:color w:val="auto"/>
          <w:highlight w:val="none"/>
        </w:rPr>
        <w:t>、</w:t>
      </w:r>
      <w:r>
        <w:rPr>
          <w:rFonts w:hint="eastAsia"/>
          <w:color w:val="auto"/>
          <w:szCs w:val="21"/>
          <w:highlight w:val="none"/>
        </w:rPr>
        <w:t>如本项目采购内容涉及须符合国家强制规定的，我方承诺我方本次投标均符合国家有关强制规定。</w:t>
      </w:r>
    </w:p>
    <w:p>
      <w:pPr>
        <w:pStyle w:val="9"/>
        <w:spacing w:line="440" w:lineRule="exact"/>
        <w:ind w:firstLine="482"/>
        <w:rPr>
          <w:color w:val="auto"/>
          <w:highlight w:val="none"/>
        </w:rPr>
      </w:pPr>
      <w:r>
        <w:rPr>
          <w:color w:val="auto"/>
          <w:highlight w:val="none"/>
        </w:rPr>
        <w:t>5</w:t>
      </w:r>
      <w:r>
        <w:rPr>
          <w:rFonts w:hint="eastAsia"/>
          <w:color w:val="auto"/>
          <w:highlight w:val="none"/>
        </w:rPr>
        <w:t>、我方承诺已经具备《中华人民共和国政府采购法》中规定的参加政府采购活动的投标人</w:t>
      </w:r>
      <w:r>
        <w:rPr>
          <w:rFonts w:hint="eastAsia"/>
          <w:color w:val="auto"/>
          <w:highlight w:val="none"/>
        </w:rPr>
        <w:tab/>
      </w:r>
      <w:r>
        <w:rPr>
          <w:rFonts w:hint="eastAsia"/>
          <w:color w:val="auto"/>
          <w:highlight w:val="none"/>
        </w:rPr>
        <w:t xml:space="preserve"> 应当具备的条件：</w:t>
      </w:r>
    </w:p>
    <w:p>
      <w:pPr>
        <w:pStyle w:val="9"/>
        <w:numPr>
          <w:ilvl w:val="0"/>
          <w:numId w:val="2"/>
        </w:numPr>
        <w:tabs>
          <w:tab w:val="left" w:pos="945"/>
        </w:tabs>
        <w:spacing w:line="440" w:lineRule="exact"/>
        <w:rPr>
          <w:color w:val="auto"/>
          <w:highlight w:val="none"/>
        </w:rPr>
      </w:pPr>
      <w:r>
        <w:rPr>
          <w:rFonts w:hint="eastAsia"/>
          <w:color w:val="auto"/>
          <w:highlight w:val="none"/>
        </w:rPr>
        <w:t>具有独立承担民事责任的能力；</w:t>
      </w:r>
    </w:p>
    <w:p>
      <w:pPr>
        <w:pStyle w:val="9"/>
        <w:numPr>
          <w:ilvl w:val="0"/>
          <w:numId w:val="2"/>
        </w:numPr>
        <w:tabs>
          <w:tab w:val="left" w:pos="945"/>
        </w:tabs>
        <w:spacing w:line="440" w:lineRule="exact"/>
        <w:rPr>
          <w:color w:val="auto"/>
          <w:highlight w:val="none"/>
        </w:rPr>
      </w:pPr>
      <w:r>
        <w:rPr>
          <w:rFonts w:hint="eastAsia"/>
          <w:color w:val="auto"/>
          <w:highlight w:val="none"/>
        </w:rPr>
        <w:t>具有良好的商业信誉和健全的财务会计制度；</w:t>
      </w:r>
    </w:p>
    <w:p>
      <w:pPr>
        <w:pStyle w:val="9"/>
        <w:numPr>
          <w:ilvl w:val="0"/>
          <w:numId w:val="2"/>
        </w:numPr>
        <w:tabs>
          <w:tab w:val="left" w:pos="945"/>
        </w:tabs>
        <w:spacing w:line="440" w:lineRule="exact"/>
        <w:rPr>
          <w:color w:val="auto"/>
          <w:highlight w:val="none"/>
        </w:rPr>
      </w:pPr>
      <w:r>
        <w:rPr>
          <w:rFonts w:hint="eastAsia"/>
          <w:color w:val="auto"/>
          <w:highlight w:val="none"/>
        </w:rPr>
        <w:t>具有履行合同所必需的设备和专业技术能力；</w:t>
      </w:r>
    </w:p>
    <w:p>
      <w:pPr>
        <w:pStyle w:val="9"/>
        <w:numPr>
          <w:ilvl w:val="0"/>
          <w:numId w:val="2"/>
        </w:numPr>
        <w:tabs>
          <w:tab w:val="left" w:pos="945"/>
        </w:tabs>
        <w:spacing w:line="440" w:lineRule="exact"/>
        <w:rPr>
          <w:color w:val="auto"/>
          <w:highlight w:val="none"/>
        </w:rPr>
      </w:pPr>
      <w:r>
        <w:rPr>
          <w:rFonts w:hint="eastAsia"/>
          <w:color w:val="auto"/>
          <w:highlight w:val="none"/>
        </w:rPr>
        <w:t>有依法缴纳税收和社会保障资金的良好记录；</w:t>
      </w:r>
    </w:p>
    <w:p>
      <w:pPr>
        <w:pStyle w:val="9"/>
        <w:numPr>
          <w:ilvl w:val="0"/>
          <w:numId w:val="2"/>
        </w:numPr>
        <w:tabs>
          <w:tab w:val="left" w:pos="945"/>
        </w:tabs>
        <w:spacing w:line="440" w:lineRule="exact"/>
        <w:rPr>
          <w:color w:val="auto"/>
          <w:highlight w:val="none"/>
        </w:rPr>
      </w:pPr>
      <w:r>
        <w:rPr>
          <w:rFonts w:hint="eastAsia"/>
          <w:color w:val="auto"/>
          <w:highlight w:val="none"/>
        </w:rPr>
        <w:t>参加政府采购活动前三年内，在经营活动中没有重大违法记录；</w:t>
      </w:r>
    </w:p>
    <w:p>
      <w:pPr>
        <w:pStyle w:val="9"/>
        <w:numPr>
          <w:ilvl w:val="0"/>
          <w:numId w:val="2"/>
        </w:numPr>
        <w:tabs>
          <w:tab w:val="left" w:pos="945"/>
        </w:tabs>
        <w:spacing w:line="440" w:lineRule="exact"/>
        <w:rPr>
          <w:color w:val="auto"/>
          <w:highlight w:val="none"/>
        </w:rPr>
      </w:pPr>
      <w:r>
        <w:rPr>
          <w:rFonts w:hint="eastAsia"/>
          <w:color w:val="auto"/>
          <w:highlight w:val="none"/>
        </w:rPr>
        <w:t>法律、行政法规规定的其他条件。</w:t>
      </w:r>
    </w:p>
    <w:p>
      <w:pPr>
        <w:pStyle w:val="9"/>
        <w:spacing w:line="440" w:lineRule="exact"/>
        <w:ind w:firstLine="482"/>
        <w:rPr>
          <w:color w:val="auto"/>
          <w:highlight w:val="none"/>
        </w:rPr>
      </w:pPr>
      <w:r>
        <w:rPr>
          <w:color w:val="auto"/>
          <w:highlight w:val="none"/>
        </w:rPr>
        <w:t>6</w:t>
      </w:r>
      <w:r>
        <w:rPr>
          <w:rFonts w:hint="eastAsia"/>
          <w:color w:val="auto"/>
          <w:highlight w:val="none"/>
        </w:rPr>
        <w:t>、如我方中标，我方承诺在收到中标通知书后，在中标通知书规定的期限内，根据招标文件、我方的投标文件及有关澄清承诺书的要求按第六章“合同条款及格式”与采购人订立书面合同，并按照合同约定承担完成合同的责任和义务。</w:t>
      </w:r>
    </w:p>
    <w:p>
      <w:pPr>
        <w:pStyle w:val="9"/>
        <w:spacing w:line="440" w:lineRule="exact"/>
        <w:ind w:firstLine="482"/>
        <w:rPr>
          <w:color w:val="auto"/>
          <w:highlight w:val="none"/>
        </w:rPr>
      </w:pPr>
      <w:r>
        <w:rPr>
          <w:color w:val="auto"/>
          <w:highlight w:val="none"/>
        </w:rPr>
        <w:t>7</w:t>
      </w:r>
      <w:r>
        <w:rPr>
          <w:rFonts w:hint="eastAsia"/>
          <w:color w:val="auto"/>
          <w:highlight w:val="none"/>
        </w:rPr>
        <w:t>、我方已详细审核招标文件，我方知道必须放弃提出含糊不清或误解问题的权利。</w:t>
      </w:r>
    </w:p>
    <w:p>
      <w:pPr>
        <w:pStyle w:val="9"/>
        <w:spacing w:line="440" w:lineRule="exact"/>
        <w:ind w:firstLine="482"/>
        <w:rPr>
          <w:color w:val="auto"/>
          <w:highlight w:val="none"/>
        </w:rPr>
      </w:pPr>
      <w:r>
        <w:rPr>
          <w:color w:val="auto"/>
          <w:highlight w:val="none"/>
        </w:rPr>
        <w:t>8</w:t>
      </w:r>
      <w:r>
        <w:rPr>
          <w:rFonts w:hint="eastAsia"/>
          <w:color w:val="auto"/>
          <w:highlight w:val="none"/>
        </w:rPr>
        <w:t>、我方承诺满足招标文件第六章“合同条款及格式”中的条款，承担完成合同的责任和义务。</w:t>
      </w:r>
    </w:p>
    <w:p>
      <w:pPr>
        <w:pStyle w:val="9"/>
        <w:spacing w:line="440" w:lineRule="exact"/>
        <w:ind w:firstLine="482"/>
        <w:rPr>
          <w:color w:val="auto"/>
          <w:highlight w:val="none"/>
        </w:rPr>
      </w:pPr>
      <w:r>
        <w:rPr>
          <w:rFonts w:hint="eastAsia"/>
          <w:color w:val="auto"/>
          <w:highlight w:val="none"/>
        </w:rPr>
        <w:t>9、我方同意应贵方要求提供与本投标有关的任何数据或资料。若贵方需要，我方愿意提供我方作出的一切承诺的证明材料。</w:t>
      </w:r>
    </w:p>
    <w:p>
      <w:pPr>
        <w:pStyle w:val="9"/>
        <w:spacing w:line="440" w:lineRule="exact"/>
        <w:ind w:firstLine="482"/>
        <w:rPr>
          <w:color w:val="auto"/>
          <w:highlight w:val="none"/>
        </w:rPr>
      </w:pPr>
      <w:r>
        <w:rPr>
          <w:rFonts w:hint="eastAsia"/>
          <w:color w:val="auto"/>
          <w:highlight w:val="none"/>
        </w:rPr>
        <w:t>10、我方完全理解贵方不一定接受投标报价最低的投标人为中标人的行为。</w:t>
      </w:r>
    </w:p>
    <w:p>
      <w:pPr>
        <w:pStyle w:val="9"/>
        <w:spacing w:line="440" w:lineRule="exact"/>
        <w:ind w:firstLine="482"/>
        <w:rPr>
          <w:color w:val="auto"/>
          <w:highlight w:val="none"/>
        </w:rPr>
      </w:pPr>
      <w:r>
        <w:rPr>
          <w:color w:val="auto"/>
          <w:highlight w:val="none"/>
        </w:rPr>
        <w:t>1</w:t>
      </w:r>
      <w:r>
        <w:rPr>
          <w:rFonts w:hint="eastAsia"/>
          <w:color w:val="auto"/>
          <w:highlight w:val="none"/>
        </w:rPr>
        <w:t>1、我方将严格遵守《中华人民共和国政府采购法》第七十七条的规定，即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9"/>
        <w:numPr>
          <w:ilvl w:val="0"/>
          <w:numId w:val="3"/>
        </w:numPr>
        <w:tabs>
          <w:tab w:val="left" w:pos="945"/>
        </w:tabs>
        <w:spacing w:line="440" w:lineRule="exact"/>
        <w:rPr>
          <w:color w:val="auto"/>
          <w:highlight w:val="none"/>
        </w:rPr>
      </w:pPr>
      <w:r>
        <w:rPr>
          <w:rFonts w:hint="eastAsia"/>
          <w:color w:val="auto"/>
          <w:highlight w:val="none"/>
        </w:rPr>
        <w:t>提供虚假材料谋取中标、成交的；</w:t>
      </w:r>
    </w:p>
    <w:p>
      <w:pPr>
        <w:pStyle w:val="9"/>
        <w:numPr>
          <w:ilvl w:val="0"/>
          <w:numId w:val="3"/>
        </w:numPr>
        <w:tabs>
          <w:tab w:val="left" w:pos="945"/>
        </w:tabs>
        <w:spacing w:line="440" w:lineRule="exact"/>
        <w:rPr>
          <w:color w:val="auto"/>
          <w:highlight w:val="none"/>
        </w:rPr>
      </w:pPr>
      <w:r>
        <w:rPr>
          <w:rFonts w:hint="eastAsia"/>
          <w:color w:val="auto"/>
          <w:highlight w:val="none"/>
        </w:rPr>
        <w:t>采取不正当手段诋毁、排挤其他投标人的；</w:t>
      </w:r>
    </w:p>
    <w:p>
      <w:pPr>
        <w:pStyle w:val="9"/>
        <w:numPr>
          <w:ilvl w:val="0"/>
          <w:numId w:val="3"/>
        </w:numPr>
        <w:tabs>
          <w:tab w:val="left" w:pos="945"/>
        </w:tabs>
        <w:spacing w:line="440" w:lineRule="exact"/>
        <w:rPr>
          <w:color w:val="auto"/>
          <w:highlight w:val="none"/>
        </w:rPr>
      </w:pPr>
      <w:r>
        <w:rPr>
          <w:rFonts w:hint="eastAsia"/>
          <w:color w:val="auto"/>
          <w:highlight w:val="none"/>
        </w:rPr>
        <w:t>与采购人、其他投标人或者采购代理机构恶意串通的；</w:t>
      </w:r>
    </w:p>
    <w:p>
      <w:pPr>
        <w:pStyle w:val="9"/>
        <w:numPr>
          <w:ilvl w:val="0"/>
          <w:numId w:val="3"/>
        </w:numPr>
        <w:tabs>
          <w:tab w:val="left" w:pos="945"/>
        </w:tabs>
        <w:spacing w:line="440" w:lineRule="exact"/>
        <w:rPr>
          <w:color w:val="auto"/>
          <w:highlight w:val="none"/>
        </w:rPr>
      </w:pPr>
      <w:r>
        <w:rPr>
          <w:rFonts w:hint="eastAsia"/>
          <w:color w:val="auto"/>
          <w:highlight w:val="none"/>
        </w:rPr>
        <w:t>向采购人、采购代理机构行贿或者提供其他不正当利益的；</w:t>
      </w:r>
    </w:p>
    <w:p>
      <w:pPr>
        <w:pStyle w:val="9"/>
        <w:numPr>
          <w:ilvl w:val="0"/>
          <w:numId w:val="3"/>
        </w:numPr>
        <w:tabs>
          <w:tab w:val="left" w:pos="945"/>
        </w:tabs>
        <w:spacing w:line="440" w:lineRule="exact"/>
        <w:rPr>
          <w:color w:val="auto"/>
          <w:highlight w:val="none"/>
        </w:rPr>
      </w:pPr>
      <w:r>
        <w:rPr>
          <w:rFonts w:hint="eastAsia"/>
          <w:color w:val="auto"/>
          <w:highlight w:val="none"/>
        </w:rPr>
        <w:t>在采购过程中与采购人进行协商谈判的；</w:t>
      </w:r>
    </w:p>
    <w:p>
      <w:pPr>
        <w:pStyle w:val="9"/>
        <w:numPr>
          <w:ilvl w:val="0"/>
          <w:numId w:val="3"/>
        </w:numPr>
        <w:tabs>
          <w:tab w:val="left" w:pos="945"/>
        </w:tabs>
        <w:spacing w:line="440" w:lineRule="exact"/>
        <w:rPr>
          <w:color w:val="auto"/>
          <w:highlight w:val="none"/>
        </w:rPr>
      </w:pPr>
      <w:r>
        <w:rPr>
          <w:rFonts w:hint="eastAsia"/>
          <w:color w:val="auto"/>
          <w:highlight w:val="none"/>
        </w:rPr>
        <w:t>拒绝有关部门监督检查或提供虚假情况的。</w:t>
      </w:r>
    </w:p>
    <w:p>
      <w:pPr>
        <w:pStyle w:val="9"/>
        <w:spacing w:line="360" w:lineRule="auto"/>
        <w:ind w:firstLine="420"/>
        <w:rPr>
          <w:color w:val="auto"/>
          <w:highlight w:val="none"/>
        </w:rPr>
      </w:pPr>
    </w:p>
    <w:p>
      <w:pPr>
        <w:pStyle w:val="9"/>
        <w:spacing w:line="360" w:lineRule="auto"/>
        <w:ind w:firstLine="420"/>
        <w:rPr>
          <w:color w:val="auto"/>
          <w:highlight w:val="none"/>
          <w:u w:val="single"/>
        </w:rPr>
      </w:pPr>
      <w:r>
        <w:rPr>
          <w:rFonts w:hint="eastAsia"/>
          <w:color w:val="auto"/>
          <w:highlight w:val="none"/>
        </w:rPr>
        <w:t>投标人：（盖单位公章）</w:t>
      </w:r>
    </w:p>
    <w:p>
      <w:pPr>
        <w:pStyle w:val="9"/>
        <w:spacing w:line="360" w:lineRule="auto"/>
        <w:ind w:firstLine="420"/>
        <w:rPr>
          <w:color w:val="auto"/>
          <w:highlight w:val="none"/>
        </w:rPr>
      </w:pPr>
      <w:r>
        <w:rPr>
          <w:rFonts w:hint="eastAsia"/>
          <w:color w:val="auto"/>
          <w:highlight w:val="none"/>
        </w:rPr>
        <w:t>法定代表人或其委托代理人：（签字或盖章）</w:t>
      </w:r>
    </w:p>
    <w:p>
      <w:pPr>
        <w:pStyle w:val="9"/>
        <w:spacing w:line="360" w:lineRule="auto"/>
        <w:ind w:firstLine="420"/>
        <w:rPr>
          <w:color w:val="auto"/>
          <w:highlight w:val="none"/>
        </w:rPr>
      </w:pPr>
      <w:r>
        <w:rPr>
          <w:rFonts w:hint="eastAsia"/>
          <w:color w:val="auto"/>
          <w:highlight w:val="none"/>
        </w:rPr>
        <w:t>地址：</w:t>
      </w:r>
    </w:p>
    <w:p>
      <w:pPr>
        <w:pStyle w:val="9"/>
        <w:spacing w:line="360" w:lineRule="auto"/>
        <w:ind w:firstLine="420"/>
        <w:rPr>
          <w:color w:val="auto"/>
          <w:highlight w:val="none"/>
          <w:u w:val="single"/>
        </w:rPr>
      </w:pPr>
      <w:r>
        <w:rPr>
          <w:rFonts w:hint="eastAsia"/>
          <w:color w:val="auto"/>
          <w:highlight w:val="none"/>
        </w:rPr>
        <w:t>电话：</w:t>
      </w:r>
      <w:r>
        <w:rPr>
          <w:color w:val="auto"/>
          <w:highlight w:val="none"/>
          <w:u w:val="single"/>
        </w:rPr>
        <w:t xml:space="preserve">                                      </w:t>
      </w:r>
      <w:r>
        <w:rPr>
          <w:rFonts w:hint="eastAsia"/>
          <w:color w:val="auto"/>
          <w:highlight w:val="none"/>
          <w:u w:val="single"/>
        </w:rPr>
        <w:t>　　　　　　　　　</w:t>
      </w:r>
    </w:p>
    <w:p>
      <w:pPr>
        <w:pStyle w:val="9"/>
        <w:spacing w:line="360" w:lineRule="auto"/>
        <w:ind w:firstLine="420"/>
        <w:rPr>
          <w:color w:val="auto"/>
          <w:highlight w:val="none"/>
        </w:rPr>
      </w:pPr>
      <w:r>
        <w:rPr>
          <w:rFonts w:hint="eastAsia"/>
          <w:color w:val="auto"/>
          <w:highlight w:val="none"/>
        </w:rPr>
        <w:t>传真：</w:t>
      </w:r>
      <w:r>
        <w:rPr>
          <w:rFonts w:hint="eastAsia"/>
          <w:color w:val="auto"/>
          <w:highlight w:val="none"/>
          <w:u w:val="single"/>
        </w:rPr>
        <w:t>　　　　　　　　　　　　　　　　　　　　　　　　　　　　</w:t>
      </w:r>
    </w:p>
    <w:p>
      <w:pPr>
        <w:pStyle w:val="9"/>
        <w:spacing w:line="360" w:lineRule="auto"/>
        <w:ind w:firstLine="420"/>
        <w:rPr>
          <w:color w:val="auto"/>
          <w:highlight w:val="none"/>
          <w:u w:val="single"/>
        </w:rPr>
      </w:pPr>
      <w:r>
        <w:rPr>
          <w:rFonts w:hint="eastAsia"/>
          <w:color w:val="auto"/>
          <w:highlight w:val="none"/>
        </w:rPr>
        <w:t>邮政编码：</w:t>
      </w:r>
    </w:p>
    <w:p>
      <w:pPr>
        <w:pStyle w:val="9"/>
        <w:spacing w:line="360" w:lineRule="auto"/>
        <w:ind w:firstLine="420"/>
        <w:rPr>
          <w:color w:val="auto"/>
          <w:highlight w:val="none"/>
          <w:u w:val="single"/>
        </w:rPr>
      </w:pPr>
      <w:r>
        <w:rPr>
          <w:rFonts w:hint="eastAsia"/>
          <w:color w:val="auto"/>
          <w:highlight w:val="none"/>
        </w:rPr>
        <w:t>开户名称：</w:t>
      </w:r>
    </w:p>
    <w:p>
      <w:pPr>
        <w:pStyle w:val="9"/>
        <w:spacing w:line="360" w:lineRule="auto"/>
        <w:ind w:firstLine="420"/>
        <w:rPr>
          <w:color w:val="auto"/>
          <w:highlight w:val="none"/>
          <w:u w:val="single"/>
        </w:rPr>
      </w:pPr>
      <w:r>
        <w:rPr>
          <w:rFonts w:hint="eastAsia"/>
          <w:color w:val="auto"/>
          <w:highlight w:val="none"/>
        </w:rPr>
        <w:t>开户银行：</w:t>
      </w:r>
    </w:p>
    <w:p>
      <w:pPr>
        <w:pStyle w:val="9"/>
        <w:spacing w:line="360" w:lineRule="auto"/>
        <w:ind w:firstLine="420"/>
        <w:rPr>
          <w:color w:val="auto"/>
          <w:highlight w:val="none"/>
          <w:u w:val="single"/>
        </w:rPr>
      </w:pPr>
      <w:r>
        <w:rPr>
          <w:rFonts w:hint="eastAsia"/>
          <w:color w:val="auto"/>
          <w:highlight w:val="none"/>
        </w:rPr>
        <w:t>银行账号：</w:t>
      </w:r>
    </w:p>
    <w:p>
      <w:pPr>
        <w:pStyle w:val="9"/>
        <w:spacing w:line="360" w:lineRule="auto"/>
        <w:ind w:firstLine="420"/>
        <w:rPr>
          <w:color w:val="auto"/>
          <w:highlight w:val="none"/>
          <w:u w:val="single"/>
        </w:rPr>
      </w:pPr>
    </w:p>
    <w:p>
      <w:pPr>
        <w:pStyle w:val="9"/>
        <w:wordWrap w:val="0"/>
        <w:spacing w:line="360" w:lineRule="auto"/>
        <w:ind w:firstLine="420"/>
        <w:jc w:val="right"/>
        <w:rPr>
          <w:color w:val="auto"/>
          <w:highlight w:val="none"/>
          <w:u w:val="single"/>
        </w:rPr>
      </w:pPr>
      <w:r>
        <w:rPr>
          <w:rFonts w:hint="eastAsia"/>
          <w:bCs/>
          <w:color w:val="auto"/>
          <w:szCs w:val="21"/>
          <w:highlight w:val="none"/>
        </w:rPr>
        <w:t>年  月   日</w:t>
      </w:r>
    </w:p>
    <w:p>
      <w:pPr>
        <w:pStyle w:val="9"/>
        <w:spacing w:line="500" w:lineRule="exact"/>
        <w:jc w:val="center"/>
        <w:rPr>
          <w:b/>
          <w:bCs/>
          <w:color w:val="auto"/>
          <w:sz w:val="30"/>
          <w:szCs w:val="30"/>
          <w:highlight w:val="none"/>
        </w:rPr>
      </w:pPr>
    </w:p>
    <w:p>
      <w:pPr>
        <w:rPr>
          <w:rFonts w:ascii="宋体" w:hAnsi="宋体"/>
          <w:b/>
          <w:bCs/>
          <w:color w:val="auto"/>
          <w:sz w:val="30"/>
          <w:szCs w:val="30"/>
          <w:highlight w:val="none"/>
        </w:rPr>
      </w:pPr>
    </w:p>
    <w:p>
      <w:pPr>
        <w:rPr>
          <w:rFonts w:ascii="宋体" w:hAnsi="宋体"/>
          <w:b/>
          <w:bCs/>
          <w:color w:val="auto"/>
          <w:sz w:val="30"/>
          <w:szCs w:val="30"/>
          <w:highlight w:val="none"/>
        </w:rPr>
      </w:pPr>
    </w:p>
    <w:p>
      <w:pPr>
        <w:rPr>
          <w:rFonts w:ascii="宋体" w:hAnsi="宋体"/>
          <w:b/>
          <w:bCs/>
          <w:color w:val="auto"/>
          <w:sz w:val="30"/>
          <w:szCs w:val="30"/>
          <w:highlight w:val="none"/>
        </w:rPr>
      </w:pPr>
    </w:p>
    <w:p>
      <w:pPr>
        <w:rPr>
          <w:rFonts w:ascii="宋体" w:hAnsi="宋体"/>
          <w:b/>
          <w:bCs/>
          <w:color w:val="auto"/>
          <w:sz w:val="30"/>
          <w:szCs w:val="30"/>
          <w:highlight w:val="none"/>
        </w:rPr>
      </w:pPr>
    </w:p>
    <w:p>
      <w:pPr>
        <w:rPr>
          <w:rFonts w:ascii="宋体" w:hAnsi="宋体"/>
          <w:b/>
          <w:bCs/>
          <w:color w:val="auto"/>
          <w:sz w:val="30"/>
          <w:szCs w:val="30"/>
          <w:highlight w:val="none"/>
        </w:rPr>
      </w:pPr>
    </w:p>
    <w:p>
      <w:pPr>
        <w:rPr>
          <w:rFonts w:ascii="宋体" w:hAnsi="宋体"/>
          <w:b/>
          <w:bCs/>
          <w:color w:val="auto"/>
          <w:sz w:val="30"/>
          <w:szCs w:val="30"/>
          <w:highlight w:val="none"/>
        </w:rPr>
      </w:pPr>
    </w:p>
    <w:p>
      <w:pPr>
        <w:rPr>
          <w:rFonts w:ascii="宋体" w:hAnsi="宋体"/>
          <w:b/>
          <w:bCs/>
          <w:color w:val="auto"/>
          <w:sz w:val="30"/>
          <w:szCs w:val="30"/>
          <w:highlight w:val="none"/>
        </w:rPr>
      </w:pPr>
    </w:p>
    <w:p>
      <w:pPr>
        <w:pStyle w:val="9"/>
        <w:spacing w:line="500" w:lineRule="exact"/>
        <w:jc w:val="center"/>
        <w:rPr>
          <w:b/>
          <w:bCs/>
          <w:color w:val="auto"/>
          <w:sz w:val="30"/>
          <w:szCs w:val="30"/>
          <w:highlight w:val="none"/>
        </w:rPr>
      </w:pPr>
      <w:r>
        <w:rPr>
          <w:rFonts w:hint="eastAsia"/>
          <w:b/>
          <w:bCs/>
          <w:color w:val="auto"/>
          <w:sz w:val="30"/>
          <w:szCs w:val="30"/>
          <w:highlight w:val="none"/>
        </w:rPr>
        <w:t>投标报价表（格式）</w:t>
      </w:r>
    </w:p>
    <w:p>
      <w:pPr>
        <w:pStyle w:val="9"/>
        <w:spacing w:line="360" w:lineRule="auto"/>
        <w:ind w:firstLine="480" w:firstLineChars="150"/>
        <w:rPr>
          <w:rFonts w:ascii="Times New Roman" w:hAnsi="Times New Roman" w:eastAsia="楷体_GB2312"/>
          <w:bCs/>
          <w:color w:val="auto"/>
          <w:sz w:val="32"/>
          <w:szCs w:val="32"/>
          <w:highlight w:val="none"/>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325"/>
        <w:gridCol w:w="2172"/>
        <w:gridCol w:w="1136"/>
        <w:gridCol w:w="1325"/>
        <w:gridCol w:w="1595"/>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序号</w:t>
            </w:r>
          </w:p>
        </w:tc>
        <w:tc>
          <w:tcPr>
            <w:tcW w:w="1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服务名称</w:t>
            </w:r>
          </w:p>
        </w:tc>
        <w:tc>
          <w:tcPr>
            <w:tcW w:w="21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服务内容</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数量</w:t>
            </w:r>
          </w:p>
        </w:tc>
        <w:tc>
          <w:tcPr>
            <w:tcW w:w="1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单价(元)②</w:t>
            </w:r>
          </w:p>
        </w:tc>
        <w:tc>
          <w:tcPr>
            <w:tcW w:w="15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单项合价（元）</w:t>
            </w:r>
          </w:p>
          <w:p>
            <w:pPr>
              <w:rPr>
                <w:rFonts w:ascii="宋体" w:hAnsi="宋体" w:cs="宋体"/>
                <w:color w:val="auto"/>
                <w:highlight w:val="none"/>
              </w:rPr>
            </w:pPr>
            <w:r>
              <w:rPr>
                <w:rFonts w:hint="eastAsia" w:ascii="宋体" w:hAnsi="宋体" w:cs="宋体"/>
                <w:color w:val="auto"/>
                <w:highlight w:val="none"/>
              </w:rPr>
              <w:t>③＝①×②</w:t>
            </w:r>
          </w:p>
        </w:tc>
        <w:tc>
          <w:tcPr>
            <w:tcW w:w="100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1</w:t>
            </w:r>
          </w:p>
        </w:tc>
        <w:tc>
          <w:tcPr>
            <w:tcW w:w="1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21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1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5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00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2</w:t>
            </w:r>
          </w:p>
        </w:tc>
        <w:tc>
          <w:tcPr>
            <w:tcW w:w="1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21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1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5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00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w:t>
            </w:r>
          </w:p>
        </w:tc>
        <w:tc>
          <w:tcPr>
            <w:tcW w:w="1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21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1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5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00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931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931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szCs w:val="21"/>
                <w:highlight w:val="none"/>
                <w:u w:val="single"/>
              </w:rPr>
              <w:t>　　</w:t>
            </w:r>
            <w:r>
              <w:rPr>
                <w:rFonts w:hint="eastAsia" w:ascii="宋体" w:hAnsi="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931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31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法定代表人或其委托代理人（签字或盖章）：</w:t>
            </w:r>
          </w:p>
        </w:tc>
      </w:tr>
    </w:tbl>
    <w:p>
      <w:pPr>
        <w:ind w:firstLine="480" w:firstLineChars="200"/>
        <w:rPr>
          <w:rFonts w:ascii="宋体" w:hAnsi="宋体" w:cs="宋体"/>
          <w:color w:val="auto"/>
          <w:sz w:val="24"/>
          <w:highlight w:val="none"/>
        </w:rPr>
      </w:pPr>
      <w:r>
        <w:rPr>
          <w:rFonts w:hint="eastAsia" w:ascii="宋体" w:hAnsi="宋体" w:cs="宋体"/>
          <w:color w:val="auto"/>
          <w:sz w:val="24"/>
          <w:highlight w:val="none"/>
        </w:rPr>
        <w:t>注：表格内容均需按要求填写并盖章，不得留空，</w:t>
      </w:r>
      <w:r>
        <w:rPr>
          <w:rFonts w:hint="eastAsia" w:ascii="宋体" w:hAnsi="宋体" w:cs="宋体"/>
          <w:bCs/>
          <w:color w:val="auto"/>
          <w:sz w:val="24"/>
          <w:highlight w:val="none"/>
        </w:rPr>
        <w:t>否则按投标无效处理</w:t>
      </w:r>
      <w:r>
        <w:rPr>
          <w:rFonts w:hint="eastAsia" w:ascii="宋体" w:hAnsi="宋体" w:cs="宋体"/>
          <w:color w:val="auto"/>
          <w:sz w:val="24"/>
          <w:highlight w:val="none"/>
        </w:rPr>
        <w:t>。</w:t>
      </w:r>
    </w:p>
    <w:p>
      <w:pPr>
        <w:pStyle w:val="9"/>
        <w:spacing w:line="360" w:lineRule="auto"/>
        <w:rPr>
          <w:b/>
          <w:color w:val="auto"/>
          <w:highlight w:val="none"/>
        </w:rPr>
      </w:pPr>
    </w:p>
    <w:p>
      <w:pPr>
        <w:pStyle w:val="9"/>
        <w:spacing w:line="360" w:lineRule="auto"/>
        <w:rPr>
          <w:b/>
          <w:color w:val="auto"/>
          <w:highlight w:val="none"/>
        </w:rPr>
      </w:pPr>
    </w:p>
    <w:p>
      <w:pPr>
        <w:pStyle w:val="9"/>
        <w:spacing w:line="360" w:lineRule="auto"/>
        <w:rPr>
          <w:b/>
          <w:color w:val="auto"/>
          <w:highlight w:val="none"/>
        </w:rPr>
      </w:pPr>
    </w:p>
    <w:p>
      <w:pPr>
        <w:pStyle w:val="9"/>
        <w:jc w:val="center"/>
        <w:rPr>
          <w:rFonts w:ascii="Times New Roman" w:hAnsi="Times New Roman"/>
          <w:b/>
          <w:color w:val="auto"/>
          <w:sz w:val="30"/>
          <w:szCs w:val="30"/>
          <w:highlight w:val="none"/>
        </w:rPr>
      </w:pPr>
      <w:r>
        <w:rPr>
          <w:rFonts w:hint="eastAsia"/>
          <w:b/>
          <w:color w:val="auto"/>
          <w:sz w:val="30"/>
          <w:szCs w:val="30"/>
          <w:highlight w:val="none"/>
        </w:rPr>
        <w:br w:type="page"/>
      </w:r>
      <w:r>
        <w:rPr>
          <w:rFonts w:hint="eastAsia" w:ascii="Times New Roman" w:hAnsi="Times New Roman"/>
          <w:b/>
          <w:color w:val="auto"/>
          <w:sz w:val="30"/>
          <w:szCs w:val="30"/>
          <w:highlight w:val="none"/>
        </w:rPr>
        <w:t>中小企业声明函（格式）</w:t>
      </w:r>
    </w:p>
    <w:p>
      <w:pPr>
        <w:pStyle w:val="8"/>
        <w:spacing w:line="400" w:lineRule="exact"/>
        <w:rPr>
          <w:color w:val="auto"/>
          <w:szCs w:val="21"/>
          <w:highlight w:val="none"/>
        </w:rPr>
      </w:pPr>
      <w:r>
        <w:rPr>
          <w:rFonts w:hint="eastAsia" w:hAnsi="宋体"/>
          <w:color w:val="auto"/>
          <w:szCs w:val="21"/>
          <w:highlight w:val="none"/>
        </w:rPr>
        <w:t>说明：</w:t>
      </w:r>
    </w:p>
    <w:p>
      <w:pPr>
        <w:pStyle w:val="8"/>
        <w:spacing w:line="400" w:lineRule="exact"/>
        <w:ind w:firstLine="420" w:firstLineChars="200"/>
        <w:rPr>
          <w:color w:val="auto"/>
          <w:szCs w:val="21"/>
          <w:highlight w:val="none"/>
        </w:rPr>
      </w:pPr>
      <w:r>
        <w:rPr>
          <w:color w:val="auto"/>
          <w:szCs w:val="21"/>
          <w:highlight w:val="none"/>
        </w:rPr>
        <w:t>1</w:t>
      </w:r>
      <w:r>
        <w:rPr>
          <w:rFonts w:hint="eastAsia" w:hAnsi="宋体"/>
          <w:color w:val="auto"/>
          <w:szCs w:val="21"/>
          <w:highlight w:val="none"/>
        </w:rPr>
        <w:t>、本声明函主要供参加政府采购活动的中小企业填写，非中小企业无需填写。</w:t>
      </w:r>
    </w:p>
    <w:p>
      <w:pPr>
        <w:pStyle w:val="8"/>
        <w:spacing w:line="400" w:lineRule="exact"/>
        <w:ind w:firstLine="420" w:firstLineChars="200"/>
        <w:rPr>
          <w:rFonts w:hAnsi="宋体"/>
          <w:color w:val="auto"/>
          <w:szCs w:val="21"/>
          <w:highlight w:val="none"/>
        </w:rPr>
      </w:pPr>
      <w:r>
        <w:rPr>
          <w:color w:val="auto"/>
          <w:szCs w:val="21"/>
          <w:highlight w:val="none"/>
        </w:rPr>
        <w:t>2</w:t>
      </w:r>
      <w:r>
        <w:rPr>
          <w:rFonts w:hint="eastAsia" w:hAnsi="宋体"/>
          <w:color w:val="auto"/>
          <w:szCs w:val="21"/>
          <w:highlight w:val="none"/>
        </w:rPr>
        <w:t>、小型、微型企业提供中型企业制造的货物的，视同为中型企业。</w:t>
      </w:r>
    </w:p>
    <w:p>
      <w:pPr>
        <w:pStyle w:val="8"/>
        <w:spacing w:line="400" w:lineRule="exact"/>
        <w:ind w:firstLine="420" w:firstLineChars="200"/>
        <w:rPr>
          <w:rFonts w:hAnsi="宋体"/>
          <w:color w:val="auto"/>
          <w:szCs w:val="21"/>
          <w:highlight w:val="none"/>
        </w:rPr>
      </w:pPr>
      <w:r>
        <w:rPr>
          <w:rFonts w:hAnsi="宋体"/>
          <w:color w:val="auto"/>
          <w:szCs w:val="21"/>
          <w:highlight w:val="none"/>
        </w:rPr>
        <w:t>3</w:t>
      </w:r>
      <w:r>
        <w:rPr>
          <w:rFonts w:hint="eastAsia" w:hAnsi="宋体"/>
          <w:color w:val="auto"/>
          <w:szCs w:val="21"/>
          <w:highlight w:val="none"/>
        </w:rPr>
        <w:t>、投标人按《财政部、司法部关于政府采购支持监狱企业发展有关问题的通知》（财库〔</w:t>
      </w:r>
      <w:r>
        <w:rPr>
          <w:rFonts w:hAnsi="宋体"/>
          <w:color w:val="auto"/>
          <w:szCs w:val="21"/>
          <w:highlight w:val="none"/>
        </w:rPr>
        <w:t>2014</w:t>
      </w:r>
      <w:r>
        <w:rPr>
          <w:rFonts w:hint="eastAsia" w:hAnsi="宋体"/>
          <w:color w:val="auto"/>
          <w:szCs w:val="21"/>
          <w:highlight w:val="none"/>
        </w:rPr>
        <w:t>〕</w:t>
      </w:r>
      <w:r>
        <w:rPr>
          <w:rFonts w:hAnsi="宋体"/>
          <w:color w:val="auto"/>
          <w:szCs w:val="21"/>
          <w:highlight w:val="none"/>
        </w:rPr>
        <w:t>68</w:t>
      </w:r>
      <w:r>
        <w:rPr>
          <w:rFonts w:hint="eastAsia" w:hAnsi="宋体"/>
          <w:color w:val="auto"/>
          <w:szCs w:val="21"/>
          <w:highlight w:val="none"/>
        </w:rPr>
        <w:t>号）认定为监狱企业，且提供由省级以上监狱管理局、戒毒管理局（含新疆生产建设兵团）出具的属于监狱企业的证明文件的，视同小型、微型企业。</w:t>
      </w:r>
    </w:p>
    <w:p>
      <w:pPr>
        <w:pStyle w:val="8"/>
        <w:spacing w:line="400" w:lineRule="exact"/>
        <w:ind w:firstLine="420" w:firstLineChars="200"/>
        <w:rPr>
          <w:color w:val="auto"/>
          <w:szCs w:val="21"/>
          <w:highlight w:val="none"/>
        </w:rPr>
      </w:pPr>
    </w:p>
    <w:p>
      <w:pPr>
        <w:pStyle w:val="9"/>
        <w:spacing w:line="40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本公司郑重声明，根据《政府采购促进中小企业发展暂行办法》（财库〔</w:t>
      </w:r>
      <w:r>
        <w:rPr>
          <w:rFonts w:ascii="Times New Roman" w:hAnsi="Times New Roman"/>
          <w:color w:val="auto"/>
          <w:szCs w:val="21"/>
          <w:highlight w:val="none"/>
        </w:rPr>
        <w:t>2011</w:t>
      </w:r>
      <w:r>
        <w:rPr>
          <w:rFonts w:hint="eastAsia" w:ascii="Times New Roman" w:hAnsi="Times New Roman"/>
          <w:color w:val="auto"/>
          <w:szCs w:val="21"/>
          <w:highlight w:val="none"/>
        </w:rPr>
        <w:t>〕</w:t>
      </w:r>
      <w:r>
        <w:rPr>
          <w:rFonts w:ascii="Times New Roman" w:hAnsi="Times New Roman"/>
          <w:color w:val="auto"/>
          <w:szCs w:val="21"/>
          <w:highlight w:val="none"/>
        </w:rPr>
        <w:t>181</w:t>
      </w:r>
      <w:r>
        <w:rPr>
          <w:rFonts w:hint="eastAsia" w:ascii="Times New Roman" w:hAnsi="Times New Roman"/>
          <w:color w:val="auto"/>
          <w:szCs w:val="21"/>
          <w:highlight w:val="none"/>
        </w:rPr>
        <w:t>号）的规定，本公司为</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（请填写：中型、小型、微型）企业。即，本公司同时满足以下条件：</w:t>
      </w:r>
    </w:p>
    <w:p>
      <w:pPr>
        <w:pStyle w:val="9"/>
        <w:spacing w:line="40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w:t>
      </w:r>
      <w:r>
        <w:rPr>
          <w:rFonts w:hint="eastAsia" w:ascii="Times New Roman"/>
          <w:color w:val="auto"/>
          <w:szCs w:val="21"/>
          <w:highlight w:val="none"/>
        </w:rPr>
        <w:t>．</w:t>
      </w:r>
      <w:r>
        <w:rPr>
          <w:rFonts w:hint="eastAsia" w:ascii="Times New Roman" w:hAnsi="Times New Roman"/>
          <w:color w:val="auto"/>
          <w:szCs w:val="21"/>
          <w:highlight w:val="none"/>
        </w:rPr>
        <w:t>根据《工业和信息化部、国家统计局、国家发展和改革委员会、财政部关于印发中小企业划型标准规定的通知》（工信部联企业〔</w:t>
      </w:r>
      <w:r>
        <w:rPr>
          <w:rFonts w:ascii="Times New Roman" w:hAnsi="Times New Roman"/>
          <w:color w:val="auto"/>
          <w:szCs w:val="21"/>
          <w:highlight w:val="none"/>
        </w:rPr>
        <w:t>2011</w:t>
      </w:r>
      <w:r>
        <w:rPr>
          <w:rFonts w:hint="eastAsia" w:ascii="Times New Roman" w:hAnsi="Times New Roman"/>
          <w:color w:val="auto"/>
          <w:szCs w:val="21"/>
          <w:highlight w:val="none"/>
        </w:rPr>
        <w:t>〕</w:t>
      </w:r>
      <w:r>
        <w:rPr>
          <w:rFonts w:ascii="Times New Roman" w:hAnsi="Times New Roman"/>
          <w:color w:val="auto"/>
          <w:szCs w:val="21"/>
          <w:highlight w:val="none"/>
        </w:rPr>
        <w:t>300</w:t>
      </w:r>
      <w:r>
        <w:rPr>
          <w:rFonts w:hint="eastAsia" w:ascii="Times New Roman" w:hAnsi="Times New Roman"/>
          <w:color w:val="auto"/>
          <w:szCs w:val="21"/>
          <w:highlight w:val="none"/>
        </w:rPr>
        <w:t>号）规定的划分标准，本公司为</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w:t>
      </w:r>
    </w:p>
    <w:p>
      <w:pPr>
        <w:pStyle w:val="9"/>
        <w:spacing w:line="40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2</w:t>
      </w:r>
      <w:r>
        <w:rPr>
          <w:rFonts w:hint="eastAsia" w:ascii="Times New Roman"/>
          <w:color w:val="auto"/>
          <w:szCs w:val="21"/>
          <w:highlight w:val="none"/>
        </w:rPr>
        <w:t>．</w:t>
      </w:r>
      <w:r>
        <w:rPr>
          <w:rFonts w:hint="eastAsia" w:ascii="Times New Roman" w:hAnsi="Times New Roman"/>
          <w:color w:val="auto"/>
          <w:szCs w:val="21"/>
          <w:highlight w:val="none"/>
        </w:rPr>
        <w:t>本公司参加</w:t>
      </w:r>
      <w:r>
        <w:rPr>
          <w:rFonts w:ascii="Times New Roman" w:hAnsi="Times New Roman"/>
          <w:color w:val="auto"/>
          <w:szCs w:val="21"/>
          <w:highlight w:val="none"/>
        </w:rPr>
        <w:t>______</w:t>
      </w:r>
      <w:r>
        <w:rPr>
          <w:rFonts w:hint="eastAsia" w:ascii="Times New Roman" w:hAnsi="Times New Roman"/>
          <w:color w:val="auto"/>
          <w:szCs w:val="21"/>
          <w:highlight w:val="none"/>
        </w:rPr>
        <w:t>单位的</w:t>
      </w:r>
      <w:r>
        <w:rPr>
          <w:rFonts w:ascii="Times New Roman" w:hAnsi="Times New Roman"/>
          <w:color w:val="auto"/>
          <w:szCs w:val="21"/>
          <w:highlight w:val="none"/>
        </w:rPr>
        <w:t>______</w:t>
      </w:r>
      <w:r>
        <w:rPr>
          <w:rFonts w:hint="eastAsia" w:ascii="Times New Roman" w:hAnsi="Times New Roman"/>
          <w:color w:val="auto"/>
          <w:szCs w:val="21"/>
          <w:highlight w:val="none"/>
        </w:rPr>
        <w:t>项目采购活动提供本企业制造的货物，由本企业承担工程、提供服务，或者提供其他</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（请填写：中型、小型、微型）企业制造的货物。本条所称货物不包括使用大型企业注册商标的货物。</w:t>
      </w:r>
    </w:p>
    <w:p>
      <w:pPr>
        <w:pStyle w:val="9"/>
        <w:spacing w:line="40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本公司对上述声明的真实性负责。如有虚假，将依法承担相应责任。</w:t>
      </w:r>
    </w:p>
    <w:p>
      <w:pPr>
        <w:pStyle w:val="9"/>
        <w:spacing w:line="400" w:lineRule="exact"/>
        <w:ind w:firstLine="420" w:firstLineChars="200"/>
        <w:rPr>
          <w:rFonts w:ascii="Times New Roman" w:hAnsi="Times New Roman"/>
          <w:color w:val="auto"/>
          <w:szCs w:val="21"/>
          <w:highlight w:val="none"/>
        </w:rPr>
      </w:pPr>
    </w:p>
    <w:p>
      <w:pPr>
        <w:pStyle w:val="9"/>
        <w:spacing w:line="400" w:lineRule="exact"/>
        <w:ind w:firstLine="420" w:firstLineChars="200"/>
        <w:rPr>
          <w:rFonts w:ascii="Times New Roman" w:hAnsi="Times New Roman"/>
          <w:color w:val="auto"/>
          <w:szCs w:val="21"/>
          <w:highlight w:val="none"/>
        </w:rPr>
      </w:pPr>
    </w:p>
    <w:p>
      <w:pPr>
        <w:pStyle w:val="9"/>
        <w:spacing w:line="400" w:lineRule="exact"/>
        <w:rPr>
          <w:rFonts w:ascii="Times New Roman" w:hAnsi="Times New Roman"/>
          <w:color w:val="auto"/>
          <w:highlight w:val="none"/>
          <w:u w:val="single"/>
        </w:rPr>
      </w:pPr>
      <w:r>
        <w:rPr>
          <w:rFonts w:hint="eastAsia" w:ascii="Times New Roman" w:hAnsi="Times New Roman"/>
          <w:color w:val="auto"/>
          <w:highlight w:val="none"/>
        </w:rPr>
        <w:t>投标人名称（盖单位公章）：</w:t>
      </w:r>
      <w:r>
        <w:rPr>
          <w:rFonts w:ascii="Times New Roman" w:hAnsi="Times New Roman"/>
          <w:color w:val="auto"/>
          <w:highlight w:val="none"/>
          <w:u w:val="single"/>
        </w:rPr>
        <w:t xml:space="preserve">                                    </w:t>
      </w:r>
    </w:p>
    <w:p>
      <w:pPr>
        <w:pStyle w:val="9"/>
        <w:spacing w:line="400" w:lineRule="exact"/>
        <w:rPr>
          <w:rFonts w:ascii="Times New Roman" w:hAnsi="Times New Roman"/>
          <w:color w:val="auto"/>
          <w:highlight w:val="none"/>
          <w:u w:val="single"/>
        </w:rPr>
      </w:pPr>
      <w:r>
        <w:rPr>
          <w:rFonts w:hint="eastAsia" w:ascii="Times New Roman" w:hAnsi="Times New Roman"/>
          <w:color w:val="auto"/>
          <w:highlight w:val="none"/>
        </w:rPr>
        <w:t>法定代表人（负责人）或其委托代理人（签字或盖章）：</w:t>
      </w:r>
      <w:r>
        <w:rPr>
          <w:rFonts w:ascii="Times New Roman" w:hAnsi="Times New Roman"/>
          <w:color w:val="auto"/>
          <w:highlight w:val="none"/>
          <w:u w:val="single"/>
        </w:rPr>
        <w:t xml:space="preserve">                  </w:t>
      </w:r>
    </w:p>
    <w:p>
      <w:pPr>
        <w:pStyle w:val="9"/>
        <w:spacing w:line="400" w:lineRule="exact"/>
        <w:rPr>
          <w:rFonts w:ascii="Times New Roman" w:hAnsi="Times New Roman"/>
          <w:color w:val="auto"/>
          <w:highlight w:val="none"/>
        </w:rPr>
      </w:pPr>
      <w:r>
        <w:rPr>
          <w:rFonts w:hint="eastAsia" w:ascii="Times New Roman" w:hAnsi="Times New Roman"/>
          <w:color w:val="auto"/>
          <w:highlight w:val="none"/>
        </w:rPr>
        <w:t>日  期：   年    月    日</w:t>
      </w:r>
    </w:p>
    <w:p>
      <w:pPr>
        <w:spacing w:line="400" w:lineRule="exact"/>
        <w:rPr>
          <w:rFonts w:ascii="宋体" w:hAnsi="宋体" w:cs="宋体"/>
          <w:bCs/>
          <w:color w:val="auto"/>
          <w:szCs w:val="21"/>
          <w:highlight w:val="none"/>
        </w:rPr>
      </w:pPr>
    </w:p>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备注：享受政府采购支持政策的中小企业（含中型、小型、微型企业，下同）应当同时符合以下条件：</w:t>
      </w:r>
    </w:p>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（一）符合中小企业划分标准；</w:t>
      </w:r>
    </w:p>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（二）提供本企业制造的货物、承担的工程或者服务，或者提供其他中小企业制造的货物。本项所称货物不包括使用大型企业注册商标的货物。</w:t>
      </w:r>
    </w:p>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中小企业划分标准，是指国务院有关部门根据企业从业人员、营业收入、资产总额等指标制定的中小企业划型标准。</w:t>
      </w:r>
    </w:p>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小型、微型企业提供中型企业制造的货物的，视同为中型企业。</w:t>
      </w:r>
    </w:p>
    <w:p>
      <w:pPr>
        <w:spacing w:line="460" w:lineRule="exact"/>
        <w:rPr>
          <w:rFonts w:ascii="仿宋_GB2312" w:hAnsi="宋体" w:eastAsia="仿宋_GB2312"/>
          <w:color w:val="auto"/>
          <w:szCs w:val="21"/>
          <w:highlight w:val="none"/>
        </w:rPr>
      </w:pPr>
    </w:p>
    <w:p>
      <w:pPr>
        <w:jc w:val="center"/>
        <w:rPr>
          <w:b/>
          <w:color w:val="auto"/>
          <w:sz w:val="30"/>
          <w:szCs w:val="30"/>
          <w:highlight w:val="none"/>
        </w:rPr>
      </w:pPr>
    </w:p>
    <w:p>
      <w:pPr>
        <w:jc w:val="center"/>
        <w:rPr>
          <w:b/>
          <w:color w:val="auto"/>
          <w:sz w:val="30"/>
          <w:szCs w:val="30"/>
          <w:highlight w:val="none"/>
        </w:rPr>
      </w:pPr>
    </w:p>
    <w:p>
      <w:pPr>
        <w:jc w:val="center"/>
        <w:rPr>
          <w:b/>
          <w:color w:val="auto"/>
          <w:sz w:val="30"/>
          <w:szCs w:val="30"/>
          <w:highlight w:val="none"/>
          <w:u w:val="single"/>
        </w:rPr>
      </w:pPr>
      <w:r>
        <w:rPr>
          <w:rFonts w:hint="eastAsia"/>
          <w:b/>
          <w:color w:val="auto"/>
          <w:sz w:val="30"/>
          <w:szCs w:val="30"/>
          <w:highlight w:val="none"/>
        </w:rPr>
        <w:t>残疾人福利性单位声明函（格式）</w:t>
      </w:r>
    </w:p>
    <w:p>
      <w:pPr>
        <w:spacing w:line="500" w:lineRule="exact"/>
        <w:ind w:firstLine="3313" w:firstLineChars="1100"/>
        <w:jc w:val="left"/>
        <w:rPr>
          <w:b/>
          <w:color w:val="auto"/>
          <w:sz w:val="30"/>
          <w:szCs w:val="30"/>
          <w:highlight w:val="none"/>
          <w:u w:val="single"/>
        </w:rPr>
      </w:pPr>
    </w:p>
    <w:p>
      <w:pPr>
        <w:spacing w:line="500" w:lineRule="exact"/>
        <w:ind w:firstLine="420" w:firstLineChars="200"/>
        <w:jc w:val="left"/>
        <w:rPr>
          <w:color w:val="auto"/>
          <w:szCs w:val="21"/>
          <w:highlight w:val="none"/>
        </w:rPr>
      </w:pPr>
      <w:r>
        <w:rPr>
          <w:rFonts w:hint="eastAsia"/>
          <w:color w:val="auto"/>
          <w:szCs w:val="21"/>
          <w:highlight w:val="none"/>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pPr>
        <w:spacing w:line="500" w:lineRule="exact"/>
        <w:ind w:firstLine="315" w:firstLineChars="150"/>
        <w:jc w:val="left"/>
        <w:rPr>
          <w:color w:val="auto"/>
          <w:szCs w:val="21"/>
          <w:highlight w:val="none"/>
        </w:rPr>
      </w:pPr>
      <w:r>
        <w:rPr>
          <w:rFonts w:hint="eastAsia"/>
          <w:color w:val="auto"/>
          <w:szCs w:val="21"/>
          <w:highlight w:val="none"/>
        </w:rPr>
        <w:t>本公司对上述声明的真实性负责。如有虚假，将依法承担相应责任。</w:t>
      </w:r>
    </w:p>
    <w:p>
      <w:pPr>
        <w:spacing w:line="500" w:lineRule="exact"/>
        <w:jc w:val="left"/>
        <w:rPr>
          <w:color w:val="auto"/>
          <w:sz w:val="18"/>
          <w:szCs w:val="18"/>
          <w:highlight w:val="none"/>
        </w:rPr>
      </w:pPr>
      <w:r>
        <w:rPr>
          <w:rFonts w:hint="eastAsia"/>
          <w:color w:val="auto"/>
          <w:sz w:val="18"/>
          <w:szCs w:val="18"/>
          <w:highlight w:val="none"/>
        </w:rPr>
        <w:t>【备注：以上材料由供应商根据自身实际情况进行自行判别，如不符合政策条件的无需填写。如出现虚假填报、胡乱填报、与实际情况不符等情况，将按虚假响应处理】</w:t>
      </w:r>
    </w:p>
    <w:p>
      <w:pPr>
        <w:spacing w:line="500" w:lineRule="exact"/>
        <w:ind w:firstLine="2310" w:firstLineChars="1100"/>
        <w:jc w:val="left"/>
        <w:rPr>
          <w:color w:val="auto"/>
          <w:szCs w:val="21"/>
          <w:highlight w:val="none"/>
        </w:rPr>
      </w:pPr>
    </w:p>
    <w:p>
      <w:pPr>
        <w:spacing w:line="500" w:lineRule="exact"/>
        <w:ind w:firstLine="2310" w:firstLineChars="1100"/>
        <w:jc w:val="left"/>
        <w:rPr>
          <w:color w:val="auto"/>
          <w:szCs w:val="21"/>
          <w:highlight w:val="none"/>
        </w:rPr>
      </w:pPr>
    </w:p>
    <w:p>
      <w:pPr>
        <w:spacing w:line="500" w:lineRule="exact"/>
        <w:ind w:firstLine="3255" w:firstLineChars="1550"/>
        <w:jc w:val="left"/>
        <w:rPr>
          <w:color w:val="auto"/>
          <w:szCs w:val="21"/>
          <w:highlight w:val="none"/>
        </w:rPr>
      </w:pPr>
      <w:r>
        <w:rPr>
          <w:rFonts w:hint="eastAsia"/>
          <w:color w:val="auto"/>
          <w:szCs w:val="21"/>
          <w:highlight w:val="none"/>
        </w:rPr>
        <w:t xml:space="preserve">投标人（盖单位公章）：                                  </w:t>
      </w:r>
    </w:p>
    <w:p>
      <w:pPr>
        <w:spacing w:line="500" w:lineRule="exact"/>
        <w:ind w:firstLine="2310" w:firstLineChars="1100"/>
        <w:jc w:val="left"/>
        <w:rPr>
          <w:color w:val="auto"/>
          <w:szCs w:val="21"/>
          <w:highlight w:val="none"/>
        </w:rPr>
      </w:pPr>
    </w:p>
    <w:p>
      <w:pPr>
        <w:spacing w:line="500" w:lineRule="exact"/>
        <w:jc w:val="center"/>
        <w:rPr>
          <w:b/>
          <w:bCs/>
          <w:color w:val="auto"/>
          <w:sz w:val="30"/>
          <w:szCs w:val="30"/>
          <w:highlight w:val="none"/>
        </w:rPr>
      </w:pPr>
      <w:r>
        <w:rPr>
          <w:rFonts w:hint="eastAsia"/>
          <w:color w:val="auto"/>
          <w:szCs w:val="21"/>
          <w:highlight w:val="none"/>
        </w:rPr>
        <w:t xml:space="preserve">法定代表人或其委托代理人（签字或盖章）：   </w:t>
      </w:r>
      <w:r>
        <w:rPr>
          <w:rFonts w:hint="eastAsia"/>
          <w:color w:val="auto"/>
          <w:sz w:val="18"/>
          <w:szCs w:val="18"/>
          <w:highlight w:val="none"/>
        </w:rPr>
        <w:t xml:space="preserve">      </w:t>
      </w:r>
      <w:r>
        <w:rPr>
          <w:rFonts w:hint="eastAsia"/>
          <w:b/>
          <w:color w:val="auto"/>
          <w:sz w:val="18"/>
          <w:szCs w:val="18"/>
          <w:highlight w:val="none"/>
          <w:u w:val="single"/>
        </w:rPr>
        <w:t xml:space="preserve">             </w:t>
      </w:r>
      <w:r>
        <w:rPr>
          <w:rFonts w:hint="eastAsia" w:ascii="宋体" w:hAnsi="Courier New"/>
          <w:color w:val="auto"/>
          <w:szCs w:val="20"/>
          <w:highlight w:val="none"/>
        </w:rPr>
        <w:br w:type="page"/>
      </w:r>
      <w:r>
        <w:rPr>
          <w:rFonts w:hint="eastAsia"/>
          <w:b/>
          <w:bCs/>
          <w:color w:val="auto"/>
          <w:sz w:val="30"/>
          <w:szCs w:val="30"/>
          <w:highlight w:val="none"/>
        </w:rPr>
        <w:t>技术资料表（格式）</w:t>
      </w:r>
    </w:p>
    <w:p>
      <w:pPr>
        <w:ind w:firstLine="210" w:firstLineChars="100"/>
        <w:rPr>
          <w:color w:val="auto"/>
          <w:szCs w:val="20"/>
          <w:highlight w:val="none"/>
        </w:rPr>
      </w:pPr>
      <w:r>
        <w:rPr>
          <w:color w:val="auto"/>
          <w:szCs w:val="20"/>
          <w:highlight w:val="none"/>
        </w:rPr>
        <w:t xml:space="preserve"> </w:t>
      </w:r>
    </w:p>
    <w:p>
      <w:pPr>
        <w:jc w:val="center"/>
        <w:rPr>
          <w:color w:val="auto"/>
          <w:szCs w:val="20"/>
          <w:highlight w:val="none"/>
        </w:rPr>
      </w:pPr>
      <w:r>
        <w:rPr>
          <w:rFonts w:hint="eastAsia"/>
          <w:color w:val="auto"/>
          <w:szCs w:val="20"/>
          <w:highlight w:val="none"/>
        </w:rPr>
        <w:t>　请根据所投服务的实际技术参数，逐条对应本项目招标文件第二章“服务需求一览表”中的服务内容及要求详细填写相应的具体内容。“偏离说明”一栏应当选择“正偏离”、“负偏离”或“无偏离”进行填写</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招标文件需求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1  ……</w:t>
            </w:r>
          </w:p>
          <w:p>
            <w:pPr>
              <w:jc w:val="center"/>
              <w:rPr>
                <w:color w:val="auto"/>
                <w:szCs w:val="20"/>
                <w:highlight w:val="none"/>
              </w:rPr>
            </w:pPr>
            <w:r>
              <w:rPr>
                <w:rFonts w:hint="eastAsia"/>
                <w:color w:val="auto"/>
                <w:szCs w:val="20"/>
                <w:highlight w:val="none"/>
              </w:rPr>
              <w:t>2  ……</w:t>
            </w:r>
          </w:p>
          <w:p>
            <w:pPr>
              <w:jc w:val="center"/>
              <w:rPr>
                <w:color w:val="auto"/>
                <w:szCs w:val="20"/>
                <w:highlight w:val="none"/>
              </w:rPr>
            </w:pPr>
            <w:r>
              <w:rPr>
                <w:rFonts w:hint="eastAsia"/>
                <w:color w:val="auto"/>
                <w:szCs w:val="20"/>
                <w:highlight w:val="none"/>
              </w:rPr>
              <w:t>3  ……</w:t>
            </w:r>
          </w:p>
          <w:p>
            <w:pPr>
              <w:jc w:val="center"/>
              <w:rPr>
                <w:color w:val="auto"/>
                <w:szCs w:val="20"/>
                <w:highlight w:val="none"/>
              </w:rPr>
            </w:pPr>
            <w:r>
              <w:rPr>
                <w:rFonts w:hint="eastAsia"/>
                <w:color w:val="auto"/>
                <w:szCs w:val="20"/>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1  ……</w:t>
            </w:r>
          </w:p>
          <w:p>
            <w:pPr>
              <w:jc w:val="center"/>
              <w:rPr>
                <w:color w:val="auto"/>
                <w:szCs w:val="20"/>
                <w:highlight w:val="none"/>
              </w:rPr>
            </w:pPr>
            <w:r>
              <w:rPr>
                <w:rFonts w:hint="eastAsia"/>
                <w:color w:val="auto"/>
                <w:szCs w:val="20"/>
                <w:highlight w:val="none"/>
              </w:rPr>
              <w:t>2  ……</w:t>
            </w:r>
          </w:p>
          <w:p>
            <w:pPr>
              <w:jc w:val="center"/>
              <w:rPr>
                <w:color w:val="auto"/>
                <w:szCs w:val="20"/>
                <w:highlight w:val="none"/>
              </w:rPr>
            </w:pPr>
            <w:r>
              <w:rPr>
                <w:rFonts w:hint="eastAsia"/>
                <w:color w:val="auto"/>
                <w:szCs w:val="20"/>
                <w:highlight w:val="none"/>
              </w:rPr>
              <w:t>3  ……</w:t>
            </w:r>
          </w:p>
          <w:p>
            <w:pPr>
              <w:jc w:val="center"/>
              <w:rPr>
                <w:color w:val="auto"/>
                <w:szCs w:val="20"/>
                <w:highlight w:val="none"/>
              </w:rPr>
            </w:pPr>
            <w:r>
              <w:rPr>
                <w:rFonts w:hint="eastAsia"/>
                <w:color w:val="auto"/>
                <w:szCs w:val="20"/>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1  ……</w:t>
            </w:r>
          </w:p>
          <w:p>
            <w:pPr>
              <w:jc w:val="center"/>
              <w:rPr>
                <w:color w:val="auto"/>
                <w:szCs w:val="20"/>
                <w:highlight w:val="none"/>
              </w:rPr>
            </w:pPr>
            <w:r>
              <w:rPr>
                <w:rFonts w:hint="eastAsia"/>
                <w:color w:val="auto"/>
                <w:szCs w:val="20"/>
                <w:highlight w:val="none"/>
              </w:rPr>
              <w:t>2  ……</w:t>
            </w:r>
          </w:p>
          <w:p>
            <w:pPr>
              <w:jc w:val="center"/>
              <w:rPr>
                <w:color w:val="auto"/>
                <w:szCs w:val="20"/>
                <w:highlight w:val="none"/>
              </w:rPr>
            </w:pPr>
            <w:r>
              <w:rPr>
                <w:rFonts w:hint="eastAsia"/>
                <w:color w:val="auto"/>
                <w:szCs w:val="20"/>
                <w:highlight w:val="none"/>
              </w:rPr>
              <w:t>3  ……</w:t>
            </w:r>
          </w:p>
          <w:p>
            <w:pPr>
              <w:jc w:val="center"/>
              <w:rPr>
                <w:color w:val="auto"/>
                <w:szCs w:val="20"/>
                <w:highlight w:val="none"/>
              </w:rPr>
            </w:pPr>
            <w:r>
              <w:rPr>
                <w:rFonts w:hint="eastAsia"/>
                <w:color w:val="auto"/>
                <w:szCs w:val="20"/>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1  ……</w:t>
            </w:r>
          </w:p>
          <w:p>
            <w:pPr>
              <w:jc w:val="center"/>
              <w:rPr>
                <w:color w:val="auto"/>
                <w:szCs w:val="20"/>
                <w:highlight w:val="none"/>
              </w:rPr>
            </w:pPr>
            <w:r>
              <w:rPr>
                <w:rFonts w:hint="eastAsia"/>
                <w:color w:val="auto"/>
                <w:szCs w:val="20"/>
                <w:highlight w:val="none"/>
              </w:rPr>
              <w:t>2  ……</w:t>
            </w:r>
          </w:p>
          <w:p>
            <w:pPr>
              <w:jc w:val="center"/>
              <w:rPr>
                <w:color w:val="auto"/>
                <w:szCs w:val="20"/>
                <w:highlight w:val="none"/>
              </w:rPr>
            </w:pPr>
            <w:r>
              <w:rPr>
                <w:rFonts w:hint="eastAsia"/>
                <w:color w:val="auto"/>
                <w:szCs w:val="20"/>
                <w:highlight w:val="none"/>
              </w:rPr>
              <w:t>3  ……</w:t>
            </w:r>
          </w:p>
          <w:p>
            <w:pPr>
              <w:jc w:val="center"/>
              <w:rPr>
                <w:color w:val="auto"/>
                <w:szCs w:val="20"/>
                <w:highlight w:val="none"/>
              </w:rPr>
            </w:pPr>
            <w:r>
              <w:rPr>
                <w:rFonts w:hint="eastAsia"/>
                <w:color w:val="auto"/>
                <w:szCs w:val="20"/>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r>
              <w:rPr>
                <w:rFonts w:hint="eastAsia"/>
                <w:color w:val="auto"/>
                <w:szCs w:val="20"/>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jc w:val="center"/>
              <w:rPr>
                <w:color w:val="auto"/>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jc w:val="left"/>
              <w:rPr>
                <w:color w:val="auto"/>
                <w:szCs w:val="20"/>
                <w:highlight w:val="none"/>
              </w:rPr>
            </w:pPr>
            <w:r>
              <w:rPr>
                <w:rFonts w:hint="eastAsia"/>
                <w:color w:val="auto"/>
                <w:szCs w:val="20"/>
                <w:highlight w:val="none"/>
              </w:rPr>
              <w:t>　　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jc w:val="left"/>
              <w:rPr>
                <w:color w:val="auto"/>
                <w:szCs w:val="20"/>
                <w:highlight w:val="none"/>
              </w:rPr>
            </w:pPr>
            <w:r>
              <w:rPr>
                <w:rFonts w:hint="eastAsia"/>
                <w:color w:val="auto"/>
                <w:szCs w:val="20"/>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jc w:val="left"/>
              <w:rPr>
                <w:color w:val="auto"/>
                <w:szCs w:val="20"/>
                <w:highlight w:val="none"/>
              </w:rPr>
            </w:pPr>
            <w:r>
              <w:rPr>
                <w:rFonts w:hint="eastAsia"/>
                <w:color w:val="auto"/>
                <w:szCs w:val="20"/>
                <w:highlight w:val="none"/>
              </w:rPr>
              <w:t>法定代表人或其委托代理人（签字或盖章）：</w:t>
            </w:r>
          </w:p>
        </w:tc>
      </w:tr>
    </w:tbl>
    <w:p>
      <w:pPr>
        <w:jc w:val="left"/>
        <w:rPr>
          <w:color w:val="auto"/>
          <w:szCs w:val="20"/>
          <w:highlight w:val="none"/>
        </w:rPr>
      </w:pPr>
      <w:r>
        <w:rPr>
          <w:rFonts w:hint="eastAsia"/>
          <w:color w:val="auto"/>
          <w:szCs w:val="20"/>
          <w:highlight w:val="none"/>
        </w:rPr>
        <w:t>注：⑴表格内容均需按要求填写并盖章，不得留空，否则按投标无效处理。</w:t>
      </w:r>
    </w:p>
    <w:p>
      <w:pPr>
        <w:jc w:val="center"/>
        <w:rPr>
          <w:color w:val="auto"/>
          <w:szCs w:val="20"/>
          <w:highlight w:val="none"/>
        </w:rPr>
      </w:pPr>
      <w:r>
        <w:rPr>
          <w:rFonts w:hint="eastAsia"/>
          <w:color w:val="auto"/>
          <w:szCs w:val="20"/>
          <w:highlight w:val="none"/>
        </w:rPr>
        <w:t>⑵当投标文件的服务内容低于招标文件要求时，投标人应当如实写明“负偏离”，否则视为虚假应标。</w:t>
      </w:r>
    </w:p>
    <w:p>
      <w:pPr>
        <w:jc w:val="center"/>
        <w:rPr>
          <w:b/>
          <w:color w:val="auto"/>
          <w:sz w:val="30"/>
          <w:szCs w:val="30"/>
          <w:highlight w:val="none"/>
        </w:rPr>
      </w:pPr>
    </w:p>
    <w:p>
      <w:pPr>
        <w:jc w:val="center"/>
        <w:rPr>
          <w:b/>
          <w:color w:val="auto"/>
          <w:sz w:val="30"/>
          <w:szCs w:val="30"/>
          <w:highlight w:val="none"/>
        </w:rPr>
      </w:pPr>
    </w:p>
    <w:p>
      <w:pPr>
        <w:pStyle w:val="9"/>
        <w:spacing w:line="360" w:lineRule="auto"/>
        <w:jc w:val="center"/>
        <w:rPr>
          <w:rFonts w:cs="宋体"/>
          <w:color w:val="auto"/>
          <w:kern w:val="0"/>
          <w:sz w:val="28"/>
          <w:szCs w:val="28"/>
          <w:highlight w:val="none"/>
        </w:rPr>
      </w:pPr>
      <w:r>
        <w:rPr>
          <w:rFonts w:hint="eastAsia"/>
          <w:b/>
          <w:color w:val="auto"/>
          <w:sz w:val="30"/>
          <w:szCs w:val="30"/>
          <w:highlight w:val="none"/>
        </w:rPr>
        <w:br w:type="page"/>
      </w:r>
      <w:r>
        <w:rPr>
          <w:rFonts w:hint="eastAsia" w:cs="宋体"/>
          <w:color w:val="auto"/>
          <w:kern w:val="0"/>
          <w:sz w:val="28"/>
          <w:szCs w:val="28"/>
          <w:highlight w:val="none"/>
        </w:rPr>
        <w:t>技术方案</w:t>
      </w:r>
    </w:p>
    <w:p>
      <w:pPr>
        <w:pStyle w:val="9"/>
        <w:spacing w:line="360" w:lineRule="auto"/>
        <w:jc w:val="center"/>
        <w:rPr>
          <w:rFonts w:cs="宋体"/>
          <w:color w:val="auto"/>
          <w:kern w:val="0"/>
          <w:sz w:val="28"/>
          <w:szCs w:val="28"/>
          <w:highlight w:val="none"/>
        </w:rPr>
      </w:pPr>
      <w:r>
        <w:rPr>
          <w:rFonts w:hint="eastAsia" w:cs="宋体"/>
          <w:color w:val="auto"/>
          <w:kern w:val="0"/>
          <w:sz w:val="24"/>
          <w:highlight w:val="none"/>
        </w:rPr>
        <w:t>（格式自拟）</w:t>
      </w: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600" w:lineRule="exact"/>
        <w:rPr>
          <w:rFonts w:ascii="Times New Roman" w:hAnsi="Times New Roman"/>
          <w:color w:val="auto"/>
          <w:highlight w:val="none"/>
          <w:u w:val="single"/>
        </w:rPr>
      </w:pPr>
      <w:r>
        <w:rPr>
          <w:rFonts w:hint="eastAsia" w:ascii="Times New Roman" w:hAnsi="Times New Roman"/>
          <w:color w:val="auto"/>
          <w:highlight w:val="none"/>
        </w:rPr>
        <w:t>投标人</w:t>
      </w:r>
      <w:r>
        <w:rPr>
          <w:rFonts w:hint="eastAsia"/>
          <w:color w:val="auto"/>
          <w:highlight w:val="none"/>
        </w:rPr>
        <w:t>名称</w:t>
      </w:r>
      <w:r>
        <w:rPr>
          <w:rFonts w:hint="eastAsia" w:ascii="Times New Roman" w:hAnsi="Times New Roman"/>
          <w:color w:val="auto"/>
          <w:highlight w:val="none"/>
        </w:rPr>
        <w:t>（盖单位公章）：</w:t>
      </w:r>
      <w:r>
        <w:rPr>
          <w:rFonts w:hint="eastAsia" w:ascii="Times New Roman" w:hAnsi="Times New Roman"/>
          <w:color w:val="auto"/>
          <w:highlight w:val="none"/>
          <w:u w:val="single"/>
        </w:rPr>
        <w:t xml:space="preserve">                                    </w:t>
      </w:r>
    </w:p>
    <w:p>
      <w:pPr>
        <w:pStyle w:val="9"/>
        <w:spacing w:line="600" w:lineRule="exact"/>
        <w:rPr>
          <w:rFonts w:ascii="Times New Roman" w:hAnsi="Times New Roman"/>
          <w:color w:val="auto"/>
          <w:highlight w:val="none"/>
          <w:u w:val="single"/>
        </w:rPr>
      </w:pPr>
      <w:r>
        <w:rPr>
          <w:rFonts w:hint="eastAsia" w:ascii="Times New Roman" w:hAnsi="Times New Roman"/>
          <w:color w:val="auto"/>
          <w:highlight w:val="none"/>
        </w:rPr>
        <w:t>法定代表人（负责人）或其委托代理人（签字或盖章）：</w:t>
      </w:r>
      <w:r>
        <w:rPr>
          <w:rFonts w:hint="eastAsia" w:ascii="Times New Roman" w:hAnsi="Times New Roman"/>
          <w:color w:val="auto"/>
          <w:highlight w:val="none"/>
          <w:u w:val="single"/>
        </w:rPr>
        <w:t xml:space="preserve">                  </w:t>
      </w:r>
    </w:p>
    <w:p>
      <w:pPr>
        <w:pStyle w:val="9"/>
        <w:spacing w:line="600" w:lineRule="exact"/>
        <w:rPr>
          <w:rFonts w:ascii="Times New Roman" w:hAnsi="Times New Roman"/>
          <w:color w:val="auto"/>
          <w:highlight w:val="none"/>
        </w:rPr>
      </w:pPr>
      <w:r>
        <w:rPr>
          <w:rFonts w:hint="eastAsia" w:ascii="Times New Roman" w:hAnsi="Times New Roman"/>
          <w:color w:val="auto"/>
          <w:highlight w:val="none"/>
        </w:rPr>
        <w:t>日期：    年    月    日</w:t>
      </w: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ind w:firstLine="900" w:firstLineChars="300"/>
        <w:jc w:val="center"/>
        <w:rPr>
          <w:rFonts w:cs="宋体"/>
          <w:color w:val="auto"/>
          <w:kern w:val="0"/>
          <w:sz w:val="28"/>
          <w:szCs w:val="28"/>
          <w:highlight w:val="none"/>
        </w:rPr>
      </w:pPr>
      <w:r>
        <w:rPr>
          <w:rFonts w:hint="eastAsia"/>
          <w:b/>
          <w:color w:val="auto"/>
          <w:sz w:val="30"/>
          <w:szCs w:val="30"/>
          <w:highlight w:val="none"/>
        </w:rPr>
        <w:br w:type="page"/>
      </w:r>
      <w:r>
        <w:rPr>
          <w:rFonts w:hint="eastAsia"/>
          <w:color w:val="auto"/>
          <w:sz w:val="28"/>
          <w:szCs w:val="28"/>
          <w:highlight w:val="none"/>
        </w:rPr>
        <w:t>质量和保密保证措施及承诺</w:t>
      </w:r>
    </w:p>
    <w:p>
      <w:pPr>
        <w:pStyle w:val="9"/>
        <w:spacing w:line="360" w:lineRule="auto"/>
        <w:ind w:firstLine="720" w:firstLineChars="300"/>
        <w:jc w:val="center"/>
        <w:rPr>
          <w:rFonts w:cs="宋体"/>
          <w:color w:val="auto"/>
          <w:kern w:val="0"/>
          <w:sz w:val="28"/>
          <w:szCs w:val="28"/>
          <w:highlight w:val="none"/>
        </w:rPr>
      </w:pPr>
      <w:r>
        <w:rPr>
          <w:rFonts w:hint="eastAsia" w:cs="宋体"/>
          <w:color w:val="auto"/>
          <w:kern w:val="0"/>
          <w:sz w:val="24"/>
          <w:highlight w:val="none"/>
        </w:rPr>
        <w:t>（格式自拟）</w:t>
      </w: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rPr>
      </w:pPr>
    </w:p>
    <w:p>
      <w:pPr>
        <w:pStyle w:val="9"/>
        <w:spacing w:line="600" w:lineRule="exact"/>
        <w:ind w:firstLine="420" w:firstLineChars="200"/>
        <w:rPr>
          <w:rFonts w:ascii="Times New Roman" w:hAnsi="Times New Roman"/>
          <w:color w:val="auto"/>
          <w:highlight w:val="none"/>
          <w:u w:val="single"/>
        </w:rPr>
      </w:pPr>
      <w:r>
        <w:rPr>
          <w:rFonts w:hint="eastAsia" w:ascii="Times New Roman" w:hAnsi="Times New Roman"/>
          <w:color w:val="auto"/>
          <w:highlight w:val="none"/>
        </w:rPr>
        <w:t>投标人名称（盖单位公章）：</w:t>
      </w:r>
      <w:r>
        <w:rPr>
          <w:rFonts w:hint="eastAsia" w:ascii="Times New Roman" w:hAnsi="Times New Roman"/>
          <w:color w:val="auto"/>
          <w:highlight w:val="none"/>
          <w:u w:val="single"/>
        </w:rPr>
        <w:t xml:space="preserve">                                    </w:t>
      </w:r>
    </w:p>
    <w:p>
      <w:pPr>
        <w:pStyle w:val="9"/>
        <w:spacing w:line="600" w:lineRule="exact"/>
        <w:ind w:firstLine="420" w:firstLineChars="200"/>
        <w:rPr>
          <w:rFonts w:ascii="Times New Roman" w:hAnsi="Times New Roman"/>
          <w:color w:val="auto"/>
          <w:highlight w:val="none"/>
          <w:u w:val="single"/>
        </w:rPr>
      </w:pPr>
      <w:r>
        <w:rPr>
          <w:rFonts w:hint="eastAsia" w:ascii="Times New Roman" w:hAnsi="Times New Roman"/>
          <w:color w:val="auto"/>
          <w:highlight w:val="none"/>
        </w:rPr>
        <w:t>法定代表人（负责人）或其委托代理人（签字或盖章）：</w:t>
      </w:r>
      <w:r>
        <w:rPr>
          <w:rFonts w:hint="eastAsia" w:ascii="Times New Roman" w:hAnsi="Times New Roman"/>
          <w:color w:val="auto"/>
          <w:highlight w:val="none"/>
          <w:u w:val="single"/>
        </w:rPr>
        <w:t xml:space="preserve">                  </w:t>
      </w:r>
    </w:p>
    <w:p>
      <w:pPr>
        <w:pStyle w:val="9"/>
        <w:spacing w:line="420" w:lineRule="exact"/>
        <w:ind w:firstLine="420" w:firstLineChars="200"/>
        <w:rPr>
          <w:bCs/>
          <w:color w:val="auto"/>
          <w:szCs w:val="21"/>
          <w:highlight w:val="none"/>
        </w:rPr>
      </w:pPr>
      <w:r>
        <w:rPr>
          <w:rFonts w:hint="eastAsia"/>
          <w:bCs/>
          <w:color w:val="auto"/>
          <w:highlight w:val="none"/>
        </w:rPr>
        <w:t>日期</w:t>
      </w:r>
      <w:r>
        <w:rPr>
          <w:rFonts w:hint="eastAsia"/>
          <w:bCs/>
          <w:color w:val="auto"/>
          <w:highlight w:val="none"/>
          <w:u w:val="single"/>
        </w:rPr>
        <w:t xml:space="preserve">：    </w:t>
      </w:r>
      <w:r>
        <w:rPr>
          <w:rFonts w:hint="eastAsia"/>
          <w:bCs/>
          <w:color w:val="auto"/>
          <w:szCs w:val="21"/>
          <w:highlight w:val="none"/>
        </w:rPr>
        <w:t>年</w:t>
      </w:r>
      <w:r>
        <w:rPr>
          <w:rFonts w:hint="eastAsia"/>
          <w:bCs/>
          <w:color w:val="auto"/>
          <w:highlight w:val="none"/>
          <w:u w:val="single"/>
        </w:rPr>
        <w:t xml:space="preserve">    </w:t>
      </w:r>
      <w:r>
        <w:rPr>
          <w:rFonts w:hint="eastAsia"/>
          <w:bCs/>
          <w:color w:val="auto"/>
          <w:szCs w:val="21"/>
          <w:highlight w:val="none"/>
        </w:rPr>
        <w:t>月</w:t>
      </w:r>
      <w:r>
        <w:rPr>
          <w:rFonts w:hint="eastAsia"/>
          <w:bCs/>
          <w:color w:val="auto"/>
          <w:highlight w:val="none"/>
          <w:u w:val="single"/>
        </w:rPr>
        <w:t xml:space="preserve">    </w:t>
      </w:r>
      <w:r>
        <w:rPr>
          <w:rFonts w:hint="eastAsia"/>
          <w:bCs/>
          <w:color w:val="auto"/>
          <w:szCs w:val="21"/>
          <w:highlight w:val="none"/>
        </w:rPr>
        <w:t>日</w:t>
      </w:r>
    </w:p>
    <w:p>
      <w:pPr>
        <w:pStyle w:val="9"/>
        <w:jc w:val="center"/>
        <w:rPr>
          <w:rFonts w:cs="宋体"/>
          <w:bCs/>
          <w:color w:val="auto"/>
          <w:sz w:val="30"/>
          <w:szCs w:val="30"/>
          <w:highlight w:val="none"/>
        </w:rPr>
      </w:pPr>
      <w:r>
        <w:rPr>
          <w:rFonts w:hint="eastAsia"/>
          <w:b/>
          <w:color w:val="auto"/>
          <w:sz w:val="30"/>
          <w:szCs w:val="30"/>
          <w:highlight w:val="none"/>
        </w:rPr>
        <w:br w:type="page"/>
      </w:r>
      <w:r>
        <w:rPr>
          <w:rFonts w:hint="eastAsia" w:cs="宋体"/>
          <w:bCs/>
          <w:color w:val="auto"/>
          <w:sz w:val="30"/>
          <w:szCs w:val="30"/>
          <w:highlight w:val="none"/>
        </w:rPr>
        <w:t>项目拟投入的技术力量、人员配置</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项目</w:t>
      </w:r>
      <w:r>
        <w:rPr>
          <w:rFonts w:hint="eastAsia" w:ascii="宋体" w:hAnsi="宋体" w:cs="宋体"/>
          <w:color w:val="auto"/>
          <w:sz w:val="24"/>
          <w:highlight w:val="none"/>
        </w:rPr>
        <w:t>拟投入的技术力量、人员配置</w:t>
      </w:r>
    </w:p>
    <w:tbl>
      <w:tblPr>
        <w:tblStyle w:val="14"/>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086"/>
        <w:gridCol w:w="1134"/>
        <w:gridCol w:w="992"/>
        <w:gridCol w:w="1132"/>
        <w:gridCol w:w="1092"/>
        <w:gridCol w:w="1560"/>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47" w:type="dxa"/>
            <w:vAlign w:val="center"/>
          </w:tcPr>
          <w:p>
            <w:pPr>
              <w:jc w:val="center"/>
              <w:rPr>
                <w:rFonts w:hAnsi="宋体"/>
                <w:color w:val="auto"/>
                <w:szCs w:val="21"/>
                <w:highlight w:val="none"/>
              </w:rPr>
            </w:pPr>
            <w:r>
              <w:rPr>
                <w:rFonts w:hint="eastAsia" w:hAnsi="宋体"/>
                <w:color w:val="auto"/>
                <w:szCs w:val="21"/>
                <w:highlight w:val="none"/>
              </w:rPr>
              <w:t>序号</w:t>
            </w:r>
          </w:p>
        </w:tc>
        <w:tc>
          <w:tcPr>
            <w:tcW w:w="1086" w:type="dxa"/>
            <w:vAlign w:val="center"/>
          </w:tcPr>
          <w:p>
            <w:pPr>
              <w:jc w:val="center"/>
              <w:rPr>
                <w:rFonts w:hAnsi="宋体"/>
                <w:color w:val="auto"/>
                <w:szCs w:val="21"/>
                <w:highlight w:val="none"/>
              </w:rPr>
            </w:pPr>
            <w:r>
              <w:rPr>
                <w:rFonts w:hint="eastAsia" w:hAnsi="宋体"/>
                <w:color w:val="auto"/>
                <w:szCs w:val="21"/>
                <w:highlight w:val="none"/>
              </w:rPr>
              <w:t>姓名</w:t>
            </w:r>
          </w:p>
        </w:tc>
        <w:tc>
          <w:tcPr>
            <w:tcW w:w="1134" w:type="dxa"/>
            <w:vAlign w:val="center"/>
          </w:tcPr>
          <w:p>
            <w:pPr>
              <w:jc w:val="center"/>
              <w:rPr>
                <w:rFonts w:hAnsi="宋体"/>
                <w:color w:val="auto"/>
                <w:szCs w:val="21"/>
                <w:highlight w:val="none"/>
              </w:rPr>
            </w:pPr>
            <w:r>
              <w:rPr>
                <w:rFonts w:hint="eastAsia" w:hAnsi="宋体"/>
                <w:color w:val="auto"/>
                <w:szCs w:val="21"/>
                <w:highlight w:val="none"/>
              </w:rPr>
              <w:t>性别</w:t>
            </w:r>
          </w:p>
        </w:tc>
        <w:tc>
          <w:tcPr>
            <w:tcW w:w="992" w:type="dxa"/>
            <w:vAlign w:val="center"/>
          </w:tcPr>
          <w:p>
            <w:pPr>
              <w:jc w:val="center"/>
              <w:rPr>
                <w:rFonts w:hAnsi="宋体"/>
                <w:color w:val="auto"/>
                <w:szCs w:val="21"/>
                <w:highlight w:val="none"/>
              </w:rPr>
            </w:pPr>
            <w:r>
              <w:rPr>
                <w:rFonts w:hint="eastAsia" w:hAnsi="宋体"/>
                <w:color w:val="auto"/>
                <w:szCs w:val="21"/>
                <w:highlight w:val="none"/>
              </w:rPr>
              <w:t>专业</w:t>
            </w:r>
          </w:p>
        </w:tc>
        <w:tc>
          <w:tcPr>
            <w:tcW w:w="1132" w:type="dxa"/>
            <w:vAlign w:val="center"/>
          </w:tcPr>
          <w:p>
            <w:pPr>
              <w:jc w:val="center"/>
              <w:rPr>
                <w:rFonts w:hAnsi="宋体"/>
                <w:color w:val="auto"/>
                <w:szCs w:val="21"/>
                <w:highlight w:val="none"/>
              </w:rPr>
            </w:pPr>
            <w:r>
              <w:rPr>
                <w:rFonts w:hint="eastAsia" w:hAnsi="宋体"/>
                <w:color w:val="auto"/>
                <w:szCs w:val="21"/>
                <w:highlight w:val="none"/>
              </w:rPr>
              <w:t>技术职称</w:t>
            </w:r>
          </w:p>
        </w:tc>
        <w:tc>
          <w:tcPr>
            <w:tcW w:w="1092" w:type="dxa"/>
            <w:vAlign w:val="center"/>
          </w:tcPr>
          <w:p>
            <w:pPr>
              <w:jc w:val="center"/>
              <w:rPr>
                <w:rFonts w:hAnsi="宋体"/>
                <w:color w:val="auto"/>
                <w:szCs w:val="21"/>
                <w:highlight w:val="none"/>
              </w:rPr>
            </w:pPr>
            <w:r>
              <w:rPr>
                <w:rFonts w:hint="eastAsia" w:hAnsi="宋体"/>
                <w:color w:val="auto"/>
                <w:szCs w:val="21"/>
                <w:highlight w:val="none"/>
              </w:rPr>
              <w:t>资格证书</w:t>
            </w:r>
          </w:p>
        </w:tc>
        <w:tc>
          <w:tcPr>
            <w:tcW w:w="1560" w:type="dxa"/>
            <w:vAlign w:val="center"/>
          </w:tcPr>
          <w:p>
            <w:pPr>
              <w:jc w:val="center"/>
              <w:rPr>
                <w:rFonts w:hAnsi="宋体"/>
                <w:color w:val="auto"/>
                <w:szCs w:val="21"/>
                <w:highlight w:val="none"/>
              </w:rPr>
            </w:pPr>
            <w:r>
              <w:rPr>
                <w:rFonts w:hint="eastAsia" w:ascii="宋体" w:hAnsi="宋体" w:cs="宋体"/>
                <w:color w:val="auto"/>
                <w:szCs w:val="21"/>
                <w:highlight w:val="none"/>
              </w:rPr>
              <w:t>其他证书</w:t>
            </w:r>
          </w:p>
        </w:tc>
        <w:tc>
          <w:tcPr>
            <w:tcW w:w="1461" w:type="dxa"/>
            <w:vAlign w:val="center"/>
          </w:tcPr>
          <w:p>
            <w:pPr>
              <w:jc w:val="center"/>
              <w:rPr>
                <w:rFonts w:hAnsi="宋体"/>
                <w:color w:val="auto"/>
                <w:szCs w:val="21"/>
                <w:highlight w:val="none"/>
              </w:rPr>
            </w:pPr>
            <w:r>
              <w:rPr>
                <w:rFonts w:hint="eastAsia" w:hAnsi="宋体"/>
                <w:color w:val="auto"/>
                <w:szCs w:val="21"/>
                <w:highlight w:val="none"/>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47" w:type="dxa"/>
            <w:vAlign w:val="center"/>
          </w:tcPr>
          <w:p>
            <w:pPr>
              <w:jc w:val="center"/>
              <w:rPr>
                <w:rFonts w:hAnsi="宋体"/>
                <w:color w:val="auto"/>
                <w:szCs w:val="21"/>
                <w:highlight w:val="none"/>
              </w:rPr>
            </w:pPr>
            <w:r>
              <w:rPr>
                <w:rFonts w:hint="eastAsia" w:hAnsi="宋体"/>
                <w:color w:val="auto"/>
                <w:szCs w:val="21"/>
                <w:highlight w:val="none"/>
              </w:rPr>
              <w:t>1</w:t>
            </w:r>
          </w:p>
        </w:tc>
        <w:tc>
          <w:tcPr>
            <w:tcW w:w="1086" w:type="dxa"/>
            <w:vAlign w:val="center"/>
          </w:tcPr>
          <w:p>
            <w:pPr>
              <w:jc w:val="center"/>
              <w:rPr>
                <w:rFonts w:hAnsi="宋体"/>
                <w:color w:val="auto"/>
                <w:szCs w:val="21"/>
                <w:highlight w:val="none"/>
              </w:rPr>
            </w:pPr>
          </w:p>
        </w:tc>
        <w:tc>
          <w:tcPr>
            <w:tcW w:w="1134" w:type="dxa"/>
            <w:vAlign w:val="center"/>
          </w:tcPr>
          <w:p>
            <w:pPr>
              <w:jc w:val="center"/>
              <w:rPr>
                <w:rFonts w:hAnsi="宋体"/>
                <w:color w:val="auto"/>
                <w:szCs w:val="21"/>
                <w:highlight w:val="none"/>
              </w:rPr>
            </w:pPr>
          </w:p>
        </w:tc>
        <w:tc>
          <w:tcPr>
            <w:tcW w:w="992" w:type="dxa"/>
            <w:vAlign w:val="center"/>
          </w:tcPr>
          <w:p>
            <w:pPr>
              <w:jc w:val="center"/>
              <w:rPr>
                <w:rFonts w:hAnsi="宋体"/>
                <w:color w:val="auto"/>
                <w:szCs w:val="21"/>
                <w:highlight w:val="none"/>
              </w:rPr>
            </w:pPr>
          </w:p>
        </w:tc>
        <w:tc>
          <w:tcPr>
            <w:tcW w:w="1132" w:type="dxa"/>
            <w:vAlign w:val="center"/>
          </w:tcPr>
          <w:p>
            <w:pPr>
              <w:jc w:val="center"/>
              <w:rPr>
                <w:rFonts w:hAnsi="宋体"/>
                <w:color w:val="auto"/>
                <w:szCs w:val="21"/>
                <w:highlight w:val="none"/>
              </w:rPr>
            </w:pPr>
          </w:p>
        </w:tc>
        <w:tc>
          <w:tcPr>
            <w:tcW w:w="1092" w:type="dxa"/>
          </w:tcPr>
          <w:p>
            <w:pPr>
              <w:jc w:val="center"/>
              <w:rPr>
                <w:rFonts w:hAnsi="宋体"/>
                <w:color w:val="auto"/>
                <w:szCs w:val="21"/>
                <w:highlight w:val="none"/>
              </w:rPr>
            </w:pPr>
          </w:p>
        </w:tc>
        <w:tc>
          <w:tcPr>
            <w:tcW w:w="1560" w:type="dxa"/>
          </w:tcPr>
          <w:p>
            <w:pPr>
              <w:jc w:val="center"/>
              <w:rPr>
                <w:rFonts w:hAnsi="宋体"/>
                <w:color w:val="auto"/>
                <w:szCs w:val="21"/>
                <w:highlight w:val="none"/>
              </w:rPr>
            </w:pPr>
          </w:p>
        </w:tc>
        <w:tc>
          <w:tcPr>
            <w:tcW w:w="1461" w:type="dxa"/>
            <w:vAlign w:val="center"/>
          </w:tcPr>
          <w:p>
            <w:pPr>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47" w:type="dxa"/>
            <w:vAlign w:val="center"/>
          </w:tcPr>
          <w:p>
            <w:pPr>
              <w:jc w:val="center"/>
              <w:rPr>
                <w:rFonts w:hAnsi="宋体"/>
                <w:color w:val="auto"/>
                <w:szCs w:val="21"/>
                <w:highlight w:val="none"/>
              </w:rPr>
            </w:pPr>
            <w:r>
              <w:rPr>
                <w:rFonts w:hint="eastAsia" w:hAnsi="宋体"/>
                <w:color w:val="auto"/>
                <w:szCs w:val="21"/>
                <w:highlight w:val="none"/>
              </w:rPr>
              <w:t>2</w:t>
            </w:r>
          </w:p>
        </w:tc>
        <w:tc>
          <w:tcPr>
            <w:tcW w:w="1086" w:type="dxa"/>
            <w:vAlign w:val="center"/>
          </w:tcPr>
          <w:p>
            <w:pPr>
              <w:jc w:val="center"/>
              <w:rPr>
                <w:rFonts w:hAnsi="宋体"/>
                <w:color w:val="auto"/>
                <w:szCs w:val="21"/>
                <w:highlight w:val="none"/>
              </w:rPr>
            </w:pPr>
          </w:p>
        </w:tc>
        <w:tc>
          <w:tcPr>
            <w:tcW w:w="1134" w:type="dxa"/>
            <w:vAlign w:val="center"/>
          </w:tcPr>
          <w:p>
            <w:pPr>
              <w:jc w:val="center"/>
              <w:rPr>
                <w:rFonts w:hAnsi="宋体"/>
                <w:color w:val="auto"/>
                <w:szCs w:val="21"/>
                <w:highlight w:val="none"/>
              </w:rPr>
            </w:pPr>
          </w:p>
        </w:tc>
        <w:tc>
          <w:tcPr>
            <w:tcW w:w="992" w:type="dxa"/>
            <w:vAlign w:val="center"/>
          </w:tcPr>
          <w:p>
            <w:pPr>
              <w:jc w:val="center"/>
              <w:rPr>
                <w:rFonts w:hAnsi="宋体"/>
                <w:color w:val="auto"/>
                <w:szCs w:val="21"/>
                <w:highlight w:val="none"/>
              </w:rPr>
            </w:pPr>
          </w:p>
        </w:tc>
        <w:tc>
          <w:tcPr>
            <w:tcW w:w="1132" w:type="dxa"/>
            <w:vAlign w:val="center"/>
          </w:tcPr>
          <w:p>
            <w:pPr>
              <w:jc w:val="center"/>
              <w:rPr>
                <w:rFonts w:hAnsi="宋体"/>
                <w:color w:val="auto"/>
                <w:szCs w:val="21"/>
                <w:highlight w:val="none"/>
              </w:rPr>
            </w:pPr>
          </w:p>
        </w:tc>
        <w:tc>
          <w:tcPr>
            <w:tcW w:w="1092" w:type="dxa"/>
          </w:tcPr>
          <w:p>
            <w:pPr>
              <w:jc w:val="center"/>
              <w:rPr>
                <w:rFonts w:hAnsi="宋体"/>
                <w:color w:val="auto"/>
                <w:szCs w:val="21"/>
                <w:highlight w:val="none"/>
              </w:rPr>
            </w:pPr>
          </w:p>
        </w:tc>
        <w:tc>
          <w:tcPr>
            <w:tcW w:w="1560" w:type="dxa"/>
          </w:tcPr>
          <w:p>
            <w:pPr>
              <w:jc w:val="center"/>
              <w:rPr>
                <w:rFonts w:hAnsi="宋体"/>
                <w:color w:val="auto"/>
                <w:szCs w:val="21"/>
                <w:highlight w:val="none"/>
              </w:rPr>
            </w:pPr>
          </w:p>
        </w:tc>
        <w:tc>
          <w:tcPr>
            <w:tcW w:w="1461" w:type="dxa"/>
            <w:vAlign w:val="center"/>
          </w:tcPr>
          <w:p>
            <w:pPr>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47" w:type="dxa"/>
            <w:vAlign w:val="center"/>
          </w:tcPr>
          <w:p>
            <w:pPr>
              <w:jc w:val="center"/>
              <w:rPr>
                <w:rFonts w:hAnsi="宋体"/>
                <w:color w:val="auto"/>
                <w:szCs w:val="21"/>
                <w:highlight w:val="none"/>
              </w:rPr>
            </w:pPr>
            <w:r>
              <w:rPr>
                <w:rFonts w:hint="eastAsia" w:hAnsi="宋体"/>
                <w:color w:val="auto"/>
                <w:szCs w:val="21"/>
                <w:highlight w:val="none"/>
              </w:rPr>
              <w:t>3</w:t>
            </w:r>
          </w:p>
        </w:tc>
        <w:tc>
          <w:tcPr>
            <w:tcW w:w="1086" w:type="dxa"/>
            <w:vAlign w:val="center"/>
          </w:tcPr>
          <w:p>
            <w:pPr>
              <w:jc w:val="center"/>
              <w:rPr>
                <w:rFonts w:hAnsi="宋体"/>
                <w:color w:val="auto"/>
                <w:szCs w:val="21"/>
                <w:highlight w:val="none"/>
              </w:rPr>
            </w:pPr>
          </w:p>
        </w:tc>
        <w:tc>
          <w:tcPr>
            <w:tcW w:w="1134" w:type="dxa"/>
            <w:vAlign w:val="center"/>
          </w:tcPr>
          <w:p>
            <w:pPr>
              <w:jc w:val="center"/>
              <w:rPr>
                <w:rFonts w:hAnsi="宋体"/>
                <w:color w:val="auto"/>
                <w:szCs w:val="21"/>
                <w:highlight w:val="none"/>
              </w:rPr>
            </w:pPr>
          </w:p>
        </w:tc>
        <w:tc>
          <w:tcPr>
            <w:tcW w:w="992" w:type="dxa"/>
            <w:vAlign w:val="center"/>
          </w:tcPr>
          <w:p>
            <w:pPr>
              <w:jc w:val="center"/>
              <w:rPr>
                <w:rFonts w:hAnsi="宋体"/>
                <w:color w:val="auto"/>
                <w:szCs w:val="21"/>
                <w:highlight w:val="none"/>
              </w:rPr>
            </w:pPr>
          </w:p>
        </w:tc>
        <w:tc>
          <w:tcPr>
            <w:tcW w:w="1132" w:type="dxa"/>
            <w:vAlign w:val="center"/>
          </w:tcPr>
          <w:p>
            <w:pPr>
              <w:jc w:val="center"/>
              <w:rPr>
                <w:rFonts w:hAnsi="宋体"/>
                <w:color w:val="auto"/>
                <w:szCs w:val="21"/>
                <w:highlight w:val="none"/>
              </w:rPr>
            </w:pPr>
          </w:p>
        </w:tc>
        <w:tc>
          <w:tcPr>
            <w:tcW w:w="1092" w:type="dxa"/>
          </w:tcPr>
          <w:p>
            <w:pPr>
              <w:jc w:val="center"/>
              <w:rPr>
                <w:rFonts w:hAnsi="宋体"/>
                <w:color w:val="auto"/>
                <w:szCs w:val="21"/>
                <w:highlight w:val="none"/>
              </w:rPr>
            </w:pPr>
          </w:p>
        </w:tc>
        <w:tc>
          <w:tcPr>
            <w:tcW w:w="1560" w:type="dxa"/>
          </w:tcPr>
          <w:p>
            <w:pPr>
              <w:jc w:val="center"/>
              <w:rPr>
                <w:rFonts w:hAnsi="宋体"/>
                <w:color w:val="auto"/>
                <w:szCs w:val="21"/>
                <w:highlight w:val="none"/>
              </w:rPr>
            </w:pPr>
          </w:p>
        </w:tc>
        <w:tc>
          <w:tcPr>
            <w:tcW w:w="1461" w:type="dxa"/>
            <w:vAlign w:val="center"/>
          </w:tcPr>
          <w:p>
            <w:pPr>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47" w:type="dxa"/>
            <w:vAlign w:val="center"/>
          </w:tcPr>
          <w:p>
            <w:pPr>
              <w:jc w:val="center"/>
              <w:rPr>
                <w:rFonts w:hAnsi="宋体"/>
                <w:color w:val="auto"/>
                <w:szCs w:val="21"/>
                <w:highlight w:val="none"/>
              </w:rPr>
            </w:pPr>
            <w:r>
              <w:rPr>
                <w:rFonts w:hint="eastAsia" w:hAnsi="宋体"/>
                <w:color w:val="auto"/>
                <w:szCs w:val="21"/>
                <w:highlight w:val="none"/>
              </w:rPr>
              <w:t>4</w:t>
            </w:r>
          </w:p>
        </w:tc>
        <w:tc>
          <w:tcPr>
            <w:tcW w:w="1086" w:type="dxa"/>
            <w:vAlign w:val="center"/>
          </w:tcPr>
          <w:p>
            <w:pPr>
              <w:jc w:val="center"/>
              <w:rPr>
                <w:rFonts w:hAnsi="宋体"/>
                <w:color w:val="auto"/>
                <w:szCs w:val="21"/>
                <w:highlight w:val="none"/>
              </w:rPr>
            </w:pPr>
          </w:p>
        </w:tc>
        <w:tc>
          <w:tcPr>
            <w:tcW w:w="1134" w:type="dxa"/>
            <w:vAlign w:val="center"/>
          </w:tcPr>
          <w:p>
            <w:pPr>
              <w:jc w:val="center"/>
              <w:rPr>
                <w:rFonts w:hAnsi="宋体"/>
                <w:color w:val="auto"/>
                <w:szCs w:val="21"/>
                <w:highlight w:val="none"/>
              </w:rPr>
            </w:pPr>
          </w:p>
        </w:tc>
        <w:tc>
          <w:tcPr>
            <w:tcW w:w="992" w:type="dxa"/>
            <w:vAlign w:val="center"/>
          </w:tcPr>
          <w:p>
            <w:pPr>
              <w:jc w:val="center"/>
              <w:rPr>
                <w:rFonts w:hAnsi="宋体"/>
                <w:color w:val="auto"/>
                <w:szCs w:val="21"/>
                <w:highlight w:val="none"/>
              </w:rPr>
            </w:pPr>
          </w:p>
        </w:tc>
        <w:tc>
          <w:tcPr>
            <w:tcW w:w="1132" w:type="dxa"/>
            <w:vAlign w:val="center"/>
          </w:tcPr>
          <w:p>
            <w:pPr>
              <w:jc w:val="center"/>
              <w:rPr>
                <w:rFonts w:hAnsi="宋体"/>
                <w:color w:val="auto"/>
                <w:szCs w:val="21"/>
                <w:highlight w:val="none"/>
              </w:rPr>
            </w:pPr>
          </w:p>
        </w:tc>
        <w:tc>
          <w:tcPr>
            <w:tcW w:w="1092" w:type="dxa"/>
          </w:tcPr>
          <w:p>
            <w:pPr>
              <w:jc w:val="center"/>
              <w:rPr>
                <w:rFonts w:hAnsi="宋体"/>
                <w:color w:val="auto"/>
                <w:szCs w:val="21"/>
                <w:highlight w:val="none"/>
              </w:rPr>
            </w:pPr>
          </w:p>
        </w:tc>
        <w:tc>
          <w:tcPr>
            <w:tcW w:w="1560" w:type="dxa"/>
          </w:tcPr>
          <w:p>
            <w:pPr>
              <w:jc w:val="center"/>
              <w:rPr>
                <w:rFonts w:hAnsi="宋体"/>
                <w:color w:val="auto"/>
                <w:szCs w:val="21"/>
                <w:highlight w:val="none"/>
              </w:rPr>
            </w:pPr>
          </w:p>
        </w:tc>
        <w:tc>
          <w:tcPr>
            <w:tcW w:w="1461" w:type="dxa"/>
            <w:vAlign w:val="center"/>
          </w:tcPr>
          <w:p>
            <w:pPr>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47" w:type="dxa"/>
            <w:vAlign w:val="center"/>
          </w:tcPr>
          <w:p>
            <w:pPr>
              <w:jc w:val="center"/>
              <w:rPr>
                <w:rFonts w:hAnsi="宋体"/>
                <w:color w:val="auto"/>
                <w:szCs w:val="21"/>
                <w:highlight w:val="none"/>
              </w:rPr>
            </w:pPr>
            <w:r>
              <w:rPr>
                <w:rFonts w:hint="eastAsia" w:hAnsi="宋体"/>
                <w:color w:val="auto"/>
                <w:szCs w:val="21"/>
                <w:highlight w:val="none"/>
              </w:rPr>
              <w:t>5</w:t>
            </w:r>
          </w:p>
        </w:tc>
        <w:tc>
          <w:tcPr>
            <w:tcW w:w="1086" w:type="dxa"/>
            <w:vAlign w:val="center"/>
          </w:tcPr>
          <w:p>
            <w:pPr>
              <w:jc w:val="center"/>
              <w:rPr>
                <w:rFonts w:hAnsi="宋体"/>
                <w:color w:val="auto"/>
                <w:szCs w:val="21"/>
                <w:highlight w:val="none"/>
              </w:rPr>
            </w:pPr>
          </w:p>
        </w:tc>
        <w:tc>
          <w:tcPr>
            <w:tcW w:w="1134" w:type="dxa"/>
            <w:vAlign w:val="center"/>
          </w:tcPr>
          <w:p>
            <w:pPr>
              <w:jc w:val="center"/>
              <w:rPr>
                <w:rFonts w:hAnsi="宋体"/>
                <w:color w:val="auto"/>
                <w:szCs w:val="21"/>
                <w:highlight w:val="none"/>
              </w:rPr>
            </w:pPr>
          </w:p>
        </w:tc>
        <w:tc>
          <w:tcPr>
            <w:tcW w:w="992" w:type="dxa"/>
            <w:vAlign w:val="center"/>
          </w:tcPr>
          <w:p>
            <w:pPr>
              <w:jc w:val="center"/>
              <w:rPr>
                <w:rFonts w:hAnsi="宋体"/>
                <w:color w:val="auto"/>
                <w:szCs w:val="21"/>
                <w:highlight w:val="none"/>
              </w:rPr>
            </w:pPr>
          </w:p>
        </w:tc>
        <w:tc>
          <w:tcPr>
            <w:tcW w:w="1132" w:type="dxa"/>
            <w:vAlign w:val="center"/>
          </w:tcPr>
          <w:p>
            <w:pPr>
              <w:jc w:val="center"/>
              <w:rPr>
                <w:rFonts w:hAnsi="宋体"/>
                <w:color w:val="auto"/>
                <w:szCs w:val="21"/>
                <w:highlight w:val="none"/>
              </w:rPr>
            </w:pPr>
          </w:p>
        </w:tc>
        <w:tc>
          <w:tcPr>
            <w:tcW w:w="1092" w:type="dxa"/>
          </w:tcPr>
          <w:p>
            <w:pPr>
              <w:jc w:val="center"/>
              <w:rPr>
                <w:rFonts w:hAnsi="宋体"/>
                <w:color w:val="auto"/>
                <w:szCs w:val="21"/>
                <w:highlight w:val="none"/>
              </w:rPr>
            </w:pPr>
          </w:p>
        </w:tc>
        <w:tc>
          <w:tcPr>
            <w:tcW w:w="1560" w:type="dxa"/>
          </w:tcPr>
          <w:p>
            <w:pPr>
              <w:jc w:val="center"/>
              <w:rPr>
                <w:rFonts w:hAnsi="宋体"/>
                <w:color w:val="auto"/>
                <w:szCs w:val="21"/>
                <w:highlight w:val="none"/>
              </w:rPr>
            </w:pPr>
          </w:p>
        </w:tc>
        <w:tc>
          <w:tcPr>
            <w:tcW w:w="1461" w:type="dxa"/>
            <w:vAlign w:val="center"/>
          </w:tcPr>
          <w:p>
            <w:pPr>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47" w:type="dxa"/>
            <w:vAlign w:val="center"/>
          </w:tcPr>
          <w:p>
            <w:pPr>
              <w:jc w:val="center"/>
              <w:rPr>
                <w:rFonts w:hAnsi="宋体"/>
                <w:color w:val="auto"/>
                <w:szCs w:val="21"/>
                <w:highlight w:val="none"/>
              </w:rPr>
            </w:pPr>
            <w:r>
              <w:rPr>
                <w:rFonts w:hint="eastAsia" w:hAnsi="宋体"/>
                <w:color w:val="auto"/>
                <w:szCs w:val="21"/>
                <w:highlight w:val="none"/>
              </w:rPr>
              <w:t>··</w:t>
            </w:r>
          </w:p>
        </w:tc>
        <w:tc>
          <w:tcPr>
            <w:tcW w:w="1086" w:type="dxa"/>
            <w:vAlign w:val="center"/>
          </w:tcPr>
          <w:p>
            <w:pPr>
              <w:jc w:val="center"/>
              <w:rPr>
                <w:rFonts w:hAnsi="宋体"/>
                <w:color w:val="auto"/>
                <w:szCs w:val="21"/>
                <w:highlight w:val="none"/>
              </w:rPr>
            </w:pPr>
          </w:p>
        </w:tc>
        <w:tc>
          <w:tcPr>
            <w:tcW w:w="1134" w:type="dxa"/>
            <w:vAlign w:val="center"/>
          </w:tcPr>
          <w:p>
            <w:pPr>
              <w:jc w:val="center"/>
              <w:rPr>
                <w:rFonts w:hAnsi="宋体"/>
                <w:color w:val="auto"/>
                <w:szCs w:val="21"/>
                <w:highlight w:val="none"/>
              </w:rPr>
            </w:pPr>
          </w:p>
        </w:tc>
        <w:tc>
          <w:tcPr>
            <w:tcW w:w="992" w:type="dxa"/>
            <w:vAlign w:val="center"/>
          </w:tcPr>
          <w:p>
            <w:pPr>
              <w:jc w:val="center"/>
              <w:rPr>
                <w:rFonts w:hAnsi="宋体"/>
                <w:color w:val="auto"/>
                <w:szCs w:val="21"/>
                <w:highlight w:val="none"/>
              </w:rPr>
            </w:pPr>
          </w:p>
        </w:tc>
        <w:tc>
          <w:tcPr>
            <w:tcW w:w="1132" w:type="dxa"/>
            <w:vAlign w:val="center"/>
          </w:tcPr>
          <w:p>
            <w:pPr>
              <w:jc w:val="center"/>
              <w:rPr>
                <w:rFonts w:hAnsi="宋体"/>
                <w:color w:val="auto"/>
                <w:szCs w:val="21"/>
                <w:highlight w:val="none"/>
              </w:rPr>
            </w:pPr>
          </w:p>
        </w:tc>
        <w:tc>
          <w:tcPr>
            <w:tcW w:w="1092" w:type="dxa"/>
          </w:tcPr>
          <w:p>
            <w:pPr>
              <w:jc w:val="center"/>
              <w:rPr>
                <w:rFonts w:hAnsi="宋体"/>
                <w:color w:val="auto"/>
                <w:szCs w:val="21"/>
                <w:highlight w:val="none"/>
              </w:rPr>
            </w:pPr>
          </w:p>
        </w:tc>
        <w:tc>
          <w:tcPr>
            <w:tcW w:w="1560" w:type="dxa"/>
          </w:tcPr>
          <w:p>
            <w:pPr>
              <w:jc w:val="center"/>
              <w:rPr>
                <w:rFonts w:hAnsi="宋体"/>
                <w:color w:val="auto"/>
                <w:szCs w:val="21"/>
                <w:highlight w:val="none"/>
              </w:rPr>
            </w:pPr>
          </w:p>
        </w:tc>
        <w:tc>
          <w:tcPr>
            <w:tcW w:w="1461" w:type="dxa"/>
            <w:vAlign w:val="center"/>
          </w:tcPr>
          <w:p>
            <w:pPr>
              <w:jc w:val="center"/>
              <w:rPr>
                <w:rFonts w:hAnsi="宋体"/>
                <w:color w:val="auto"/>
                <w:szCs w:val="21"/>
                <w:highlight w:val="none"/>
              </w:rPr>
            </w:pPr>
          </w:p>
        </w:tc>
      </w:tr>
    </w:tbl>
    <w:p>
      <w:pPr>
        <w:autoSpaceDE w:val="0"/>
        <w:autoSpaceDN w:val="0"/>
        <w:adjustRightInd w:val="0"/>
        <w:spacing w:line="440" w:lineRule="exact"/>
        <w:rPr>
          <w:rFonts w:hAnsi="宋体"/>
          <w:color w:val="auto"/>
          <w:sz w:val="24"/>
          <w:highlight w:val="none"/>
        </w:rPr>
      </w:pPr>
    </w:p>
    <w:p>
      <w:pPr>
        <w:pStyle w:val="9"/>
        <w:spacing w:line="600" w:lineRule="exact"/>
        <w:rPr>
          <w:rFonts w:ascii="Times New Roman" w:hAnsi="Times New Roman"/>
          <w:color w:val="auto"/>
          <w:highlight w:val="none"/>
          <w:u w:val="single"/>
        </w:rPr>
      </w:pPr>
      <w:r>
        <w:rPr>
          <w:rFonts w:hint="eastAsia" w:ascii="Times New Roman" w:hAnsi="Times New Roman"/>
          <w:color w:val="auto"/>
          <w:highlight w:val="none"/>
        </w:rPr>
        <w:t>投标人</w:t>
      </w:r>
      <w:r>
        <w:rPr>
          <w:rFonts w:hint="eastAsia"/>
          <w:color w:val="auto"/>
          <w:highlight w:val="none"/>
        </w:rPr>
        <w:t>名称</w:t>
      </w:r>
      <w:r>
        <w:rPr>
          <w:rFonts w:hint="eastAsia" w:ascii="Times New Roman" w:hAnsi="Times New Roman"/>
          <w:color w:val="auto"/>
          <w:highlight w:val="none"/>
        </w:rPr>
        <w:t>（盖单位公章）：</w:t>
      </w:r>
      <w:r>
        <w:rPr>
          <w:rFonts w:hint="eastAsia" w:ascii="Times New Roman" w:hAnsi="Times New Roman"/>
          <w:color w:val="auto"/>
          <w:highlight w:val="none"/>
          <w:u w:val="single"/>
        </w:rPr>
        <w:t xml:space="preserve">                                    </w:t>
      </w:r>
    </w:p>
    <w:p>
      <w:pPr>
        <w:pStyle w:val="9"/>
        <w:spacing w:line="600" w:lineRule="exact"/>
        <w:rPr>
          <w:rFonts w:ascii="Times New Roman" w:hAnsi="Times New Roman"/>
          <w:color w:val="auto"/>
          <w:highlight w:val="none"/>
          <w:u w:val="single"/>
        </w:rPr>
      </w:pPr>
      <w:r>
        <w:rPr>
          <w:rFonts w:hint="eastAsia" w:ascii="Times New Roman" w:hAnsi="Times New Roman"/>
          <w:color w:val="auto"/>
          <w:highlight w:val="none"/>
        </w:rPr>
        <w:t>法定代表人（负责人）或其委托代理人（签字或盖章）：</w:t>
      </w:r>
      <w:r>
        <w:rPr>
          <w:rFonts w:hint="eastAsia" w:ascii="Times New Roman" w:hAnsi="Times New Roman"/>
          <w:color w:val="auto"/>
          <w:highlight w:val="none"/>
          <w:u w:val="single"/>
        </w:rPr>
        <w:t xml:space="preserve">                  </w:t>
      </w:r>
    </w:p>
    <w:p>
      <w:pPr>
        <w:pStyle w:val="9"/>
        <w:spacing w:line="420" w:lineRule="exact"/>
        <w:rPr>
          <w:bCs/>
          <w:color w:val="auto"/>
          <w:szCs w:val="21"/>
          <w:highlight w:val="none"/>
        </w:rPr>
      </w:pPr>
      <w:r>
        <w:rPr>
          <w:rFonts w:hint="eastAsia"/>
          <w:bCs/>
          <w:color w:val="auto"/>
          <w:highlight w:val="none"/>
        </w:rPr>
        <w:t>日期</w:t>
      </w:r>
      <w:r>
        <w:rPr>
          <w:rFonts w:hint="eastAsia"/>
          <w:bCs/>
          <w:color w:val="auto"/>
          <w:highlight w:val="none"/>
          <w:u w:val="single"/>
        </w:rPr>
        <w:t xml:space="preserve">：    </w:t>
      </w:r>
      <w:r>
        <w:rPr>
          <w:rFonts w:hint="eastAsia"/>
          <w:bCs/>
          <w:color w:val="auto"/>
          <w:szCs w:val="21"/>
          <w:highlight w:val="none"/>
        </w:rPr>
        <w:t>年</w:t>
      </w:r>
      <w:r>
        <w:rPr>
          <w:rFonts w:hint="eastAsia"/>
          <w:bCs/>
          <w:color w:val="auto"/>
          <w:highlight w:val="none"/>
          <w:u w:val="single"/>
        </w:rPr>
        <w:t xml:space="preserve">    </w:t>
      </w:r>
      <w:r>
        <w:rPr>
          <w:rFonts w:hint="eastAsia"/>
          <w:bCs/>
          <w:color w:val="auto"/>
          <w:szCs w:val="21"/>
          <w:highlight w:val="none"/>
        </w:rPr>
        <w:t>月</w:t>
      </w:r>
      <w:r>
        <w:rPr>
          <w:rFonts w:hint="eastAsia"/>
          <w:bCs/>
          <w:color w:val="auto"/>
          <w:highlight w:val="none"/>
          <w:u w:val="single"/>
        </w:rPr>
        <w:t xml:space="preserve">    </w:t>
      </w:r>
      <w:r>
        <w:rPr>
          <w:rFonts w:hint="eastAsia"/>
          <w:bCs/>
          <w:color w:val="auto"/>
          <w:szCs w:val="21"/>
          <w:highlight w:val="none"/>
        </w:rPr>
        <w:t>日</w:t>
      </w:r>
    </w:p>
    <w:p>
      <w:pPr>
        <w:snapToGrid w:val="0"/>
        <w:spacing w:before="50" w:after="50" w:line="440" w:lineRule="exact"/>
        <w:rPr>
          <w:rFonts w:ascii="仿宋_GB2312" w:hAnsi="宋体" w:eastAsia="仿宋_GB2312"/>
          <w:color w:val="auto"/>
          <w:sz w:val="28"/>
          <w:szCs w:val="28"/>
          <w:highlight w:val="none"/>
        </w:rPr>
      </w:pPr>
    </w:p>
    <w:p>
      <w:pPr>
        <w:pStyle w:val="9"/>
        <w:spacing w:line="360" w:lineRule="auto"/>
        <w:rPr>
          <w:rFonts w:ascii="仿宋_GB2312" w:eastAsia="仿宋_GB2312"/>
          <w:color w:val="auto"/>
          <w:sz w:val="28"/>
          <w:szCs w:val="28"/>
          <w:highlight w:val="none"/>
          <w:u w:val="single"/>
        </w:rPr>
      </w:pPr>
    </w:p>
    <w:p>
      <w:pPr>
        <w:pStyle w:val="9"/>
        <w:spacing w:line="360" w:lineRule="auto"/>
        <w:rPr>
          <w:rFonts w:ascii="仿宋_GB2312" w:eastAsia="仿宋_GB2312"/>
          <w:color w:val="auto"/>
          <w:sz w:val="28"/>
          <w:szCs w:val="28"/>
          <w:highlight w:val="none"/>
          <w:u w:val="single"/>
        </w:rPr>
      </w:pPr>
    </w:p>
    <w:p>
      <w:pPr>
        <w:pStyle w:val="9"/>
        <w:spacing w:line="360" w:lineRule="auto"/>
        <w:rPr>
          <w:rFonts w:ascii="仿宋_GB2312" w:eastAsia="仿宋_GB2312"/>
          <w:color w:val="auto"/>
          <w:sz w:val="28"/>
          <w:szCs w:val="28"/>
          <w:highlight w:val="none"/>
          <w:u w:val="single"/>
        </w:rPr>
      </w:pPr>
    </w:p>
    <w:p>
      <w:pPr>
        <w:pStyle w:val="9"/>
        <w:spacing w:line="360" w:lineRule="auto"/>
        <w:rPr>
          <w:rFonts w:ascii="仿宋_GB2312" w:eastAsia="仿宋_GB2312"/>
          <w:color w:val="auto"/>
          <w:sz w:val="28"/>
          <w:szCs w:val="28"/>
          <w:highlight w:val="none"/>
          <w:u w:val="single"/>
        </w:rPr>
      </w:pPr>
    </w:p>
    <w:p>
      <w:pPr>
        <w:jc w:val="center"/>
        <w:rPr>
          <w:b/>
          <w:color w:val="auto"/>
          <w:sz w:val="30"/>
          <w:szCs w:val="30"/>
          <w:highlight w:val="none"/>
        </w:rPr>
      </w:pPr>
      <w:r>
        <w:rPr>
          <w:rFonts w:hint="eastAsia"/>
          <w:b/>
          <w:color w:val="auto"/>
          <w:sz w:val="30"/>
          <w:szCs w:val="30"/>
          <w:highlight w:val="none"/>
        </w:rPr>
        <w:br w:type="page"/>
      </w:r>
      <w:r>
        <w:rPr>
          <w:rFonts w:hint="eastAsia"/>
          <w:b/>
          <w:color w:val="auto"/>
          <w:sz w:val="30"/>
          <w:szCs w:val="30"/>
          <w:highlight w:val="none"/>
        </w:rPr>
        <w:t>资格声明函（格式）</w:t>
      </w:r>
    </w:p>
    <w:p>
      <w:pPr>
        <w:tabs>
          <w:tab w:val="left" w:pos="7200"/>
        </w:tabs>
        <w:spacing w:line="360" w:lineRule="auto"/>
        <w:rPr>
          <w:rFonts w:hAnsi="宋体"/>
          <w:color w:val="auto"/>
          <w:highlight w:val="none"/>
        </w:rPr>
      </w:pPr>
      <w:r>
        <w:rPr>
          <w:rFonts w:hint="eastAsia" w:hAnsi="宋体"/>
          <w:color w:val="auto"/>
          <w:highlight w:val="none"/>
        </w:rPr>
        <w:t>致：</w:t>
      </w:r>
      <w:r>
        <w:rPr>
          <w:rFonts w:hAnsi="宋体"/>
          <w:color w:val="auto"/>
          <w:highlight w:val="none"/>
        </w:rPr>
        <w:t>_</w:t>
      </w:r>
      <w:r>
        <w:rPr>
          <w:rFonts w:hAnsi="宋体"/>
          <w:color w:val="auto"/>
          <w:highlight w:val="none"/>
          <w:u w:val="single"/>
        </w:rPr>
        <w:t xml:space="preserve">                      </w:t>
      </w:r>
      <w:r>
        <w:rPr>
          <w:rFonts w:hint="eastAsia" w:hAnsi="宋体"/>
          <w:color w:val="auto"/>
          <w:highlight w:val="none"/>
        </w:rPr>
        <w:t>（采购代理机构名称）</w:t>
      </w:r>
    </w:p>
    <w:p>
      <w:pPr>
        <w:tabs>
          <w:tab w:val="left" w:pos="7200"/>
        </w:tabs>
        <w:spacing w:line="360" w:lineRule="auto"/>
        <w:ind w:firstLine="420" w:firstLineChars="200"/>
        <w:rPr>
          <w:rFonts w:hAnsi="宋体"/>
          <w:color w:val="auto"/>
          <w:highlight w:val="none"/>
        </w:rPr>
      </w:pPr>
      <w:r>
        <w:rPr>
          <w:rFonts w:hint="eastAsia" w:hAnsi="宋体"/>
          <w:color w:val="auto"/>
          <w:highlight w:val="none"/>
        </w:rPr>
        <w:t>我方愿意参加贵方组织的</w:t>
      </w:r>
      <w:r>
        <w:rPr>
          <w:rFonts w:hAnsi="宋体"/>
          <w:color w:val="auto"/>
          <w:highlight w:val="none"/>
        </w:rPr>
        <w:t>_</w:t>
      </w:r>
      <w:r>
        <w:rPr>
          <w:rFonts w:hAnsi="宋体"/>
          <w:color w:val="auto"/>
          <w:highlight w:val="none"/>
          <w:u w:val="single"/>
        </w:rPr>
        <w:t xml:space="preserve">     (</w:t>
      </w:r>
      <w:r>
        <w:rPr>
          <w:rFonts w:hint="eastAsia" w:hAnsi="宋体"/>
          <w:color w:val="auto"/>
          <w:highlight w:val="none"/>
          <w:u w:val="single"/>
        </w:rPr>
        <w:t>项目名称</w:t>
      </w:r>
      <w:r>
        <w:rPr>
          <w:rFonts w:hAnsi="宋体"/>
          <w:color w:val="auto"/>
          <w:highlight w:val="none"/>
          <w:u w:val="single"/>
        </w:rPr>
        <w:t>)     _     _</w:t>
      </w:r>
      <w:r>
        <w:rPr>
          <w:rFonts w:hAnsi="宋体"/>
          <w:color w:val="auto"/>
          <w:highlight w:val="none"/>
        </w:rPr>
        <w:t>_</w:t>
      </w:r>
      <w:r>
        <w:rPr>
          <w:rFonts w:hint="eastAsia" w:hAnsi="宋体"/>
          <w:color w:val="auto"/>
          <w:highlight w:val="none"/>
        </w:rPr>
        <w:t>（项目编号：</w:t>
      </w:r>
      <w:r>
        <w:rPr>
          <w:rFonts w:hAnsi="宋体"/>
          <w:color w:val="auto"/>
          <w:highlight w:val="none"/>
        </w:rPr>
        <w:t xml:space="preserve">       </w:t>
      </w:r>
      <w:r>
        <w:rPr>
          <w:rFonts w:hint="eastAsia" w:hAnsi="宋体"/>
          <w:color w:val="auto"/>
          <w:highlight w:val="none"/>
        </w:rPr>
        <w:t>）项目的投标，为便于贵方公正、择优地确定中标人，我方就本次投标有关事项郑重声明如下：</w:t>
      </w:r>
    </w:p>
    <w:p>
      <w:pPr>
        <w:spacing w:line="440" w:lineRule="exact"/>
        <w:ind w:firstLine="482"/>
        <w:rPr>
          <w:rFonts w:ascii="宋体" w:hAnsi="Courier New"/>
          <w:color w:val="auto"/>
          <w:szCs w:val="21"/>
          <w:highlight w:val="none"/>
        </w:rPr>
      </w:pPr>
      <w:r>
        <w:rPr>
          <w:rFonts w:hint="eastAsia" w:ascii="宋体" w:hAnsi="Courier New"/>
          <w:color w:val="auto"/>
          <w:szCs w:val="21"/>
          <w:highlight w:val="none"/>
        </w:rPr>
        <w:t>1.我方承诺已经具备《中华人民共和国政府采购法》中规定的参加政府采购活动的供应商应当具备的条件：</w:t>
      </w:r>
    </w:p>
    <w:p>
      <w:pPr>
        <w:spacing w:line="440" w:lineRule="exact"/>
        <w:ind w:left="420"/>
        <w:rPr>
          <w:rFonts w:ascii="宋体" w:hAnsi="Courier New"/>
          <w:color w:val="auto"/>
          <w:szCs w:val="21"/>
          <w:highlight w:val="none"/>
        </w:rPr>
      </w:pPr>
      <w:r>
        <w:rPr>
          <w:rFonts w:hint="eastAsia" w:ascii="宋体" w:hAnsi="Courier New"/>
          <w:color w:val="auto"/>
          <w:szCs w:val="21"/>
          <w:highlight w:val="none"/>
        </w:rPr>
        <w:t>（1）具有独立承担民事责任的能力；</w:t>
      </w:r>
    </w:p>
    <w:p>
      <w:pPr>
        <w:spacing w:line="440" w:lineRule="exact"/>
        <w:ind w:left="420"/>
        <w:rPr>
          <w:rFonts w:ascii="宋体" w:hAnsi="Courier New"/>
          <w:color w:val="auto"/>
          <w:szCs w:val="21"/>
          <w:highlight w:val="none"/>
        </w:rPr>
      </w:pPr>
      <w:r>
        <w:rPr>
          <w:rFonts w:hint="eastAsia" w:ascii="宋体" w:hAnsi="Courier New"/>
          <w:color w:val="auto"/>
          <w:szCs w:val="21"/>
          <w:highlight w:val="none"/>
        </w:rPr>
        <w:t>（2）具有良好的商业信誉和健全的财务会计制度；</w:t>
      </w:r>
    </w:p>
    <w:p>
      <w:pPr>
        <w:spacing w:line="440" w:lineRule="exact"/>
        <w:ind w:left="420"/>
        <w:rPr>
          <w:rFonts w:ascii="宋体" w:hAnsi="Courier New"/>
          <w:color w:val="auto"/>
          <w:szCs w:val="21"/>
          <w:highlight w:val="none"/>
        </w:rPr>
      </w:pPr>
      <w:r>
        <w:rPr>
          <w:rFonts w:hint="eastAsia" w:ascii="宋体" w:hAnsi="Courier New"/>
          <w:color w:val="auto"/>
          <w:szCs w:val="21"/>
          <w:highlight w:val="none"/>
        </w:rPr>
        <w:t>（3）具有履行合同所必需的设备和专业技术能力；</w:t>
      </w:r>
    </w:p>
    <w:p>
      <w:pPr>
        <w:spacing w:line="440" w:lineRule="exact"/>
        <w:ind w:left="420"/>
        <w:rPr>
          <w:rFonts w:ascii="宋体" w:hAnsi="Courier New"/>
          <w:color w:val="auto"/>
          <w:szCs w:val="21"/>
          <w:highlight w:val="none"/>
        </w:rPr>
      </w:pPr>
      <w:r>
        <w:rPr>
          <w:rFonts w:hint="eastAsia" w:ascii="宋体" w:hAnsi="Courier New"/>
          <w:color w:val="auto"/>
          <w:szCs w:val="21"/>
          <w:highlight w:val="none"/>
        </w:rPr>
        <w:t>（4）有依法缴纳税收和社会保障资金的良好记录；</w:t>
      </w:r>
    </w:p>
    <w:p>
      <w:pPr>
        <w:spacing w:line="440" w:lineRule="exact"/>
        <w:ind w:left="420"/>
        <w:rPr>
          <w:rFonts w:ascii="宋体" w:hAnsi="Courier New"/>
          <w:color w:val="auto"/>
          <w:szCs w:val="21"/>
          <w:highlight w:val="none"/>
        </w:rPr>
      </w:pPr>
      <w:r>
        <w:rPr>
          <w:rFonts w:hint="eastAsia" w:ascii="宋体" w:hAnsi="Courier New"/>
          <w:color w:val="auto"/>
          <w:szCs w:val="21"/>
          <w:highlight w:val="none"/>
        </w:rPr>
        <w:t>（5）参加政府采购活动前三年内，在经营活动中没有重大违法记录；</w:t>
      </w:r>
    </w:p>
    <w:p>
      <w:pPr>
        <w:spacing w:line="440" w:lineRule="exact"/>
        <w:ind w:left="420"/>
        <w:rPr>
          <w:rFonts w:ascii="宋体" w:hAnsi="Courier New"/>
          <w:color w:val="auto"/>
          <w:szCs w:val="21"/>
          <w:highlight w:val="none"/>
        </w:rPr>
      </w:pPr>
      <w:r>
        <w:rPr>
          <w:rFonts w:hint="eastAsia" w:ascii="宋体" w:hAnsi="Courier New"/>
          <w:color w:val="auto"/>
          <w:szCs w:val="21"/>
          <w:highlight w:val="none"/>
        </w:rPr>
        <w:t>（6）法律、行政法规规定的其他条件。</w:t>
      </w:r>
    </w:p>
    <w:p>
      <w:pPr>
        <w:tabs>
          <w:tab w:val="left" w:pos="7200"/>
        </w:tabs>
        <w:spacing w:line="360" w:lineRule="auto"/>
        <w:ind w:firstLine="420" w:firstLineChars="200"/>
        <w:rPr>
          <w:rFonts w:hAnsi="宋体"/>
          <w:color w:val="auto"/>
          <w:highlight w:val="none"/>
          <w:u w:val="single"/>
        </w:rPr>
      </w:pPr>
      <w:r>
        <w:rPr>
          <w:rFonts w:hAnsi="宋体"/>
          <w:color w:val="auto"/>
          <w:highlight w:val="none"/>
        </w:rPr>
        <w:t xml:space="preserve">2. </w:t>
      </w:r>
      <w:r>
        <w:rPr>
          <w:rFonts w:hint="eastAsia" w:hAnsi="宋体"/>
          <w:color w:val="auto"/>
          <w:highlight w:val="none"/>
        </w:rPr>
        <w:t>经查询 “信用中国”和“中国政府采购网”网站我方未被列入失信被执行人、重大税收违法案件当事人名单、政府采购严重违法失信行为记录名单。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color w:val="auto"/>
          <w:highlight w:val="none"/>
        </w:rPr>
      </w:pPr>
      <w:r>
        <w:rPr>
          <w:rFonts w:hint="eastAsia" w:hAnsi="宋体"/>
          <w:color w:val="auto"/>
          <w:highlight w:val="none"/>
        </w:rPr>
        <w:t>以上事项如有虚假或隐瞒，我方愿意承担一切后果，并不再寻求任何旨在减轻或免除法律责任的辩解。</w:t>
      </w:r>
    </w:p>
    <w:p>
      <w:pPr>
        <w:tabs>
          <w:tab w:val="left" w:pos="7200"/>
        </w:tabs>
        <w:spacing w:line="360" w:lineRule="auto"/>
        <w:rPr>
          <w:rFonts w:ascii="宋体" w:hAnsi="宋体"/>
          <w:b/>
          <w:color w:val="auto"/>
          <w:highlight w:val="none"/>
        </w:rPr>
      </w:pPr>
      <w:r>
        <w:rPr>
          <w:rFonts w:hint="eastAsia" w:ascii="宋体" w:hAnsi="宋体"/>
          <w:b/>
          <w:color w:val="auto"/>
          <w:highlight w:val="none"/>
        </w:rPr>
        <w:t>说明：</w:t>
      </w:r>
    </w:p>
    <w:p>
      <w:pPr>
        <w:spacing w:line="360" w:lineRule="exact"/>
        <w:ind w:firstLine="420" w:firstLineChars="200"/>
        <w:jc w:val="left"/>
        <w:rPr>
          <w:rFonts w:ascii="宋体" w:hAnsi="宋体"/>
          <w:color w:val="auto"/>
          <w:highlight w:val="none"/>
        </w:rPr>
      </w:pPr>
      <w:r>
        <w:rPr>
          <w:rFonts w:hint="eastAsia" w:ascii="宋体" w:hAnsi="宋体"/>
          <w:color w:val="auto"/>
          <w:highlight w:val="none"/>
        </w:rPr>
        <w:t>1.</w:t>
      </w:r>
      <w:r>
        <w:rPr>
          <w:rFonts w:hint="eastAsia" w:ascii="宋体" w:hAnsi="宋体"/>
          <w:color w:val="auto"/>
          <w:szCs w:val="21"/>
          <w:highlight w:val="none"/>
        </w:rPr>
        <w:t xml:space="preserve"> </w:t>
      </w:r>
      <w:r>
        <w:rPr>
          <w:rFonts w:hint="eastAsia" w:hAnsi="宋体"/>
          <w:color w:val="auto"/>
          <w:highlight w:val="none"/>
        </w:rPr>
        <w:t>“信用中国”和“中国政府采购网”网站</w:t>
      </w:r>
      <w:r>
        <w:rPr>
          <w:rFonts w:hint="eastAsia" w:ascii="宋体" w:hAnsi="宋体"/>
          <w:color w:val="auto"/>
          <w:szCs w:val="21"/>
          <w:highlight w:val="none"/>
        </w:rPr>
        <w:t>打印查询</w:t>
      </w:r>
      <w:r>
        <w:rPr>
          <w:rFonts w:hint="eastAsia" w:hAnsi="宋体"/>
          <w:color w:val="auto"/>
          <w:highlight w:val="none"/>
        </w:rPr>
        <w:t>失信被执行人、重大税收违法案件当事人名单、政府采购严重违法失信行为记录名单</w:t>
      </w:r>
      <w:r>
        <w:rPr>
          <w:rFonts w:hint="eastAsia" w:ascii="宋体" w:hAnsi="宋体"/>
          <w:color w:val="auto"/>
          <w:szCs w:val="21"/>
          <w:highlight w:val="none"/>
        </w:rPr>
        <w:t>查询记录打印材料作为评审资料保存。</w:t>
      </w:r>
      <w:r>
        <w:rPr>
          <w:rFonts w:hint="eastAsia" w:ascii="宋体" w:hAnsi="宋体"/>
          <w:color w:val="auto"/>
          <w:highlight w:val="none"/>
        </w:rPr>
        <w:t>采购人或采购代理机构在对投标人资格审查时进行信用查询，查询结果与投标文件不一致时，以采购人或采购代理机构查询结果为准。</w:t>
      </w:r>
    </w:p>
    <w:p>
      <w:pPr>
        <w:spacing w:line="440" w:lineRule="exact"/>
        <w:ind w:firstLine="420" w:firstLineChars="200"/>
        <w:jc w:val="left"/>
        <w:rPr>
          <w:rFonts w:hAnsi="宋体"/>
          <w:color w:val="auto"/>
          <w:highlight w:val="none"/>
        </w:rPr>
      </w:pPr>
      <w:r>
        <w:rPr>
          <w:rFonts w:hint="eastAsia" w:ascii="宋体" w:hAnsi="宋体"/>
          <w:color w:val="auto"/>
          <w:highlight w:val="none"/>
        </w:rPr>
        <w:t>2.</w:t>
      </w:r>
      <w:r>
        <w:rPr>
          <w:rFonts w:hint="eastAsia" w:ascii="宋体" w:hAnsi="宋体"/>
          <w:color w:val="auto"/>
          <w:szCs w:val="21"/>
          <w:highlight w:val="none"/>
        </w:rPr>
        <w:t>信用中国”网站、中国政府采购网渠道列入失信被执行人、重大税收违法案件当事人名单、政府采购严重违法失信行为记录名单及其他不符合《中华人民共和国政府采购法》第二十二条规定条件的供应商</w:t>
      </w:r>
      <w:r>
        <w:rPr>
          <w:rFonts w:hint="eastAsia" w:hAnsi="宋体"/>
          <w:color w:val="auto"/>
          <w:highlight w:val="none"/>
        </w:rPr>
        <w:t>，将被拒绝参与本项目政府采购活动。</w:t>
      </w:r>
    </w:p>
    <w:p>
      <w:pPr>
        <w:spacing w:line="360" w:lineRule="exact"/>
        <w:ind w:firstLine="420" w:firstLineChars="200"/>
        <w:jc w:val="left"/>
        <w:rPr>
          <w:rFonts w:ascii="宋体" w:hAnsi="宋体"/>
          <w:color w:val="auto"/>
          <w:highlight w:val="none"/>
        </w:rPr>
      </w:pPr>
      <w:r>
        <w:rPr>
          <w:rFonts w:hint="eastAsia" w:ascii="宋体" w:hAnsi="宋体"/>
          <w:color w:val="auto"/>
          <w:highlight w:val="none"/>
        </w:rPr>
        <w:t>3.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tabs>
          <w:tab w:val="left" w:pos="7200"/>
        </w:tabs>
        <w:spacing w:line="360" w:lineRule="auto"/>
        <w:ind w:firstLine="839" w:firstLineChars="398"/>
        <w:rPr>
          <w:rFonts w:hAnsi="宋体"/>
          <w:b/>
          <w:color w:val="auto"/>
          <w:highlight w:val="none"/>
        </w:rPr>
      </w:pPr>
      <w:r>
        <w:rPr>
          <w:rFonts w:hAnsi="宋体"/>
          <w:b/>
          <w:color w:val="auto"/>
          <w:highlight w:val="none"/>
        </w:rPr>
        <w:t xml:space="preserve">                                  </w:t>
      </w:r>
    </w:p>
    <w:p>
      <w:pPr>
        <w:tabs>
          <w:tab w:val="left" w:pos="7200"/>
        </w:tabs>
        <w:spacing w:line="360" w:lineRule="auto"/>
        <w:ind w:firstLine="3791" w:firstLineChars="1798"/>
        <w:rPr>
          <w:rFonts w:hAnsi="宋体"/>
          <w:b/>
          <w:color w:val="auto"/>
          <w:highlight w:val="none"/>
        </w:rPr>
      </w:pPr>
      <w:r>
        <w:rPr>
          <w:rFonts w:hint="eastAsia" w:hAnsi="宋体"/>
          <w:b/>
          <w:color w:val="auto"/>
          <w:highlight w:val="none"/>
        </w:rPr>
        <w:t xml:space="preserve">投标人（盖单位公章）：                      </w:t>
      </w:r>
    </w:p>
    <w:p>
      <w:pPr>
        <w:tabs>
          <w:tab w:val="left" w:pos="7200"/>
        </w:tabs>
        <w:spacing w:line="360" w:lineRule="auto"/>
        <w:ind w:firstLine="3791" w:firstLineChars="1798"/>
        <w:rPr>
          <w:rFonts w:hAnsi="宋体"/>
          <w:b/>
          <w:color w:val="auto"/>
          <w:highlight w:val="none"/>
          <w:u w:val="single"/>
        </w:rPr>
      </w:pPr>
      <w:r>
        <w:rPr>
          <w:rFonts w:hint="eastAsia" w:hAnsi="宋体"/>
          <w:b/>
          <w:color w:val="auto"/>
          <w:highlight w:val="none"/>
        </w:rPr>
        <w:t xml:space="preserve">法定代表人或其委托代理人（签字或盖章）：                  </w:t>
      </w:r>
    </w:p>
    <w:p>
      <w:pPr>
        <w:tabs>
          <w:tab w:val="left" w:pos="7200"/>
        </w:tabs>
        <w:spacing w:line="360" w:lineRule="auto"/>
        <w:ind w:firstLine="4100" w:firstLineChars="1945"/>
        <w:rPr>
          <w:rFonts w:hAnsi="宋体"/>
          <w:b/>
          <w:color w:val="auto"/>
          <w:highlight w:val="none"/>
        </w:rPr>
      </w:pPr>
      <w:r>
        <w:rPr>
          <w:rFonts w:hAnsi="宋体"/>
          <w:b/>
          <w:color w:val="auto"/>
          <w:highlight w:val="none"/>
        </w:rPr>
        <w:t xml:space="preserve">                             </w:t>
      </w:r>
    </w:p>
    <w:p>
      <w:pPr>
        <w:tabs>
          <w:tab w:val="left" w:pos="7200"/>
        </w:tabs>
        <w:spacing w:line="360" w:lineRule="auto"/>
        <w:ind w:firstLine="839" w:firstLineChars="398"/>
        <w:rPr>
          <w:rFonts w:hAnsi="宋体"/>
          <w:b/>
          <w:color w:val="auto"/>
          <w:highlight w:val="none"/>
        </w:rPr>
      </w:pPr>
      <w:r>
        <w:rPr>
          <w:rFonts w:hAnsi="宋体"/>
          <w:b/>
          <w:color w:val="auto"/>
          <w:highlight w:val="none"/>
        </w:rPr>
        <w:t xml:space="preserve">                                               </w:t>
      </w:r>
      <w:r>
        <w:rPr>
          <w:rFonts w:hint="eastAsia" w:hAnsi="宋体"/>
          <w:b/>
          <w:color w:val="auto"/>
          <w:highlight w:val="none"/>
        </w:rPr>
        <w:t>年</w:t>
      </w:r>
      <w:r>
        <w:rPr>
          <w:rFonts w:hAnsi="宋体"/>
          <w:b/>
          <w:color w:val="auto"/>
          <w:highlight w:val="none"/>
        </w:rPr>
        <w:t xml:space="preserve">    </w:t>
      </w:r>
      <w:r>
        <w:rPr>
          <w:rFonts w:hint="eastAsia" w:hAnsi="宋体"/>
          <w:b/>
          <w:color w:val="auto"/>
          <w:highlight w:val="none"/>
        </w:rPr>
        <w:t>月</w:t>
      </w:r>
      <w:r>
        <w:rPr>
          <w:rFonts w:hAnsi="宋体"/>
          <w:b/>
          <w:color w:val="auto"/>
          <w:highlight w:val="none"/>
        </w:rPr>
        <w:t xml:space="preserve">    </w:t>
      </w:r>
      <w:r>
        <w:rPr>
          <w:rFonts w:hint="eastAsia" w:hAnsi="宋体"/>
          <w:b/>
          <w:color w:val="auto"/>
          <w:highlight w:val="none"/>
        </w:rPr>
        <w:t>日</w:t>
      </w:r>
    </w:p>
    <w:p>
      <w:pPr>
        <w:snapToGrid w:val="0"/>
        <w:spacing w:before="156" w:beforeLines="50" w:after="50"/>
        <w:jc w:val="center"/>
        <w:rPr>
          <w:rFonts w:ascii="宋体" w:hAnsi="宋体"/>
          <w:b/>
          <w:color w:val="auto"/>
          <w:sz w:val="28"/>
          <w:szCs w:val="28"/>
          <w:highlight w:val="none"/>
        </w:rPr>
      </w:pPr>
      <w:r>
        <w:rPr>
          <w:rFonts w:hint="eastAsia" w:ascii="宋体" w:hAnsi="宋体"/>
          <w:b/>
          <w:color w:val="auto"/>
          <w:sz w:val="28"/>
          <w:szCs w:val="28"/>
          <w:highlight w:val="none"/>
        </w:rPr>
        <w:t>信用管理提供材料</w:t>
      </w:r>
    </w:p>
    <w:p>
      <w:pPr>
        <w:spacing w:line="360" w:lineRule="auto"/>
        <w:rPr>
          <w:rFonts w:ascii="宋体" w:hAnsi="宋体"/>
          <w:color w:val="auto"/>
          <w:kern w:val="1"/>
          <w:szCs w:val="21"/>
          <w:highlight w:val="none"/>
        </w:rPr>
      </w:pPr>
    </w:p>
    <w:p>
      <w:pPr>
        <w:spacing w:line="360" w:lineRule="auto"/>
        <w:jc w:val="center"/>
        <w:rPr>
          <w:rFonts w:ascii="宋体" w:hAnsi="宋体"/>
          <w:color w:val="auto"/>
          <w:kern w:val="1"/>
          <w:szCs w:val="21"/>
          <w:highlight w:val="none"/>
        </w:rPr>
      </w:pPr>
      <w:r>
        <w:rPr>
          <w:rFonts w:hint="eastAsia" w:ascii="宋体" w:hAnsi="宋体"/>
          <w:color w:val="auto"/>
          <w:kern w:val="1"/>
          <w:szCs w:val="21"/>
          <w:highlight w:val="none"/>
        </w:rPr>
        <w:t>投标人需提供财政部门认定的违法违规材料复印件或无违法违规情形承诺书（格式自拟）</w:t>
      </w:r>
    </w:p>
    <w:p>
      <w:pPr>
        <w:spacing w:line="360" w:lineRule="auto"/>
        <w:rPr>
          <w:rFonts w:ascii="宋体" w:hAnsi="宋体"/>
          <w:color w:val="auto"/>
          <w:kern w:val="1"/>
          <w:szCs w:val="21"/>
          <w:highlight w:val="none"/>
        </w:rPr>
      </w:pPr>
    </w:p>
    <w:p>
      <w:pPr>
        <w:spacing w:line="360" w:lineRule="auto"/>
        <w:rPr>
          <w:rFonts w:ascii="宋体" w:hAnsi="宋体"/>
          <w:color w:val="auto"/>
          <w:kern w:val="1"/>
          <w:szCs w:val="21"/>
          <w:highlight w:val="none"/>
        </w:rPr>
      </w:pPr>
      <w:r>
        <w:rPr>
          <w:rFonts w:hint="eastAsia" w:ascii="宋体" w:hAnsi="宋体"/>
          <w:color w:val="auto"/>
          <w:kern w:val="1"/>
          <w:szCs w:val="21"/>
          <w:highlight w:val="none"/>
        </w:rPr>
        <w:t>注：投标人在截标日前一年内在政府采购活动中存在违约违规情形的（以财政部门书面认定材料为评分依据）。若存在违约违规情形，由投标人提供认定材料；若不存在违约违规情形，提供无违约违规情形承诺书，格式自拟，加盖公章。若在项目处于质疑期，被其他利害关系投标人质疑或监督管理部门查实在政府采购活动中存在违约违规情形的，采购人有权将以提供虚假材料谋取中标处理，报政府采购监督管理部门进行处罚。</w:t>
      </w:r>
    </w:p>
    <w:p>
      <w:pPr>
        <w:spacing w:line="360" w:lineRule="auto"/>
        <w:rPr>
          <w:rFonts w:ascii="宋体" w:hAnsi="宋体"/>
          <w:color w:val="auto"/>
          <w:kern w:val="1"/>
          <w:szCs w:val="21"/>
          <w:highlight w:val="none"/>
        </w:rPr>
      </w:pPr>
    </w:p>
    <w:p>
      <w:pPr>
        <w:spacing w:line="360" w:lineRule="auto"/>
        <w:rPr>
          <w:rFonts w:ascii="宋体" w:hAnsi="宋体"/>
          <w:b/>
          <w:color w:val="auto"/>
          <w:kern w:val="1"/>
          <w:szCs w:val="21"/>
          <w:highlight w:val="none"/>
        </w:rPr>
      </w:pPr>
    </w:p>
    <w:p>
      <w:pPr>
        <w:rPr>
          <w:color w:val="auto"/>
          <w:szCs w:val="21"/>
          <w:highlight w:val="none"/>
        </w:rPr>
      </w:pPr>
    </w:p>
    <w:p>
      <w:pPr>
        <w:rPr>
          <w:color w:val="auto"/>
          <w:szCs w:val="21"/>
          <w:highlight w:val="none"/>
        </w:rPr>
      </w:pPr>
    </w:p>
    <w:p>
      <w:pPr>
        <w:rPr>
          <w:color w:val="auto"/>
          <w:highlight w:val="none"/>
        </w:rPr>
      </w:pPr>
    </w:p>
    <w:p>
      <w:pPr>
        <w:rPr>
          <w:rFonts w:ascii="宋体" w:hAnsi="Courier New"/>
          <w:color w:val="auto"/>
          <w:szCs w:val="20"/>
          <w:highlight w:val="none"/>
        </w:rPr>
      </w:pPr>
    </w:p>
    <w:p>
      <w:pPr>
        <w:rPr>
          <w:rFonts w:ascii="宋体" w:hAnsi="Courier New"/>
          <w:color w:val="auto"/>
          <w:szCs w:val="20"/>
          <w:highlight w:val="none"/>
        </w:rPr>
      </w:pPr>
    </w:p>
    <w:p>
      <w:pPr>
        <w:rPr>
          <w:rFonts w:ascii="宋体" w:hAnsi="Courier New"/>
          <w:color w:val="auto"/>
          <w:szCs w:val="20"/>
          <w:highlight w:val="none"/>
        </w:rPr>
      </w:pPr>
    </w:p>
    <w:p>
      <w:pPr>
        <w:rPr>
          <w:rFonts w:ascii="宋体" w:hAnsi="Courier New"/>
          <w:color w:val="auto"/>
          <w:szCs w:val="20"/>
          <w:highlight w:val="none"/>
        </w:rPr>
      </w:pPr>
    </w:p>
    <w:p>
      <w:pPr>
        <w:rPr>
          <w:rFonts w:ascii="宋体" w:hAnsi="Courier New"/>
          <w:color w:val="auto"/>
          <w:szCs w:val="20"/>
          <w:highlight w:val="none"/>
        </w:rPr>
      </w:pPr>
    </w:p>
    <w:p>
      <w:pPr>
        <w:rPr>
          <w:rFonts w:ascii="宋体" w:hAnsi="Courier New"/>
          <w:color w:val="auto"/>
          <w:szCs w:val="20"/>
          <w:highlight w:val="none"/>
        </w:rPr>
      </w:pPr>
    </w:p>
    <w:p>
      <w:pPr>
        <w:rPr>
          <w:rFonts w:ascii="宋体" w:hAnsi="Courier New"/>
          <w:color w:val="auto"/>
          <w:szCs w:val="20"/>
          <w:highlight w:val="none"/>
        </w:rPr>
      </w:pPr>
    </w:p>
    <w:p>
      <w:pPr>
        <w:snapToGrid w:val="0"/>
        <w:spacing w:before="50" w:after="156" w:afterLines="50" w:line="360" w:lineRule="exact"/>
        <w:jc w:val="left"/>
        <w:rPr>
          <w:rFonts w:ascii="宋体" w:hAnsi="宋体"/>
          <w:color w:val="auto"/>
          <w:spacing w:val="20"/>
          <w:szCs w:val="21"/>
          <w:highlight w:val="none"/>
        </w:rPr>
      </w:pPr>
      <w:r>
        <w:rPr>
          <w:rFonts w:hint="eastAsia" w:ascii="宋体" w:hAnsi="宋体"/>
          <w:color w:val="auto"/>
          <w:spacing w:val="20"/>
          <w:szCs w:val="21"/>
          <w:highlight w:val="none"/>
        </w:rPr>
        <w:t>投标人盖公章：</w:t>
      </w:r>
      <w:r>
        <w:rPr>
          <w:rFonts w:hint="eastAsia" w:ascii="宋体" w:hAnsi="宋体"/>
          <w:color w:val="auto"/>
          <w:spacing w:val="20"/>
          <w:szCs w:val="21"/>
          <w:highlight w:val="none"/>
          <w:u w:val="single"/>
        </w:rPr>
        <w:t xml:space="preserve">            </w:t>
      </w:r>
      <w:r>
        <w:rPr>
          <w:rFonts w:hint="eastAsia" w:ascii="宋体" w:hAnsi="宋体"/>
          <w:color w:val="auto"/>
          <w:spacing w:val="20"/>
          <w:szCs w:val="21"/>
          <w:highlight w:val="none"/>
        </w:rPr>
        <w:t xml:space="preserve">              </w:t>
      </w:r>
    </w:p>
    <w:p>
      <w:pPr>
        <w:snapToGrid w:val="0"/>
        <w:spacing w:before="50" w:after="156" w:afterLines="50" w:line="360" w:lineRule="exact"/>
        <w:jc w:val="left"/>
        <w:rPr>
          <w:rFonts w:ascii="宋体" w:hAnsi="宋体"/>
          <w:color w:val="auto"/>
          <w:szCs w:val="21"/>
          <w:highlight w:val="none"/>
        </w:rPr>
      </w:pPr>
      <w:r>
        <w:rPr>
          <w:rFonts w:hint="eastAsia" w:ascii="宋体" w:hAnsi="宋体"/>
          <w:color w:val="auto"/>
          <w:spacing w:val="20"/>
          <w:szCs w:val="21"/>
          <w:highlight w:val="none"/>
        </w:rPr>
        <w:t>日 期：</w:t>
      </w:r>
      <w:r>
        <w:rPr>
          <w:rFonts w:hint="eastAsia" w:ascii="宋体" w:hAnsi="宋体"/>
          <w:color w:val="auto"/>
          <w:spacing w:val="20"/>
          <w:szCs w:val="21"/>
          <w:highlight w:val="none"/>
          <w:u w:val="single"/>
        </w:rPr>
        <w:t xml:space="preserve">         </w:t>
      </w:r>
    </w:p>
    <w:p>
      <w:pPr>
        <w:pStyle w:val="9"/>
        <w:jc w:val="center"/>
        <w:rPr>
          <w:rFonts w:ascii="Times New Roman" w:hAnsi="Times New Roman"/>
          <w:b/>
          <w:color w:val="auto"/>
          <w:sz w:val="30"/>
          <w:szCs w:val="30"/>
          <w:highlight w:val="none"/>
        </w:rPr>
      </w:pPr>
    </w:p>
    <w:p>
      <w:pPr>
        <w:pStyle w:val="9"/>
        <w:jc w:val="center"/>
        <w:rPr>
          <w:rFonts w:ascii="Times New Roman" w:hAnsi="Times New Roman"/>
          <w:b/>
          <w:color w:val="auto"/>
          <w:sz w:val="30"/>
          <w:szCs w:val="30"/>
          <w:highlight w:val="none"/>
        </w:rPr>
      </w:pPr>
    </w:p>
    <w:p>
      <w:pPr>
        <w:pStyle w:val="9"/>
        <w:jc w:val="center"/>
        <w:rPr>
          <w:rFonts w:ascii="Times New Roman" w:hAnsi="Times New Roman"/>
          <w:b/>
          <w:color w:val="auto"/>
          <w:sz w:val="30"/>
          <w:szCs w:val="30"/>
          <w:highlight w:val="none"/>
        </w:rPr>
      </w:pPr>
    </w:p>
    <w:p>
      <w:pPr>
        <w:pStyle w:val="9"/>
        <w:jc w:val="center"/>
        <w:rPr>
          <w:rFonts w:ascii="Times New Roman" w:hAnsi="Times New Roman"/>
          <w:b/>
          <w:color w:val="auto"/>
          <w:sz w:val="30"/>
          <w:szCs w:val="30"/>
          <w:highlight w:val="none"/>
        </w:rPr>
      </w:pPr>
    </w:p>
    <w:p>
      <w:pPr>
        <w:pStyle w:val="9"/>
        <w:rPr>
          <w:rFonts w:ascii="Times New Roman" w:hAnsi="Times New Roman"/>
          <w:b/>
          <w:color w:val="auto"/>
          <w:sz w:val="30"/>
          <w:szCs w:val="30"/>
          <w:highlight w:val="none"/>
        </w:rPr>
      </w:pPr>
    </w:p>
    <w:p>
      <w:pPr>
        <w:pStyle w:val="9"/>
        <w:spacing w:line="360" w:lineRule="auto"/>
        <w:ind w:right="428"/>
        <w:rPr>
          <w:color w:val="auto"/>
          <w:highlight w:val="none"/>
        </w:rPr>
      </w:pPr>
    </w:p>
    <w:p>
      <w:pPr>
        <w:spacing w:before="331" w:after="165"/>
        <w:ind w:left="540"/>
        <w:jc w:val="center"/>
        <w:rPr>
          <w:rFonts w:ascii="Calibri" w:hAnsi="Calibri"/>
          <w:color w:val="auto"/>
          <w:highlight w:val="none"/>
        </w:rPr>
      </w:pPr>
    </w:p>
    <w:p>
      <w:pPr>
        <w:spacing w:before="331" w:after="165"/>
        <w:ind w:left="540"/>
        <w:jc w:val="center"/>
        <w:rPr>
          <w:rFonts w:ascii="黑体" w:hAnsi="黑体" w:eastAsia="黑体" w:cs="宋体"/>
          <w:color w:val="auto"/>
          <w:kern w:val="1"/>
          <w:sz w:val="28"/>
          <w:szCs w:val="28"/>
          <w:highlight w:val="none"/>
        </w:rPr>
      </w:pPr>
      <w:r>
        <w:rPr>
          <w:rFonts w:ascii="宋体" w:hAnsi="宋体" w:cs="Courier New"/>
          <w:b/>
          <w:color w:val="auto"/>
          <w:kern w:val="1"/>
          <w:sz w:val="32"/>
          <w:szCs w:val="32"/>
          <w:highlight w:val="none"/>
        </w:rPr>
        <w:t>法定代表人身份证明书</w:t>
      </w:r>
      <w:r>
        <w:rPr>
          <w:rFonts w:hint="eastAsia"/>
          <w:b/>
          <w:bCs/>
          <w:color w:val="auto"/>
          <w:kern w:val="1"/>
          <w:sz w:val="30"/>
          <w:szCs w:val="30"/>
          <w:highlight w:val="none"/>
        </w:rPr>
        <w:t>（格式）</w:t>
      </w:r>
    </w:p>
    <w:p>
      <w:pPr>
        <w:spacing w:line="500" w:lineRule="exact"/>
        <w:ind w:left="540"/>
        <w:rPr>
          <w:rFonts w:ascii="宋体" w:hAnsi="宋体" w:cs="宋体"/>
          <w:color w:val="auto"/>
          <w:kern w:val="1"/>
          <w:sz w:val="22"/>
          <w:highlight w:val="none"/>
        </w:rPr>
      </w:pPr>
      <w:r>
        <w:rPr>
          <w:rFonts w:ascii="宋体" w:hAnsi="宋体" w:cs="宋体"/>
          <w:color w:val="auto"/>
          <w:kern w:val="1"/>
          <w:sz w:val="22"/>
          <w:highlight w:val="none"/>
        </w:rPr>
        <w:t>投 标 人：</w:t>
      </w:r>
    </w:p>
    <w:p>
      <w:pPr>
        <w:spacing w:line="500" w:lineRule="exact"/>
        <w:ind w:left="540"/>
        <w:rPr>
          <w:rFonts w:ascii="宋体" w:hAnsi="宋体" w:cs="宋体"/>
          <w:color w:val="auto"/>
          <w:kern w:val="1"/>
          <w:sz w:val="22"/>
          <w:highlight w:val="none"/>
        </w:rPr>
      </w:pPr>
      <w:r>
        <w:rPr>
          <w:rFonts w:ascii="宋体" w:hAnsi="宋体" w:cs="宋体"/>
          <w:color w:val="auto"/>
          <w:kern w:val="1"/>
          <w:sz w:val="22"/>
          <w:highlight w:val="none"/>
        </w:rPr>
        <w:t>单位性质：</w:t>
      </w:r>
    </w:p>
    <w:p>
      <w:pPr>
        <w:spacing w:line="500" w:lineRule="exact"/>
        <w:ind w:left="540"/>
        <w:rPr>
          <w:rFonts w:ascii="宋体" w:hAnsi="宋体" w:cs="宋体"/>
          <w:color w:val="auto"/>
          <w:kern w:val="1"/>
          <w:sz w:val="22"/>
          <w:highlight w:val="none"/>
        </w:rPr>
      </w:pPr>
      <w:r>
        <w:rPr>
          <w:rFonts w:ascii="宋体" w:hAnsi="宋体" w:cs="宋体"/>
          <w:color w:val="auto"/>
          <w:kern w:val="1"/>
          <w:sz w:val="22"/>
          <w:highlight w:val="none"/>
        </w:rPr>
        <w:t>地    址：</w:t>
      </w:r>
    </w:p>
    <w:p>
      <w:pPr>
        <w:spacing w:line="500" w:lineRule="exact"/>
        <w:ind w:left="540"/>
        <w:rPr>
          <w:rFonts w:ascii="宋体" w:hAnsi="宋体" w:cs="宋体"/>
          <w:color w:val="auto"/>
          <w:kern w:val="1"/>
          <w:sz w:val="22"/>
          <w:highlight w:val="none"/>
        </w:rPr>
      </w:pPr>
      <w:r>
        <w:rPr>
          <w:rFonts w:ascii="宋体" w:hAnsi="宋体" w:cs="宋体"/>
          <w:color w:val="auto"/>
          <w:kern w:val="1"/>
          <w:sz w:val="22"/>
          <w:highlight w:val="none"/>
        </w:rPr>
        <w:t>成立时间：年月日</w:t>
      </w:r>
    </w:p>
    <w:p>
      <w:pPr>
        <w:spacing w:line="500" w:lineRule="exact"/>
        <w:ind w:left="540"/>
        <w:rPr>
          <w:rFonts w:ascii="宋体" w:hAnsi="宋体" w:cs="宋体"/>
          <w:color w:val="auto"/>
          <w:kern w:val="1"/>
          <w:sz w:val="22"/>
          <w:highlight w:val="none"/>
        </w:rPr>
      </w:pPr>
      <w:r>
        <w:rPr>
          <w:rFonts w:ascii="宋体" w:hAnsi="宋体" w:cs="宋体"/>
          <w:color w:val="auto"/>
          <w:kern w:val="1"/>
          <w:sz w:val="22"/>
          <w:highlight w:val="none"/>
        </w:rPr>
        <w:t>经营期限：</w:t>
      </w:r>
    </w:p>
    <w:p>
      <w:pPr>
        <w:spacing w:line="500" w:lineRule="exact"/>
        <w:ind w:left="540"/>
        <w:rPr>
          <w:rFonts w:ascii="宋体" w:hAnsi="宋体" w:cs="宋体"/>
          <w:color w:val="auto"/>
          <w:kern w:val="1"/>
          <w:sz w:val="22"/>
          <w:highlight w:val="none"/>
        </w:rPr>
      </w:pPr>
      <w:r>
        <w:rPr>
          <w:rFonts w:ascii="宋体" w:hAnsi="宋体" w:cs="宋体"/>
          <w:color w:val="auto"/>
          <w:kern w:val="1"/>
          <w:sz w:val="22"/>
          <w:highlight w:val="none"/>
        </w:rPr>
        <w:t>姓    名：性      别：</w:t>
      </w:r>
    </w:p>
    <w:p>
      <w:pPr>
        <w:spacing w:line="500" w:lineRule="exact"/>
        <w:ind w:left="540"/>
        <w:rPr>
          <w:rFonts w:ascii="宋体" w:hAnsi="宋体" w:cs="宋体"/>
          <w:color w:val="auto"/>
          <w:kern w:val="1"/>
          <w:sz w:val="22"/>
          <w:highlight w:val="none"/>
          <w:u w:val="single"/>
        </w:rPr>
      </w:pPr>
      <w:r>
        <w:rPr>
          <w:rFonts w:ascii="宋体" w:hAnsi="宋体" w:cs="宋体"/>
          <w:color w:val="auto"/>
          <w:kern w:val="1"/>
          <w:sz w:val="22"/>
          <w:highlight w:val="none"/>
        </w:rPr>
        <w:t>年    龄：职      务：</w:t>
      </w:r>
    </w:p>
    <w:p>
      <w:pPr>
        <w:spacing w:line="500" w:lineRule="exact"/>
        <w:ind w:left="540"/>
        <w:rPr>
          <w:rFonts w:ascii="宋体" w:hAnsi="宋体" w:cs="宋体"/>
          <w:color w:val="auto"/>
          <w:kern w:val="1"/>
          <w:sz w:val="22"/>
          <w:highlight w:val="none"/>
        </w:rPr>
      </w:pPr>
      <w:r>
        <w:rPr>
          <w:rFonts w:ascii="宋体" w:hAnsi="宋体" w:cs="宋体"/>
          <w:color w:val="auto"/>
          <w:kern w:val="1"/>
          <w:sz w:val="22"/>
          <w:highlight w:val="none"/>
        </w:rPr>
        <w:t>身份证</w:t>
      </w:r>
      <w:r>
        <w:rPr>
          <w:rFonts w:hint="eastAsia"/>
          <w:color w:val="auto"/>
          <w:kern w:val="1"/>
          <w:sz w:val="22"/>
          <w:highlight w:val="none"/>
        </w:rPr>
        <w:t>号码：</w:t>
      </w:r>
    </w:p>
    <w:p>
      <w:pPr>
        <w:spacing w:line="500" w:lineRule="exact"/>
        <w:ind w:left="540"/>
        <w:rPr>
          <w:rFonts w:ascii="宋体" w:hAnsi="宋体" w:cs="宋体"/>
          <w:color w:val="auto"/>
          <w:kern w:val="1"/>
          <w:sz w:val="22"/>
          <w:highlight w:val="none"/>
        </w:rPr>
      </w:pPr>
      <w:r>
        <w:rPr>
          <w:rFonts w:ascii="宋体" w:hAnsi="宋体" w:cs="宋体"/>
          <w:color w:val="auto"/>
          <w:kern w:val="1"/>
          <w:sz w:val="22"/>
          <w:highlight w:val="none"/>
        </w:rPr>
        <w:t>系（投标人名称）的法定代表人。</w:t>
      </w:r>
    </w:p>
    <w:p>
      <w:pPr>
        <w:spacing w:line="500" w:lineRule="exact"/>
        <w:ind w:left="540"/>
        <w:rPr>
          <w:rFonts w:ascii="宋体" w:hAnsi="宋体" w:cs="宋体"/>
          <w:color w:val="auto"/>
          <w:kern w:val="1"/>
          <w:sz w:val="22"/>
          <w:highlight w:val="none"/>
        </w:rPr>
      </w:pPr>
      <w:r>
        <w:rPr>
          <w:rFonts w:ascii="宋体" w:hAnsi="宋体" w:cs="宋体"/>
          <w:color w:val="auto"/>
          <w:kern w:val="1"/>
          <w:sz w:val="22"/>
          <w:highlight w:val="none"/>
        </w:rPr>
        <w:t>特此证明。</w:t>
      </w:r>
    </w:p>
    <w:p>
      <w:pPr>
        <w:spacing w:line="500" w:lineRule="exact"/>
        <w:ind w:left="540"/>
        <w:rPr>
          <w:rFonts w:ascii="宋体" w:hAnsi="宋体" w:cs="宋体"/>
          <w:color w:val="auto"/>
          <w:kern w:val="1"/>
          <w:sz w:val="22"/>
          <w:highlight w:val="none"/>
        </w:rPr>
      </w:pPr>
    </w:p>
    <w:p>
      <w:pPr>
        <w:spacing w:line="500" w:lineRule="exact"/>
        <w:ind w:left="540"/>
        <w:rPr>
          <w:rFonts w:ascii="宋体" w:hAnsi="宋体" w:cs="宋体"/>
          <w:color w:val="auto"/>
          <w:kern w:val="1"/>
          <w:sz w:val="22"/>
          <w:highlight w:val="none"/>
        </w:rPr>
      </w:pPr>
      <w:r>
        <w:rPr>
          <w:rFonts w:ascii="宋体" w:hAnsi="宋体" w:cs="宋体"/>
          <w:color w:val="auto"/>
          <w:kern w:val="1"/>
          <w:sz w:val="22"/>
          <w:highlight w:val="none"/>
        </w:rPr>
        <w:t>附件：法定代表人有效身份证正反面复印件</w:t>
      </w:r>
    </w:p>
    <w:p>
      <w:pPr>
        <w:spacing w:line="500" w:lineRule="exact"/>
        <w:ind w:left="540"/>
        <w:rPr>
          <w:rFonts w:ascii="宋体" w:hAnsi="宋体" w:cs="宋体"/>
          <w:color w:val="auto"/>
          <w:kern w:val="1"/>
          <w:sz w:val="22"/>
          <w:highlight w:val="none"/>
        </w:rPr>
      </w:pPr>
    </w:p>
    <w:p>
      <w:pPr>
        <w:spacing w:line="500" w:lineRule="exact"/>
        <w:ind w:left="540"/>
        <w:jc w:val="right"/>
        <w:rPr>
          <w:rFonts w:ascii="宋体" w:hAnsi="宋体" w:cs="宋体"/>
          <w:color w:val="auto"/>
          <w:kern w:val="1"/>
          <w:sz w:val="22"/>
          <w:highlight w:val="none"/>
        </w:rPr>
      </w:pPr>
      <w:r>
        <w:rPr>
          <w:rFonts w:ascii="宋体" w:hAnsi="宋体" w:cs="宋体"/>
          <w:color w:val="auto"/>
          <w:kern w:val="1"/>
          <w:sz w:val="22"/>
          <w:highlight w:val="none"/>
        </w:rPr>
        <w:t>投标人：（盖单位章）</w:t>
      </w:r>
    </w:p>
    <w:p>
      <w:pPr>
        <w:spacing w:line="500" w:lineRule="exact"/>
        <w:ind w:left="540"/>
        <w:jc w:val="right"/>
        <w:rPr>
          <w:rFonts w:ascii="宋体" w:hAnsi="宋体" w:cs="宋体"/>
          <w:color w:val="auto"/>
          <w:kern w:val="1"/>
          <w:sz w:val="22"/>
          <w:highlight w:val="none"/>
        </w:rPr>
      </w:pPr>
    </w:p>
    <w:p>
      <w:pPr>
        <w:spacing w:line="600" w:lineRule="exact"/>
        <w:jc w:val="right"/>
        <w:rPr>
          <w:b/>
          <w:color w:val="auto"/>
          <w:kern w:val="1"/>
          <w:sz w:val="22"/>
          <w:highlight w:val="none"/>
        </w:rPr>
      </w:pPr>
      <w:r>
        <w:rPr>
          <w:rFonts w:ascii="宋体" w:hAnsi="宋体" w:cs="宋体"/>
          <w:color w:val="auto"/>
          <w:kern w:val="1"/>
          <w:sz w:val="22"/>
          <w:highlight w:val="none"/>
        </w:rPr>
        <w:t>年月日</w:t>
      </w:r>
    </w:p>
    <w:p>
      <w:pPr>
        <w:spacing w:line="600" w:lineRule="exact"/>
        <w:rPr>
          <w:b/>
          <w:color w:val="auto"/>
          <w:kern w:val="1"/>
          <w:sz w:val="22"/>
          <w:highlight w:val="none"/>
        </w:rPr>
      </w:pPr>
    </w:p>
    <w:p>
      <w:pPr>
        <w:spacing w:line="600" w:lineRule="exact"/>
        <w:rPr>
          <w:color w:val="auto"/>
          <w:kern w:val="1"/>
          <w:sz w:val="22"/>
          <w:highlight w:val="none"/>
        </w:rPr>
      </w:pPr>
    </w:p>
    <w:p>
      <w:pPr>
        <w:pStyle w:val="9"/>
        <w:spacing w:line="500" w:lineRule="exact"/>
        <w:jc w:val="center"/>
        <w:rPr>
          <w:b/>
          <w:bCs/>
          <w:color w:val="auto"/>
          <w:sz w:val="30"/>
          <w:szCs w:val="30"/>
          <w:highlight w:val="none"/>
        </w:rPr>
      </w:pPr>
    </w:p>
    <w:p>
      <w:pPr>
        <w:pStyle w:val="9"/>
        <w:spacing w:line="500" w:lineRule="exact"/>
        <w:jc w:val="center"/>
        <w:rPr>
          <w:b/>
          <w:bCs/>
          <w:color w:val="auto"/>
          <w:sz w:val="30"/>
          <w:szCs w:val="30"/>
          <w:highlight w:val="none"/>
        </w:rPr>
      </w:pPr>
    </w:p>
    <w:p>
      <w:pPr>
        <w:pStyle w:val="9"/>
        <w:spacing w:line="500" w:lineRule="exact"/>
        <w:jc w:val="center"/>
        <w:rPr>
          <w:b/>
          <w:bCs/>
          <w:color w:val="auto"/>
          <w:sz w:val="30"/>
          <w:szCs w:val="30"/>
          <w:highlight w:val="none"/>
        </w:rPr>
      </w:pPr>
    </w:p>
    <w:p>
      <w:pPr>
        <w:pStyle w:val="9"/>
        <w:spacing w:line="500" w:lineRule="exact"/>
        <w:jc w:val="center"/>
        <w:rPr>
          <w:b/>
          <w:bCs/>
          <w:color w:val="auto"/>
          <w:sz w:val="30"/>
          <w:szCs w:val="30"/>
          <w:highlight w:val="none"/>
        </w:rPr>
      </w:pPr>
    </w:p>
    <w:p>
      <w:pPr>
        <w:pStyle w:val="9"/>
        <w:spacing w:line="500" w:lineRule="exact"/>
        <w:jc w:val="center"/>
        <w:rPr>
          <w:b/>
          <w:bCs/>
          <w:color w:val="auto"/>
          <w:sz w:val="30"/>
          <w:szCs w:val="30"/>
          <w:highlight w:val="none"/>
        </w:rPr>
      </w:pPr>
    </w:p>
    <w:p>
      <w:pPr>
        <w:pStyle w:val="9"/>
        <w:spacing w:line="600" w:lineRule="exact"/>
        <w:rPr>
          <w:rFonts w:ascii="Times New Roman" w:hAnsi="Times New Roman"/>
          <w:b/>
          <w:bCs/>
          <w:color w:val="auto"/>
          <w:sz w:val="30"/>
          <w:szCs w:val="30"/>
          <w:highlight w:val="none"/>
        </w:rPr>
      </w:pPr>
    </w:p>
    <w:p>
      <w:pPr>
        <w:pStyle w:val="9"/>
        <w:spacing w:line="6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商务条款偏离表（格式）</w:t>
      </w:r>
    </w:p>
    <w:p>
      <w:pPr>
        <w:pStyle w:val="6"/>
        <w:rPr>
          <w:color w:val="auto"/>
          <w:highlight w:val="none"/>
        </w:rPr>
      </w:pPr>
    </w:p>
    <w:p>
      <w:pPr>
        <w:pStyle w:val="9"/>
        <w:spacing w:line="400" w:lineRule="exact"/>
        <w:ind w:firstLine="420" w:firstLineChars="200"/>
        <w:rPr>
          <w:rFonts w:cs="宋体"/>
          <w:color w:val="auto"/>
          <w:szCs w:val="21"/>
          <w:highlight w:val="none"/>
        </w:rPr>
      </w:pPr>
      <w:r>
        <w:rPr>
          <w:rFonts w:hint="eastAsia" w:cs="宋体"/>
          <w:color w:val="auto"/>
          <w:szCs w:val="21"/>
          <w:highlight w:val="none"/>
        </w:rPr>
        <w:t>请逐条对应本项目招标文件第二章“货物（服务）需求一览表”中“商务条款”的要求，详细填写相应的具体内容。“偏离说明”一栏应当选择“正偏离”、“负偏离”或“无偏离”进行填写。</w:t>
      </w:r>
    </w:p>
    <w:p>
      <w:pPr>
        <w:pStyle w:val="9"/>
        <w:ind w:firstLine="420" w:firstLineChars="200"/>
        <w:rPr>
          <w:rFonts w:cs="宋体"/>
          <w:color w:val="auto"/>
          <w:szCs w:val="21"/>
          <w:highlight w:val="none"/>
        </w:rPr>
      </w:pPr>
    </w:p>
    <w:tbl>
      <w:tblPr>
        <w:tblStyle w:val="14"/>
        <w:tblpPr w:leftFromText="180" w:rightFromText="180" w:vertAnchor="text" w:horzAnchor="margin" w:tblpXSpec="center" w:tblpY="9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9"/>
              <w:spacing w:line="340" w:lineRule="exact"/>
              <w:jc w:val="center"/>
              <w:rPr>
                <w:rFonts w:cs="宋体"/>
                <w:color w:val="auto"/>
                <w:szCs w:val="21"/>
                <w:highlight w:val="none"/>
              </w:rPr>
            </w:pPr>
            <w:r>
              <w:rPr>
                <w:rFonts w:hint="eastAsia" w:cs="宋体"/>
                <w:color w:val="auto"/>
                <w:szCs w:val="21"/>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9"/>
              <w:spacing w:line="340" w:lineRule="exact"/>
              <w:jc w:val="center"/>
              <w:rPr>
                <w:rFonts w:cs="宋体"/>
                <w:color w:val="auto"/>
                <w:szCs w:val="21"/>
                <w:highlight w:val="none"/>
              </w:rPr>
            </w:pPr>
            <w:r>
              <w:rPr>
                <w:rFonts w:hint="eastAsia" w:cs="宋体"/>
                <w:color w:val="auto"/>
                <w:szCs w:val="21"/>
                <w:highlight w:val="none"/>
              </w:rPr>
              <w:t>招标文件的商务需求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9"/>
              <w:spacing w:line="340" w:lineRule="exact"/>
              <w:jc w:val="center"/>
              <w:rPr>
                <w:rFonts w:cs="宋体"/>
                <w:color w:val="auto"/>
                <w:szCs w:val="21"/>
                <w:highlight w:val="none"/>
              </w:rPr>
            </w:pPr>
            <w:r>
              <w:rPr>
                <w:rFonts w:hint="eastAsia" w:cs="宋体"/>
                <w:color w:val="auto"/>
                <w:szCs w:val="21"/>
                <w:highlight w:val="none"/>
              </w:rPr>
              <w:t>投标文件承诺的商务条款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9"/>
              <w:spacing w:line="340" w:lineRule="exact"/>
              <w:jc w:val="center"/>
              <w:rPr>
                <w:rFonts w:cs="宋体"/>
                <w:color w:val="auto"/>
                <w:szCs w:val="21"/>
                <w:highlight w:val="none"/>
              </w:rPr>
            </w:pPr>
            <w:r>
              <w:rPr>
                <w:rFonts w:hint="eastAsia"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9"/>
              <w:spacing w:line="340" w:lineRule="exact"/>
              <w:rPr>
                <w:rFonts w:cs="宋体"/>
                <w:color w:val="auto"/>
                <w:szCs w:val="21"/>
                <w:highlight w:val="none"/>
              </w:rPr>
            </w:pPr>
            <w:r>
              <w:rPr>
                <w:rFonts w:hint="eastAsia" w:cs="宋体"/>
                <w:color w:val="auto"/>
                <w:szCs w:val="21"/>
                <w:highlight w:val="none"/>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1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2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3  ……</w:t>
            </w:r>
          </w:p>
          <w:p>
            <w:pPr>
              <w:pStyle w:val="9"/>
              <w:spacing w:line="340" w:lineRule="exact"/>
              <w:rPr>
                <w:rFonts w:cs="宋体"/>
                <w:color w:val="auto"/>
                <w:szCs w:val="21"/>
                <w:highlight w:val="none"/>
              </w:rPr>
            </w:pPr>
            <w:r>
              <w:rPr>
                <w:rFonts w:hint="eastAsia" w:cs="宋体"/>
                <w:color w:val="auto"/>
                <w:szCs w:val="21"/>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1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2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3  ……</w:t>
            </w:r>
          </w:p>
          <w:p>
            <w:pPr>
              <w:pStyle w:val="9"/>
              <w:spacing w:line="340" w:lineRule="exact"/>
              <w:rPr>
                <w:rFonts w:cs="宋体"/>
                <w:color w:val="auto"/>
                <w:szCs w:val="21"/>
                <w:highlight w:val="none"/>
              </w:rPr>
            </w:pPr>
            <w:r>
              <w:rPr>
                <w:rFonts w:hint="eastAsia" w:cs="宋体"/>
                <w:color w:val="auto"/>
                <w:szCs w:val="21"/>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9"/>
              <w:spacing w:line="300" w:lineRule="exact"/>
              <w:rPr>
                <w:rFonts w:cs="宋体"/>
                <w:color w:val="auto"/>
                <w:szCs w:val="21"/>
                <w:highlight w:val="none"/>
              </w:rPr>
            </w:pPr>
            <w:r>
              <w:rPr>
                <w:rFonts w:hint="eastAsia"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9"/>
              <w:spacing w:line="340" w:lineRule="exact"/>
              <w:rPr>
                <w:rFonts w:cs="宋体"/>
                <w:color w:val="auto"/>
                <w:szCs w:val="21"/>
                <w:highlight w:val="none"/>
              </w:rPr>
            </w:pPr>
            <w:r>
              <w:rPr>
                <w:rFonts w:hint="eastAsia" w:cs="宋体"/>
                <w:color w:val="auto"/>
                <w:szCs w:val="21"/>
                <w:highlight w:val="none"/>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1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2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3  ……</w:t>
            </w:r>
          </w:p>
          <w:p>
            <w:pPr>
              <w:pStyle w:val="9"/>
              <w:spacing w:line="340" w:lineRule="exact"/>
              <w:rPr>
                <w:rFonts w:cs="宋体"/>
                <w:color w:val="auto"/>
                <w:szCs w:val="21"/>
                <w:highlight w:val="none"/>
              </w:rPr>
            </w:pPr>
            <w:r>
              <w:rPr>
                <w:rFonts w:hint="eastAsia" w:cs="宋体"/>
                <w:color w:val="auto"/>
                <w:szCs w:val="21"/>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1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2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3  ……</w:t>
            </w:r>
          </w:p>
          <w:p>
            <w:pPr>
              <w:pStyle w:val="9"/>
              <w:spacing w:line="340" w:lineRule="exact"/>
              <w:rPr>
                <w:rFonts w:cs="宋体"/>
                <w:color w:val="auto"/>
                <w:szCs w:val="21"/>
                <w:highlight w:val="none"/>
              </w:rPr>
            </w:pPr>
            <w:r>
              <w:rPr>
                <w:rFonts w:hint="eastAsia" w:cs="宋体"/>
                <w:color w:val="auto"/>
                <w:szCs w:val="21"/>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9"/>
              <w:spacing w:line="300" w:lineRule="exact"/>
              <w:rPr>
                <w:rFonts w:cs="宋体"/>
                <w:color w:val="auto"/>
                <w:szCs w:val="21"/>
                <w:highlight w:val="none"/>
              </w:rPr>
            </w:pPr>
            <w:r>
              <w:rPr>
                <w:rFonts w:hint="eastAsia"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9"/>
              <w:spacing w:line="340" w:lineRule="exact"/>
              <w:rPr>
                <w:rFonts w:cs="宋体"/>
                <w:color w:val="auto"/>
                <w:szCs w:val="21"/>
                <w:highlight w:val="none"/>
              </w:rPr>
            </w:pPr>
            <w:r>
              <w:rPr>
                <w:rFonts w:hint="eastAsia" w:cs="宋体"/>
                <w:color w:val="auto"/>
                <w:szCs w:val="21"/>
                <w:highlight w:val="none"/>
              </w:rPr>
              <w:t>...</w:t>
            </w:r>
          </w:p>
        </w:tc>
        <w:tc>
          <w:tcPr>
            <w:tcW w:w="4071" w:type="dxa"/>
            <w:tcBorders>
              <w:top w:val="single" w:color="auto" w:sz="4" w:space="0"/>
              <w:left w:val="single" w:color="auto" w:sz="4" w:space="0"/>
              <w:bottom w:val="single" w:color="auto" w:sz="4" w:space="0"/>
              <w:right w:val="single" w:color="auto" w:sz="4" w:space="0"/>
            </w:tcBorders>
          </w:tcPr>
          <w:p>
            <w:pPr>
              <w:pStyle w:val="9"/>
              <w:spacing w:line="340" w:lineRule="exact"/>
              <w:rPr>
                <w:rFonts w:cs="宋体"/>
                <w:color w:val="auto"/>
                <w:szCs w:val="21"/>
                <w:highlight w:val="none"/>
              </w:rPr>
            </w:pPr>
            <w:r>
              <w:rPr>
                <w:rFonts w:hint="eastAsia" w:cs="宋体"/>
                <w:color w:val="auto"/>
                <w:szCs w:val="21"/>
                <w:highlight w:val="none"/>
              </w:rPr>
              <w:t>1 ……</w:t>
            </w:r>
          </w:p>
          <w:p>
            <w:pPr>
              <w:pStyle w:val="9"/>
              <w:spacing w:line="340" w:lineRule="exact"/>
              <w:rPr>
                <w:rFonts w:cs="宋体"/>
                <w:color w:val="auto"/>
                <w:szCs w:val="21"/>
                <w:highlight w:val="none"/>
              </w:rPr>
            </w:pPr>
            <w:r>
              <w:rPr>
                <w:rFonts w:hint="eastAsia" w:cs="宋体"/>
                <w:color w:val="auto"/>
                <w:szCs w:val="21"/>
                <w:highlight w:val="none"/>
              </w:rPr>
              <w:t>2.合同签订日期： ……</w:t>
            </w:r>
          </w:p>
          <w:p>
            <w:pPr>
              <w:pStyle w:val="9"/>
              <w:spacing w:line="340" w:lineRule="exact"/>
              <w:rPr>
                <w:rFonts w:cs="宋体"/>
                <w:color w:val="auto"/>
                <w:szCs w:val="21"/>
                <w:highlight w:val="none"/>
              </w:rPr>
            </w:pPr>
            <w:r>
              <w:rPr>
                <w:rFonts w:hint="eastAsia" w:cs="宋体"/>
                <w:color w:val="auto"/>
                <w:szCs w:val="21"/>
                <w:highlight w:val="none"/>
              </w:rPr>
              <w:t>3.提交服务成果时间：      年    月     日前</w:t>
            </w:r>
          </w:p>
          <w:p>
            <w:pPr>
              <w:pStyle w:val="9"/>
              <w:spacing w:line="340" w:lineRule="exact"/>
              <w:rPr>
                <w:rFonts w:cs="宋体"/>
                <w:color w:val="auto"/>
                <w:szCs w:val="21"/>
                <w:highlight w:val="none"/>
              </w:rPr>
            </w:pPr>
            <w:r>
              <w:rPr>
                <w:rFonts w:hint="eastAsia" w:cs="宋体"/>
                <w:color w:val="auto"/>
                <w:szCs w:val="21"/>
                <w:highlight w:val="none"/>
              </w:rPr>
              <w:t>4.提交服务成果地点：南宁市    路    号</w:t>
            </w:r>
          </w:p>
          <w:p>
            <w:pPr>
              <w:pStyle w:val="9"/>
              <w:spacing w:line="340" w:lineRule="exact"/>
              <w:rPr>
                <w:rFonts w:cs="宋体"/>
                <w:color w:val="auto"/>
                <w:szCs w:val="21"/>
                <w:highlight w:val="none"/>
              </w:rPr>
            </w:pPr>
            <w:r>
              <w:rPr>
                <w:rFonts w:hint="eastAsia" w:cs="宋体"/>
                <w:color w:val="auto"/>
                <w:szCs w:val="21"/>
                <w:highlight w:val="none"/>
              </w:rPr>
              <w:t>5 ……</w:t>
            </w:r>
          </w:p>
        </w:tc>
        <w:tc>
          <w:tcPr>
            <w:tcW w:w="3720" w:type="dxa"/>
            <w:tcBorders>
              <w:top w:val="single" w:color="auto" w:sz="4" w:space="0"/>
              <w:left w:val="single" w:color="auto" w:sz="4" w:space="0"/>
              <w:bottom w:val="single" w:color="auto" w:sz="4" w:space="0"/>
              <w:right w:val="single" w:color="auto" w:sz="4" w:space="0"/>
            </w:tcBorders>
          </w:tcPr>
          <w:p>
            <w:pPr>
              <w:pStyle w:val="9"/>
              <w:spacing w:line="340" w:lineRule="exact"/>
              <w:rPr>
                <w:rFonts w:cs="宋体"/>
                <w:color w:val="auto"/>
                <w:szCs w:val="21"/>
                <w:highlight w:val="none"/>
              </w:rPr>
            </w:pPr>
            <w:r>
              <w:rPr>
                <w:rFonts w:hint="eastAsia" w:cs="宋体"/>
                <w:color w:val="auto"/>
                <w:szCs w:val="21"/>
                <w:highlight w:val="none"/>
              </w:rPr>
              <w:t>1 ……</w:t>
            </w:r>
          </w:p>
          <w:p>
            <w:pPr>
              <w:pStyle w:val="9"/>
              <w:spacing w:line="340" w:lineRule="exact"/>
              <w:rPr>
                <w:rFonts w:cs="宋体"/>
                <w:color w:val="auto"/>
                <w:szCs w:val="21"/>
                <w:highlight w:val="none"/>
              </w:rPr>
            </w:pPr>
            <w:r>
              <w:rPr>
                <w:rFonts w:hint="eastAsia" w:cs="宋体"/>
                <w:color w:val="auto"/>
                <w:szCs w:val="21"/>
                <w:highlight w:val="none"/>
              </w:rPr>
              <w:t>2.合同签订日期： ……</w:t>
            </w:r>
          </w:p>
          <w:p>
            <w:pPr>
              <w:pStyle w:val="9"/>
              <w:spacing w:line="340" w:lineRule="exact"/>
              <w:rPr>
                <w:rFonts w:cs="宋体"/>
                <w:color w:val="auto"/>
                <w:szCs w:val="21"/>
                <w:highlight w:val="none"/>
              </w:rPr>
            </w:pPr>
            <w:r>
              <w:rPr>
                <w:rFonts w:hint="eastAsia" w:cs="宋体"/>
                <w:color w:val="auto"/>
                <w:szCs w:val="21"/>
                <w:highlight w:val="none"/>
              </w:rPr>
              <w:t>3.提交服务成果时间：   年    月     日前</w:t>
            </w:r>
          </w:p>
          <w:p>
            <w:pPr>
              <w:pStyle w:val="9"/>
              <w:spacing w:line="340" w:lineRule="exact"/>
              <w:rPr>
                <w:rFonts w:cs="宋体"/>
                <w:color w:val="auto"/>
                <w:szCs w:val="21"/>
                <w:highlight w:val="none"/>
              </w:rPr>
            </w:pPr>
            <w:r>
              <w:rPr>
                <w:rFonts w:hint="eastAsia" w:cs="宋体"/>
                <w:color w:val="auto"/>
                <w:szCs w:val="21"/>
                <w:highlight w:val="none"/>
              </w:rPr>
              <w:t>4.提交服务成果地点：南宁市    路    号</w:t>
            </w:r>
          </w:p>
          <w:p>
            <w:pPr>
              <w:pStyle w:val="9"/>
              <w:spacing w:line="340" w:lineRule="exact"/>
              <w:rPr>
                <w:rFonts w:cs="宋体"/>
                <w:color w:val="auto"/>
                <w:szCs w:val="21"/>
                <w:highlight w:val="none"/>
              </w:rPr>
            </w:pPr>
            <w:r>
              <w:rPr>
                <w:rFonts w:hint="eastAsia" w:cs="宋体"/>
                <w:color w:val="auto"/>
                <w:szCs w:val="21"/>
                <w:highlight w:val="none"/>
              </w:rPr>
              <w:t>5 ……</w:t>
            </w:r>
          </w:p>
        </w:tc>
        <w:tc>
          <w:tcPr>
            <w:tcW w:w="1320" w:type="dxa"/>
            <w:tcBorders>
              <w:top w:val="single" w:color="auto" w:sz="4" w:space="0"/>
              <w:left w:val="single" w:color="auto" w:sz="4" w:space="0"/>
              <w:bottom w:val="single" w:color="auto" w:sz="4" w:space="0"/>
              <w:right w:val="single" w:color="auto" w:sz="4" w:space="0"/>
            </w:tcBorders>
          </w:tcPr>
          <w:p>
            <w:pPr>
              <w:pStyle w:val="9"/>
              <w:spacing w:line="300" w:lineRule="exact"/>
              <w:rPr>
                <w:rFonts w:cs="宋体"/>
                <w:color w:val="auto"/>
                <w:szCs w:val="21"/>
                <w:highlight w:val="none"/>
              </w:rPr>
            </w:pPr>
          </w:p>
          <w:p>
            <w:pPr>
              <w:pStyle w:val="9"/>
              <w:spacing w:line="300" w:lineRule="exact"/>
              <w:rPr>
                <w:rFonts w:cs="宋体"/>
                <w:color w:val="auto"/>
                <w:szCs w:val="21"/>
                <w:highlight w:val="none"/>
              </w:rPr>
            </w:pPr>
            <w:r>
              <w:rPr>
                <w:rFonts w:hint="eastAsia"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9"/>
              <w:spacing w:line="340" w:lineRule="exact"/>
              <w:rPr>
                <w:rFonts w:cs="宋体"/>
                <w:color w:val="auto"/>
                <w:szCs w:val="21"/>
                <w:highlight w:val="none"/>
              </w:rPr>
            </w:pPr>
            <w:r>
              <w:rPr>
                <w:rFonts w:hint="eastAsia" w:cs="宋体"/>
                <w:color w:val="auto"/>
                <w:szCs w:val="21"/>
                <w:highlight w:val="none"/>
                <w:u w:val="single"/>
              </w:rPr>
              <w:t>　　</w:t>
            </w:r>
            <w:r>
              <w:rPr>
                <w:rFonts w:hint="eastAsia"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9"/>
              <w:spacing w:line="340" w:lineRule="exact"/>
              <w:rPr>
                <w:rFonts w:cs="宋体"/>
                <w:color w:val="auto"/>
                <w:szCs w:val="21"/>
                <w:highlight w:val="none"/>
              </w:rPr>
            </w:pPr>
            <w:r>
              <w:rPr>
                <w:rFonts w:hint="eastAsia" w:cs="宋体"/>
                <w:color w:val="auto"/>
                <w:szCs w:val="21"/>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9"/>
              <w:spacing w:line="360" w:lineRule="exact"/>
              <w:rPr>
                <w:rFonts w:cs="宋体"/>
                <w:color w:val="auto"/>
                <w:szCs w:val="21"/>
                <w:highlight w:val="none"/>
              </w:rPr>
            </w:pPr>
            <w:r>
              <w:rPr>
                <w:rFonts w:hint="eastAsia" w:cs="宋体"/>
                <w:color w:val="auto"/>
                <w:szCs w:val="21"/>
                <w:highlight w:val="none"/>
              </w:rPr>
              <w:t>法定代表人或其委托代理人（签字或盖章）：</w:t>
            </w:r>
          </w:p>
        </w:tc>
      </w:tr>
    </w:tbl>
    <w:p>
      <w:pPr>
        <w:pStyle w:val="9"/>
        <w:rPr>
          <w:rFonts w:cs="宋体"/>
          <w:color w:val="auto"/>
          <w:szCs w:val="21"/>
          <w:highlight w:val="none"/>
        </w:rPr>
      </w:pPr>
      <w:r>
        <w:rPr>
          <w:rFonts w:hint="eastAsia" w:cs="宋体"/>
          <w:color w:val="auto"/>
          <w:szCs w:val="21"/>
          <w:highlight w:val="none"/>
        </w:rPr>
        <w:t>注：⑴表格内容均需按要求填写并盖章，不得留空，</w:t>
      </w:r>
      <w:r>
        <w:rPr>
          <w:rFonts w:hint="eastAsia" w:cs="宋体"/>
          <w:bCs/>
          <w:color w:val="auto"/>
          <w:szCs w:val="21"/>
          <w:highlight w:val="none"/>
        </w:rPr>
        <w:t>否则按投标无效处理</w:t>
      </w:r>
      <w:r>
        <w:rPr>
          <w:rFonts w:hint="eastAsia" w:cs="宋体"/>
          <w:color w:val="auto"/>
          <w:szCs w:val="21"/>
          <w:highlight w:val="none"/>
        </w:rPr>
        <w:t>。</w:t>
      </w:r>
    </w:p>
    <w:p>
      <w:pPr>
        <w:pStyle w:val="9"/>
        <w:spacing w:line="600" w:lineRule="exact"/>
        <w:ind w:left="689" w:leftChars="228" w:hanging="210" w:hangingChars="100"/>
        <w:rPr>
          <w:rFonts w:cs="宋体"/>
          <w:bCs/>
          <w:color w:val="auto"/>
          <w:szCs w:val="21"/>
          <w:highlight w:val="none"/>
        </w:rPr>
      </w:pPr>
      <w:r>
        <w:rPr>
          <w:rFonts w:hint="eastAsia" w:cs="宋体"/>
          <w:bCs/>
          <w:color w:val="auto"/>
          <w:szCs w:val="21"/>
          <w:highlight w:val="none"/>
        </w:rPr>
        <w:t>⑵投标文件承诺不得直接复制招标文件需求，如果招标文件需求为小于或大于某个数值标准时，招标文件承诺内容应当写明投标货物具体参数或商务响应承诺的具体数值，否则按投标无效处理。</w:t>
      </w:r>
    </w:p>
    <w:p>
      <w:pPr>
        <w:pStyle w:val="9"/>
        <w:spacing w:line="600" w:lineRule="exact"/>
        <w:ind w:left="689" w:leftChars="228" w:hanging="210" w:hangingChars="100"/>
        <w:rPr>
          <w:rFonts w:cs="宋体"/>
          <w:color w:val="auto"/>
          <w:szCs w:val="21"/>
          <w:highlight w:val="none"/>
        </w:rPr>
      </w:pPr>
      <w:r>
        <w:rPr>
          <w:rFonts w:hint="eastAsia" w:cs="宋体"/>
          <w:color w:val="auto"/>
          <w:szCs w:val="21"/>
          <w:highlight w:val="none"/>
        </w:rPr>
        <w:t>⑶当投标文件的技术参数或商务内容低于招标文件要求时，投标人应当如实写明“负偏离”，否则视为虚假应标。</w:t>
      </w:r>
    </w:p>
    <w:p>
      <w:pPr>
        <w:pStyle w:val="9"/>
        <w:spacing w:line="600" w:lineRule="exact"/>
        <w:rPr>
          <w:rFonts w:cs="宋体"/>
          <w:b/>
          <w:color w:val="auto"/>
          <w:szCs w:val="21"/>
          <w:highlight w:val="none"/>
        </w:rPr>
      </w:pPr>
    </w:p>
    <w:p>
      <w:pPr>
        <w:pStyle w:val="9"/>
        <w:spacing w:line="500" w:lineRule="exact"/>
        <w:jc w:val="center"/>
        <w:rPr>
          <w:b/>
          <w:bCs/>
          <w:color w:val="auto"/>
          <w:sz w:val="30"/>
          <w:szCs w:val="30"/>
          <w:highlight w:val="none"/>
        </w:rPr>
      </w:pPr>
      <w:r>
        <w:rPr>
          <w:rFonts w:hint="eastAsia" w:cs="宋体"/>
          <w:b/>
          <w:bCs/>
          <w:color w:val="auto"/>
          <w:szCs w:val="21"/>
          <w:highlight w:val="none"/>
        </w:rPr>
        <w:br w:type="page"/>
      </w:r>
      <w:r>
        <w:rPr>
          <w:rFonts w:hint="eastAsia"/>
          <w:b/>
          <w:bCs/>
          <w:color w:val="auto"/>
          <w:sz w:val="30"/>
          <w:szCs w:val="30"/>
          <w:highlight w:val="none"/>
        </w:rPr>
        <w:t>法定代表人授权委托书（格式）</w:t>
      </w:r>
    </w:p>
    <w:p>
      <w:pPr>
        <w:pStyle w:val="9"/>
        <w:spacing w:line="500" w:lineRule="exact"/>
        <w:ind w:firstLine="420" w:firstLineChars="200"/>
        <w:rPr>
          <w:color w:val="auto"/>
          <w:highlight w:val="none"/>
          <w:u w:val="single"/>
        </w:rPr>
      </w:pPr>
    </w:p>
    <w:p>
      <w:pPr>
        <w:pStyle w:val="9"/>
        <w:spacing w:line="440" w:lineRule="exact"/>
        <w:rPr>
          <w:color w:val="auto"/>
          <w:highlight w:val="none"/>
        </w:rPr>
      </w:pPr>
      <w:r>
        <w:rPr>
          <w:rFonts w:hint="eastAsia"/>
          <w:color w:val="auto"/>
          <w:highlight w:val="none"/>
        </w:rPr>
        <w:t>致：</w:t>
      </w:r>
      <w:r>
        <w:rPr>
          <w:rFonts w:hint="eastAsia"/>
          <w:color w:val="auto"/>
          <w:highlight w:val="none"/>
          <w:u w:val="single"/>
        </w:rPr>
        <w:t>（采购代理机构名称）</w:t>
      </w:r>
    </w:p>
    <w:p>
      <w:pPr>
        <w:pStyle w:val="9"/>
        <w:spacing w:line="440" w:lineRule="exact"/>
        <w:ind w:firstLine="420" w:firstLineChars="200"/>
        <w:rPr>
          <w:color w:val="auto"/>
          <w:highlight w:val="none"/>
        </w:rPr>
      </w:pPr>
    </w:p>
    <w:p>
      <w:pPr>
        <w:pStyle w:val="9"/>
        <w:spacing w:line="440" w:lineRule="exact"/>
        <w:ind w:firstLine="420" w:firstLineChars="200"/>
        <w:rPr>
          <w:color w:val="auto"/>
          <w:highlight w:val="none"/>
        </w:rPr>
      </w:pPr>
      <w:r>
        <w:rPr>
          <w:rFonts w:hint="eastAsia"/>
          <w:color w:val="auto"/>
          <w:highlight w:val="none"/>
        </w:rPr>
        <w:t>本人</w:t>
      </w:r>
      <w:r>
        <w:rPr>
          <w:rFonts w:hint="eastAsia"/>
          <w:color w:val="auto"/>
          <w:highlight w:val="none"/>
          <w:u w:val="single"/>
        </w:rPr>
        <w:t>（姓名）</w:t>
      </w:r>
      <w:r>
        <w:rPr>
          <w:rFonts w:hint="eastAsia"/>
          <w:color w:val="auto"/>
          <w:highlight w:val="none"/>
        </w:rPr>
        <w:t>系</w:t>
      </w:r>
      <w:r>
        <w:rPr>
          <w:rFonts w:hint="eastAsia"/>
          <w:color w:val="auto"/>
          <w:highlight w:val="none"/>
          <w:u w:val="single"/>
        </w:rPr>
        <w:t>（投标人名称）</w:t>
      </w:r>
      <w:r>
        <w:rPr>
          <w:rFonts w:hint="eastAsia"/>
          <w:color w:val="auto"/>
          <w:highlight w:val="none"/>
        </w:rPr>
        <w:t>的法定代表人，现授权</w:t>
      </w:r>
      <w:r>
        <w:rPr>
          <w:rFonts w:hint="eastAsia"/>
          <w:color w:val="auto"/>
          <w:highlight w:val="none"/>
          <w:u w:val="single"/>
        </w:rPr>
        <w:t>（姓名和职务）</w:t>
      </w:r>
      <w:r>
        <w:rPr>
          <w:rFonts w:hint="eastAsia"/>
          <w:color w:val="auto"/>
          <w:highlight w:val="none"/>
        </w:rPr>
        <w:t>为我方代理人。代理人根据授权，以我方名义签署、澄清、说明、补正、递交、撤回、修改贵方组织的</w:t>
      </w:r>
      <w:r>
        <w:rPr>
          <w:rFonts w:hint="eastAsia"/>
          <w:color w:val="auto"/>
          <w:highlight w:val="none"/>
          <w:u w:val="single"/>
        </w:rPr>
        <w:t xml:space="preserve">  项目名称（项目编号：）</w:t>
      </w:r>
      <w:r>
        <w:rPr>
          <w:rFonts w:hint="eastAsia"/>
          <w:color w:val="auto"/>
          <w:highlight w:val="none"/>
        </w:rPr>
        <w:t>的投标文件、签订合同和处理一切有关事宜，其法律后果由我方承担。</w:t>
      </w:r>
    </w:p>
    <w:p>
      <w:pPr>
        <w:pStyle w:val="9"/>
        <w:spacing w:line="360" w:lineRule="auto"/>
        <w:ind w:firstLine="435"/>
        <w:rPr>
          <w:color w:val="auto"/>
          <w:highlight w:val="none"/>
        </w:rPr>
      </w:pPr>
      <w:r>
        <w:rPr>
          <w:rFonts w:hint="eastAsia"/>
          <w:color w:val="auto"/>
          <w:highlight w:val="none"/>
        </w:rPr>
        <w:t>本授权书于</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日签字生效，委托期限：</w:t>
      </w:r>
      <w:r>
        <w:rPr>
          <w:rFonts w:hint="eastAsia"/>
          <w:color w:val="auto"/>
          <w:highlight w:val="none"/>
          <w:u w:val="single"/>
        </w:rPr>
        <w:t xml:space="preserve">  </w:t>
      </w:r>
      <w:r>
        <w:rPr>
          <w:rFonts w:hint="eastAsia"/>
          <w:color w:val="auto"/>
          <w:highlight w:val="none"/>
        </w:rPr>
        <w:t>。</w:t>
      </w:r>
    </w:p>
    <w:p>
      <w:pPr>
        <w:pStyle w:val="9"/>
        <w:spacing w:line="360" w:lineRule="auto"/>
        <w:ind w:firstLine="420"/>
        <w:rPr>
          <w:color w:val="auto"/>
          <w:highlight w:val="none"/>
        </w:rPr>
      </w:pPr>
      <w:r>
        <w:rPr>
          <w:rFonts w:hint="eastAsia"/>
          <w:color w:val="auto"/>
          <w:highlight w:val="none"/>
        </w:rPr>
        <w:t>代理人无转委托权。</w:t>
      </w:r>
    </w:p>
    <w:p>
      <w:pPr>
        <w:pStyle w:val="9"/>
        <w:spacing w:line="360" w:lineRule="auto"/>
        <w:ind w:firstLine="420"/>
        <w:rPr>
          <w:color w:val="auto"/>
          <w:highlight w:val="none"/>
        </w:rPr>
      </w:pPr>
    </w:p>
    <w:p>
      <w:pPr>
        <w:pStyle w:val="9"/>
        <w:spacing w:line="360" w:lineRule="auto"/>
        <w:ind w:firstLine="420"/>
        <w:rPr>
          <w:color w:val="auto"/>
          <w:highlight w:val="none"/>
          <w:u w:val="single"/>
        </w:rPr>
      </w:pPr>
      <w:r>
        <w:rPr>
          <w:rFonts w:hint="eastAsia"/>
          <w:color w:val="auto"/>
          <w:highlight w:val="none"/>
        </w:rPr>
        <w:t>投标人（盖单位公章）：</w:t>
      </w:r>
    </w:p>
    <w:p>
      <w:pPr>
        <w:pStyle w:val="9"/>
        <w:spacing w:line="360" w:lineRule="auto"/>
        <w:ind w:firstLine="420"/>
        <w:rPr>
          <w:color w:val="auto"/>
          <w:highlight w:val="none"/>
          <w:u w:val="single"/>
        </w:rPr>
      </w:pPr>
      <w:r>
        <w:rPr>
          <w:rFonts w:hint="eastAsia"/>
          <w:color w:val="auto"/>
          <w:highlight w:val="none"/>
        </w:rPr>
        <w:t>法定代表人（签字或盖章）：</w:t>
      </w:r>
    </w:p>
    <w:p>
      <w:pPr>
        <w:pStyle w:val="9"/>
        <w:spacing w:line="360" w:lineRule="auto"/>
        <w:ind w:firstLine="420"/>
        <w:rPr>
          <w:color w:val="auto"/>
          <w:highlight w:val="none"/>
          <w:u w:val="single"/>
        </w:rPr>
      </w:pPr>
      <w:r>
        <w:rPr>
          <w:rFonts w:hint="eastAsia"/>
          <w:color w:val="auto"/>
          <w:highlight w:val="none"/>
        </w:rPr>
        <w:t>法定代表人身份证号码：</w:t>
      </w:r>
    </w:p>
    <w:p>
      <w:pPr>
        <w:pStyle w:val="9"/>
        <w:spacing w:line="360" w:lineRule="auto"/>
        <w:ind w:firstLine="420" w:firstLineChars="200"/>
        <w:rPr>
          <w:color w:val="auto"/>
          <w:highlight w:val="none"/>
        </w:rPr>
      </w:pPr>
      <w:r>
        <w:rPr>
          <w:rFonts w:hint="eastAsia"/>
          <w:color w:val="auto"/>
          <w:highlight w:val="none"/>
        </w:rPr>
        <w:t>委托代理人（签字或盖章）：</w:t>
      </w:r>
    </w:p>
    <w:p>
      <w:pPr>
        <w:pStyle w:val="9"/>
        <w:spacing w:line="360" w:lineRule="auto"/>
        <w:ind w:firstLine="420"/>
        <w:rPr>
          <w:color w:val="auto"/>
          <w:highlight w:val="none"/>
          <w:u w:val="single"/>
        </w:rPr>
      </w:pPr>
      <w:r>
        <w:rPr>
          <w:rFonts w:hint="eastAsia"/>
          <w:color w:val="auto"/>
          <w:highlight w:val="none"/>
        </w:rPr>
        <w:t>委托代理人身份证号码：</w:t>
      </w:r>
    </w:p>
    <w:p>
      <w:pPr>
        <w:pStyle w:val="9"/>
        <w:spacing w:line="360" w:lineRule="auto"/>
        <w:ind w:right="428"/>
        <w:rPr>
          <w:color w:val="auto"/>
          <w:highlight w:val="none"/>
        </w:rPr>
      </w:pPr>
    </w:p>
    <w:p>
      <w:pPr>
        <w:pStyle w:val="9"/>
        <w:spacing w:line="360" w:lineRule="auto"/>
        <w:ind w:right="428"/>
        <w:rPr>
          <w:color w:val="auto"/>
          <w:highlight w:val="none"/>
        </w:rPr>
      </w:pPr>
    </w:p>
    <w:p>
      <w:pPr>
        <w:pStyle w:val="9"/>
        <w:spacing w:line="360" w:lineRule="auto"/>
        <w:ind w:right="428"/>
        <w:rPr>
          <w:color w:val="auto"/>
          <w:highlight w:val="none"/>
        </w:rPr>
      </w:pPr>
    </w:p>
    <w:p>
      <w:pPr>
        <w:pStyle w:val="9"/>
        <w:spacing w:line="360" w:lineRule="auto"/>
        <w:ind w:right="428"/>
        <w:rPr>
          <w:color w:val="auto"/>
          <w:highlight w:val="none"/>
        </w:rPr>
      </w:pPr>
    </w:p>
    <w:p>
      <w:pPr>
        <w:pStyle w:val="9"/>
        <w:spacing w:line="360" w:lineRule="auto"/>
        <w:ind w:right="428"/>
        <w:rPr>
          <w:color w:val="auto"/>
          <w:highlight w:val="none"/>
        </w:rPr>
      </w:pPr>
    </w:p>
    <w:p>
      <w:pPr>
        <w:pStyle w:val="9"/>
        <w:spacing w:line="360" w:lineRule="auto"/>
        <w:ind w:right="428"/>
        <w:rPr>
          <w:color w:val="auto"/>
          <w:highlight w:val="none"/>
        </w:rPr>
      </w:pPr>
    </w:p>
    <w:p>
      <w:pPr>
        <w:pStyle w:val="9"/>
        <w:spacing w:line="360" w:lineRule="auto"/>
        <w:ind w:right="428"/>
        <w:rPr>
          <w:color w:val="auto"/>
          <w:highlight w:val="none"/>
        </w:rPr>
      </w:pPr>
    </w:p>
    <w:p>
      <w:pPr>
        <w:pStyle w:val="9"/>
        <w:spacing w:line="360" w:lineRule="auto"/>
        <w:ind w:right="428"/>
        <w:rPr>
          <w:color w:val="auto"/>
          <w:highlight w:val="none"/>
        </w:rPr>
      </w:pPr>
    </w:p>
    <w:p>
      <w:pPr>
        <w:pStyle w:val="9"/>
        <w:spacing w:line="360" w:lineRule="auto"/>
        <w:ind w:right="428"/>
        <w:rPr>
          <w:color w:val="auto"/>
          <w:highlight w:val="none"/>
        </w:rPr>
      </w:pPr>
    </w:p>
    <w:p>
      <w:pPr>
        <w:pStyle w:val="9"/>
        <w:spacing w:line="360" w:lineRule="auto"/>
        <w:ind w:right="428"/>
        <w:rPr>
          <w:color w:val="auto"/>
          <w:highlight w:val="none"/>
        </w:rPr>
      </w:pPr>
    </w:p>
    <w:p>
      <w:pPr>
        <w:pStyle w:val="9"/>
        <w:spacing w:line="360" w:lineRule="auto"/>
        <w:ind w:right="428"/>
        <w:rPr>
          <w:color w:val="auto"/>
          <w:highlight w:val="none"/>
        </w:rPr>
      </w:pPr>
    </w:p>
    <w:p>
      <w:pPr>
        <w:pStyle w:val="9"/>
        <w:spacing w:line="360" w:lineRule="auto"/>
        <w:ind w:right="428"/>
        <w:rPr>
          <w:color w:val="auto"/>
          <w:highlight w:val="none"/>
        </w:rPr>
      </w:pPr>
    </w:p>
    <w:p>
      <w:pPr>
        <w:pStyle w:val="9"/>
        <w:spacing w:line="360" w:lineRule="auto"/>
        <w:ind w:right="428"/>
        <w:rPr>
          <w:color w:val="auto"/>
          <w:highlight w:val="none"/>
        </w:rPr>
      </w:pPr>
    </w:p>
    <w:p>
      <w:pPr>
        <w:pStyle w:val="9"/>
        <w:spacing w:line="360" w:lineRule="auto"/>
        <w:ind w:right="428"/>
        <w:rPr>
          <w:color w:val="auto"/>
          <w:highlight w:val="none"/>
        </w:rPr>
      </w:pPr>
    </w:p>
    <w:p>
      <w:pPr>
        <w:pStyle w:val="9"/>
        <w:spacing w:line="360" w:lineRule="auto"/>
        <w:ind w:right="428"/>
        <w:rPr>
          <w:color w:val="auto"/>
          <w:highlight w:val="none"/>
        </w:rPr>
      </w:pPr>
    </w:p>
    <w:p>
      <w:pPr>
        <w:pStyle w:val="9"/>
        <w:spacing w:line="360" w:lineRule="auto"/>
        <w:ind w:right="428"/>
        <w:rPr>
          <w:color w:val="auto"/>
          <w:highlight w:val="none"/>
        </w:rPr>
      </w:pPr>
    </w:p>
    <w:p>
      <w:pPr>
        <w:pStyle w:val="4"/>
        <w:spacing w:after="312" w:line="360" w:lineRule="auto"/>
        <w:rPr>
          <w:color w:val="auto"/>
          <w:highlight w:val="none"/>
        </w:rPr>
      </w:pPr>
    </w:p>
    <w:p>
      <w:pPr>
        <w:pStyle w:val="4"/>
        <w:spacing w:after="312" w:line="360" w:lineRule="auto"/>
        <w:rPr>
          <w:color w:val="auto"/>
          <w:highlight w:val="none"/>
        </w:rPr>
      </w:pPr>
      <w:r>
        <w:rPr>
          <w:color w:val="auto"/>
          <w:highlight w:val="none"/>
        </w:rPr>
        <w:t xml:space="preserve">第六章  </w:t>
      </w:r>
      <w:bookmarkEnd w:id="43"/>
      <w:bookmarkEnd w:id="44"/>
      <w:bookmarkEnd w:id="45"/>
      <w:r>
        <w:rPr>
          <w:rFonts w:hint="eastAsia"/>
          <w:color w:val="auto"/>
          <w:highlight w:val="none"/>
        </w:rPr>
        <w:t>合同条款及格式</w:t>
      </w:r>
    </w:p>
    <w:p>
      <w:pPr>
        <w:pStyle w:val="9"/>
        <w:spacing w:line="360" w:lineRule="auto"/>
        <w:jc w:val="center"/>
        <w:rPr>
          <w:rFonts w:ascii="Times New Roman" w:hAnsi="Times New Roman" w:eastAsia="宋体"/>
          <w:color w:val="auto"/>
          <w:highlight w:val="none"/>
        </w:rPr>
      </w:pPr>
      <w:r>
        <w:rPr>
          <w:rFonts w:ascii="Times New Roman" w:hAnsi="Times New Roman" w:eastAsia="宋体"/>
          <w:color w:val="auto"/>
          <w:highlight w:val="none"/>
        </w:rPr>
        <w:br w:type="page"/>
      </w:r>
    </w:p>
    <w:p>
      <w:pPr>
        <w:spacing w:line="360" w:lineRule="auto"/>
        <w:jc w:val="center"/>
        <w:rPr>
          <w:rFonts w:ascii="宋体" w:hAnsi="Calibri"/>
          <w:b/>
          <w:bCs/>
          <w:color w:val="auto"/>
          <w:sz w:val="52"/>
          <w:highlight w:val="none"/>
        </w:rPr>
      </w:pPr>
      <w:r>
        <w:rPr>
          <w:rFonts w:hint="eastAsia" w:ascii="宋体" w:hAnsi="Calibri"/>
          <w:b/>
          <w:bCs/>
          <w:color w:val="auto"/>
          <w:sz w:val="52"/>
          <w:highlight w:val="none"/>
        </w:rPr>
        <w:t xml:space="preserve"> 政 府 采 购</w:t>
      </w:r>
    </w:p>
    <w:p>
      <w:pPr>
        <w:spacing w:line="360" w:lineRule="auto"/>
        <w:ind w:firstLine="420" w:firstLineChars="200"/>
        <w:rPr>
          <w:rFonts w:ascii="宋体" w:hAnsi="Calibri"/>
          <w:color w:val="auto"/>
          <w:highlight w:val="none"/>
        </w:rPr>
      </w:pPr>
    </w:p>
    <w:p>
      <w:pPr>
        <w:spacing w:line="360" w:lineRule="auto"/>
        <w:ind w:firstLine="420" w:firstLineChars="200"/>
        <w:rPr>
          <w:rFonts w:ascii="宋体" w:hAnsi="Calibri"/>
          <w:color w:val="auto"/>
          <w:highlight w:val="none"/>
        </w:rPr>
      </w:pPr>
      <w:r>
        <w:rPr>
          <w:rFonts w:hint="eastAsia" w:ascii="宋体" w:hAnsi="Calibri"/>
          <w:color w:val="auto"/>
          <w:highlight w:val="none"/>
        </w:rPr>
        <w:t xml:space="preserve">                                                 </w:t>
      </w:r>
    </w:p>
    <w:p>
      <w:pPr>
        <w:spacing w:line="360" w:lineRule="auto"/>
        <w:jc w:val="center"/>
        <w:rPr>
          <w:rFonts w:ascii="宋体" w:hAnsi="Calibri"/>
          <w:b/>
          <w:bCs/>
          <w:color w:val="auto"/>
          <w:sz w:val="44"/>
          <w:highlight w:val="none"/>
        </w:rPr>
      </w:pPr>
      <w:r>
        <w:rPr>
          <w:rFonts w:hint="eastAsia" w:ascii="宋体" w:hAnsi="Calibri"/>
          <w:b/>
          <w:bCs/>
          <w:color w:val="auto"/>
          <w:sz w:val="44"/>
          <w:highlight w:val="none"/>
          <w:u w:val="single"/>
        </w:rPr>
        <w:t xml:space="preserve">         （项目名称）         </w:t>
      </w:r>
      <w:r>
        <w:rPr>
          <w:rFonts w:hint="eastAsia" w:ascii="宋体" w:hAnsi="Calibri"/>
          <w:b/>
          <w:bCs/>
          <w:color w:val="auto"/>
          <w:sz w:val="44"/>
          <w:highlight w:val="none"/>
        </w:rPr>
        <w:t>合同</w:t>
      </w:r>
    </w:p>
    <w:p>
      <w:pPr>
        <w:spacing w:line="360" w:lineRule="auto"/>
        <w:jc w:val="center"/>
        <w:rPr>
          <w:rFonts w:ascii="宋体" w:hAnsi="Calibri"/>
          <w:b/>
          <w:bCs/>
          <w:color w:val="auto"/>
          <w:sz w:val="44"/>
          <w:highlight w:val="none"/>
        </w:rPr>
      </w:pPr>
    </w:p>
    <w:p>
      <w:pPr>
        <w:spacing w:line="360" w:lineRule="auto"/>
        <w:jc w:val="center"/>
        <w:rPr>
          <w:rFonts w:ascii="宋体" w:hAnsi="Calibri"/>
          <w:b/>
          <w:bCs/>
          <w:color w:val="auto"/>
          <w:sz w:val="44"/>
          <w:highlight w:val="none"/>
        </w:rPr>
      </w:pPr>
    </w:p>
    <w:p>
      <w:pPr>
        <w:spacing w:line="360" w:lineRule="auto"/>
        <w:ind w:firstLine="3507" w:firstLineChars="794"/>
        <w:rPr>
          <w:rFonts w:ascii="宋体" w:hAnsi="Calibri"/>
          <w:b/>
          <w:bCs/>
          <w:color w:val="auto"/>
          <w:sz w:val="44"/>
          <w:highlight w:val="none"/>
        </w:rPr>
      </w:pPr>
    </w:p>
    <w:p>
      <w:pPr>
        <w:spacing w:line="360" w:lineRule="auto"/>
        <w:ind w:firstLine="3507" w:firstLineChars="794"/>
        <w:rPr>
          <w:rFonts w:ascii="宋体" w:hAnsi="Calibri"/>
          <w:b/>
          <w:bCs/>
          <w:color w:val="auto"/>
          <w:sz w:val="44"/>
          <w:highlight w:val="none"/>
        </w:rPr>
      </w:pPr>
    </w:p>
    <w:p>
      <w:pPr>
        <w:ind w:firstLine="1995" w:firstLineChars="552"/>
        <w:rPr>
          <w:rFonts w:ascii="宋体" w:hAnsi="宋体"/>
          <w:b/>
          <w:color w:val="auto"/>
          <w:sz w:val="36"/>
          <w:szCs w:val="36"/>
          <w:highlight w:val="none"/>
        </w:rPr>
      </w:pPr>
      <w:r>
        <w:rPr>
          <w:rFonts w:hint="eastAsia" w:ascii="宋体" w:hAnsi="宋体"/>
          <w:b/>
          <w:color w:val="auto"/>
          <w:sz w:val="36"/>
          <w:szCs w:val="36"/>
          <w:highlight w:val="none"/>
        </w:rPr>
        <w:t>项目编号：</w:t>
      </w:r>
      <w:r>
        <w:rPr>
          <w:rFonts w:hint="eastAsia" w:ascii="宋体" w:hAnsi="宋体"/>
          <w:b/>
          <w:color w:val="auto"/>
          <w:sz w:val="36"/>
          <w:szCs w:val="36"/>
          <w:highlight w:val="none"/>
          <w:u w:val="single"/>
        </w:rPr>
        <w:t xml:space="preserve">                     </w:t>
      </w:r>
    </w:p>
    <w:p>
      <w:pPr>
        <w:ind w:firstLine="1995" w:firstLineChars="552"/>
        <w:rPr>
          <w:rFonts w:ascii="宋体" w:hAnsi="宋体"/>
          <w:b/>
          <w:color w:val="auto"/>
          <w:sz w:val="36"/>
          <w:szCs w:val="36"/>
          <w:highlight w:val="none"/>
        </w:rPr>
      </w:pPr>
      <w:r>
        <w:rPr>
          <w:rFonts w:hint="eastAsia" w:ascii="宋体" w:hAnsi="宋体"/>
          <w:b/>
          <w:color w:val="auto"/>
          <w:sz w:val="36"/>
          <w:szCs w:val="36"/>
          <w:highlight w:val="none"/>
        </w:rPr>
        <w:t xml:space="preserve"> </w:t>
      </w:r>
    </w:p>
    <w:p>
      <w:pPr>
        <w:ind w:firstLine="1995" w:firstLineChars="552"/>
        <w:rPr>
          <w:rFonts w:ascii="宋体" w:hAnsi="宋体"/>
          <w:b/>
          <w:color w:val="auto"/>
          <w:sz w:val="36"/>
          <w:szCs w:val="36"/>
          <w:highlight w:val="none"/>
          <w:u w:val="single"/>
        </w:rPr>
      </w:pPr>
    </w:p>
    <w:p>
      <w:pPr>
        <w:ind w:firstLine="1995" w:firstLineChars="552"/>
        <w:rPr>
          <w:rFonts w:ascii="宋体" w:hAnsi="宋体"/>
          <w:b/>
          <w:color w:val="auto"/>
          <w:sz w:val="36"/>
          <w:szCs w:val="36"/>
          <w:highlight w:val="none"/>
          <w:u w:val="single"/>
        </w:rPr>
      </w:pPr>
    </w:p>
    <w:p>
      <w:pPr>
        <w:tabs>
          <w:tab w:val="left" w:pos="7200"/>
        </w:tabs>
        <w:spacing w:line="360" w:lineRule="auto"/>
        <w:ind w:firstLine="1995" w:firstLineChars="552"/>
        <w:rPr>
          <w:rFonts w:ascii="宋体" w:hAnsi="宋体"/>
          <w:b/>
          <w:color w:val="auto"/>
          <w:sz w:val="36"/>
          <w:szCs w:val="36"/>
          <w:highlight w:val="none"/>
          <w:u w:val="single"/>
        </w:rPr>
      </w:pPr>
      <w:r>
        <w:rPr>
          <w:rFonts w:hint="eastAsia" w:ascii="宋体" w:hAnsi="宋体"/>
          <w:b/>
          <w:color w:val="auto"/>
          <w:sz w:val="36"/>
          <w:szCs w:val="36"/>
          <w:highlight w:val="none"/>
        </w:rPr>
        <w:t>采购人：</w:t>
      </w:r>
      <w:r>
        <w:rPr>
          <w:rFonts w:hint="eastAsia" w:ascii="宋体" w:hAnsi="宋体"/>
          <w:b/>
          <w:color w:val="auto"/>
          <w:sz w:val="36"/>
          <w:szCs w:val="36"/>
          <w:highlight w:val="none"/>
          <w:u w:val="single"/>
        </w:rPr>
        <w:t xml:space="preserve">                       </w:t>
      </w:r>
    </w:p>
    <w:p>
      <w:pPr>
        <w:tabs>
          <w:tab w:val="left" w:pos="7380"/>
        </w:tabs>
        <w:spacing w:line="360" w:lineRule="auto"/>
        <w:ind w:firstLine="1995" w:firstLineChars="552"/>
        <w:rPr>
          <w:rFonts w:ascii="宋体" w:hAnsi="Calibri"/>
          <w:b/>
          <w:bCs/>
          <w:color w:val="auto"/>
          <w:sz w:val="44"/>
          <w:highlight w:val="none"/>
        </w:rPr>
      </w:pPr>
      <w:r>
        <w:rPr>
          <w:rFonts w:hint="eastAsia" w:ascii="宋体" w:hAnsi="宋体"/>
          <w:b/>
          <w:color w:val="auto"/>
          <w:sz w:val="36"/>
          <w:szCs w:val="36"/>
          <w:highlight w:val="none"/>
        </w:rPr>
        <w:t>中标供应商：</w:t>
      </w:r>
      <w:r>
        <w:rPr>
          <w:rFonts w:hint="eastAsia" w:ascii="宋体" w:hAnsi="宋体"/>
          <w:b/>
          <w:color w:val="auto"/>
          <w:sz w:val="36"/>
          <w:szCs w:val="36"/>
          <w:highlight w:val="none"/>
          <w:u w:val="single"/>
        </w:rPr>
        <w:t xml:space="preserve">                   </w:t>
      </w:r>
    </w:p>
    <w:p>
      <w:pPr>
        <w:tabs>
          <w:tab w:val="left" w:pos="7380"/>
        </w:tabs>
        <w:spacing w:line="360" w:lineRule="auto"/>
        <w:rPr>
          <w:rFonts w:ascii="宋体" w:hAnsi="Calibri"/>
          <w:b/>
          <w:bCs/>
          <w:color w:val="auto"/>
          <w:sz w:val="44"/>
          <w:highlight w:val="none"/>
        </w:rPr>
      </w:pPr>
    </w:p>
    <w:p>
      <w:pPr>
        <w:tabs>
          <w:tab w:val="left" w:pos="7380"/>
        </w:tabs>
        <w:spacing w:line="360" w:lineRule="auto"/>
        <w:jc w:val="center"/>
        <w:rPr>
          <w:rFonts w:ascii="宋体" w:hAnsi="Calibri"/>
          <w:b/>
          <w:bCs/>
          <w:color w:val="auto"/>
          <w:sz w:val="44"/>
          <w:highlight w:val="none"/>
        </w:rPr>
      </w:pPr>
      <w:r>
        <w:rPr>
          <w:rFonts w:hint="eastAsia" w:ascii="宋体" w:hAnsi="Calibri"/>
          <w:b/>
          <w:bCs/>
          <w:color w:val="auto"/>
          <w:sz w:val="44"/>
          <w:highlight w:val="none"/>
        </w:rPr>
        <w:br w:type="page"/>
      </w:r>
      <w:r>
        <w:rPr>
          <w:rFonts w:hint="eastAsia" w:ascii="Calibri" w:hAnsi="Calibri"/>
          <w:b/>
          <w:color w:val="auto"/>
          <w:sz w:val="36"/>
          <w:szCs w:val="36"/>
          <w:highlight w:val="none"/>
        </w:rPr>
        <w:t>目</w:t>
      </w:r>
      <w:r>
        <w:rPr>
          <w:rFonts w:ascii="Calibri" w:hAnsi="Calibri"/>
          <w:b/>
          <w:color w:val="auto"/>
          <w:sz w:val="36"/>
          <w:szCs w:val="36"/>
          <w:highlight w:val="none"/>
        </w:rPr>
        <w:t xml:space="preserve">  </w:t>
      </w:r>
      <w:r>
        <w:rPr>
          <w:rFonts w:hint="eastAsia" w:ascii="Calibri" w:hAnsi="Calibri"/>
          <w:b/>
          <w:color w:val="auto"/>
          <w:sz w:val="36"/>
          <w:szCs w:val="36"/>
          <w:highlight w:val="none"/>
        </w:rPr>
        <w:t>录</w:t>
      </w:r>
    </w:p>
    <w:p>
      <w:pPr>
        <w:tabs>
          <w:tab w:val="left" w:pos="1170"/>
        </w:tabs>
        <w:spacing w:line="360" w:lineRule="auto"/>
        <w:ind w:left="359" w:leftChars="171" w:firstLine="198" w:firstLineChars="71"/>
        <w:rPr>
          <w:rFonts w:ascii="宋体" w:hAnsi="宋体"/>
          <w:color w:val="auto"/>
          <w:sz w:val="28"/>
          <w:highlight w:val="none"/>
        </w:rPr>
      </w:pPr>
      <w:r>
        <w:rPr>
          <w:rFonts w:hint="eastAsia" w:ascii="宋体" w:hAnsi="宋体"/>
          <w:color w:val="auto"/>
          <w:sz w:val="28"/>
          <w:highlight w:val="none"/>
        </w:rPr>
        <w:tab/>
      </w:r>
    </w:p>
    <w:p>
      <w:pPr>
        <w:rPr>
          <w:rFonts w:ascii="Calibri" w:hAnsi="Calibri"/>
          <w:b/>
          <w:color w:val="auto"/>
          <w:sz w:val="30"/>
          <w:szCs w:val="30"/>
          <w:highlight w:val="none"/>
        </w:rPr>
      </w:pPr>
      <w:r>
        <w:rPr>
          <w:rFonts w:hint="eastAsia" w:ascii="Calibri" w:hAnsi="Calibri"/>
          <w:b/>
          <w:color w:val="auto"/>
          <w:sz w:val="30"/>
          <w:szCs w:val="30"/>
          <w:highlight w:val="none"/>
        </w:rPr>
        <w:t>一、政府采购合同书</w:t>
      </w:r>
    </w:p>
    <w:p>
      <w:pPr>
        <w:rPr>
          <w:rFonts w:ascii="Calibri" w:hAnsi="Calibri"/>
          <w:b/>
          <w:color w:val="auto"/>
          <w:sz w:val="30"/>
          <w:szCs w:val="30"/>
          <w:highlight w:val="none"/>
        </w:rPr>
      </w:pPr>
      <w:r>
        <w:rPr>
          <w:rFonts w:hint="eastAsia" w:ascii="Calibri" w:hAnsi="Calibri"/>
          <w:b/>
          <w:color w:val="auto"/>
          <w:sz w:val="30"/>
          <w:szCs w:val="30"/>
          <w:highlight w:val="none"/>
        </w:rPr>
        <w:t>二、合同附件</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1、中标通知书</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2、招标文件服务需求一览表</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3、招标文件的</w:t>
      </w:r>
      <w:r>
        <w:rPr>
          <w:rFonts w:hint="eastAsia" w:ascii="宋体" w:hAnsi="宋体"/>
          <w:color w:val="auto"/>
          <w:sz w:val="28"/>
          <w:highlight w:val="none"/>
        </w:rPr>
        <w:t>更改通知（如有）</w:t>
      </w:r>
    </w:p>
    <w:p>
      <w:pPr>
        <w:ind w:firstLine="560" w:firstLineChars="200"/>
        <w:rPr>
          <w:rFonts w:ascii="宋体" w:hAnsi="宋体"/>
          <w:color w:val="auto"/>
          <w:sz w:val="28"/>
          <w:szCs w:val="28"/>
          <w:highlight w:val="none"/>
        </w:rPr>
      </w:pPr>
      <w:r>
        <w:rPr>
          <w:rFonts w:ascii="Calibri" w:hAnsi="Calibri"/>
          <w:color w:val="auto"/>
          <w:sz w:val="28"/>
          <w:szCs w:val="28"/>
          <w:highlight w:val="none"/>
        </w:rPr>
        <w:t>4</w:t>
      </w:r>
      <w:r>
        <w:rPr>
          <w:rFonts w:hint="eastAsia" w:ascii="Calibri" w:hAnsi="Calibri"/>
          <w:color w:val="auto"/>
          <w:sz w:val="28"/>
          <w:szCs w:val="28"/>
          <w:highlight w:val="none"/>
        </w:rPr>
        <w:t>、投标函</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5、投标报价表</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6、投标服务技术资料表</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7、商务条款偏离表</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8、中标供应商澄清函</w:t>
      </w:r>
      <w:r>
        <w:rPr>
          <w:rFonts w:hint="eastAsia" w:ascii="宋体" w:hAnsi="Courier New"/>
          <w:color w:val="auto"/>
          <w:sz w:val="28"/>
          <w:szCs w:val="28"/>
          <w:highlight w:val="none"/>
        </w:rPr>
        <w:t>（如有请提</w:t>
      </w:r>
      <w:r>
        <w:rPr>
          <w:rFonts w:hint="eastAsia" w:ascii="宋体" w:hAnsi="Courier New"/>
          <w:color w:val="auto"/>
          <w:sz w:val="30"/>
          <w:szCs w:val="30"/>
          <w:highlight w:val="none"/>
        </w:rPr>
        <w:t>供</w:t>
      </w:r>
      <w:r>
        <w:rPr>
          <w:rFonts w:hint="eastAsia" w:ascii="宋体" w:hAnsi="Courier New"/>
          <w:color w:val="auto"/>
          <w:sz w:val="28"/>
          <w:szCs w:val="28"/>
          <w:highlight w:val="none"/>
        </w:rPr>
        <w:t>）</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9、其他与本合同相关的资料</w:t>
      </w:r>
      <w:r>
        <w:rPr>
          <w:rFonts w:hint="eastAsia" w:ascii="宋体" w:hAnsi="Courier New"/>
          <w:color w:val="auto"/>
          <w:sz w:val="28"/>
          <w:szCs w:val="28"/>
          <w:highlight w:val="none"/>
        </w:rPr>
        <w:t>（如有请提</w:t>
      </w:r>
      <w:r>
        <w:rPr>
          <w:rFonts w:hint="eastAsia" w:ascii="宋体" w:hAnsi="Courier New"/>
          <w:color w:val="auto"/>
          <w:sz w:val="30"/>
          <w:szCs w:val="30"/>
          <w:highlight w:val="none"/>
        </w:rPr>
        <w:t>供</w:t>
      </w:r>
      <w:r>
        <w:rPr>
          <w:rFonts w:hint="eastAsia" w:ascii="宋体" w:hAnsi="Courier New"/>
          <w:color w:val="auto"/>
          <w:sz w:val="28"/>
          <w:szCs w:val="28"/>
          <w:highlight w:val="none"/>
        </w:rPr>
        <w:t>）</w:t>
      </w:r>
    </w:p>
    <w:p>
      <w:pPr>
        <w:rPr>
          <w:rFonts w:ascii="Calibri" w:hAnsi="Calibri"/>
          <w:b/>
          <w:color w:val="auto"/>
          <w:sz w:val="30"/>
          <w:szCs w:val="30"/>
          <w:highlight w:val="none"/>
        </w:rPr>
      </w:pPr>
    </w:p>
    <w:p>
      <w:pPr>
        <w:spacing w:line="360" w:lineRule="auto"/>
        <w:jc w:val="center"/>
        <w:rPr>
          <w:rFonts w:ascii="宋体" w:hAnsi="宋体"/>
          <w:b/>
          <w:bCs/>
          <w:color w:val="auto"/>
          <w:sz w:val="28"/>
          <w:highlight w:val="none"/>
        </w:rPr>
      </w:pPr>
    </w:p>
    <w:p>
      <w:pPr>
        <w:spacing w:line="360" w:lineRule="auto"/>
        <w:jc w:val="center"/>
        <w:rPr>
          <w:rFonts w:ascii="宋体" w:hAnsi="宋体"/>
          <w:b/>
          <w:bCs/>
          <w:color w:val="auto"/>
          <w:sz w:val="30"/>
          <w:szCs w:val="30"/>
          <w:highlight w:val="none"/>
        </w:rPr>
      </w:pPr>
      <w:r>
        <w:rPr>
          <w:rFonts w:hint="eastAsia" w:ascii="宋体" w:hAnsi="宋体"/>
          <w:bCs/>
          <w:color w:val="auto"/>
          <w:sz w:val="28"/>
          <w:highlight w:val="none"/>
        </w:rPr>
        <w:br w:type="page"/>
      </w:r>
      <w:r>
        <w:rPr>
          <w:rFonts w:hint="eastAsia" w:ascii="Calibri" w:hAnsi="Calibri"/>
          <w:b/>
          <w:color w:val="auto"/>
          <w:sz w:val="30"/>
          <w:szCs w:val="30"/>
          <w:highlight w:val="none"/>
        </w:rPr>
        <w:t>政府采购合同书</w:t>
      </w:r>
    </w:p>
    <w:p>
      <w:pPr>
        <w:spacing w:line="360" w:lineRule="auto"/>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项目名称：</w:t>
      </w:r>
      <w:r>
        <w:rPr>
          <w:rFonts w:hint="eastAsia" w:ascii="宋体" w:hAnsi="宋体"/>
          <w:color w:val="auto"/>
          <w:highlight w:val="none"/>
          <w:u w:val="single"/>
        </w:rPr>
        <w:t xml:space="preserve">                                        </w:t>
      </w:r>
    </w:p>
    <w:p>
      <w:pPr>
        <w:spacing w:line="360" w:lineRule="auto"/>
        <w:rPr>
          <w:rFonts w:ascii="宋体" w:hAnsi="宋体"/>
          <w:color w:val="auto"/>
          <w:highlight w:val="none"/>
        </w:rPr>
      </w:pPr>
      <w:r>
        <w:rPr>
          <w:rFonts w:hint="eastAsia" w:ascii="宋体" w:hAnsi="宋体"/>
          <w:color w:val="auto"/>
          <w:highlight w:val="none"/>
        </w:rPr>
        <w:t>项目编号：</w:t>
      </w:r>
      <w:r>
        <w:rPr>
          <w:rFonts w:hint="eastAsia" w:ascii="宋体" w:hAnsi="宋体"/>
          <w:color w:val="auto"/>
          <w:highlight w:val="none"/>
          <w:u w:val="single"/>
        </w:rPr>
        <w:t xml:space="preserve">                                        </w:t>
      </w:r>
    </w:p>
    <w:p>
      <w:pPr>
        <w:spacing w:line="360" w:lineRule="auto"/>
        <w:rPr>
          <w:rFonts w:ascii="宋体" w:hAnsi="宋体"/>
          <w:color w:val="auto"/>
          <w:highlight w:val="none"/>
        </w:rPr>
      </w:pPr>
      <w:r>
        <w:rPr>
          <w:rFonts w:hint="eastAsia" w:ascii="宋体" w:hAnsi="宋体"/>
          <w:color w:val="auto"/>
          <w:highlight w:val="none"/>
        </w:rPr>
        <w:t>分标号（有分标时填写）：</w:t>
      </w:r>
      <w:r>
        <w:rPr>
          <w:rFonts w:hint="eastAsia" w:ascii="宋体" w:hAnsi="宋体"/>
          <w:color w:val="auto"/>
          <w:highlight w:val="none"/>
          <w:u w:val="single"/>
        </w:rPr>
        <w:t xml:space="preserve">                           </w:t>
      </w:r>
    </w:p>
    <w:p>
      <w:pPr>
        <w:spacing w:line="360" w:lineRule="auto"/>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甲方（买方）：</w:t>
      </w:r>
      <w:r>
        <w:rPr>
          <w:rFonts w:hint="eastAsia" w:ascii="宋体" w:hAnsi="宋体"/>
          <w:color w:val="auto"/>
          <w:highlight w:val="none"/>
          <w:u w:val="single"/>
        </w:rPr>
        <w:t xml:space="preserve">                                     </w:t>
      </w:r>
    </w:p>
    <w:p>
      <w:pPr>
        <w:spacing w:line="360" w:lineRule="auto"/>
        <w:rPr>
          <w:rFonts w:ascii="宋体" w:hAnsi="宋体"/>
          <w:color w:val="auto"/>
          <w:highlight w:val="none"/>
        </w:rPr>
      </w:pPr>
      <w:r>
        <w:rPr>
          <w:rFonts w:hint="eastAsia" w:ascii="宋体" w:hAnsi="宋体"/>
          <w:color w:val="auto"/>
          <w:highlight w:val="none"/>
        </w:rPr>
        <w:t>乙方（卖方）：</w:t>
      </w:r>
      <w:r>
        <w:rPr>
          <w:rFonts w:hint="eastAsia" w:ascii="宋体" w:hAnsi="宋体"/>
          <w:color w:val="auto"/>
          <w:highlight w:val="none"/>
          <w:u w:val="single"/>
        </w:rPr>
        <w:t xml:space="preserve">                                     </w:t>
      </w:r>
    </w:p>
    <w:p>
      <w:pPr>
        <w:spacing w:line="360" w:lineRule="auto"/>
        <w:rPr>
          <w:rFonts w:ascii="宋体" w:hAnsi="宋体"/>
          <w:b/>
          <w:color w:val="auto"/>
          <w:highlight w:val="none"/>
        </w:rPr>
      </w:pPr>
      <w:r>
        <w:rPr>
          <w:rFonts w:hint="eastAsia" w:ascii="宋体" w:hAnsi="宋体"/>
          <w:b/>
          <w:color w:val="auto"/>
          <w:highlight w:val="none"/>
        </w:rPr>
        <w:t xml:space="preserve">    </w:t>
      </w:r>
    </w:p>
    <w:p>
      <w:pPr>
        <w:spacing w:line="360" w:lineRule="auto"/>
        <w:ind w:firstLine="420" w:firstLineChars="200"/>
        <w:rPr>
          <w:rFonts w:ascii="宋体" w:hAnsi="宋体"/>
          <w:b/>
          <w:color w:val="auto"/>
          <w:highlight w:val="none"/>
        </w:rPr>
      </w:pPr>
      <w:r>
        <w:rPr>
          <w:rFonts w:hint="eastAsia" w:ascii="宋体" w:hAnsi="宋体"/>
          <w:color w:val="auto"/>
          <w:highlight w:val="none"/>
        </w:rPr>
        <w:t>根据</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日政府采购项目的采购结果，甲方接受乙方对本项目的投标，甲、乙双方同意签署本合同（以下简称合同）。</w:t>
      </w:r>
    </w:p>
    <w:p>
      <w:pPr>
        <w:spacing w:line="360" w:lineRule="auto"/>
        <w:rPr>
          <w:rFonts w:ascii="宋体" w:hAnsi="宋体"/>
          <w:b/>
          <w:color w:val="auto"/>
          <w:highlight w:val="none"/>
        </w:rPr>
      </w:pPr>
    </w:p>
    <w:p>
      <w:pPr>
        <w:spacing w:line="360" w:lineRule="auto"/>
        <w:rPr>
          <w:rFonts w:ascii="宋体" w:hAnsi="宋体"/>
          <w:b/>
          <w:bCs/>
          <w:color w:val="auto"/>
          <w:sz w:val="24"/>
          <w:highlight w:val="none"/>
        </w:rPr>
      </w:pPr>
      <w:r>
        <w:rPr>
          <w:rFonts w:hint="eastAsia" w:ascii="宋体" w:hAnsi="宋体"/>
          <w:b/>
          <w:bCs/>
          <w:color w:val="auto"/>
          <w:sz w:val="24"/>
          <w:highlight w:val="none"/>
        </w:rPr>
        <w:t>1.  采购内容</w:t>
      </w:r>
    </w:p>
    <w:p>
      <w:pPr>
        <w:tabs>
          <w:tab w:val="left" w:pos="5220"/>
        </w:tabs>
        <w:spacing w:line="360" w:lineRule="auto"/>
        <w:ind w:firstLine="420" w:firstLineChars="200"/>
        <w:rPr>
          <w:rFonts w:ascii="宋体" w:hAnsi="宋体"/>
          <w:color w:val="auto"/>
          <w:highlight w:val="none"/>
          <w:u w:val="single"/>
        </w:rPr>
      </w:pPr>
      <w:r>
        <w:rPr>
          <w:rFonts w:hint="eastAsia" w:ascii="宋体" w:hAnsi="宋体"/>
          <w:color w:val="auto"/>
          <w:highlight w:val="none"/>
        </w:rPr>
        <w:t>1.1 服务名称：</w:t>
      </w:r>
      <w:r>
        <w:rPr>
          <w:rFonts w:hint="eastAsia" w:ascii="宋体" w:hAnsi="宋体"/>
          <w:color w:val="auto"/>
          <w:highlight w:val="none"/>
          <w:u w:val="single"/>
        </w:rPr>
        <w:t>详见合同附件中投标报价表</w:t>
      </w:r>
    </w:p>
    <w:p>
      <w:pPr>
        <w:tabs>
          <w:tab w:val="left" w:pos="5220"/>
        </w:tabs>
        <w:spacing w:line="360" w:lineRule="auto"/>
        <w:ind w:firstLine="420" w:firstLineChars="200"/>
        <w:rPr>
          <w:rFonts w:ascii="宋体" w:hAnsi="宋体"/>
          <w:color w:val="auto"/>
          <w:highlight w:val="none"/>
        </w:rPr>
      </w:pPr>
      <w:r>
        <w:rPr>
          <w:rFonts w:hint="eastAsia" w:ascii="宋体" w:hAnsi="宋体"/>
          <w:color w:val="auto"/>
          <w:highlight w:val="none"/>
        </w:rPr>
        <w:t>1.2 数量：</w:t>
      </w:r>
      <w:r>
        <w:rPr>
          <w:rFonts w:hint="eastAsia" w:ascii="宋体" w:hAnsi="宋体"/>
          <w:color w:val="auto"/>
          <w:highlight w:val="none"/>
          <w:u w:val="single"/>
        </w:rPr>
        <w:t>详见合同附件中投标报价表</w:t>
      </w:r>
    </w:p>
    <w:p>
      <w:pPr>
        <w:tabs>
          <w:tab w:val="left" w:pos="5220"/>
        </w:tabs>
        <w:spacing w:line="360" w:lineRule="auto"/>
        <w:ind w:firstLine="420" w:firstLineChars="200"/>
        <w:rPr>
          <w:rFonts w:ascii="宋体" w:hAnsi="宋体"/>
          <w:color w:val="auto"/>
          <w:highlight w:val="none"/>
        </w:rPr>
      </w:pPr>
      <w:r>
        <w:rPr>
          <w:rFonts w:hint="eastAsia" w:ascii="宋体" w:hAnsi="宋体"/>
          <w:color w:val="auto"/>
          <w:highlight w:val="none"/>
        </w:rPr>
        <w:t xml:space="preserve">1.2 </w:t>
      </w:r>
      <w:r>
        <w:rPr>
          <w:rFonts w:hint="eastAsia"/>
          <w:color w:val="auto"/>
          <w:highlight w:val="none"/>
        </w:rPr>
        <w:t>技术参数：</w:t>
      </w:r>
      <w:r>
        <w:rPr>
          <w:rFonts w:hint="eastAsia" w:ascii="宋体" w:hAnsi="宋体"/>
          <w:color w:val="auto"/>
          <w:highlight w:val="none"/>
          <w:u w:val="single"/>
        </w:rPr>
        <w:t>详见合同附件中投标服务技术资料表</w:t>
      </w:r>
    </w:p>
    <w:p>
      <w:pPr>
        <w:tabs>
          <w:tab w:val="left" w:pos="5145"/>
        </w:tabs>
        <w:spacing w:line="360" w:lineRule="auto"/>
        <w:rPr>
          <w:rFonts w:ascii="宋体" w:hAnsi="宋体"/>
          <w:b/>
          <w:bCs/>
          <w:color w:val="auto"/>
          <w:sz w:val="24"/>
          <w:highlight w:val="none"/>
        </w:rPr>
      </w:pPr>
      <w:r>
        <w:rPr>
          <w:rFonts w:hint="eastAsia" w:ascii="宋体" w:hAnsi="宋体"/>
          <w:b/>
          <w:bCs/>
          <w:color w:val="auto"/>
          <w:sz w:val="24"/>
          <w:highlight w:val="none"/>
        </w:rPr>
        <w:t>2.  合同金额</w:t>
      </w:r>
    </w:p>
    <w:p>
      <w:pPr>
        <w:spacing w:line="360" w:lineRule="auto"/>
        <w:ind w:firstLine="411" w:firstLineChars="196"/>
        <w:rPr>
          <w:rFonts w:ascii="宋体" w:hAnsi="宋体"/>
          <w:b/>
          <w:bCs/>
          <w:color w:val="auto"/>
          <w:sz w:val="24"/>
          <w:highlight w:val="none"/>
        </w:rPr>
      </w:pPr>
      <w:r>
        <w:rPr>
          <w:rFonts w:hint="eastAsia" w:ascii="宋体" w:hAnsi="宋体"/>
          <w:color w:val="auto"/>
          <w:highlight w:val="none"/>
        </w:rPr>
        <w:t>2.1 本合同金额为（大写）人民币</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元）。（详见投标报价表）</w:t>
      </w:r>
    </w:p>
    <w:p>
      <w:pPr>
        <w:tabs>
          <w:tab w:val="left" w:pos="5940"/>
        </w:tabs>
        <w:spacing w:line="360" w:lineRule="auto"/>
        <w:rPr>
          <w:rFonts w:ascii="宋体" w:hAnsi="宋体"/>
          <w:b/>
          <w:bCs/>
          <w:color w:val="auto"/>
          <w:sz w:val="24"/>
          <w:highlight w:val="none"/>
        </w:rPr>
      </w:pPr>
      <w:r>
        <w:rPr>
          <w:rFonts w:hint="eastAsia" w:ascii="宋体" w:hAnsi="宋体"/>
          <w:b/>
          <w:bCs/>
          <w:color w:val="auto"/>
          <w:sz w:val="24"/>
          <w:highlight w:val="none"/>
        </w:rPr>
        <w:t>3.  提交服务成果时间和地点</w:t>
      </w:r>
    </w:p>
    <w:p>
      <w:pPr>
        <w:tabs>
          <w:tab w:val="left" w:pos="5250"/>
          <w:tab w:val="left" w:pos="5940"/>
        </w:tabs>
        <w:spacing w:line="360" w:lineRule="auto"/>
        <w:ind w:firstLine="411" w:firstLineChars="196"/>
        <w:rPr>
          <w:rFonts w:ascii="宋体" w:hAnsi="宋体"/>
          <w:b/>
          <w:bCs/>
          <w:color w:val="auto"/>
          <w:sz w:val="24"/>
          <w:highlight w:val="none"/>
        </w:rPr>
      </w:pPr>
      <w:r>
        <w:rPr>
          <w:rFonts w:hint="eastAsia" w:ascii="宋体" w:hAnsi="宋体"/>
          <w:bCs/>
          <w:color w:val="auto"/>
          <w:highlight w:val="none"/>
        </w:rPr>
        <w:t xml:space="preserve">3.1 </w:t>
      </w:r>
      <w:r>
        <w:rPr>
          <w:rFonts w:hint="eastAsia" w:ascii="宋体" w:hAnsi="Courier New"/>
          <w:bCs/>
          <w:color w:val="auto"/>
          <w:highlight w:val="none"/>
        </w:rPr>
        <w:t>提交服务成果时间</w:t>
      </w:r>
      <w:r>
        <w:rPr>
          <w:rFonts w:hint="eastAsia" w:ascii="宋体" w:hAnsi="宋体"/>
          <w:bCs/>
          <w:color w:val="auto"/>
          <w:highlight w:val="none"/>
        </w:rPr>
        <w:t>：</w:t>
      </w:r>
      <w:r>
        <w:rPr>
          <w:rFonts w:hint="eastAsia" w:ascii="宋体" w:hAnsi="宋体"/>
          <w:color w:val="auto"/>
          <w:highlight w:val="none"/>
          <w:u w:val="single"/>
        </w:rPr>
        <w:t xml:space="preserve">                        </w:t>
      </w:r>
    </w:p>
    <w:p>
      <w:pPr>
        <w:tabs>
          <w:tab w:val="left" w:pos="5940"/>
        </w:tabs>
        <w:spacing w:line="360" w:lineRule="auto"/>
        <w:ind w:firstLine="411" w:firstLineChars="196"/>
        <w:rPr>
          <w:rFonts w:ascii="宋体" w:hAnsi="宋体"/>
          <w:b/>
          <w:bCs/>
          <w:color w:val="auto"/>
          <w:sz w:val="24"/>
          <w:highlight w:val="none"/>
        </w:rPr>
      </w:pPr>
      <w:r>
        <w:rPr>
          <w:rFonts w:hint="eastAsia" w:ascii="宋体" w:hAnsi="宋体"/>
          <w:bCs/>
          <w:color w:val="auto"/>
          <w:highlight w:val="none"/>
        </w:rPr>
        <w:t xml:space="preserve">3.2 </w:t>
      </w:r>
      <w:r>
        <w:rPr>
          <w:rFonts w:hint="eastAsia" w:ascii="宋体" w:hAnsi="Courier New"/>
          <w:bCs/>
          <w:color w:val="auto"/>
          <w:highlight w:val="none"/>
        </w:rPr>
        <w:t>提交服务成果</w:t>
      </w:r>
      <w:r>
        <w:rPr>
          <w:rFonts w:hint="eastAsia" w:ascii="宋体" w:hAnsi="宋体"/>
          <w:bCs/>
          <w:color w:val="auto"/>
          <w:highlight w:val="none"/>
        </w:rPr>
        <w:t>地点：</w:t>
      </w:r>
      <w:r>
        <w:rPr>
          <w:rFonts w:hint="eastAsia" w:ascii="宋体" w:hAnsi="宋体"/>
          <w:color w:val="auto"/>
          <w:highlight w:val="none"/>
          <w:u w:val="single"/>
        </w:rPr>
        <w:t xml:space="preserve">                        </w:t>
      </w:r>
    </w:p>
    <w:p>
      <w:pPr>
        <w:tabs>
          <w:tab w:val="left" w:pos="5940"/>
        </w:tabs>
        <w:spacing w:line="360" w:lineRule="auto"/>
        <w:ind w:firstLine="411" w:firstLineChars="196"/>
        <w:rPr>
          <w:rFonts w:ascii="宋体" w:hAnsi="宋体"/>
          <w:b/>
          <w:bCs/>
          <w:color w:val="auto"/>
          <w:sz w:val="24"/>
          <w:highlight w:val="none"/>
        </w:rPr>
      </w:pPr>
      <w:r>
        <w:rPr>
          <w:rFonts w:hint="eastAsia" w:ascii="宋体" w:hAnsi="宋体"/>
          <w:bCs/>
          <w:color w:val="auto"/>
          <w:highlight w:val="none"/>
        </w:rPr>
        <w:t xml:space="preserve">3.3 </w:t>
      </w:r>
      <w:r>
        <w:rPr>
          <w:rFonts w:hint="eastAsia" w:ascii="宋体" w:hAnsi="宋体"/>
          <w:color w:val="auto"/>
          <w:highlight w:val="none"/>
        </w:rPr>
        <w:t>乙方必须按投标文件承诺的服务响应条款向甲方提供服务。</w:t>
      </w:r>
    </w:p>
    <w:p>
      <w:pPr>
        <w:spacing w:line="360" w:lineRule="auto"/>
        <w:ind w:left="410" w:hanging="410" w:hangingChars="170"/>
        <w:rPr>
          <w:rFonts w:ascii="宋体" w:hAnsi="宋体"/>
          <w:b/>
          <w:color w:val="auto"/>
          <w:highlight w:val="none"/>
        </w:rPr>
      </w:pPr>
      <w:r>
        <w:rPr>
          <w:rFonts w:hint="eastAsia" w:ascii="宋体" w:hAnsi="宋体"/>
          <w:b/>
          <w:bCs/>
          <w:color w:val="auto"/>
          <w:sz w:val="24"/>
          <w:highlight w:val="none"/>
        </w:rPr>
        <w:t>4.  履约保证金</w:t>
      </w:r>
    </w:p>
    <w:p>
      <w:pPr>
        <w:tabs>
          <w:tab w:val="left" w:pos="5145"/>
        </w:tabs>
        <w:spacing w:line="360" w:lineRule="auto"/>
        <w:ind w:firstLine="420" w:firstLineChars="200"/>
        <w:rPr>
          <w:rFonts w:ascii="宋体" w:hAnsi="宋体"/>
          <w:b/>
          <w:color w:val="auto"/>
          <w:highlight w:val="none"/>
        </w:rPr>
      </w:pPr>
      <w:r>
        <w:rPr>
          <w:rFonts w:hint="eastAsia" w:ascii="宋体" w:hAnsi="宋体"/>
          <w:color w:val="auto"/>
          <w:highlight w:val="none"/>
        </w:rPr>
        <w:t>4.1 乙方交纳（大写）人民币</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元）作为本合同的履约保证金。</w:t>
      </w:r>
    </w:p>
    <w:p>
      <w:pPr>
        <w:spacing w:line="360" w:lineRule="auto"/>
        <w:ind w:firstLine="420" w:firstLineChars="200"/>
        <w:rPr>
          <w:rFonts w:ascii="宋体" w:hAnsi="宋体"/>
          <w:color w:val="auto"/>
          <w:highlight w:val="none"/>
        </w:rPr>
      </w:pPr>
      <w:r>
        <w:rPr>
          <w:rFonts w:hint="eastAsia" w:ascii="宋体" w:hAnsi="宋体"/>
          <w:color w:val="auto"/>
          <w:highlight w:val="none"/>
        </w:rPr>
        <w:t>4.2 履约保证金作为违约金的一部分用于补偿甲方因乙方不能完成其合同义务而蒙受的损失。</w:t>
      </w:r>
    </w:p>
    <w:p>
      <w:pPr>
        <w:spacing w:line="360" w:lineRule="auto"/>
        <w:ind w:left="412" w:hanging="412" w:hangingChars="171"/>
        <w:rPr>
          <w:rFonts w:ascii="宋体" w:hAnsi="宋体"/>
          <w:b/>
          <w:color w:val="auto"/>
          <w:highlight w:val="none"/>
        </w:rPr>
      </w:pPr>
      <w:r>
        <w:rPr>
          <w:rFonts w:hint="eastAsia" w:ascii="宋体" w:hAnsi="宋体"/>
          <w:b/>
          <w:bCs/>
          <w:color w:val="auto"/>
          <w:sz w:val="24"/>
          <w:highlight w:val="none"/>
        </w:rPr>
        <w:t>5.  产权</w:t>
      </w:r>
    </w:p>
    <w:p>
      <w:pPr>
        <w:spacing w:line="360" w:lineRule="auto"/>
        <w:ind w:firstLine="420" w:firstLineChars="200"/>
        <w:rPr>
          <w:rFonts w:ascii="宋体" w:hAnsi="宋体"/>
          <w:b/>
          <w:color w:val="auto"/>
          <w:highlight w:val="none"/>
        </w:rPr>
      </w:pPr>
      <w:r>
        <w:rPr>
          <w:rFonts w:hint="eastAsia" w:ascii="宋体" w:hAnsi="宋体"/>
          <w:color w:val="auto"/>
          <w:highlight w:val="none"/>
        </w:rPr>
        <w:t xml:space="preserve">5.1 </w:t>
      </w:r>
      <w:r>
        <w:rPr>
          <w:rFonts w:hint="eastAsia"/>
          <w:color w:val="auto"/>
          <w:highlight w:val="none"/>
        </w:rPr>
        <w:t>乙方应保证所提供的服务或其任何一部分均不会侵犯任何第三方的专利权、商标权或著作权</w:t>
      </w:r>
      <w:r>
        <w:rPr>
          <w:rFonts w:hint="eastAsia" w:ascii="宋体" w:hAnsi="宋体"/>
          <w:bCs/>
          <w:color w:val="auto"/>
          <w:highlight w:val="none"/>
        </w:rPr>
        <w:t>。</w:t>
      </w:r>
    </w:p>
    <w:p>
      <w:pPr>
        <w:spacing w:line="360" w:lineRule="auto"/>
        <w:ind w:firstLine="420" w:firstLineChars="200"/>
        <w:rPr>
          <w:rFonts w:ascii="宋体" w:hAnsi="宋体"/>
          <w:b/>
          <w:color w:val="auto"/>
          <w:highlight w:val="none"/>
        </w:rPr>
      </w:pPr>
      <w:r>
        <w:rPr>
          <w:rFonts w:hint="eastAsia" w:ascii="宋体" w:hAnsi="宋体"/>
          <w:color w:val="auto"/>
          <w:highlight w:val="none"/>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spacing w:line="360" w:lineRule="auto"/>
        <w:rPr>
          <w:rFonts w:ascii="宋体" w:hAnsi="宋体"/>
          <w:b/>
          <w:color w:val="auto"/>
          <w:highlight w:val="none"/>
        </w:rPr>
      </w:pPr>
      <w:r>
        <w:rPr>
          <w:rFonts w:hint="eastAsia" w:ascii="宋体" w:hAnsi="宋体"/>
          <w:b/>
          <w:bCs/>
          <w:color w:val="auto"/>
          <w:sz w:val="24"/>
          <w:highlight w:val="none"/>
        </w:rPr>
        <w:t>6.  技术资料</w:t>
      </w:r>
    </w:p>
    <w:p>
      <w:pPr>
        <w:tabs>
          <w:tab w:val="left" w:pos="0"/>
        </w:tabs>
        <w:spacing w:line="360" w:lineRule="auto"/>
        <w:ind w:firstLine="420" w:firstLineChars="200"/>
        <w:rPr>
          <w:rFonts w:ascii="宋体" w:hAnsi="宋体"/>
          <w:color w:val="auto"/>
          <w:highlight w:val="none"/>
        </w:rPr>
      </w:pPr>
      <w:r>
        <w:rPr>
          <w:rFonts w:hint="eastAsia" w:ascii="宋体" w:hAnsi="宋体"/>
          <w:color w:val="auto"/>
          <w:highlight w:val="none"/>
        </w:rPr>
        <w:t>6.1 甲方应向乙方提供提交服务成果所必需的有关数据、资料等。</w:t>
      </w:r>
    </w:p>
    <w:p>
      <w:pPr>
        <w:tabs>
          <w:tab w:val="left" w:pos="0"/>
        </w:tabs>
        <w:spacing w:line="360" w:lineRule="auto"/>
        <w:ind w:firstLine="420" w:firstLineChars="200"/>
        <w:rPr>
          <w:rFonts w:ascii="宋体" w:hAnsi="宋体"/>
          <w:color w:val="auto"/>
          <w:highlight w:val="none"/>
        </w:rPr>
      </w:pPr>
      <w:r>
        <w:rPr>
          <w:rFonts w:hint="eastAsia" w:ascii="宋体" w:hAnsi="宋体"/>
          <w:color w:val="auto"/>
          <w:highlight w:val="none"/>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rPr>
          <w:rFonts w:ascii="宋体" w:hAnsi="宋体"/>
          <w:b/>
          <w:bCs/>
          <w:color w:val="auto"/>
          <w:sz w:val="24"/>
          <w:highlight w:val="none"/>
        </w:rPr>
      </w:pPr>
      <w:r>
        <w:rPr>
          <w:rFonts w:hint="eastAsia" w:ascii="宋体" w:hAnsi="宋体"/>
          <w:b/>
          <w:bCs/>
          <w:color w:val="auto"/>
          <w:sz w:val="24"/>
          <w:highlight w:val="none"/>
        </w:rPr>
        <w:t>7.  验收</w:t>
      </w:r>
    </w:p>
    <w:p>
      <w:pPr>
        <w:tabs>
          <w:tab w:val="left" w:pos="0"/>
        </w:tabs>
        <w:spacing w:line="360" w:lineRule="auto"/>
        <w:ind w:firstLine="420" w:firstLineChars="200"/>
        <w:rPr>
          <w:rFonts w:ascii="宋体" w:hAnsi="宋体"/>
          <w:color w:val="auto"/>
          <w:highlight w:val="none"/>
        </w:rPr>
      </w:pPr>
      <w:r>
        <w:rPr>
          <w:rFonts w:hint="eastAsia" w:ascii="宋体" w:hAnsi="宋体"/>
          <w:color w:val="auto"/>
          <w:highlight w:val="none"/>
        </w:rPr>
        <w:t>7.1 乙方应对提交的服务成果作出全面检查和整理，并列出清单，作为甲方验收和使用的技术条件依据，清单应随提交的服务成果交给甲方。</w:t>
      </w:r>
    </w:p>
    <w:p>
      <w:pPr>
        <w:tabs>
          <w:tab w:val="left" w:pos="0"/>
        </w:tabs>
        <w:spacing w:line="360" w:lineRule="auto"/>
        <w:ind w:firstLine="420" w:firstLineChars="200"/>
        <w:rPr>
          <w:rFonts w:ascii="宋体" w:hAnsi="宋体"/>
          <w:color w:val="auto"/>
          <w:highlight w:val="none"/>
        </w:rPr>
      </w:pPr>
      <w:r>
        <w:rPr>
          <w:rFonts w:hint="eastAsia" w:ascii="宋体" w:hAnsi="宋体"/>
          <w:color w:val="auto"/>
          <w:highlight w:val="none"/>
        </w:rPr>
        <w:t>7.2 乙方在指定地点提交服务成果后，甲方应在5个工作日内依据招标文件、乙方的投标文件等组织验收，验收完毕后作出书面验收报告。验收时乙方必须在现场。</w:t>
      </w:r>
    </w:p>
    <w:p>
      <w:pPr>
        <w:tabs>
          <w:tab w:val="left" w:pos="0"/>
        </w:tabs>
        <w:spacing w:line="360" w:lineRule="auto"/>
        <w:ind w:firstLine="420" w:firstLineChars="200"/>
        <w:rPr>
          <w:rFonts w:ascii="宋体" w:hAnsi="宋体"/>
          <w:color w:val="auto"/>
          <w:highlight w:val="none"/>
        </w:rPr>
      </w:pPr>
      <w:r>
        <w:rPr>
          <w:rFonts w:hint="eastAsia" w:ascii="宋体" w:hAnsi="宋体"/>
          <w:color w:val="auto"/>
          <w:highlight w:val="none"/>
        </w:rPr>
        <w:t>7.3 对复杂的服务，甲方可请国家认可的专业机构参与验收，并由其出具验收报告，相关费用由甲方承担。</w:t>
      </w:r>
    </w:p>
    <w:p>
      <w:pPr>
        <w:spacing w:line="360" w:lineRule="auto"/>
        <w:rPr>
          <w:rFonts w:ascii="宋体" w:hAnsi="宋体"/>
          <w:b/>
          <w:bCs/>
          <w:color w:val="auto"/>
          <w:sz w:val="24"/>
          <w:highlight w:val="none"/>
        </w:rPr>
      </w:pPr>
      <w:r>
        <w:rPr>
          <w:rFonts w:hint="eastAsia" w:ascii="宋体" w:hAnsi="宋体"/>
          <w:b/>
          <w:bCs/>
          <w:color w:val="auto"/>
          <w:sz w:val="24"/>
          <w:highlight w:val="none"/>
        </w:rPr>
        <w:t>8.  合同款支付</w:t>
      </w:r>
    </w:p>
    <w:p>
      <w:pPr>
        <w:tabs>
          <w:tab w:val="left" w:pos="5145"/>
          <w:tab w:val="left" w:pos="5355"/>
          <w:tab w:val="left" w:pos="6195"/>
        </w:tabs>
        <w:spacing w:line="360" w:lineRule="auto"/>
        <w:ind w:firstLine="420" w:firstLineChars="200"/>
        <w:rPr>
          <w:rFonts w:ascii="宋体" w:hAnsi="宋体"/>
          <w:bCs/>
          <w:color w:val="auto"/>
          <w:highlight w:val="none"/>
          <w:u w:val="single"/>
        </w:rPr>
      </w:pPr>
      <w:r>
        <w:rPr>
          <w:rFonts w:hint="eastAsia" w:ascii="宋体" w:hAnsi="宋体"/>
          <w:bCs/>
          <w:color w:val="auto"/>
          <w:highlight w:val="none"/>
        </w:rPr>
        <w:t>8.1 付款方式：</w:t>
      </w:r>
      <w:r>
        <w:rPr>
          <w:rFonts w:hint="eastAsia" w:ascii="宋体" w:hAnsi="宋体"/>
          <w:bCs/>
          <w:color w:val="auto"/>
          <w:highlight w:val="none"/>
          <w:u w:val="single"/>
        </w:rPr>
        <w:t xml:space="preserve">                               </w:t>
      </w:r>
    </w:p>
    <w:p>
      <w:pPr>
        <w:tabs>
          <w:tab w:val="left" w:pos="5145"/>
          <w:tab w:val="left" w:pos="5355"/>
          <w:tab w:val="left" w:pos="6195"/>
        </w:tabs>
        <w:spacing w:line="360" w:lineRule="auto"/>
        <w:ind w:firstLine="420" w:firstLineChars="200"/>
        <w:rPr>
          <w:rFonts w:ascii="宋体" w:hAnsi="宋体"/>
          <w:bCs/>
          <w:color w:val="auto"/>
          <w:highlight w:val="none"/>
          <w:u w:val="single"/>
        </w:rPr>
      </w:pPr>
      <w:r>
        <w:rPr>
          <w:rFonts w:hint="eastAsia" w:ascii="宋体" w:hAnsi="宋体"/>
          <w:color w:val="auto"/>
          <w:highlight w:val="none"/>
        </w:rPr>
        <w:t>8.2 资金支付程序：按照国家有关财政资金支付管理的规定执行。</w:t>
      </w:r>
    </w:p>
    <w:p>
      <w:pPr>
        <w:tabs>
          <w:tab w:val="left" w:pos="5145"/>
          <w:tab w:val="left" w:pos="5355"/>
          <w:tab w:val="left" w:pos="6195"/>
        </w:tabs>
        <w:spacing w:line="360" w:lineRule="auto"/>
        <w:ind w:firstLine="420" w:firstLineChars="200"/>
        <w:rPr>
          <w:rFonts w:ascii="宋体" w:hAnsi="宋体"/>
          <w:bCs/>
          <w:color w:val="auto"/>
          <w:highlight w:val="none"/>
          <w:u w:val="single"/>
        </w:rPr>
      </w:pPr>
      <w:r>
        <w:rPr>
          <w:rFonts w:hint="eastAsia" w:ascii="宋体" w:hAnsi="宋体"/>
          <w:color w:val="auto"/>
          <w:highlight w:val="none"/>
        </w:rPr>
        <w:t xml:space="preserve">8.3 </w:t>
      </w:r>
      <w:r>
        <w:rPr>
          <w:rFonts w:hint="eastAsia" w:ascii="宋体" w:hAnsi="宋体"/>
          <w:color w:val="auto"/>
          <w:szCs w:val="21"/>
          <w:highlight w:val="none"/>
        </w:rPr>
        <w:t>政府采购监督管理部门在处理投诉事项期间，可以视具体情况书面通知采购人暂停采购活动</w:t>
      </w:r>
      <w:r>
        <w:rPr>
          <w:rFonts w:hint="eastAsia" w:ascii="宋体" w:hAnsi="宋体"/>
          <w:bCs/>
          <w:color w:val="auto"/>
          <w:highlight w:val="none"/>
        </w:rPr>
        <w:t>，并延期支付合同款。</w:t>
      </w:r>
    </w:p>
    <w:p>
      <w:pPr>
        <w:spacing w:line="360" w:lineRule="auto"/>
        <w:rPr>
          <w:rFonts w:ascii="宋体" w:hAnsi="宋体"/>
          <w:b/>
          <w:bCs/>
          <w:color w:val="auto"/>
          <w:sz w:val="24"/>
          <w:highlight w:val="none"/>
        </w:rPr>
      </w:pPr>
      <w:r>
        <w:rPr>
          <w:rFonts w:hint="eastAsia" w:ascii="宋体" w:hAnsi="宋体"/>
          <w:b/>
          <w:bCs/>
          <w:color w:val="auto"/>
          <w:sz w:val="24"/>
          <w:highlight w:val="none"/>
        </w:rPr>
        <w:t>9.  售后服务要求</w:t>
      </w:r>
    </w:p>
    <w:p>
      <w:pPr>
        <w:spacing w:line="360" w:lineRule="auto"/>
        <w:ind w:firstLine="420" w:firstLineChars="200"/>
        <w:rPr>
          <w:rFonts w:ascii="宋体" w:hAnsi="宋体"/>
          <w:color w:val="auto"/>
          <w:highlight w:val="none"/>
        </w:rPr>
      </w:pPr>
      <w:r>
        <w:rPr>
          <w:rFonts w:hint="eastAsia" w:ascii="宋体" w:hAnsi="宋体"/>
          <w:color w:val="auto"/>
          <w:highlight w:val="none"/>
        </w:rPr>
        <w:t>9.1 乙方提供服务的质量保证期为：</w:t>
      </w:r>
      <w:r>
        <w:rPr>
          <w:rFonts w:hint="eastAsia" w:ascii="宋体" w:hAnsi="宋体"/>
          <w:color w:val="auto"/>
          <w:highlight w:val="none"/>
          <w:u w:val="single"/>
        </w:rPr>
        <w:t xml:space="preserve">　　　　　　   </w:t>
      </w:r>
      <w:r>
        <w:rPr>
          <w:rFonts w:hint="eastAsia" w:ascii="宋体" w:hAnsi="宋体"/>
          <w:color w:val="auto"/>
          <w:highlight w:val="none"/>
        </w:rPr>
        <w:t>（自提交服务验收合格之日起计）</w:t>
      </w:r>
    </w:p>
    <w:p>
      <w:pPr>
        <w:spacing w:line="360" w:lineRule="auto"/>
        <w:ind w:firstLine="420" w:firstLineChars="200"/>
        <w:rPr>
          <w:rFonts w:ascii="宋体" w:hAnsi="宋体"/>
          <w:color w:val="auto"/>
          <w:highlight w:val="none"/>
        </w:rPr>
      </w:pPr>
      <w:r>
        <w:rPr>
          <w:rFonts w:hint="eastAsia" w:ascii="宋体" w:hAnsi="宋体"/>
          <w:color w:val="auto"/>
          <w:highlight w:val="none"/>
        </w:rPr>
        <w:t>9.2 质量保证金为（大写）人民币</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元）。（履约保证金在中标供应商按合同约定所提交的服务验收合格后自行转为质保金。）</w:t>
      </w:r>
    </w:p>
    <w:p>
      <w:pPr>
        <w:spacing w:line="360" w:lineRule="auto"/>
        <w:ind w:firstLine="420" w:firstLineChars="200"/>
        <w:rPr>
          <w:rFonts w:ascii="宋体" w:hAnsi="宋体"/>
          <w:color w:val="auto"/>
          <w:highlight w:val="none"/>
        </w:rPr>
      </w:pPr>
      <w:r>
        <w:rPr>
          <w:rFonts w:hint="eastAsia" w:ascii="宋体" w:hAnsi="宋体"/>
          <w:color w:val="auto"/>
          <w:highlight w:val="none"/>
        </w:rPr>
        <w:t>9.3 在本合同第9.1项约定的质量保证期内，乙方提供的服务符合合同约定的，待质保期满后由甲方将质量保证金无息退还给乙方。</w:t>
      </w:r>
    </w:p>
    <w:p>
      <w:pPr>
        <w:spacing w:line="360" w:lineRule="auto"/>
        <w:ind w:firstLine="420" w:firstLineChars="200"/>
        <w:rPr>
          <w:rFonts w:ascii="宋体" w:hAnsi="宋体"/>
          <w:color w:val="auto"/>
          <w:highlight w:val="none"/>
        </w:rPr>
      </w:pPr>
      <w:r>
        <w:rPr>
          <w:rFonts w:hint="eastAsia" w:ascii="宋体" w:hAnsi="宋体"/>
          <w:color w:val="auto"/>
          <w:highlight w:val="none"/>
        </w:rPr>
        <w:t>9.4 在本合同第9.1项约定的质量保证期内，乙方应对服务出现的问题负责处理解决并承担一切费用。</w:t>
      </w:r>
    </w:p>
    <w:p>
      <w:pPr>
        <w:tabs>
          <w:tab w:val="left" w:pos="5250"/>
        </w:tabs>
        <w:spacing w:line="360" w:lineRule="auto"/>
        <w:ind w:firstLine="420" w:firstLineChars="200"/>
        <w:rPr>
          <w:rFonts w:ascii="宋体" w:hAnsi="宋体"/>
          <w:color w:val="auto"/>
          <w:highlight w:val="none"/>
          <w:u w:val="single"/>
        </w:rPr>
      </w:pPr>
      <w:r>
        <w:rPr>
          <w:rFonts w:hint="eastAsia" w:ascii="宋体" w:hAnsi="宋体"/>
          <w:color w:val="auto"/>
          <w:highlight w:val="none"/>
        </w:rPr>
        <w:t>9.5 其他售后服务要求：</w:t>
      </w:r>
      <w:r>
        <w:rPr>
          <w:rFonts w:hint="eastAsia" w:ascii="宋体" w:hAnsi="宋体"/>
          <w:color w:val="auto"/>
          <w:highlight w:val="none"/>
          <w:u w:val="single"/>
        </w:rPr>
        <w:t>按投标文件商务条款偏离表内容执行。</w:t>
      </w:r>
    </w:p>
    <w:p>
      <w:pPr>
        <w:spacing w:line="360" w:lineRule="auto"/>
        <w:rPr>
          <w:rFonts w:ascii="宋体" w:hAnsi="宋体"/>
          <w:b/>
          <w:bCs/>
          <w:color w:val="auto"/>
          <w:sz w:val="24"/>
          <w:highlight w:val="none"/>
        </w:rPr>
      </w:pPr>
      <w:r>
        <w:rPr>
          <w:rFonts w:hint="eastAsia" w:ascii="宋体" w:hAnsi="宋体"/>
          <w:b/>
          <w:bCs/>
          <w:color w:val="auto"/>
          <w:sz w:val="24"/>
          <w:highlight w:val="none"/>
        </w:rPr>
        <w:t>10.  违约责任</w:t>
      </w:r>
    </w:p>
    <w:p>
      <w:pPr>
        <w:spacing w:line="360" w:lineRule="auto"/>
        <w:ind w:firstLine="420" w:firstLineChars="200"/>
        <w:rPr>
          <w:rFonts w:ascii="宋体" w:hAnsi="宋体"/>
          <w:color w:val="auto"/>
          <w:highlight w:val="none"/>
        </w:rPr>
      </w:pPr>
      <w:r>
        <w:rPr>
          <w:rFonts w:hint="eastAsia" w:ascii="宋体" w:hAnsi="宋体"/>
          <w:color w:val="auto"/>
          <w:highlight w:val="none"/>
        </w:rPr>
        <w:t>10.1 甲方无正当理由拒收服务的，甲方向乙方偿付拒收服务费总值的百分之五违约金。</w:t>
      </w:r>
    </w:p>
    <w:p>
      <w:pPr>
        <w:spacing w:line="360" w:lineRule="auto"/>
        <w:ind w:firstLine="420" w:firstLineChars="200"/>
        <w:rPr>
          <w:rFonts w:ascii="宋体" w:hAnsi="宋体"/>
          <w:color w:val="auto"/>
          <w:highlight w:val="none"/>
        </w:rPr>
      </w:pPr>
      <w:r>
        <w:rPr>
          <w:rFonts w:hint="eastAsia" w:ascii="宋体" w:hAnsi="宋体"/>
          <w:color w:val="auto"/>
          <w:highlight w:val="none"/>
        </w:rPr>
        <w:t>10.2 甲方无故逾期验收或办理合同款支付手续的，甲方应按逾期付款总额每日万分之五向乙方支付违约金。</w:t>
      </w:r>
    </w:p>
    <w:p>
      <w:pPr>
        <w:spacing w:line="360" w:lineRule="auto"/>
        <w:ind w:firstLine="420" w:firstLineChars="200"/>
        <w:rPr>
          <w:rFonts w:ascii="宋体" w:hAnsi="宋体"/>
          <w:color w:val="auto"/>
          <w:highlight w:val="none"/>
        </w:rPr>
      </w:pPr>
      <w:r>
        <w:rPr>
          <w:rFonts w:hint="eastAsia" w:ascii="宋体" w:hAnsi="宋体"/>
          <w:color w:val="auto"/>
          <w:highlight w:val="none"/>
        </w:rPr>
        <w:t>10.3 乙方逾期交付服务的，乙方应按逾期提供服务总额每日千分之六向甲方支付违约金，由甲方从待付服务费中扣除。逾期超过约定日期10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spacing w:line="360" w:lineRule="auto"/>
        <w:rPr>
          <w:rFonts w:ascii="宋体" w:hAnsi="宋体"/>
          <w:b/>
          <w:bCs/>
          <w:color w:val="auto"/>
          <w:sz w:val="24"/>
          <w:highlight w:val="none"/>
        </w:rPr>
      </w:pPr>
      <w:r>
        <w:rPr>
          <w:rFonts w:hint="eastAsia" w:ascii="宋体" w:hAnsi="宋体"/>
          <w:b/>
          <w:bCs/>
          <w:color w:val="auto"/>
          <w:sz w:val="24"/>
          <w:highlight w:val="none"/>
        </w:rPr>
        <w:t>11.  不可抗力事件处理</w:t>
      </w:r>
    </w:p>
    <w:p>
      <w:pPr>
        <w:spacing w:line="360" w:lineRule="auto"/>
        <w:ind w:firstLine="420" w:firstLineChars="200"/>
        <w:rPr>
          <w:rFonts w:ascii="宋体" w:hAnsi="宋体"/>
          <w:color w:val="auto"/>
          <w:highlight w:val="none"/>
        </w:rPr>
      </w:pPr>
      <w:r>
        <w:rPr>
          <w:rFonts w:hint="eastAsia" w:ascii="宋体" w:hAnsi="宋体"/>
          <w:color w:val="auto"/>
          <w:highlight w:val="none"/>
        </w:rPr>
        <w:t>11.1 在合同有效期内，任何一方因不可抗力事件导致不能履行合同，则合同履行期可延长，其延长期与不可抗力影响期相同。</w:t>
      </w:r>
    </w:p>
    <w:p>
      <w:pPr>
        <w:spacing w:line="360" w:lineRule="auto"/>
        <w:ind w:firstLine="420" w:firstLineChars="200"/>
        <w:rPr>
          <w:rFonts w:ascii="宋体" w:hAnsi="宋体"/>
          <w:color w:val="auto"/>
          <w:highlight w:val="none"/>
        </w:rPr>
      </w:pPr>
      <w:r>
        <w:rPr>
          <w:rFonts w:hint="eastAsia" w:ascii="宋体" w:hAnsi="宋体"/>
          <w:color w:val="auto"/>
          <w:highlight w:val="none"/>
        </w:rPr>
        <w:t>11.2 不可抗力事件发生后，应立即通知对方，并寄送有关权威机构出具的证明。</w:t>
      </w:r>
    </w:p>
    <w:p>
      <w:pPr>
        <w:spacing w:line="360" w:lineRule="auto"/>
        <w:ind w:firstLine="420" w:firstLineChars="200"/>
        <w:rPr>
          <w:rFonts w:ascii="宋体" w:hAnsi="宋体"/>
          <w:color w:val="auto"/>
          <w:highlight w:val="none"/>
        </w:rPr>
      </w:pPr>
      <w:r>
        <w:rPr>
          <w:rFonts w:hint="eastAsia" w:ascii="宋体" w:hAnsi="宋体"/>
          <w:color w:val="auto"/>
          <w:highlight w:val="none"/>
        </w:rPr>
        <w:t>11.3 不可抗力事件延续120天以上，双方应通过友好协商，确定是否继续履行合同。</w:t>
      </w:r>
    </w:p>
    <w:p>
      <w:pPr>
        <w:spacing w:line="360" w:lineRule="auto"/>
        <w:rPr>
          <w:rFonts w:ascii="宋体" w:hAnsi="宋体"/>
          <w:b/>
          <w:bCs/>
          <w:color w:val="auto"/>
          <w:sz w:val="24"/>
          <w:highlight w:val="none"/>
        </w:rPr>
      </w:pPr>
      <w:r>
        <w:rPr>
          <w:rFonts w:hint="eastAsia" w:ascii="宋体" w:hAnsi="宋体"/>
          <w:b/>
          <w:bCs/>
          <w:color w:val="auto"/>
          <w:sz w:val="24"/>
          <w:highlight w:val="none"/>
        </w:rPr>
        <w:t>12.  诉讼</w:t>
      </w:r>
    </w:p>
    <w:p>
      <w:pPr>
        <w:tabs>
          <w:tab w:val="left" w:pos="0"/>
        </w:tabs>
        <w:spacing w:line="360" w:lineRule="auto"/>
        <w:ind w:firstLine="420" w:firstLineChars="200"/>
        <w:rPr>
          <w:rFonts w:ascii="宋体" w:hAnsi="宋体"/>
          <w:color w:val="auto"/>
          <w:highlight w:val="none"/>
        </w:rPr>
      </w:pPr>
      <w:r>
        <w:rPr>
          <w:rFonts w:hint="eastAsia" w:ascii="宋体" w:hAnsi="宋体"/>
          <w:color w:val="auto"/>
          <w:highlight w:val="none"/>
        </w:rPr>
        <w:t>12.1 双方在执行合同中所发生的一切争议，应通过协商解决。如协商不成，可向合同签订地法院起诉，合同签订地在此约定为广西崇左市。</w:t>
      </w:r>
    </w:p>
    <w:p>
      <w:pPr>
        <w:spacing w:line="360" w:lineRule="auto"/>
        <w:rPr>
          <w:rFonts w:ascii="宋体" w:hAnsi="宋体"/>
          <w:b/>
          <w:bCs/>
          <w:color w:val="auto"/>
          <w:sz w:val="24"/>
          <w:highlight w:val="none"/>
        </w:rPr>
      </w:pPr>
      <w:r>
        <w:rPr>
          <w:rFonts w:hint="eastAsia" w:ascii="宋体" w:hAnsi="宋体"/>
          <w:b/>
          <w:bCs/>
          <w:color w:val="auto"/>
          <w:sz w:val="24"/>
          <w:highlight w:val="none"/>
        </w:rPr>
        <w:t>13.  合同生效及其它</w:t>
      </w:r>
    </w:p>
    <w:p>
      <w:pPr>
        <w:spacing w:line="360" w:lineRule="auto"/>
        <w:ind w:firstLine="420" w:firstLineChars="200"/>
        <w:rPr>
          <w:rFonts w:ascii="宋体" w:hAnsi="宋体"/>
          <w:color w:val="auto"/>
          <w:highlight w:val="none"/>
        </w:rPr>
      </w:pPr>
      <w:r>
        <w:rPr>
          <w:rFonts w:hint="eastAsia" w:ascii="宋体" w:hAnsi="宋体"/>
          <w:color w:val="auto"/>
          <w:highlight w:val="none"/>
        </w:rPr>
        <w:t>13.1 合同经双方法定代表人或授权委托代理人签字并加盖单位公章后生效。</w:t>
      </w:r>
    </w:p>
    <w:p>
      <w:pPr>
        <w:spacing w:line="360" w:lineRule="auto"/>
        <w:ind w:firstLine="420" w:firstLineChars="200"/>
        <w:rPr>
          <w:rFonts w:ascii="宋体" w:hAnsi="宋体"/>
          <w:color w:val="auto"/>
          <w:highlight w:val="none"/>
        </w:rPr>
      </w:pPr>
      <w:r>
        <w:rPr>
          <w:rFonts w:hint="eastAsia" w:ascii="宋体" w:hAnsi="宋体"/>
          <w:color w:val="auto"/>
          <w:highlight w:val="none"/>
        </w:rPr>
        <w:t xml:space="preserve">13.2 </w:t>
      </w:r>
      <w:r>
        <w:rPr>
          <w:rFonts w:hint="eastAsia" w:ascii="宋体" w:hAnsi="宋体"/>
          <w:color w:val="auto"/>
          <w:szCs w:val="21"/>
          <w:highlight w:val="none"/>
        </w:rPr>
        <w:t>合同执行中涉及采购资金和采购内容修改或补充的，须经市财政部门审批，并签书面补充协议报崇左宁市政府采购监督管理部门备案，方可作为主合同不可分割的一部分。</w:t>
      </w:r>
    </w:p>
    <w:p>
      <w:pPr>
        <w:spacing w:line="360" w:lineRule="auto"/>
        <w:ind w:firstLine="420" w:firstLineChars="200"/>
        <w:rPr>
          <w:rFonts w:ascii="宋体" w:hAnsi="宋体"/>
          <w:color w:val="auto"/>
          <w:highlight w:val="none"/>
        </w:rPr>
      </w:pPr>
      <w:r>
        <w:rPr>
          <w:rFonts w:hint="eastAsia" w:ascii="宋体" w:hAnsi="宋体"/>
          <w:color w:val="auto"/>
          <w:highlight w:val="none"/>
        </w:rPr>
        <w:t>13.3 下述合同附件为本合同不可分割的部分并与本合同具有同等效力：</w:t>
      </w:r>
    </w:p>
    <w:p>
      <w:pPr>
        <w:spacing w:line="360" w:lineRule="auto"/>
        <w:ind w:firstLine="420" w:firstLineChars="200"/>
        <w:rPr>
          <w:rFonts w:ascii="宋体" w:hAnsi="宋体"/>
          <w:color w:val="auto"/>
          <w:highlight w:val="none"/>
        </w:rPr>
      </w:pPr>
      <w:r>
        <w:rPr>
          <w:rFonts w:hint="eastAsia" w:ascii="宋体" w:hAnsi="宋体"/>
          <w:color w:val="auto"/>
          <w:highlight w:val="none"/>
        </w:rPr>
        <w:t>（1）中标通知书；</w:t>
      </w:r>
    </w:p>
    <w:p>
      <w:pPr>
        <w:spacing w:line="360" w:lineRule="auto"/>
        <w:ind w:firstLine="420" w:firstLineChars="200"/>
        <w:rPr>
          <w:rFonts w:ascii="宋体" w:hAnsi="宋体"/>
          <w:color w:val="auto"/>
          <w:highlight w:val="none"/>
        </w:rPr>
      </w:pPr>
      <w:r>
        <w:rPr>
          <w:rFonts w:hint="eastAsia" w:ascii="宋体" w:hAnsi="宋体"/>
          <w:color w:val="auto"/>
          <w:highlight w:val="none"/>
        </w:rPr>
        <w:t>（2）履约保证金交纳证明；</w:t>
      </w:r>
    </w:p>
    <w:p>
      <w:pPr>
        <w:spacing w:line="360" w:lineRule="auto"/>
        <w:ind w:firstLine="420" w:firstLineChars="200"/>
        <w:rPr>
          <w:rFonts w:ascii="宋体" w:hAnsi="宋体"/>
          <w:color w:val="auto"/>
          <w:highlight w:val="none"/>
        </w:rPr>
      </w:pPr>
      <w:r>
        <w:rPr>
          <w:rFonts w:hint="eastAsia" w:ascii="宋体" w:hAnsi="宋体"/>
          <w:color w:val="auto"/>
          <w:highlight w:val="none"/>
        </w:rPr>
        <w:t>（3）招标文件服务需求一览表；</w:t>
      </w:r>
    </w:p>
    <w:p>
      <w:pPr>
        <w:spacing w:line="360" w:lineRule="auto"/>
        <w:ind w:firstLine="420" w:firstLineChars="200"/>
        <w:rPr>
          <w:rFonts w:ascii="宋体" w:hAnsi="宋体"/>
          <w:color w:val="auto"/>
          <w:highlight w:val="none"/>
        </w:rPr>
      </w:pPr>
      <w:r>
        <w:rPr>
          <w:rFonts w:hint="eastAsia" w:ascii="宋体" w:hAnsi="宋体"/>
          <w:color w:val="auto"/>
          <w:highlight w:val="none"/>
        </w:rPr>
        <w:t>（4）招标文件的澄清和修改；</w:t>
      </w:r>
    </w:p>
    <w:p>
      <w:pPr>
        <w:spacing w:line="360" w:lineRule="auto"/>
        <w:ind w:firstLine="420" w:firstLineChars="200"/>
        <w:rPr>
          <w:rFonts w:ascii="宋体" w:hAnsi="宋体"/>
          <w:color w:val="auto"/>
          <w:highlight w:val="none"/>
        </w:rPr>
      </w:pPr>
      <w:r>
        <w:rPr>
          <w:rFonts w:hint="eastAsia" w:ascii="宋体" w:hAnsi="宋体"/>
          <w:color w:val="auto"/>
          <w:highlight w:val="none"/>
        </w:rPr>
        <w:t>（5）投标函、投标报价表；</w:t>
      </w:r>
    </w:p>
    <w:p>
      <w:pPr>
        <w:spacing w:line="360" w:lineRule="auto"/>
        <w:ind w:firstLine="420" w:firstLineChars="200"/>
        <w:rPr>
          <w:rFonts w:ascii="宋体" w:hAnsi="宋体"/>
          <w:color w:val="auto"/>
          <w:highlight w:val="none"/>
        </w:rPr>
      </w:pPr>
      <w:r>
        <w:rPr>
          <w:rFonts w:hint="eastAsia" w:ascii="宋体" w:hAnsi="宋体"/>
          <w:color w:val="auto"/>
          <w:highlight w:val="none"/>
        </w:rPr>
        <w:t>（6）投标服务技术资料表、商务条款偏离表、售后服务承诺书；</w:t>
      </w:r>
    </w:p>
    <w:p>
      <w:pPr>
        <w:spacing w:line="360" w:lineRule="auto"/>
        <w:ind w:firstLine="420" w:firstLineChars="200"/>
        <w:rPr>
          <w:rFonts w:ascii="宋体" w:hAnsi="宋体"/>
          <w:color w:val="auto"/>
          <w:highlight w:val="none"/>
        </w:rPr>
      </w:pPr>
      <w:r>
        <w:rPr>
          <w:rFonts w:hint="eastAsia" w:ascii="宋体" w:hAnsi="宋体"/>
          <w:color w:val="auto"/>
          <w:highlight w:val="none"/>
        </w:rPr>
        <w:t>（7）中标供应商澄清函。</w:t>
      </w:r>
    </w:p>
    <w:p>
      <w:pPr>
        <w:spacing w:line="360" w:lineRule="auto"/>
        <w:ind w:firstLine="420" w:firstLineChars="200"/>
        <w:rPr>
          <w:rFonts w:ascii="宋体" w:hAnsi="宋体"/>
          <w:color w:val="auto"/>
          <w:highlight w:val="none"/>
        </w:rPr>
      </w:pPr>
      <w:r>
        <w:rPr>
          <w:rFonts w:hint="eastAsia" w:ascii="宋体" w:hAnsi="宋体"/>
          <w:color w:val="auto"/>
          <w:highlight w:val="none"/>
        </w:rPr>
        <w:t>13.4 本合同未尽事宜，遵照《中华人民共和国合同法》有关条文执行。</w:t>
      </w:r>
    </w:p>
    <w:p>
      <w:pPr>
        <w:spacing w:line="360" w:lineRule="auto"/>
        <w:ind w:firstLine="420" w:firstLineChars="200"/>
        <w:rPr>
          <w:rFonts w:ascii="宋体" w:hAnsi="宋体"/>
          <w:color w:val="auto"/>
          <w:highlight w:val="none"/>
        </w:rPr>
      </w:pPr>
      <w:r>
        <w:rPr>
          <w:rFonts w:hint="eastAsia" w:ascii="宋体" w:hAnsi="宋体"/>
          <w:color w:val="auto"/>
          <w:highlight w:val="none"/>
        </w:rPr>
        <w:t>13.5 本合同正本一式两份，具有同等法律效力，甲乙双方各执一份；副本一份。</w:t>
      </w:r>
    </w:p>
    <w:p>
      <w:pPr>
        <w:spacing w:line="360" w:lineRule="auto"/>
        <w:ind w:firstLine="779" w:firstLineChars="371"/>
        <w:rPr>
          <w:rFonts w:ascii="宋体" w:hAnsi="宋体"/>
          <w:color w:val="auto"/>
          <w:highlight w:val="none"/>
        </w:rPr>
      </w:pPr>
    </w:p>
    <w:p>
      <w:pPr>
        <w:spacing w:line="360" w:lineRule="auto"/>
        <w:ind w:firstLine="360"/>
        <w:rPr>
          <w:rFonts w:ascii="宋体" w:hAnsi="宋体"/>
          <w:color w:val="auto"/>
          <w:highlight w:val="none"/>
        </w:rPr>
      </w:pPr>
    </w:p>
    <w:p>
      <w:pPr>
        <w:spacing w:line="360" w:lineRule="auto"/>
        <w:ind w:firstLine="360"/>
        <w:rPr>
          <w:rFonts w:ascii="宋体" w:hAnsi="宋体"/>
          <w:color w:val="auto"/>
          <w:highlight w:val="none"/>
        </w:rPr>
      </w:pPr>
    </w:p>
    <w:p>
      <w:pPr>
        <w:spacing w:line="360" w:lineRule="auto"/>
        <w:ind w:firstLine="360"/>
        <w:rPr>
          <w:rFonts w:ascii="宋体" w:hAnsi="宋体"/>
          <w:color w:val="auto"/>
          <w:highlight w:val="none"/>
        </w:rPr>
      </w:pPr>
    </w:p>
    <w:p>
      <w:pPr>
        <w:spacing w:line="360" w:lineRule="auto"/>
        <w:rPr>
          <w:rFonts w:ascii="宋体" w:hAnsi="宋体"/>
          <w:color w:val="auto"/>
          <w:highlight w:val="none"/>
          <w:u w:val="single"/>
        </w:rPr>
      </w:pPr>
      <w:r>
        <w:rPr>
          <w:rFonts w:hint="eastAsia" w:ascii="宋体" w:hAnsi="宋体"/>
          <w:color w:val="auto"/>
          <w:highlight w:val="none"/>
        </w:rPr>
        <w:t>甲方：</w:t>
      </w:r>
      <w:r>
        <w:rPr>
          <w:rFonts w:hint="eastAsia" w:ascii="宋体" w:hAnsi="宋体"/>
          <w:color w:val="auto"/>
          <w:highlight w:val="none"/>
          <w:u w:val="single"/>
        </w:rPr>
        <w:t xml:space="preserve">                                    </w:t>
      </w:r>
      <w:r>
        <w:rPr>
          <w:rFonts w:hint="eastAsia" w:ascii="宋体" w:hAnsi="宋体"/>
          <w:color w:val="auto"/>
          <w:highlight w:val="none"/>
        </w:rPr>
        <w:t xml:space="preserve">    乙方：</w:t>
      </w:r>
      <w:r>
        <w:rPr>
          <w:rFonts w:hint="eastAsia" w:ascii="宋体" w:hAnsi="宋体"/>
          <w:color w:val="auto"/>
          <w:highlight w:val="none"/>
          <w:u w:val="single"/>
        </w:rPr>
        <w:t xml:space="preserve">                                    </w:t>
      </w:r>
    </w:p>
    <w:p>
      <w:pPr>
        <w:spacing w:line="360" w:lineRule="auto"/>
        <w:rPr>
          <w:rFonts w:ascii="宋体" w:hAnsi="宋体"/>
          <w:color w:val="auto"/>
          <w:highlight w:val="none"/>
        </w:rPr>
      </w:pPr>
      <w:r>
        <w:rPr>
          <w:rFonts w:hint="eastAsia" w:ascii="宋体" w:hAnsi="宋体"/>
          <w:color w:val="auto"/>
          <w:highlight w:val="none"/>
        </w:rPr>
        <w:t>地址：</w:t>
      </w:r>
      <w:r>
        <w:rPr>
          <w:rFonts w:hint="eastAsia" w:ascii="宋体" w:hAnsi="宋体"/>
          <w:color w:val="auto"/>
          <w:highlight w:val="none"/>
          <w:u w:val="single"/>
        </w:rPr>
        <w:t xml:space="preserve">                                    </w:t>
      </w:r>
      <w:r>
        <w:rPr>
          <w:rFonts w:hint="eastAsia" w:ascii="宋体" w:hAnsi="宋体"/>
          <w:color w:val="auto"/>
          <w:highlight w:val="none"/>
        </w:rPr>
        <w:t xml:space="preserve">    地址：</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360" w:lineRule="auto"/>
        <w:rPr>
          <w:rFonts w:ascii="宋体" w:hAnsi="宋体"/>
          <w:color w:val="auto"/>
          <w:highlight w:val="none"/>
        </w:rPr>
      </w:pPr>
      <w:r>
        <w:rPr>
          <w:rFonts w:hint="eastAsia" w:ascii="宋体" w:hAnsi="宋体"/>
          <w:color w:val="auto"/>
          <w:highlight w:val="none"/>
        </w:rPr>
        <w:t>法定代表人：</w:t>
      </w:r>
      <w:r>
        <w:rPr>
          <w:rFonts w:hint="eastAsia" w:ascii="宋体" w:hAnsi="宋体"/>
          <w:color w:val="auto"/>
          <w:highlight w:val="none"/>
          <w:u w:val="single"/>
        </w:rPr>
        <w:t xml:space="preserve">                              </w:t>
      </w:r>
      <w:r>
        <w:rPr>
          <w:rFonts w:hint="eastAsia" w:ascii="宋体" w:hAnsi="宋体"/>
          <w:color w:val="auto"/>
          <w:highlight w:val="none"/>
        </w:rPr>
        <w:t xml:space="preserve">    法定代表人：</w:t>
      </w:r>
      <w:r>
        <w:rPr>
          <w:rFonts w:hint="eastAsia" w:ascii="宋体" w:hAnsi="宋体"/>
          <w:color w:val="auto"/>
          <w:highlight w:val="none"/>
          <w:u w:val="single"/>
        </w:rPr>
        <w:t xml:space="preserve">                              </w:t>
      </w:r>
    </w:p>
    <w:p>
      <w:pPr>
        <w:spacing w:line="360" w:lineRule="auto"/>
        <w:rPr>
          <w:rFonts w:ascii="宋体" w:hAnsi="宋体"/>
          <w:color w:val="auto"/>
          <w:highlight w:val="none"/>
        </w:rPr>
      </w:pPr>
      <w:r>
        <w:rPr>
          <w:rFonts w:hint="eastAsia" w:ascii="宋体" w:hAnsi="宋体"/>
          <w:color w:val="auto"/>
          <w:highlight w:val="none"/>
        </w:rPr>
        <w:t>委托代理人：</w:t>
      </w:r>
      <w:r>
        <w:rPr>
          <w:rFonts w:hint="eastAsia" w:ascii="宋体" w:hAnsi="宋体"/>
          <w:color w:val="auto"/>
          <w:highlight w:val="none"/>
          <w:u w:val="single"/>
        </w:rPr>
        <w:t xml:space="preserve">                              </w:t>
      </w:r>
      <w:r>
        <w:rPr>
          <w:rFonts w:hint="eastAsia" w:ascii="宋体" w:hAnsi="宋体"/>
          <w:color w:val="auto"/>
          <w:highlight w:val="none"/>
        </w:rPr>
        <w:t xml:space="preserve">    委托代理人：</w:t>
      </w:r>
      <w:r>
        <w:rPr>
          <w:rFonts w:hint="eastAsia" w:ascii="宋体" w:hAnsi="宋体"/>
          <w:color w:val="auto"/>
          <w:highlight w:val="none"/>
          <w:u w:val="single"/>
        </w:rPr>
        <w:t xml:space="preserve">                              </w:t>
      </w:r>
    </w:p>
    <w:p>
      <w:pPr>
        <w:spacing w:line="360" w:lineRule="auto"/>
        <w:rPr>
          <w:rFonts w:ascii="宋体" w:hAnsi="宋体"/>
          <w:color w:val="auto"/>
          <w:highlight w:val="none"/>
        </w:rPr>
      </w:pPr>
      <w:r>
        <w:rPr>
          <w:rFonts w:hint="eastAsia" w:ascii="宋体" w:hAnsi="宋体"/>
          <w:color w:val="auto"/>
          <w:highlight w:val="none"/>
        </w:rPr>
        <w:t>电话：</w:t>
      </w:r>
      <w:r>
        <w:rPr>
          <w:rFonts w:hint="eastAsia" w:ascii="宋体" w:hAnsi="宋体"/>
          <w:color w:val="auto"/>
          <w:highlight w:val="none"/>
          <w:u w:val="single"/>
        </w:rPr>
        <w:t xml:space="preserve">                                    </w:t>
      </w:r>
      <w:r>
        <w:rPr>
          <w:rFonts w:hint="eastAsia" w:ascii="宋体" w:hAnsi="宋体"/>
          <w:color w:val="auto"/>
          <w:highlight w:val="none"/>
        </w:rPr>
        <w:t xml:space="preserve">    电话：</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360" w:lineRule="auto"/>
        <w:rPr>
          <w:rFonts w:ascii="宋体" w:hAnsi="宋体"/>
          <w:color w:val="auto"/>
          <w:highlight w:val="none"/>
        </w:rPr>
      </w:pPr>
      <w:r>
        <w:rPr>
          <w:rFonts w:hint="eastAsia" w:ascii="宋体" w:hAnsi="宋体"/>
          <w:color w:val="auto"/>
          <w:highlight w:val="none"/>
        </w:rPr>
        <w:t>传真：</w:t>
      </w:r>
      <w:r>
        <w:rPr>
          <w:rFonts w:hint="eastAsia" w:ascii="宋体" w:hAnsi="宋体"/>
          <w:color w:val="auto"/>
          <w:highlight w:val="none"/>
          <w:u w:val="single"/>
        </w:rPr>
        <w:t xml:space="preserve">                                    </w:t>
      </w:r>
      <w:r>
        <w:rPr>
          <w:rFonts w:hint="eastAsia" w:ascii="宋体" w:hAnsi="宋体"/>
          <w:color w:val="auto"/>
          <w:highlight w:val="none"/>
        </w:rPr>
        <w:t xml:space="preserve">    传真：</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360" w:lineRule="auto"/>
        <w:rPr>
          <w:rFonts w:ascii="宋体" w:hAnsi="宋体"/>
          <w:color w:val="auto"/>
          <w:highlight w:val="none"/>
        </w:rPr>
      </w:pPr>
      <w:r>
        <w:rPr>
          <w:rFonts w:hint="eastAsia" w:ascii="宋体" w:hAnsi="宋体"/>
          <w:color w:val="auto"/>
          <w:highlight w:val="none"/>
        </w:rPr>
        <w:t>邮政编码：</w:t>
      </w:r>
      <w:r>
        <w:rPr>
          <w:rFonts w:hint="eastAsia" w:ascii="宋体" w:hAnsi="宋体"/>
          <w:color w:val="auto"/>
          <w:highlight w:val="none"/>
          <w:u w:val="single"/>
        </w:rPr>
        <w:t xml:space="preserve">                                </w:t>
      </w:r>
      <w:r>
        <w:rPr>
          <w:rFonts w:hint="eastAsia" w:ascii="宋体" w:hAnsi="宋体"/>
          <w:color w:val="auto"/>
          <w:highlight w:val="none"/>
        </w:rPr>
        <w:t xml:space="preserve">    邮政编码：</w:t>
      </w:r>
      <w:r>
        <w:rPr>
          <w:rFonts w:hint="eastAsia" w:ascii="宋体" w:hAnsi="宋体"/>
          <w:color w:val="auto"/>
          <w:highlight w:val="none"/>
          <w:u w:val="single"/>
        </w:rPr>
        <w:t xml:space="preserve">                                </w:t>
      </w:r>
    </w:p>
    <w:p>
      <w:pPr>
        <w:spacing w:line="360" w:lineRule="auto"/>
        <w:rPr>
          <w:rFonts w:ascii="宋体" w:hAnsi="宋体"/>
          <w:color w:val="auto"/>
          <w:highlight w:val="none"/>
          <w:u w:val="single"/>
        </w:rPr>
      </w:pPr>
      <w:r>
        <w:rPr>
          <w:rFonts w:hint="eastAsia" w:ascii="宋体" w:hAnsi="宋体"/>
          <w:color w:val="auto"/>
          <w:highlight w:val="none"/>
        </w:rPr>
        <w:t xml:space="preserve">                                              开户银行：</w:t>
      </w:r>
      <w:r>
        <w:rPr>
          <w:rFonts w:hint="eastAsia" w:ascii="宋体" w:hAnsi="宋体"/>
          <w:color w:val="auto"/>
          <w:highlight w:val="none"/>
          <w:u w:val="single"/>
        </w:rPr>
        <w:t xml:space="preserve">                                </w:t>
      </w:r>
    </w:p>
    <w:p>
      <w:pPr>
        <w:spacing w:line="360" w:lineRule="auto"/>
        <w:rPr>
          <w:rFonts w:ascii="宋体" w:hAnsi="宋体"/>
          <w:color w:val="auto"/>
          <w:highlight w:val="none"/>
          <w:u w:val="single"/>
        </w:rPr>
      </w:pPr>
      <w:r>
        <w:rPr>
          <w:rFonts w:hint="eastAsia" w:ascii="宋体" w:hAnsi="宋体"/>
          <w:color w:val="auto"/>
          <w:highlight w:val="none"/>
        </w:rPr>
        <w:t xml:space="preserve">                                              开户名称：</w:t>
      </w:r>
      <w:r>
        <w:rPr>
          <w:rFonts w:hint="eastAsia" w:ascii="宋体" w:hAnsi="宋体"/>
          <w:color w:val="auto"/>
          <w:highlight w:val="none"/>
          <w:u w:val="single"/>
        </w:rPr>
        <w:t xml:space="preserve">                                </w:t>
      </w:r>
    </w:p>
    <w:p>
      <w:pPr>
        <w:spacing w:line="360" w:lineRule="auto"/>
        <w:rPr>
          <w:rFonts w:ascii="宋体" w:hAnsi="宋体"/>
          <w:color w:val="auto"/>
          <w:highlight w:val="none"/>
          <w:u w:val="single"/>
        </w:rPr>
      </w:pPr>
      <w:r>
        <w:rPr>
          <w:rFonts w:hint="eastAsia" w:ascii="宋体" w:hAnsi="宋体"/>
          <w:color w:val="auto"/>
          <w:highlight w:val="none"/>
        </w:rPr>
        <w:t xml:space="preserve">                                              银行账号：</w:t>
      </w:r>
      <w:r>
        <w:rPr>
          <w:rFonts w:hint="eastAsia" w:ascii="宋体" w:hAnsi="宋体"/>
          <w:color w:val="auto"/>
          <w:highlight w:val="none"/>
          <w:u w:val="single"/>
        </w:rPr>
        <w:t xml:space="preserve">                                </w:t>
      </w:r>
    </w:p>
    <w:p>
      <w:pPr>
        <w:spacing w:line="360" w:lineRule="auto"/>
        <w:ind w:left="178" w:leftChars="85"/>
        <w:rPr>
          <w:rFonts w:ascii="宋体" w:hAnsi="宋体"/>
          <w:color w:val="auto"/>
          <w:highlight w:val="none"/>
        </w:rPr>
      </w:pPr>
    </w:p>
    <w:p>
      <w:pPr>
        <w:spacing w:line="360" w:lineRule="auto"/>
        <w:ind w:left="178" w:leftChars="85"/>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 xml:space="preserve">合同签订地点： </w:t>
      </w:r>
    </w:p>
    <w:p>
      <w:pPr>
        <w:spacing w:line="360" w:lineRule="auto"/>
        <w:rPr>
          <w:rFonts w:ascii="宋体" w:hAnsi="宋体"/>
          <w:color w:val="auto"/>
          <w:highlight w:val="none"/>
        </w:rPr>
      </w:pPr>
      <w:r>
        <w:rPr>
          <w:rFonts w:hint="eastAsia" w:ascii="宋体" w:hAnsi="宋体"/>
          <w:color w:val="auto"/>
          <w:highlight w:val="none"/>
        </w:rPr>
        <w:t>合同签订日期：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jc w:val="center"/>
        <w:outlineLvl w:val="0"/>
        <w:rPr>
          <w:rFonts w:ascii="宋体" w:hAnsi="Courier New"/>
          <w:color w:val="auto"/>
          <w:highlight w:val="none"/>
        </w:rPr>
      </w:pPr>
    </w:p>
    <w:p>
      <w:pPr>
        <w:spacing w:line="600" w:lineRule="exact"/>
        <w:ind w:firstLine="435"/>
        <w:rPr>
          <w:rFonts w:ascii="Calibri" w:hAnsi="Calibri" w:eastAsia="仿宋_GB2312"/>
          <w:color w:val="auto"/>
          <w:sz w:val="32"/>
          <w:szCs w:val="32"/>
          <w:highlight w:val="none"/>
        </w:rPr>
      </w:pPr>
    </w:p>
    <w:p>
      <w:pPr>
        <w:rPr>
          <w:rFonts w:ascii="Calibri" w:hAnsi="Calibri"/>
          <w:color w:val="auto"/>
          <w:highlight w:val="none"/>
        </w:rPr>
      </w:pPr>
    </w:p>
    <w:p>
      <w:pPr>
        <w:outlineLvl w:val="1"/>
        <w:rPr>
          <w:rFonts w:ascii="宋体" w:hAnsi="宋体"/>
          <w:color w:val="auto"/>
          <w:highlight w:val="none"/>
        </w:rPr>
      </w:pPr>
    </w:p>
    <w:p>
      <w:pPr>
        <w:rPr>
          <w:rFonts w:ascii="Calibri" w:hAnsi="Calibri"/>
          <w:color w:val="auto"/>
          <w:highlight w:val="none"/>
        </w:rPr>
      </w:pPr>
    </w:p>
    <w:p>
      <w:pPr>
        <w:spacing w:line="360" w:lineRule="auto"/>
        <w:ind w:firstLine="420" w:firstLineChars="200"/>
        <w:rPr>
          <w:color w:val="auto"/>
          <w:highlight w:val="none"/>
        </w:rPr>
      </w:pPr>
    </w:p>
    <w:p>
      <w:pPr>
        <w:rPr>
          <w:color w:val="auto"/>
          <w:highlight w:val="none"/>
        </w:rPr>
      </w:pPr>
    </w:p>
    <w:p>
      <w:pPr>
        <w:rPr>
          <w:color w:val="auto"/>
          <w:highlight w:val="none"/>
        </w:rPr>
      </w:pPr>
    </w:p>
    <w:sectPr>
      <w:footerReference r:id="rId5" w:type="default"/>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等线">
    <w:altName w:val="微软雅黑"/>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62</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62</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lvl w:ilvl="0" w:tentative="0">
      <w:start w:val="1"/>
      <w:numFmt w:val="decimal"/>
      <w:lvlText w:val="（%1）"/>
      <w:lvlJc w:val="left"/>
      <w:pPr>
        <w:tabs>
          <w:tab w:val="left" w:pos="1140"/>
        </w:tabs>
        <w:ind w:left="1140" w:hanging="720"/>
      </w:pPr>
      <w:rPr>
        <w:rFonts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
    <w:nsid w:val="00000024"/>
    <w:multiLevelType w:val="multilevel"/>
    <w:tmpl w:val="00000024"/>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
    <w:nsid w:val="5E6C435F"/>
    <w:multiLevelType w:val="singleLevel"/>
    <w:tmpl w:val="5E6C435F"/>
    <w:lvl w:ilvl="0" w:tentative="0">
      <w:start w:val="1"/>
      <w:numFmt w:val="decimal"/>
      <w:suff w:val="nothing"/>
      <w:lvlText w:val="%1、"/>
      <w:lvlJc w:val="left"/>
    </w:lvl>
  </w:abstractNum>
  <w:num w:numId="1">
    <w:abstractNumId w:val="2"/>
  </w:num>
  <w:num w:numId="2">
    <w:abstractNumId w:val="0"/>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472A2"/>
    <w:rsid w:val="10B405A7"/>
    <w:rsid w:val="22CD05FA"/>
    <w:rsid w:val="22E06B41"/>
    <w:rsid w:val="25042717"/>
    <w:rsid w:val="34C02FB3"/>
    <w:rsid w:val="45E744E1"/>
    <w:rsid w:val="53D90525"/>
    <w:rsid w:val="67143B2A"/>
    <w:rsid w:val="686B7709"/>
    <w:rsid w:val="7D4C5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tLeast"/>
      <w:jc w:val="both"/>
    </w:pPr>
    <w:rPr>
      <w:rFonts w:ascii="Times New Roman" w:hAnsi="Times New Roman" w:eastAsia="宋体" w:cs="Times New Roman"/>
      <w:color w:val="000000"/>
      <w:sz w:val="21"/>
      <w:szCs w:val="24"/>
      <w:lang w:val="en-US" w:eastAsia="zh-CN" w:bidi="ar-SA"/>
    </w:rPr>
  </w:style>
  <w:style w:type="paragraph" w:styleId="4">
    <w:name w:val="heading 1"/>
    <w:basedOn w:val="1"/>
    <w:next w:val="1"/>
    <w:qFormat/>
    <w:uiPriority w:val="9"/>
    <w:pPr>
      <w:keepNext/>
      <w:keepLines/>
      <w:spacing w:afterLines="100" w:line="400" w:lineRule="exact"/>
      <w:jc w:val="center"/>
      <w:outlineLvl w:val="0"/>
    </w:pPr>
    <w:rPr>
      <w:b/>
      <w:bCs/>
      <w:kern w:val="44"/>
      <w:sz w:val="36"/>
      <w:szCs w:val="44"/>
    </w:rPr>
  </w:style>
  <w:style w:type="paragraph" w:styleId="5">
    <w:name w:val="heading 2"/>
    <w:basedOn w:val="1"/>
    <w:next w:val="1"/>
    <w:unhideWhenUsed/>
    <w:qFormat/>
    <w:uiPriority w:val="9"/>
    <w:pPr>
      <w:keepNext/>
      <w:keepLines/>
      <w:spacing w:before="260" w:after="260" w:line="400" w:lineRule="exact"/>
      <w:jc w:val="center"/>
      <w:outlineLvl w:val="1"/>
    </w:pPr>
    <w:rPr>
      <w:rFonts w:asciiTheme="majorHAnsi" w:hAnsiTheme="majorHAnsi" w:cstheme="majorBidi"/>
      <w:b/>
      <w:bCs/>
      <w:szCs w:val="32"/>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样式 正文缩进正文（首行缩进两字）首行缩进两字 + 首行缩进:  2 字符1"/>
    <w:basedOn w:val="3"/>
    <w:qFormat/>
    <w:uiPriority w:val="0"/>
    <w:pPr>
      <w:spacing w:before="156" w:beforeLines="50" w:after="156" w:afterLines="50" w:line="500" w:lineRule="exact"/>
      <w:ind w:firstLine="200"/>
    </w:pPr>
    <w:rPr>
      <w:sz w:val="28"/>
    </w:rPr>
  </w:style>
  <w:style w:type="paragraph" w:styleId="3">
    <w:name w:val="Normal Indent"/>
    <w:basedOn w:val="1"/>
    <w:qFormat/>
    <w:uiPriority w:val="0"/>
    <w:pPr>
      <w:ind w:firstLine="420"/>
    </w:pPr>
    <w:rPr>
      <w:szCs w:val="20"/>
    </w:rPr>
  </w:style>
  <w:style w:type="paragraph" w:styleId="7">
    <w:name w:val="Body Text"/>
    <w:basedOn w:val="1"/>
    <w:qFormat/>
    <w:uiPriority w:val="0"/>
    <w:rPr>
      <w:rFonts w:ascii="金山简黑体" w:hAnsi="金山简黑体" w:eastAsia="Times New Roman" w:cs="Courier New"/>
      <w:b/>
      <w:spacing w:val="-50"/>
      <w:sz w:val="44"/>
      <w:szCs w:val="20"/>
      <w:lang w:val="zh-CN"/>
    </w:rPr>
  </w:style>
  <w:style w:type="paragraph" w:styleId="8">
    <w:name w:val="Body Text Indent"/>
    <w:basedOn w:val="1"/>
    <w:qFormat/>
    <w:uiPriority w:val="0"/>
    <w:pPr>
      <w:spacing w:after="120"/>
      <w:ind w:left="420" w:leftChars="200"/>
    </w:pPr>
  </w:style>
  <w:style w:type="paragraph" w:styleId="9">
    <w:name w:val="Plain Text"/>
    <w:basedOn w:val="1"/>
    <w:next w:val="6"/>
    <w:qFormat/>
    <w:uiPriority w:val="0"/>
    <w:rPr>
      <w:rFonts w:ascii="宋体" w:hAnsi="宋体" w:eastAsia="Times New Roman"/>
      <w:kern w:val="1"/>
      <w:szCs w:val="20"/>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720"/>
      </w:tabs>
      <w:jc w:val="center"/>
    </w:pPr>
    <w:rPr>
      <w:rFonts w:cs="宋体"/>
      <w:b/>
      <w:sz w:val="48"/>
      <w:szCs w:val="48"/>
    </w:rPr>
  </w:style>
  <w:style w:type="paragraph" w:styleId="13">
    <w:name w:val="Normal (Web)"/>
    <w:basedOn w:val="1"/>
    <w:qFormat/>
    <w:uiPriority w:val="99"/>
    <w:pPr>
      <w:widowControl/>
      <w:spacing w:before="100" w:beforeAutospacing="1" w:after="100" w:afterAutospacing="1"/>
      <w:jc w:val="left"/>
    </w:pPr>
    <w:rPr>
      <w:rFonts w:ascii="宋体" w:hAnsi="宋体"/>
      <w:sz w:val="24"/>
    </w:rPr>
  </w:style>
  <w:style w:type="character" w:styleId="16">
    <w:name w:val="Strong"/>
    <w:qFormat/>
    <w:uiPriority w:val="0"/>
    <w:rPr>
      <w:b/>
      <w:bCs/>
    </w:rPr>
  </w:style>
  <w:style w:type="character" w:styleId="17">
    <w:name w:val="Hyperlink"/>
    <w:basedOn w:val="15"/>
    <w:unhideWhenUsed/>
    <w:qFormat/>
    <w:uiPriority w:val="99"/>
    <w:rPr>
      <w:color w:val="0563C1" w:themeColor="hyperlink"/>
      <w:u w:val="single"/>
      <w14:textFill>
        <w14:solidFill>
          <w14:schemeClr w14:val="hlink"/>
        </w14:solidFill>
      </w14:textFill>
    </w:rPr>
  </w:style>
  <w:style w:type="paragraph" w:customStyle="1" w:styleId="18">
    <w:name w:val="表格文字"/>
    <w:basedOn w:val="1"/>
    <w:qFormat/>
    <w:uiPriority w:val="99"/>
    <w:pPr>
      <w:spacing w:before="25" w:after="25"/>
      <w:jc w:val="left"/>
    </w:pPr>
    <w:rPr>
      <w:bCs/>
      <w:spacing w:val="10"/>
      <w:sz w:val="24"/>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尚︱燚(yi)洛</cp:lastModifiedBy>
  <cp:lastPrinted>2020-11-09T01:53:00Z</cp:lastPrinted>
  <dcterms:modified xsi:type="dcterms:W3CDTF">2020-11-09T03:29:24Z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