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highlight w:val="none"/>
        </w:rPr>
      </w:pPr>
      <w:bookmarkStart w:id="194" w:name="_GoBack"/>
      <w:bookmarkEnd w:id="194"/>
    </w:p>
    <w:p>
      <w:pPr>
        <w:pStyle w:val="36"/>
        <w:ind w:left="440" w:firstLine="553"/>
        <w:rPr>
          <w:color w:val="auto"/>
          <w:highlight w:val="none"/>
        </w:rPr>
      </w:pPr>
    </w:p>
    <w:p>
      <w:pPr>
        <w:spacing w:beforeLines="100" w:afterLines="100" w:line="800" w:lineRule="exact"/>
        <w:jc w:val="center"/>
        <w:rPr>
          <w:rFonts w:ascii="宋体" w:hAnsi="宋体" w:eastAsia="宋体"/>
          <w:bCs/>
          <w:color w:val="auto"/>
          <w:sz w:val="60"/>
          <w:szCs w:val="60"/>
          <w:highlight w:val="none"/>
        </w:rPr>
      </w:pPr>
      <w:r>
        <w:rPr>
          <w:rFonts w:hint="eastAsia" w:ascii="宋体" w:hAnsi="宋体" w:eastAsia="宋体"/>
          <w:bCs/>
          <w:color w:val="auto"/>
          <w:sz w:val="60"/>
          <w:szCs w:val="60"/>
          <w:highlight w:val="none"/>
        </w:rPr>
        <w:t>广西睿翼工程咨询有限公司</w:t>
      </w:r>
    </w:p>
    <w:p>
      <w:pPr>
        <w:pStyle w:val="15"/>
        <w:rPr>
          <w:rFonts w:ascii="宋体" w:hAnsi="宋体"/>
          <w:b/>
          <w:bCs/>
          <w:color w:val="auto"/>
          <w:sz w:val="10"/>
          <w:highlight w:val="none"/>
        </w:rPr>
      </w:pPr>
    </w:p>
    <w:p>
      <w:pPr>
        <w:pStyle w:val="15"/>
        <w:rPr>
          <w:rFonts w:ascii="宋体" w:hAnsi="宋体"/>
          <w:color w:val="auto"/>
          <w:sz w:val="72"/>
          <w:highlight w:val="none"/>
        </w:rPr>
      </w:pPr>
      <w:r>
        <w:rPr>
          <w:rFonts w:ascii="宋体" w:hAnsi="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52135" cy="0"/>
                <wp:effectExtent l="0" t="13970" r="5715" b="24130"/>
                <wp:wrapNone/>
                <wp:docPr id="7" name="直线 4"/>
                <wp:cNvGraphicFramePr/>
                <a:graphic xmlns:a="http://schemas.openxmlformats.org/drawingml/2006/main">
                  <a:graphicData uri="http://schemas.microsoft.com/office/word/2010/wordprocessingShape">
                    <wps:wsp>
                      <wps:cNvCnPr>
                        <a:cxnSpLocks noChangeShapeType="1"/>
                      </wps:cNvCnPr>
                      <wps:spPr bwMode="auto">
                        <a:xfrm flipV="1">
                          <a:off x="0" y="0"/>
                          <a:ext cx="5652135" cy="0"/>
                        </a:xfrm>
                        <a:prstGeom prst="line">
                          <a:avLst/>
                        </a:prstGeom>
                        <a:noFill/>
                        <a:ln w="28575">
                          <a:solidFill>
                            <a:srgbClr val="000000"/>
                          </a:solidFill>
                          <a:round/>
                        </a:ln>
                        <a:effectLst/>
                      </wps:spPr>
                      <wps:bodyPr/>
                    </wps:wsp>
                  </a:graphicData>
                </a:graphic>
              </wp:anchor>
            </w:drawing>
          </mc:Choice>
          <mc:Fallback>
            <w:pict>
              <v:line id="直线 4" o:spid="_x0000_s1026" o:spt="20" style="position:absolute;left:0pt;flip:y;margin-top:0pt;height:0pt;width:445.05pt;mso-position-horizontal:center;z-index:251659264;mso-width-relative:page;mso-height-relative:page;" filled="f" stroked="t" coordsize="21600,21600" o:gfxdata="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CrEw9EAAAACAQAADwAA&#10;AAAAAAABACAAAAAiAAAAZHJzL2Rvd25yZXYueG1sUEsBAhQAFAAAAAgAh07iQHxidyvkAQAAugMA&#10;AA4AAAAAAAAAAQAgAAAAIAEAAGRycy9lMm9Eb2MueG1sUEsFBgAAAAAGAAYAWQEAAHYFAAAAAA==&#10;">
                <v:fill on="f" focussize="0,0"/>
                <v:stroke weight="2.25pt" color="#000000" joinstyle="round"/>
                <v:imagedata o:title=""/>
                <o:lock v:ext="edit" aspectratio="f"/>
              </v:line>
            </w:pict>
          </mc:Fallback>
        </mc:AlternateContent>
      </w:r>
    </w:p>
    <w:p>
      <w:pPr>
        <w:pStyle w:val="15"/>
        <w:rPr>
          <w:rFonts w:ascii="宋体" w:hAnsi="宋体"/>
          <w:color w:val="auto"/>
          <w:sz w:val="120"/>
          <w:szCs w:val="120"/>
          <w:highlight w:val="none"/>
        </w:rPr>
      </w:pPr>
    </w:p>
    <w:p>
      <w:pPr>
        <w:pStyle w:val="15"/>
        <w:rPr>
          <w:rFonts w:ascii="宋体" w:hAnsi="宋体"/>
          <w:b/>
          <w:bCs/>
          <w:color w:val="auto"/>
          <w:sz w:val="96"/>
          <w:szCs w:val="96"/>
          <w:highlight w:val="none"/>
        </w:rPr>
      </w:pPr>
      <w:r>
        <w:rPr>
          <w:rFonts w:hint="eastAsia" w:ascii="宋体" w:hAnsi="宋体"/>
          <w:b/>
          <w:bCs/>
          <w:color w:val="auto"/>
          <w:sz w:val="96"/>
          <w:szCs w:val="96"/>
          <w:highlight w:val="none"/>
        </w:rPr>
        <w:t>竞争性谈判文件</w:t>
      </w: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spacing w:line="800" w:lineRule="exact"/>
        <w:rPr>
          <w:rFonts w:ascii="宋体" w:hAnsi="宋体"/>
          <w:color w:val="auto"/>
          <w:sz w:val="21"/>
          <w:szCs w:val="21"/>
          <w:highlight w:val="none"/>
        </w:rPr>
      </w:pPr>
    </w:p>
    <w:p>
      <w:pPr>
        <w:spacing w:after="0" w:line="600" w:lineRule="exact"/>
        <w:ind w:firstLine="1080" w:firstLineChars="300"/>
        <w:rPr>
          <w:rFonts w:ascii="宋体" w:hAnsi="宋体" w:eastAsia="宋体"/>
          <w:color w:val="auto"/>
          <w:sz w:val="36"/>
          <w:szCs w:val="36"/>
          <w:highlight w:val="none"/>
        </w:rPr>
      </w:pPr>
    </w:p>
    <w:p>
      <w:pPr>
        <w:spacing w:after="0" w:line="600" w:lineRule="exact"/>
        <w:ind w:firstLine="1080" w:firstLineChars="300"/>
        <w:rPr>
          <w:rFonts w:ascii="宋体" w:hAnsi="宋体" w:eastAsia="宋体"/>
          <w:color w:val="auto"/>
          <w:sz w:val="36"/>
          <w:szCs w:val="36"/>
          <w:highlight w:val="none"/>
        </w:rPr>
      </w:pPr>
      <w:r>
        <w:rPr>
          <w:rFonts w:ascii="宋体" w:hAnsi="宋体" w:eastAsia="宋体"/>
          <w:color w:val="auto"/>
          <w:sz w:val="36"/>
          <w:szCs w:val="36"/>
          <w:highlight w:val="none"/>
          <w:u w:val="singl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161290</wp:posOffset>
                </wp:positionV>
                <wp:extent cx="5652135" cy="0"/>
                <wp:effectExtent l="0" t="13970" r="5715" b="24130"/>
                <wp:wrapNone/>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8575">
                          <a:solidFill>
                            <a:srgbClr val="000000"/>
                          </a:solidFill>
                          <a:round/>
                        </a:ln>
                        <a:effectLst/>
                      </wps:spPr>
                      <wps:bodyPr/>
                    </wps:wsp>
                  </a:graphicData>
                </a:graphic>
              </wp:anchor>
            </w:drawing>
          </mc:Choice>
          <mc:Fallback>
            <w:pict>
              <v:line id="直线 3" o:spid="_x0000_s1026" o:spt="20" style="position:absolute;left:0pt;margin-left:22.75pt;margin-top:12.7pt;height:0pt;width:445.05pt;z-index:251660288;mso-width-relative:page;mso-height-relative:page;" filled="f" stroked="t" coordsize="21600,21600" o:gfxdata="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LlBz1wAAAAgBAAAPAAAA&#10;AAAAAAEAIAAAACIAAABkcnMvZG93bnJldi54bWxQSwECFAAUAAAACACHTuJAMpF15N0BAACwAwAA&#10;DgAAAAAAAAABACAAAAAmAQAAZHJzL2Uyb0RvYy54bWxQSwUGAAAAAAYABgBZAQAAdQUAAAAA&#10;">
                <v:fill on="f" focussize="0,0"/>
                <v:stroke weight="2.25pt" color="#000000" joinstyle="round"/>
                <v:imagedata o:title=""/>
                <o:lock v:ext="edit" aspectratio="f"/>
              </v:line>
            </w:pict>
          </mc:Fallback>
        </mc:AlternateContent>
      </w:r>
    </w:p>
    <w:p>
      <w:pPr>
        <w:spacing w:after="0" w:line="600" w:lineRule="exact"/>
        <w:ind w:left="2524" w:leftChars="326" w:hanging="1807" w:hangingChars="500"/>
        <w:rPr>
          <w:rFonts w:hint="eastAsia" w:ascii="宋体" w:hAnsi="宋体" w:eastAsia="宋体"/>
          <w:b/>
          <w:bCs/>
          <w:color w:val="auto"/>
          <w:sz w:val="36"/>
          <w:szCs w:val="36"/>
          <w:highlight w:val="none"/>
          <w:lang w:eastAsia="zh-CN"/>
        </w:rPr>
      </w:pPr>
      <w:r>
        <w:rPr>
          <w:rFonts w:hint="eastAsia" w:ascii="宋体" w:hAnsi="宋体" w:eastAsia="宋体"/>
          <w:b/>
          <w:bCs/>
          <w:color w:val="auto"/>
          <w:sz w:val="36"/>
          <w:szCs w:val="36"/>
          <w:highlight w:val="none"/>
        </w:rPr>
        <w:t>项目名称：</w:t>
      </w:r>
      <w:r>
        <w:rPr>
          <w:rFonts w:hint="eastAsia" w:ascii="宋体" w:hAnsi="宋体" w:eastAsia="宋体"/>
          <w:b/>
          <w:bCs/>
          <w:color w:val="auto"/>
          <w:sz w:val="36"/>
          <w:szCs w:val="36"/>
          <w:highlight w:val="none"/>
          <w:lang w:eastAsia="zh-CN"/>
        </w:rPr>
        <w:t>大化瑶族自治县2021年农村饮水维修养护热镀锌钢管采购</w:t>
      </w:r>
    </w:p>
    <w:p>
      <w:pPr>
        <w:pStyle w:val="15"/>
        <w:spacing w:line="600" w:lineRule="exact"/>
        <w:ind w:firstLine="723" w:firstLineChars="200"/>
        <w:jc w:val="both"/>
        <w:rPr>
          <w:rFonts w:hint="eastAsia" w:ascii="宋体" w:hAnsi="宋体" w:eastAsia="宋体"/>
          <w:b/>
          <w:bCs/>
          <w:color w:val="auto"/>
          <w:sz w:val="36"/>
          <w:szCs w:val="36"/>
          <w:highlight w:val="none"/>
          <w:lang w:eastAsia="zh-CN"/>
        </w:rPr>
      </w:pPr>
      <w:r>
        <w:rPr>
          <w:rFonts w:hint="eastAsia" w:ascii="宋体" w:hAnsi="宋体"/>
          <w:b/>
          <w:bCs/>
          <w:color w:val="auto"/>
          <w:sz w:val="36"/>
          <w:szCs w:val="36"/>
          <w:highlight w:val="none"/>
        </w:rPr>
        <w:t>采购编号：</w:t>
      </w:r>
      <w:r>
        <w:rPr>
          <w:rFonts w:hint="eastAsia" w:ascii="宋体" w:hAnsi="宋体"/>
          <w:b/>
          <w:bCs/>
          <w:color w:val="auto"/>
          <w:sz w:val="36"/>
          <w:szCs w:val="36"/>
          <w:highlight w:val="none"/>
          <w:lang w:eastAsia="zh-CN"/>
        </w:rPr>
        <w:t>HCZC2021-J1-290251-GXRY</w:t>
      </w:r>
    </w:p>
    <w:p>
      <w:pPr>
        <w:pStyle w:val="15"/>
        <w:spacing w:line="600" w:lineRule="exact"/>
        <w:ind w:firstLine="723" w:firstLineChars="200"/>
        <w:jc w:val="left"/>
        <w:rPr>
          <w:rFonts w:hint="eastAsia" w:ascii="宋体" w:hAnsi="宋体" w:eastAsia="宋体"/>
          <w:b/>
          <w:bCs/>
          <w:color w:val="auto"/>
          <w:sz w:val="36"/>
          <w:szCs w:val="36"/>
          <w:highlight w:val="none"/>
          <w:lang w:eastAsia="zh-CN"/>
        </w:rPr>
      </w:pPr>
      <w:r>
        <w:rPr>
          <w:rFonts w:hint="eastAsia" w:ascii="宋体" w:hAnsi="宋体"/>
          <w:b/>
          <w:bCs/>
          <w:color w:val="auto"/>
          <w:sz w:val="36"/>
          <w:szCs w:val="36"/>
          <w:highlight w:val="none"/>
        </w:rPr>
        <w:t>采购人：</w:t>
      </w:r>
      <w:r>
        <w:rPr>
          <w:rFonts w:hint="eastAsia" w:ascii="宋体" w:hAnsi="宋体"/>
          <w:b/>
          <w:bCs/>
          <w:color w:val="auto"/>
          <w:sz w:val="36"/>
          <w:szCs w:val="36"/>
          <w:highlight w:val="none"/>
          <w:lang w:eastAsia="zh-CN"/>
        </w:rPr>
        <w:t>大化瑶族自治县水利局</w:t>
      </w:r>
    </w:p>
    <w:p>
      <w:pPr>
        <w:pStyle w:val="15"/>
        <w:spacing w:line="600" w:lineRule="exact"/>
        <w:ind w:right="-273" w:rightChars="-124" w:firstLine="723" w:firstLineChars="200"/>
        <w:jc w:val="both"/>
        <w:rPr>
          <w:rFonts w:ascii="宋体" w:hAnsi="宋体"/>
          <w:b/>
          <w:bCs/>
          <w:color w:val="auto"/>
          <w:sz w:val="36"/>
          <w:szCs w:val="36"/>
          <w:highlight w:val="none"/>
        </w:rPr>
      </w:pPr>
      <w:r>
        <w:rPr>
          <w:rFonts w:hint="eastAsia" w:ascii="宋体" w:hAnsi="宋体"/>
          <w:b/>
          <w:bCs/>
          <w:color w:val="auto"/>
          <w:sz w:val="36"/>
          <w:szCs w:val="36"/>
          <w:highlight w:val="none"/>
        </w:rPr>
        <w:t>采购代理机构：广西睿翼工程咨询有限公司</w:t>
      </w:r>
    </w:p>
    <w:p>
      <w:pPr>
        <w:spacing w:beforeLines="50" w:after="0" w:line="600" w:lineRule="exact"/>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二〇二一年</w:t>
      </w:r>
      <w:r>
        <w:rPr>
          <w:rFonts w:hint="eastAsia" w:ascii="宋体" w:hAnsi="宋体" w:eastAsia="宋体"/>
          <w:b/>
          <w:bCs/>
          <w:color w:val="auto"/>
          <w:sz w:val="36"/>
          <w:szCs w:val="36"/>
          <w:highlight w:val="none"/>
          <w:lang w:val="en-US" w:eastAsia="zh-CN"/>
        </w:rPr>
        <w:t>九</w:t>
      </w:r>
      <w:r>
        <w:rPr>
          <w:rFonts w:hint="eastAsia" w:ascii="宋体" w:hAnsi="宋体" w:eastAsia="宋体"/>
          <w:b/>
          <w:bCs/>
          <w:color w:val="auto"/>
          <w:sz w:val="36"/>
          <w:szCs w:val="36"/>
          <w:highlight w:val="none"/>
        </w:rPr>
        <w:t>月</w:t>
      </w:r>
    </w:p>
    <w:p>
      <w:pPr>
        <w:rPr>
          <w:rFonts w:ascii="宋体" w:hAnsi="宋体" w:eastAsia="宋体"/>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7" w:h="16840"/>
          <w:pgMar w:top="1077" w:right="1418" w:bottom="1418" w:left="1077" w:header="624" w:footer="737" w:gutter="0"/>
          <w:pgNumType w:start="1"/>
          <w:cols w:space="720" w:num="1"/>
          <w:titlePg/>
          <w:docGrid w:linePitch="312" w:charSpace="0"/>
        </w:sectPr>
      </w:pPr>
      <w:bookmarkStart w:id="0" w:name="_Toc246094907"/>
      <w:bookmarkStart w:id="1" w:name="_Toc246095513"/>
      <w:bookmarkStart w:id="2" w:name="_Toc246095451"/>
    </w:p>
    <w:p>
      <w:pPr>
        <w:jc w:val="center"/>
        <w:rPr>
          <w:rFonts w:ascii="宋体" w:hAnsi="宋体" w:eastAsia="宋体"/>
          <w:color w:val="auto"/>
          <w:sz w:val="44"/>
          <w:szCs w:val="44"/>
          <w:highlight w:val="none"/>
        </w:rPr>
      </w:pPr>
    </w:p>
    <w:p>
      <w:pPr>
        <w:spacing w:afterLines="100" w:line="600" w:lineRule="exact"/>
        <w:jc w:val="center"/>
        <w:rPr>
          <w:rFonts w:ascii="宋体" w:hAnsi="宋体" w:eastAsia="宋体"/>
          <w:b/>
          <w:bCs/>
          <w:color w:val="auto"/>
          <w:sz w:val="44"/>
          <w:szCs w:val="44"/>
          <w:highlight w:val="none"/>
        </w:rPr>
      </w:pPr>
      <w:r>
        <w:rPr>
          <w:rFonts w:hint="eastAsia" w:ascii="宋体" w:hAnsi="宋体" w:eastAsia="宋体"/>
          <w:b/>
          <w:bCs/>
          <w:color w:val="auto"/>
          <w:sz w:val="44"/>
          <w:szCs w:val="44"/>
          <w:highlight w:val="none"/>
        </w:rPr>
        <w:t>目 录</w:t>
      </w:r>
    </w:p>
    <w:p>
      <w:pPr>
        <w:pStyle w:val="26"/>
        <w:tabs>
          <w:tab w:val="right" w:leader="dot" w:pos="9402"/>
        </w:tabs>
        <w:spacing w:line="440" w:lineRule="exact"/>
        <w:rPr>
          <w:rFonts w:asciiTheme="minorHAnsi" w:hAnsiTheme="minorHAnsi" w:eastAsiaTheme="minorEastAsia" w:cstheme="minorBidi"/>
          <w:b w:val="0"/>
          <w:bCs w:val="0"/>
          <w:caps w:val="0"/>
          <w:color w:val="auto"/>
          <w:sz w:val="24"/>
          <w:szCs w:val="24"/>
          <w:highlight w:val="none"/>
        </w:rPr>
      </w:pPr>
      <w:r>
        <w:rPr>
          <w:rFonts w:hint="eastAsia" w:ascii="宋体" w:hAnsi="宋体" w:cs="仿宋"/>
          <w:b w:val="0"/>
          <w:color w:val="auto"/>
          <w:sz w:val="24"/>
          <w:szCs w:val="24"/>
          <w:highlight w:val="none"/>
        </w:rPr>
        <w:fldChar w:fldCharType="begin"/>
      </w:r>
      <w:r>
        <w:rPr>
          <w:rFonts w:hint="eastAsia" w:ascii="宋体" w:hAnsi="宋体" w:cs="仿宋"/>
          <w:b w:val="0"/>
          <w:color w:val="auto"/>
          <w:sz w:val="24"/>
          <w:szCs w:val="24"/>
          <w:highlight w:val="none"/>
        </w:rPr>
        <w:instrText xml:space="preserve"> TOC \o "1-3" \h \z \u </w:instrText>
      </w:r>
      <w:r>
        <w:rPr>
          <w:rFonts w:hint="eastAsia" w:ascii="宋体" w:hAnsi="宋体" w:cs="仿宋"/>
          <w:b w:val="0"/>
          <w:color w:val="auto"/>
          <w:sz w:val="24"/>
          <w:szCs w:val="24"/>
          <w:highlight w:val="none"/>
        </w:rPr>
        <w:fldChar w:fldCharType="separate"/>
      </w:r>
      <w:r>
        <w:rPr>
          <w:color w:val="auto"/>
          <w:highlight w:val="none"/>
        </w:rPr>
        <w:fldChar w:fldCharType="begin"/>
      </w:r>
      <w:r>
        <w:rPr>
          <w:color w:val="auto"/>
          <w:highlight w:val="none"/>
        </w:rPr>
        <w:instrText xml:space="preserve"> HYPERLINK \l "_Toc46404607" </w:instrText>
      </w:r>
      <w:r>
        <w:rPr>
          <w:color w:val="auto"/>
          <w:highlight w:val="none"/>
        </w:rPr>
        <w:fldChar w:fldCharType="separate"/>
      </w:r>
      <w:r>
        <w:rPr>
          <w:rStyle w:val="44"/>
          <w:rFonts w:cs="宋体" w:asciiTheme="minorEastAsia" w:hAnsiTheme="minorEastAsia"/>
          <w:color w:val="auto"/>
          <w:sz w:val="24"/>
          <w:szCs w:val="24"/>
          <w:highlight w:val="none"/>
        </w:rPr>
        <w:t>第一章  竞争性谈判公告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_Toc46404607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26"/>
        <w:tabs>
          <w:tab w:val="right" w:leader="dot" w:pos="9402"/>
        </w:tabs>
        <w:spacing w:line="440" w:lineRule="exact"/>
        <w:rPr>
          <w:rFonts w:asciiTheme="minorHAnsi" w:hAnsiTheme="minorHAnsi"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"_Toc46404608" </w:instrText>
      </w:r>
      <w:r>
        <w:rPr>
          <w:color w:val="auto"/>
          <w:highlight w:val="none"/>
        </w:rPr>
        <w:fldChar w:fldCharType="separate"/>
      </w:r>
      <w:r>
        <w:rPr>
          <w:rStyle w:val="44"/>
          <w:rFonts w:ascii="宋体" w:hAnsi="宋体"/>
          <w:color w:val="auto"/>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_Toc46404608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"_Toc46404609" </w:instrText>
      </w:r>
      <w:r>
        <w:rPr>
          <w:color w:val="auto"/>
          <w:highlight w:val="none"/>
        </w:rPr>
        <w:fldChar w:fldCharType="separate"/>
      </w:r>
      <w:r>
        <w:rPr>
          <w:rStyle w:val="44"/>
          <w:rFonts w:ascii="宋体" w:hAnsi="宋体"/>
          <w:color w:val="auto"/>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_Toc46404609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"_Toc46404610" </w:instrText>
      </w:r>
      <w:r>
        <w:rPr>
          <w:color w:val="auto"/>
          <w:highlight w:val="none"/>
        </w:rPr>
        <w:fldChar w:fldCharType="separate"/>
      </w:r>
      <w:r>
        <w:rPr>
          <w:rStyle w:val="44"/>
          <w:rFonts w:ascii="宋体" w:hAnsi="宋体"/>
          <w:color w:val="auto"/>
          <w:sz w:val="24"/>
          <w:szCs w:val="24"/>
          <w:highlight w:val="none"/>
        </w:rPr>
        <w:t>一、总则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_Toc46404610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"_Toc46404611" </w:instrText>
      </w:r>
      <w:r>
        <w:rPr>
          <w:color w:val="auto"/>
          <w:highlight w:val="none"/>
        </w:rPr>
        <w:fldChar w:fldCharType="separate"/>
      </w:r>
      <w:r>
        <w:rPr>
          <w:rStyle w:val="44"/>
          <w:rFonts w:ascii="宋体" w:hAnsi="宋体"/>
          <w:color w:val="auto"/>
          <w:sz w:val="24"/>
          <w:szCs w:val="24"/>
          <w:highlight w:val="none"/>
        </w:rPr>
        <w:t>二、竞争性谈判文件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_Toc46404611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"_Toc46404612" </w:instrText>
      </w:r>
      <w:r>
        <w:rPr>
          <w:color w:val="auto"/>
          <w:highlight w:val="none"/>
        </w:rPr>
        <w:fldChar w:fldCharType="separate"/>
      </w:r>
      <w:r>
        <w:rPr>
          <w:rStyle w:val="44"/>
          <w:rFonts w:ascii="宋体" w:hAnsi="宋体"/>
          <w:color w:val="auto"/>
          <w:sz w:val="24"/>
          <w:szCs w:val="24"/>
          <w:highlight w:val="none"/>
        </w:rPr>
        <w:t>三、响应文件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_Toc46404612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"_Toc46404613" </w:instrText>
      </w:r>
      <w:r>
        <w:rPr>
          <w:color w:val="auto"/>
          <w:highlight w:val="none"/>
        </w:rPr>
        <w:fldChar w:fldCharType="separate"/>
      </w:r>
      <w:r>
        <w:rPr>
          <w:rStyle w:val="44"/>
          <w:rFonts w:ascii="宋体" w:hAnsi="宋体"/>
          <w:color w:val="auto"/>
          <w:sz w:val="24"/>
          <w:szCs w:val="24"/>
          <w:highlight w:val="none"/>
        </w:rPr>
        <w:t>四、谈判与评审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_Toc46404613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"_Toc46404614" </w:instrText>
      </w:r>
      <w:r>
        <w:rPr>
          <w:color w:val="auto"/>
          <w:highlight w:val="none"/>
        </w:rPr>
        <w:fldChar w:fldCharType="separate"/>
      </w:r>
      <w:r>
        <w:rPr>
          <w:rStyle w:val="44"/>
          <w:rFonts w:ascii="宋体" w:hAnsi="宋体"/>
          <w:color w:val="auto"/>
          <w:sz w:val="24"/>
          <w:szCs w:val="24"/>
          <w:highlight w:val="none"/>
        </w:rPr>
        <w:t>五、评审结果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_Toc46404614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"_Toc46404615" </w:instrText>
      </w:r>
      <w:r>
        <w:rPr>
          <w:color w:val="auto"/>
          <w:highlight w:val="none"/>
        </w:rPr>
        <w:fldChar w:fldCharType="separate"/>
      </w:r>
      <w:r>
        <w:rPr>
          <w:rStyle w:val="44"/>
          <w:rFonts w:ascii="宋体" w:hAnsi="宋体"/>
          <w:color w:val="auto"/>
          <w:sz w:val="24"/>
          <w:szCs w:val="24"/>
          <w:highlight w:val="none"/>
        </w:rPr>
        <w:t>六、合同授予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_Toc46404615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"_Toc46404616" </w:instrText>
      </w:r>
      <w:r>
        <w:rPr>
          <w:color w:val="auto"/>
          <w:highlight w:val="none"/>
        </w:rPr>
        <w:fldChar w:fldCharType="separate"/>
      </w:r>
      <w:r>
        <w:rPr>
          <w:rStyle w:val="44"/>
          <w:rFonts w:ascii="宋体" w:hAnsi="宋体"/>
          <w:color w:val="auto"/>
          <w:sz w:val="24"/>
          <w:szCs w:val="24"/>
          <w:highlight w:val="none"/>
        </w:rPr>
        <w:t>七、其他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_Toc46404616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pPr>
        <w:pStyle w:val="26"/>
        <w:tabs>
          <w:tab w:val="right" w:leader="dot" w:pos="9402"/>
        </w:tabs>
        <w:spacing w:line="440" w:lineRule="exact"/>
        <w:rPr>
          <w:rFonts w:asciiTheme="minorHAnsi" w:hAnsiTheme="minorHAnsi"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"_Toc46404617" </w:instrText>
      </w:r>
      <w:r>
        <w:rPr>
          <w:color w:val="auto"/>
          <w:highlight w:val="none"/>
        </w:rPr>
        <w:fldChar w:fldCharType="separate"/>
      </w:r>
      <w:r>
        <w:rPr>
          <w:rStyle w:val="44"/>
          <w:rFonts w:ascii="宋体" w:hAnsi="宋体"/>
          <w:color w:val="auto"/>
          <w:sz w:val="24"/>
          <w:szCs w:val="24"/>
          <w:highlight w:val="none"/>
        </w:rPr>
        <w:t>第三章  项目采购需求和说明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_Toc46404617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pPr>
        <w:pStyle w:val="26"/>
        <w:tabs>
          <w:tab w:val="right" w:leader="dot" w:pos="9402"/>
        </w:tabs>
        <w:spacing w:line="440" w:lineRule="exact"/>
        <w:rPr>
          <w:rFonts w:asciiTheme="minorHAnsi" w:hAnsiTheme="minorHAnsi"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"_Toc46404618" </w:instrText>
      </w:r>
      <w:r>
        <w:rPr>
          <w:color w:val="auto"/>
          <w:highlight w:val="none"/>
        </w:rPr>
        <w:fldChar w:fldCharType="separate"/>
      </w:r>
      <w:r>
        <w:rPr>
          <w:rStyle w:val="44"/>
          <w:rFonts w:ascii="宋体" w:hAnsi="宋体"/>
          <w:color w:val="auto"/>
          <w:sz w:val="24"/>
          <w:szCs w:val="24"/>
          <w:highlight w:val="none"/>
        </w:rPr>
        <w:t>第四章  评审方法及评审标准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_Toc46404618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"_Toc46404619" </w:instrText>
      </w:r>
      <w:r>
        <w:rPr>
          <w:color w:val="auto"/>
          <w:highlight w:val="none"/>
        </w:rPr>
        <w:fldChar w:fldCharType="separate"/>
      </w:r>
      <w:r>
        <w:rPr>
          <w:rStyle w:val="44"/>
          <w:rFonts w:ascii="宋体" w:hAnsi="宋体" w:cs="Arial"/>
          <w:b/>
          <w:bCs/>
          <w:color w:val="auto"/>
          <w:sz w:val="24"/>
          <w:szCs w:val="24"/>
          <w:highlight w:val="none"/>
        </w:rPr>
        <w:t>一、评审原则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_Toc46404619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"_Toc46404620" </w:instrText>
      </w:r>
      <w:r>
        <w:rPr>
          <w:color w:val="auto"/>
          <w:highlight w:val="none"/>
        </w:rPr>
        <w:fldChar w:fldCharType="separate"/>
      </w:r>
      <w:r>
        <w:rPr>
          <w:rStyle w:val="44"/>
          <w:rFonts w:ascii="宋体" w:hAnsi="宋体" w:cs="Arial"/>
          <w:b/>
          <w:bCs/>
          <w:color w:val="auto"/>
          <w:sz w:val="24"/>
          <w:szCs w:val="24"/>
          <w:highlight w:val="none"/>
        </w:rPr>
        <w:t>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_Toc46404620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color w:val="auto"/>
          <w:sz w:val="24"/>
          <w:szCs w:val="24"/>
          <w:highlight w:val="none"/>
        </w:rPr>
        <w:fldChar w:fldCharType="end"/>
      </w:r>
    </w:p>
    <w:p>
      <w:pPr>
        <w:pStyle w:val="31"/>
        <w:tabs>
          <w:tab w:val="right" w:leader="dot" w:pos="9402"/>
        </w:tabs>
        <w:spacing w:line="440" w:lineRule="exact"/>
        <w:rPr>
          <w:rFonts w:asciiTheme="minorHAnsi" w:hAnsiTheme="minorHAnsi" w:eastAsiaTheme="minorEastAsia" w:cstheme="minorBidi"/>
          <w:smallCaps w:val="0"/>
          <w:color w:val="auto"/>
          <w:sz w:val="24"/>
          <w:szCs w:val="24"/>
          <w:highlight w:val="none"/>
        </w:rPr>
      </w:pPr>
      <w:r>
        <w:rPr>
          <w:color w:val="auto"/>
          <w:highlight w:val="none"/>
        </w:rPr>
        <w:fldChar w:fldCharType="begin"/>
      </w:r>
      <w:r>
        <w:rPr>
          <w:color w:val="auto"/>
          <w:highlight w:val="none"/>
        </w:rPr>
        <w:instrText xml:space="preserve"> HYPERLINK \l "_Toc46404621" </w:instrText>
      </w:r>
      <w:r>
        <w:rPr>
          <w:color w:val="auto"/>
          <w:highlight w:val="none"/>
        </w:rPr>
        <w:fldChar w:fldCharType="separate"/>
      </w:r>
      <w:r>
        <w:rPr>
          <w:rStyle w:val="44"/>
          <w:rFonts w:ascii="宋体" w:hAnsi="宋体" w:cs="Arial"/>
          <w:b/>
          <w:bCs/>
          <w:color w:val="auto"/>
          <w:sz w:val="24"/>
          <w:szCs w:val="24"/>
          <w:highlight w:val="none"/>
        </w:rPr>
        <w:t>三、确定成交供应商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_Toc46404621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pPr>
        <w:pStyle w:val="26"/>
        <w:tabs>
          <w:tab w:val="right" w:leader="dot" w:pos="9402"/>
        </w:tabs>
        <w:spacing w:line="440" w:lineRule="exact"/>
        <w:rPr>
          <w:rFonts w:asciiTheme="minorHAnsi" w:hAnsiTheme="minorHAnsi"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"_Toc46404622" </w:instrText>
      </w:r>
      <w:r>
        <w:rPr>
          <w:color w:val="auto"/>
          <w:highlight w:val="none"/>
        </w:rPr>
        <w:fldChar w:fldCharType="separate"/>
      </w:r>
      <w:r>
        <w:rPr>
          <w:rStyle w:val="44"/>
          <w:rFonts w:ascii="宋体" w:hAnsi="宋体"/>
          <w:color w:val="auto"/>
          <w:sz w:val="24"/>
          <w:szCs w:val="24"/>
          <w:highlight w:val="none"/>
        </w:rPr>
        <w:t>第五章  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_Toc46404622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pPr>
        <w:pStyle w:val="26"/>
        <w:tabs>
          <w:tab w:val="right" w:leader="dot" w:pos="9402"/>
        </w:tabs>
        <w:spacing w:line="440" w:lineRule="exact"/>
        <w:rPr>
          <w:rFonts w:asciiTheme="minorHAnsi" w:hAnsiTheme="minorHAnsi"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"_Toc46404623" </w:instrText>
      </w:r>
      <w:r>
        <w:rPr>
          <w:color w:val="auto"/>
          <w:highlight w:val="none"/>
        </w:rPr>
        <w:fldChar w:fldCharType="separate"/>
      </w:r>
      <w:r>
        <w:rPr>
          <w:rStyle w:val="44"/>
          <w:rFonts w:ascii="宋体" w:hAnsi="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_Toc46404623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pPr>
        <w:spacing w:line="440" w:lineRule="exact"/>
        <w:ind w:firstLine="240" w:firstLineChars="100"/>
        <w:rPr>
          <w:rFonts w:ascii="宋体" w:hAnsi="宋体" w:eastAsia="宋体"/>
          <w:color w:val="auto"/>
          <w:sz w:val="20"/>
          <w:szCs w:val="20"/>
          <w:highlight w:val="none"/>
        </w:rPr>
        <w:sectPr>
          <w:headerReference r:id="rId10" w:type="first"/>
          <w:footerReference r:id="rId11" w:type="first"/>
          <w:pgSz w:w="11907" w:h="16840"/>
          <w:pgMar w:top="1077" w:right="1418" w:bottom="1418" w:left="1077" w:header="624" w:footer="737" w:gutter="0"/>
          <w:pgNumType w:start="1"/>
          <w:cols w:space="720" w:num="1"/>
          <w:docGrid w:linePitch="312" w:charSpace="0"/>
        </w:sectPr>
      </w:pPr>
      <w:r>
        <w:rPr>
          <w:rFonts w:hint="eastAsia" w:ascii="宋体" w:hAnsi="宋体" w:eastAsia="宋体" w:cs="仿宋"/>
          <w:bCs/>
          <w:color w:val="auto"/>
          <w:sz w:val="24"/>
          <w:szCs w:val="24"/>
          <w:highlight w:val="none"/>
        </w:rPr>
        <w:fldChar w:fldCharType="end"/>
      </w:r>
    </w:p>
    <w:bookmarkEnd w:id="0"/>
    <w:bookmarkEnd w:id="1"/>
    <w:bookmarkEnd w:id="2"/>
    <w:p>
      <w:pPr>
        <w:spacing w:after="0" w:line="500" w:lineRule="exact"/>
        <w:jc w:val="center"/>
        <w:outlineLvl w:val="0"/>
        <w:rPr>
          <w:rFonts w:cs="宋体" w:asciiTheme="minorEastAsia" w:hAnsiTheme="minorEastAsia" w:eastAsiaTheme="minorEastAsia"/>
          <w:b/>
          <w:bCs/>
          <w:color w:val="auto"/>
          <w:sz w:val="32"/>
          <w:szCs w:val="32"/>
          <w:highlight w:val="none"/>
        </w:rPr>
      </w:pPr>
      <w:bookmarkStart w:id="3" w:name="_Toc46404607"/>
      <w:bookmarkStart w:id="4" w:name="_Toc246095514"/>
      <w:bookmarkStart w:id="5" w:name="_Toc246094908"/>
      <w:bookmarkStart w:id="6" w:name="_Toc246095452"/>
      <w:r>
        <w:rPr>
          <w:rFonts w:hint="eastAsia" w:cs="宋体" w:asciiTheme="minorEastAsia" w:hAnsiTheme="minorEastAsia" w:eastAsiaTheme="minorEastAsia"/>
          <w:b/>
          <w:bCs/>
          <w:color w:val="auto"/>
          <w:sz w:val="32"/>
          <w:szCs w:val="32"/>
          <w:highlight w:val="none"/>
        </w:rPr>
        <w:t>第一章 竞争性谈判公告</w:t>
      </w:r>
      <w:bookmarkEnd w:id="3"/>
    </w:p>
    <w:p>
      <w:pPr>
        <w:pStyle w:val="36"/>
        <w:ind w:left="0" w:leftChars="0" w:firstLine="0" w:firstLineChars="0"/>
        <w:jc w:val="center"/>
        <w:rPr>
          <w:rFonts w:ascii="宋体"/>
          <w:b/>
          <w:color w:val="auto"/>
          <w:szCs w:val="28"/>
          <w:highlight w:val="none"/>
        </w:rPr>
      </w:pPr>
      <w:r>
        <w:rPr>
          <w:rFonts w:hint="eastAsia" w:ascii="宋体"/>
          <w:b/>
          <w:color w:val="auto"/>
          <w:szCs w:val="28"/>
          <w:highlight w:val="none"/>
        </w:rPr>
        <w:t>广西睿翼工程咨询有限公司</w:t>
      </w:r>
    </w:p>
    <w:p>
      <w:pPr>
        <w:pStyle w:val="36"/>
        <w:ind w:left="0" w:leftChars="0" w:firstLine="0" w:firstLineChars="0"/>
        <w:jc w:val="center"/>
        <w:rPr>
          <w:rFonts w:ascii="宋体" w:cs="宋体"/>
          <w:color w:val="auto"/>
          <w:sz w:val="24"/>
          <w:highlight w:val="none"/>
        </w:rPr>
      </w:pPr>
      <w:r>
        <w:rPr>
          <w:rFonts w:hint="eastAsia" w:ascii="宋体"/>
          <w:b/>
          <w:color w:val="auto"/>
          <w:szCs w:val="28"/>
          <w:highlight w:val="none"/>
          <w:lang w:eastAsia="zh-CN"/>
        </w:rPr>
        <w:t>大化瑶族自治县2021年农村饮水维修养护热镀锌钢管采购</w:t>
      </w:r>
      <w:r>
        <w:rPr>
          <w:rFonts w:hint="eastAsia" w:ascii="宋体"/>
          <w:b/>
          <w:color w:val="auto"/>
          <w:szCs w:val="28"/>
          <w:highlight w:val="none"/>
        </w:rPr>
        <w:t>竞争性谈判公告</w:t>
      </w:r>
    </w:p>
    <w:p>
      <w:pPr>
        <w:widowControl w:val="0"/>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u w:val="single"/>
          <w:lang w:eastAsia="zh-CN"/>
        </w:rPr>
        <w:t>大化瑶族自治县2021年农村饮水维修养护热镀锌钢管采购</w:t>
      </w:r>
      <w:r>
        <w:rPr>
          <w:rFonts w:hint="eastAsia" w:ascii="宋体" w:hAnsi="宋体" w:eastAsia="宋体" w:cs="宋体"/>
          <w:color w:val="auto"/>
          <w:sz w:val="24"/>
          <w:szCs w:val="24"/>
          <w:highlight w:val="none"/>
        </w:rPr>
        <w:t>项目的潜在供应商应在全国公共资源交易平台(广西.河池)（http://ggzy.jgswj.gxzf.gov.cn/hcggzy）及政府采购云平台（https://login.zcygov.cn）</w:t>
      </w:r>
      <w:r>
        <w:rPr>
          <w:rFonts w:hint="eastAsia" w:ascii="宋体" w:hAnsi="宋体" w:eastAsia="宋体" w:cs="宋体"/>
          <w:color w:val="auto"/>
          <w:sz w:val="24"/>
          <w:szCs w:val="24"/>
          <w:highlight w:val="none"/>
          <w:lang w:eastAsia="zh-CN"/>
        </w:rPr>
        <w:t>登录或</w:t>
      </w:r>
      <w:r>
        <w:rPr>
          <w:rFonts w:hint="eastAsia" w:ascii="宋体" w:hAnsi="宋体" w:eastAsia="宋体" w:cs="宋体"/>
          <w:color w:val="auto"/>
          <w:sz w:val="24"/>
          <w:szCs w:val="24"/>
          <w:highlight w:val="none"/>
        </w:rPr>
        <w:t>注册并获取采购文件，并于</w:t>
      </w:r>
      <w:r>
        <w:rPr>
          <w:rFonts w:hint="eastAsia" w:ascii="宋体" w:hAnsi="宋体" w:eastAsia="宋体" w:cs="宋体"/>
          <w:color w:val="auto"/>
          <w:sz w:val="24"/>
          <w:szCs w:val="24"/>
          <w:highlight w:val="none"/>
          <w:u w:val="single"/>
        </w:rPr>
        <w:t>2021年</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09</w:t>
      </w:r>
      <w:r>
        <w:rPr>
          <w:rFonts w:hint="eastAsia" w:ascii="宋体" w:hAnsi="宋体" w:eastAsia="宋体" w:cs="宋体"/>
          <w:color w:val="auto"/>
          <w:sz w:val="24"/>
          <w:szCs w:val="24"/>
          <w:highlight w:val="none"/>
          <w:u w:val="single"/>
        </w:rPr>
        <w:t>点00分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spacing w:after="0" w:line="400" w:lineRule="exact"/>
        <w:rPr>
          <w:rFonts w:ascii="宋体" w:hAnsi="宋体" w:eastAsia="宋体" w:cs="宋体"/>
          <w:color w:val="auto"/>
          <w:sz w:val="24"/>
          <w:szCs w:val="24"/>
          <w:highlight w:val="none"/>
        </w:rPr>
      </w:pPr>
      <w:bookmarkStart w:id="7" w:name="_Toc28359089"/>
      <w:bookmarkStart w:id="8" w:name="_Toc35393798"/>
      <w:bookmarkStart w:id="9" w:name="_Toc35393629"/>
      <w:bookmarkStart w:id="10" w:name="_Toc28359012"/>
      <w:r>
        <w:rPr>
          <w:rFonts w:hint="eastAsia" w:ascii="宋体" w:hAnsi="宋体" w:eastAsia="宋体" w:cs="宋体"/>
          <w:color w:val="auto"/>
          <w:sz w:val="24"/>
          <w:szCs w:val="24"/>
          <w:highlight w:val="none"/>
        </w:rPr>
        <w:t>一、项目基本情况</w:t>
      </w:r>
      <w:bookmarkEnd w:id="7"/>
      <w:bookmarkEnd w:id="8"/>
      <w:bookmarkEnd w:id="9"/>
      <w:bookmarkEnd w:id="10"/>
    </w:p>
    <w:p>
      <w:pPr>
        <w:widowControl w:val="0"/>
        <w:spacing w:after="0"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HCZC2021-J1-290251-GXRY</w:t>
      </w:r>
    </w:p>
    <w:p>
      <w:pPr>
        <w:widowControl w:val="0"/>
        <w:spacing w:after="0" w:line="40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大化瑶族自治县2021年农村饮水维修养护热镀锌钢管采购</w:t>
      </w:r>
    </w:p>
    <w:p>
      <w:pPr>
        <w:widowControl w:val="0"/>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w:t>
      </w:r>
    </w:p>
    <w:p>
      <w:pPr>
        <w:widowControl w:val="0"/>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预算金额：人民币1019134.35元</w:t>
      </w:r>
    </w:p>
    <w:p>
      <w:pPr>
        <w:widowControl w:val="0"/>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最高限价：人民币1019134.35元</w:t>
      </w:r>
    </w:p>
    <w:p>
      <w:pPr>
        <w:widowControl w:val="0"/>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38"/>
        <w:tblW w:w="946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46"/>
        <w:gridCol w:w="5145"/>
        <w:gridCol w:w="1629"/>
        <w:gridCol w:w="16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10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1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6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采购数量（m）</w:t>
            </w:r>
          </w:p>
        </w:tc>
        <w:tc>
          <w:tcPr>
            <w:tcW w:w="16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壁厚(mm)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φ20国标热镀锌钢管</w:t>
            </w:r>
          </w:p>
        </w:tc>
        <w:tc>
          <w:tcPr>
            <w:tcW w:w="1629"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7915</w:t>
            </w:r>
          </w:p>
        </w:tc>
        <w:tc>
          <w:tcPr>
            <w:tcW w:w="164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φ25国标热镀锌钢管</w:t>
            </w:r>
          </w:p>
        </w:tc>
        <w:tc>
          <w:tcPr>
            <w:tcW w:w="1629"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164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φ32国标热镀锌钢管</w:t>
            </w:r>
          </w:p>
        </w:tc>
        <w:tc>
          <w:tcPr>
            <w:tcW w:w="1629"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8020</w:t>
            </w:r>
          </w:p>
        </w:tc>
        <w:tc>
          <w:tcPr>
            <w:tcW w:w="164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φ40国标热镀锌钢管</w:t>
            </w:r>
          </w:p>
        </w:tc>
        <w:tc>
          <w:tcPr>
            <w:tcW w:w="1629"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5610</w:t>
            </w:r>
          </w:p>
        </w:tc>
        <w:tc>
          <w:tcPr>
            <w:tcW w:w="164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1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φ50国标热镀锌钢管</w:t>
            </w:r>
          </w:p>
        </w:tc>
        <w:tc>
          <w:tcPr>
            <w:tcW w:w="1629"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9874</w:t>
            </w:r>
          </w:p>
        </w:tc>
        <w:tc>
          <w:tcPr>
            <w:tcW w:w="164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0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1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φ100国标热镀锌钢管</w:t>
            </w:r>
          </w:p>
        </w:tc>
        <w:tc>
          <w:tcPr>
            <w:tcW w:w="1629" w:type="dxa"/>
            <w:tcBorders>
              <w:top w:val="nil"/>
              <w:left w:val="nil"/>
              <w:bottom w:val="single" w:color="auto" w:sz="8" w:space="0"/>
              <w:right w:val="single" w:color="auto" w:sz="8" w:space="0"/>
            </w:tcBorders>
            <w:tcMar>
              <w:top w:w="0" w:type="dxa"/>
              <w:left w:w="108" w:type="dxa"/>
              <w:bottom w:w="0" w:type="dxa"/>
              <w:right w:w="108" w:type="dxa"/>
            </w:tcMar>
            <w:vAlign w:val="bottom"/>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w:t>
            </w:r>
          </w:p>
        </w:tc>
        <w:tc>
          <w:tcPr>
            <w:tcW w:w="164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p>
        </w:tc>
      </w:tr>
    </w:tbl>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合同履行期限：签订合同后 15 日历日内。</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w:t>
      </w:r>
    </w:p>
    <w:p>
      <w:pPr>
        <w:spacing w:after="0" w:line="440" w:lineRule="exact"/>
        <w:rPr>
          <w:rFonts w:ascii="宋体" w:hAnsi="宋体" w:eastAsia="宋体" w:cs="宋体"/>
          <w:b/>
          <w:bCs/>
          <w:color w:val="auto"/>
          <w:sz w:val="24"/>
          <w:szCs w:val="24"/>
          <w:highlight w:val="none"/>
        </w:rPr>
      </w:pPr>
      <w:bookmarkStart w:id="11" w:name="_Toc35393799"/>
      <w:bookmarkStart w:id="12" w:name="_Toc28359090"/>
      <w:bookmarkStart w:id="13" w:name="_Toc35393630"/>
      <w:bookmarkStart w:id="14" w:name="_Toc28359013"/>
      <w:r>
        <w:rPr>
          <w:rFonts w:hint="eastAsia" w:ascii="宋体" w:hAnsi="宋体" w:eastAsia="宋体" w:cs="宋体"/>
          <w:b/>
          <w:bCs/>
          <w:color w:val="auto"/>
          <w:sz w:val="24"/>
          <w:szCs w:val="24"/>
          <w:highlight w:val="none"/>
        </w:rPr>
        <w:t>二、申请人的资格要求：</w:t>
      </w:r>
      <w:bookmarkEnd w:id="11"/>
      <w:bookmarkEnd w:id="12"/>
      <w:bookmarkEnd w:id="13"/>
      <w:bookmarkEnd w:id="14"/>
    </w:p>
    <w:p>
      <w:pPr>
        <w:widowControl w:val="0"/>
        <w:spacing w:after="0" w:line="440" w:lineRule="exact"/>
        <w:ind w:firstLine="439" w:firstLineChars="1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spacing w:after="0" w:line="440" w:lineRule="exact"/>
        <w:ind w:firstLine="439" w:firstLineChars="183"/>
        <w:rPr>
          <w:rFonts w:ascii="宋体" w:hAnsi="宋体" w:eastAsia="宋体" w:cs="宋体"/>
          <w:color w:val="auto"/>
          <w:sz w:val="24"/>
          <w:szCs w:val="24"/>
          <w:highlight w:val="none"/>
        </w:rPr>
      </w:pPr>
      <w:bookmarkStart w:id="15" w:name="_Toc28359014"/>
      <w:bookmarkStart w:id="16" w:name="_Toc28359091"/>
      <w:r>
        <w:rPr>
          <w:rFonts w:hint="eastAsia" w:ascii="宋体" w:hAnsi="宋体" w:eastAsia="宋体" w:cs="宋体"/>
          <w:color w:val="auto"/>
          <w:sz w:val="24"/>
          <w:szCs w:val="24"/>
          <w:highlight w:val="none"/>
        </w:rPr>
        <w:t>2.落实政府采购政策需满足的资格要求：本项目非专门面向中小企业采购的项目。</w:t>
      </w:r>
    </w:p>
    <w:p>
      <w:pPr>
        <w:widowControl w:val="0"/>
        <w:spacing w:after="0" w:line="440" w:lineRule="exact"/>
        <w:ind w:firstLine="439" w:firstLineChars="1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无</w:t>
      </w:r>
      <w:r>
        <w:rPr>
          <w:rFonts w:hint="eastAsia" w:ascii="宋体" w:hAnsi="宋体" w:eastAsia="宋体" w:cs="宋体"/>
          <w:b/>
          <w:bCs/>
          <w:color w:val="auto"/>
          <w:sz w:val="24"/>
          <w:szCs w:val="24"/>
          <w:highlight w:val="none"/>
        </w:rPr>
        <w:t>；</w:t>
      </w:r>
    </w:p>
    <w:p>
      <w:pPr>
        <w:pStyle w:val="22"/>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2"/>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本项目不接受未按竞争性谈判公告要求获取采购文件的供应商谈判。</w:t>
      </w:r>
    </w:p>
    <w:p>
      <w:pPr>
        <w:spacing w:line="440" w:lineRule="exact"/>
        <w:rPr>
          <w:rFonts w:ascii="宋体" w:hAnsi="宋体" w:eastAsia="宋体" w:cs="宋体"/>
          <w:b/>
          <w:bCs/>
          <w:color w:val="auto"/>
          <w:sz w:val="24"/>
          <w:szCs w:val="24"/>
          <w:highlight w:val="none"/>
        </w:rPr>
      </w:pPr>
      <w:bookmarkStart w:id="17" w:name="_Toc35393800"/>
      <w:bookmarkStart w:id="18" w:name="_Toc35393631"/>
      <w:r>
        <w:rPr>
          <w:rFonts w:hint="eastAsia" w:ascii="宋体" w:hAnsi="宋体" w:eastAsia="宋体" w:cs="宋体"/>
          <w:b/>
          <w:bCs/>
          <w:color w:val="auto"/>
          <w:sz w:val="24"/>
          <w:szCs w:val="24"/>
          <w:highlight w:val="none"/>
        </w:rPr>
        <w:t>三、获取采购文件</w:t>
      </w:r>
      <w:bookmarkEnd w:id="15"/>
      <w:bookmarkEnd w:id="16"/>
      <w:bookmarkEnd w:id="17"/>
      <w:bookmarkEnd w:id="18"/>
    </w:p>
    <w:p>
      <w:pPr>
        <w:widowControl w:val="0"/>
        <w:spacing w:after="0"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自本公告发布之时起</w:t>
      </w:r>
      <w:r>
        <w:rPr>
          <w:rFonts w:hint="eastAsia" w:ascii="宋体" w:hAnsi="宋体" w:eastAsia="宋体" w:cs="宋体"/>
          <w:color w:val="auto"/>
          <w:sz w:val="24"/>
          <w:szCs w:val="24"/>
          <w:highlight w:val="none"/>
        </w:rPr>
        <w:t>至响应文件递交截止时间前，每天上午</w:t>
      </w:r>
      <w:r>
        <w:rPr>
          <w:rFonts w:hint="eastAsia" w:ascii="宋体" w:hAnsi="宋体" w:eastAsia="宋体" w:cs="宋体"/>
          <w:color w:val="auto"/>
          <w:sz w:val="24"/>
          <w:szCs w:val="24"/>
          <w:highlight w:val="none"/>
          <w:u w:val="single"/>
        </w:rPr>
        <w:t>9：00时</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12：00时</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rPr>
        <w:t>15：00时</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18：00时</w:t>
      </w:r>
      <w:r>
        <w:rPr>
          <w:rFonts w:hint="eastAsia" w:ascii="宋体" w:hAnsi="宋体" w:eastAsia="宋体" w:cs="宋体"/>
          <w:color w:val="auto"/>
          <w:sz w:val="24"/>
          <w:szCs w:val="24"/>
          <w:highlight w:val="none"/>
        </w:rPr>
        <w:t>（北京时间，法定节假日除外）</w:t>
      </w:r>
    </w:p>
    <w:p>
      <w:pPr>
        <w:widowControl w:val="0"/>
        <w:spacing w:after="0"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地点：全国公共资源交易平台(广西.河池)（http://ggzy.jgswj.gxzf.gov.cn/hcggzy）、政府采购</w:t>
      </w:r>
      <w:r>
        <w:rPr>
          <w:rFonts w:hint="eastAsia" w:ascii="宋体" w:hAnsi="宋体" w:eastAsia="宋体" w:cs="宋体"/>
          <w:color w:val="auto"/>
          <w:sz w:val="24"/>
          <w:szCs w:val="24"/>
          <w:highlight w:val="none"/>
          <w:lang w:eastAsia="zh-CN"/>
        </w:rPr>
        <w:t>云</w:t>
      </w:r>
      <w:r>
        <w:rPr>
          <w:rFonts w:hint="eastAsia" w:ascii="宋体" w:hAnsi="宋体" w:eastAsia="宋体" w:cs="宋体"/>
          <w:color w:val="auto"/>
          <w:sz w:val="24"/>
          <w:szCs w:val="24"/>
          <w:highlight w:val="none"/>
        </w:rPr>
        <w:t>平台（ https：//login.zcygov.cn）</w:t>
      </w:r>
    </w:p>
    <w:p>
      <w:pPr>
        <w:widowControl w:val="0"/>
        <w:spacing w:after="0"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方式：自本公告发布之时起至响应文件递交截止时间前应在全国公共资源交易平台(广西.河池)（http://ggzy.jgswj.gxzf.gov.cn/hcggzy）及政府采购云平台（http://www.zcygov.cn/）</w:t>
      </w:r>
      <w:r>
        <w:rPr>
          <w:rFonts w:hint="eastAsia" w:ascii="宋体" w:hAnsi="宋体" w:eastAsia="宋体" w:cs="宋体"/>
          <w:color w:val="auto"/>
          <w:sz w:val="24"/>
          <w:szCs w:val="24"/>
          <w:highlight w:val="none"/>
          <w:lang w:eastAsia="zh-CN"/>
        </w:rPr>
        <w:t>登录或</w:t>
      </w:r>
      <w:r>
        <w:rPr>
          <w:rFonts w:hint="eastAsia" w:ascii="宋体" w:hAnsi="宋体" w:eastAsia="宋体" w:cs="宋体"/>
          <w:color w:val="auto"/>
          <w:sz w:val="24"/>
          <w:szCs w:val="24"/>
          <w:highlight w:val="none"/>
        </w:rPr>
        <w:t>注册获取竞争性谈判文件。</w:t>
      </w:r>
    </w:p>
    <w:p>
      <w:pPr>
        <w:widowControl w:val="0"/>
        <w:spacing w:after="0"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pPr>
        <w:spacing w:line="440" w:lineRule="exact"/>
        <w:rPr>
          <w:rFonts w:ascii="宋体" w:hAnsi="宋体" w:eastAsia="宋体" w:cs="宋体"/>
          <w:b/>
          <w:bCs/>
          <w:color w:val="auto"/>
          <w:sz w:val="24"/>
          <w:szCs w:val="24"/>
          <w:highlight w:val="none"/>
        </w:rPr>
      </w:pPr>
      <w:bookmarkStart w:id="19" w:name="_Toc35393632"/>
      <w:bookmarkStart w:id="20" w:name="_Toc35393801"/>
      <w:bookmarkStart w:id="21" w:name="_Toc28359015"/>
      <w:bookmarkStart w:id="22" w:name="_Toc28359092"/>
      <w:r>
        <w:rPr>
          <w:rFonts w:hint="eastAsia" w:ascii="宋体" w:hAnsi="宋体" w:eastAsia="宋体" w:cs="宋体"/>
          <w:b/>
          <w:bCs/>
          <w:color w:val="auto"/>
          <w:sz w:val="24"/>
          <w:szCs w:val="24"/>
          <w:highlight w:val="none"/>
        </w:rPr>
        <w:t>四、响应文件提交</w:t>
      </w:r>
      <w:bookmarkEnd w:id="19"/>
      <w:bookmarkEnd w:id="20"/>
      <w:bookmarkEnd w:id="21"/>
      <w:bookmarkEnd w:id="22"/>
    </w:p>
    <w:p>
      <w:pPr>
        <w:widowControl w:val="0"/>
        <w:spacing w:after="0" w:line="44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2021年</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u w:val="single"/>
        </w:rPr>
        <w:t>日09点00分</w:t>
      </w:r>
      <w:r>
        <w:rPr>
          <w:rFonts w:hint="eastAsia" w:ascii="宋体" w:hAnsi="宋体" w:eastAsia="宋体" w:cs="宋体"/>
          <w:bCs/>
          <w:color w:val="auto"/>
          <w:sz w:val="24"/>
          <w:szCs w:val="24"/>
          <w:highlight w:val="none"/>
        </w:rPr>
        <w:t>（北京时间），逾期送达或未密封的竞争性谈判响应文件将予以拒收（或作无效竞争性谈判响应文件处理）。</w:t>
      </w:r>
    </w:p>
    <w:p>
      <w:pPr>
        <w:widowControl w:val="0"/>
        <w:spacing w:after="0" w:line="440" w:lineRule="exact"/>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河池市公共资源交易中心开标厅【河池市金城江区江湾路2号（市工人文化宫办公大楼五楼），具体开标室见当天的电子LED大屏安排】</w:t>
      </w:r>
    </w:p>
    <w:p>
      <w:pPr>
        <w:spacing w:line="440" w:lineRule="exact"/>
        <w:rPr>
          <w:rFonts w:ascii="宋体" w:hAnsi="宋体" w:eastAsia="宋体" w:cs="宋体"/>
          <w:b/>
          <w:bCs/>
          <w:color w:val="auto"/>
          <w:sz w:val="24"/>
          <w:szCs w:val="24"/>
          <w:highlight w:val="none"/>
        </w:rPr>
      </w:pPr>
      <w:bookmarkStart w:id="23" w:name="_Toc35393802"/>
      <w:bookmarkStart w:id="24" w:name="_Toc28359093"/>
      <w:bookmarkStart w:id="25" w:name="_Toc35393633"/>
      <w:bookmarkStart w:id="26" w:name="_Toc28359016"/>
      <w:r>
        <w:rPr>
          <w:rFonts w:hint="eastAsia" w:ascii="宋体" w:hAnsi="宋体" w:eastAsia="宋体" w:cs="宋体"/>
          <w:b/>
          <w:bCs/>
          <w:color w:val="auto"/>
          <w:sz w:val="24"/>
          <w:szCs w:val="24"/>
          <w:highlight w:val="none"/>
        </w:rPr>
        <w:t>五、开启</w:t>
      </w:r>
      <w:bookmarkEnd w:id="23"/>
      <w:bookmarkEnd w:id="24"/>
      <w:bookmarkEnd w:id="25"/>
      <w:bookmarkEnd w:id="26"/>
    </w:p>
    <w:p>
      <w:pPr>
        <w:widowControl w:val="0"/>
        <w:spacing w:after="0" w:line="440" w:lineRule="exact"/>
        <w:ind w:firstLine="439" w:firstLineChars="183"/>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2021年</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u w:val="single"/>
        </w:rPr>
        <w:t>日09点00分</w:t>
      </w:r>
      <w:r>
        <w:rPr>
          <w:rFonts w:hint="eastAsia" w:ascii="宋体" w:hAnsi="宋体" w:eastAsia="宋体" w:cs="宋体"/>
          <w:bCs/>
          <w:color w:val="auto"/>
          <w:sz w:val="24"/>
          <w:szCs w:val="24"/>
          <w:highlight w:val="none"/>
        </w:rPr>
        <w:t>（北京时间）</w:t>
      </w:r>
    </w:p>
    <w:p>
      <w:pPr>
        <w:widowControl w:val="0"/>
        <w:spacing w:after="0" w:line="440" w:lineRule="exact"/>
        <w:ind w:firstLine="439" w:firstLineChars="183"/>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河池市公共资源交易中心开标厅【河池市金城江区江湾路2号（市工人文化宫办公大楼五楼），具体开标室见当天的电子LED大屏安排】</w:t>
      </w:r>
    </w:p>
    <w:p>
      <w:pPr>
        <w:spacing w:line="440" w:lineRule="exact"/>
        <w:rPr>
          <w:rFonts w:ascii="宋体" w:hAnsi="宋体" w:eastAsia="宋体" w:cs="宋体"/>
          <w:b/>
          <w:bCs/>
          <w:color w:val="auto"/>
          <w:sz w:val="24"/>
          <w:szCs w:val="24"/>
          <w:highlight w:val="none"/>
        </w:rPr>
      </w:pPr>
      <w:bookmarkStart w:id="27" w:name="_Toc28359094"/>
      <w:bookmarkStart w:id="28" w:name="_Toc28359017"/>
      <w:bookmarkStart w:id="29" w:name="_Toc35393634"/>
      <w:bookmarkStart w:id="30" w:name="_Toc35393803"/>
      <w:r>
        <w:rPr>
          <w:rFonts w:hint="eastAsia" w:ascii="宋体" w:hAnsi="宋体" w:eastAsia="宋体" w:cs="宋体"/>
          <w:b/>
          <w:bCs/>
          <w:color w:val="auto"/>
          <w:sz w:val="24"/>
          <w:szCs w:val="24"/>
          <w:highlight w:val="none"/>
        </w:rPr>
        <w:t>六、公告期限</w:t>
      </w:r>
      <w:bookmarkEnd w:id="27"/>
      <w:bookmarkEnd w:id="28"/>
      <w:bookmarkEnd w:id="29"/>
      <w:bookmarkEnd w:id="30"/>
    </w:p>
    <w:p>
      <w:pPr>
        <w:widowControl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widowControl w:val="0"/>
        <w:spacing w:line="440" w:lineRule="exact"/>
        <w:rPr>
          <w:rFonts w:ascii="宋体" w:hAnsi="宋体" w:eastAsia="宋体" w:cs="宋体"/>
          <w:b/>
          <w:bCs/>
          <w:color w:val="auto"/>
          <w:sz w:val="24"/>
          <w:szCs w:val="24"/>
          <w:highlight w:val="none"/>
        </w:rPr>
      </w:pPr>
      <w:bookmarkStart w:id="31" w:name="_Toc35393804"/>
      <w:bookmarkStart w:id="32" w:name="_Toc35393635"/>
      <w:r>
        <w:rPr>
          <w:rFonts w:hint="eastAsia" w:ascii="宋体" w:hAnsi="宋体" w:eastAsia="宋体" w:cs="宋体"/>
          <w:b/>
          <w:bCs/>
          <w:color w:val="auto"/>
          <w:sz w:val="24"/>
          <w:szCs w:val="24"/>
          <w:highlight w:val="none"/>
        </w:rPr>
        <w:t>七、其他补充事宜</w:t>
      </w:r>
      <w:bookmarkEnd w:id="31"/>
      <w:bookmarkEnd w:id="32"/>
    </w:p>
    <w:p>
      <w:pPr>
        <w:pStyle w:val="22"/>
        <w:spacing w:line="440" w:lineRule="exact"/>
        <w:ind w:firstLine="676" w:firstLineChars="282"/>
        <w:rPr>
          <w:rFonts w:ascii="宋体" w:hAnsi="宋体" w:cs="宋体"/>
          <w:color w:val="auto"/>
          <w:sz w:val="24"/>
          <w:highlight w:val="none"/>
        </w:rPr>
      </w:pPr>
      <w:r>
        <w:rPr>
          <w:rFonts w:hint="eastAsia" w:ascii="宋体" w:hAnsi="宋体" w:cs="宋体"/>
          <w:color w:val="auto"/>
          <w:sz w:val="24"/>
          <w:highlight w:val="none"/>
        </w:rPr>
        <w:t>1、采购项目需要落实的政府采购政策：</w:t>
      </w:r>
    </w:p>
    <w:p>
      <w:pPr>
        <w:pStyle w:val="22"/>
        <w:spacing w:line="440" w:lineRule="exact"/>
        <w:ind w:firstLine="439" w:firstLineChars="183"/>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政府采购促进中小企业发展管理办法</w:t>
      </w:r>
      <w:r>
        <w:rPr>
          <w:rFonts w:hint="eastAsia" w:ascii="宋体" w:hAnsi="宋体" w:cs="宋体"/>
          <w:color w:val="auto"/>
          <w:sz w:val="24"/>
          <w:highlight w:val="none"/>
        </w:rPr>
        <w:t>。（2）政府采购支持采用本国产品的政策。（3）强制采购、优先采购环境标志产品、节能产品。（4）政府采购促进残疾人就业政策。（5）政府采购支持监狱企业发展。</w:t>
      </w:r>
    </w:p>
    <w:p>
      <w:pPr>
        <w:pStyle w:val="22"/>
        <w:spacing w:line="440" w:lineRule="exact"/>
        <w:ind w:firstLine="676" w:firstLineChars="282"/>
        <w:rPr>
          <w:rFonts w:ascii="宋体" w:hAnsi="宋体" w:cs="宋体"/>
          <w:color w:val="auto"/>
          <w:sz w:val="24"/>
          <w:highlight w:val="none"/>
        </w:rPr>
      </w:pPr>
      <w:r>
        <w:rPr>
          <w:rFonts w:hint="eastAsia" w:ascii="宋体" w:hAnsi="宋体" w:cs="宋体"/>
          <w:color w:val="auto"/>
          <w:sz w:val="24"/>
          <w:highlight w:val="none"/>
        </w:rPr>
        <w:t>2、查询公告地址：</w:t>
      </w:r>
      <w:bookmarkStart w:id="33" w:name="_Toc28359095"/>
      <w:bookmarkStart w:id="34" w:name="_Toc28359018"/>
      <w:bookmarkStart w:id="35" w:name="_Toc35393636"/>
      <w:bookmarkStart w:id="36" w:name="_Toc35393805"/>
      <w:r>
        <w:rPr>
          <w:rFonts w:hint="eastAsia" w:ascii="宋体" w:hAnsi="宋体" w:cs="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4"/>
          <w:rFonts w:hint="eastAsia" w:ascii="宋体" w:hAnsi="宋体" w:cs="宋体"/>
          <w:color w:val="auto"/>
          <w:sz w:val="24"/>
          <w:highlight w:val="none"/>
        </w:rPr>
        <w:t>www.ccgp.gov.cn)、</w:t>
      </w:r>
      <w:r>
        <w:rPr>
          <w:rStyle w:val="44"/>
          <w:rFonts w:hint="eastAsia" w:ascii="宋体" w:hAnsi="宋体" w:cs="宋体"/>
          <w:color w:val="auto"/>
          <w:sz w:val="24"/>
          <w:highlight w:val="none"/>
        </w:rPr>
        <w:fldChar w:fldCharType="end"/>
      </w:r>
      <w:r>
        <w:rPr>
          <w:rFonts w:hint="eastAsia" w:ascii="宋体" w:hAnsi="宋体" w:cs="宋体"/>
          <w:color w:val="auto"/>
          <w:sz w:val="24"/>
          <w:highlight w:val="none"/>
        </w:rPr>
        <w:t>广西壮族自治区政府采购网（http：//zfcg.gxzf.gov.cn）、全国公共资源交易平台(广西.河池)（http://ggzy.jgswj.gxzf.gov.cn/hcggzy）。</w:t>
      </w:r>
    </w:p>
    <w:p>
      <w:pPr>
        <w:widowControl w:val="0"/>
        <w:spacing w:line="44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bookmarkEnd w:id="33"/>
      <w:bookmarkEnd w:id="34"/>
      <w:bookmarkEnd w:id="35"/>
      <w:bookmarkEnd w:id="36"/>
    </w:p>
    <w:p>
      <w:pPr>
        <w:widowControl w:val="0"/>
        <w:spacing w:after="0" w:line="440" w:lineRule="exact"/>
        <w:rPr>
          <w:rFonts w:ascii="宋体" w:hAnsi="宋体" w:eastAsia="宋体" w:cs="宋体"/>
          <w:color w:val="auto"/>
          <w:sz w:val="24"/>
          <w:szCs w:val="24"/>
          <w:highlight w:val="none"/>
        </w:rPr>
      </w:pPr>
      <w:bookmarkStart w:id="37" w:name="_Toc28359019"/>
      <w:bookmarkStart w:id="38" w:name="_Toc35393806"/>
      <w:bookmarkStart w:id="39" w:name="_Toc28359096"/>
      <w:bookmarkStart w:id="40" w:name="_Toc35393637"/>
      <w:r>
        <w:rPr>
          <w:rFonts w:hint="eastAsia" w:ascii="宋体" w:hAnsi="宋体" w:eastAsia="宋体" w:cs="宋体"/>
          <w:color w:val="auto"/>
          <w:sz w:val="24"/>
          <w:szCs w:val="24"/>
          <w:highlight w:val="none"/>
        </w:rPr>
        <w:t>1.采购人信息</w:t>
      </w:r>
      <w:bookmarkEnd w:id="37"/>
      <w:bookmarkEnd w:id="38"/>
      <w:bookmarkEnd w:id="39"/>
      <w:bookmarkEnd w:id="40"/>
    </w:p>
    <w:p>
      <w:pPr>
        <w:widowControl w:val="0"/>
        <w:spacing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大化瑶族自治县水利局</w:t>
      </w:r>
    </w:p>
    <w:p>
      <w:pPr>
        <w:widowControl w:val="0"/>
        <w:spacing w:after="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地址：大化镇建丰北路东五巷1号 </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ascii="宋体" w:hAnsi="宋体" w:eastAsia="宋体" w:cs="宋体"/>
          <w:color w:val="auto"/>
          <w:sz w:val="24"/>
          <w:szCs w:val="24"/>
          <w:highlight w:val="none"/>
        </w:rPr>
        <w:t>0778-5812163</w:t>
      </w:r>
    </w:p>
    <w:p>
      <w:pPr>
        <w:widowControl w:val="0"/>
        <w:spacing w:after="0" w:line="440" w:lineRule="exact"/>
        <w:rPr>
          <w:rFonts w:ascii="宋体" w:hAnsi="宋体" w:eastAsia="宋体" w:cs="宋体"/>
          <w:color w:val="auto"/>
          <w:sz w:val="24"/>
          <w:szCs w:val="24"/>
          <w:highlight w:val="none"/>
        </w:rPr>
      </w:pPr>
      <w:bookmarkStart w:id="41" w:name="_Toc35393807"/>
      <w:bookmarkStart w:id="42" w:name="_Toc28359020"/>
      <w:bookmarkStart w:id="43" w:name="_Toc28359097"/>
      <w:bookmarkStart w:id="44" w:name="_Toc35393638"/>
      <w:r>
        <w:rPr>
          <w:rFonts w:hint="eastAsia" w:ascii="宋体" w:hAnsi="宋体" w:eastAsia="宋体" w:cs="宋体"/>
          <w:color w:val="auto"/>
          <w:sz w:val="24"/>
          <w:szCs w:val="24"/>
          <w:highlight w:val="none"/>
        </w:rPr>
        <w:t>2.采购代理机构信息</w:t>
      </w:r>
      <w:bookmarkEnd w:id="41"/>
      <w:bookmarkEnd w:id="42"/>
      <w:bookmarkEnd w:id="43"/>
      <w:bookmarkEnd w:id="44"/>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名称：广西睿翼工程咨询有限公司　</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地址：河池市金城江区金城中路2-4号铜鼓园写字楼3楼B区　</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联系方式：0778-2211981　</w:t>
      </w:r>
    </w:p>
    <w:p>
      <w:pPr>
        <w:widowControl w:val="0"/>
        <w:spacing w:after="0" w:line="440" w:lineRule="exact"/>
        <w:rPr>
          <w:rFonts w:ascii="宋体" w:hAnsi="宋体" w:eastAsia="宋体" w:cs="宋体"/>
          <w:color w:val="auto"/>
          <w:sz w:val="24"/>
          <w:szCs w:val="24"/>
          <w:highlight w:val="none"/>
        </w:rPr>
      </w:pPr>
      <w:bookmarkStart w:id="45" w:name="_Toc35393639"/>
      <w:bookmarkStart w:id="46" w:name="_Toc28359098"/>
      <w:bookmarkStart w:id="47" w:name="_Toc28359021"/>
      <w:bookmarkStart w:id="48" w:name="_Toc35393808"/>
      <w:r>
        <w:rPr>
          <w:rFonts w:hint="eastAsia" w:ascii="宋体" w:hAnsi="宋体" w:eastAsia="宋体" w:cs="宋体"/>
          <w:color w:val="auto"/>
          <w:sz w:val="24"/>
          <w:szCs w:val="24"/>
          <w:highlight w:val="none"/>
        </w:rPr>
        <w:t>3.项目联系方式</w:t>
      </w:r>
      <w:bookmarkEnd w:id="45"/>
      <w:bookmarkEnd w:id="46"/>
      <w:bookmarkEnd w:id="47"/>
      <w:bookmarkEnd w:id="48"/>
    </w:p>
    <w:p>
      <w:pPr>
        <w:widowControl w:val="0"/>
        <w:spacing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陈恩松</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电话：0778-2211981</w:t>
      </w:r>
    </w:p>
    <w:p>
      <w:pPr>
        <w:pStyle w:val="22"/>
        <w:spacing w:line="440" w:lineRule="exact"/>
        <w:ind w:firstLine="0" w:firstLineChars="0"/>
        <w:rPr>
          <w:rFonts w:ascii="宋体" w:hAnsi="宋体" w:cs="宋体"/>
          <w:color w:val="auto"/>
          <w:sz w:val="24"/>
          <w:highlight w:val="none"/>
        </w:rPr>
      </w:pPr>
      <w:r>
        <w:rPr>
          <w:rFonts w:hint="eastAsia" w:ascii="宋体" w:hAnsi="宋体" w:cs="宋体"/>
          <w:color w:val="auto"/>
          <w:sz w:val="24"/>
          <w:highlight w:val="none"/>
        </w:rPr>
        <w:t>4.监督部门:</w:t>
      </w:r>
      <w:r>
        <w:rPr>
          <w:rFonts w:ascii="宋体" w:hAnsi="宋体" w:eastAsia="宋体" w:cs="宋体"/>
          <w:color w:val="auto"/>
          <w:sz w:val="24"/>
          <w:szCs w:val="24"/>
          <w:highlight w:val="none"/>
        </w:rPr>
        <w:t>大化瑶族自治县人民政府采购办公室</w:t>
      </w:r>
      <w:r>
        <w:rPr>
          <w:rFonts w:hint="eastAsia" w:ascii="宋体" w:hAnsi="宋体" w:cs="宋体"/>
          <w:color w:val="auto"/>
          <w:sz w:val="24"/>
          <w:highlight w:val="none"/>
        </w:rPr>
        <w:t xml:space="preserve"> 联系电话：0778-5827660</w:t>
      </w:r>
    </w:p>
    <w:p>
      <w:pPr>
        <w:pStyle w:val="22"/>
        <w:spacing w:line="440" w:lineRule="exact"/>
        <w:ind w:firstLine="0" w:firstLineChars="0"/>
        <w:rPr>
          <w:rFonts w:ascii="宋体" w:hAnsi="宋体" w:cs="宋体"/>
          <w:color w:val="auto"/>
          <w:sz w:val="24"/>
          <w:highlight w:val="none"/>
        </w:rPr>
      </w:pPr>
      <w:r>
        <w:rPr>
          <w:rFonts w:hint="eastAsia" w:ascii="宋体" w:hAnsi="宋体" w:cs="宋体"/>
          <w:color w:val="auto"/>
          <w:sz w:val="24"/>
          <w:highlight w:val="none"/>
        </w:rPr>
        <w:t>5.交易服务单位：河池市公共资源交易中心联系方式：0778－2302718（交易</w:t>
      </w:r>
      <w:r>
        <w:rPr>
          <w:rFonts w:hint="eastAsia" w:ascii="宋体" w:hAnsi="宋体" w:cs="宋体"/>
          <w:color w:val="auto"/>
          <w:sz w:val="24"/>
          <w:highlight w:val="none"/>
          <w:lang w:eastAsia="zh-CN"/>
        </w:rPr>
        <w:t>受理科</w:t>
      </w:r>
      <w:r>
        <w:rPr>
          <w:rFonts w:hint="eastAsia" w:ascii="宋体" w:hAnsi="宋体" w:cs="宋体"/>
          <w:color w:val="auto"/>
          <w:sz w:val="24"/>
          <w:highlight w:val="none"/>
        </w:rPr>
        <w:t>）</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widowControl w:val="0"/>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2021年</w:t>
      </w:r>
      <w:r>
        <w:rPr>
          <w:rFonts w:hint="eastAsia" w:ascii="宋体" w:hAnsi="宋体" w:eastAsia="宋体" w:cs="宋体"/>
          <w:color w:val="auto"/>
          <w:sz w:val="24"/>
          <w:szCs w:val="24"/>
          <w:highlight w:val="none"/>
          <w:lang w:val="en-US" w:eastAsia="zh-CN"/>
        </w:rPr>
        <w:t xml:space="preserve"> 9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29 </w:t>
      </w:r>
      <w:r>
        <w:rPr>
          <w:rFonts w:hint="eastAsia" w:ascii="宋体" w:hAnsi="宋体" w:eastAsia="宋体" w:cs="宋体"/>
          <w:color w:val="auto"/>
          <w:sz w:val="24"/>
          <w:szCs w:val="24"/>
          <w:highlight w:val="none"/>
        </w:rPr>
        <w:t>日</w:t>
      </w:r>
    </w:p>
    <w:p>
      <w:pPr>
        <w:pStyle w:val="36"/>
        <w:ind w:left="440" w:firstLine="474"/>
        <w:rPr>
          <w:rFonts w:ascii="宋体" w:cs="宋体"/>
          <w:color w:val="auto"/>
          <w:sz w:val="24"/>
          <w:highlight w:val="none"/>
        </w:rPr>
      </w:pPr>
    </w:p>
    <w:p>
      <w:pPr>
        <w:pStyle w:val="3"/>
        <w:keepNext w:val="0"/>
        <w:spacing w:before="100" w:after="90" w:line="460" w:lineRule="exact"/>
        <w:rPr>
          <w:rFonts w:ascii="宋体" w:hAnsi="宋体" w:eastAsia="宋体"/>
          <w:b/>
          <w:bCs/>
          <w:color w:val="auto"/>
          <w:highlight w:val="none"/>
        </w:rPr>
      </w:pPr>
      <w:bookmarkStart w:id="49" w:name="_Toc46404608"/>
      <w:r>
        <w:rPr>
          <w:rFonts w:hint="eastAsia" w:ascii="宋体" w:hAnsi="宋体" w:eastAsia="宋体"/>
          <w:b/>
          <w:bCs/>
          <w:color w:val="auto"/>
          <w:highlight w:val="none"/>
        </w:rPr>
        <w:br w:type="page"/>
      </w:r>
    </w:p>
    <w:p>
      <w:pPr>
        <w:pStyle w:val="3"/>
        <w:keepNext w:val="0"/>
        <w:spacing w:before="100" w:after="90" w:line="460" w:lineRule="exact"/>
        <w:rPr>
          <w:rFonts w:ascii="宋体" w:hAnsi="宋体" w:eastAsia="宋体"/>
          <w:b/>
          <w:bCs/>
          <w:color w:val="auto"/>
          <w:highlight w:val="none"/>
        </w:rPr>
      </w:pPr>
      <w:r>
        <w:rPr>
          <w:rFonts w:hint="eastAsia" w:ascii="宋体" w:hAnsi="宋体" w:eastAsia="宋体"/>
          <w:b/>
          <w:bCs/>
          <w:color w:val="auto"/>
          <w:highlight w:val="none"/>
        </w:rPr>
        <w:t>第二章  供应商须知</w:t>
      </w:r>
      <w:bookmarkEnd w:id="4"/>
      <w:bookmarkEnd w:id="5"/>
      <w:bookmarkEnd w:id="6"/>
      <w:bookmarkEnd w:id="49"/>
    </w:p>
    <w:p>
      <w:pPr>
        <w:pStyle w:val="4"/>
        <w:spacing w:line="400" w:lineRule="exact"/>
        <w:ind w:firstLine="640" w:firstLineChars="200"/>
        <w:rPr>
          <w:rFonts w:ascii="宋体" w:hAnsi="宋体" w:eastAsia="宋体"/>
          <w:color w:val="auto"/>
          <w:highlight w:val="none"/>
        </w:rPr>
      </w:pPr>
      <w:bookmarkStart w:id="50" w:name="_Toc46404609"/>
      <w:bookmarkStart w:id="51" w:name="_Toc246094909"/>
      <w:bookmarkStart w:id="52" w:name="_Toc246095453"/>
      <w:bookmarkStart w:id="53" w:name="_Toc246095515"/>
      <w:r>
        <w:rPr>
          <w:rFonts w:hint="eastAsia" w:ascii="宋体" w:hAnsi="宋体" w:eastAsia="宋体"/>
          <w:color w:val="auto"/>
          <w:highlight w:val="none"/>
        </w:rPr>
        <w:t>供应商须知前附表</w:t>
      </w:r>
      <w:bookmarkEnd w:id="50"/>
      <w:bookmarkEnd w:id="51"/>
      <w:bookmarkEnd w:id="52"/>
      <w:bookmarkEnd w:id="53"/>
    </w:p>
    <w:tbl>
      <w:tblPr>
        <w:tblStyle w:val="38"/>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83"/>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283" w:type="dxa"/>
            <w:vAlign w:val="center"/>
          </w:tcPr>
          <w:p>
            <w:pPr>
              <w:spacing w:after="0"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7290" w:type="dxa"/>
            <w:vAlign w:val="center"/>
          </w:tcPr>
          <w:p>
            <w:pPr>
              <w:spacing w:after="0" w:line="400" w:lineRule="exact"/>
              <w:ind w:firstLine="482" w:firstLineChars="20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7290" w:type="dxa"/>
            <w:vAlign w:val="center"/>
          </w:tcPr>
          <w:p>
            <w:pPr>
              <w:spacing w:after="0" w:line="400" w:lineRule="exact"/>
              <w:rPr>
                <w:rFonts w:hint="eastAsia" w:ascii="宋体" w:hAnsi="宋体" w:eastAsia="宋体"/>
                <w:color w:val="auto"/>
                <w:sz w:val="24"/>
                <w:highlight w:val="none"/>
                <w:lang w:eastAsia="zh-CN"/>
              </w:rPr>
            </w:pPr>
            <w:r>
              <w:rPr>
                <w:rFonts w:hint="eastAsia" w:ascii="宋体" w:hAnsi="宋体" w:eastAsia="宋体"/>
                <w:color w:val="auto"/>
                <w:sz w:val="24"/>
                <w:highlight w:val="none"/>
              </w:rPr>
              <w:t>名称：</w:t>
            </w:r>
            <w:r>
              <w:rPr>
                <w:rFonts w:hint="eastAsia" w:ascii="宋体" w:hAnsi="宋体" w:eastAsia="宋体"/>
                <w:color w:val="auto"/>
                <w:sz w:val="24"/>
                <w:highlight w:val="none"/>
                <w:lang w:eastAsia="zh-CN"/>
              </w:rPr>
              <w:t>大化瑶族自治县水利局</w:t>
            </w:r>
          </w:p>
          <w:p>
            <w:pPr>
              <w:spacing w:after="0" w:line="400" w:lineRule="exact"/>
              <w:rPr>
                <w:rFonts w:ascii="宋体" w:hAnsi="宋体" w:eastAsia="宋体"/>
                <w:color w:val="auto"/>
                <w:sz w:val="24"/>
                <w:highlight w:val="none"/>
              </w:rPr>
            </w:pPr>
            <w:r>
              <w:rPr>
                <w:rFonts w:hint="eastAsia" w:ascii="宋体" w:hAnsi="宋体" w:eastAsia="宋体"/>
                <w:color w:val="auto"/>
                <w:sz w:val="24"/>
                <w:highlight w:val="none"/>
              </w:rPr>
              <w:t>地址：大化镇建丰北路东五巷1号</w:t>
            </w:r>
          </w:p>
          <w:p>
            <w:pPr>
              <w:pStyle w:val="19"/>
              <w:spacing w:line="400" w:lineRule="exact"/>
              <w:rPr>
                <w:rFonts w:hAnsi="宋体"/>
                <w:color w:val="auto"/>
                <w:sz w:val="24"/>
                <w:szCs w:val="24"/>
                <w:highlight w:val="none"/>
              </w:rPr>
            </w:pPr>
            <w:r>
              <w:rPr>
                <w:rFonts w:hint="eastAsia" w:hAnsi="宋体"/>
                <w:color w:val="auto"/>
                <w:sz w:val="24"/>
                <w:szCs w:val="24"/>
                <w:highlight w:val="none"/>
              </w:rPr>
              <w:t>联系人：</w:t>
            </w:r>
            <w:r>
              <w:rPr>
                <w:rFonts w:hint="eastAsia" w:hAnsi="宋体"/>
                <w:color w:val="auto"/>
                <w:sz w:val="24"/>
                <w:szCs w:val="24"/>
                <w:highlight w:val="none"/>
                <w:lang w:eastAsia="zh-CN"/>
              </w:rPr>
              <w:t>覃</w:t>
            </w:r>
            <w:r>
              <w:rPr>
                <w:rFonts w:hint="eastAsia" w:hAnsi="宋体"/>
                <w:color w:val="auto"/>
                <w:sz w:val="24"/>
                <w:szCs w:val="24"/>
                <w:highlight w:val="none"/>
              </w:rPr>
              <w:t>工  联系电话：0778-5812163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bCs/>
                <w:color w:val="auto"/>
                <w:sz w:val="24"/>
                <w:highlight w:val="none"/>
              </w:rPr>
              <w:t>采购代理机构</w:t>
            </w:r>
          </w:p>
        </w:tc>
        <w:tc>
          <w:tcPr>
            <w:tcW w:w="7290" w:type="dxa"/>
            <w:vAlign w:val="center"/>
          </w:tcPr>
          <w:p>
            <w:pPr>
              <w:spacing w:after="0"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名称：广西睿翼工程咨询有限公司</w:t>
            </w:r>
          </w:p>
          <w:p>
            <w:pPr>
              <w:spacing w:after="0"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联系地址：河池市金城江区金城中路2-4号铜鼓园写字楼3楼</w:t>
            </w:r>
          </w:p>
          <w:p>
            <w:pPr>
              <w:spacing w:after="0"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陈恩松</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szCs w:val="24"/>
                <w:highlight w:val="none"/>
              </w:rPr>
              <w:t>0778-2211981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w:t>
            </w:r>
          </w:p>
        </w:tc>
        <w:tc>
          <w:tcPr>
            <w:tcW w:w="1283" w:type="dxa"/>
            <w:vAlign w:val="center"/>
          </w:tcPr>
          <w:p>
            <w:pPr>
              <w:spacing w:after="0"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290" w:type="dxa"/>
            <w:vAlign w:val="center"/>
          </w:tcPr>
          <w:p>
            <w:pPr>
              <w:spacing w:after="0"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大化瑶族自治县2021年农村饮水维修养护热镀锌钢管采购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1.5</w:t>
            </w:r>
          </w:p>
        </w:tc>
        <w:tc>
          <w:tcPr>
            <w:tcW w:w="1283" w:type="dxa"/>
            <w:vAlign w:val="center"/>
          </w:tcPr>
          <w:p>
            <w:pPr>
              <w:spacing w:after="0"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采购编号</w:t>
            </w:r>
          </w:p>
        </w:tc>
        <w:tc>
          <w:tcPr>
            <w:tcW w:w="7290" w:type="dxa"/>
            <w:vAlign w:val="center"/>
          </w:tcPr>
          <w:p>
            <w:pPr>
              <w:spacing w:after="0"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HCZC2021-J1-290251-GXRY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1.6</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bCs/>
                <w:color w:val="auto"/>
                <w:sz w:val="24"/>
                <w:highlight w:val="none"/>
              </w:rPr>
              <w:t>采购预算</w:t>
            </w:r>
          </w:p>
        </w:tc>
        <w:tc>
          <w:tcPr>
            <w:tcW w:w="7290" w:type="dxa"/>
            <w:vAlign w:val="center"/>
          </w:tcPr>
          <w:p>
            <w:pPr>
              <w:spacing w:after="0" w:line="400" w:lineRule="exact"/>
              <w:rPr>
                <w:rFonts w:ascii="宋体" w:hAnsi="宋体" w:eastAsia="宋体" w:cs="Arial"/>
                <w:bCs/>
                <w:color w:val="auto"/>
                <w:sz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1019134.35</w:t>
            </w:r>
            <w:r>
              <w:rPr>
                <w:rFonts w:hint="eastAsia" w:ascii="宋体" w:hAnsi="宋体" w:eastAsia="宋体" w:cs="宋体"/>
                <w:color w:val="auto"/>
                <w:sz w:val="24"/>
                <w:szCs w:val="24"/>
                <w:highlight w:val="none"/>
              </w:rPr>
              <w:t>元</w:t>
            </w:r>
            <w:r>
              <w:rPr>
                <w:rFonts w:hint="eastAsia" w:ascii="宋体" w:hAnsi="宋体" w:eastAsia="宋体" w:cs="Arial"/>
                <w:bCs/>
                <w:color w:val="auto"/>
                <w:sz w:val="24"/>
                <w:highlight w:val="none"/>
              </w:rPr>
              <w:t>，有效报价范围为小于或等于采购预算价及对应的单价，超过采购预算价及对应单价的按无效竞标处理。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1.7</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bCs/>
                <w:color w:val="auto"/>
                <w:sz w:val="24"/>
                <w:highlight w:val="none"/>
              </w:rPr>
              <w:t>资金来源</w:t>
            </w:r>
          </w:p>
        </w:tc>
        <w:tc>
          <w:tcPr>
            <w:tcW w:w="7290" w:type="dxa"/>
            <w:vAlign w:val="center"/>
          </w:tcPr>
          <w:p>
            <w:pPr>
              <w:spacing w:after="0" w:line="400" w:lineRule="exact"/>
              <w:rPr>
                <w:rFonts w:ascii="宋体" w:hAnsi="宋体" w:eastAsia="宋体" w:cs="宋体"/>
                <w:color w:val="auto"/>
                <w:sz w:val="24"/>
                <w:highlight w:val="none"/>
              </w:rPr>
            </w:pPr>
            <w:r>
              <w:rPr>
                <w:rFonts w:hint="eastAsia" w:ascii="宋体" w:hAnsi="宋体" w:eastAsia="宋体" w:cs="宋体"/>
                <w:bCs/>
                <w:color w:val="auto"/>
                <w:sz w:val="24"/>
                <w:highlight w:val="none"/>
              </w:rPr>
              <w:t>政府财政性资金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19"/>
              <w:spacing w:line="360" w:lineRule="exact"/>
              <w:jc w:val="center"/>
              <w:rPr>
                <w:rFonts w:hAnsi="宋体" w:cs="宋体"/>
                <w:bCs/>
                <w:color w:val="auto"/>
                <w:kern w:val="0"/>
                <w:sz w:val="24"/>
                <w:highlight w:val="none"/>
              </w:rPr>
            </w:pPr>
            <w:r>
              <w:rPr>
                <w:rFonts w:hint="eastAsia" w:hAnsi="宋体" w:cs="宋体"/>
                <w:bCs/>
                <w:color w:val="auto"/>
                <w:kern w:val="0"/>
                <w:sz w:val="24"/>
                <w:highlight w:val="none"/>
              </w:rPr>
              <w:t>1.8</w:t>
            </w:r>
          </w:p>
        </w:tc>
        <w:tc>
          <w:tcPr>
            <w:tcW w:w="1283" w:type="dxa"/>
            <w:vAlign w:val="center"/>
          </w:tcPr>
          <w:p>
            <w:pPr>
              <w:pStyle w:val="19"/>
              <w:spacing w:line="360" w:lineRule="exact"/>
              <w:jc w:val="center"/>
              <w:rPr>
                <w:rFonts w:hAnsi="宋体" w:cs="宋体"/>
                <w:bCs/>
                <w:color w:val="auto"/>
                <w:kern w:val="0"/>
                <w:sz w:val="24"/>
                <w:highlight w:val="none"/>
              </w:rPr>
            </w:pPr>
            <w:r>
              <w:rPr>
                <w:rFonts w:hint="eastAsia" w:hAnsi="宋体" w:cs="宋体"/>
                <w:bCs/>
                <w:color w:val="auto"/>
                <w:kern w:val="0"/>
                <w:sz w:val="24"/>
                <w:highlight w:val="none"/>
              </w:rPr>
              <w:t>预留采购份额</w:t>
            </w:r>
          </w:p>
        </w:tc>
        <w:tc>
          <w:tcPr>
            <w:tcW w:w="7290" w:type="dxa"/>
            <w:vAlign w:val="center"/>
          </w:tcPr>
          <w:p>
            <w:pPr>
              <w:pStyle w:val="19"/>
              <w:spacing w:line="360" w:lineRule="exact"/>
              <w:ind w:left="682" w:hanging="681" w:hangingChars="284"/>
              <w:rPr>
                <w:rFonts w:hAnsi="宋体" w:cs="宋体"/>
                <w:bCs/>
                <w:color w:val="auto"/>
                <w:kern w:val="0"/>
                <w:sz w:val="24"/>
                <w:highlight w:val="none"/>
              </w:rPr>
            </w:pPr>
            <w:r>
              <w:rPr>
                <w:rFonts w:hint="eastAsia" w:hAnsi="宋体" w:cs="宋体"/>
                <w:bCs/>
                <w:color w:val="auto"/>
                <w:kern w:val="0"/>
                <w:sz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19"/>
              <w:spacing w:line="360" w:lineRule="exact"/>
              <w:jc w:val="center"/>
              <w:rPr>
                <w:rFonts w:hAnsi="宋体" w:cs="宋体"/>
                <w:bCs/>
                <w:color w:val="auto"/>
                <w:kern w:val="0"/>
                <w:sz w:val="24"/>
                <w:highlight w:val="none"/>
              </w:rPr>
            </w:pPr>
            <w:r>
              <w:rPr>
                <w:rFonts w:hint="eastAsia" w:hAnsi="宋体" w:cs="宋体"/>
                <w:bCs/>
                <w:color w:val="auto"/>
                <w:kern w:val="0"/>
                <w:sz w:val="24"/>
                <w:highlight w:val="none"/>
              </w:rPr>
              <w:t>1.9</w:t>
            </w:r>
          </w:p>
        </w:tc>
        <w:tc>
          <w:tcPr>
            <w:tcW w:w="1283" w:type="dxa"/>
            <w:vAlign w:val="center"/>
          </w:tcPr>
          <w:p>
            <w:pPr>
              <w:pStyle w:val="19"/>
              <w:spacing w:line="360" w:lineRule="exact"/>
              <w:jc w:val="center"/>
              <w:rPr>
                <w:rFonts w:hAnsi="宋体" w:cs="宋体"/>
                <w:bCs/>
                <w:color w:val="auto"/>
                <w:kern w:val="0"/>
                <w:sz w:val="24"/>
                <w:highlight w:val="none"/>
              </w:rPr>
            </w:pPr>
            <w:r>
              <w:rPr>
                <w:rFonts w:hint="eastAsia" w:hAnsi="宋体" w:cs="宋体"/>
                <w:bCs/>
                <w:color w:val="auto"/>
                <w:kern w:val="0"/>
                <w:sz w:val="24"/>
                <w:highlight w:val="none"/>
              </w:rPr>
              <w:t>所属行业</w:t>
            </w:r>
          </w:p>
        </w:tc>
        <w:tc>
          <w:tcPr>
            <w:tcW w:w="7290" w:type="dxa"/>
            <w:vAlign w:val="center"/>
          </w:tcPr>
          <w:p>
            <w:pPr>
              <w:pStyle w:val="19"/>
              <w:spacing w:line="360" w:lineRule="exact"/>
              <w:ind w:left="682" w:hanging="681" w:hangingChars="284"/>
              <w:rPr>
                <w:rFonts w:hAnsi="宋体" w:cs="宋体"/>
                <w:bCs/>
                <w:color w:val="auto"/>
                <w:kern w:val="0"/>
                <w:sz w:val="24"/>
                <w:highlight w:val="none"/>
              </w:rPr>
            </w:pPr>
            <w:r>
              <w:rPr>
                <w:rFonts w:hint="eastAsia" w:hAnsi="宋体" w:cs="宋体"/>
                <w:bCs/>
                <w:color w:val="auto"/>
                <w:kern w:val="0"/>
                <w:sz w:val="24"/>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供应商资格条件</w:t>
            </w:r>
          </w:p>
        </w:tc>
        <w:tc>
          <w:tcPr>
            <w:tcW w:w="7290" w:type="dxa"/>
            <w:vAlign w:val="center"/>
          </w:tcPr>
          <w:p>
            <w:pPr>
              <w:widowControl w:val="0"/>
              <w:spacing w:after="0" w:line="440" w:lineRule="exact"/>
              <w:ind w:firstLine="439" w:firstLineChars="1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spacing w:after="0" w:line="440" w:lineRule="exact"/>
              <w:ind w:firstLine="439" w:firstLineChars="1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2.落实政府采购政策需满足的资格要求：本项目非专门面向中小企业采购的项目。</w:t>
            </w:r>
          </w:p>
          <w:p>
            <w:pPr>
              <w:widowControl w:val="0"/>
              <w:spacing w:after="0" w:line="440" w:lineRule="exact"/>
              <w:ind w:firstLine="439" w:firstLineChars="1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无</w:t>
            </w:r>
            <w:r>
              <w:rPr>
                <w:rFonts w:hint="eastAsia" w:ascii="宋体" w:hAnsi="宋体" w:eastAsia="宋体" w:cs="宋体"/>
                <w:b/>
                <w:bCs/>
                <w:color w:val="auto"/>
                <w:sz w:val="24"/>
                <w:szCs w:val="24"/>
                <w:highlight w:val="none"/>
              </w:rPr>
              <w:t>；</w:t>
            </w:r>
          </w:p>
          <w:p>
            <w:pPr>
              <w:pStyle w:val="22"/>
              <w:spacing w:line="440" w:lineRule="exact"/>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2"/>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6.本项目不接受未按竞争性谈判公告要求获取采购文件的供应商谈判。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5.2</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olor w:val="auto"/>
                <w:sz w:val="24"/>
                <w:highlight w:val="none"/>
              </w:rPr>
              <w:t>招标代理服务费</w:t>
            </w:r>
          </w:p>
        </w:tc>
        <w:tc>
          <w:tcPr>
            <w:tcW w:w="7290" w:type="dxa"/>
            <w:vAlign w:val="center"/>
          </w:tcPr>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现场勘察</w:t>
            </w:r>
          </w:p>
        </w:tc>
        <w:tc>
          <w:tcPr>
            <w:tcW w:w="7290" w:type="dxa"/>
            <w:vAlign w:val="center"/>
          </w:tcPr>
          <w:p>
            <w:pPr>
              <w:autoSpaceDE w:val="0"/>
              <w:autoSpaceDN w:val="0"/>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6"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olor w:val="auto"/>
                <w:sz w:val="24"/>
                <w:highlight w:val="none"/>
              </w:rPr>
              <w:t xml:space="preserve"> 不组织。由供应商自行决定是否勘察现场，建议供应商自行对项目现场和其周围环境进行现场勘查，以获取有关编制响应文件和签署实施项目合同所需的各种资料。</w:t>
            </w:r>
          </w:p>
          <w:p>
            <w:pPr>
              <w:autoSpaceDE w:val="0"/>
              <w:autoSpaceDN w:val="0"/>
              <w:spacing w:after="0" w:line="400" w:lineRule="exact"/>
              <w:ind w:firstLine="480" w:firstLineChars="200"/>
              <w:rPr>
                <w:rFonts w:ascii="宋体" w:hAnsi="宋体" w:eastAsia="宋体" w:cs="宋体"/>
                <w:color w:val="auto"/>
                <w:sz w:val="24"/>
                <w:highlight w:val="none"/>
              </w:rPr>
            </w:pPr>
            <w:r>
              <w:rPr>
                <w:rFonts w:hint="eastAsia" w:ascii="宋体" w:hAnsi="宋体" w:eastAsia="宋体"/>
                <w:color w:val="auto"/>
                <w:sz w:val="24"/>
                <w:highlight w:val="none"/>
              </w:rPr>
              <w:t>□组织，要求：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olor w:val="auto"/>
                <w:sz w:val="24"/>
                <w:highlight w:val="none"/>
              </w:rPr>
              <w:t>10.1.1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olor w:val="auto"/>
                <w:sz w:val="24"/>
                <w:highlight w:val="none"/>
              </w:rPr>
              <w:t>价格文件组成内容</w:t>
            </w:r>
          </w:p>
        </w:tc>
        <w:tc>
          <w:tcPr>
            <w:tcW w:w="7290" w:type="dxa"/>
            <w:vAlign w:val="center"/>
          </w:tcPr>
          <w:p>
            <w:pPr>
              <w:autoSpaceDE w:val="0"/>
              <w:autoSpaceDN w:val="0"/>
              <w:spacing w:after="0" w:line="400" w:lineRule="exact"/>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价格文件（下列文件列明“必须提供”的，须加盖公章按要求提供，否则作竞标无效处理）</w:t>
            </w:r>
            <w:r>
              <w:rPr>
                <w:rFonts w:hint="eastAsia" w:ascii="宋体" w:hAnsi="宋体" w:eastAsia="宋体" w:cs="宋体"/>
                <w:color w:val="auto"/>
                <w:sz w:val="24"/>
                <w:highlight w:val="none"/>
              </w:rPr>
              <w:t>：</w:t>
            </w:r>
          </w:p>
          <w:p>
            <w:pPr>
              <w:pStyle w:val="95"/>
              <w:numPr>
                <w:ilvl w:val="0"/>
                <w:numId w:val="1"/>
              </w:numPr>
              <w:autoSpaceDE w:val="0"/>
              <w:autoSpaceDN w:val="0"/>
              <w:spacing w:after="0" w:line="400" w:lineRule="exact"/>
              <w:ind w:firstLineChars="0"/>
              <w:rPr>
                <w:rFonts w:ascii="宋体" w:hAnsi="宋体" w:eastAsia="宋体" w:cs="宋体"/>
                <w:color w:val="auto"/>
                <w:sz w:val="24"/>
                <w:highlight w:val="none"/>
              </w:rPr>
            </w:pPr>
            <w:r>
              <w:rPr>
                <w:rFonts w:hint="eastAsia" w:ascii="宋体" w:hAnsi="宋体" w:eastAsia="宋体" w:cs="宋体"/>
                <w:color w:val="auto"/>
                <w:sz w:val="24"/>
                <w:highlight w:val="none"/>
              </w:rPr>
              <w:t>谈判报价表；（格式见附件，</w:t>
            </w:r>
            <w:r>
              <w:rPr>
                <w:rFonts w:hint="eastAsia" w:ascii="宋体" w:hAnsi="宋体" w:eastAsia="宋体" w:cs="宋体"/>
                <w:b/>
                <w:color w:val="auto"/>
                <w:sz w:val="24"/>
                <w:highlight w:val="none"/>
              </w:rPr>
              <w:t>必须提供)</w:t>
            </w:r>
          </w:p>
          <w:p>
            <w:pPr>
              <w:autoSpaceDE w:val="0"/>
              <w:autoSpaceDN w:val="0"/>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10.1.2</w:t>
            </w:r>
          </w:p>
        </w:tc>
        <w:tc>
          <w:tcPr>
            <w:tcW w:w="1283"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商务技术文件组成内容</w:t>
            </w:r>
          </w:p>
        </w:tc>
        <w:tc>
          <w:tcPr>
            <w:tcW w:w="7290" w:type="dxa"/>
            <w:vAlign w:val="center"/>
          </w:tcPr>
          <w:p>
            <w:pPr>
              <w:wordWrap w:val="0"/>
              <w:topLinePunct/>
              <w:adjustRightInd/>
              <w:spacing w:after="0" w:line="40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ascii="宋体" w:hAnsi="宋体" w:eastAsia="宋体" w:cs="宋体"/>
                <w:b/>
                <w:color w:val="auto"/>
                <w:sz w:val="24"/>
                <w:highlight w:val="none"/>
                <w:u w:val="single"/>
              </w:rPr>
              <w:t>供应商所提供的材料不完整，或模糊不清以致关键信息无法辨认的，谈判小组有权认定该材料无效</w:t>
            </w:r>
            <w:r>
              <w:rPr>
                <w:rFonts w:hint="eastAsia" w:ascii="宋体" w:hAnsi="宋体" w:eastAsia="宋体" w:cs="宋体"/>
                <w:b/>
                <w:color w:val="auto"/>
                <w:sz w:val="24"/>
                <w:highlight w:val="none"/>
              </w:rPr>
              <w:t>。其他如有请提供）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bookmarkStart w:id="54" w:name="_Hlk45876420"/>
            <w:bookmarkStart w:id="55" w:name="_Hlk45876262"/>
            <w:r>
              <w:rPr>
                <w:rFonts w:hint="eastAsia" w:ascii="宋体" w:hAnsi="宋体" w:eastAsia="宋体" w:cs="宋体"/>
                <w:color w:val="auto"/>
                <w:sz w:val="24"/>
                <w:highlight w:val="none"/>
              </w:rPr>
              <w:t>谈判书；（格式见附件，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竞标声明书；（格式见附件，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技术响应、偏离情况说明表；（格式见附件，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商务响应表；（格式见附件，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售后服务承诺（由供应商按本项目竞争性谈判文件第三章“项目采购需求和说明”要求自行编制）；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有效的“营业执照”正本或副本复印件</w:t>
            </w:r>
            <w:r>
              <w:rPr>
                <w:rFonts w:ascii="宋体" w:hAnsi="宋体" w:eastAsia="宋体" w:cs="宋体"/>
                <w:color w:val="auto"/>
                <w:sz w:val="24"/>
                <w:highlight w:val="none"/>
              </w:rPr>
              <w:t>(</w:t>
            </w:r>
            <w:r>
              <w:rPr>
                <w:rFonts w:hint="eastAsia" w:ascii="宋体" w:hAnsi="宋体" w:eastAsia="宋体" w:cs="宋体"/>
                <w:color w:val="auto"/>
                <w:sz w:val="24"/>
                <w:highlight w:val="none"/>
              </w:rPr>
              <w:t>事业单位提供事业单位法人证书）；</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提交响应文件截止之日前近半年连续三个月的依法缴纳税费或依法免缴税费（包括无纳税记录或零报税）的证明</w:t>
            </w:r>
            <w:r>
              <w:rPr>
                <w:rFonts w:hint="eastAsia" w:ascii="宋体" w:hAnsi="宋体" w:eastAsia="宋体" w:cs="宋体"/>
                <w:color w:val="auto"/>
                <w:sz w:val="24"/>
                <w:highlight w:val="none"/>
                <w:lang w:eastAsia="zh-CN"/>
              </w:rPr>
              <w:t>（新成立的且不足三个月的企业按实际提供）</w:t>
            </w:r>
            <w:r>
              <w:rPr>
                <w:rFonts w:hint="eastAsia" w:ascii="宋体" w:hAnsi="宋体" w:eastAsia="宋体" w:cs="宋体"/>
                <w:color w:val="auto"/>
                <w:sz w:val="24"/>
                <w:highlight w:val="none"/>
              </w:rPr>
              <w:t>，证明材料可以是：银行已缴纳税费凭证复印件或第三方有效的相关业务托缴凭证或其他有效证明，或供应商所在地税务部门出具的有效证明（复印件）；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提交响应文件截止之日前近半年连续三个月的依法缴纳社会保险费或依法免缴社保费的相关证明（新成立的且不足三个月的企业按实际提供），证明材料可以是：银行已缴纳社会保险费凭证复印件或第三方有效的相关业务托缴凭证或其他有效证明；不需要缴纳社会保险金的应提供供应商所在地有关行政主管部门出具相应的文件证明（复印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供应商2</w:t>
            </w:r>
            <w:r>
              <w:rPr>
                <w:rFonts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度经第三方审计的财务报表（账务报表至少包含资产负债表、利润表、现金流量表及其附注、审计报告）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具备履行合同所必需的设备和专业技术服务能力的承诺书（格式见附件）；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olor w:val="auto"/>
                <w:sz w:val="24"/>
                <w:highlight w:val="none"/>
              </w:rPr>
              <w:t>参加本次政府采购活动前三年内在经营活动中无重大违法记录</w:t>
            </w:r>
            <w:r>
              <w:rPr>
                <w:rFonts w:hint="eastAsia" w:ascii="宋体" w:hAnsi="宋体" w:eastAsia="宋体" w:cs="宋体"/>
                <w:color w:val="auto"/>
                <w:sz w:val="24"/>
                <w:highlight w:val="none"/>
              </w:rPr>
              <w:t>的书面声明原件；（格式见附件，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本须知3.1款对</w:t>
            </w:r>
            <w:r>
              <w:rPr>
                <w:rFonts w:hint="eastAsia" w:ascii="宋体" w:hAnsi="宋体" w:eastAsia="宋体"/>
                <w:color w:val="auto"/>
                <w:sz w:val="24"/>
                <w:highlight w:val="none"/>
              </w:rPr>
              <w:t>供应商特定要求的证明材料</w:t>
            </w:r>
            <w:r>
              <w:rPr>
                <w:rFonts w:hint="eastAsia" w:ascii="宋体" w:hAnsi="宋体" w:eastAsia="宋体" w:cs="宋体"/>
                <w:b/>
                <w:color w:val="auto"/>
                <w:sz w:val="24"/>
                <w:highlight w:val="none"/>
              </w:rPr>
              <w:t>（如有要求的，必须提供）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供应商控股及管理关系情况申报表；（格式见附件，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法定代表人身份证明书原件及法定代表人有效身份证正反面复印件；（格式见附件）</w:t>
            </w:r>
            <w:r>
              <w:rPr>
                <w:rFonts w:hint="eastAsia" w:ascii="宋体" w:hAnsi="宋体" w:eastAsia="宋体" w:cs="宋体"/>
                <w:b/>
                <w:color w:val="auto"/>
                <w:sz w:val="24"/>
                <w:highlight w:val="none"/>
              </w:rPr>
              <w:t>（必须提供）</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法定代表人授权委托书原件及被授权人有效身份证正反面复印件；（格式见附件，</w:t>
            </w:r>
            <w:r>
              <w:rPr>
                <w:rFonts w:hint="eastAsia" w:ascii="宋体" w:hAnsi="宋体" w:eastAsia="宋体" w:cs="宋体"/>
                <w:b/>
                <w:color w:val="auto"/>
                <w:sz w:val="24"/>
                <w:highlight w:val="none"/>
              </w:rPr>
              <w:t>委托时必须提供，否则竞标无效）</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szCs w:val="24"/>
                <w:highlight w:val="none"/>
              </w:rPr>
              <w:t>提供近</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年以来省级以上（含省级）质量检验部门出具有效的本次所有采购管材型号质量检验报告（质量检验报告上注明要有投标管材的商标名、型号）复印件；</w:t>
            </w:r>
          </w:p>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实施方案【可结合本项目评标内容进行编制，格式自拟】；</w:t>
            </w:r>
            <w:r>
              <w:rPr>
                <w:rFonts w:hint="eastAsia" w:ascii="宋体" w:hAnsi="宋体" w:eastAsia="宋体" w:cs="宋体"/>
                <w:b/>
                <w:color w:val="auto"/>
                <w:sz w:val="24"/>
                <w:highlight w:val="none"/>
              </w:rPr>
              <w:t>（必须提供）</w:t>
            </w:r>
          </w:p>
          <w:bookmarkEnd w:id="54"/>
          <w:p>
            <w:pPr>
              <w:pStyle w:val="95"/>
              <w:numPr>
                <w:ilvl w:val="0"/>
                <w:numId w:val="2"/>
              </w:numPr>
              <w:autoSpaceDE w:val="0"/>
              <w:autoSpaceDN w:val="0"/>
              <w:spacing w:after="0" w:line="400" w:lineRule="exact"/>
              <w:ind w:left="0"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供应商认为需要提供的有关资料、文件、说明（如货物认证、检测报告、鉴定证书；产品获奖证书；产品样本、使用保养说明书、图纸等技术资料；</w:t>
            </w:r>
            <w:r>
              <w:rPr>
                <w:rFonts w:hint="eastAsia" w:ascii="宋体" w:hAnsi="宋体" w:eastAsia="宋体" w:cs="宋体"/>
                <w:color w:val="auto"/>
                <w:sz w:val="24"/>
                <w:highlight w:val="none"/>
                <w:lang w:val="en-US" w:eastAsia="zh-CN"/>
              </w:rPr>
              <w:t>货物全部由符合政策要求的中小企业制造</w:t>
            </w:r>
            <w:r>
              <w:rPr>
                <w:rFonts w:hint="eastAsia" w:ascii="宋体" w:hAnsi="宋体" w:eastAsia="宋体" w:cs="宋体"/>
                <w:color w:val="auto"/>
                <w:sz w:val="24"/>
                <w:highlight w:val="none"/>
              </w:rPr>
              <w:t>，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10.1.3</w:t>
            </w:r>
          </w:p>
        </w:tc>
        <w:tc>
          <w:tcPr>
            <w:tcW w:w="1283"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s="宋体"/>
                <w:color w:val="auto"/>
                <w:sz w:val="24"/>
                <w:highlight w:val="none"/>
              </w:rPr>
              <w:t>响应文件电子版</w:t>
            </w:r>
          </w:p>
        </w:tc>
        <w:tc>
          <w:tcPr>
            <w:tcW w:w="7290" w:type="dxa"/>
            <w:vAlign w:val="center"/>
          </w:tcPr>
          <w:p>
            <w:pPr>
              <w:autoSpaceDE w:val="0"/>
              <w:autoSpaceDN w:val="0"/>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需要提供,供应商在递交响应文件时，需同时递交响应文件电子版。具体要求：</w:t>
            </w:r>
          </w:p>
          <w:p>
            <w:pPr>
              <w:autoSpaceDE w:val="0"/>
              <w:autoSpaceDN w:val="0"/>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（1）响应文件电子版内容：与全部响应文件正本内容一致；</w:t>
            </w:r>
          </w:p>
          <w:p>
            <w:pPr>
              <w:autoSpaceDE w:val="0"/>
              <w:autoSpaceDN w:val="0"/>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（2）响应文件电子版份数：1份；</w:t>
            </w:r>
          </w:p>
          <w:p>
            <w:pPr>
              <w:autoSpaceDE w:val="0"/>
              <w:autoSpaceDN w:val="0"/>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（3）响应文件电子版形式：可编辑未加密的</w:t>
            </w:r>
            <w:r>
              <w:rPr>
                <w:rFonts w:ascii="宋体" w:hAnsi="宋体" w:eastAsia="宋体" w:cs="宋体"/>
                <w:color w:val="auto"/>
                <w:sz w:val="24"/>
                <w:highlight w:val="none"/>
              </w:rPr>
              <w:t>WORD</w:t>
            </w:r>
            <w:r>
              <w:rPr>
                <w:rFonts w:hint="eastAsia" w:ascii="宋体" w:hAnsi="宋体" w:eastAsia="宋体" w:cs="宋体"/>
                <w:color w:val="auto"/>
                <w:sz w:val="24"/>
                <w:highlight w:val="none"/>
              </w:rPr>
              <w:t>格式响应文件电子版光盘（或U盘）。</w:t>
            </w:r>
          </w:p>
          <w:p>
            <w:pPr>
              <w:autoSpaceDE w:val="0"/>
              <w:autoSpaceDN w:val="0"/>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响应有效期</w:t>
            </w:r>
          </w:p>
        </w:tc>
        <w:tc>
          <w:tcPr>
            <w:tcW w:w="7290" w:type="dxa"/>
            <w:vAlign w:val="center"/>
          </w:tcPr>
          <w:p>
            <w:pPr>
              <w:spacing w:after="0"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谈判保证金</w:t>
            </w:r>
          </w:p>
        </w:tc>
        <w:tc>
          <w:tcPr>
            <w:tcW w:w="7290" w:type="dxa"/>
            <w:vAlign w:val="center"/>
          </w:tcPr>
          <w:p>
            <w:pPr>
              <w:spacing w:after="0" w:line="400" w:lineRule="exact"/>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本项目不需要缴纳保证金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14.4</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响应文件份数</w:t>
            </w:r>
          </w:p>
        </w:tc>
        <w:tc>
          <w:tcPr>
            <w:tcW w:w="7290" w:type="dxa"/>
            <w:vAlign w:val="center"/>
          </w:tcPr>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正本一份、副本</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16.1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递交响应文件截止时间</w:t>
            </w:r>
          </w:p>
        </w:tc>
        <w:tc>
          <w:tcPr>
            <w:tcW w:w="7290" w:type="dxa"/>
            <w:vAlign w:val="center"/>
          </w:tcPr>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u w:val="single"/>
              </w:rPr>
              <w:t>2021年</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u w:val="single"/>
              </w:rPr>
              <w:t>日09点00分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响应文件递交地点</w:t>
            </w:r>
          </w:p>
        </w:tc>
        <w:tc>
          <w:tcPr>
            <w:tcW w:w="7290" w:type="dxa"/>
            <w:shd w:val="clear" w:color="auto" w:fill="auto"/>
            <w:vAlign w:val="center"/>
          </w:tcPr>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lang w:eastAsia="zh-CN"/>
              </w:rPr>
              <w:t>河池市公共资源交易中心开标厅【河池市金城江区江湾路2号（市工人文化宫办公大楼五楼），具体开标室见当天的电子LED大屏安排】</w:t>
            </w:r>
            <w:r>
              <w:rPr>
                <w:rFonts w:hint="eastAsia" w:ascii="宋体" w:hAnsi="宋体" w:eastAsia="宋体" w:cs="宋体"/>
                <w:color w:val="auto"/>
                <w:sz w:val="24"/>
                <w:highlight w:val="none"/>
              </w:rPr>
              <w:t>，并由采购代理机构签收。逾期送达或未按要求密封的响应文件将予以拒收或作无效响应文件处理。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8</w:t>
            </w:r>
            <w:r>
              <w:rPr>
                <w:rFonts w:hint="eastAsia" w:ascii="宋体" w:hAnsi="宋体" w:eastAsia="宋体" w:cs="宋体"/>
                <w:color w:val="auto"/>
                <w:sz w:val="24"/>
                <w:highlight w:val="none"/>
              </w:rPr>
              <w:t>.1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谈判时间和地点</w:t>
            </w:r>
          </w:p>
        </w:tc>
        <w:tc>
          <w:tcPr>
            <w:tcW w:w="7290" w:type="dxa"/>
            <w:shd w:val="clear" w:color="auto" w:fill="auto"/>
            <w:vAlign w:val="center"/>
          </w:tcPr>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谈判时间：</w:t>
            </w:r>
            <w:r>
              <w:rPr>
                <w:rFonts w:hint="eastAsia" w:ascii="宋体" w:hAnsi="宋体" w:eastAsia="宋体" w:cs="宋体"/>
                <w:color w:val="auto"/>
                <w:sz w:val="24"/>
                <w:szCs w:val="24"/>
                <w:highlight w:val="none"/>
                <w:u w:val="single"/>
              </w:rPr>
              <w:t>2021年</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u w:val="single"/>
              </w:rPr>
              <w:t>日09点00分</w:t>
            </w:r>
            <w:r>
              <w:rPr>
                <w:rFonts w:hint="eastAsia" w:ascii="宋体" w:hAnsi="宋体" w:eastAsia="宋体" w:cs="宋体"/>
                <w:color w:val="auto"/>
                <w:sz w:val="24"/>
                <w:highlight w:val="none"/>
              </w:rPr>
              <w:t>截标后（具体时间由采购代理机构另行通知）；</w:t>
            </w:r>
          </w:p>
          <w:p>
            <w:pPr>
              <w:spacing w:after="0" w:line="400" w:lineRule="exact"/>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谈判地点：</w:t>
            </w:r>
            <w:r>
              <w:rPr>
                <w:rFonts w:hint="eastAsia" w:ascii="宋体" w:hAnsi="宋体" w:eastAsia="宋体" w:cs="宋体"/>
                <w:color w:val="auto"/>
                <w:sz w:val="24"/>
                <w:szCs w:val="24"/>
                <w:highlight w:val="none"/>
                <w:lang w:eastAsia="zh-CN"/>
              </w:rPr>
              <w:t>河池市公共资源交易中心开标厅【河池市金城江区江湾路2号（市工人文化宫办公大楼五楼），具体开标室见当天的电子LED大屏安排】</w:t>
            </w:r>
            <w:r>
              <w:rPr>
                <w:rFonts w:hint="eastAsia" w:ascii="宋体" w:hAnsi="宋体" w:eastAsia="宋体" w:cs="宋体"/>
                <w:b/>
                <w:color w:val="auto"/>
                <w:sz w:val="24"/>
                <w:highlight w:val="none"/>
              </w:rPr>
              <w:t>；</w:t>
            </w:r>
          </w:p>
          <w:p>
            <w:pPr>
              <w:spacing w:after="0" w:line="400" w:lineRule="exact"/>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供应商法定代表人或其授权代表携带以下证件按时参加谈判会议。</w:t>
            </w:r>
            <w:r>
              <w:rPr>
                <w:rFonts w:hint="eastAsia" w:ascii="宋体" w:hAnsi="宋体" w:eastAsia="宋体" w:cs="宋体"/>
                <w:b w:val="0"/>
                <w:bCs/>
                <w:color w:val="auto"/>
                <w:sz w:val="24"/>
                <w:highlight w:val="none"/>
              </w:rPr>
              <w:t>证件为：</w:t>
            </w:r>
          </w:p>
          <w:p>
            <w:pPr>
              <w:spacing w:after="0" w:line="400" w:lineRule="exact"/>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如法定代表人参加，则须提供法定代表人身份证明及本人身份证原件；如授权委托代理人参加，则须提供法人授权委托书原件及本人身份证原件。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0</w:t>
            </w:r>
            <w:r>
              <w:rPr>
                <w:rFonts w:hint="eastAsia" w:ascii="宋体" w:hAnsi="宋体" w:eastAsia="宋体" w:cs="宋体"/>
                <w:color w:val="auto"/>
                <w:sz w:val="24"/>
                <w:highlight w:val="none"/>
              </w:rPr>
              <w:t>.2</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7290" w:type="dxa"/>
            <w:vAlign w:val="center"/>
          </w:tcPr>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30.1</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bCs/>
                <w:color w:val="auto"/>
                <w:sz w:val="24"/>
                <w:highlight w:val="none"/>
              </w:rPr>
              <w:t>履约保证金</w:t>
            </w:r>
          </w:p>
        </w:tc>
        <w:tc>
          <w:tcPr>
            <w:tcW w:w="7290" w:type="dxa"/>
            <w:vAlign w:val="center"/>
          </w:tcPr>
          <w:p>
            <w:pPr>
              <w:snapToGrid w:val="0"/>
              <w:spacing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需要缴纳履约保证金</w:t>
            </w:r>
          </w:p>
          <w:p>
            <w:pPr>
              <w:snapToGrid w:val="0"/>
              <w:spacing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履约保证金金额：按合同金额的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%收取。</w:t>
            </w:r>
          </w:p>
          <w:p>
            <w:pPr>
              <w:snapToGrid w:val="0"/>
              <w:spacing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履约保证金递交方式：银行转账、支票、汇票、本票、银行出具的保函或保险机构出具的保函、保险单等非现金形式。</w:t>
            </w:r>
          </w:p>
          <w:p>
            <w:pPr>
              <w:snapToGrid w:val="0"/>
              <w:spacing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履约保证金指定账户： </w:t>
            </w:r>
          </w:p>
          <w:p>
            <w:pPr>
              <w:spacing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33</w:t>
            </w:r>
          </w:p>
        </w:tc>
        <w:tc>
          <w:tcPr>
            <w:tcW w:w="1283"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olor w:val="auto"/>
                <w:sz w:val="24"/>
                <w:highlight w:val="none"/>
              </w:rPr>
              <w:t>招标代理服务费</w:t>
            </w:r>
          </w:p>
        </w:tc>
        <w:tc>
          <w:tcPr>
            <w:tcW w:w="7290" w:type="dxa"/>
            <w:vAlign w:val="center"/>
          </w:tcPr>
          <w:p>
            <w:pPr>
              <w:autoSpaceDE w:val="0"/>
              <w:autoSpaceDN w:val="0"/>
              <w:spacing w:after="0" w:line="400" w:lineRule="exact"/>
              <w:ind w:firstLine="480" w:firstLineChars="200"/>
              <w:textAlignment w:val="bottom"/>
              <w:rPr>
                <w:rFonts w:ascii="宋体" w:hAnsi="宋体" w:eastAsia="宋体"/>
                <w:color w:val="auto"/>
                <w:sz w:val="24"/>
                <w:highlight w:val="none"/>
              </w:rPr>
            </w:pPr>
            <w:r>
              <w:rPr>
                <w:rFonts w:hint="eastAsia" w:ascii="宋体" w:hAnsi="宋体" w:eastAsia="宋体" w:cs="Courier New"/>
                <w:color w:val="auto"/>
                <w:sz w:val="24"/>
                <w:highlight w:val="none"/>
              </w:rPr>
              <w:sym w:font="Wingdings" w:char="F0FE"/>
            </w:r>
            <w:r>
              <w:rPr>
                <w:rFonts w:hint="eastAsia" w:ascii="宋体" w:hAnsi="宋体" w:eastAsia="宋体"/>
                <w:color w:val="auto"/>
                <w:sz w:val="24"/>
                <w:highlight w:val="none"/>
              </w:rPr>
              <w:t>招标代理服务费由成交人支付。</w:t>
            </w:r>
          </w:p>
          <w:p>
            <w:pPr>
              <w:autoSpaceDE w:val="0"/>
              <w:autoSpaceDN w:val="0"/>
              <w:spacing w:after="0" w:line="400" w:lineRule="exact"/>
              <w:ind w:firstLine="480" w:firstLineChars="200"/>
              <w:textAlignment w:val="bottom"/>
              <w:rPr>
                <w:rFonts w:ascii="宋体" w:hAnsi="宋体" w:eastAsia="宋体"/>
                <w:color w:val="auto"/>
                <w:sz w:val="24"/>
                <w:highlight w:val="none"/>
              </w:rPr>
            </w:pPr>
            <w:r>
              <w:rPr>
                <w:rFonts w:hint="eastAsia" w:ascii="宋体" w:hAnsi="宋体" w:eastAsia="宋体"/>
                <w:color w:val="auto"/>
                <w:sz w:val="24"/>
                <w:highlight w:val="none"/>
              </w:rPr>
              <w:t>（1）成交人领取成交通知书前，应向采购代理机构一次付清招标代理服务费，代理服务收费按下述标准（货物招标）以差额定率累进法计算收取，具体标准如下：</w:t>
            </w:r>
          </w:p>
          <w:tbl>
            <w:tblPr>
              <w:tblStyle w:val="38"/>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Borders>
                    <w:tl2br w:val="single" w:color="auto" w:sz="4" w:space="0"/>
                  </w:tcBorders>
                </w:tcPr>
                <w:p>
                  <w:pPr>
                    <w:spacing w:after="0" w:line="400" w:lineRule="exact"/>
                    <w:rPr>
                      <w:rFonts w:ascii="宋体" w:hAnsi="宋体" w:eastAsia="宋体"/>
                      <w:color w:val="auto"/>
                      <w:sz w:val="24"/>
                      <w:highlight w:val="none"/>
                    </w:rPr>
                  </w:pPr>
                  <w:r>
                    <w:rPr>
                      <w:rFonts w:hint="eastAsia" w:ascii="宋体" w:hAnsi="宋体" w:eastAsia="宋体"/>
                      <w:color w:val="auto"/>
                      <w:sz w:val="24"/>
                      <w:highlight w:val="none"/>
                    </w:rPr>
                    <w:t xml:space="preserve">               费率</w:t>
                  </w:r>
                </w:p>
                <w:p>
                  <w:pPr>
                    <w:spacing w:after="0" w:line="400" w:lineRule="exact"/>
                    <w:rPr>
                      <w:rFonts w:ascii="宋体" w:hAnsi="宋体" w:eastAsia="宋体"/>
                      <w:color w:val="auto"/>
                      <w:sz w:val="24"/>
                      <w:highlight w:val="none"/>
                    </w:rPr>
                  </w:pPr>
                  <w:r>
                    <w:rPr>
                      <w:rFonts w:hint="eastAsia" w:ascii="宋体" w:hAnsi="宋体" w:eastAsia="宋体"/>
                      <w:color w:val="auto"/>
                      <w:sz w:val="24"/>
                      <w:highlight w:val="none"/>
                    </w:rPr>
                    <w:t>中标金额</w:t>
                  </w:r>
                </w:p>
              </w:tc>
              <w:tc>
                <w:tcPr>
                  <w:tcW w:w="1559" w:type="dxa"/>
                  <w:vAlign w:val="center"/>
                </w:tcPr>
                <w:p>
                  <w:pPr>
                    <w:spacing w:after="0" w:line="400" w:lineRule="exact"/>
                    <w:ind w:firstLine="120" w:firstLineChars="50"/>
                    <w:jc w:val="center"/>
                    <w:rPr>
                      <w:rFonts w:ascii="宋体" w:hAnsi="宋体" w:eastAsia="宋体"/>
                      <w:color w:val="auto"/>
                      <w:sz w:val="24"/>
                      <w:highlight w:val="none"/>
                    </w:rPr>
                  </w:pPr>
                  <w:r>
                    <w:rPr>
                      <w:rFonts w:hint="eastAsia" w:ascii="宋体" w:hAnsi="宋体" w:eastAsia="宋体"/>
                      <w:color w:val="auto"/>
                      <w:sz w:val="24"/>
                      <w:highlight w:val="none"/>
                    </w:rPr>
                    <w:t>货物招标</w:t>
                  </w:r>
                </w:p>
              </w:tc>
              <w:tc>
                <w:tcPr>
                  <w:tcW w:w="1418"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服务招标</w:t>
                  </w:r>
                </w:p>
              </w:tc>
              <w:tc>
                <w:tcPr>
                  <w:tcW w:w="1275"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宋体" w:hAnsi="宋体" w:eastAsia="宋体"/>
                      <w:color w:val="auto"/>
                      <w:sz w:val="24"/>
                      <w:highlight w:val="none"/>
                    </w:rPr>
                  </w:pPr>
                  <w:r>
                    <w:rPr>
                      <w:rFonts w:hint="eastAsia" w:ascii="宋体" w:hAnsi="宋体" w:eastAsia="宋体"/>
                      <w:color w:val="auto"/>
                      <w:sz w:val="24"/>
                      <w:highlight w:val="none"/>
                    </w:rPr>
                    <w:t>100万元以下</w:t>
                  </w:r>
                </w:p>
              </w:tc>
              <w:tc>
                <w:tcPr>
                  <w:tcW w:w="1559" w:type="dxa"/>
                </w:tcPr>
                <w:p>
                  <w:pPr>
                    <w:spacing w:after="0" w:line="400" w:lineRule="exact"/>
                    <w:jc w:val="center"/>
                    <w:rPr>
                      <w:rFonts w:ascii="宋体" w:hAnsi="宋体" w:eastAsia="宋体"/>
                      <w:color w:val="auto"/>
                      <w:sz w:val="24"/>
                      <w:highlight w:val="none"/>
                    </w:rPr>
                  </w:pPr>
                  <w:r>
                    <w:rPr>
                      <w:rFonts w:ascii="宋体" w:hAnsi="宋体" w:eastAsia="宋体" w:cs="宋体"/>
                      <w:color w:val="auto"/>
                      <w:sz w:val="24"/>
                      <w:highlight w:val="none"/>
                    </w:rPr>
                    <w:t>1.5%</w:t>
                  </w:r>
                </w:p>
              </w:tc>
              <w:tc>
                <w:tcPr>
                  <w:tcW w:w="1418" w:type="dxa"/>
                </w:tcPr>
                <w:p>
                  <w:pPr>
                    <w:spacing w:after="0" w:line="400" w:lineRule="exact"/>
                    <w:jc w:val="center"/>
                    <w:rPr>
                      <w:rFonts w:ascii="宋体" w:hAnsi="宋体" w:eastAsia="宋体"/>
                      <w:color w:val="auto"/>
                      <w:sz w:val="24"/>
                      <w:highlight w:val="none"/>
                    </w:rPr>
                  </w:pPr>
                  <w:r>
                    <w:rPr>
                      <w:rFonts w:ascii="宋体" w:hAnsi="宋体" w:eastAsia="宋体" w:cs="宋体"/>
                      <w:color w:val="auto"/>
                      <w:sz w:val="24"/>
                      <w:highlight w:val="none"/>
                    </w:rPr>
                    <w:t>1.5%</w:t>
                  </w:r>
                </w:p>
              </w:tc>
              <w:tc>
                <w:tcPr>
                  <w:tcW w:w="1275" w:type="dxa"/>
                </w:tcPr>
                <w:p>
                  <w:pPr>
                    <w:spacing w:after="0" w:line="400" w:lineRule="exact"/>
                    <w:ind w:firstLine="240" w:firstLineChars="100"/>
                    <w:jc w:val="center"/>
                    <w:rPr>
                      <w:rFonts w:ascii="宋体" w:hAnsi="宋体" w:eastAsia="宋体"/>
                      <w:color w:val="auto"/>
                      <w:sz w:val="24"/>
                      <w:highlight w:val="none"/>
                    </w:rPr>
                  </w:pPr>
                  <w:r>
                    <w:rPr>
                      <w:rFonts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宋体" w:hAnsi="宋体" w:eastAsia="宋体"/>
                      <w:color w:val="auto"/>
                      <w:sz w:val="24"/>
                      <w:highlight w:val="none"/>
                    </w:rPr>
                  </w:pPr>
                  <w:r>
                    <w:rPr>
                      <w:rFonts w:hint="eastAsia" w:ascii="宋体" w:hAnsi="宋体" w:eastAsia="宋体"/>
                      <w:color w:val="auto"/>
                      <w:sz w:val="24"/>
                      <w:highlight w:val="none"/>
                    </w:rPr>
                    <w:t>100～500万元</w:t>
                  </w:r>
                </w:p>
              </w:tc>
              <w:tc>
                <w:tcPr>
                  <w:tcW w:w="1559" w:type="dxa"/>
                </w:tcPr>
                <w:p>
                  <w:pPr>
                    <w:spacing w:after="0" w:line="400" w:lineRule="exact"/>
                    <w:jc w:val="center"/>
                    <w:rPr>
                      <w:rFonts w:ascii="宋体" w:hAnsi="宋体" w:eastAsia="宋体"/>
                      <w:color w:val="auto"/>
                      <w:sz w:val="24"/>
                      <w:highlight w:val="none"/>
                    </w:rPr>
                  </w:pPr>
                  <w:r>
                    <w:rPr>
                      <w:rFonts w:ascii="宋体" w:hAnsi="宋体" w:eastAsia="宋体" w:cs="宋体"/>
                      <w:color w:val="auto"/>
                      <w:sz w:val="24"/>
                      <w:highlight w:val="none"/>
                    </w:rPr>
                    <w:t>1.1%</w:t>
                  </w:r>
                </w:p>
              </w:tc>
              <w:tc>
                <w:tcPr>
                  <w:tcW w:w="1418" w:type="dxa"/>
                </w:tcPr>
                <w:p>
                  <w:pPr>
                    <w:spacing w:after="0" w:line="400" w:lineRule="exact"/>
                    <w:jc w:val="center"/>
                    <w:rPr>
                      <w:rFonts w:ascii="宋体" w:hAnsi="宋体" w:eastAsia="宋体"/>
                      <w:color w:val="auto"/>
                      <w:sz w:val="24"/>
                      <w:highlight w:val="none"/>
                    </w:rPr>
                  </w:pPr>
                  <w:r>
                    <w:rPr>
                      <w:rFonts w:ascii="宋体" w:hAnsi="宋体" w:eastAsia="宋体" w:cs="宋体"/>
                      <w:color w:val="auto"/>
                      <w:sz w:val="24"/>
                      <w:highlight w:val="none"/>
                    </w:rPr>
                    <w:t>0.8%</w:t>
                  </w:r>
                </w:p>
              </w:tc>
              <w:tc>
                <w:tcPr>
                  <w:tcW w:w="1275" w:type="dxa"/>
                </w:tcPr>
                <w:p>
                  <w:pPr>
                    <w:spacing w:after="0" w:line="400" w:lineRule="exact"/>
                    <w:ind w:firstLine="240" w:firstLineChars="100"/>
                    <w:jc w:val="center"/>
                    <w:rPr>
                      <w:rFonts w:ascii="宋体" w:hAnsi="宋体" w:eastAsia="宋体"/>
                      <w:color w:val="auto"/>
                      <w:sz w:val="24"/>
                      <w:highlight w:val="none"/>
                    </w:rPr>
                  </w:pPr>
                  <w:r>
                    <w:rPr>
                      <w:rFonts w:ascii="宋体" w:hAnsi="宋体" w:eastAsia="宋体" w:cs="宋体"/>
                      <w:color w:val="auto"/>
                      <w:sz w:val="24"/>
                      <w:highlight w:val="none"/>
                    </w:rPr>
                    <w:t>0.7%</w:t>
                  </w:r>
                </w:p>
              </w:tc>
            </w:tr>
          </w:tbl>
          <w:p>
            <w:pPr>
              <w:adjustRightInd/>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例如：某货物招标代理业务成交金额为</w:t>
            </w:r>
            <w:r>
              <w:rPr>
                <w:rFonts w:ascii="宋体" w:hAnsi="宋体" w:eastAsia="宋体"/>
                <w:color w:val="auto"/>
                <w:sz w:val="24"/>
                <w:highlight w:val="none"/>
              </w:rPr>
              <w:t>300</w:t>
            </w:r>
            <w:r>
              <w:rPr>
                <w:rFonts w:hint="eastAsia" w:ascii="宋体" w:hAnsi="宋体" w:eastAsia="宋体"/>
                <w:color w:val="auto"/>
                <w:sz w:val="24"/>
                <w:highlight w:val="none"/>
              </w:rPr>
              <w:t>万元，招标代理服务费金额按如下计算：</w:t>
            </w:r>
          </w:p>
          <w:p>
            <w:pPr>
              <w:adjustRightInd/>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100</w:t>
            </w:r>
            <w:r>
              <w:rPr>
                <w:rFonts w:hint="eastAsia" w:ascii="宋体" w:hAnsi="宋体" w:eastAsia="宋体"/>
                <w:color w:val="auto"/>
                <w:sz w:val="24"/>
                <w:highlight w:val="none"/>
              </w:rPr>
              <w:t>万元×</w:t>
            </w:r>
            <w:r>
              <w:rPr>
                <w:rFonts w:ascii="宋体" w:hAnsi="宋体" w:eastAsia="宋体"/>
                <w:color w:val="auto"/>
                <w:sz w:val="24"/>
                <w:highlight w:val="none"/>
              </w:rPr>
              <w:t>1.5%</w:t>
            </w:r>
            <w:r>
              <w:rPr>
                <w:rFonts w:hint="eastAsia" w:ascii="宋体" w:hAnsi="宋体" w:eastAsia="宋体"/>
                <w:color w:val="auto"/>
                <w:sz w:val="24"/>
                <w:highlight w:val="none"/>
              </w:rPr>
              <w:t>＝</w:t>
            </w:r>
            <w:r>
              <w:rPr>
                <w:rFonts w:ascii="宋体" w:hAnsi="宋体" w:eastAsia="宋体"/>
                <w:color w:val="auto"/>
                <w:sz w:val="24"/>
                <w:highlight w:val="none"/>
              </w:rPr>
              <w:t xml:space="preserve">1.5 </w:t>
            </w:r>
            <w:r>
              <w:rPr>
                <w:rFonts w:hint="eastAsia" w:ascii="宋体" w:hAnsi="宋体" w:eastAsia="宋体"/>
                <w:color w:val="auto"/>
                <w:sz w:val="24"/>
                <w:highlight w:val="none"/>
              </w:rPr>
              <w:t>万元</w:t>
            </w:r>
          </w:p>
          <w:p>
            <w:pPr>
              <w:adjustRightInd/>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300</w:t>
            </w:r>
            <w:r>
              <w:rPr>
                <w:rFonts w:hint="eastAsia" w:ascii="宋体" w:hAnsi="宋体" w:eastAsia="宋体"/>
                <w:color w:val="auto"/>
                <w:sz w:val="24"/>
                <w:highlight w:val="none"/>
              </w:rPr>
              <w:t>－</w:t>
            </w:r>
            <w:r>
              <w:rPr>
                <w:rFonts w:ascii="宋体" w:hAnsi="宋体" w:eastAsia="宋体"/>
                <w:color w:val="auto"/>
                <w:sz w:val="24"/>
                <w:highlight w:val="none"/>
              </w:rPr>
              <w:t>100</w:t>
            </w:r>
            <w:r>
              <w:rPr>
                <w:rFonts w:hint="eastAsia" w:ascii="宋体" w:hAnsi="宋体" w:eastAsia="宋体"/>
                <w:color w:val="auto"/>
                <w:sz w:val="24"/>
                <w:highlight w:val="none"/>
              </w:rPr>
              <w:t>）万元×</w:t>
            </w:r>
            <w:r>
              <w:rPr>
                <w:rFonts w:ascii="宋体" w:hAnsi="宋体" w:eastAsia="宋体"/>
                <w:color w:val="auto"/>
                <w:sz w:val="24"/>
                <w:highlight w:val="none"/>
              </w:rPr>
              <w:t>1.1%</w:t>
            </w:r>
            <w:r>
              <w:rPr>
                <w:rFonts w:hint="eastAsia" w:ascii="宋体" w:hAnsi="宋体" w:eastAsia="宋体"/>
                <w:color w:val="auto"/>
                <w:sz w:val="24"/>
                <w:highlight w:val="none"/>
              </w:rPr>
              <w:t>＝</w:t>
            </w:r>
            <w:r>
              <w:rPr>
                <w:rFonts w:ascii="宋体" w:hAnsi="宋体" w:eastAsia="宋体"/>
                <w:color w:val="auto"/>
                <w:sz w:val="24"/>
                <w:highlight w:val="none"/>
              </w:rPr>
              <w:t>2.2</w:t>
            </w:r>
            <w:r>
              <w:rPr>
                <w:rFonts w:hint="eastAsia" w:ascii="宋体" w:hAnsi="宋体" w:eastAsia="宋体"/>
                <w:color w:val="auto"/>
                <w:sz w:val="24"/>
                <w:highlight w:val="none"/>
              </w:rPr>
              <w:t>万元</w:t>
            </w:r>
          </w:p>
          <w:p>
            <w:pPr>
              <w:autoSpaceDE w:val="0"/>
              <w:autoSpaceDN w:val="0"/>
              <w:spacing w:after="0" w:line="400" w:lineRule="exact"/>
              <w:ind w:firstLine="480" w:firstLineChars="200"/>
              <w:textAlignment w:val="bottom"/>
              <w:rPr>
                <w:rFonts w:ascii="宋体" w:hAnsi="宋体" w:eastAsia="宋体" w:cs="Courier New"/>
                <w:color w:val="auto"/>
                <w:sz w:val="24"/>
                <w:highlight w:val="none"/>
              </w:rPr>
            </w:pPr>
            <w:r>
              <w:rPr>
                <w:rFonts w:hint="eastAsia" w:ascii="宋体" w:hAnsi="宋体" w:eastAsia="宋体"/>
                <w:color w:val="auto"/>
                <w:sz w:val="24"/>
                <w:highlight w:val="none"/>
              </w:rPr>
              <w:t>合计收费＝</w:t>
            </w:r>
            <w:r>
              <w:rPr>
                <w:rFonts w:ascii="宋体" w:hAnsi="宋体" w:eastAsia="宋体"/>
                <w:color w:val="auto"/>
                <w:sz w:val="24"/>
                <w:highlight w:val="none"/>
              </w:rPr>
              <w:t>1.5</w:t>
            </w:r>
            <w:r>
              <w:rPr>
                <w:rFonts w:hint="eastAsia" w:ascii="宋体" w:hAnsi="宋体" w:eastAsia="宋体"/>
                <w:color w:val="auto"/>
                <w:sz w:val="24"/>
                <w:highlight w:val="none"/>
              </w:rPr>
              <w:t>＋</w:t>
            </w:r>
            <w:r>
              <w:rPr>
                <w:rFonts w:ascii="宋体" w:hAnsi="宋体" w:eastAsia="宋体"/>
                <w:color w:val="auto"/>
                <w:sz w:val="24"/>
                <w:highlight w:val="none"/>
              </w:rPr>
              <w:t>2.2=3.7</w:t>
            </w:r>
            <w:r>
              <w:rPr>
                <w:rFonts w:hint="eastAsia" w:ascii="宋体" w:hAnsi="宋体" w:eastAsia="宋体"/>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w:t>
            </w:r>
          </w:p>
        </w:tc>
        <w:tc>
          <w:tcPr>
            <w:tcW w:w="1283"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质疑函接收及联系方式</w:t>
            </w:r>
          </w:p>
        </w:tc>
        <w:tc>
          <w:tcPr>
            <w:tcW w:w="7290" w:type="dxa"/>
            <w:vAlign w:val="center"/>
          </w:tcPr>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接收质疑函的方式</w:t>
            </w:r>
            <w:r>
              <w:rPr>
                <w:rFonts w:hint="eastAsia" w:ascii="宋体" w:hAnsi="宋体" w:eastAsia="宋体"/>
                <w:color w:val="auto"/>
                <w:sz w:val="24"/>
                <w:highlight w:val="none"/>
              </w:rPr>
              <w:t>：接收供应商或其委托代理人以书面形式递交的质疑函原件，委托</w:t>
            </w:r>
            <w:r>
              <w:rPr>
                <w:rFonts w:ascii="宋体" w:hAnsi="宋体" w:eastAsia="宋体"/>
                <w:color w:val="auto"/>
                <w:sz w:val="24"/>
                <w:highlight w:val="none"/>
              </w:rPr>
              <w:t>代理人提出质疑</w:t>
            </w:r>
            <w:r>
              <w:rPr>
                <w:rFonts w:hint="eastAsia" w:ascii="宋体" w:hAnsi="宋体" w:eastAsia="宋体"/>
                <w:color w:val="auto"/>
                <w:sz w:val="24"/>
                <w:highlight w:val="none"/>
              </w:rPr>
              <w:t>的</w:t>
            </w:r>
            <w:r>
              <w:rPr>
                <w:rFonts w:ascii="宋体" w:hAnsi="宋体" w:eastAsia="宋体"/>
                <w:color w:val="auto"/>
                <w:sz w:val="24"/>
                <w:highlight w:val="none"/>
              </w:rPr>
              <w:t>，</w:t>
            </w:r>
            <w:r>
              <w:rPr>
                <w:rFonts w:hint="eastAsia" w:ascii="宋体" w:hAnsi="宋体" w:eastAsia="宋体"/>
                <w:color w:val="auto"/>
                <w:sz w:val="24"/>
                <w:highlight w:val="none"/>
              </w:rPr>
              <w:t>还</w:t>
            </w:r>
            <w:r>
              <w:rPr>
                <w:rFonts w:ascii="宋体" w:hAnsi="宋体" w:eastAsia="宋体"/>
                <w:color w:val="auto"/>
                <w:sz w:val="24"/>
                <w:highlight w:val="none"/>
              </w:rPr>
              <w:t>应当提交供应商签署的授权委托书</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联系部门</w:t>
            </w:r>
            <w:r>
              <w:rPr>
                <w:rFonts w:hint="eastAsia" w:ascii="宋体" w:hAnsi="宋体" w:eastAsia="宋体"/>
                <w:color w:val="auto"/>
                <w:sz w:val="24"/>
                <w:highlight w:val="none"/>
              </w:rPr>
              <w:t>：广西睿翼工程咨询有限公司</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联系电话</w:t>
            </w:r>
            <w:r>
              <w:rPr>
                <w:rFonts w:hint="eastAsia" w:ascii="宋体" w:hAnsi="宋体" w:eastAsia="宋体"/>
                <w:color w:val="auto"/>
                <w:sz w:val="24"/>
                <w:highlight w:val="none"/>
              </w:rPr>
              <w:t>：077</w:t>
            </w:r>
            <w:r>
              <w:rPr>
                <w:rFonts w:ascii="宋体" w:hAnsi="宋体" w:eastAsia="宋体"/>
                <w:color w:val="auto"/>
                <w:sz w:val="24"/>
                <w:highlight w:val="none"/>
              </w:rPr>
              <w:t>8</w:t>
            </w:r>
            <w:r>
              <w:rPr>
                <w:rFonts w:hint="eastAsia" w:ascii="宋体" w:hAnsi="宋体" w:eastAsia="宋体"/>
                <w:color w:val="auto"/>
                <w:sz w:val="24"/>
                <w:highlight w:val="none"/>
              </w:rPr>
              <w:t>-</w:t>
            </w:r>
            <w:r>
              <w:rPr>
                <w:rFonts w:ascii="宋体" w:hAnsi="宋体" w:eastAsia="宋体"/>
                <w:color w:val="auto"/>
                <w:sz w:val="24"/>
                <w:highlight w:val="none"/>
              </w:rPr>
              <w:t>2211981</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通讯地址</w:t>
            </w:r>
            <w:r>
              <w:rPr>
                <w:rFonts w:hint="eastAsia" w:ascii="宋体" w:hAnsi="宋体" w:eastAsia="宋体"/>
                <w:color w:val="auto"/>
                <w:sz w:val="24"/>
                <w:highlight w:val="none"/>
              </w:rPr>
              <w:t>：广西河池市金城江区金城中路2-4号铜鼓园写字楼3楼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color w:val="auto"/>
                <w:sz w:val="24"/>
                <w:highlight w:val="none"/>
              </w:rPr>
            </w:pPr>
          </w:p>
        </w:tc>
        <w:tc>
          <w:tcPr>
            <w:tcW w:w="1283" w:type="dxa"/>
            <w:vAlign w:val="center"/>
          </w:tcPr>
          <w:p>
            <w:pPr>
              <w:spacing w:after="0" w:line="400" w:lineRule="exact"/>
              <w:jc w:val="center"/>
              <w:rPr>
                <w:rFonts w:ascii="宋体" w:hAnsi="宋体" w:eastAsia="宋体" w:cs="宋体"/>
                <w:color w:val="auto"/>
                <w:sz w:val="24"/>
                <w:highlight w:val="none"/>
              </w:rPr>
            </w:pPr>
          </w:p>
        </w:tc>
        <w:tc>
          <w:tcPr>
            <w:tcW w:w="7290" w:type="dxa"/>
            <w:vAlign w:val="center"/>
          </w:tcPr>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本文件中描述</w:t>
            </w:r>
            <w:r>
              <w:rPr>
                <w:rFonts w:hint="eastAsia" w:ascii="宋体" w:hAnsi="宋体" w:eastAsia="宋体" w:cs="宋体"/>
                <w:color w:val="auto"/>
                <w:sz w:val="24"/>
                <w:highlight w:val="none"/>
              </w:rPr>
              <w:t>供应商</w:t>
            </w:r>
            <w:r>
              <w:rPr>
                <w:rFonts w:ascii="宋体" w:hAnsi="宋体" w:eastAsia="宋体" w:cs="宋体"/>
                <w:color w:val="auto"/>
                <w:sz w:val="24"/>
                <w:highlight w:val="none"/>
              </w:rPr>
              <w:t>的“公章”是指根据我国对公章的管理规定，用</w:t>
            </w:r>
            <w:r>
              <w:rPr>
                <w:rFonts w:hint="eastAsia" w:ascii="宋体" w:hAnsi="宋体" w:eastAsia="宋体" w:cs="宋体"/>
                <w:color w:val="auto"/>
                <w:sz w:val="24"/>
                <w:highlight w:val="none"/>
              </w:rPr>
              <w:t>供应商</w:t>
            </w:r>
            <w:r>
              <w:rPr>
                <w:rFonts w:ascii="宋体" w:hAnsi="宋体" w:eastAsia="宋体" w:cs="宋体"/>
                <w:color w:val="auto"/>
                <w:sz w:val="24"/>
                <w:highlight w:val="none"/>
              </w:rPr>
              <w:t>法定主体行为名称制作的印章，除本文件有特殊规定外，</w:t>
            </w:r>
            <w:r>
              <w:rPr>
                <w:rFonts w:hint="eastAsia" w:ascii="宋体" w:hAnsi="宋体" w:eastAsia="宋体" w:cs="宋体"/>
                <w:color w:val="auto"/>
                <w:sz w:val="24"/>
                <w:highlight w:val="none"/>
              </w:rPr>
              <w:t>供应商</w:t>
            </w:r>
            <w:r>
              <w:rPr>
                <w:rFonts w:ascii="宋体" w:hAnsi="宋体" w:eastAsia="宋体" w:cs="宋体"/>
                <w:color w:val="auto"/>
                <w:sz w:val="24"/>
                <w:highlight w:val="none"/>
              </w:rPr>
              <w:t>的财务章、部门章、分公司章、工会章、合同章、</w:t>
            </w:r>
            <w:r>
              <w:rPr>
                <w:rFonts w:hint="eastAsia" w:ascii="宋体" w:hAnsi="宋体" w:eastAsia="宋体" w:cs="宋体"/>
                <w:color w:val="auto"/>
                <w:sz w:val="24"/>
                <w:highlight w:val="none"/>
              </w:rPr>
              <w:t>竞标</w:t>
            </w:r>
            <w:r>
              <w:rPr>
                <w:rFonts w:ascii="宋体" w:hAnsi="宋体" w:eastAsia="宋体" w:cs="宋体"/>
                <w:color w:val="auto"/>
                <w:sz w:val="24"/>
                <w:highlight w:val="none"/>
              </w:rPr>
              <w:t>专用章、业务专用章及银行的转账章、现金收讫章、现金付讫章等其它形式印章均不能代替公章。</w:t>
            </w:r>
            <w:r>
              <w:rPr>
                <w:rFonts w:hint="eastAsia" w:ascii="宋体" w:hAnsi="宋体" w:eastAsia="宋体" w:cs="宋体"/>
                <w:b/>
                <w:color w:val="auto"/>
                <w:sz w:val="24"/>
                <w:highlight w:val="none"/>
              </w:rPr>
              <w:t>不符合要求的作竞标无效处理。</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本文件中描述</w:t>
            </w:r>
            <w:r>
              <w:rPr>
                <w:rFonts w:hint="eastAsia" w:ascii="宋体" w:hAnsi="宋体" w:eastAsia="宋体" w:cs="宋体"/>
                <w:color w:val="auto"/>
                <w:sz w:val="24"/>
                <w:highlight w:val="none"/>
              </w:rPr>
              <w:t>供应商</w:t>
            </w:r>
            <w:r>
              <w:rPr>
                <w:rFonts w:ascii="宋体" w:hAnsi="宋体" w:eastAsia="宋体" w:cs="宋体"/>
                <w:color w:val="auto"/>
                <w:sz w:val="24"/>
                <w:highlight w:val="none"/>
              </w:rPr>
              <w:t>的“</w:t>
            </w:r>
            <w:r>
              <w:rPr>
                <w:rFonts w:hint="eastAsia" w:ascii="宋体" w:hAnsi="宋体" w:eastAsia="宋体" w:cs="宋体"/>
                <w:color w:val="auto"/>
                <w:sz w:val="24"/>
                <w:highlight w:val="none"/>
              </w:rPr>
              <w:t>签字</w:t>
            </w:r>
            <w:r>
              <w:rPr>
                <w:rFonts w:ascii="宋体" w:hAnsi="宋体" w:eastAsia="宋体" w:cs="宋体"/>
                <w:color w:val="auto"/>
                <w:sz w:val="24"/>
                <w:highlight w:val="none"/>
              </w:rPr>
              <w:t>”是指</w:t>
            </w:r>
            <w:r>
              <w:rPr>
                <w:rFonts w:hint="eastAsia" w:ascii="宋体" w:hAnsi="宋体" w:eastAsia="宋体" w:cs="宋体"/>
                <w:color w:val="auto"/>
                <w:sz w:val="24"/>
                <w:highlight w:val="none"/>
              </w:rPr>
              <w:t>供应商的法定代表人或被授权人亲自在文件规定签署处亲笔写上个人的名字的行为，私章、签字章、印鉴、影印等其它形式</w:t>
            </w:r>
            <w:r>
              <w:rPr>
                <w:rFonts w:ascii="宋体" w:hAnsi="宋体" w:eastAsia="宋体" w:cs="宋体"/>
                <w:color w:val="auto"/>
                <w:sz w:val="24"/>
                <w:highlight w:val="none"/>
              </w:rPr>
              <w:t>均不能代替</w:t>
            </w:r>
            <w:r>
              <w:rPr>
                <w:rFonts w:hint="eastAsia" w:ascii="宋体" w:hAnsi="宋体" w:eastAsia="宋体" w:cs="宋体"/>
                <w:color w:val="auto"/>
                <w:sz w:val="24"/>
                <w:highlight w:val="none"/>
              </w:rPr>
              <w:t>亲笔签字</w:t>
            </w:r>
            <w:r>
              <w:rPr>
                <w:rFonts w:ascii="宋体" w:hAnsi="宋体" w:eastAsia="宋体" w:cs="宋体"/>
                <w:color w:val="auto"/>
                <w:sz w:val="24"/>
                <w:highlight w:val="none"/>
              </w:rPr>
              <w:t>。</w:t>
            </w:r>
            <w:r>
              <w:rPr>
                <w:rFonts w:hint="eastAsia" w:ascii="宋体" w:hAnsi="宋体" w:eastAsia="宋体" w:cs="宋体"/>
                <w:b/>
                <w:color w:val="auto"/>
                <w:sz w:val="24"/>
                <w:highlight w:val="none"/>
              </w:rPr>
              <w:t>不符合要求的或漏签的作竞标无效处理。</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2"/>
                <w:sz w:val="24"/>
                <w:szCs w:val="24"/>
                <w:highlight w:val="none"/>
              </w:rPr>
              <w:t xml:space="preserve"> 供应商</w:t>
            </w:r>
            <w:r>
              <w:rPr>
                <w:rFonts w:hint="eastAsia" w:ascii="宋体" w:hAnsi="宋体" w:eastAsia="宋体" w:cs="宋体"/>
                <w:color w:val="auto"/>
                <w:sz w:val="24"/>
                <w:highlight w:val="none"/>
              </w:rPr>
              <w:t>须知前附表是对供应商须知的具体补充和修改，如有矛盾，应以本前附表为准。</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4.本采购文件是根据国家有关法律及有关政策、法规编制，解释权属采购代理机构。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1030" w:type="dxa"/>
            <w:vAlign w:val="center"/>
          </w:tcPr>
          <w:p>
            <w:pPr>
              <w:spacing w:after="0" w:line="400" w:lineRule="exact"/>
              <w:ind w:firstLine="480" w:firstLineChars="200"/>
              <w:jc w:val="center"/>
              <w:rPr>
                <w:rFonts w:ascii="宋体" w:hAnsi="宋体" w:eastAsia="宋体" w:cs="宋体"/>
                <w:color w:val="auto"/>
                <w:sz w:val="24"/>
                <w:highlight w:val="none"/>
              </w:rPr>
            </w:pPr>
          </w:p>
        </w:tc>
        <w:tc>
          <w:tcPr>
            <w:tcW w:w="1283" w:type="dxa"/>
            <w:vAlign w:val="center"/>
          </w:tcPr>
          <w:p>
            <w:pPr>
              <w:spacing w:after="0" w:line="400" w:lineRule="exact"/>
              <w:ind w:firstLine="480" w:firstLineChars="200"/>
              <w:jc w:val="center"/>
              <w:rPr>
                <w:rFonts w:ascii="宋体" w:hAnsi="宋体" w:eastAsia="宋体" w:cs="宋体"/>
                <w:color w:val="auto"/>
                <w:sz w:val="24"/>
                <w:highlight w:val="none"/>
              </w:rPr>
            </w:pPr>
          </w:p>
        </w:tc>
        <w:tc>
          <w:tcPr>
            <w:tcW w:w="7290" w:type="dxa"/>
            <w:vAlign w:val="center"/>
          </w:tcPr>
          <w:p>
            <w:pPr>
              <w:spacing w:after="0" w:line="400" w:lineRule="exact"/>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递交响应文件截止时间后，由采购人或采购代理机构对供应商进行信用信息查询，具体规定如下：</w:t>
            </w:r>
          </w:p>
          <w:p>
            <w:pPr>
              <w:spacing w:after="0" w:line="400" w:lineRule="exact"/>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查询渠道：“信用中国”网站(www.creditchina.gov.cn)、中国政府采购网(www.ccgp.gov.cn)等。</w:t>
            </w:r>
          </w:p>
          <w:p>
            <w:pPr>
              <w:spacing w:after="0" w:line="400" w:lineRule="exact"/>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“信用中国”网站查询内容：失信被执行人、重大税收违法案件当事人名单、政府采购严重违法失信行为记录名单查询结果或界面截图；查询或打印截止时点：递交响应文件截止时间。</w:t>
            </w:r>
          </w:p>
          <w:p>
            <w:pPr>
              <w:spacing w:after="0" w:line="400" w:lineRule="exact"/>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“中国政府采购网”的查询内容：政府采购严重违法失信行为信息记录；查询时间：递交响应文件截止时间前三年内。</w:t>
            </w:r>
          </w:p>
          <w:p>
            <w:pPr>
              <w:spacing w:after="0" w:line="400" w:lineRule="exact"/>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查询记录和证据留存方式：在查询网站中直接打印查询记录，打印材料作为评审资料保存。</w:t>
            </w:r>
          </w:p>
          <w:p>
            <w:pPr>
              <w:spacing w:after="0" w:line="360" w:lineRule="exact"/>
              <w:ind w:firstLine="480" w:firstLineChars="200"/>
              <w:jc w:val="both"/>
              <w:rPr>
                <w:rFonts w:ascii="宋体" w:hAnsi="宋体" w:eastAsia="宋体" w:cs="宋体"/>
                <w:color w:val="auto"/>
                <w:sz w:val="24"/>
                <w:highlight w:val="none"/>
              </w:rPr>
            </w:pPr>
            <w:r>
              <w:rPr>
                <w:rFonts w:hint="eastAsia" w:ascii="宋体" w:hAnsi="宋体" w:eastAsia="宋体" w:cs="仿宋"/>
                <w:color w:val="auto"/>
                <w:sz w:val="24"/>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4"/>
        <w:spacing w:beforeLines="100" w:line="400" w:lineRule="exact"/>
        <w:rPr>
          <w:rFonts w:ascii="宋体" w:hAnsi="宋体" w:eastAsia="宋体"/>
          <w:color w:val="auto"/>
          <w:highlight w:val="none"/>
        </w:rPr>
      </w:pPr>
      <w:bookmarkStart w:id="56" w:name="_Toc246095454"/>
      <w:bookmarkStart w:id="57" w:name="_Toc246095516"/>
      <w:bookmarkStart w:id="58" w:name="_Toc246094910"/>
      <w:r>
        <w:rPr>
          <w:rFonts w:hint="eastAsia" w:ascii="宋体" w:hAnsi="宋体" w:eastAsia="宋体"/>
          <w:color w:val="auto"/>
          <w:highlight w:val="none"/>
        </w:rPr>
        <w:br w:type="page"/>
      </w:r>
      <w:bookmarkStart w:id="59" w:name="_Toc46404610"/>
      <w:r>
        <w:rPr>
          <w:rFonts w:hint="eastAsia" w:ascii="宋体" w:hAnsi="宋体" w:eastAsia="宋体"/>
          <w:color w:val="auto"/>
          <w:highlight w:val="none"/>
        </w:rPr>
        <w:t>一、总则</w:t>
      </w:r>
      <w:bookmarkEnd w:id="56"/>
      <w:bookmarkEnd w:id="57"/>
      <w:bookmarkEnd w:id="58"/>
      <w:bookmarkEnd w:id="59"/>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l. 项目概况</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1.1适用范围：本文件仅适用于本文件中所叙述的货物类政府采购项目。</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1.2  采购人：见供应商须知前附表。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1.3  采购代理机构：见供应商须知前附表。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1.4  项目名称：</w:t>
      </w:r>
      <w:r>
        <w:rPr>
          <w:rFonts w:hint="eastAsia" w:ascii="宋体" w:hAnsi="宋体" w:eastAsia="宋体"/>
          <w:bCs/>
          <w:color w:val="auto"/>
          <w:sz w:val="24"/>
          <w:highlight w:val="none"/>
        </w:rPr>
        <w:t>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1.5  采购编号：</w:t>
      </w:r>
      <w:r>
        <w:rPr>
          <w:rFonts w:hint="eastAsia" w:ascii="宋体" w:hAnsi="宋体" w:eastAsia="宋体"/>
          <w:bCs/>
          <w:color w:val="auto"/>
          <w:sz w:val="24"/>
          <w:highlight w:val="none"/>
        </w:rPr>
        <w:t>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1.6  采购预算：见供应商须知前附表。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1.7  资金来源：见供应商须知前附表。</w:t>
      </w:r>
    </w:p>
    <w:p>
      <w:pPr>
        <w:spacing w:after="0" w:line="400" w:lineRule="exact"/>
        <w:ind w:firstLine="480" w:firstLineChars="200"/>
        <w:rPr>
          <w:rFonts w:ascii="宋体" w:hAnsi="宋体" w:eastAsia="宋体" w:cs="宋体"/>
          <w:bCs/>
          <w:color w:val="auto"/>
          <w:highlight w:val="none"/>
        </w:rPr>
      </w:pPr>
      <w:r>
        <w:rPr>
          <w:rFonts w:hint="eastAsia" w:ascii="宋体" w:hAnsi="宋体" w:eastAsia="宋体"/>
          <w:bCs/>
          <w:color w:val="auto"/>
          <w:sz w:val="24"/>
          <w:highlight w:val="none"/>
        </w:rPr>
        <w:t>1.8  预留采购份额：见供应商须知前附表。</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2.定义</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2.1 “采购人"是指依法进行政府采购的国家机关、事业单位、团体组织。</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2.2 “采购代理机构”是指依法设立、从事采购代理业务并提供相关服务的社会中介机构。</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2.4“货物”是指各种形态和种类的物品，包括原材料、燃料、设备、产品等。</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5</w:t>
      </w:r>
      <w:r>
        <w:rPr>
          <w:rFonts w:hint="eastAsia" w:ascii="宋体" w:hAnsi="宋体" w:eastAsia="宋体" w:cs="Arial"/>
          <w:color w:val="auto"/>
          <w:sz w:val="24"/>
          <w:highlight w:val="none"/>
        </w:rPr>
        <w:t>“服务”系指除货物和工程以外的其他政府采购对象。</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6</w:t>
      </w:r>
      <w:r>
        <w:rPr>
          <w:rFonts w:hint="eastAsia" w:ascii="宋体" w:hAnsi="宋体" w:eastAsia="宋体" w:cs="Arial"/>
          <w:color w:val="auto"/>
          <w:sz w:val="24"/>
          <w:highlight w:val="none"/>
        </w:rPr>
        <w:t>“响应文件”是指供应商根据本文件要求，编制包含报价、技术和服务等所有内容的文件。</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2.8</w:t>
      </w:r>
      <w:r>
        <w:rPr>
          <w:rFonts w:hint="eastAsia" w:ascii="宋体" w:hAnsi="宋体" w:eastAsia="宋体" w:cs="Arial"/>
          <w:color w:val="auto"/>
          <w:sz w:val="24"/>
          <w:highlight w:val="none"/>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9</w:t>
      </w:r>
      <w:r>
        <w:rPr>
          <w:rFonts w:hint="eastAsia" w:ascii="宋体" w:hAnsi="宋体" w:eastAsia="宋体" w:cs="Arial"/>
          <w:color w:val="auto"/>
          <w:sz w:val="24"/>
          <w:highlight w:val="none"/>
        </w:rPr>
        <w:t>标注“▲”号的条款或要求系指实质性条款或实质性要求。</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 供应商资格条件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 基本资格条件：见“供应商须知前附表”规定。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3.2 供应商的特定要求：见“供应商须知前附表”规定。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3.3 存在下列情形之一的供应商不得参加资格性审查：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（2）在财政部门禁止参加政府采购活动期限以内的。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3.4 按本项目采购公告规定方式获得竞争性谈判文件。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3.5 本项目是否接受联合体竞标，见“供应商须知前附表”规定。</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 语言文字及计量单位</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 竞标费用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5.2本项目的招标代理服务费按须知</w:t>
      </w:r>
      <w:r>
        <w:rPr>
          <w:rFonts w:hint="eastAsia" w:ascii="宋体" w:hAnsi="宋体" w:eastAsia="宋体"/>
          <w:b/>
          <w:bCs/>
          <w:color w:val="auto"/>
          <w:sz w:val="24"/>
          <w:highlight w:val="none"/>
        </w:rPr>
        <w:t>前附表</w:t>
      </w:r>
      <w:r>
        <w:rPr>
          <w:rFonts w:hint="eastAsia" w:ascii="宋体" w:hAnsi="宋体" w:eastAsia="宋体"/>
          <w:color w:val="auto"/>
          <w:sz w:val="24"/>
          <w:highlight w:val="none"/>
        </w:rPr>
        <w:t>的规定执行，由成交供应商在领取成交通知书前，一次性向采购代理机构支付。</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 现场勘察</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olor w:val="auto"/>
          <w:sz w:val="24"/>
          <w:highlight w:val="none"/>
        </w:rPr>
        <w:t>6.1</w:t>
      </w:r>
      <w:r>
        <w:rPr>
          <w:rFonts w:hint="eastAsia" w:ascii="宋体" w:hAnsi="宋体" w:eastAsia="宋体" w:cs="Arial"/>
          <w:color w:val="auto"/>
          <w:sz w:val="24"/>
          <w:highlight w:val="none"/>
        </w:rPr>
        <w:t>前附表如规定现场踏勘的，供应商应按规定时间地点参加踏勘。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6.2 供应商应承担现场勘察的责任和风险。勘查现场的费用由供应商自己承担。采购人</w:t>
      </w:r>
      <w:r>
        <w:rPr>
          <w:rFonts w:ascii="宋体" w:hAnsi="宋体" w:eastAsia="宋体"/>
          <w:color w:val="auto"/>
          <w:sz w:val="24"/>
          <w:highlight w:val="none"/>
        </w:rPr>
        <w:t>对</w:t>
      </w:r>
      <w:r>
        <w:rPr>
          <w:rFonts w:hint="eastAsia" w:ascii="宋体" w:hAnsi="宋体" w:eastAsia="宋体"/>
          <w:color w:val="auto"/>
          <w:sz w:val="24"/>
          <w:highlight w:val="none"/>
        </w:rPr>
        <w:t>供应商</w:t>
      </w:r>
      <w:r>
        <w:rPr>
          <w:rFonts w:ascii="宋体" w:hAnsi="宋体" w:eastAsia="宋体"/>
          <w:color w:val="auto"/>
          <w:sz w:val="24"/>
          <w:highlight w:val="none"/>
        </w:rPr>
        <w:t>由此而做出的推论、理解和结论概不负责。</w:t>
      </w:r>
    </w:p>
    <w:p>
      <w:pPr>
        <w:pStyle w:val="4"/>
        <w:spacing w:beforeLines="100" w:line="400" w:lineRule="exact"/>
        <w:rPr>
          <w:rFonts w:ascii="宋体" w:hAnsi="宋体" w:eastAsia="宋体"/>
          <w:color w:val="auto"/>
          <w:highlight w:val="none"/>
        </w:rPr>
      </w:pPr>
      <w:bookmarkStart w:id="60" w:name="_Toc246094911"/>
      <w:bookmarkStart w:id="61" w:name="_Toc246095455"/>
      <w:bookmarkStart w:id="62" w:name="_Toc46404611"/>
      <w:bookmarkStart w:id="63" w:name="_Toc246095517"/>
      <w:r>
        <w:rPr>
          <w:rFonts w:hint="eastAsia" w:ascii="宋体" w:hAnsi="宋体" w:eastAsia="宋体"/>
          <w:color w:val="auto"/>
          <w:highlight w:val="none"/>
        </w:rPr>
        <w:t>二、竞争性谈判文件</w:t>
      </w:r>
      <w:bookmarkEnd w:id="60"/>
      <w:bookmarkEnd w:id="61"/>
      <w:bookmarkEnd w:id="62"/>
      <w:bookmarkEnd w:id="63"/>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 竞争性谈判文件的组成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7.1 竞争性谈判文件包括下列内容：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第一章 推荐供应商情况公示</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第二章 供应商须知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 项目采购需求和说明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第四章 评标办法</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第五章 合同条款</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第六章 响应文件格式</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8. 竞争性谈判文件的澄清</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8.1 供应商应仔细阅读和检查竞争性谈判文件的全部内容。如发现缺页、</w:t>
      </w:r>
      <w:r>
        <w:rPr>
          <w:rFonts w:hint="eastAsia" w:ascii="宋体" w:hAnsi="宋体" w:eastAsia="宋体" w:cs="Arial"/>
          <w:color w:val="auto"/>
          <w:sz w:val="24"/>
          <w:highlight w:val="none"/>
        </w:rPr>
        <w:t>有误或有不合理要求的</w:t>
      </w:r>
      <w:r>
        <w:rPr>
          <w:rFonts w:hint="eastAsia" w:ascii="宋体" w:hAnsi="宋体" w:eastAsia="宋体"/>
          <w:color w:val="auto"/>
          <w:sz w:val="24"/>
          <w:highlight w:val="none"/>
        </w:rPr>
        <w:t>，供应商必须在</w:t>
      </w:r>
      <w:r>
        <w:rPr>
          <w:rFonts w:ascii="宋体" w:hAnsi="宋体" w:eastAsia="宋体"/>
          <w:color w:val="auto"/>
          <w:sz w:val="24"/>
          <w:highlight w:val="none"/>
        </w:rPr>
        <w:t>提交首次响应文件截止之日前</w:t>
      </w:r>
      <w:r>
        <w:rPr>
          <w:rFonts w:hint="eastAsia" w:ascii="宋体" w:hAnsi="宋体" w:eastAsia="宋体"/>
          <w:color w:val="auto"/>
          <w:sz w:val="24"/>
          <w:highlight w:val="none"/>
        </w:rPr>
        <w:t>，以书面形式要求</w:t>
      </w:r>
      <w:r>
        <w:rPr>
          <w:rFonts w:ascii="宋体" w:hAnsi="宋体" w:eastAsia="宋体"/>
          <w:color w:val="auto"/>
          <w:sz w:val="24"/>
          <w:highlight w:val="none"/>
        </w:rPr>
        <w:t>采购人</w:t>
      </w:r>
      <w:r>
        <w:rPr>
          <w:rFonts w:hint="eastAsia" w:ascii="宋体" w:hAnsi="宋体" w:eastAsia="宋体"/>
          <w:color w:val="auto"/>
          <w:sz w:val="24"/>
          <w:highlight w:val="none"/>
        </w:rPr>
        <w:t>或</w:t>
      </w:r>
      <w:r>
        <w:rPr>
          <w:rFonts w:ascii="宋体" w:hAnsi="宋体" w:eastAsia="宋体"/>
          <w:color w:val="auto"/>
          <w:sz w:val="24"/>
          <w:highlight w:val="none"/>
        </w:rPr>
        <w:t>采购代理机构</w:t>
      </w:r>
      <w:r>
        <w:rPr>
          <w:rFonts w:hint="eastAsia" w:ascii="宋体" w:hAnsi="宋体" w:eastAsia="宋体"/>
          <w:color w:val="auto"/>
          <w:sz w:val="24"/>
          <w:highlight w:val="none"/>
        </w:rPr>
        <w:t>澄清。逾期不提出澄清要求视为对竞争性谈判文件无异议。</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采购人、采购代理机构可以对已发出的谈判文件进行必要的澄清，澄清的内容作为谈判文件的组成部分。澄清的内容可能影响响应文件编制的，</w:t>
      </w:r>
      <w:r>
        <w:rPr>
          <w:rFonts w:hint="eastAsia" w:ascii="宋体" w:hAnsi="宋体" w:eastAsia="宋体"/>
          <w:color w:val="auto"/>
          <w:sz w:val="24"/>
          <w:highlight w:val="none"/>
        </w:rPr>
        <w:t>谈判文件的澄清将在</w:t>
      </w:r>
      <w:r>
        <w:rPr>
          <w:rFonts w:hint="eastAsia" w:ascii="宋体" w:hAnsi="宋体" w:eastAsia="宋体" w:cs="Arial"/>
          <w:color w:val="auto"/>
          <w:sz w:val="24"/>
          <w:highlight w:val="none"/>
        </w:rPr>
        <w:t>提交首次响应文件截止之日3</w:t>
      </w:r>
      <w:r>
        <w:rPr>
          <w:rFonts w:hint="eastAsia" w:ascii="宋体" w:hAnsi="宋体" w:eastAsia="宋体"/>
          <w:color w:val="auto"/>
          <w:sz w:val="24"/>
          <w:highlight w:val="none"/>
        </w:rPr>
        <w:t>个工作日前以书面形式（</w:t>
      </w:r>
      <w:r>
        <w:rPr>
          <w:rFonts w:hint="eastAsia" w:ascii="宋体" w:hAnsi="宋体" w:eastAsia="宋体" w:cs="Arial"/>
          <w:color w:val="auto"/>
          <w:sz w:val="24"/>
          <w:highlight w:val="none"/>
        </w:rPr>
        <w:t>在发布推荐供应商情况公示的政府采购信息发布媒体上发布</w:t>
      </w:r>
      <w:r>
        <w:rPr>
          <w:rFonts w:hint="eastAsia" w:ascii="宋体" w:hAnsi="宋体" w:eastAsia="宋体"/>
          <w:color w:val="auto"/>
          <w:sz w:val="24"/>
          <w:highlight w:val="none"/>
        </w:rPr>
        <w:t>）发给所有购买竞争性谈判文件的供应商，但不指明澄清问题的来源，供应商未及时关注采购代理机构在公告发布媒介上发布的澄清文件造成的损失，由供应商自行负责。</w:t>
      </w:r>
      <w:r>
        <w:rPr>
          <w:rFonts w:ascii="宋体" w:hAnsi="宋体" w:eastAsia="宋体"/>
          <w:color w:val="auto"/>
          <w:sz w:val="24"/>
          <w:highlight w:val="none"/>
        </w:rPr>
        <w:t>不足3个工作日的，</w:t>
      </w:r>
      <w:r>
        <w:rPr>
          <w:rFonts w:hint="eastAsia" w:ascii="宋体" w:hAnsi="宋体" w:eastAsia="宋体"/>
          <w:color w:val="auto"/>
          <w:sz w:val="24"/>
          <w:highlight w:val="none"/>
        </w:rPr>
        <w:t>将</w:t>
      </w:r>
      <w:r>
        <w:rPr>
          <w:rFonts w:ascii="宋体" w:hAnsi="宋体" w:eastAsia="宋体"/>
          <w:color w:val="auto"/>
          <w:sz w:val="24"/>
          <w:highlight w:val="none"/>
        </w:rPr>
        <w:t>顺延提交首次响应文件截止之日</w:t>
      </w:r>
      <w:r>
        <w:rPr>
          <w:rFonts w:hint="eastAsia" w:ascii="宋体" w:hAnsi="宋体" w:eastAsia="宋体"/>
          <w:color w:val="auto"/>
          <w:sz w:val="24"/>
          <w:highlight w:val="none"/>
        </w:rPr>
        <w:t>。</w:t>
      </w:r>
      <w:r>
        <w:rPr>
          <w:rFonts w:hint="eastAsia" w:ascii="宋体" w:hAnsi="宋体" w:eastAsia="宋体" w:cs="Arial"/>
          <w:color w:val="auto"/>
          <w:sz w:val="24"/>
          <w:highlight w:val="none"/>
        </w:rPr>
        <w:t>该澄清的内容为谈判文件的组成部分。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8.3当谈判文件与谈判文件的澄清就同一内容的表述不一致时，以最后发出的公告或书面文件为准。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9. 竞争性谈判文件的修改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9.1</w:t>
      </w:r>
      <w:r>
        <w:rPr>
          <w:rFonts w:ascii="宋体" w:hAnsi="宋体" w:eastAsia="宋体"/>
          <w:color w:val="auto"/>
          <w:sz w:val="24"/>
          <w:highlight w:val="none"/>
        </w:rPr>
        <w:t>采购人、采购代理机构可以对已发出的谈判文件进行必要的</w:t>
      </w:r>
      <w:r>
        <w:rPr>
          <w:rFonts w:hint="eastAsia" w:ascii="宋体" w:hAnsi="宋体" w:eastAsia="宋体"/>
          <w:color w:val="auto"/>
          <w:sz w:val="24"/>
          <w:highlight w:val="none"/>
        </w:rPr>
        <w:t>修改</w:t>
      </w:r>
      <w:r>
        <w:rPr>
          <w:rFonts w:ascii="宋体" w:hAnsi="宋体" w:eastAsia="宋体"/>
          <w:color w:val="auto"/>
          <w:sz w:val="24"/>
          <w:highlight w:val="none"/>
        </w:rPr>
        <w:t>，</w:t>
      </w:r>
      <w:r>
        <w:rPr>
          <w:rFonts w:hint="eastAsia" w:ascii="宋体" w:hAnsi="宋体" w:eastAsia="宋体"/>
          <w:color w:val="auto"/>
          <w:sz w:val="24"/>
          <w:highlight w:val="none"/>
        </w:rPr>
        <w:t>修改</w:t>
      </w:r>
      <w:r>
        <w:rPr>
          <w:rFonts w:ascii="宋体" w:hAnsi="宋体" w:eastAsia="宋体"/>
          <w:color w:val="auto"/>
          <w:sz w:val="24"/>
          <w:highlight w:val="none"/>
        </w:rPr>
        <w:t>的内容作为谈判文件的组成部分。</w:t>
      </w:r>
      <w:r>
        <w:rPr>
          <w:rFonts w:hint="eastAsia" w:ascii="宋体" w:hAnsi="宋体" w:eastAsia="宋体"/>
          <w:color w:val="auto"/>
          <w:sz w:val="24"/>
          <w:highlight w:val="none"/>
        </w:rPr>
        <w:t>修改</w:t>
      </w:r>
      <w:r>
        <w:rPr>
          <w:rFonts w:ascii="宋体" w:hAnsi="宋体" w:eastAsia="宋体"/>
          <w:color w:val="auto"/>
          <w:sz w:val="24"/>
          <w:highlight w:val="none"/>
        </w:rPr>
        <w:t>的内容可能影响响应文件编制的，</w:t>
      </w:r>
      <w:r>
        <w:rPr>
          <w:rFonts w:hint="eastAsia" w:ascii="宋体" w:hAnsi="宋体" w:eastAsia="宋体"/>
          <w:color w:val="auto"/>
          <w:sz w:val="24"/>
          <w:highlight w:val="none"/>
        </w:rPr>
        <w:t>谈判文件的修改将在</w:t>
      </w:r>
      <w:r>
        <w:rPr>
          <w:rFonts w:hint="eastAsia" w:ascii="宋体" w:hAnsi="宋体" w:eastAsia="宋体" w:cs="Arial"/>
          <w:color w:val="auto"/>
          <w:sz w:val="24"/>
          <w:highlight w:val="none"/>
        </w:rPr>
        <w:t>提交首次响应文件截止之日3</w:t>
      </w:r>
      <w:r>
        <w:rPr>
          <w:rFonts w:hint="eastAsia" w:ascii="宋体" w:hAnsi="宋体" w:eastAsia="宋体"/>
          <w:color w:val="auto"/>
          <w:sz w:val="24"/>
          <w:highlight w:val="none"/>
        </w:rPr>
        <w:t>个工作日前以书面形式（</w:t>
      </w:r>
      <w:r>
        <w:rPr>
          <w:rFonts w:hint="eastAsia" w:ascii="宋体" w:hAnsi="宋体" w:eastAsia="宋体" w:cs="Arial"/>
          <w:color w:val="auto"/>
          <w:sz w:val="24"/>
          <w:highlight w:val="none"/>
        </w:rPr>
        <w:t>在发布推荐供应商情况公示的政府采购信息发布媒体上发布</w:t>
      </w:r>
      <w:r>
        <w:rPr>
          <w:rFonts w:hint="eastAsia" w:ascii="宋体" w:hAnsi="宋体" w:eastAsia="宋体"/>
          <w:color w:val="auto"/>
          <w:sz w:val="24"/>
          <w:highlight w:val="none"/>
        </w:rPr>
        <w:t>）发给所有购买竞争性谈判文件的供应商，供应商未及时关注采购代理机构在公告发布媒介上发布的修改文件造成的损失，由供应商自行负责。</w:t>
      </w:r>
      <w:r>
        <w:rPr>
          <w:rFonts w:ascii="宋体" w:hAnsi="宋体" w:eastAsia="宋体"/>
          <w:color w:val="auto"/>
          <w:sz w:val="24"/>
          <w:highlight w:val="none"/>
        </w:rPr>
        <w:t>不足3个工作日的，</w:t>
      </w:r>
      <w:r>
        <w:rPr>
          <w:rFonts w:hint="eastAsia" w:ascii="宋体" w:hAnsi="宋体" w:eastAsia="宋体"/>
          <w:color w:val="auto"/>
          <w:sz w:val="24"/>
          <w:highlight w:val="none"/>
        </w:rPr>
        <w:t>将</w:t>
      </w:r>
      <w:r>
        <w:rPr>
          <w:rFonts w:ascii="宋体" w:hAnsi="宋体" w:eastAsia="宋体"/>
          <w:color w:val="auto"/>
          <w:sz w:val="24"/>
          <w:highlight w:val="none"/>
        </w:rPr>
        <w:t>顺延提交首次响应文件截止之日</w:t>
      </w:r>
      <w:r>
        <w:rPr>
          <w:rFonts w:hint="eastAsia" w:ascii="宋体" w:hAnsi="宋体" w:eastAsia="宋体"/>
          <w:color w:val="auto"/>
          <w:sz w:val="24"/>
          <w:highlight w:val="none"/>
        </w:rPr>
        <w:t>。</w:t>
      </w:r>
      <w:r>
        <w:rPr>
          <w:rFonts w:hint="eastAsia" w:ascii="宋体" w:hAnsi="宋体" w:eastAsia="宋体" w:cs="Arial"/>
          <w:color w:val="auto"/>
          <w:sz w:val="24"/>
          <w:highlight w:val="none"/>
        </w:rPr>
        <w:t>该修改的内容为谈判文件的组成部分。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9.2</w:t>
      </w:r>
      <w:r>
        <w:rPr>
          <w:rFonts w:hint="eastAsia" w:ascii="宋体" w:hAnsi="宋体" w:eastAsia="宋体" w:cs="Arial"/>
          <w:color w:val="auto"/>
          <w:sz w:val="24"/>
          <w:highlight w:val="none"/>
        </w:rPr>
        <w:t>当谈判文件与谈判文件的修改就同一内容的表述不一致时，以最后发出的公告或书面文件为准。</w:t>
      </w:r>
    </w:p>
    <w:p>
      <w:pPr>
        <w:pStyle w:val="4"/>
        <w:spacing w:beforeLines="100" w:line="400" w:lineRule="exact"/>
        <w:rPr>
          <w:rFonts w:ascii="宋体" w:hAnsi="宋体" w:eastAsia="宋体"/>
          <w:color w:val="auto"/>
          <w:highlight w:val="none"/>
        </w:rPr>
      </w:pPr>
      <w:bookmarkStart w:id="64" w:name="_Toc246095456"/>
      <w:bookmarkStart w:id="65" w:name="_Toc246095518"/>
      <w:bookmarkStart w:id="66" w:name="_Toc46404612"/>
      <w:bookmarkStart w:id="67" w:name="_Toc246094912"/>
      <w:r>
        <w:rPr>
          <w:rFonts w:hint="eastAsia" w:ascii="宋体" w:hAnsi="宋体" w:eastAsia="宋体"/>
          <w:color w:val="auto"/>
          <w:highlight w:val="none"/>
        </w:rPr>
        <w:t>三、响应文件</w:t>
      </w:r>
      <w:bookmarkEnd w:id="64"/>
      <w:bookmarkEnd w:id="65"/>
      <w:bookmarkEnd w:id="66"/>
      <w:bookmarkEnd w:id="67"/>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10. 响应文件的组成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10.1响应文件应分为价格文件和商务技术文件两个部分组成。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10.1.1价格文件：</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10.1.2 商务技术文件：</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10.1.3 响应文件电子版：</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10.2 供应商应按照采购人提供的响应文件格式和顺序，自行编制响应文件，响应文件应包含本须知第10.1条中规定的内容，但表格可以按同样格式扩展。</w:t>
      </w:r>
      <w:bookmarkStart w:id="68" w:name="_Toc219773118"/>
    </w:p>
    <w:bookmarkEnd w:id="68"/>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11. 谈判报价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11.1响应文件中的报价均采用人民币表示。谈判报价应按谈判文件中相关附表格式填写。</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11.2</w:t>
      </w:r>
      <w:r>
        <w:rPr>
          <w:rFonts w:hint="eastAsia" w:ascii="宋体" w:hAnsi="宋体" w:eastAsia="宋体" w:cs="Arial"/>
          <w:color w:val="auto"/>
          <w:sz w:val="24"/>
          <w:highlight w:val="none"/>
        </w:rPr>
        <w:t>最后谈判报价是履行合同的最终价格。应包括第三章“</w:t>
      </w:r>
      <w:r>
        <w:rPr>
          <w:rFonts w:hint="eastAsia" w:ascii="宋体" w:hAnsi="宋体" w:eastAsia="宋体"/>
          <w:color w:val="auto"/>
          <w:sz w:val="24"/>
          <w:highlight w:val="none"/>
        </w:rPr>
        <w:t>项目采购需求和说明</w:t>
      </w:r>
      <w:r>
        <w:rPr>
          <w:rFonts w:hint="eastAsia" w:ascii="宋体" w:hAnsi="宋体" w:eastAsia="宋体" w:cs="Arial"/>
          <w:color w:val="auto"/>
          <w:sz w:val="24"/>
          <w:highlight w:val="none"/>
        </w:rPr>
        <w:t>”规定的各项价格</w:t>
      </w:r>
      <w:r>
        <w:rPr>
          <w:rFonts w:hint="eastAsia" w:ascii="宋体" w:hAnsi="宋体" w:eastAsia="宋体"/>
          <w:color w:val="auto"/>
          <w:sz w:val="24"/>
          <w:highlight w:val="none"/>
        </w:rPr>
        <w:t>。若无特殊规定，报价包含完成本项目所有内容所需的一</w:t>
      </w:r>
      <w:r>
        <w:rPr>
          <w:rFonts w:hint="eastAsia" w:ascii="宋体" w:hAnsi="宋体" w:eastAsia="宋体" w:cs="Arial"/>
          <w:color w:val="auto"/>
          <w:sz w:val="24"/>
          <w:highlight w:val="none"/>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宋体" w:hAnsi="宋体" w:eastAsia="宋体"/>
          <w:color w:val="auto"/>
          <w:sz w:val="24"/>
          <w:highlight w:val="none"/>
        </w:rPr>
        <w:t>、义务和一般风险等一切费用。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11.4供应商必须就所竞项目（或分标）的全部内容作完整唯一报价，漏项报价的或有选择的或有条件的报价，其竞标将视为无效。</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11.5供应商的报价超出采购预算价或最高限价（如有）的，其竞标无效。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12. 响应有效期</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12.1在供应商须知前附表规定的响应有效期内，供应商不得要求撤销或修改其响应文件。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482" w:firstLineChars="200"/>
        <w:rPr>
          <w:rFonts w:hint="eastAsia" w:ascii="宋体" w:hAnsi="宋体" w:eastAsia="宋体"/>
          <w:b/>
          <w:color w:val="auto"/>
          <w:sz w:val="24"/>
          <w:highlight w:val="none"/>
        </w:rPr>
      </w:pPr>
      <w:r>
        <w:rPr>
          <w:rFonts w:hint="eastAsia" w:ascii="宋体" w:hAnsi="宋体" w:eastAsia="宋体"/>
          <w:b/>
          <w:color w:val="auto"/>
          <w:sz w:val="24"/>
          <w:highlight w:val="none"/>
        </w:rPr>
        <w:t>13. 谈判保证金</w:t>
      </w:r>
    </w:p>
    <w:p>
      <w:pPr>
        <w:pStyle w:val="15"/>
        <w:ind w:firstLine="480" w:firstLineChars="200"/>
        <w:jc w:val="both"/>
        <w:rPr>
          <w:rFonts w:hint="eastAsia" w:ascii="宋体" w:hAnsi="宋体" w:eastAsia="宋体" w:cstheme="minorBidi"/>
          <w:color w:val="auto"/>
          <w:kern w:val="0"/>
          <w:sz w:val="24"/>
          <w:szCs w:val="22"/>
          <w:highlight w:val="none"/>
          <w:lang w:val="en-US" w:eastAsia="zh-CN" w:bidi="ar-SA"/>
        </w:rPr>
      </w:pPr>
      <w:r>
        <w:rPr>
          <w:rFonts w:hint="eastAsia" w:ascii="宋体" w:hAnsi="宋体" w:eastAsia="宋体" w:cstheme="minorBidi"/>
          <w:color w:val="auto"/>
          <w:kern w:val="0"/>
          <w:sz w:val="24"/>
          <w:szCs w:val="22"/>
          <w:highlight w:val="none"/>
          <w:lang w:val="en-US" w:eastAsia="zh-CN" w:bidi="ar-SA"/>
        </w:rPr>
        <w:t>13.1本项目不需要缴纳保证金</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14. 响应文件编制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14.1 响应文件应按第六章“响应文件格式”进行编写，如有必要，可以增加附页，作为响应文件的组成部分。</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14.3 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14.4 响应文件正本一份，副本份数见供应商须知前附表。正本和副本的封面上应清楚地标记“正本”或“副本”的字样。</w:t>
      </w:r>
      <w:r>
        <w:rPr>
          <w:rFonts w:hint="eastAsia" w:ascii="宋体" w:hAnsi="宋体" w:eastAsia="宋体"/>
          <w:b/>
          <w:color w:val="auto"/>
          <w:sz w:val="24"/>
          <w:highlight w:val="none"/>
        </w:rPr>
        <w:t>副本可为已按要求签字盖章的正本的复印件</w:t>
      </w:r>
      <w:r>
        <w:rPr>
          <w:rFonts w:hint="eastAsia" w:ascii="宋体" w:hAnsi="宋体" w:eastAsia="宋体"/>
          <w:color w:val="auto"/>
          <w:sz w:val="24"/>
          <w:highlight w:val="none"/>
        </w:rPr>
        <w:t>，当副本和正本不一致时，以正本为准。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14.5响应文件的正本与副本应分别装订成册，并编制目录和页码。</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15. 响应文件的密封和标识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Courier New"/>
          <w:color w:val="auto"/>
          <w:sz w:val="24"/>
          <w:highlight w:val="none"/>
        </w:rPr>
        <w:t>15.1 将响应文件</w:t>
      </w:r>
      <w:r>
        <w:rPr>
          <w:rFonts w:hint="eastAsia" w:ascii="宋体" w:hAnsi="宋体" w:eastAsia="宋体" w:cs="宋体"/>
          <w:color w:val="auto"/>
          <w:sz w:val="24"/>
          <w:highlight w:val="none"/>
        </w:rPr>
        <w:t>书面版本</w:t>
      </w:r>
      <w:r>
        <w:rPr>
          <w:rFonts w:hint="eastAsia" w:ascii="宋体" w:hAnsi="宋体" w:eastAsia="宋体" w:cs="Courier New"/>
          <w:color w:val="auto"/>
          <w:sz w:val="24"/>
          <w:highlight w:val="none"/>
        </w:rPr>
        <w:t>的正本和全部副本</w:t>
      </w:r>
      <w:r>
        <w:rPr>
          <w:rFonts w:hint="eastAsia" w:ascii="宋体" w:hAnsi="宋体" w:eastAsia="宋体"/>
          <w:color w:val="auto"/>
          <w:sz w:val="24"/>
          <w:highlight w:val="none"/>
        </w:rPr>
        <w:t>密封在一个包封内。</w:t>
      </w:r>
      <w:r>
        <w:rPr>
          <w:rFonts w:hint="eastAsia" w:ascii="宋体" w:hAnsi="宋体" w:eastAsia="宋体" w:cs="Courier New"/>
          <w:color w:val="auto"/>
          <w:sz w:val="24"/>
          <w:highlight w:val="none"/>
        </w:rPr>
        <w:t>内层包封上应写明“</w:t>
      </w:r>
      <w:r>
        <w:rPr>
          <w:rFonts w:hint="eastAsia" w:ascii="宋体" w:hAnsi="宋体" w:eastAsia="宋体" w:cs="宋体"/>
          <w:color w:val="auto"/>
          <w:sz w:val="24"/>
          <w:highlight w:val="none"/>
        </w:rPr>
        <w:t>响应文件、</w:t>
      </w:r>
      <w:r>
        <w:rPr>
          <w:rFonts w:hint="eastAsia" w:ascii="宋体" w:hAnsi="宋体" w:eastAsia="宋体" w:cs="Courier New"/>
          <w:color w:val="auto"/>
          <w:sz w:val="24"/>
          <w:highlight w:val="none"/>
        </w:rPr>
        <w:t>供应商名称和地址、项目名称、采购编号”</w:t>
      </w:r>
      <w:r>
        <w:rPr>
          <w:rFonts w:hint="eastAsia" w:ascii="宋体" w:hAnsi="宋体" w:eastAsia="宋体"/>
          <w:color w:val="auto"/>
          <w:sz w:val="24"/>
          <w:highlight w:val="none"/>
        </w:rPr>
        <w:t>字样；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w:t>
      </w:r>
      <w:r>
        <w:rPr>
          <w:rFonts w:hint="eastAsia" w:ascii="宋体" w:hAnsi="宋体" w:eastAsia="宋体"/>
          <w:bCs/>
          <w:color w:val="auto"/>
          <w:sz w:val="24"/>
          <w:highlight w:val="none"/>
        </w:rPr>
        <w:t>将</w:t>
      </w:r>
      <w:r>
        <w:rPr>
          <w:rFonts w:hint="eastAsia" w:ascii="宋体" w:hAnsi="宋体" w:eastAsia="宋体"/>
          <w:color w:val="auto"/>
          <w:sz w:val="24"/>
          <w:highlight w:val="none"/>
        </w:rPr>
        <w:t>响应文件电子版单独包封，包封上标明“响应文件电子版、</w:t>
      </w:r>
      <w:r>
        <w:rPr>
          <w:rFonts w:hint="eastAsia" w:ascii="宋体" w:hAnsi="宋体" w:eastAsia="宋体" w:cs="Courier New"/>
          <w:color w:val="auto"/>
          <w:sz w:val="24"/>
          <w:highlight w:val="none"/>
        </w:rPr>
        <w:t>供应商名称和地址、项目名称、采购编号</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Courier New"/>
          <w:color w:val="auto"/>
          <w:sz w:val="24"/>
          <w:highlight w:val="none"/>
        </w:rPr>
        <w:t>15.</w:t>
      </w:r>
      <w:r>
        <w:rPr>
          <w:rFonts w:ascii="宋体" w:hAnsi="宋体" w:eastAsia="宋体" w:cs="Courier New"/>
          <w:color w:val="auto"/>
          <w:sz w:val="24"/>
          <w:highlight w:val="none"/>
        </w:rPr>
        <w:t>3</w:t>
      </w:r>
      <w:r>
        <w:rPr>
          <w:rFonts w:hint="eastAsia" w:ascii="宋体" w:hAnsi="宋体" w:eastAsia="宋体"/>
          <w:color w:val="auto"/>
          <w:sz w:val="24"/>
          <w:highlight w:val="none"/>
        </w:rPr>
        <w:t>将按上述第15.1项至第15.</w:t>
      </w:r>
      <w:r>
        <w:rPr>
          <w:rFonts w:ascii="宋体" w:hAnsi="宋体" w:eastAsia="宋体"/>
          <w:color w:val="auto"/>
          <w:sz w:val="24"/>
          <w:highlight w:val="none"/>
        </w:rPr>
        <w:t>2</w:t>
      </w:r>
      <w:r>
        <w:rPr>
          <w:rFonts w:hint="eastAsia" w:ascii="宋体" w:hAnsi="宋体" w:eastAsia="宋体"/>
          <w:color w:val="auto"/>
          <w:sz w:val="24"/>
          <w:highlight w:val="none"/>
        </w:rPr>
        <w:t>项的规定包封好的“</w:t>
      </w:r>
      <w:r>
        <w:rPr>
          <w:rFonts w:hint="eastAsia" w:ascii="宋体" w:hAnsi="宋体" w:eastAsia="宋体" w:cs="宋体"/>
          <w:color w:val="auto"/>
          <w:sz w:val="24"/>
          <w:highlight w:val="none"/>
        </w:rPr>
        <w:t>响应文件</w:t>
      </w:r>
      <w:r>
        <w:rPr>
          <w:rFonts w:hint="eastAsia" w:ascii="宋体" w:hAnsi="宋体" w:eastAsia="宋体"/>
          <w:color w:val="auto"/>
          <w:sz w:val="24"/>
          <w:highlight w:val="none"/>
        </w:rPr>
        <w:t>”、“响应文件电子版”全部密封在一个外层包封内</w:t>
      </w:r>
      <w:r>
        <w:rPr>
          <w:rFonts w:hint="eastAsia" w:ascii="宋体" w:hAnsi="宋体" w:eastAsia="宋体" w:cs="Courier New"/>
          <w:color w:val="auto"/>
          <w:sz w:val="24"/>
          <w:highlight w:val="none"/>
        </w:rPr>
        <w:t>（即采用双层包封法密封）</w:t>
      </w:r>
      <w:r>
        <w:rPr>
          <w:rFonts w:hint="eastAsia" w:ascii="宋体" w:hAnsi="宋体" w:eastAsia="宋体"/>
          <w:color w:val="auto"/>
          <w:sz w:val="24"/>
          <w:highlight w:val="none"/>
        </w:rPr>
        <w:t>。在外层包封上写明</w:t>
      </w:r>
      <w:r>
        <w:rPr>
          <w:rFonts w:hint="eastAsia" w:ascii="宋体" w:hAnsi="宋体" w:eastAsia="宋体" w:cs="Arial"/>
          <w:color w:val="auto"/>
          <w:sz w:val="24"/>
          <w:highlight w:val="none"/>
        </w:rPr>
        <w:t>供应商名称、供应商地址、项目名称、采购编号、分包号或标段号（如有）等字样，并加盖供应商公章。</w:t>
      </w:r>
    </w:p>
    <w:p>
      <w:pPr>
        <w:spacing w:after="0" w:line="400" w:lineRule="exact"/>
        <w:ind w:firstLine="482" w:firstLineChars="200"/>
        <w:rPr>
          <w:rFonts w:ascii="宋体" w:hAnsi="宋体" w:eastAsia="宋体" w:cs="Courier New"/>
          <w:b/>
          <w:color w:val="auto"/>
          <w:sz w:val="24"/>
          <w:highlight w:val="none"/>
        </w:rPr>
      </w:pPr>
      <w:r>
        <w:rPr>
          <w:rFonts w:hint="eastAsia" w:ascii="宋体" w:hAnsi="宋体" w:eastAsia="宋体" w:cs="Courier New"/>
          <w:b/>
          <w:color w:val="auto"/>
          <w:sz w:val="24"/>
          <w:highlight w:val="none"/>
        </w:rPr>
        <w:t>外包封必须加盖供应商公章或由供应商法定代表人（或授权代表）签字以示密封。</w:t>
      </w:r>
    </w:p>
    <w:p>
      <w:pPr>
        <w:spacing w:after="0" w:line="400" w:lineRule="exact"/>
        <w:ind w:firstLine="480" w:firstLineChars="200"/>
        <w:rPr>
          <w:rFonts w:ascii="宋体" w:hAnsi="宋体" w:eastAsia="宋体" w:cs="Courier New"/>
          <w:color w:val="auto"/>
          <w:sz w:val="24"/>
          <w:highlight w:val="none"/>
        </w:rPr>
      </w:pPr>
      <w:r>
        <w:rPr>
          <w:rFonts w:hint="eastAsia" w:ascii="宋体" w:hAnsi="宋体" w:eastAsia="宋体" w:cs="Courier New"/>
          <w:color w:val="auto"/>
          <w:sz w:val="24"/>
          <w:highlight w:val="none"/>
        </w:rPr>
        <w:t>15.</w:t>
      </w:r>
      <w:r>
        <w:rPr>
          <w:rFonts w:ascii="宋体" w:hAnsi="宋体" w:eastAsia="宋体" w:cs="Courier New"/>
          <w:color w:val="auto"/>
          <w:sz w:val="24"/>
          <w:highlight w:val="none"/>
        </w:rPr>
        <w:t>4</w:t>
      </w:r>
      <w:r>
        <w:rPr>
          <w:rFonts w:hint="eastAsia" w:ascii="宋体" w:hAnsi="宋体" w:eastAsia="宋体" w:cs="Courier New"/>
          <w:color w:val="auto"/>
          <w:sz w:val="24"/>
          <w:highlight w:val="none"/>
        </w:rPr>
        <w:t xml:space="preserve"> 未按本章第15.1条或15.</w:t>
      </w:r>
      <w:r>
        <w:rPr>
          <w:rFonts w:ascii="宋体" w:hAnsi="宋体" w:eastAsia="宋体" w:cs="Courier New"/>
          <w:color w:val="auto"/>
          <w:sz w:val="24"/>
          <w:highlight w:val="none"/>
        </w:rPr>
        <w:t>3</w:t>
      </w:r>
      <w:r>
        <w:rPr>
          <w:rFonts w:hint="eastAsia" w:ascii="宋体" w:hAnsi="宋体" w:eastAsia="宋体" w:cs="Courier New"/>
          <w:color w:val="auto"/>
          <w:sz w:val="24"/>
          <w:highlight w:val="none"/>
        </w:rPr>
        <w:t>条要求密封和加写标记，否则采购人有权拒收其响应文件。</w:t>
      </w:r>
    </w:p>
    <w:p>
      <w:pPr>
        <w:spacing w:after="0" w:line="400" w:lineRule="exact"/>
        <w:ind w:firstLine="482" w:firstLineChars="200"/>
        <w:rPr>
          <w:rFonts w:ascii="宋体" w:hAnsi="宋体" w:eastAsia="宋体" w:cs="Courier New"/>
          <w:b/>
          <w:bCs/>
          <w:color w:val="auto"/>
          <w:sz w:val="24"/>
          <w:highlight w:val="none"/>
        </w:rPr>
      </w:pPr>
      <w:r>
        <w:rPr>
          <w:rFonts w:hint="eastAsia" w:ascii="宋体" w:hAnsi="宋体" w:eastAsia="宋体" w:cs="Courier New"/>
          <w:b/>
          <w:bCs/>
          <w:color w:val="auto"/>
          <w:sz w:val="24"/>
          <w:highlight w:val="none"/>
        </w:rPr>
        <w:t>16. 响应文件的递交</w:t>
      </w:r>
    </w:p>
    <w:p>
      <w:pPr>
        <w:spacing w:after="0" w:line="400" w:lineRule="exact"/>
        <w:ind w:firstLine="480" w:firstLineChars="200"/>
        <w:rPr>
          <w:rFonts w:ascii="宋体" w:hAnsi="宋体" w:eastAsia="宋体" w:cs="Courier New"/>
          <w:color w:val="auto"/>
          <w:sz w:val="24"/>
          <w:highlight w:val="none"/>
        </w:rPr>
      </w:pPr>
      <w:r>
        <w:rPr>
          <w:rFonts w:hint="eastAsia" w:ascii="宋体" w:hAnsi="宋体" w:eastAsia="宋体" w:cs="Courier New"/>
          <w:bCs/>
          <w:color w:val="auto"/>
          <w:sz w:val="24"/>
          <w:highlight w:val="none"/>
        </w:rPr>
        <w:t xml:space="preserve">16.1 </w:t>
      </w:r>
      <w:r>
        <w:rPr>
          <w:rFonts w:hint="eastAsia" w:ascii="宋体" w:hAnsi="宋体" w:eastAsia="宋体" w:cs="Courier New"/>
          <w:color w:val="auto"/>
          <w:sz w:val="24"/>
          <w:highlight w:val="none"/>
        </w:rPr>
        <w:t>供应商应在</w:t>
      </w:r>
      <w:r>
        <w:rPr>
          <w:rFonts w:hint="eastAsia" w:ascii="宋体" w:hAnsi="宋体" w:eastAsia="宋体"/>
          <w:color w:val="auto"/>
          <w:sz w:val="24"/>
          <w:highlight w:val="none"/>
        </w:rPr>
        <w:t>供应商须知前附表</w:t>
      </w:r>
      <w:r>
        <w:rPr>
          <w:rFonts w:hint="eastAsia" w:ascii="宋体" w:hAnsi="宋体" w:eastAsia="宋体" w:cs="Courier New"/>
          <w:color w:val="auto"/>
          <w:sz w:val="24"/>
          <w:highlight w:val="none"/>
        </w:rPr>
        <w:t>规定的截止时间前递交响应文件。凡逾期送达的响应文件将视为无效响应文件处理。</w:t>
      </w:r>
    </w:p>
    <w:p>
      <w:pPr>
        <w:spacing w:after="0" w:line="400" w:lineRule="exact"/>
        <w:ind w:firstLine="480" w:firstLineChars="200"/>
        <w:rPr>
          <w:rFonts w:ascii="宋体" w:hAnsi="宋体" w:eastAsia="宋体" w:cs="Courier New"/>
          <w:bCs/>
          <w:color w:val="auto"/>
          <w:sz w:val="24"/>
          <w:highlight w:val="none"/>
        </w:rPr>
      </w:pPr>
      <w:r>
        <w:rPr>
          <w:rFonts w:hint="eastAsia" w:ascii="宋体" w:hAnsi="宋体" w:eastAsia="宋体" w:cs="Courier New"/>
          <w:bCs/>
          <w:color w:val="auto"/>
          <w:sz w:val="24"/>
          <w:highlight w:val="none"/>
        </w:rPr>
        <w:t>16.2 供应商按</w:t>
      </w:r>
      <w:r>
        <w:rPr>
          <w:rFonts w:hint="eastAsia" w:ascii="宋体" w:hAnsi="宋体" w:eastAsia="宋体"/>
          <w:color w:val="auto"/>
          <w:sz w:val="24"/>
          <w:highlight w:val="none"/>
        </w:rPr>
        <w:t>供应商须知前附表</w:t>
      </w:r>
      <w:r>
        <w:rPr>
          <w:rFonts w:hint="eastAsia" w:ascii="宋体" w:hAnsi="宋体" w:eastAsia="宋体" w:cs="Courier New"/>
          <w:color w:val="auto"/>
          <w:sz w:val="24"/>
          <w:highlight w:val="none"/>
        </w:rPr>
        <w:t>规定的地点</w:t>
      </w:r>
      <w:r>
        <w:rPr>
          <w:rFonts w:hint="eastAsia" w:ascii="宋体" w:hAnsi="宋体" w:eastAsia="宋体" w:cs="Courier New"/>
          <w:bCs/>
          <w:color w:val="auto"/>
          <w:sz w:val="24"/>
          <w:highlight w:val="none"/>
        </w:rPr>
        <w:t>递交响应文件，并由采购人或采购代理机构</w:t>
      </w:r>
      <w:r>
        <w:rPr>
          <w:rFonts w:hint="eastAsia" w:ascii="宋体" w:hAnsi="宋体" w:eastAsia="宋体" w:cs="Courier New"/>
          <w:color w:val="auto"/>
          <w:sz w:val="24"/>
          <w:highlight w:val="none"/>
        </w:rPr>
        <w:t>签收</w:t>
      </w:r>
      <w:r>
        <w:rPr>
          <w:rFonts w:hint="eastAsia" w:ascii="宋体" w:hAnsi="宋体" w:eastAsia="宋体" w:cs="Courier New"/>
          <w:b/>
          <w:color w:val="auto"/>
          <w:sz w:val="24"/>
          <w:highlight w:val="none"/>
        </w:rPr>
        <w:t>。</w:t>
      </w:r>
    </w:p>
    <w:p>
      <w:pPr>
        <w:spacing w:after="0" w:line="400" w:lineRule="exact"/>
        <w:ind w:firstLine="480" w:firstLineChars="200"/>
        <w:rPr>
          <w:rFonts w:ascii="宋体" w:hAnsi="宋体" w:eastAsia="宋体" w:cs="Courier New"/>
          <w:bCs/>
          <w:color w:val="auto"/>
          <w:sz w:val="24"/>
          <w:highlight w:val="none"/>
        </w:rPr>
      </w:pPr>
      <w:r>
        <w:rPr>
          <w:rFonts w:hint="eastAsia" w:ascii="宋体" w:hAnsi="宋体" w:eastAsia="宋体" w:cs="Courier New"/>
          <w:bCs/>
          <w:color w:val="auto"/>
          <w:sz w:val="24"/>
          <w:highlight w:val="none"/>
        </w:rPr>
        <w:t>16.3 除竞争性谈判文件另有规定外，供应商所递交的响应文件不予退还。</w:t>
      </w:r>
    </w:p>
    <w:p>
      <w:pPr>
        <w:spacing w:after="0" w:line="400" w:lineRule="exact"/>
        <w:ind w:firstLine="480" w:firstLineChars="200"/>
        <w:rPr>
          <w:rFonts w:ascii="宋体" w:hAnsi="宋体" w:eastAsia="宋体" w:cs="Courier New"/>
          <w:bCs/>
          <w:color w:val="auto"/>
          <w:sz w:val="24"/>
          <w:highlight w:val="none"/>
        </w:rPr>
      </w:pPr>
      <w:r>
        <w:rPr>
          <w:rFonts w:hint="eastAsia" w:ascii="宋体" w:hAnsi="宋体" w:eastAsia="宋体" w:cs="Courier New"/>
          <w:bCs/>
          <w:color w:val="auto"/>
          <w:sz w:val="24"/>
          <w:highlight w:val="none"/>
        </w:rPr>
        <w:t>16.4 逾期送达的或者未送达指定地点的响应文件，</w:t>
      </w:r>
      <w:r>
        <w:rPr>
          <w:rFonts w:hint="eastAsia" w:ascii="宋体" w:hAnsi="宋体" w:eastAsia="宋体" w:cs="Courier New"/>
          <w:color w:val="auto"/>
          <w:sz w:val="24"/>
          <w:highlight w:val="none"/>
        </w:rPr>
        <w:t>采购代理机构将拒绝接收</w:t>
      </w:r>
      <w:r>
        <w:rPr>
          <w:rFonts w:hint="eastAsia" w:ascii="宋体" w:hAnsi="宋体" w:eastAsia="宋体" w:cs="Courier New"/>
          <w:bCs/>
          <w:color w:val="auto"/>
          <w:sz w:val="24"/>
          <w:highlight w:val="none"/>
        </w:rPr>
        <w:t>。</w:t>
      </w:r>
    </w:p>
    <w:p>
      <w:pPr>
        <w:spacing w:after="0" w:line="400" w:lineRule="exact"/>
        <w:ind w:firstLine="482" w:firstLineChars="200"/>
        <w:rPr>
          <w:rFonts w:ascii="宋体" w:hAnsi="宋体" w:eastAsia="宋体" w:cs="Courier New"/>
          <w:b/>
          <w:bCs/>
          <w:color w:val="auto"/>
          <w:sz w:val="24"/>
          <w:highlight w:val="none"/>
        </w:rPr>
      </w:pPr>
      <w:r>
        <w:rPr>
          <w:rFonts w:hint="eastAsia" w:ascii="宋体" w:hAnsi="宋体" w:eastAsia="宋体" w:cs="Courier New"/>
          <w:b/>
          <w:bCs/>
          <w:color w:val="auto"/>
          <w:sz w:val="24"/>
          <w:highlight w:val="none"/>
        </w:rPr>
        <w:t>16.5 响应文件的修改和撤回</w:t>
      </w:r>
    </w:p>
    <w:p>
      <w:pPr>
        <w:spacing w:after="0" w:line="400" w:lineRule="exact"/>
        <w:ind w:firstLine="480" w:firstLineChars="200"/>
        <w:rPr>
          <w:rFonts w:ascii="宋体" w:hAnsi="宋体" w:eastAsia="宋体" w:cs="Courier New"/>
          <w:color w:val="auto"/>
          <w:sz w:val="24"/>
          <w:highlight w:val="none"/>
        </w:rPr>
      </w:pPr>
      <w:r>
        <w:rPr>
          <w:rFonts w:hint="eastAsia" w:ascii="宋体" w:hAnsi="宋体" w:eastAsia="宋体" w:cs="Courier New"/>
          <w:color w:val="auto"/>
          <w:sz w:val="24"/>
          <w:highlight w:val="none"/>
        </w:rPr>
        <w:t>16.5.1 在</w:t>
      </w:r>
      <w:r>
        <w:rPr>
          <w:rFonts w:hint="eastAsia" w:ascii="宋体" w:hAnsi="宋体" w:eastAsia="宋体"/>
          <w:color w:val="auto"/>
          <w:sz w:val="24"/>
          <w:highlight w:val="none"/>
        </w:rPr>
        <w:t>供应商须知前附表</w:t>
      </w:r>
      <w:r>
        <w:rPr>
          <w:rFonts w:hint="eastAsia" w:ascii="宋体" w:hAnsi="宋体" w:eastAsia="宋体" w:cs="Courier New"/>
          <w:color w:val="auto"/>
          <w:sz w:val="24"/>
          <w:highlight w:val="none"/>
        </w:rPr>
        <w:t>规定的</w:t>
      </w:r>
      <w:r>
        <w:rPr>
          <w:rFonts w:hint="eastAsia" w:ascii="宋体" w:hAnsi="宋体" w:eastAsia="宋体" w:cs="宋体"/>
          <w:color w:val="auto"/>
          <w:sz w:val="24"/>
          <w:highlight w:val="none"/>
        </w:rPr>
        <w:t>递交响应文件</w:t>
      </w:r>
      <w:r>
        <w:rPr>
          <w:rFonts w:hint="eastAsia" w:ascii="宋体" w:hAnsi="宋体" w:eastAsia="宋体" w:cs="Courier New"/>
          <w:color w:val="auto"/>
          <w:sz w:val="24"/>
          <w:highlight w:val="none"/>
        </w:rPr>
        <w:t>截止时间前，供应商可以修改或撤回已递交的响应文件，但应以书面形式通知采购人或采购代理机构。</w:t>
      </w:r>
    </w:p>
    <w:p>
      <w:pPr>
        <w:spacing w:after="0" w:line="400" w:lineRule="exact"/>
        <w:ind w:firstLine="480" w:firstLineChars="200"/>
        <w:rPr>
          <w:rFonts w:ascii="宋体" w:hAnsi="宋体" w:eastAsia="宋体" w:cs="Courier New"/>
          <w:color w:val="auto"/>
          <w:sz w:val="24"/>
          <w:highlight w:val="none"/>
        </w:rPr>
      </w:pPr>
      <w:r>
        <w:rPr>
          <w:rFonts w:hint="eastAsia" w:ascii="宋体" w:hAnsi="宋体" w:eastAsia="宋体" w:cs="Courier New"/>
          <w:color w:val="auto"/>
          <w:sz w:val="24"/>
          <w:highlight w:val="none"/>
        </w:rPr>
        <w:t>16.5.2 供应商修改或撤回已递交响应文件的书面通知应按照本章第14.3项的要求签字或盖章。采购人或采购代理机构收到书面通知后，向供应商出具签收凭证。</w:t>
      </w:r>
    </w:p>
    <w:p>
      <w:pPr>
        <w:spacing w:after="0" w:line="400" w:lineRule="exact"/>
        <w:ind w:firstLine="480" w:firstLineChars="200"/>
        <w:rPr>
          <w:rFonts w:ascii="宋体" w:hAnsi="宋体" w:eastAsia="宋体" w:cs="Courier New"/>
          <w:color w:val="auto"/>
          <w:sz w:val="24"/>
          <w:highlight w:val="none"/>
        </w:rPr>
      </w:pPr>
      <w:r>
        <w:rPr>
          <w:rFonts w:hint="eastAsia" w:ascii="宋体" w:hAnsi="宋体" w:eastAsia="宋体" w:cs="Courier New"/>
          <w:color w:val="auto"/>
          <w:sz w:val="24"/>
          <w:highlight w:val="none"/>
        </w:rPr>
        <w:t>16.5.3 修改的内容为响应文件的组成部分。修改的响应文件应按照本章第15条、第16条规定进行编制、密封、标记和递交，并标明“修改”字样。</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响应文件的编写注意说明</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17.1 响应文件的复印件均须加盖供应商的公章。</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 供应商在响应文件中提供不真实的材料，都将视为虚假应标，谈判无效，并承担由此产生的经济与法律责任。</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17.3 供应商在详细报价中，应按竞争性谈判文件提供的《项目采购需求》进行完整报价。</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17.4 报价栏项目中如出现唯一的数字“0”或空白，则视报价为零。</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17.5供应商必须自行承担因其响应文件中的任何错漏而导致的一切后果。</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17.6响应文件必须用不褪色的墨水书写或打印，须按竞争性谈判文件的规定加盖供应商公章及法定代表人或法定代表人的授权委托人签署，供应商应写全称。</w:t>
      </w:r>
    </w:p>
    <w:p>
      <w:pPr>
        <w:spacing w:after="0" w:line="440" w:lineRule="exact"/>
        <w:ind w:firstLine="484" w:firstLineChars="20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17.7</w:t>
      </w:r>
      <w:r>
        <w:rPr>
          <w:rFonts w:hint="eastAsia" w:ascii="宋体" w:hAnsi="宋体" w:eastAsia="宋体" w:cs="宋体"/>
          <w:b/>
          <w:bCs/>
          <w:color w:val="auto"/>
          <w:highlight w:val="none"/>
        </w:rPr>
        <w:t>响应文件必须用不褪色的墨水书写或打印，投标文件正本和副本除目录外，须由供应商的法定代表人或其委托代理人逐页签署姓名（本页正文内容已由供应商的法定代表人或其委托代理人签署姓名的可不签署）并逐页加供应商公章（本页正文内容已加盖单位章的除外），否则视为不响应竞争性磋商文件</w:t>
      </w:r>
      <w:r>
        <w:rPr>
          <w:rFonts w:hint="eastAsia" w:ascii="宋体" w:hAnsi="宋体" w:eastAsia="宋体" w:cs="宋体"/>
          <w:b/>
          <w:bCs/>
          <w:color w:val="auto"/>
          <w:sz w:val="21"/>
          <w:szCs w:val="21"/>
          <w:highlight w:val="none"/>
        </w:rPr>
        <w:t>。</w:t>
      </w:r>
    </w:p>
    <w:p>
      <w:pPr>
        <w:spacing w:after="0" w:line="440" w:lineRule="exact"/>
        <w:ind w:firstLine="484" w:firstLineChars="20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17.8投标人必须自行承担因其投标文件中的任何错漏而导致的一切后果。</w:t>
      </w:r>
    </w:p>
    <w:p>
      <w:pPr>
        <w:pStyle w:val="4"/>
        <w:spacing w:beforeLines="100" w:line="400" w:lineRule="exact"/>
        <w:rPr>
          <w:rFonts w:ascii="宋体" w:hAnsi="宋体" w:eastAsia="宋体"/>
          <w:color w:val="auto"/>
          <w:highlight w:val="none"/>
        </w:rPr>
      </w:pPr>
      <w:bookmarkStart w:id="69" w:name="_Toc46404613"/>
      <w:r>
        <w:rPr>
          <w:rFonts w:hint="eastAsia" w:ascii="宋体" w:hAnsi="宋体" w:eastAsia="宋体"/>
          <w:color w:val="auto"/>
          <w:highlight w:val="none"/>
        </w:rPr>
        <w:t>四、谈判与评审</w:t>
      </w:r>
      <w:bookmarkEnd w:id="69"/>
    </w:p>
    <w:p>
      <w:pPr>
        <w:pStyle w:val="19"/>
        <w:spacing w:line="400" w:lineRule="exact"/>
        <w:ind w:firstLine="482" w:firstLineChars="200"/>
        <w:rPr>
          <w:rFonts w:hAnsi="宋体"/>
          <w:b/>
          <w:color w:val="auto"/>
          <w:sz w:val="24"/>
          <w:highlight w:val="none"/>
        </w:rPr>
      </w:pPr>
      <w:r>
        <w:rPr>
          <w:rFonts w:hint="eastAsia" w:hAnsi="宋体"/>
          <w:b/>
          <w:color w:val="auto"/>
          <w:sz w:val="24"/>
          <w:highlight w:val="none"/>
        </w:rPr>
        <w:t>1</w:t>
      </w:r>
      <w:r>
        <w:rPr>
          <w:rFonts w:hAnsi="宋体"/>
          <w:b/>
          <w:color w:val="auto"/>
          <w:sz w:val="24"/>
          <w:highlight w:val="none"/>
        </w:rPr>
        <w:t>8</w:t>
      </w:r>
      <w:r>
        <w:rPr>
          <w:rFonts w:hint="eastAsia" w:hAnsi="宋体"/>
          <w:b/>
          <w:color w:val="auto"/>
          <w:sz w:val="24"/>
          <w:highlight w:val="none"/>
        </w:rPr>
        <w:t>. 谈判时间和地点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8</w:t>
      </w:r>
      <w:r>
        <w:rPr>
          <w:rFonts w:hint="eastAsia" w:ascii="宋体" w:hAnsi="宋体" w:eastAsia="宋体"/>
          <w:color w:val="auto"/>
          <w:sz w:val="24"/>
          <w:highlight w:val="none"/>
        </w:rPr>
        <w:t>.1 采购代理机构将在供应商须知前附表规定的时间和地点组织谈判，供应商的法定代表人或其授权委托人必须持供应商须知前附表规定的证件依时到现场参加谈判，否则作无效响应处理。</w:t>
      </w:r>
    </w:p>
    <w:p>
      <w:pPr>
        <w:pStyle w:val="19"/>
        <w:spacing w:line="400" w:lineRule="exact"/>
        <w:ind w:firstLine="482" w:firstLineChars="200"/>
        <w:rPr>
          <w:rFonts w:hAnsi="宋体"/>
          <w:b/>
          <w:color w:val="auto"/>
          <w:sz w:val="24"/>
          <w:highlight w:val="none"/>
        </w:rPr>
      </w:pPr>
      <w:r>
        <w:rPr>
          <w:rFonts w:hAnsi="宋体"/>
          <w:b/>
          <w:color w:val="auto"/>
          <w:sz w:val="24"/>
          <w:highlight w:val="none"/>
        </w:rPr>
        <w:t>19</w:t>
      </w:r>
      <w:r>
        <w:rPr>
          <w:rFonts w:hint="eastAsia" w:hAnsi="宋体"/>
          <w:b/>
          <w:color w:val="auto"/>
          <w:sz w:val="24"/>
          <w:highlight w:val="none"/>
        </w:rPr>
        <w:t>. 谈判小组成立</w:t>
      </w:r>
    </w:p>
    <w:p>
      <w:pPr>
        <w:pStyle w:val="19"/>
        <w:spacing w:line="400" w:lineRule="exact"/>
        <w:ind w:firstLine="480" w:firstLineChars="200"/>
        <w:rPr>
          <w:rFonts w:hAnsi="宋体"/>
          <w:color w:val="auto"/>
          <w:sz w:val="24"/>
          <w:highlight w:val="none"/>
        </w:rPr>
      </w:pPr>
      <w:r>
        <w:rPr>
          <w:rFonts w:hAnsi="宋体"/>
          <w:color w:val="auto"/>
          <w:sz w:val="24"/>
          <w:highlight w:val="none"/>
        </w:rPr>
        <w:t>19</w:t>
      </w:r>
      <w:r>
        <w:rPr>
          <w:rFonts w:hint="eastAsia" w:hAnsi="宋体"/>
          <w:color w:val="auto"/>
          <w:sz w:val="24"/>
          <w:highlight w:val="none"/>
        </w:rPr>
        <w:t>.1竞争性谈判小组成立</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采购代理机构依据法律规定，在政府采购监督部门规定的专家库中上随机抽取政府采购评审专家与采购人组成竞争性谈判小组。</w:t>
      </w:r>
    </w:p>
    <w:p>
      <w:pPr>
        <w:pStyle w:val="19"/>
        <w:spacing w:line="400" w:lineRule="exact"/>
        <w:ind w:firstLine="480" w:firstLineChars="200"/>
        <w:rPr>
          <w:rFonts w:hAnsi="宋体"/>
          <w:color w:val="auto"/>
          <w:sz w:val="24"/>
          <w:highlight w:val="none"/>
        </w:rPr>
      </w:pPr>
      <w:r>
        <w:rPr>
          <w:rFonts w:hAnsi="宋体"/>
          <w:color w:val="auto"/>
          <w:sz w:val="24"/>
          <w:highlight w:val="none"/>
        </w:rPr>
        <w:t>19</w:t>
      </w:r>
      <w:r>
        <w:rPr>
          <w:rFonts w:hint="eastAsia" w:hAnsi="宋体"/>
          <w:color w:val="auto"/>
          <w:sz w:val="24"/>
          <w:highlight w:val="none"/>
        </w:rPr>
        <w:t>.2 竞争性谈判小组在采购活动过程中应当履行下列职责：</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 xml:space="preserve">（1）确认谈判文件； </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（2）从符合相应资格条件的供应商名单中确定不少于3家的供应商参加谈判；</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（3）审查供应商的响应文件并作出评价；</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（4）要求供应商解释或者澄清其响应文件；</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 xml:space="preserve">（5）编写评审报告； </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（6）告知采购人、采购代理机构在评审过程中发现的供应商的违法违规行为。</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9</w:t>
      </w:r>
      <w:r>
        <w:rPr>
          <w:rFonts w:hint="eastAsia" w:hAnsi="宋体"/>
          <w:color w:val="auto"/>
          <w:sz w:val="24"/>
          <w:highlight w:val="none"/>
        </w:rPr>
        <w:t>.3竞争性谈判小组成员应当履行下列义务：</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（1）遵纪守法，客观、公正、廉洁地履行职责；</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（2）根据采购文件的规定独立进行评审，对个人的评审意见承担法律责任；</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（3）参与评审报告的起草；</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（4）配合采购人、采购代理机构答复供应商提出的质疑；</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（5）配合财政部门的投诉处理和监督检查工作。</w:t>
      </w:r>
    </w:p>
    <w:p>
      <w:pPr>
        <w:pStyle w:val="19"/>
        <w:spacing w:line="400" w:lineRule="exact"/>
        <w:ind w:firstLine="482" w:firstLineChars="200"/>
        <w:rPr>
          <w:rFonts w:hAnsi="宋体"/>
          <w:b/>
          <w:color w:val="auto"/>
          <w:sz w:val="24"/>
          <w:highlight w:val="none"/>
        </w:rPr>
      </w:pPr>
      <w:r>
        <w:rPr>
          <w:rFonts w:hint="eastAsia" w:hAnsi="宋体"/>
          <w:b/>
          <w:color w:val="auto"/>
          <w:sz w:val="24"/>
          <w:highlight w:val="none"/>
        </w:rPr>
        <w:t>2</w:t>
      </w:r>
      <w:r>
        <w:rPr>
          <w:rFonts w:hAnsi="宋体"/>
          <w:b/>
          <w:color w:val="auto"/>
          <w:sz w:val="24"/>
          <w:highlight w:val="none"/>
        </w:rPr>
        <w:t>0</w:t>
      </w:r>
      <w:r>
        <w:rPr>
          <w:rFonts w:hint="eastAsia" w:hAnsi="宋体"/>
          <w:b/>
          <w:color w:val="auto"/>
          <w:sz w:val="24"/>
          <w:highlight w:val="none"/>
        </w:rPr>
        <w:t>.评审原则及方法</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0</w:t>
      </w:r>
      <w:r>
        <w:rPr>
          <w:rFonts w:hint="eastAsia" w:hAnsi="宋体"/>
          <w:color w:val="auto"/>
          <w:sz w:val="24"/>
          <w:highlight w:val="none"/>
        </w:rPr>
        <w:t>.1 评审原则：</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评审活动遵循公平、公正、科学和择优的原则。</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0</w:t>
      </w:r>
      <w:r>
        <w:rPr>
          <w:rFonts w:hint="eastAsia" w:hAnsi="宋体"/>
          <w:color w:val="auto"/>
          <w:sz w:val="24"/>
          <w:highlight w:val="none"/>
        </w:rPr>
        <w:t>.2 评审方法：</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19"/>
        <w:spacing w:line="400" w:lineRule="exact"/>
        <w:ind w:firstLine="482" w:firstLineChars="200"/>
        <w:rPr>
          <w:rFonts w:hAnsi="宋体"/>
          <w:b/>
          <w:color w:val="auto"/>
          <w:sz w:val="24"/>
          <w:highlight w:val="none"/>
        </w:rPr>
      </w:pPr>
      <w:r>
        <w:rPr>
          <w:rFonts w:hint="eastAsia" w:hAnsi="宋体"/>
          <w:b/>
          <w:color w:val="auto"/>
          <w:sz w:val="24"/>
          <w:highlight w:val="none"/>
        </w:rPr>
        <w:t>2</w:t>
      </w:r>
      <w:r>
        <w:rPr>
          <w:rFonts w:hAnsi="宋体"/>
          <w:b/>
          <w:color w:val="auto"/>
          <w:sz w:val="24"/>
          <w:highlight w:val="none"/>
        </w:rPr>
        <w:t>1</w:t>
      </w:r>
      <w:r>
        <w:rPr>
          <w:rFonts w:hint="eastAsia" w:hAnsi="宋体"/>
          <w:b/>
          <w:color w:val="auto"/>
          <w:sz w:val="24"/>
          <w:highlight w:val="none"/>
        </w:rPr>
        <w:t>. 评审程序</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w:t>
      </w:r>
      <w:r>
        <w:rPr>
          <w:rFonts w:hint="eastAsia" w:ascii="宋体" w:hAnsi="宋体" w:eastAsia="宋体" w:cs="宋体"/>
          <w:color w:val="auto"/>
          <w:sz w:val="24"/>
          <w:highlight w:val="none"/>
        </w:rPr>
        <w:t>.1</w:t>
      </w:r>
      <w:r>
        <w:rPr>
          <w:rFonts w:hint="eastAsia" w:ascii="宋体" w:hAnsi="宋体" w:eastAsia="宋体"/>
          <w:color w:val="auto"/>
          <w:sz w:val="24"/>
          <w:highlight w:val="none"/>
        </w:rPr>
        <w:t>谈判小组确认竞争性谈判文件。</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w:t>
      </w:r>
      <w:r>
        <w:rPr>
          <w:rFonts w:hint="eastAsia" w:ascii="宋体" w:hAnsi="宋体" w:eastAsia="宋体" w:cs="宋体"/>
          <w:color w:val="auto"/>
          <w:sz w:val="24"/>
          <w:highlight w:val="none"/>
        </w:rPr>
        <w:t>.2资格审查和符合性审查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资格条件</w:t>
      </w:r>
      <w:r>
        <w:rPr>
          <w:rFonts w:hint="eastAsia" w:ascii="宋体" w:hAnsi="宋体" w:eastAsia="宋体"/>
          <w:color w:val="auto"/>
          <w:sz w:val="24"/>
          <w:highlight w:val="none"/>
        </w:rPr>
        <w:t>不符合</w:t>
      </w:r>
      <w:r>
        <w:rPr>
          <w:rFonts w:ascii="宋体" w:hAnsi="宋体" w:eastAsia="宋体"/>
          <w:color w:val="auto"/>
          <w:sz w:val="24"/>
          <w:highlight w:val="none"/>
        </w:rPr>
        <w:t>的供应商</w:t>
      </w:r>
      <w:r>
        <w:rPr>
          <w:rFonts w:hint="eastAsia" w:ascii="宋体" w:hAnsi="宋体" w:eastAsia="宋体"/>
          <w:color w:val="auto"/>
          <w:sz w:val="24"/>
          <w:highlight w:val="none"/>
        </w:rPr>
        <w:t>或</w:t>
      </w:r>
      <w:r>
        <w:rPr>
          <w:rFonts w:ascii="宋体" w:hAnsi="宋体" w:eastAsia="宋体"/>
          <w:color w:val="auto"/>
          <w:sz w:val="24"/>
          <w:highlight w:val="none"/>
        </w:rPr>
        <w:t>未实质性响应谈判文件的响应文件按无效</w:t>
      </w:r>
      <w:r>
        <w:rPr>
          <w:rFonts w:hint="eastAsia" w:ascii="宋体" w:hAnsi="宋体" w:eastAsia="宋体"/>
          <w:color w:val="auto"/>
          <w:sz w:val="24"/>
          <w:highlight w:val="none"/>
        </w:rPr>
        <w:t>竞标</w:t>
      </w:r>
      <w:r>
        <w:rPr>
          <w:rFonts w:ascii="宋体" w:hAnsi="宋体" w:eastAsia="宋体"/>
          <w:color w:val="auto"/>
          <w:sz w:val="24"/>
          <w:highlight w:val="none"/>
        </w:rPr>
        <w:t>处理，谈判小组告知有关供应商。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21.2.1资格审查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供应商有下列情形之一的，资格审查不通过：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（1）不符合《中华人民共和国政府采购法》第二十二条规定条件的。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（2）未按本项目采购公告规定方式获得竞争性谈判文件的。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（3）参加同一合同项下的政府采购活动的不同供应商，单位负责人为同一人或者存在直接控股、管理关系的。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（4）为本次采购项目提供整体设计、规范编制或者项目管理、监理、检测等服务的。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（5）在“信用中国”网站(www.creditchina.gov.cn)</w:t>
      </w:r>
      <w:r>
        <w:rPr>
          <w:rFonts w:hint="eastAsia" w:ascii="宋体" w:hAnsi="宋体" w:eastAsia="宋体" w:cs="宋体"/>
          <w:color w:val="auto"/>
          <w:sz w:val="24"/>
          <w:highlight w:val="none"/>
        </w:rPr>
        <w:t>、中国政府采购网（www.ccgp.gov.cn）等</w:t>
      </w:r>
      <w:r>
        <w:rPr>
          <w:rFonts w:hint="eastAsia" w:ascii="宋体" w:hAnsi="宋体" w:eastAsia="宋体"/>
          <w:color w:val="auto"/>
          <w:sz w:val="24"/>
          <w:highlight w:val="none"/>
        </w:rPr>
        <w:t>渠道被列入失信被执行人、重大税收违法案件当事人名单、政府采购严重违法失信行为记录名单的。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（6）不按照采购文件要求提供合格的资格证明材料的。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（7）违反国家法律法规规定的其他资格内容的。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21.2.2符合性审查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w:t>
      </w:r>
      <w:r>
        <w:rPr>
          <w:rFonts w:hint="eastAsia" w:ascii="宋体" w:hAnsi="宋体" w:eastAsia="宋体"/>
          <w:color w:val="auto"/>
          <w:sz w:val="24"/>
          <w:highlight w:val="none"/>
        </w:rPr>
        <w:t>澄清有关问题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1.4</w:t>
      </w:r>
      <w:r>
        <w:rPr>
          <w:rFonts w:hint="eastAsia" w:ascii="宋体" w:hAnsi="宋体" w:eastAsia="宋体" w:cs="宋体"/>
          <w:color w:val="auto"/>
          <w:sz w:val="24"/>
          <w:highlight w:val="none"/>
        </w:rPr>
        <w:t>谈判</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谈判小组按已确定的</w:t>
      </w:r>
      <w:r>
        <w:rPr>
          <w:rFonts w:hint="eastAsia" w:ascii="宋体" w:hAnsi="宋体" w:eastAsia="宋体"/>
          <w:color w:val="auto"/>
          <w:sz w:val="24"/>
          <w:highlight w:val="none"/>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在谈判过程中，</w:t>
      </w:r>
      <w:r>
        <w:rPr>
          <w:rFonts w:hint="eastAsia" w:ascii="宋体" w:hAnsi="宋体" w:eastAsia="宋体"/>
          <w:color w:val="auto"/>
          <w:sz w:val="24"/>
          <w:highlight w:val="none"/>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对谈判文件作出的实质性变动是谈判文件的有效组成部分，谈判小组及时以书面形式同时通知所有参加谈判的供应商。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谈判中，谈判的任何一方不得透露与谈判有关的其他供应商的技术资料、价格和其他信息。</w:t>
      </w:r>
    </w:p>
    <w:p>
      <w:pPr>
        <w:tabs>
          <w:tab w:val="left" w:pos="540"/>
        </w:tabs>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采购代理机构对谈判过程和重要谈判内容进行记录，谈判双方在记录上签字确认。</w:t>
      </w:r>
    </w:p>
    <w:p>
      <w:pPr>
        <w:tabs>
          <w:tab w:val="left" w:pos="540"/>
        </w:tabs>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最后报价</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.3 最后报价是供应商响应文件的有效组成部分。</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21.6</w:t>
      </w:r>
      <w:r>
        <w:rPr>
          <w:rFonts w:hint="eastAsia" w:ascii="宋体" w:hAnsi="宋体" w:eastAsia="宋体"/>
          <w:b/>
          <w:bCs/>
          <w:color w:val="auto"/>
          <w:sz w:val="24"/>
          <w:highlight w:val="none"/>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w:t>
      </w:r>
      <w:r>
        <w:rPr>
          <w:rFonts w:ascii="宋体" w:hAnsi="宋体" w:eastAsia="宋体"/>
          <w:b/>
          <w:bCs/>
          <w:color w:val="auto"/>
          <w:sz w:val="24"/>
          <w:highlight w:val="none"/>
        </w:rPr>
        <w:t>2</w:t>
      </w:r>
      <w:r>
        <w:rPr>
          <w:rFonts w:hint="eastAsia" w:ascii="宋体" w:hAnsi="宋体" w:eastAsia="宋体"/>
          <w:b/>
          <w:bCs/>
          <w:color w:val="auto"/>
          <w:sz w:val="24"/>
          <w:highlight w:val="none"/>
        </w:rPr>
        <w:t>. 错误修正</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2</w:t>
      </w:r>
      <w:r>
        <w:rPr>
          <w:rFonts w:hint="eastAsia" w:ascii="宋体" w:hAnsi="宋体" w:eastAsia="宋体" w:cs="Arial"/>
          <w:color w:val="auto"/>
          <w:sz w:val="24"/>
          <w:highlight w:val="none"/>
        </w:rPr>
        <w:t>.1响应文件如果出现计算或表达上的错误，修正错误的原则如下：</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（1）响应文件的大写金额和小写金额不一致的，以大写金额为准；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（2）总价金额与按单价汇总金额不一致的，以单价金额计算结果为准；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（3）单价金额小数点有明显错位的，应以总价为准，并修正单价；</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（4）对不同文字文本响应文件的解释发生异议的，以中文文本为准。</w:t>
      </w:r>
    </w:p>
    <w:p>
      <w:pPr>
        <w:pStyle w:val="19"/>
        <w:spacing w:line="400" w:lineRule="exact"/>
        <w:ind w:firstLine="480" w:firstLineChars="200"/>
        <w:rPr>
          <w:rFonts w:hAnsi="宋体"/>
          <w:b/>
          <w:color w:val="auto"/>
          <w:sz w:val="24"/>
          <w:highlight w:val="none"/>
        </w:rPr>
      </w:pPr>
      <w:r>
        <w:rPr>
          <w:rFonts w:hint="eastAsia" w:hAnsi="宋体" w:cs="Arial"/>
          <w:color w:val="auto"/>
          <w:sz w:val="24"/>
          <w:highlight w:val="none"/>
        </w:rPr>
        <w:t>2</w:t>
      </w:r>
      <w:r>
        <w:rPr>
          <w:rFonts w:hAnsi="宋体" w:cs="Arial"/>
          <w:color w:val="auto"/>
          <w:sz w:val="24"/>
          <w:highlight w:val="none"/>
        </w:rPr>
        <w:t>2</w:t>
      </w:r>
      <w:r>
        <w:rPr>
          <w:rFonts w:hint="eastAsia" w:hAnsi="宋体" w:cs="Arial"/>
          <w:color w:val="auto"/>
          <w:sz w:val="24"/>
          <w:highlight w:val="none"/>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w:t>
      </w:r>
      <w:r>
        <w:rPr>
          <w:rFonts w:ascii="宋体" w:hAnsi="宋体" w:eastAsia="宋体"/>
          <w:b/>
          <w:bCs/>
          <w:color w:val="auto"/>
          <w:sz w:val="24"/>
          <w:highlight w:val="none"/>
        </w:rPr>
        <w:t>3</w:t>
      </w:r>
      <w:r>
        <w:rPr>
          <w:rFonts w:hint="eastAsia" w:ascii="宋体" w:hAnsi="宋体" w:eastAsia="宋体"/>
          <w:b/>
          <w:bCs/>
          <w:color w:val="auto"/>
          <w:sz w:val="24"/>
          <w:highlight w:val="none"/>
        </w:rPr>
        <w:t>. 评审过程的保密</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w:t>
      </w:r>
      <w:r>
        <w:rPr>
          <w:rFonts w:ascii="宋体" w:hAnsi="宋体" w:eastAsia="宋体"/>
          <w:bCs/>
          <w:color w:val="auto"/>
          <w:sz w:val="24"/>
          <w:highlight w:val="none"/>
        </w:rPr>
        <w:t>3</w:t>
      </w:r>
      <w:r>
        <w:rPr>
          <w:rFonts w:hint="eastAsia" w:ascii="宋体" w:hAnsi="宋体" w:eastAsia="宋体"/>
          <w:bCs/>
          <w:color w:val="auto"/>
          <w:sz w:val="24"/>
          <w:highlight w:val="none"/>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2</w:t>
      </w:r>
      <w:r>
        <w:rPr>
          <w:rFonts w:ascii="宋体" w:hAnsi="宋体" w:eastAsia="宋体"/>
          <w:bCs/>
          <w:color w:val="auto"/>
          <w:sz w:val="24"/>
          <w:highlight w:val="none"/>
        </w:rPr>
        <w:t>3</w:t>
      </w:r>
      <w:r>
        <w:rPr>
          <w:rFonts w:hint="eastAsia" w:ascii="宋体" w:hAnsi="宋体" w:eastAsia="宋体"/>
          <w:bCs/>
          <w:color w:val="auto"/>
          <w:sz w:val="24"/>
          <w:highlight w:val="none"/>
        </w:rPr>
        <w:t>.2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w:t>
      </w:r>
      <w:r>
        <w:rPr>
          <w:rFonts w:hint="eastAsia" w:ascii="宋体" w:hAnsi="宋体" w:eastAsia="宋体"/>
          <w:b/>
          <w:bCs/>
          <w:color w:val="auto"/>
          <w:sz w:val="24"/>
          <w:highlight w:val="none"/>
        </w:rPr>
        <w:t>2</w:t>
      </w:r>
      <w:r>
        <w:rPr>
          <w:rFonts w:ascii="宋体" w:hAnsi="宋体" w:eastAsia="宋体"/>
          <w:b/>
          <w:bCs/>
          <w:color w:val="auto"/>
          <w:sz w:val="24"/>
          <w:highlight w:val="none"/>
        </w:rPr>
        <w:t>4</w:t>
      </w:r>
      <w:r>
        <w:rPr>
          <w:rFonts w:hint="eastAsia" w:ascii="宋体" w:hAnsi="宋体" w:eastAsia="宋体"/>
          <w:b/>
          <w:bCs/>
          <w:color w:val="auto"/>
          <w:sz w:val="24"/>
          <w:highlight w:val="none"/>
        </w:rPr>
        <w:t>.</w:t>
      </w:r>
      <w:bookmarkStart w:id="70" w:name="_Toc254970673"/>
      <w:bookmarkStart w:id="71" w:name="_Toc254970532"/>
      <w:r>
        <w:rPr>
          <w:rFonts w:hint="eastAsia" w:ascii="宋体" w:hAnsi="宋体" w:eastAsia="宋体"/>
          <w:b/>
          <w:bCs/>
          <w:color w:val="auto"/>
          <w:sz w:val="24"/>
          <w:highlight w:val="none"/>
        </w:rPr>
        <w:t xml:space="preserve"> 特别说明：</w:t>
      </w:r>
      <w:bookmarkEnd w:id="70"/>
      <w:bookmarkEnd w:id="71"/>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（本条款所述投标人等同于供应商，评标等同于评审，投标等同于谈判或响应）</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24.1单位负责人为同一人或者存在直接控股、管理关系的，不得参加同一合同项下投标或未划分分标的同一合同项下投标，否则投标文件将被视为无效。</w:t>
      </w:r>
      <w:r>
        <w:rPr>
          <w:rFonts w:hint="eastAsia" w:ascii="宋体" w:hAnsi="宋体" w:eastAsia="宋体"/>
          <w:b/>
          <w:color w:val="auto"/>
          <w:sz w:val="24"/>
          <w:highlight w:val="none"/>
        </w:rPr>
        <w:t>生产厂商授权给供应商后自己不得参加同一合同项下的政府采购活动；生产厂商对同一品牌的货物，仅能委托一个代理商参加竞标。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（1）根据桂财采[2016]42号的规定，提供相同品牌产品的不同投标人参加同一合同项下投标的，评审时，按上述规定确定其中一家为有效供应商。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（2）非单一产品采购项目中，多家投标人提供的核心产品相同的，视为提供相同品牌产品，应当按一个供应商认定，评审时，按上述规定确定其中一家为有效供应商。核心产品在谈判文件中写明。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24.4 投标人投标所使用的资格、信誉、荣誉、业绩与企业认证必须为本法人所拥有。</w:t>
      </w:r>
      <w:r>
        <w:rPr>
          <w:rFonts w:hint="eastAsia" w:ascii="宋体" w:hAnsi="宋体" w:eastAsia="宋体"/>
          <w:b/>
          <w:color w:val="auto"/>
          <w:sz w:val="24"/>
          <w:highlight w:val="none"/>
        </w:rPr>
        <w:t>（本采购文件第三章“项目采购需求和说明”另有约定的从其约定）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24.5 投标人应仔细阅读采购文件的所有内容，按照采购文件的要求提交投标文件，并对所提供的全部资料的真实性承担法律责任。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24.6投标人在投标活动中提供任何虚假材料,其投标无效，并报监管部门查处；中标后发现的,成交人须依照《中华人民共和国消费者权益保护法》规定赔偿采购人，且民事赔偿并不免除违法投标人的行政与刑事责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24.7在政府采购活动中，采购人员及相关人员与投标人有下列利害关系之一的，应当回避：</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（1）参加采购活动前3年内与投标人存在劳动关系；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（2）参加采购活动前3年内担任投标人的董事、监事；</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（3）参加采购活动前3年内是投标人的控股股东或者实际控制人；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（4）与投标人的法定代表人或者负责人有夫妻、直系血亲、三代以内旁系血亲或者近姻亲关系；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（5）与投标人有其他可能影响政府采购活动公平、公正进行的关系。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25. 供应商相互串通投标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有下列情形之一的视为供应商相互串通投标，投标文件将被视为无效：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（1）不同供应商的投标文件由同一单位或者个人编制；或不同供应商报名的IP地址一致的；</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（2）不同供应商委托同一单位或者个人办理投标事宜；</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（3）不同的供应商的投标文件载明的项目管理员为同一个人；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（4）不同供应商的投标文件异常一致或投标报价呈规律性差异；</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（5）不同供应商的投标文件相互混装；</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（6）不同供应商的投标保证金从同一单位或者个人账户转出。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 xml:space="preserve">6. </w:t>
      </w:r>
      <w:r>
        <w:rPr>
          <w:rFonts w:hint="eastAsia" w:ascii="宋体" w:hAnsi="宋体" w:eastAsia="宋体"/>
          <w:b/>
          <w:color w:val="auto"/>
          <w:sz w:val="24"/>
          <w:highlight w:val="none"/>
        </w:rPr>
        <w:t>供应商恶意串通投标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供应商有下列情形之一的，属于恶意串通行为：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（1）供应商直接或者间接从采购人或者采购代理机构处获得其他供应商的相关信息并修改其投标文件或者响应文件：</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（2）供应商按照采购人或者采购代理机构的授意撤换、修改投标文件或者响应文件；</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（3）供应商之间协商报价、技术方案等投标文件或者响应文件的实质性内容；</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（4）属于同一集团、协会、商会等组织成员的供应商按照该组织要求协同参加政府采购活动；</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（6）供应商之间商定部分供应商放弃参加政府采购活动或者放弃中标；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（7）供应商与采购人或者采购代理机构之间、供应商相互之间，为谋求特定供应商中标或者排斥其他供应商的其他串通行为。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7</w:t>
      </w:r>
      <w:r>
        <w:rPr>
          <w:rFonts w:hint="eastAsia" w:ascii="宋体" w:hAnsi="宋体" w:eastAsia="宋体"/>
          <w:b/>
          <w:color w:val="auto"/>
          <w:sz w:val="24"/>
          <w:highlight w:val="none"/>
        </w:rPr>
        <w:t>. 终止采购</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出现下列情形之一的，采购人或者采购代理机构终止竞争性谈判采购活动，发布项目终止公告并说明原因，重新开展采购活动：</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（一）因情况变化，不再符合规定的竞争性谈判采购方式适用情形的；</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（二）出现影响采购公正的违法、违规行为的；</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（三）在采购过程中符合竞争要求的供应商或者报价未超过采购预算的供应商不足3家的，但</w:t>
      </w:r>
      <w:r>
        <w:rPr>
          <w:rFonts w:hint="eastAsia" w:ascii="宋体" w:hAnsi="宋体" w:eastAsia="宋体"/>
          <w:color w:val="auto"/>
          <w:sz w:val="24"/>
          <w:highlight w:val="none"/>
        </w:rPr>
        <w:t>《政府采购非招标采购方式管理办法》</w:t>
      </w:r>
      <w:r>
        <w:rPr>
          <w:rFonts w:ascii="宋体" w:hAnsi="宋体" w:eastAsia="宋体"/>
          <w:color w:val="auto"/>
          <w:sz w:val="24"/>
          <w:highlight w:val="none"/>
        </w:rPr>
        <w:t>第二十七条第二款规定的情形除外。</w:t>
      </w:r>
    </w:p>
    <w:p>
      <w:pPr>
        <w:pStyle w:val="4"/>
        <w:spacing w:beforeLines="50" w:line="400" w:lineRule="exact"/>
        <w:rPr>
          <w:rFonts w:ascii="宋体" w:hAnsi="宋体" w:eastAsia="宋体"/>
          <w:color w:val="auto"/>
          <w:highlight w:val="none"/>
        </w:rPr>
      </w:pPr>
      <w:bookmarkStart w:id="72" w:name="_Toc246095522"/>
      <w:bookmarkStart w:id="73" w:name="_Toc246095460"/>
      <w:bookmarkStart w:id="74" w:name="_Toc246094916"/>
      <w:bookmarkStart w:id="75" w:name="_Toc46404614"/>
      <w:r>
        <w:rPr>
          <w:rFonts w:hint="eastAsia" w:ascii="宋体" w:hAnsi="宋体" w:eastAsia="宋体"/>
          <w:color w:val="auto"/>
          <w:highlight w:val="none"/>
        </w:rPr>
        <w:t>五、</w:t>
      </w:r>
      <w:bookmarkEnd w:id="72"/>
      <w:bookmarkEnd w:id="73"/>
      <w:bookmarkEnd w:id="74"/>
      <w:r>
        <w:rPr>
          <w:rFonts w:hint="eastAsia" w:ascii="宋体" w:hAnsi="宋体" w:eastAsia="宋体"/>
          <w:color w:val="auto"/>
          <w:highlight w:val="none"/>
        </w:rPr>
        <w:t>评审结果</w:t>
      </w:r>
      <w:bookmarkEnd w:id="75"/>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8</w:t>
      </w:r>
      <w:r>
        <w:rPr>
          <w:rFonts w:hint="eastAsia" w:ascii="宋体" w:hAnsi="宋体" w:eastAsia="宋体"/>
          <w:b/>
          <w:color w:val="auto"/>
          <w:sz w:val="24"/>
          <w:highlight w:val="none"/>
        </w:rPr>
        <w:t>. 评审结果确定</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9</w:t>
      </w:r>
      <w:r>
        <w:rPr>
          <w:rFonts w:hint="eastAsia" w:ascii="宋体" w:hAnsi="宋体" w:eastAsia="宋体"/>
          <w:b/>
          <w:color w:val="auto"/>
          <w:sz w:val="24"/>
          <w:highlight w:val="none"/>
        </w:rPr>
        <w:t>. 成交通知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采购代理机构在成交供应商确定后2个工作日内，在省级以上财政部门指定的媒体上公告成交结果，同时向成交供应商发出成交通知书。</w:t>
      </w:r>
    </w:p>
    <w:p>
      <w:pPr>
        <w:pStyle w:val="4"/>
        <w:spacing w:beforeLines="100" w:line="400" w:lineRule="exact"/>
        <w:rPr>
          <w:rFonts w:ascii="宋体" w:hAnsi="宋体" w:eastAsia="宋体"/>
          <w:color w:val="auto"/>
          <w:highlight w:val="none"/>
        </w:rPr>
      </w:pPr>
      <w:bookmarkStart w:id="76" w:name="_Toc46404615"/>
      <w:r>
        <w:rPr>
          <w:rFonts w:hint="eastAsia" w:ascii="宋体" w:hAnsi="宋体" w:eastAsia="宋体"/>
          <w:color w:val="auto"/>
          <w:highlight w:val="none"/>
        </w:rPr>
        <w:t>六、合同授予</w:t>
      </w:r>
      <w:bookmarkEnd w:id="76"/>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30. 履约保证金</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30.1成交供应商应按供应商须知前附表规定的履约保证金的金额、方式，在签订合同前缴纳给采购人指定账户。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宋体" w:hAnsi="宋体" w:eastAsia="宋体"/>
          <w:color w:val="auto"/>
          <w:sz w:val="24"/>
          <w:highlight w:val="none"/>
        </w:rPr>
        <w:t>5</w:t>
      </w:r>
      <w:r>
        <w:rPr>
          <w:rFonts w:hint="eastAsia" w:ascii="宋体" w:hAnsi="宋体" w:eastAsia="宋体"/>
          <w:color w:val="auto"/>
          <w:sz w:val="24"/>
          <w:highlight w:val="none"/>
        </w:rPr>
        <w:t>个日历天内扣减成交供应商赔偿金和其他应从成交供应商扣回的款项后，将履约保证金的余额退还给成交供应商（无息）。</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30.4在履约保证金退还日期前，若成交供应商的开户名称、开户银行、帐号有变动的，请以书面形式通知采购人，否则由此产生的后果由成交供应商自负。</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31. 签订合同</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.1</w:t>
      </w:r>
      <w:r>
        <w:rPr>
          <w:rFonts w:hint="eastAsia" w:ascii="宋体" w:hAnsi="宋体" w:eastAsia="宋体"/>
          <w:color w:val="auto"/>
          <w:sz w:val="24"/>
          <w:highlight w:val="none"/>
        </w:rPr>
        <w:t>成交供应商在成交通知书发出之日起15日内与采购人签订合同。</w:t>
      </w:r>
      <w:r>
        <w:rPr>
          <w:rFonts w:hint="eastAsia" w:ascii="宋体" w:hAnsi="宋体" w:eastAsia="宋体" w:cs="Arial"/>
          <w:color w:val="auto"/>
          <w:sz w:val="24"/>
          <w:highlight w:val="none"/>
        </w:rPr>
        <w:t>谈判文件、成交供应商的响应文件、应答文件等，均为签订政府采购合同的依据。</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.2</w:t>
      </w:r>
      <w:r>
        <w:rPr>
          <w:rFonts w:hint="eastAsia" w:ascii="宋体" w:hAnsi="宋体" w:eastAsia="宋体"/>
          <w:color w:val="auto"/>
          <w:sz w:val="24"/>
          <w:highlight w:val="none"/>
        </w:rPr>
        <w:t>如成交供应商不按成交通知书的规定签订合同，则按成交供应商违约处理，采购代理机构将不予退还成交供应商谈判保证金并上缴财政国库。</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.3成交供应商拒绝签订政府采购合同的，</w:t>
      </w:r>
      <w:r>
        <w:rPr>
          <w:rFonts w:hint="eastAsia" w:ascii="宋体" w:hAnsi="宋体" w:eastAsia="宋体"/>
          <w:color w:val="auto"/>
          <w:sz w:val="24"/>
          <w:highlight w:val="none"/>
        </w:rPr>
        <w:t>如</w:t>
      </w:r>
      <w:r>
        <w:rPr>
          <w:rFonts w:ascii="宋体" w:hAnsi="宋体" w:eastAsia="宋体"/>
          <w:color w:val="auto"/>
          <w:sz w:val="24"/>
          <w:highlight w:val="none"/>
        </w:rPr>
        <w:t>政府采购活动或</w:t>
      </w:r>
      <w:r>
        <w:rPr>
          <w:rFonts w:hint="eastAsia" w:ascii="宋体" w:hAnsi="宋体" w:eastAsia="宋体"/>
          <w:color w:val="auto"/>
          <w:sz w:val="24"/>
          <w:highlight w:val="none"/>
        </w:rPr>
        <w:t>成交</w:t>
      </w:r>
      <w:r>
        <w:rPr>
          <w:rFonts w:ascii="宋体" w:hAnsi="宋体" w:eastAsia="宋体"/>
          <w:color w:val="auto"/>
          <w:sz w:val="24"/>
          <w:highlight w:val="none"/>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4</w:t>
      </w:r>
      <w:r>
        <w:rPr>
          <w:rFonts w:hint="eastAsia" w:ascii="宋体" w:hAnsi="宋体" w:eastAsia="宋体"/>
          <w:color w:val="auto"/>
          <w:sz w:val="24"/>
          <w:highlight w:val="none"/>
        </w:rPr>
        <w:t>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32. 政府采购合同公告</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根据</w:t>
      </w:r>
      <w:r>
        <w:rPr>
          <w:rFonts w:ascii="宋体" w:hAnsi="宋体" w:eastAsia="宋体" w:cs="Arial"/>
          <w:color w:val="auto"/>
          <w:sz w:val="24"/>
          <w:highlight w:val="none"/>
        </w:rPr>
        <w:t>《中华人民共和国政府采购法实施条例》第五十条</w:t>
      </w:r>
      <w:r>
        <w:rPr>
          <w:rFonts w:hint="eastAsia" w:ascii="宋体" w:hAnsi="宋体" w:eastAsia="宋体" w:cs="Arial"/>
          <w:color w:val="auto"/>
          <w:sz w:val="24"/>
          <w:highlight w:val="none"/>
        </w:rPr>
        <w:t>规定，采购人应当自政府采购合同签订之日起2个工作日内，将政府采购合同在省级以上人民政府财政部门指定的媒体上公告，</w:t>
      </w:r>
      <w:r>
        <w:rPr>
          <w:rFonts w:ascii="宋体" w:hAnsi="宋体" w:eastAsia="宋体" w:cs="Arial"/>
          <w:color w:val="auto"/>
          <w:sz w:val="24"/>
          <w:highlight w:val="none"/>
        </w:rPr>
        <w:t>但政府采购合同中涉及国家秘密、商业秘密的内容除外。</w:t>
      </w:r>
    </w:p>
    <w:p>
      <w:pPr>
        <w:pStyle w:val="4"/>
        <w:spacing w:beforeLines="100" w:line="400" w:lineRule="exact"/>
        <w:rPr>
          <w:rFonts w:ascii="宋体" w:hAnsi="宋体" w:eastAsia="宋体"/>
          <w:color w:val="auto"/>
          <w:highlight w:val="none"/>
        </w:rPr>
      </w:pPr>
      <w:bookmarkStart w:id="77" w:name="_Toc246095523"/>
      <w:bookmarkStart w:id="78" w:name="_Toc246095461"/>
      <w:bookmarkStart w:id="79" w:name="_Toc46404616"/>
      <w:bookmarkStart w:id="80" w:name="_Toc246094917"/>
      <w:r>
        <w:rPr>
          <w:rFonts w:hint="eastAsia" w:ascii="宋体" w:hAnsi="宋体" w:eastAsia="宋体"/>
          <w:color w:val="auto"/>
          <w:highlight w:val="none"/>
        </w:rPr>
        <w:t>七、其他</w:t>
      </w:r>
      <w:bookmarkEnd w:id="77"/>
      <w:bookmarkEnd w:id="78"/>
      <w:bookmarkEnd w:id="79"/>
      <w:bookmarkEnd w:id="80"/>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33. 招标代理服务费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33.2招标代理服务费标准：</w:t>
      </w:r>
    </w:p>
    <w:p>
      <w:pPr>
        <w:pStyle w:val="36"/>
        <w:ind w:left="440" w:firstLine="549"/>
        <w:rPr>
          <w:rFonts w:ascii="宋体"/>
          <w:color w:val="auto"/>
          <w:spacing w:val="0"/>
          <w:highlight w:val="none"/>
        </w:rPr>
      </w:pPr>
    </w:p>
    <w:tbl>
      <w:tblPr>
        <w:tblStyle w:val="38"/>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             费率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中标金额</w:t>
            </w:r>
          </w:p>
        </w:tc>
        <w:tc>
          <w:tcPr>
            <w:tcW w:w="1920"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货物招标</w:t>
            </w:r>
          </w:p>
        </w:tc>
        <w:tc>
          <w:tcPr>
            <w:tcW w:w="1907"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服务招标</w:t>
            </w:r>
          </w:p>
        </w:tc>
        <w:tc>
          <w:tcPr>
            <w:tcW w:w="1683"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100万元以下</w:t>
            </w:r>
          </w:p>
        </w:tc>
        <w:tc>
          <w:tcPr>
            <w:tcW w:w="1920"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1.5%</w:t>
            </w:r>
          </w:p>
        </w:tc>
        <w:tc>
          <w:tcPr>
            <w:tcW w:w="1907"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1.5%</w:t>
            </w:r>
          </w:p>
        </w:tc>
        <w:tc>
          <w:tcPr>
            <w:tcW w:w="168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100～500万元</w:t>
            </w:r>
          </w:p>
        </w:tc>
        <w:tc>
          <w:tcPr>
            <w:tcW w:w="1920"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1907"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0.8%</w:t>
            </w:r>
          </w:p>
        </w:tc>
        <w:tc>
          <w:tcPr>
            <w:tcW w:w="168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0.7%</w:t>
            </w:r>
          </w:p>
        </w:tc>
      </w:tr>
    </w:tbl>
    <w:p>
      <w:pPr>
        <w:spacing w:after="0" w:line="400" w:lineRule="exact"/>
        <w:ind w:firstLine="482" w:firstLineChars="200"/>
        <w:rPr>
          <w:rFonts w:ascii="宋体" w:hAnsi="宋体" w:eastAsia="宋体"/>
          <w:b/>
          <w:color w:val="auto"/>
          <w:sz w:val="24"/>
          <w:highlight w:val="none"/>
        </w:rPr>
      </w:pP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34. 询问、质疑和投诉</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.1供应商对政府采购活动事项有疑问的，可以向采购人、采购代理机构提出询问。</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（一）对可以质疑的采购文件提出质疑的，为收到采购文件之日或者采购文件公告期限届满之日；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（二）对采购过程提出质疑的，为各采购程序环节结束之日；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（三）对成交结果提出质疑的，为成交结果公告期限届满之日。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采购人或采购代理机构在收到供应商书面质疑后</w:t>
      </w:r>
      <w:r>
        <w:rPr>
          <w:rFonts w:ascii="宋体" w:hAnsi="宋体" w:eastAsia="宋体" w:cs="Arial"/>
          <w:color w:val="auto"/>
          <w:sz w:val="24"/>
          <w:highlight w:val="none"/>
        </w:rPr>
        <w:t>7</w:t>
      </w:r>
      <w:r>
        <w:rPr>
          <w:rFonts w:hint="eastAsia" w:ascii="宋体" w:hAnsi="宋体" w:eastAsia="宋体" w:cs="Arial"/>
          <w:color w:val="auto"/>
          <w:sz w:val="24"/>
          <w:highlight w:val="none"/>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.3供应商的</w:t>
      </w:r>
      <w:r>
        <w:rPr>
          <w:rFonts w:hint="eastAsia" w:ascii="宋体" w:hAnsi="宋体" w:eastAsia="宋体" w:cs="Arial"/>
          <w:bCs/>
          <w:color w:val="auto"/>
          <w:sz w:val="24"/>
          <w:highlight w:val="none"/>
        </w:rPr>
        <w:t>质疑和投诉行为应当符合《政府采购质疑和投诉办法》（中华人民共和国财政部令第94号）规定。</w:t>
      </w:r>
      <w:r>
        <w:rPr>
          <w:rFonts w:hint="eastAsia" w:ascii="宋体" w:hAnsi="宋体" w:eastAsia="宋体" w:cs="Arial"/>
          <w:color w:val="auto"/>
          <w:sz w:val="24"/>
          <w:highlight w:val="none"/>
        </w:rPr>
        <w:t>质疑、投诉应当采用书面形式，</w:t>
      </w:r>
      <w:r>
        <w:rPr>
          <w:rFonts w:hint="eastAsia" w:ascii="宋体" w:hAnsi="宋体" w:eastAsia="宋体" w:cs="Arial"/>
          <w:bCs/>
          <w:color w:val="auto"/>
          <w:sz w:val="24"/>
          <w:highlight w:val="none"/>
        </w:rPr>
        <w:t>质疑函、投诉书应按财政部发布《政府采购供应商质疑函范本》、《政府采购供应商投诉书范本》编制，</w:t>
      </w:r>
      <w:r>
        <w:rPr>
          <w:rFonts w:hint="eastAsia" w:ascii="宋体" w:hAnsi="宋体" w:eastAsia="宋体" w:cs="Arial"/>
          <w:color w:val="auto"/>
          <w:sz w:val="24"/>
          <w:highlight w:val="none"/>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供应商提出质疑应当提交质疑函和必要的证明材料，针对同一采购程序环节的质疑必须在法定质疑期内一次性提出。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35. 适用法律</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采购当事人的一切活动均适用于《中华人民共和国政府采购法》、《中华人民共和国政府采购法实施条例》、《</w:t>
      </w:r>
      <w:r>
        <w:rPr>
          <w:rFonts w:ascii="宋体" w:hAnsi="宋体" w:eastAsia="宋体"/>
          <w:color w:val="auto"/>
          <w:sz w:val="24"/>
          <w:highlight w:val="none"/>
        </w:rPr>
        <w:t>政府采购非招标采购方式管理办法</w:t>
      </w:r>
      <w:r>
        <w:rPr>
          <w:rFonts w:hint="eastAsia" w:ascii="宋体" w:hAnsi="宋体" w:eastAsia="宋体"/>
          <w:color w:val="auto"/>
          <w:sz w:val="24"/>
          <w:highlight w:val="none"/>
        </w:rPr>
        <w:t>》及相关规定。</w:t>
      </w:r>
    </w:p>
    <w:p>
      <w:pPr>
        <w:spacing w:after="0" w:line="400" w:lineRule="exact"/>
        <w:ind w:firstLine="480" w:firstLineChars="200"/>
        <w:rPr>
          <w:rFonts w:ascii="宋体" w:hAnsi="宋体" w:eastAsia="宋体"/>
          <w:color w:val="auto"/>
          <w:sz w:val="24"/>
          <w:highlight w:val="none"/>
        </w:rPr>
      </w:pPr>
    </w:p>
    <w:p>
      <w:pPr>
        <w:spacing w:after="0" w:line="400" w:lineRule="exact"/>
        <w:ind w:firstLine="440" w:firstLineChars="200"/>
        <w:rPr>
          <w:rFonts w:ascii="宋体" w:hAnsi="宋体" w:eastAsia="宋体"/>
          <w:color w:val="auto"/>
          <w:highlight w:val="none"/>
        </w:rPr>
        <w:sectPr>
          <w:headerReference r:id="rId12" w:type="first"/>
          <w:footerReference r:id="rId13" w:type="default"/>
          <w:footerReference r:id="rId14" w:type="even"/>
          <w:pgSz w:w="11907" w:h="16840"/>
          <w:pgMar w:top="1077" w:right="1275" w:bottom="1418" w:left="1077" w:header="624" w:footer="737" w:gutter="0"/>
          <w:pgNumType w:start="1"/>
          <w:cols w:space="720" w:num="1"/>
          <w:docGrid w:linePitch="312" w:charSpace="0"/>
        </w:sectPr>
      </w:pPr>
    </w:p>
    <w:p>
      <w:pPr>
        <w:pStyle w:val="3"/>
        <w:ind w:firstLine="720" w:firstLineChars="200"/>
        <w:rPr>
          <w:rFonts w:ascii="宋体" w:hAnsi="宋体" w:eastAsia="宋体"/>
          <w:color w:val="auto"/>
          <w:highlight w:val="none"/>
        </w:rPr>
      </w:pPr>
      <w:bookmarkStart w:id="81" w:name="_Toc46404617"/>
    </w:p>
    <w:p>
      <w:pPr>
        <w:pStyle w:val="3"/>
        <w:ind w:firstLine="720" w:firstLineChars="200"/>
        <w:rPr>
          <w:rFonts w:ascii="宋体" w:hAnsi="宋体" w:eastAsia="宋体"/>
          <w:color w:val="auto"/>
          <w:highlight w:val="none"/>
        </w:rPr>
      </w:pPr>
      <w:r>
        <w:rPr>
          <w:rFonts w:hint="eastAsia" w:ascii="宋体" w:hAnsi="宋体" w:eastAsia="宋体"/>
          <w:color w:val="auto"/>
          <w:highlight w:val="none"/>
        </w:rPr>
        <w:t>第三章  项目采购需求和说明</w:t>
      </w:r>
      <w:bookmarkEnd w:id="81"/>
    </w:p>
    <w:p>
      <w:pPr>
        <w:adjustRightInd/>
        <w:snapToGrid/>
        <w:spacing w:after="0" w:line="380" w:lineRule="atLeas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1、项目基本要求：</w:t>
      </w:r>
    </w:p>
    <w:p>
      <w:pPr>
        <w:adjustRightInd/>
        <w:snapToGrid/>
        <w:spacing w:after="0" w:line="380" w:lineRule="atLeas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⑴所供货物必须是全新的且按国家或国际有关质量标准制造，且能满足本项目技术指标的设备；零部件、配件及安装材料必须是全新的并符合制造国有关质量安全标准的产品。</w:t>
      </w:r>
    </w:p>
    <w:p>
      <w:pPr>
        <w:adjustRightInd/>
        <w:snapToGrid/>
        <w:spacing w:after="0" w:line="380" w:lineRule="atLeas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⑵成交供应商负责免费送货到采购人指定的地点且全部货物必须在交货现场验收。</w:t>
      </w:r>
    </w:p>
    <w:p>
      <w:pPr>
        <w:adjustRightInd/>
        <w:snapToGrid/>
        <w:spacing w:after="0" w:line="380" w:lineRule="atLeas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⑶竞标人所供货物必须符合竞争性谈判采购文件的要求，且交货前必须经采购人代表验收认可，否则采购人拒绝签收。</w:t>
      </w:r>
    </w:p>
    <w:p>
      <w:pPr>
        <w:adjustRightInd/>
        <w:snapToGrid/>
        <w:spacing w:after="0" w:line="380" w:lineRule="atLeas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⑷成交人应依据采购人的要求负责设备供货等涉及的一切费用，并负责免费培训采购人使用人员和维护人员。</w:t>
      </w:r>
    </w:p>
    <w:p>
      <w:pPr>
        <w:adjustRightInd/>
        <w:snapToGrid/>
        <w:spacing w:after="0" w:line="380" w:lineRule="atLeas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⑸保修期内，如发现有质量问题或不符合采购人采购要求的，成交供应商无条件给予包换包退，因设备质量原因造成采购人损失的，由成交供应商负责。</w:t>
      </w:r>
    </w:p>
    <w:p>
      <w:pPr>
        <w:adjustRightInd/>
        <w:snapToGrid/>
        <w:spacing w:after="0" w:line="380" w:lineRule="atLeas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⑹本项目竞标报价不能高于采购上限控制价及对应的单价，否则作无效标处理。</w:t>
      </w:r>
    </w:p>
    <w:p>
      <w:pPr>
        <w:adjustRightInd/>
        <w:snapToGrid/>
        <w:spacing w:after="0" w:line="380" w:lineRule="atLeast"/>
        <w:ind w:firstLine="480" w:firstLineChars="200"/>
        <w:rPr>
          <w:rFonts w:ascii="宋体" w:hAnsi="宋体" w:eastAsia="宋体"/>
          <w:color w:val="auto"/>
          <w:sz w:val="24"/>
          <w:highlight w:val="none"/>
        </w:rPr>
      </w:pPr>
    </w:p>
    <w:p>
      <w:pPr>
        <w:adjustRightInd/>
        <w:snapToGrid/>
        <w:spacing w:line="220" w:lineRule="atLeast"/>
        <w:ind w:firstLine="480" w:firstLineChars="200"/>
        <w:rPr>
          <w:rFonts w:ascii="宋体" w:hAnsi="宋体" w:eastAsia="宋体"/>
          <w:color w:val="auto"/>
          <w:sz w:val="24"/>
          <w:highlight w:val="none"/>
        </w:rPr>
      </w:pPr>
    </w:p>
    <w:p>
      <w:pPr>
        <w:adjustRightInd/>
        <w:snapToGrid/>
        <w:spacing w:line="220" w:lineRule="atLeast"/>
        <w:rPr>
          <w:rFonts w:ascii="宋体" w:hAnsi="宋体" w:eastAsia="宋体"/>
          <w:color w:val="auto"/>
          <w:sz w:val="24"/>
          <w:highlight w:val="none"/>
        </w:rPr>
      </w:pPr>
      <w:r>
        <w:rPr>
          <w:rFonts w:ascii="宋体" w:hAnsi="宋体" w:eastAsia="宋体"/>
          <w:color w:val="auto"/>
          <w:sz w:val="24"/>
          <w:highlight w:val="none"/>
        </w:rPr>
        <w:br w:type="page"/>
      </w:r>
    </w:p>
    <w:p>
      <w:pPr>
        <w:spacing w:after="0" w:line="400" w:lineRule="exact"/>
        <w:jc w:val="center"/>
        <w:rPr>
          <w:rFonts w:ascii="宋体" w:hAnsi="宋体" w:eastAsia="宋体"/>
          <w:color w:val="auto"/>
          <w:sz w:val="24"/>
          <w:highlight w:val="none"/>
        </w:rPr>
      </w:pPr>
      <w:r>
        <w:rPr>
          <w:rFonts w:hint="eastAsia" w:ascii="宋体" w:hAnsi="宋体" w:eastAsia="宋体"/>
          <w:b/>
          <w:bCs/>
          <w:color w:val="auto"/>
          <w:sz w:val="30"/>
          <w:szCs w:val="30"/>
          <w:highlight w:val="none"/>
        </w:rPr>
        <w:t>货物需求一览表</w:t>
      </w:r>
    </w:p>
    <w:p>
      <w:pPr>
        <w:adjustRightInd/>
        <w:snapToGrid/>
        <w:spacing w:line="220" w:lineRule="atLeast"/>
        <w:rPr>
          <w:rFonts w:ascii="宋体" w:hAnsi="宋体" w:eastAsia="宋体"/>
          <w:color w:val="auto"/>
          <w:sz w:val="24"/>
          <w:highlight w:val="none"/>
        </w:rPr>
      </w:pPr>
    </w:p>
    <w:tbl>
      <w:tblPr>
        <w:tblStyle w:val="38"/>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092"/>
        <w:gridCol w:w="1611"/>
        <w:gridCol w:w="1478"/>
        <w:gridCol w:w="18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Ansi="宋体" w:cs="Times New Roman"/>
                <w:b/>
                <w:bCs/>
                <w:color w:val="auto"/>
                <w:highlight w:val="none"/>
              </w:rPr>
            </w:pPr>
            <w:r>
              <w:rPr>
                <w:rFonts w:hint="eastAsia" w:ascii="宋体" w:hAnsi="宋体" w:eastAsia="宋体" w:cs="Times New Roman"/>
                <w:color w:val="auto"/>
                <w:sz w:val="24"/>
                <w:szCs w:val="24"/>
                <w:highlight w:val="none"/>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Ansi="宋体" w:cs="Times New Roman"/>
                <w:b/>
                <w:bCs/>
                <w:color w:val="auto"/>
                <w:highlight w:val="none"/>
              </w:rPr>
            </w:pPr>
            <w:r>
              <w:rPr>
                <w:rFonts w:hint="eastAsia" w:ascii="宋体" w:hAnsi="宋体" w:eastAsia="宋体" w:cs="Times New Roman"/>
                <w:color w:val="auto"/>
                <w:sz w:val="24"/>
                <w:szCs w:val="24"/>
                <w:highlight w:val="none"/>
              </w:rPr>
              <w:t>名称及规格</w:t>
            </w:r>
          </w:p>
        </w:tc>
        <w:tc>
          <w:tcPr>
            <w:tcW w:w="161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Ansi="宋体" w:cs="Times New Roman"/>
                <w:b/>
                <w:bCs/>
                <w:color w:val="auto"/>
                <w:highlight w:val="none"/>
              </w:rPr>
            </w:pPr>
            <w:r>
              <w:rPr>
                <w:rFonts w:hint="eastAsia" w:ascii="宋体" w:hAnsi="宋体" w:eastAsia="宋体" w:cs="Times New Roman"/>
                <w:color w:val="auto"/>
                <w:sz w:val="24"/>
                <w:szCs w:val="24"/>
                <w:highlight w:val="none"/>
              </w:rPr>
              <w:t>采购数量（m）</w:t>
            </w:r>
          </w:p>
        </w:tc>
        <w:tc>
          <w:tcPr>
            <w:tcW w:w="14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Ansi="宋体" w:cs="Times New Roman"/>
                <w:b/>
                <w:bCs/>
                <w:color w:val="auto"/>
                <w:szCs w:val="21"/>
                <w:highlight w:val="none"/>
              </w:rPr>
            </w:pPr>
            <w:r>
              <w:rPr>
                <w:rFonts w:hint="eastAsia" w:ascii="宋体" w:hAnsi="宋体" w:eastAsia="宋体" w:cs="Times New Roman"/>
                <w:color w:val="auto"/>
                <w:sz w:val="24"/>
                <w:szCs w:val="24"/>
                <w:highlight w:val="none"/>
              </w:rPr>
              <w:t>壁厚(mm)</w:t>
            </w:r>
          </w:p>
        </w:tc>
        <w:tc>
          <w:tcPr>
            <w:tcW w:w="1878" w:type="dxa"/>
            <w:tcBorders>
              <w:top w:val="single" w:color="auto" w:sz="4" w:space="0"/>
              <w:left w:val="single" w:color="auto" w:sz="4" w:space="0"/>
              <w:bottom w:val="single" w:color="auto" w:sz="4" w:space="0"/>
              <w:right w:val="single" w:color="000000" w:sz="8" w:space="0"/>
            </w:tcBorders>
            <w:vAlign w:val="center"/>
          </w:tcPr>
          <w:p>
            <w:pPr>
              <w:jc w:val="center"/>
              <w:textAlignment w:val="center"/>
              <w:rPr>
                <w:rFonts w:hAnsi="宋体" w:cs="Times New Roman"/>
                <w:b/>
                <w:bCs/>
                <w:color w:val="auto"/>
                <w:szCs w:val="21"/>
                <w:highlight w:val="none"/>
              </w:rPr>
            </w:pPr>
            <w:r>
              <w:rPr>
                <w:rFonts w:hint="eastAsia" w:ascii="宋体" w:hAnsi="宋体" w:eastAsia="宋体" w:cs="宋体"/>
                <w:color w:val="auto"/>
                <w:sz w:val="24"/>
                <w:szCs w:val="24"/>
                <w:highlight w:val="none"/>
              </w:rPr>
              <w:t>采购单价（元/米）</w:t>
            </w:r>
          </w:p>
        </w:tc>
        <w:tc>
          <w:tcPr>
            <w:tcW w:w="1480" w:type="dxa"/>
            <w:tcBorders>
              <w:top w:val="single" w:color="auto" w:sz="4" w:space="0"/>
              <w:left w:val="single" w:color="000000" w:sz="8" w:space="0"/>
              <w:bottom w:val="single" w:color="auto" w:sz="4" w:space="0"/>
              <w:right w:val="single" w:color="auto" w:sz="4" w:space="0"/>
            </w:tcBorders>
            <w:vAlign w:val="center"/>
          </w:tcPr>
          <w:p>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采购预算金额</w:t>
            </w:r>
            <w:r>
              <w:rPr>
                <w:rFonts w:hint="eastAsia" w:ascii="宋体" w:hAnsi="宋体" w:eastAsia="宋体" w:cs="宋体"/>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78"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ascii="宋体" w:hAnsi="宋体" w:cs="Times New Roman"/>
                <w:bCs/>
                <w:color w:val="auto"/>
                <w:szCs w:val="21"/>
                <w:highlight w:val="none"/>
              </w:rPr>
            </w:pPr>
            <w:r>
              <w:rPr>
                <w:rFonts w:hint="eastAsia" w:ascii="宋体" w:hAnsi="宋体" w:eastAsia="宋体" w:cs="宋体"/>
                <w:color w:val="auto"/>
                <w:sz w:val="24"/>
                <w:szCs w:val="24"/>
                <w:highlight w:val="none"/>
              </w:rPr>
              <w:t>1</w:t>
            </w:r>
          </w:p>
        </w:tc>
        <w:tc>
          <w:tcPr>
            <w:tcW w:w="3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φ20国标热镀锌钢管</w:t>
            </w:r>
          </w:p>
        </w:tc>
        <w:tc>
          <w:tcPr>
            <w:tcW w:w="1611"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7915</w:t>
            </w:r>
          </w:p>
        </w:tc>
        <w:tc>
          <w:tcPr>
            <w:tcW w:w="14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2.8</w:t>
            </w:r>
          </w:p>
        </w:tc>
        <w:tc>
          <w:tcPr>
            <w:tcW w:w="1878" w:type="dxa"/>
            <w:tcBorders>
              <w:top w:val="single" w:color="auto" w:sz="4" w:space="0"/>
              <w:left w:val="single" w:color="auto" w:sz="4" w:space="0"/>
              <w:right w:val="single" w:color="000000" w:sz="8" w:space="0"/>
            </w:tcBorders>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13.93</w:t>
            </w:r>
          </w:p>
        </w:tc>
        <w:tc>
          <w:tcPr>
            <w:tcW w:w="1480" w:type="dxa"/>
            <w:tcBorders>
              <w:top w:val="single" w:color="auto" w:sz="4" w:space="0"/>
              <w:left w:val="single" w:color="000000" w:sz="8" w:space="0"/>
              <w:right w:val="single" w:color="auto" w:sz="4" w:space="0"/>
            </w:tcBorders>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110255.95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8"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ascii="宋体" w:hAnsi="宋体"/>
                <w:bCs/>
                <w:color w:val="auto"/>
                <w:szCs w:val="21"/>
                <w:highlight w:val="none"/>
              </w:rPr>
            </w:pPr>
            <w:r>
              <w:rPr>
                <w:rFonts w:hint="eastAsia" w:ascii="宋体" w:hAnsi="宋体" w:eastAsia="宋体" w:cs="宋体"/>
                <w:color w:val="auto"/>
                <w:sz w:val="24"/>
                <w:szCs w:val="24"/>
                <w:highlight w:val="none"/>
              </w:rPr>
              <w:t>2</w:t>
            </w:r>
          </w:p>
        </w:tc>
        <w:tc>
          <w:tcPr>
            <w:tcW w:w="3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φ25国标热镀锌钢管</w:t>
            </w:r>
          </w:p>
        </w:tc>
        <w:tc>
          <w:tcPr>
            <w:tcW w:w="1611"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300</w:t>
            </w:r>
          </w:p>
        </w:tc>
        <w:tc>
          <w:tcPr>
            <w:tcW w:w="14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3.2</w:t>
            </w:r>
          </w:p>
        </w:tc>
        <w:tc>
          <w:tcPr>
            <w:tcW w:w="1878" w:type="dxa"/>
            <w:tcBorders>
              <w:top w:val="single" w:color="auto" w:sz="4" w:space="0"/>
              <w:left w:val="single" w:color="auto" w:sz="4" w:space="0"/>
              <w:right w:val="single" w:color="000000" w:sz="8" w:space="0"/>
            </w:tcBorders>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16.35</w:t>
            </w:r>
          </w:p>
        </w:tc>
        <w:tc>
          <w:tcPr>
            <w:tcW w:w="1480" w:type="dxa"/>
            <w:tcBorders>
              <w:left w:val="single" w:color="000000" w:sz="8" w:space="0"/>
              <w:right w:val="single" w:color="auto" w:sz="4" w:space="0"/>
            </w:tcBorders>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8"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ascii="宋体" w:hAnsi="宋体"/>
                <w:bCs/>
                <w:color w:val="auto"/>
                <w:szCs w:val="21"/>
                <w:highlight w:val="none"/>
              </w:rPr>
            </w:pPr>
            <w:r>
              <w:rPr>
                <w:rFonts w:hint="eastAsia" w:ascii="宋体" w:hAnsi="宋体" w:eastAsia="宋体" w:cs="宋体"/>
                <w:color w:val="auto"/>
                <w:sz w:val="24"/>
                <w:szCs w:val="24"/>
                <w:highlight w:val="none"/>
              </w:rPr>
              <w:t>3</w:t>
            </w:r>
          </w:p>
        </w:tc>
        <w:tc>
          <w:tcPr>
            <w:tcW w:w="3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φ32国标热镀锌钢管</w:t>
            </w:r>
          </w:p>
        </w:tc>
        <w:tc>
          <w:tcPr>
            <w:tcW w:w="1611"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8020</w:t>
            </w:r>
          </w:p>
        </w:tc>
        <w:tc>
          <w:tcPr>
            <w:tcW w:w="14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3.5</w:t>
            </w:r>
          </w:p>
        </w:tc>
        <w:tc>
          <w:tcPr>
            <w:tcW w:w="1878" w:type="dxa"/>
            <w:tcBorders>
              <w:top w:val="single" w:color="auto" w:sz="4" w:space="0"/>
              <w:left w:val="single" w:color="auto" w:sz="4" w:space="0"/>
              <w:right w:val="single" w:color="000000" w:sz="8" w:space="0"/>
            </w:tcBorders>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28.37</w:t>
            </w:r>
          </w:p>
        </w:tc>
        <w:tc>
          <w:tcPr>
            <w:tcW w:w="1480" w:type="dxa"/>
            <w:tcBorders>
              <w:left w:val="single" w:color="000000" w:sz="8" w:space="0"/>
              <w:right w:val="single" w:color="auto" w:sz="4" w:space="0"/>
            </w:tcBorders>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227527.40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8"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ascii="宋体" w:hAnsi="宋体"/>
                <w:bCs/>
                <w:color w:val="auto"/>
                <w:szCs w:val="21"/>
                <w:highlight w:val="none"/>
              </w:rPr>
            </w:pPr>
            <w:r>
              <w:rPr>
                <w:rFonts w:hint="eastAsia" w:ascii="宋体" w:hAnsi="宋体" w:eastAsia="宋体" w:cs="宋体"/>
                <w:color w:val="auto"/>
                <w:sz w:val="24"/>
                <w:szCs w:val="24"/>
                <w:highlight w:val="none"/>
              </w:rPr>
              <w:t>4</w:t>
            </w:r>
          </w:p>
        </w:tc>
        <w:tc>
          <w:tcPr>
            <w:tcW w:w="3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φ40国标热镀锌钢管</w:t>
            </w:r>
          </w:p>
        </w:tc>
        <w:tc>
          <w:tcPr>
            <w:tcW w:w="1611"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5610</w:t>
            </w:r>
          </w:p>
        </w:tc>
        <w:tc>
          <w:tcPr>
            <w:tcW w:w="14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3.5</w:t>
            </w:r>
          </w:p>
        </w:tc>
        <w:tc>
          <w:tcPr>
            <w:tcW w:w="1878" w:type="dxa"/>
            <w:tcBorders>
              <w:top w:val="single" w:color="auto" w:sz="4" w:space="0"/>
              <w:left w:val="single" w:color="auto" w:sz="4" w:space="0"/>
              <w:right w:val="single" w:color="000000" w:sz="8" w:space="0"/>
            </w:tcBorders>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32.23</w:t>
            </w:r>
          </w:p>
        </w:tc>
        <w:tc>
          <w:tcPr>
            <w:tcW w:w="1480" w:type="dxa"/>
            <w:tcBorders>
              <w:left w:val="single" w:color="000000" w:sz="8" w:space="0"/>
              <w:right w:val="single" w:color="auto" w:sz="4" w:space="0"/>
            </w:tcBorders>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180810.30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8"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ascii="宋体" w:hAnsi="宋体"/>
                <w:bCs/>
                <w:color w:val="auto"/>
                <w:szCs w:val="21"/>
                <w:highlight w:val="none"/>
              </w:rPr>
            </w:pPr>
            <w:r>
              <w:rPr>
                <w:rFonts w:hint="eastAsia" w:ascii="宋体" w:hAnsi="宋体" w:eastAsia="宋体" w:cs="宋体"/>
                <w:color w:val="auto"/>
                <w:sz w:val="24"/>
                <w:szCs w:val="24"/>
                <w:highlight w:val="none"/>
              </w:rPr>
              <w:t>5</w:t>
            </w:r>
          </w:p>
        </w:tc>
        <w:tc>
          <w:tcPr>
            <w:tcW w:w="3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φ50国标热镀锌钢管</w:t>
            </w:r>
          </w:p>
        </w:tc>
        <w:tc>
          <w:tcPr>
            <w:tcW w:w="1611"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9874</w:t>
            </w:r>
          </w:p>
        </w:tc>
        <w:tc>
          <w:tcPr>
            <w:tcW w:w="14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3.8</w:t>
            </w:r>
          </w:p>
        </w:tc>
        <w:tc>
          <w:tcPr>
            <w:tcW w:w="1878" w:type="dxa"/>
            <w:tcBorders>
              <w:top w:val="single" w:color="auto" w:sz="4" w:space="0"/>
              <w:left w:val="single" w:color="auto" w:sz="4" w:space="0"/>
              <w:right w:val="single" w:color="000000" w:sz="8" w:space="0"/>
            </w:tcBorders>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43.05</w:t>
            </w:r>
          </w:p>
        </w:tc>
        <w:tc>
          <w:tcPr>
            <w:tcW w:w="1480" w:type="dxa"/>
            <w:tcBorders>
              <w:left w:val="single" w:color="000000" w:sz="8" w:space="0"/>
              <w:right w:val="single" w:color="auto" w:sz="4" w:space="0"/>
            </w:tcBorders>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425075.70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8"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ascii="宋体" w:hAnsi="宋体"/>
                <w:bCs/>
                <w:color w:val="auto"/>
                <w:szCs w:val="21"/>
                <w:highlight w:val="none"/>
              </w:rPr>
            </w:pPr>
            <w:r>
              <w:rPr>
                <w:rFonts w:hint="eastAsia" w:ascii="宋体" w:hAnsi="宋体" w:eastAsia="宋体" w:cs="宋体"/>
                <w:color w:val="auto"/>
                <w:sz w:val="24"/>
                <w:szCs w:val="24"/>
                <w:highlight w:val="none"/>
              </w:rPr>
              <w:t>6</w:t>
            </w:r>
          </w:p>
        </w:tc>
        <w:tc>
          <w:tcPr>
            <w:tcW w:w="3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φ100国标热镀锌钢管</w:t>
            </w:r>
          </w:p>
        </w:tc>
        <w:tc>
          <w:tcPr>
            <w:tcW w:w="1611" w:type="dxa"/>
            <w:tcBorders>
              <w:top w:val="single" w:color="auto" w:sz="4" w:space="0"/>
              <w:left w:val="single" w:color="auto" w:sz="4" w:space="0"/>
              <w:bottom w:val="single" w:color="auto" w:sz="4" w:space="0"/>
              <w:right w:val="single" w:color="auto" w:sz="4" w:space="0"/>
            </w:tcBorders>
            <w:vAlign w:val="bottom"/>
          </w:tcPr>
          <w:p>
            <w:pPr>
              <w:spacing w:line="400" w:lineRule="exact"/>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800</w:t>
            </w:r>
          </w:p>
        </w:tc>
        <w:tc>
          <w:tcPr>
            <w:tcW w:w="14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4.5</w:t>
            </w:r>
          </w:p>
        </w:tc>
        <w:tc>
          <w:tcPr>
            <w:tcW w:w="1878" w:type="dxa"/>
            <w:tcBorders>
              <w:top w:val="single" w:color="auto" w:sz="4" w:space="0"/>
              <w:left w:val="single" w:color="auto" w:sz="4" w:space="0"/>
              <w:right w:val="single" w:color="000000" w:sz="8" w:space="0"/>
            </w:tcBorders>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88.20</w:t>
            </w:r>
          </w:p>
        </w:tc>
        <w:tc>
          <w:tcPr>
            <w:tcW w:w="1480" w:type="dxa"/>
            <w:tcBorders>
              <w:left w:val="single" w:color="000000" w:sz="8" w:space="0"/>
              <w:right w:val="single" w:color="auto" w:sz="4" w:space="0"/>
            </w:tcBorders>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37" w:type="dxa"/>
            <w:gridSpan w:val="5"/>
            <w:tcBorders>
              <w:top w:val="single" w:color="auto" w:sz="4" w:space="0"/>
              <w:left w:val="single" w:color="auto" w:sz="4" w:space="0"/>
              <w:bottom w:val="single" w:color="auto" w:sz="4" w:space="0"/>
              <w:right w:val="single" w:color="000000" w:sz="8" w:space="0"/>
            </w:tcBorders>
            <w:vAlign w:val="bottom"/>
          </w:tcPr>
          <w:p>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1480" w:type="dxa"/>
            <w:tcBorders>
              <w:left w:val="single" w:color="000000" w:sz="8" w:space="0"/>
              <w:right w:val="single" w:color="auto" w:sz="4" w:space="0"/>
            </w:tcBorders>
            <w:vAlign w:val="center"/>
          </w:tcPr>
          <w:p>
            <w:pPr>
              <w:jc w:val="center"/>
              <w:textAlignment w:val="center"/>
              <w:rPr>
                <w:rFonts w:ascii="宋体" w:hAnsi="宋体" w:eastAsia="宋体" w:cs="宋体"/>
                <w:color w:val="auto"/>
                <w:sz w:val="24"/>
                <w:szCs w:val="24"/>
                <w:highlight w:val="none"/>
              </w:rPr>
            </w:pPr>
            <w:r>
              <w:rPr>
                <w:rFonts w:ascii="Microsoft JhengHei" w:hAnsi="Microsoft JhengHei" w:eastAsia="Microsoft JhengHei" w:cs="Microsoft JhengHei"/>
                <w:color w:val="auto"/>
                <w:spacing w:val="0"/>
                <w:w w:val="100"/>
                <w:sz w:val="22"/>
                <w:szCs w:val="22"/>
                <w:highlight w:val="none"/>
              </w:rPr>
              <w:t>1019134.35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117" w:type="dxa"/>
            <w:gridSpan w:val="6"/>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ascii="宋体" w:hAnsi="宋体" w:eastAsia="宋体" w:cs="宋体"/>
                <w:b/>
                <w:bCs/>
                <w:color w:val="auto"/>
                <w:sz w:val="24"/>
                <w:szCs w:val="24"/>
                <w:highlight w:val="none"/>
              </w:rPr>
              <w:t>采购上限控制价：</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壹佰零壹万玖仟壹佰叁拾肆元叁角伍分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1019134.35</w:t>
            </w:r>
            <w:r>
              <w:rPr>
                <w:rFonts w:hint="eastAsia" w:ascii="宋体" w:hAnsi="宋体" w:eastAsia="宋体" w:cs="宋体"/>
                <w:color w:val="auto"/>
                <w:sz w:val="24"/>
                <w:szCs w:val="24"/>
                <w:highlight w:val="none"/>
              </w:rPr>
              <w:t>元），有效报价范围为小于或等于采购预算价及对应的采购单价，否则无效竞标处理。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1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商务条款：</w:t>
            </w:r>
          </w:p>
          <w:p>
            <w:pPr>
              <w:spacing w:after="0"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一、竞标要求：</w:t>
            </w:r>
          </w:p>
          <w:p>
            <w:pPr>
              <w:spacing w:after="0" w:line="440" w:lineRule="exact"/>
              <w:ind w:firstLine="240" w:firstLineChars="100"/>
              <w:rPr>
                <w:rFonts w:hint="eastAsia"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1、确定成交人后，成交后的单价不随时间、市场价格等因素的的变动而改变，采购数量以采购单位实际需求进行提供，直至采购人完成采购任务为止，</w:t>
            </w:r>
            <w:r>
              <w:rPr>
                <w:rFonts w:hint="eastAsia" w:ascii="宋体" w:hAnsi="宋体" w:eastAsia="宋体" w:cs="Times New Roman"/>
                <w:color w:val="auto"/>
                <w:sz w:val="24"/>
                <w:szCs w:val="24"/>
                <w:highlight w:val="none"/>
              </w:rPr>
              <w:t>否则按成交人违约处理并取消成交资格。</w:t>
            </w:r>
          </w:p>
          <w:p>
            <w:pPr>
              <w:autoSpaceDE w:val="0"/>
              <w:autoSpaceDN w:val="0"/>
              <w:spacing w:after="0" w:line="440" w:lineRule="exact"/>
              <w:rPr>
                <w:rFonts w:hint="default" w:eastAsia="宋体"/>
                <w:color w:val="auto"/>
                <w:highlight w:val="none"/>
                <w:lang w:val="en-US" w:eastAsia="zh-CN"/>
              </w:rPr>
            </w:pPr>
            <w:r>
              <w:rPr>
                <w:rFonts w:hint="eastAsia" w:ascii="宋体" w:hAnsi="宋体" w:eastAsia="宋体" w:cs="Arial"/>
                <w:color w:val="auto"/>
                <w:sz w:val="24"/>
                <w:highlight w:val="none"/>
              </w:rPr>
              <w:t>▲</w:t>
            </w:r>
            <w:r>
              <w:rPr>
                <w:rFonts w:hint="eastAsia" w:ascii="宋体" w:hAnsi="宋体" w:eastAsia="宋体" w:cs="宋体"/>
                <w:bCs/>
                <w:color w:val="auto"/>
                <w:sz w:val="24"/>
                <w:szCs w:val="24"/>
                <w:highlight w:val="none"/>
              </w:rPr>
              <w:t>2、竞标人必须</w:t>
            </w:r>
            <w:r>
              <w:rPr>
                <w:rFonts w:hint="eastAsia" w:cs="宋体" w:asciiTheme="minorEastAsia" w:hAnsiTheme="minorEastAsia" w:eastAsiaTheme="minorEastAsia"/>
                <w:color w:val="auto"/>
                <w:sz w:val="24"/>
                <w:szCs w:val="24"/>
                <w:highlight w:val="none"/>
              </w:rPr>
              <w:t>提供近</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年以来省级以上（含省级）质量检验部门出具有效的本次所有采购管材型号质量检验报告（质量检验报告上注明要有投标管材的商标名、型号）复印件；</w:t>
            </w:r>
          </w:p>
          <w:p>
            <w:pPr>
              <w:spacing w:line="440" w:lineRule="exact"/>
              <w:ind w:firstLine="240" w:firstLineChars="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、本项目采购数量暂定，最终按竞标人竞标时所填报的单价及采购人实际用量进行实际结算。</w:t>
            </w:r>
          </w:p>
          <w:p>
            <w:pPr>
              <w:spacing w:after="0" w:line="440" w:lineRule="exac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二、合同签订期：</w:t>
            </w:r>
            <w:r>
              <w:rPr>
                <w:rFonts w:hint="eastAsia" w:ascii="宋体" w:hAnsi="宋体" w:eastAsia="宋体" w:cs="Times New Roman"/>
                <w:color w:val="auto"/>
                <w:sz w:val="24"/>
                <w:szCs w:val="24"/>
                <w:highlight w:val="none"/>
              </w:rPr>
              <w:t>自成交通知书发出之日起15日内。</w:t>
            </w:r>
          </w:p>
          <w:p>
            <w:pPr>
              <w:spacing w:after="0" w:line="440" w:lineRule="exact"/>
              <w:rPr>
                <w:rFonts w:ascii="宋体" w:hAnsi="宋体" w:eastAsia="宋体" w:cs="Times New Roman"/>
                <w:bCs/>
                <w:color w:val="auto"/>
                <w:sz w:val="24"/>
                <w:szCs w:val="24"/>
                <w:highlight w:val="none"/>
              </w:rPr>
            </w:pPr>
            <w:r>
              <w:rPr>
                <w:rFonts w:hint="eastAsia" w:ascii="宋体" w:hAnsi="宋体" w:eastAsia="宋体" w:cs="Times New Roman"/>
                <w:b/>
                <w:color w:val="auto"/>
                <w:sz w:val="24"/>
                <w:szCs w:val="24"/>
                <w:highlight w:val="none"/>
              </w:rPr>
              <w:t>三、合同履行期限</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签订合同后 15 日历日内。</w:t>
            </w:r>
          </w:p>
          <w:p>
            <w:pPr>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b/>
                <w:color w:val="auto"/>
                <w:sz w:val="24"/>
                <w:szCs w:val="24"/>
                <w:highlight w:val="none"/>
              </w:rPr>
              <w:t>交货地点：</w:t>
            </w:r>
            <w:r>
              <w:rPr>
                <w:rFonts w:hint="eastAsia" w:ascii="宋体" w:hAnsi="宋体" w:eastAsia="宋体" w:cs="Times New Roman"/>
                <w:color w:val="auto"/>
                <w:sz w:val="24"/>
                <w:szCs w:val="24"/>
                <w:highlight w:val="none"/>
              </w:rPr>
              <w:t>采购人指定地点</w:t>
            </w:r>
            <w:r>
              <w:rPr>
                <w:rFonts w:hint="eastAsia" w:ascii="宋体" w:hAnsi="宋体" w:eastAsia="宋体" w:cs="宋体"/>
                <w:color w:val="auto"/>
                <w:sz w:val="24"/>
                <w:szCs w:val="24"/>
                <w:highlight w:val="none"/>
              </w:rPr>
              <w:t>。</w:t>
            </w:r>
          </w:p>
          <w:p>
            <w:pPr>
              <w:spacing w:after="0" w:line="440" w:lineRule="exac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五、交货方式</w:t>
            </w:r>
            <w:r>
              <w:rPr>
                <w:rFonts w:hint="eastAsia" w:ascii="宋体" w:hAnsi="宋体" w:eastAsia="宋体" w:cs="Times New Roman"/>
                <w:color w:val="auto"/>
                <w:sz w:val="24"/>
                <w:szCs w:val="24"/>
                <w:highlight w:val="none"/>
              </w:rPr>
              <w:t>：采购人指定地点现场交货，竞标人报价时需自己综合考虑运距问题。</w:t>
            </w:r>
          </w:p>
          <w:p>
            <w:pPr>
              <w:spacing w:after="0" w:line="440" w:lineRule="exact"/>
              <w:rPr>
                <w:rFonts w:ascii="宋体" w:hAnsi="宋体" w:eastAsia="宋体" w:cs="宋体"/>
                <w:color w:val="auto"/>
                <w:sz w:val="24"/>
                <w:szCs w:val="24"/>
                <w:highlight w:val="none"/>
              </w:rPr>
            </w:pPr>
            <w:r>
              <w:rPr>
                <w:rFonts w:hint="eastAsia" w:ascii="宋体" w:hAnsi="宋体" w:eastAsia="宋体" w:cs="Times New Roman"/>
                <w:b/>
                <w:color w:val="auto"/>
                <w:sz w:val="24"/>
                <w:szCs w:val="24"/>
                <w:highlight w:val="none"/>
              </w:rPr>
              <w:t>六、验收标准：</w:t>
            </w:r>
            <w:r>
              <w:rPr>
                <w:rFonts w:hint="eastAsia" w:ascii="宋体" w:hAnsi="宋体" w:eastAsia="宋体" w:cs="Times New Roman"/>
                <w:color w:val="auto"/>
                <w:sz w:val="24"/>
                <w:szCs w:val="24"/>
                <w:highlight w:val="none"/>
              </w:rPr>
              <w:t>达到国家标准或行业标准。</w:t>
            </w:r>
          </w:p>
          <w:p>
            <w:pPr>
              <w:spacing w:after="0" w:line="440" w:lineRule="exact"/>
              <w:rPr>
                <w:rFonts w:ascii="宋体" w:hAnsi="宋体" w:eastAsia="宋体" w:cs="宋体"/>
                <w:color w:val="auto"/>
                <w:sz w:val="24"/>
                <w:szCs w:val="24"/>
                <w:highlight w:val="none"/>
              </w:rPr>
            </w:pPr>
            <w:r>
              <w:rPr>
                <w:rFonts w:hint="eastAsia" w:ascii="宋体" w:hAnsi="宋体" w:eastAsia="宋体" w:cs="Times New Roman"/>
                <w:b/>
                <w:color w:val="auto"/>
                <w:sz w:val="24"/>
                <w:szCs w:val="24"/>
                <w:highlight w:val="none"/>
              </w:rPr>
              <w:t>七、</w:t>
            </w:r>
            <w:r>
              <w:rPr>
                <w:rFonts w:hint="eastAsia" w:ascii="宋体" w:hAnsi="宋体" w:eastAsia="宋体" w:cs="宋体"/>
                <w:b/>
                <w:bCs/>
                <w:color w:val="auto"/>
                <w:sz w:val="24"/>
                <w:szCs w:val="24"/>
                <w:highlight w:val="none"/>
              </w:rPr>
              <w:t>货物付款方式</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供货方按交货期要求在规定的时间内将管材运到采购人指定地点，经供货方、需方及监督单位现场随机抽样，国标镀锌钢管现场组织验收测量管壁厚度达到国标要求。</w:t>
            </w:r>
          </w:p>
          <w:p>
            <w:pPr>
              <w:spacing w:after="0"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本项目签订合同后15日内供货到指定地方，经过清点</w:t>
            </w:r>
            <w:r>
              <w:rPr>
                <w:rFonts w:hint="eastAsia" w:ascii="宋体" w:hAnsi="宋体" w:eastAsia="宋体" w:cs="宋体"/>
                <w:color w:val="auto"/>
                <w:sz w:val="24"/>
                <w:szCs w:val="24"/>
                <w:highlight w:val="none"/>
                <w:lang w:val="en-US" w:eastAsia="zh-CN"/>
              </w:rPr>
              <w:t>后7个工作日内</w:t>
            </w:r>
            <w:r>
              <w:rPr>
                <w:rFonts w:hint="eastAsia" w:ascii="宋体" w:hAnsi="宋体" w:eastAsia="宋体" w:cs="宋体"/>
                <w:color w:val="auto"/>
                <w:sz w:val="24"/>
                <w:szCs w:val="24"/>
                <w:highlight w:val="none"/>
              </w:rPr>
              <w:t>由采购人支付至合同</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的80%给成交供应商</w:t>
            </w:r>
            <w:r>
              <w:rPr>
                <w:rFonts w:hint="eastAsia" w:ascii="宋体" w:hAnsi="宋体" w:eastAsia="宋体" w:cs="宋体"/>
                <w:color w:val="auto"/>
                <w:sz w:val="24"/>
                <w:szCs w:val="24"/>
                <w:highlight w:val="none"/>
                <w:lang w:eastAsia="zh-CN"/>
              </w:rPr>
              <w:t>，经过现场抽查送检，</w:t>
            </w:r>
            <w:r>
              <w:rPr>
                <w:rFonts w:hint="eastAsia" w:ascii="宋体" w:hAnsi="宋体" w:eastAsia="宋体" w:cs="宋体"/>
                <w:color w:val="auto"/>
                <w:sz w:val="24"/>
                <w:szCs w:val="24"/>
                <w:highlight w:val="none"/>
                <w:lang w:val="en-US" w:eastAsia="zh-CN"/>
              </w:rPr>
              <w:t>出检测报告</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rPr>
              <w:t>支付至</w:t>
            </w:r>
            <w:r>
              <w:rPr>
                <w:rFonts w:hint="eastAsia" w:ascii="宋体" w:hAnsi="宋体" w:eastAsia="宋体" w:cs="宋体"/>
                <w:color w:val="auto"/>
                <w:sz w:val="24"/>
                <w:szCs w:val="24"/>
                <w:highlight w:val="none"/>
                <w:lang w:val="en-US" w:eastAsia="zh-CN"/>
              </w:rPr>
              <w:t>合同价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剩余</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作为质保金，一年后质保期内无问题给予返回。</w:t>
            </w:r>
          </w:p>
          <w:p>
            <w:pPr>
              <w:spacing w:line="440" w:lineRule="exac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八、售后服务要求：</w:t>
            </w:r>
          </w:p>
          <w:p>
            <w:pPr>
              <w:spacing w:after="0"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必须提供全新的产品，其产品必须符合国家有关认证标准、安全规定，质保期至少一年（自安装合格之日起计，生产厂商提供质保期超过一年的，按厂商质保期计算），产品质保期一年内实行“三包”，质保期后按国家有关规定及厂家承诺实行，如出现质量问题按国内同类产品国家行业规定全免费上门包换或作退货处理，造成损失的按实际损失赔偿。</w:t>
            </w:r>
          </w:p>
          <w:p>
            <w:pPr>
              <w:spacing w:line="440" w:lineRule="exac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九、竞标报价为采购人指定地点的现场交货价，包括：</w:t>
            </w:r>
          </w:p>
          <w:p>
            <w:pPr>
              <w:spacing w:after="0" w:line="44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（1）货物的价格；</w:t>
            </w:r>
          </w:p>
          <w:p>
            <w:pPr>
              <w:spacing w:after="0" w:line="44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（2）包装、运输、检验、税费以及质保期保障等所发生的一切费用；</w:t>
            </w:r>
          </w:p>
          <w:p>
            <w:pPr>
              <w:spacing w:after="0" w:line="44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（3）各项税费收。</w:t>
            </w:r>
          </w:p>
          <w:p>
            <w:pPr>
              <w:spacing w:line="440" w:lineRule="exact"/>
              <w:rPr>
                <w:color w:val="auto"/>
                <w:highlight w:val="none"/>
              </w:rPr>
            </w:pPr>
            <w:r>
              <w:rPr>
                <w:rFonts w:hint="eastAsia" w:ascii="宋体" w:hAnsi="宋体" w:eastAsia="宋体" w:cs="Times New Roman"/>
                <w:b/>
                <w:bCs/>
                <w:color w:val="auto"/>
                <w:sz w:val="24"/>
                <w:szCs w:val="24"/>
                <w:highlight w:val="none"/>
              </w:rPr>
              <w:t>十、本项目根据成交单价及采购单位实际用量进行实际结算</w:t>
            </w:r>
            <w:r>
              <w:rPr>
                <w:rFonts w:hint="eastAsia" w:ascii="宋体" w:hAnsi="宋体" w:eastAsia="宋体" w:cs="Times New Roman"/>
                <w:color w:val="auto"/>
                <w:sz w:val="24"/>
                <w:szCs w:val="24"/>
                <w:highlight w:val="none"/>
              </w:rPr>
              <w:t>。</w:t>
            </w:r>
          </w:p>
        </w:tc>
      </w:tr>
    </w:tbl>
    <w:p>
      <w:pPr>
        <w:adjustRightInd/>
        <w:snapToGrid/>
        <w:spacing w:line="220" w:lineRule="atLeast"/>
        <w:rPr>
          <w:rFonts w:ascii="宋体" w:hAnsi="宋体" w:eastAsia="宋体"/>
          <w:color w:val="auto"/>
          <w:sz w:val="24"/>
          <w:highlight w:val="none"/>
        </w:rPr>
      </w:pPr>
    </w:p>
    <w:p>
      <w:pPr>
        <w:pStyle w:val="3"/>
        <w:spacing w:line="380" w:lineRule="exact"/>
        <w:rPr>
          <w:rFonts w:ascii="宋体" w:hAnsi="宋体" w:eastAsia="宋体"/>
          <w:color w:val="auto"/>
          <w:highlight w:val="none"/>
        </w:rPr>
      </w:pPr>
      <w:bookmarkStart w:id="82" w:name="_Toc246094918"/>
      <w:bookmarkStart w:id="83" w:name="_Toc246095524"/>
      <w:bookmarkStart w:id="84" w:name="_Toc246095462"/>
    </w:p>
    <w:p>
      <w:pPr>
        <w:rPr>
          <w:color w:val="auto"/>
          <w:highlight w:val="none"/>
        </w:rPr>
      </w:pPr>
    </w:p>
    <w:p>
      <w:pPr>
        <w:pStyle w:val="36"/>
        <w:ind w:left="440" w:firstLine="553"/>
        <w:rPr>
          <w:color w:val="auto"/>
          <w:highlight w:val="none"/>
        </w:rPr>
      </w:pPr>
      <w:r>
        <w:rPr>
          <w:color w:val="auto"/>
          <w:highlight w:val="none"/>
        </w:rPr>
        <w:br w:type="page"/>
      </w:r>
    </w:p>
    <w:p>
      <w:pPr>
        <w:pStyle w:val="3"/>
        <w:spacing w:line="380" w:lineRule="exact"/>
        <w:rPr>
          <w:rFonts w:ascii="宋体" w:hAnsi="宋体" w:eastAsia="宋体"/>
          <w:b/>
          <w:bCs/>
          <w:color w:val="auto"/>
          <w:highlight w:val="none"/>
        </w:rPr>
      </w:pPr>
      <w:bookmarkStart w:id="85" w:name="_Toc46404618"/>
      <w:r>
        <w:rPr>
          <w:rFonts w:hint="eastAsia" w:ascii="宋体" w:hAnsi="宋体" w:eastAsia="宋体"/>
          <w:b/>
          <w:bCs/>
          <w:color w:val="auto"/>
          <w:highlight w:val="none"/>
        </w:rPr>
        <w:t xml:space="preserve">第四章  </w:t>
      </w:r>
      <w:bookmarkEnd w:id="82"/>
      <w:bookmarkEnd w:id="83"/>
      <w:bookmarkEnd w:id="84"/>
      <w:r>
        <w:rPr>
          <w:rFonts w:hint="eastAsia" w:ascii="宋体" w:hAnsi="宋体" w:eastAsia="宋体"/>
          <w:b/>
          <w:bCs/>
          <w:color w:val="auto"/>
          <w:highlight w:val="none"/>
        </w:rPr>
        <w:t>评审方法及评审标准</w:t>
      </w:r>
      <w:bookmarkEnd w:id="85"/>
    </w:p>
    <w:p>
      <w:pPr>
        <w:spacing w:after="0" w:line="400" w:lineRule="exact"/>
        <w:ind w:firstLine="482" w:firstLineChars="200"/>
        <w:outlineLvl w:val="1"/>
        <w:rPr>
          <w:rFonts w:ascii="宋体" w:hAnsi="宋体" w:eastAsia="宋体" w:cs="Arial"/>
          <w:b/>
          <w:bCs/>
          <w:color w:val="auto"/>
          <w:sz w:val="24"/>
          <w:highlight w:val="none"/>
        </w:rPr>
      </w:pPr>
      <w:bookmarkStart w:id="86" w:name="_Toc46404619"/>
      <w:r>
        <w:rPr>
          <w:rFonts w:hint="eastAsia" w:ascii="宋体" w:hAnsi="宋体" w:eastAsia="宋体" w:cs="Arial"/>
          <w:b/>
          <w:bCs/>
          <w:color w:val="auto"/>
          <w:sz w:val="24"/>
          <w:highlight w:val="none"/>
        </w:rPr>
        <w:t>一、评审原则</w:t>
      </w:r>
      <w:bookmarkEnd w:id="86"/>
    </w:p>
    <w:p>
      <w:pPr>
        <w:spacing w:after="0" w:line="400" w:lineRule="exact"/>
        <w:ind w:firstLine="480" w:firstLineChars="200"/>
        <w:rPr>
          <w:rFonts w:ascii="宋体" w:hAnsi="宋体" w:eastAsia="宋体" w:cs="Arial"/>
          <w:bCs/>
          <w:color w:val="auto"/>
          <w:sz w:val="24"/>
          <w:highlight w:val="none"/>
        </w:rPr>
      </w:pPr>
      <w:r>
        <w:rPr>
          <w:rFonts w:hint="eastAsia" w:ascii="宋体" w:hAnsi="宋体" w:eastAsia="宋体" w:cs="Arial"/>
          <w:color w:val="auto"/>
          <w:sz w:val="24"/>
          <w:highlight w:val="none"/>
        </w:rPr>
        <w:t>1．</w:t>
      </w:r>
      <w:r>
        <w:rPr>
          <w:rFonts w:hint="eastAsia" w:ascii="宋体" w:hAnsi="宋体" w:eastAsia="宋体" w:cs="Arial"/>
          <w:bCs/>
          <w:color w:val="auto"/>
          <w:sz w:val="24"/>
          <w:highlight w:val="none"/>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hint="eastAsia" w:ascii="宋体" w:hAnsi="宋体" w:eastAsia="宋体" w:cs="Arial"/>
          <w:bCs/>
          <w:color w:val="auto"/>
          <w:sz w:val="24"/>
          <w:highlight w:val="none"/>
        </w:rPr>
        <w:t>评审依据：谈判小组将以竞争性谈判文件为评标依据，对供应商的响应文件进行资格性及符合性审查，以确定其是否符合资格条件及满足采购文件的实质性要求。</w:t>
      </w:r>
    </w:p>
    <w:p>
      <w:pPr>
        <w:spacing w:after="0" w:line="400" w:lineRule="exact"/>
        <w:ind w:firstLine="480" w:firstLineChars="200"/>
        <w:rPr>
          <w:rFonts w:ascii="宋体" w:hAnsi="宋体" w:eastAsia="宋体" w:cs="Arial"/>
          <w:bCs/>
          <w:color w:val="auto"/>
          <w:sz w:val="24"/>
          <w:highlight w:val="none"/>
        </w:rPr>
      </w:pPr>
      <w:r>
        <w:rPr>
          <w:rFonts w:hint="eastAsia" w:ascii="宋体" w:hAnsi="宋体" w:eastAsia="宋体" w:cs="Arial"/>
          <w:color w:val="auto"/>
          <w:sz w:val="24"/>
          <w:highlight w:val="none"/>
        </w:rPr>
        <w:t>3．</w:t>
      </w:r>
      <w:r>
        <w:rPr>
          <w:rFonts w:hint="eastAsia" w:ascii="宋体" w:hAnsi="宋体" w:eastAsia="宋体" w:cs="Arial"/>
          <w:bCs/>
          <w:color w:val="auto"/>
          <w:sz w:val="24"/>
          <w:highlight w:val="none"/>
        </w:rPr>
        <w:t>评审方法：最低评标价法。</w:t>
      </w:r>
    </w:p>
    <w:p>
      <w:pPr>
        <w:spacing w:after="0" w:line="400" w:lineRule="exact"/>
        <w:ind w:firstLine="480" w:firstLineChars="200"/>
        <w:rPr>
          <w:rFonts w:ascii="宋体" w:hAnsi="宋体" w:eastAsia="宋体" w:cs="Arial"/>
          <w:bCs/>
          <w:color w:val="auto"/>
          <w:sz w:val="24"/>
          <w:highlight w:val="none"/>
        </w:rPr>
      </w:pPr>
      <w:r>
        <w:rPr>
          <w:rFonts w:hint="eastAsia" w:ascii="宋体" w:hAnsi="宋体" w:eastAsia="宋体" w:cs="Arial"/>
          <w:bCs/>
          <w:color w:val="auto"/>
          <w:sz w:val="24"/>
          <w:highlight w:val="none"/>
        </w:rPr>
        <w:t>4．评审程序</w:t>
      </w:r>
    </w:p>
    <w:p>
      <w:pPr>
        <w:widowControl w:val="0"/>
        <w:numPr>
          <w:ilvl w:val="0"/>
          <w:numId w:val="3"/>
        </w:numPr>
        <w:adjustRightInd/>
        <w:snapToGrid/>
        <w:spacing w:after="0" w:line="400" w:lineRule="exact"/>
        <w:ind w:left="0"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资格性检查；</w:t>
      </w:r>
    </w:p>
    <w:p>
      <w:pPr>
        <w:widowControl w:val="0"/>
        <w:numPr>
          <w:ilvl w:val="0"/>
          <w:numId w:val="3"/>
        </w:numPr>
        <w:adjustRightInd/>
        <w:snapToGrid/>
        <w:spacing w:after="0" w:line="400" w:lineRule="exact"/>
        <w:ind w:left="0"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符合性检查；</w:t>
      </w:r>
    </w:p>
    <w:p>
      <w:pPr>
        <w:widowControl w:val="0"/>
        <w:numPr>
          <w:ilvl w:val="0"/>
          <w:numId w:val="3"/>
        </w:numPr>
        <w:adjustRightInd/>
        <w:snapToGrid/>
        <w:spacing w:after="0" w:line="40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谈判；</w:t>
      </w:r>
    </w:p>
    <w:p>
      <w:pPr>
        <w:widowControl w:val="0"/>
        <w:numPr>
          <w:ilvl w:val="0"/>
          <w:numId w:val="3"/>
        </w:numPr>
        <w:adjustRightInd/>
        <w:snapToGrid/>
        <w:spacing w:after="0" w:line="40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重新提交响应文件（如谈判文件有实质性变动或谈判后确定最终设计解决方案）；</w:t>
      </w:r>
    </w:p>
    <w:p>
      <w:pPr>
        <w:widowControl w:val="0"/>
        <w:numPr>
          <w:ilvl w:val="0"/>
          <w:numId w:val="3"/>
        </w:numPr>
        <w:adjustRightInd/>
        <w:snapToGrid/>
        <w:spacing w:after="0" w:line="40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最后报价；</w:t>
      </w:r>
    </w:p>
    <w:p>
      <w:pPr>
        <w:widowControl w:val="0"/>
        <w:numPr>
          <w:ilvl w:val="0"/>
          <w:numId w:val="3"/>
        </w:numPr>
        <w:adjustRightInd/>
        <w:snapToGrid/>
        <w:spacing w:after="0" w:line="40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推荐成交候选供应商名单。</w:t>
      </w:r>
    </w:p>
    <w:p>
      <w:pPr>
        <w:spacing w:after="0" w:line="400" w:lineRule="exact"/>
        <w:ind w:firstLine="482" w:firstLineChars="200"/>
        <w:outlineLvl w:val="1"/>
        <w:rPr>
          <w:rFonts w:ascii="宋体" w:hAnsi="宋体" w:eastAsia="宋体" w:cs="Arial"/>
          <w:b/>
          <w:bCs/>
          <w:color w:val="auto"/>
          <w:sz w:val="24"/>
          <w:highlight w:val="none"/>
        </w:rPr>
      </w:pPr>
      <w:bookmarkStart w:id="87" w:name="_Toc46404620"/>
      <w:r>
        <w:rPr>
          <w:rFonts w:hint="eastAsia" w:ascii="宋体" w:hAnsi="宋体" w:eastAsia="宋体" w:cs="Arial"/>
          <w:b/>
          <w:bCs/>
          <w:color w:val="auto"/>
          <w:sz w:val="24"/>
          <w:highlight w:val="none"/>
        </w:rPr>
        <w:t>二、评审标准</w:t>
      </w:r>
      <w:bookmarkEnd w:id="87"/>
    </w:p>
    <w:p>
      <w:pPr>
        <w:spacing w:after="0" w:line="40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1、资格性检查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由谈判小组对所有供应商的响应文件进行资格审查。以确定供应商是否具备竞标资格。资格性检查表如下，缺少任何一项或有任何一项不合格者，其资格性审查视为不合格。</w:t>
      </w:r>
    </w:p>
    <w:tbl>
      <w:tblPr>
        <w:tblStyle w:val="38"/>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审查法人或者其他组织的营业执照等证明文件、自然人的身份证明。须按以下要求提供，材料须有效。</w:t>
            </w:r>
          </w:p>
          <w:p>
            <w:pPr>
              <w:adjustRightInd/>
              <w:snapToGrid/>
              <w:spacing w:after="0" w:line="40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审查供应商2</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年度经第三方审计的财务报表（账务报表至少包含资产负债表、利润表、现金流量表及其附注、审计报告）复印件</w:t>
            </w:r>
            <w:r>
              <w:rPr>
                <w:rFonts w:hint="eastAsia" w:ascii="宋体" w:hAnsi="宋体" w:eastAsia="宋体" w:cs="宋体"/>
                <w:color w:val="auto"/>
                <w:sz w:val="24"/>
                <w:highlight w:val="none"/>
              </w:rPr>
              <w:t>（新成立的公司提供公司成立日之后次月起到响应文件递交截止前一个月的财务报表复印件）</w:t>
            </w:r>
            <w:r>
              <w:rPr>
                <w:rFonts w:hint="eastAsia" w:ascii="宋体" w:hAnsi="宋体" w:eastAsia="宋体" w:cs="宋体"/>
                <w:color w:val="auto"/>
                <w:sz w:val="24"/>
                <w:szCs w:val="24"/>
                <w:highlight w:val="none"/>
              </w:rPr>
              <w:t>或供应商提交响应文件截止之日前三个月内其基本开户银行出具的银行资信证明</w:t>
            </w:r>
            <w:r>
              <w:rPr>
                <w:rFonts w:hint="eastAsia" w:ascii="宋体" w:hAnsi="宋体" w:eastAsia="宋体" w:cs="宋体"/>
                <w:color w:val="auto"/>
                <w:sz w:val="24"/>
                <w:highlight w:val="none"/>
              </w:rPr>
              <w:t>（仅提供银行出具的存款证明不能作为其银行资信证明）</w:t>
            </w:r>
            <w:r>
              <w:rPr>
                <w:rFonts w:hint="eastAsia" w:ascii="宋体" w:hAnsi="宋体" w:eastAsia="宋体" w:cs="宋体"/>
                <w:color w:val="auto"/>
                <w:sz w:val="24"/>
                <w:szCs w:val="24"/>
                <w:highlight w:val="none"/>
              </w:rPr>
              <w:t xml:space="preserve">复印件。 </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①审查</w:t>
            </w:r>
            <w:r>
              <w:rPr>
                <w:rFonts w:hint="eastAsia" w:ascii="宋体" w:hAnsi="宋体" w:eastAsia="宋体" w:cs="宋体"/>
                <w:color w:val="auto"/>
                <w:sz w:val="24"/>
                <w:highlight w:val="none"/>
              </w:rPr>
              <w:t>提交响应文件截止之日前近半年连续三个月的依法缴纳税费或依法免缴税费（包括无纳税记录或零报税）的证明</w:t>
            </w:r>
            <w:r>
              <w:rPr>
                <w:rFonts w:hint="eastAsia" w:ascii="宋体" w:hAnsi="宋体" w:eastAsia="宋体" w:cs="宋体"/>
                <w:color w:val="auto"/>
                <w:sz w:val="24"/>
                <w:highlight w:val="none"/>
                <w:lang w:eastAsia="zh-CN"/>
              </w:rPr>
              <w:t>（新成立的且不足三个月的企业按实际提供）</w:t>
            </w:r>
            <w:r>
              <w:rPr>
                <w:rFonts w:hint="eastAsia" w:ascii="宋体" w:hAnsi="宋体" w:eastAsia="宋体" w:cs="宋体"/>
                <w:color w:val="auto"/>
                <w:sz w:val="24"/>
                <w:highlight w:val="none"/>
              </w:rPr>
              <w:t>，证明材料可以是：银行已缴纳税费凭证复印件或第三方有效的相关业务托缴凭证或其他有效证明，或供应商所在地税务部门出具的有效证明（复印件）</w:t>
            </w:r>
            <w:r>
              <w:rPr>
                <w:rFonts w:hint="eastAsia" w:ascii="宋体" w:hAnsi="宋体" w:eastAsia="宋体" w:cs="宋体"/>
                <w:color w:val="auto"/>
                <w:sz w:val="24"/>
                <w:szCs w:val="24"/>
                <w:highlight w:val="none"/>
              </w:rPr>
              <w:t>。</w:t>
            </w:r>
          </w:p>
          <w:p>
            <w:pPr>
              <w:adjustRightInd/>
              <w:snapToGrid/>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审查提交响应文件截止之日前近半年连续三个月的依法缴纳社会保险费或依法免缴社保费的相关证明（新成立的且不足三个月的企业按实际提供），证明材料可以是：银行已缴纳社会保险费凭证复印件或第三方有效的相关业务托缴凭证或其他有效证明；不需要缴纳社会保险金的应提供供应商所在地有关行政主管部门出具相应的文件证明（复印件）。</w:t>
            </w:r>
          </w:p>
          <w:p>
            <w:pPr>
              <w:adjustRightInd/>
              <w:snapToGrid/>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审核要求：供应商未被列入失信被执行人、重大税收违法案件当事人名单、政府采购严重违法失信行为记录名单。</w:t>
            </w:r>
          </w:p>
          <w:p>
            <w:pPr>
              <w:adjustRightInd/>
              <w:snapToGrid/>
              <w:spacing w:after="0" w:line="40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B、审核内容：供应商在“信用中国”网站（www.creditchina.gov.cn）、中国政府采购网（www.ccgp.gov.cn）的主体信用记录</w:t>
            </w:r>
            <w:r>
              <w:rPr>
                <w:rFonts w:ascii="宋体" w:hAnsi="宋体" w:eastAsia="宋体" w:cs="宋体"/>
                <w:color w:val="auto"/>
                <w:sz w:val="24"/>
                <w:szCs w:val="24"/>
                <w:highlight w:val="none"/>
              </w:rPr>
              <w:t>查询结果或界面截图（</w:t>
            </w:r>
            <w:r>
              <w:rPr>
                <w:rFonts w:hint="eastAsia" w:ascii="宋体" w:hAnsi="宋体" w:eastAsia="宋体" w:cs="仿宋"/>
                <w:color w:val="auto"/>
                <w:sz w:val="24"/>
                <w:highlight w:val="none"/>
              </w:rPr>
              <w:t>由采购人或采购代理机构对供应商进行信用信息查询，并将查询结果提供给谈判小组</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pPr>
              <w:adjustRightInd/>
              <w:snapToGrid/>
              <w:spacing w:after="0" w:line="40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①“信用中国”查询内容：失信被执行人、重大税收违法案件当事人名单、政府采购严重违法失信行为记录名单</w:t>
            </w:r>
            <w:r>
              <w:rPr>
                <w:rFonts w:ascii="宋体" w:hAnsi="宋体" w:eastAsia="宋体" w:cs="宋体"/>
                <w:color w:val="auto"/>
                <w:sz w:val="24"/>
                <w:szCs w:val="24"/>
                <w:highlight w:val="none"/>
              </w:rPr>
              <w:t>查询结果或界面截图</w:t>
            </w:r>
            <w:r>
              <w:rPr>
                <w:rFonts w:hint="eastAsia" w:ascii="宋体" w:hAnsi="宋体" w:eastAsia="宋体" w:cs="宋体"/>
                <w:color w:val="auto"/>
                <w:sz w:val="24"/>
                <w:szCs w:val="24"/>
                <w:highlight w:val="none"/>
              </w:rPr>
              <w:t>；查询或打印截止时点：</w:t>
            </w:r>
            <w:r>
              <w:rPr>
                <w:rFonts w:hint="eastAsia" w:ascii="宋体" w:hAnsi="宋体" w:eastAsia="宋体" w:cs="仿宋"/>
                <w:color w:val="auto"/>
                <w:sz w:val="24"/>
                <w:highlight w:val="none"/>
              </w:rPr>
              <w:t>递交响应文件截止时间</w:t>
            </w:r>
            <w:r>
              <w:rPr>
                <w:rFonts w:hint="eastAsia" w:ascii="宋体" w:hAnsi="宋体" w:eastAsia="宋体" w:cs="宋体"/>
                <w:color w:val="auto"/>
                <w:sz w:val="24"/>
                <w:szCs w:val="24"/>
                <w:highlight w:val="none"/>
              </w:rPr>
              <w:t>。</w:t>
            </w:r>
          </w:p>
          <w:p>
            <w:pPr>
              <w:adjustRightInd/>
              <w:snapToGrid/>
              <w:spacing w:after="0" w:line="40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②“中国政府采购网”的查询内容：政府采购严重违法失信行为信息记录</w:t>
            </w:r>
            <w:r>
              <w:rPr>
                <w:rFonts w:ascii="宋体" w:hAnsi="宋体" w:eastAsia="宋体" w:cs="宋体"/>
                <w:color w:val="auto"/>
                <w:sz w:val="24"/>
                <w:szCs w:val="24"/>
                <w:highlight w:val="none"/>
              </w:rPr>
              <w:t>（查询界面截图须显示</w:t>
            </w:r>
            <w:r>
              <w:rPr>
                <w:rFonts w:hint="eastAsia" w:ascii="宋体" w:hAnsi="宋体" w:eastAsia="宋体" w:cs="宋体"/>
                <w:color w:val="auto"/>
                <w:sz w:val="24"/>
                <w:szCs w:val="24"/>
                <w:highlight w:val="none"/>
              </w:rPr>
              <w:t>投标人</w:t>
            </w:r>
            <w:r>
              <w:rPr>
                <w:rFonts w:ascii="宋体" w:hAnsi="宋体" w:eastAsia="宋体" w:cs="宋体"/>
                <w:color w:val="auto"/>
                <w:sz w:val="24"/>
                <w:szCs w:val="24"/>
                <w:highlight w:val="none"/>
              </w:rPr>
              <w:t>名称以及查询结果）；查询时间：</w:t>
            </w:r>
            <w:r>
              <w:rPr>
                <w:rFonts w:hint="eastAsia" w:ascii="宋体" w:hAnsi="宋体" w:eastAsia="宋体" w:cs="仿宋"/>
                <w:color w:val="auto"/>
                <w:sz w:val="24"/>
                <w:highlight w:val="none"/>
              </w:rPr>
              <w:t>递交响应文件截止时间前</w:t>
            </w:r>
            <w:r>
              <w:rPr>
                <w:rFonts w:ascii="宋体" w:hAnsi="宋体" w:eastAsia="宋体" w:cs="仿宋"/>
                <w:color w:val="auto"/>
                <w:sz w:val="24"/>
                <w:highlight w:val="none"/>
              </w:rPr>
              <w:t>三年</w:t>
            </w:r>
            <w:r>
              <w:rPr>
                <w:rFonts w:hint="eastAsia" w:ascii="宋体" w:hAnsi="宋体" w:eastAsia="宋体" w:cs="仿宋"/>
                <w:color w:val="auto"/>
                <w:sz w:val="24"/>
                <w:highlight w:val="none"/>
              </w:rPr>
              <w:t>内</w:t>
            </w:r>
            <w:r>
              <w:rPr>
                <w:rFonts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须符合“供应商须知前附表”3.1的要求</w:t>
            </w:r>
          </w:p>
        </w:tc>
      </w:tr>
    </w:tbl>
    <w:p>
      <w:pPr>
        <w:spacing w:after="0" w:line="400" w:lineRule="exact"/>
        <w:ind w:firstLine="480" w:firstLineChars="200"/>
        <w:rPr>
          <w:rFonts w:ascii="宋体" w:hAnsi="宋体" w:eastAsia="宋体" w:cs="Arial"/>
          <w:color w:val="auto"/>
          <w:sz w:val="24"/>
          <w:highlight w:val="none"/>
        </w:rPr>
      </w:pPr>
    </w:p>
    <w:p>
      <w:pPr>
        <w:spacing w:after="0" w:line="40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 xml:space="preserve">2、符合性检查 </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8"/>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Arial"/>
                <w:color w:val="auto"/>
                <w:sz w:val="24"/>
                <w:highlight w:val="none"/>
              </w:rPr>
            </w:pPr>
            <w:r>
              <w:rPr>
                <w:rFonts w:hint="eastAsia" w:ascii="宋体" w:hAnsi="宋体" w:eastAsia="宋体" w:cs="Arial"/>
                <w:color w:val="auto"/>
                <w:sz w:val="24"/>
                <w:highlight w:val="none"/>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响应文件或竞标报价唯一性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附加条件</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响应文件不得含有招标不能接受的附加条件。</w:t>
            </w:r>
          </w:p>
        </w:tc>
      </w:tr>
      <w:tr>
        <w:tblPrEx>
          <w:tblCellMar>
            <w:top w:w="0" w:type="dxa"/>
            <w:left w:w="108" w:type="dxa"/>
            <w:bottom w:w="0" w:type="dxa"/>
            <w:right w:w="108" w:type="dxa"/>
          </w:tblCellMar>
        </w:tblPrEx>
        <w:trPr>
          <w:trHeight w:val="843"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竞标报价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联合体供应商（如允许） </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提交联合体协议书，并明确联合体牵头人，并符合采购文件规定。</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完整性审查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3</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对采购文件的响应程度审查 </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实质性条款响应</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对采购文件中所有标注“▲”号的实质性条款要求响应均无负偏离。</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第三章《项目采购需求和说明》允许负偏离项数</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非“▲”号要求或技术指标发生负偏离或不响应达到“项目采购需求和说明”规定的项数的，竞标无效。</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响应文件未按第二章第10.1项和第六章“响应文件格式”的规定编写和提供。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竞标有效期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满足采购文件规定并在第六章“响应文件格式”谈判书做出响应的。</w:t>
            </w:r>
          </w:p>
        </w:tc>
      </w:tr>
    </w:tbl>
    <w:p>
      <w:pPr>
        <w:spacing w:after="0" w:line="400" w:lineRule="exact"/>
        <w:ind w:firstLine="480" w:firstLineChars="200"/>
        <w:rPr>
          <w:rFonts w:ascii="宋体" w:hAnsi="宋体" w:eastAsia="宋体" w:cs="Arial"/>
          <w:color w:val="auto"/>
          <w:sz w:val="24"/>
          <w:highlight w:val="none"/>
        </w:rPr>
      </w:pPr>
    </w:p>
    <w:p>
      <w:pPr>
        <w:spacing w:after="0" w:line="40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3、详细评审</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谈判小组按谈判文件规定的程序与供应商进行谈判。对实质性响应谈判文件的供应商最后报价进行评审。</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（1）谈判小组将依照本谈判文件相关规定对质量和服务均能满足竞争性谈判实质性要求的供应商所提交的最后报价进行政策性扣除，即</w:t>
      </w:r>
      <w:r>
        <w:rPr>
          <w:rFonts w:hint="eastAsia" w:ascii="宋体" w:hAnsi="宋体" w:eastAsia="宋体" w:cs="Arial"/>
          <w:color w:val="auto"/>
          <w:sz w:val="24"/>
          <w:highlight w:val="none"/>
          <w:u w:val="single"/>
        </w:rPr>
        <w:t>评标价=最后报价×（1—小型和微型企业政策性扣除）</w:t>
      </w:r>
      <w:r>
        <w:rPr>
          <w:rFonts w:hint="eastAsia" w:ascii="宋体" w:hAnsi="宋体" w:eastAsia="宋体" w:cs="Arial"/>
          <w:color w:val="auto"/>
          <w:sz w:val="24"/>
          <w:highlight w:val="none"/>
        </w:rPr>
        <w:t>。依据</w:t>
      </w:r>
      <w:r>
        <w:rPr>
          <w:rFonts w:hint="eastAsia" w:ascii="宋体" w:hAnsi="宋体" w:eastAsia="宋体" w:cs="Arial"/>
          <w:color w:val="auto"/>
          <w:sz w:val="24"/>
          <w:highlight w:val="none"/>
          <w:u w:val="single"/>
        </w:rPr>
        <w:t>评标价</w:t>
      </w:r>
      <w:r>
        <w:rPr>
          <w:rFonts w:hint="eastAsia" w:ascii="宋体" w:hAnsi="宋体" w:eastAsia="宋体" w:cs="Arial"/>
          <w:color w:val="auto"/>
          <w:sz w:val="24"/>
          <w:highlight w:val="none"/>
        </w:rPr>
        <w:t>按照由低到高的顺序提出3名以上成交候选人，并编写评审报告。</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（2）小型和微型企业最终报价扣除计算</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①按照《政府采购促进中小企业发展管理办法》（财库〔2020〕46号）的规定，</w:t>
      </w:r>
      <w:r>
        <w:rPr>
          <w:rFonts w:hint="eastAsia" w:ascii="宋体" w:hAnsi="宋体" w:eastAsia="宋体" w:cs="Arial"/>
          <w:color w:val="auto"/>
          <w:sz w:val="24"/>
          <w:highlight w:val="none"/>
          <w:lang w:val="en-US" w:eastAsia="zh-CN"/>
        </w:rPr>
        <w:t>货物全部由符合政策要求的中小企业制造</w:t>
      </w:r>
      <w:r>
        <w:rPr>
          <w:rFonts w:hint="eastAsia" w:ascii="宋体" w:hAnsi="宋体" w:eastAsia="宋体" w:cs="Arial"/>
          <w:color w:val="auto"/>
          <w:sz w:val="24"/>
          <w:highlight w:val="none"/>
        </w:rPr>
        <w:t>，须在其响应文件中提供竞标产品生产厂家《中小企业声明函》，对其最后报价给予10%的扣除。</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②按照《财政部、司法部关于政府采购支持监狱企业发展有关问题的通知》（财库〔2014〕68号）之规定，监狱企业视同小型、微型企业，享受预留份额、评审中价格扣除等政府采购政策。</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除上述情况外，评标价=最后报价</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w:t>
      </w:r>
      <w:r>
        <w:rPr>
          <w:rFonts w:ascii="宋体" w:hAnsi="宋体" w:eastAsia="宋体" w:cs="Arial"/>
          <w:color w:val="auto"/>
          <w:sz w:val="24"/>
          <w:highlight w:val="none"/>
        </w:rPr>
        <w:t>3</w:t>
      </w:r>
      <w:r>
        <w:rPr>
          <w:rFonts w:hint="eastAsia" w:ascii="宋体" w:hAnsi="宋体" w:eastAsia="宋体" w:cs="Arial"/>
          <w:color w:val="auto"/>
          <w:sz w:val="24"/>
          <w:highlight w:val="none"/>
        </w:rPr>
        <w:t>）</w:t>
      </w:r>
      <w:r>
        <w:rPr>
          <w:rFonts w:ascii="宋体" w:hAnsi="宋体" w:eastAsia="宋体" w:cs="Arial"/>
          <w:color w:val="auto"/>
          <w:sz w:val="24"/>
          <w:highlight w:val="none"/>
        </w:rPr>
        <w:t>谈判小组从质量和服务均能满足</w:t>
      </w:r>
      <w:r>
        <w:rPr>
          <w:rFonts w:hint="eastAsia" w:ascii="宋体" w:hAnsi="宋体" w:eastAsia="宋体" w:cs="Arial"/>
          <w:color w:val="auto"/>
          <w:sz w:val="24"/>
          <w:highlight w:val="none"/>
        </w:rPr>
        <w:t>谈判</w:t>
      </w:r>
      <w:r>
        <w:rPr>
          <w:rFonts w:ascii="宋体" w:hAnsi="宋体" w:eastAsia="宋体" w:cs="Arial"/>
          <w:color w:val="auto"/>
          <w:sz w:val="24"/>
          <w:highlight w:val="none"/>
        </w:rPr>
        <w:t>文件实质性响应要求的</w:t>
      </w:r>
      <w:r>
        <w:rPr>
          <w:rFonts w:hint="eastAsia" w:ascii="宋体" w:hAnsi="宋体" w:eastAsia="宋体" w:cs="Arial"/>
          <w:color w:val="auto"/>
          <w:sz w:val="24"/>
          <w:highlight w:val="none"/>
        </w:rPr>
        <w:t>供应商</w:t>
      </w:r>
      <w:r>
        <w:rPr>
          <w:rFonts w:ascii="宋体" w:hAnsi="宋体" w:eastAsia="宋体" w:cs="Arial"/>
          <w:color w:val="auto"/>
          <w:sz w:val="24"/>
          <w:highlight w:val="none"/>
        </w:rPr>
        <w:t>中，按照</w:t>
      </w:r>
      <w:r>
        <w:rPr>
          <w:rFonts w:hint="eastAsia" w:ascii="宋体" w:hAnsi="宋体" w:eastAsia="宋体" w:cs="Arial"/>
          <w:color w:val="auto"/>
          <w:sz w:val="24"/>
          <w:highlight w:val="none"/>
        </w:rPr>
        <w:t>最后评标价</w:t>
      </w:r>
      <w:r>
        <w:rPr>
          <w:rFonts w:ascii="宋体" w:hAnsi="宋体" w:eastAsia="宋体" w:cs="Arial"/>
          <w:color w:val="auto"/>
          <w:sz w:val="24"/>
          <w:highlight w:val="none"/>
        </w:rPr>
        <w:t>由低到高的顺序提出3名以上成交候选人</w:t>
      </w:r>
      <w:r>
        <w:rPr>
          <w:rFonts w:hint="eastAsia" w:ascii="宋体" w:hAnsi="宋体" w:eastAsia="宋体" w:cs="Arial"/>
          <w:color w:val="auto"/>
          <w:sz w:val="24"/>
          <w:highlight w:val="none"/>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w:t>
      </w:r>
      <w:r>
        <w:rPr>
          <w:rFonts w:ascii="宋体" w:hAnsi="宋体" w:eastAsia="宋体" w:cs="Arial"/>
          <w:color w:val="auto"/>
          <w:sz w:val="24"/>
          <w:highlight w:val="none"/>
        </w:rPr>
        <w:t>4</w:t>
      </w:r>
      <w:r>
        <w:rPr>
          <w:rFonts w:hint="eastAsia" w:ascii="宋体" w:hAnsi="宋体" w:eastAsia="宋体" w:cs="Arial"/>
          <w:color w:val="auto"/>
          <w:sz w:val="24"/>
          <w:highlight w:val="none"/>
        </w:rPr>
        <w:t>）成交价格=成交供应商的最后报价。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）谈判小组完成评标后，向采购人提交书面评审报告。</w:t>
      </w:r>
    </w:p>
    <w:p>
      <w:pPr>
        <w:spacing w:after="0" w:line="400" w:lineRule="exact"/>
        <w:ind w:firstLine="482" w:firstLineChars="200"/>
        <w:outlineLvl w:val="1"/>
        <w:rPr>
          <w:rFonts w:ascii="宋体" w:hAnsi="宋体" w:eastAsia="宋体" w:cs="Arial"/>
          <w:b/>
          <w:bCs/>
          <w:color w:val="auto"/>
          <w:sz w:val="24"/>
          <w:highlight w:val="none"/>
        </w:rPr>
      </w:pPr>
      <w:bookmarkStart w:id="88" w:name="_Toc46404621"/>
      <w:r>
        <w:rPr>
          <w:rFonts w:hint="eastAsia" w:ascii="宋体" w:hAnsi="宋体" w:eastAsia="宋体" w:cs="Arial"/>
          <w:b/>
          <w:bCs/>
          <w:color w:val="auto"/>
          <w:sz w:val="24"/>
          <w:highlight w:val="none"/>
        </w:rPr>
        <w:t>三、确定成交供应商</w:t>
      </w:r>
      <w:bookmarkEnd w:id="88"/>
    </w:p>
    <w:p>
      <w:pPr>
        <w:pStyle w:val="19"/>
        <w:tabs>
          <w:tab w:val="left" w:pos="4214"/>
        </w:tabs>
        <w:spacing w:line="400" w:lineRule="exact"/>
        <w:ind w:firstLine="480" w:firstLineChars="200"/>
        <w:rPr>
          <w:rFonts w:hAnsi="宋体"/>
          <w:color w:val="auto"/>
          <w:sz w:val="24"/>
          <w:szCs w:val="24"/>
          <w:highlight w:val="none"/>
        </w:rPr>
      </w:pPr>
      <w:r>
        <w:rPr>
          <w:rFonts w:hint="eastAsia" w:hAnsi="宋体"/>
          <w:color w:val="auto"/>
          <w:sz w:val="24"/>
          <w:szCs w:val="24"/>
          <w:highlight w:val="none"/>
        </w:rPr>
        <w:t>1、采购人应当确定谈判小组推荐排名第一的供应商为成交供应商。</w:t>
      </w:r>
    </w:p>
    <w:p>
      <w:pPr>
        <w:pStyle w:val="19"/>
        <w:spacing w:line="400" w:lineRule="exact"/>
        <w:ind w:firstLine="480" w:firstLineChars="200"/>
        <w:rPr>
          <w:rFonts w:hAnsi="宋体"/>
          <w:color w:val="auto"/>
          <w:sz w:val="24"/>
          <w:szCs w:val="24"/>
          <w:highlight w:val="none"/>
        </w:rPr>
      </w:pPr>
      <w:r>
        <w:rPr>
          <w:rFonts w:hint="eastAsia" w:hAnsi="宋体"/>
          <w:color w:val="auto"/>
          <w:sz w:val="24"/>
          <w:szCs w:val="24"/>
          <w:highlight w:val="none"/>
        </w:rPr>
        <w:t>2、</w:t>
      </w:r>
      <w:bookmarkStart w:id="89" w:name="_Toc430011367"/>
      <w:r>
        <w:rPr>
          <w:rFonts w:hint="eastAsia" w:hAnsi="宋体"/>
          <w:color w:val="auto"/>
          <w:sz w:val="24"/>
          <w:szCs w:val="24"/>
          <w:highlight w:val="none"/>
        </w:rPr>
        <w:t>如排名第一的成交候选人拒绝与采购人签订合同的，采购人按“供应商须知”第31.3款处理。</w:t>
      </w:r>
    </w:p>
    <w:bookmarkEnd w:id="89"/>
    <w:p>
      <w:pPr>
        <w:spacing w:after="0" w:line="400" w:lineRule="exact"/>
        <w:ind w:firstLine="440" w:firstLineChars="200"/>
        <w:rPr>
          <w:rFonts w:ascii="宋体" w:hAnsi="宋体" w:eastAsia="宋体"/>
          <w:color w:val="auto"/>
          <w:highlight w:val="none"/>
        </w:rPr>
      </w:pPr>
    </w:p>
    <w:p>
      <w:pPr>
        <w:rPr>
          <w:rFonts w:ascii="宋体" w:hAnsi="宋体" w:eastAsia="宋体"/>
          <w:color w:val="auto"/>
          <w:highlight w:val="none"/>
        </w:rPr>
      </w:pPr>
      <w:bookmarkStart w:id="90" w:name="_Toc246095463"/>
      <w:bookmarkStart w:id="91" w:name="_Toc246095525"/>
      <w:bookmarkStart w:id="92" w:name="_Toc246094919"/>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22"/>
        <w:rPr>
          <w:rFonts w:ascii="宋体" w:hAnsi="宋体"/>
          <w:color w:val="auto"/>
          <w:highlight w:val="none"/>
        </w:rPr>
      </w:pPr>
    </w:p>
    <w:p>
      <w:pPr>
        <w:pStyle w:val="3"/>
        <w:rPr>
          <w:rFonts w:ascii="宋体" w:hAnsi="宋体" w:eastAsia="宋体"/>
          <w:color w:val="auto"/>
          <w:highlight w:val="none"/>
        </w:rPr>
      </w:pPr>
    </w:p>
    <w:p>
      <w:pPr>
        <w:pStyle w:val="3"/>
        <w:rPr>
          <w:rFonts w:ascii="宋体" w:hAnsi="宋体" w:eastAsia="宋体"/>
          <w:color w:val="auto"/>
          <w:highlight w:val="none"/>
        </w:rPr>
      </w:pPr>
      <w:bookmarkStart w:id="93" w:name="_Toc46404622"/>
      <w:r>
        <w:rPr>
          <w:rFonts w:hint="eastAsia" w:ascii="宋体" w:hAnsi="宋体" w:eastAsia="宋体"/>
          <w:color w:val="auto"/>
          <w:highlight w:val="none"/>
        </w:rPr>
        <w:t>第五章  合同条款</w:t>
      </w:r>
      <w:bookmarkEnd w:id="90"/>
      <w:bookmarkEnd w:id="91"/>
      <w:bookmarkEnd w:id="92"/>
      <w:bookmarkEnd w:id="93"/>
    </w:p>
    <w:p>
      <w:pPr>
        <w:spacing w:line="500" w:lineRule="exact"/>
        <w:jc w:val="center"/>
        <w:rPr>
          <w:rFonts w:ascii="宋体" w:hAnsi="宋体" w:eastAsia="宋体"/>
          <w:color w:val="auto"/>
          <w:highlight w:val="none"/>
        </w:rPr>
      </w:pPr>
    </w:p>
    <w:p>
      <w:pPr>
        <w:spacing w:line="5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《广西壮族自治区政府采购合同》</w:t>
      </w:r>
    </w:p>
    <w:p>
      <w:pPr>
        <w:spacing w:line="500" w:lineRule="exact"/>
        <w:jc w:val="center"/>
        <w:rPr>
          <w:rFonts w:ascii="宋体" w:hAnsi="宋体" w:eastAsia="宋体"/>
          <w:bCs/>
          <w:color w:val="auto"/>
          <w:sz w:val="24"/>
          <w:highlight w:val="none"/>
          <w:u w:val="single"/>
        </w:rPr>
      </w:pPr>
      <w:r>
        <w:rPr>
          <w:rFonts w:hint="eastAsia" w:ascii="宋体" w:hAnsi="宋体" w:eastAsia="宋体"/>
          <w:bCs/>
          <w:color w:val="auto"/>
          <w:sz w:val="24"/>
          <w:highlight w:val="none"/>
        </w:rPr>
        <w:t>合同编号：</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采购人（甲方）  采 购 计 划 号</w:t>
      </w:r>
    </w:p>
    <w:p>
      <w:pPr>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供 应 商（乙方）</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签订地点：</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签订时间：</w:t>
      </w:r>
    </w:p>
    <w:p>
      <w:pPr>
        <w:spacing w:line="500" w:lineRule="exact"/>
        <w:rPr>
          <w:rFonts w:ascii="宋体" w:hAnsi="宋体" w:eastAsia="宋体"/>
          <w:color w:val="auto"/>
          <w:sz w:val="24"/>
          <w:highlight w:val="none"/>
          <w:u w:val="single"/>
        </w:rPr>
      </w:pP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根据《中华人民共和国政府采购法》、《中华人民共和国民法典》等法律、法规规定，按照采购文件的规定条款和中标（成交）供应商的响应文件及其承诺，甲乙双方签订本合同。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第一条　合同标的</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1、供货一览表</w:t>
      </w:r>
    </w:p>
    <w:tbl>
      <w:tblPr>
        <w:tblStyle w:val="3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3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货物名称</w:t>
            </w:r>
          </w:p>
        </w:tc>
        <w:tc>
          <w:tcPr>
            <w:tcW w:w="1059"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商标品牌</w:t>
            </w:r>
          </w:p>
        </w:tc>
        <w:tc>
          <w:tcPr>
            <w:tcW w:w="123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规格型号、参数</w:t>
            </w:r>
          </w:p>
        </w:tc>
        <w:tc>
          <w:tcPr>
            <w:tcW w:w="1210"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生产厂家</w:t>
            </w:r>
          </w:p>
        </w:tc>
        <w:tc>
          <w:tcPr>
            <w:tcW w:w="908"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数量</w:t>
            </w:r>
          </w:p>
        </w:tc>
        <w:tc>
          <w:tcPr>
            <w:tcW w:w="668"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单位</w:t>
            </w:r>
          </w:p>
        </w:tc>
        <w:tc>
          <w:tcPr>
            <w:tcW w:w="947"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单价</w:t>
            </w:r>
          </w:p>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（元）</w:t>
            </w:r>
          </w:p>
        </w:tc>
        <w:tc>
          <w:tcPr>
            <w:tcW w:w="157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金额</w:t>
            </w:r>
          </w:p>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人民币合计金额：</w:t>
            </w:r>
          </w:p>
        </w:tc>
      </w:tr>
    </w:tbl>
    <w:p>
      <w:pPr>
        <w:spacing w:after="0"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合同合计金额包括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如采购文件对其另有规定的，从其规定。</w:t>
      </w:r>
    </w:p>
    <w:p>
      <w:pPr>
        <w:spacing w:after="0" w:line="400" w:lineRule="exact"/>
        <w:ind w:firstLine="482" w:firstLineChars="200"/>
        <w:jc w:val="both"/>
        <w:rPr>
          <w:rFonts w:ascii="宋体" w:hAnsi="宋体" w:eastAsia="宋体"/>
          <w:b/>
          <w:color w:val="auto"/>
          <w:sz w:val="24"/>
          <w:szCs w:val="24"/>
          <w:highlight w:val="none"/>
        </w:rPr>
      </w:pPr>
      <w:r>
        <w:rPr>
          <w:rFonts w:hint="eastAsia" w:ascii="宋体" w:hAnsi="宋体" w:eastAsia="宋体"/>
          <w:b/>
          <w:color w:val="auto"/>
          <w:sz w:val="24"/>
          <w:szCs w:val="24"/>
          <w:highlight w:val="none"/>
        </w:rPr>
        <w:t>第二条　权利保证</w:t>
      </w:r>
    </w:p>
    <w:p>
      <w:pPr>
        <w:spacing w:after="0" w:line="40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1、乙方应保证所提供货物在使用时不会侵犯任何第三方的专利权、商标权、工业设计权或其他权利。</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、乙方应按采购文件规定的时间向甲方提供使用货物的有关技术资料。</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宋体" w:hAnsi="宋体" w:eastAsia="宋体"/>
          <w:color w:val="auto"/>
          <w:sz w:val="24"/>
          <w:szCs w:val="24"/>
          <w:highlight w:val="none"/>
          <w:u w:val="single"/>
        </w:rPr>
      </w:pPr>
      <w:r>
        <w:rPr>
          <w:rFonts w:hint="eastAsia" w:ascii="宋体" w:hAnsi="宋体" w:eastAsia="宋体"/>
          <w:color w:val="auto"/>
          <w:sz w:val="24"/>
          <w:szCs w:val="24"/>
          <w:highlight w:val="none"/>
        </w:rPr>
        <w:t>4、乙方保证所交付的货物的所有权完全属于乙方且无任何抵押、质押、查封等产权瑕疵。</w:t>
      </w:r>
    </w:p>
    <w:p>
      <w:pPr>
        <w:spacing w:after="0" w:line="400" w:lineRule="exact"/>
        <w:ind w:firstLine="482" w:firstLineChars="200"/>
        <w:jc w:val="both"/>
        <w:rPr>
          <w:rFonts w:ascii="宋体" w:hAnsi="宋体" w:eastAsia="宋体"/>
          <w:b/>
          <w:color w:val="auto"/>
          <w:sz w:val="24"/>
          <w:szCs w:val="24"/>
          <w:highlight w:val="none"/>
        </w:rPr>
      </w:pPr>
      <w:r>
        <w:rPr>
          <w:rFonts w:hint="eastAsia" w:ascii="宋体" w:hAnsi="宋体" w:eastAsia="宋体"/>
          <w:b/>
          <w:color w:val="auto"/>
          <w:sz w:val="24"/>
          <w:szCs w:val="24"/>
          <w:highlight w:val="none"/>
        </w:rPr>
        <w:t>第三条　包装和运输</w:t>
      </w:r>
    </w:p>
    <w:p>
      <w:pPr>
        <w:spacing w:after="0" w:line="40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.使用说明书、质量检验证明书、随配附件和工具以及清单一并附于货物内。</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.乙方在货物发运手续办理完毕后二十四小时内或货到甲方四十八小时前通知甲方，以准备接货。</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.货物的运输方式：</w:t>
      </w:r>
      <w:r>
        <w:rPr>
          <w:rFonts w:hint="eastAsia" w:ascii="宋体" w:hAnsi="宋体" w:eastAsia="宋体"/>
          <w:color w:val="auto"/>
          <w:sz w:val="24"/>
          <w:szCs w:val="24"/>
          <w:highlight w:val="none"/>
          <w:u w:val="single"/>
        </w:rPr>
        <w:t xml:space="preserve"> 不限 。</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.货物在规定的交付期限内由乙方送达甲方指定的地点视为交付，乙方同时需通知甲方货物已送达。</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.乙方负责货物运输，货物运输合理损耗及计算方法：</w:t>
      </w:r>
      <w:r>
        <w:rPr>
          <w:rFonts w:hint="eastAsia" w:ascii="宋体" w:hAnsi="宋体" w:eastAsia="宋体"/>
          <w:color w:val="auto"/>
          <w:sz w:val="24"/>
          <w:szCs w:val="24"/>
          <w:highlight w:val="none"/>
          <w:u w:val="single"/>
        </w:rPr>
        <w:t xml:space="preserve"> 本合同交付货物不接受损耗，由乙方自行为其货物运输办理相关保险 。</w:t>
      </w:r>
    </w:p>
    <w:p>
      <w:pPr>
        <w:spacing w:after="0" w:line="40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8</w:t>
      </w:r>
      <w:r>
        <w:rPr>
          <w:rFonts w:hint="eastAsia" w:ascii="宋体" w:hAnsi="宋体" w:eastAsia="宋体"/>
          <w:color w:val="auto"/>
          <w:sz w:val="24"/>
          <w:szCs w:val="24"/>
          <w:highlight w:val="none"/>
        </w:rPr>
        <w:t>.货物在交付甲方前发生的风险均由乙方负责。</w:t>
      </w:r>
    </w:p>
    <w:p>
      <w:pPr>
        <w:spacing w:after="0" w:line="400" w:lineRule="exact"/>
        <w:ind w:firstLine="482" w:firstLineChars="200"/>
        <w:jc w:val="both"/>
        <w:rPr>
          <w:rFonts w:ascii="宋体" w:hAnsi="宋体" w:eastAsia="宋体"/>
          <w:b/>
          <w:color w:val="auto"/>
          <w:sz w:val="24"/>
          <w:szCs w:val="24"/>
          <w:highlight w:val="none"/>
        </w:rPr>
      </w:pPr>
      <w:r>
        <w:rPr>
          <w:rFonts w:hint="eastAsia" w:ascii="宋体" w:hAnsi="宋体" w:eastAsia="宋体"/>
          <w:b/>
          <w:color w:val="auto"/>
          <w:sz w:val="24"/>
          <w:szCs w:val="24"/>
          <w:highlight w:val="none"/>
        </w:rPr>
        <w:t>第四条　交付和交付验收</w:t>
      </w:r>
    </w:p>
    <w:p>
      <w:pPr>
        <w:spacing w:after="0" w:line="40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1、交货时间：</w:t>
      </w:r>
      <w:r>
        <w:rPr>
          <w:rFonts w:hint="eastAsia" w:ascii="宋体" w:hAnsi="宋体" w:eastAsia="宋体"/>
          <w:color w:val="auto"/>
          <w:sz w:val="24"/>
          <w:szCs w:val="24"/>
          <w:highlight w:val="none"/>
          <w:u w:val="single"/>
        </w:rPr>
        <w:t>按乙方响应文件中承诺的不超过竞标要求的时间 。</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u w:val="single"/>
        </w:rPr>
        <w:t>采购人指定地点</w:t>
      </w:r>
      <w:r>
        <w:rPr>
          <w:rFonts w:hint="eastAsia" w:ascii="宋体" w:hAnsi="宋体" w:eastAsia="宋体"/>
          <w:color w:val="auto"/>
          <w:sz w:val="24"/>
          <w:szCs w:val="24"/>
          <w:highlight w:val="none"/>
        </w:rPr>
        <w:t>。</w:t>
      </w:r>
    </w:p>
    <w:p>
      <w:pPr>
        <w:spacing w:after="0" w:line="40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szCs w:val="24"/>
          <w:highlight w:val="none"/>
        </w:rPr>
        <w:t>4、甲方应当在到货后七个工作</w:t>
      </w:r>
      <w:r>
        <w:rPr>
          <w:rFonts w:hint="eastAsia" w:ascii="宋体" w:hAnsi="宋体" w:eastAsia="宋体"/>
          <w:color w:val="auto"/>
          <w:sz w:val="24"/>
          <w:highlight w:val="none"/>
        </w:rPr>
        <w:t>日内进行验收，逾期不验收的，乙方可视同验收合格。验收合格后由甲乙双方签署货物验收单并加盖采购人公章，甲乙双方各执一份。</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olor w:val="auto"/>
          <w:sz w:val="24"/>
          <w:highlight w:val="none"/>
        </w:rPr>
        <w:t>、甲方对验收有异议的，在验收后五个工作日内以书面形式向乙方提出，乙方应自收到甲方书面异议后</w:t>
      </w:r>
      <w:r>
        <w:rPr>
          <w:rFonts w:hint="eastAsia" w:ascii="宋体" w:hAnsi="宋体" w:eastAsia="宋体"/>
          <w:color w:val="auto"/>
          <w:sz w:val="24"/>
          <w:highlight w:val="none"/>
          <w:u w:val="single"/>
        </w:rPr>
        <w:t xml:space="preserve"> 五 </w:t>
      </w:r>
      <w:r>
        <w:rPr>
          <w:rFonts w:hint="eastAsia" w:ascii="宋体" w:hAnsi="宋体" w:eastAsia="宋体"/>
          <w:color w:val="auto"/>
          <w:sz w:val="24"/>
          <w:highlight w:val="none"/>
        </w:rPr>
        <w:t>日内及时予以解决。</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第五条　安装和培训</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甲方应提供必要安装条件（如场地、电源、水源等）。</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乙方负责甲方有关人员的培训。培训时间、地点：</w:t>
      </w:r>
      <w:r>
        <w:rPr>
          <w:rFonts w:hint="eastAsia" w:ascii="宋体" w:hAnsi="宋体" w:eastAsia="宋体"/>
          <w:color w:val="auto"/>
          <w:sz w:val="24"/>
          <w:highlight w:val="none"/>
          <w:u w:val="single"/>
        </w:rPr>
        <w:t xml:space="preserve">  按乙方响应文件承诺  </w:t>
      </w:r>
      <w:r>
        <w:rPr>
          <w:rFonts w:hint="eastAsia" w:ascii="宋体" w:hAnsi="宋体" w:eastAsia="宋体"/>
          <w:color w:val="auto"/>
          <w:sz w:val="24"/>
          <w:highlight w:val="none"/>
        </w:rPr>
        <w:t>。</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其他按乙方响应文件承诺执行。</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第六条　付款方式、保证金</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1. </w:t>
      </w:r>
      <w:r>
        <w:rPr>
          <w:rFonts w:hint="eastAsia" w:ascii="宋体" w:hAnsi="宋体" w:eastAsia="宋体"/>
          <w:color w:val="auto"/>
          <w:sz w:val="24"/>
          <w:highlight w:val="none"/>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资金性质：。</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付款方式：</w:t>
      </w:r>
    </w:p>
    <w:p>
      <w:pPr>
        <w:spacing w:after="0" w:line="44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供货方按交货期及交货顺序在规定的时间内将管材运到交货地点:经供货方、需方及监督单位现场随机抽样：国标镀锌钢管现场组织验收测量管壁厚度达到国标要求。</w:t>
      </w:r>
    </w:p>
    <w:p>
      <w:pPr>
        <w:spacing w:after="0"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本项目签订合同后15日内供货到指定地方，经过清点</w:t>
      </w:r>
      <w:r>
        <w:rPr>
          <w:rFonts w:hint="eastAsia" w:ascii="宋体" w:hAnsi="宋体" w:eastAsia="宋体" w:cs="宋体"/>
          <w:color w:val="auto"/>
          <w:sz w:val="24"/>
          <w:szCs w:val="24"/>
          <w:highlight w:val="none"/>
          <w:lang w:val="en-US" w:eastAsia="zh-CN"/>
        </w:rPr>
        <w:t>后7个工作日内</w:t>
      </w:r>
      <w:r>
        <w:rPr>
          <w:rFonts w:hint="eastAsia" w:ascii="宋体" w:hAnsi="宋体" w:eastAsia="宋体" w:cs="宋体"/>
          <w:color w:val="auto"/>
          <w:sz w:val="24"/>
          <w:szCs w:val="24"/>
          <w:highlight w:val="none"/>
        </w:rPr>
        <w:t>由采购人支付至合同</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的80%给成交供应商</w:t>
      </w:r>
      <w:r>
        <w:rPr>
          <w:rFonts w:hint="eastAsia" w:ascii="宋体" w:hAnsi="宋体" w:eastAsia="宋体" w:cs="宋体"/>
          <w:color w:val="auto"/>
          <w:sz w:val="24"/>
          <w:szCs w:val="24"/>
          <w:highlight w:val="none"/>
          <w:lang w:eastAsia="zh-CN"/>
        </w:rPr>
        <w:t>，经过现场抽查送检，</w:t>
      </w:r>
      <w:r>
        <w:rPr>
          <w:rFonts w:hint="eastAsia" w:ascii="宋体" w:hAnsi="宋体" w:eastAsia="宋体" w:cs="宋体"/>
          <w:color w:val="auto"/>
          <w:sz w:val="24"/>
          <w:szCs w:val="24"/>
          <w:highlight w:val="none"/>
          <w:lang w:val="en-US" w:eastAsia="zh-CN"/>
        </w:rPr>
        <w:t>出检测报告</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rPr>
        <w:t>支付至</w:t>
      </w:r>
      <w:r>
        <w:rPr>
          <w:rFonts w:hint="eastAsia" w:ascii="宋体" w:hAnsi="宋体" w:eastAsia="宋体" w:cs="宋体"/>
          <w:color w:val="auto"/>
          <w:sz w:val="24"/>
          <w:szCs w:val="24"/>
          <w:highlight w:val="none"/>
          <w:lang w:val="en-US" w:eastAsia="zh-CN"/>
        </w:rPr>
        <w:t>合同价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剩余</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作为质保金，一年后质保期内无问题给予返回。</w:t>
      </w:r>
    </w:p>
    <w:p>
      <w:pPr>
        <w:spacing w:after="0" w:line="44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4.履约保证金账户信息如下：</w:t>
      </w:r>
    </w:p>
    <w:p>
      <w:pPr>
        <w:spacing w:after="0" w:line="44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开户名：</w:t>
      </w:r>
    </w:p>
    <w:p>
      <w:pPr>
        <w:spacing w:after="0" w:line="44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开户行：</w:t>
      </w:r>
    </w:p>
    <w:p>
      <w:pPr>
        <w:spacing w:after="0" w:line="44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帐  号：</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（2）</w:t>
      </w:r>
      <w:r>
        <w:rPr>
          <w:rFonts w:hint="eastAsia" w:ascii="宋体" w:hAnsi="宋体" w:eastAsia="宋体"/>
          <w:color w:val="auto"/>
          <w:sz w:val="24"/>
          <w:highlight w:val="none"/>
        </w:rPr>
        <w:t>按合同约定交货验收合格后，由乙方向甲方提供《政府采购项目履约保证金退付意见书》及《政府采购项目合同验收报告》（详见附件），甲方在收到合格材料后5个工作日内以银行转帐方式如数退还（不计利息）。</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第七条  税费</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本合同执行中相关的一切税费均由乙方负担。</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第八条  质量保证及售后服务</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（1）更换：由乙方承担所发生的全部费用。</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（2）贬值处理：由甲乙双方合议定价。</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（3）退货处理：乙方应退还甲方支付的合同款，同时应承担该货物的直接费用（运输、保险、检验、货款利息及银行手续费等）。</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3.乙方应按照国家有关法律法规和“三包”规定以及采购文件、响应文件和本合同所附的《售后服务方案》，为甲方提供售后服务。</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.在质保期内，乙方应对货物出现的质量及安全问题负责处理解决并承担一切费用。</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olor w:val="auto"/>
          <w:sz w:val="24"/>
          <w:highlight w:val="none"/>
        </w:rPr>
        <w:t>.上述的货物免费保修期</w:t>
      </w:r>
      <w:r>
        <w:rPr>
          <w:rFonts w:hint="eastAsia" w:ascii="宋体" w:hAnsi="宋体" w:eastAsia="宋体"/>
          <w:color w:val="auto"/>
          <w:sz w:val="24"/>
          <w:highlight w:val="none"/>
          <w:u w:val="single"/>
        </w:rPr>
        <w:t>按乙方响应文件承诺</w:t>
      </w:r>
      <w:r>
        <w:rPr>
          <w:rFonts w:hint="eastAsia" w:ascii="宋体" w:hAnsi="宋体" w:eastAsia="宋体"/>
          <w:color w:val="auto"/>
          <w:sz w:val="24"/>
          <w:highlight w:val="none"/>
        </w:rPr>
        <w:t>，因人为因素出现的故障不在免费保修范围内。超过保修期的机器设备，终生维修，维修时只收部件成本费。</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6.乙方提供的服务承诺和售后服务及保修期责任等其它具体约定事项：</w:t>
      </w:r>
      <w:r>
        <w:rPr>
          <w:rFonts w:hint="eastAsia" w:ascii="宋体" w:hAnsi="宋体" w:eastAsia="宋体"/>
          <w:color w:val="auto"/>
          <w:sz w:val="24"/>
          <w:highlight w:val="none"/>
          <w:u w:val="single"/>
        </w:rPr>
        <w:t>（见合同附件）</w:t>
      </w:r>
      <w:r>
        <w:rPr>
          <w:rFonts w:hint="eastAsia" w:ascii="宋体" w:hAnsi="宋体" w:eastAsia="宋体"/>
          <w:color w:val="auto"/>
          <w:sz w:val="24"/>
          <w:highlight w:val="none"/>
        </w:rPr>
        <w:t>。</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第九条  调试和验收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 </w:t>
      </w:r>
      <w:r>
        <w:rPr>
          <w:rFonts w:hint="eastAsia" w:ascii="宋体" w:hAnsi="宋体" w:eastAsia="宋体"/>
          <w:color w:val="auto"/>
          <w:sz w:val="24"/>
          <w:highlight w:val="none"/>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）货物在乙方通知安装调试完毕后七个工作日内验收。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）如货物经乙方</w:t>
      </w:r>
      <w:r>
        <w:rPr>
          <w:rFonts w:ascii="宋体" w:hAnsi="宋体" w:eastAsia="宋体"/>
          <w:color w:val="auto"/>
          <w:sz w:val="24"/>
          <w:highlight w:val="none"/>
        </w:rPr>
        <w:t>1</w:t>
      </w:r>
      <w:r>
        <w:rPr>
          <w:rFonts w:hint="eastAsia" w:ascii="宋体" w:hAnsi="宋体" w:eastAsia="宋体"/>
          <w:color w:val="auto"/>
          <w:sz w:val="24"/>
          <w:highlight w:val="none"/>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）验收结束后，应当出具验收书，列明各项标准的验收情况及项目总体评价，由验收双方共同签署。</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货物安装完成后七个工作日内，甲方无故不进行验收工作并已使用货物的，视同已安装调试完成并验收合格。验收合格的项目，甲方在验收书签署之日后日内向乙方支付采购资金，在日内退还履约保证金（如有）。验收不合格的项目，将按本合同第十条违约责任处理，未作约定的，按照《合同法》规定处理。</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 验收时乙方必须在现场，验收完毕后作出验收结果报告；验收费用由乙方负责。</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 其他未尽事宜应严格按照《关于印发广西壮族自治区政府采购项目履约验收管理办法的通知》</w:t>
      </w:r>
      <w:r>
        <w:rPr>
          <w:rFonts w:ascii="宋体" w:hAnsi="宋体" w:eastAsia="宋体"/>
          <w:color w:val="auto"/>
          <w:sz w:val="24"/>
          <w:highlight w:val="none"/>
        </w:rPr>
        <w:t>[</w:t>
      </w:r>
      <w:r>
        <w:rPr>
          <w:rFonts w:hint="eastAsia" w:ascii="宋体" w:hAnsi="宋体" w:eastAsia="宋体"/>
          <w:color w:val="auto"/>
          <w:sz w:val="24"/>
          <w:highlight w:val="none"/>
        </w:rPr>
        <w:t>桂财采〔</w:t>
      </w:r>
      <w:r>
        <w:rPr>
          <w:rFonts w:ascii="宋体" w:hAnsi="宋体" w:eastAsia="宋体"/>
          <w:color w:val="auto"/>
          <w:sz w:val="24"/>
          <w:highlight w:val="none"/>
        </w:rPr>
        <w:t>2015</w:t>
      </w:r>
      <w:r>
        <w:rPr>
          <w:rFonts w:hint="eastAsia" w:ascii="宋体" w:hAnsi="宋体" w:eastAsia="宋体"/>
          <w:color w:val="auto"/>
          <w:sz w:val="24"/>
          <w:highlight w:val="none"/>
        </w:rPr>
        <w:t>〕</w:t>
      </w:r>
      <w:r>
        <w:rPr>
          <w:rFonts w:ascii="宋体" w:hAnsi="宋体" w:eastAsia="宋体"/>
          <w:color w:val="auto"/>
          <w:sz w:val="24"/>
          <w:highlight w:val="none"/>
        </w:rPr>
        <w:t>22</w:t>
      </w:r>
      <w:r>
        <w:rPr>
          <w:rFonts w:hint="eastAsia" w:ascii="宋体" w:hAnsi="宋体" w:eastAsia="宋体"/>
          <w:color w:val="auto"/>
          <w:sz w:val="24"/>
          <w:highlight w:val="none"/>
        </w:rPr>
        <w:t>号</w:t>
      </w:r>
      <w:r>
        <w:rPr>
          <w:rFonts w:ascii="宋体" w:hAnsi="宋体" w:eastAsia="宋体"/>
          <w:color w:val="auto"/>
          <w:sz w:val="24"/>
          <w:highlight w:val="none"/>
        </w:rPr>
        <w:t>]</w:t>
      </w:r>
      <w:r>
        <w:rPr>
          <w:rFonts w:hint="eastAsia" w:ascii="宋体" w:hAnsi="宋体" w:eastAsia="宋体"/>
          <w:color w:val="auto"/>
          <w:sz w:val="24"/>
          <w:highlight w:val="none"/>
        </w:rPr>
        <w:t>以及《财政部关于进一步加强政府采购需求和履约验收管理的指导意见》</w:t>
      </w:r>
      <w:r>
        <w:rPr>
          <w:rFonts w:ascii="宋体" w:hAnsi="宋体" w:eastAsia="宋体"/>
          <w:color w:val="auto"/>
          <w:sz w:val="24"/>
          <w:highlight w:val="none"/>
        </w:rPr>
        <w:t>[</w:t>
      </w:r>
      <w:r>
        <w:rPr>
          <w:rFonts w:hint="eastAsia" w:ascii="宋体" w:hAnsi="宋体" w:eastAsia="宋体"/>
          <w:color w:val="auto"/>
          <w:sz w:val="24"/>
          <w:highlight w:val="none"/>
        </w:rPr>
        <w:t>财库〔</w:t>
      </w:r>
      <w:r>
        <w:rPr>
          <w:rFonts w:ascii="宋体" w:hAnsi="宋体" w:eastAsia="宋体"/>
          <w:color w:val="auto"/>
          <w:sz w:val="24"/>
          <w:highlight w:val="none"/>
        </w:rPr>
        <w:t>2016</w:t>
      </w:r>
      <w:r>
        <w:rPr>
          <w:rFonts w:hint="eastAsia" w:ascii="宋体" w:hAnsi="宋体" w:eastAsia="宋体"/>
          <w:color w:val="auto"/>
          <w:sz w:val="24"/>
          <w:highlight w:val="none"/>
        </w:rPr>
        <w:t>〕</w:t>
      </w:r>
      <w:r>
        <w:rPr>
          <w:rFonts w:ascii="宋体" w:hAnsi="宋体" w:eastAsia="宋体"/>
          <w:color w:val="auto"/>
          <w:sz w:val="24"/>
          <w:highlight w:val="none"/>
        </w:rPr>
        <w:t>205</w:t>
      </w:r>
      <w:r>
        <w:rPr>
          <w:rFonts w:hint="eastAsia" w:ascii="宋体" w:hAnsi="宋体" w:eastAsia="宋体"/>
          <w:color w:val="auto"/>
          <w:sz w:val="24"/>
          <w:highlight w:val="none"/>
        </w:rPr>
        <w:t>号</w:t>
      </w:r>
      <w:r>
        <w:rPr>
          <w:rFonts w:ascii="宋体" w:hAnsi="宋体" w:eastAsia="宋体"/>
          <w:color w:val="auto"/>
          <w:sz w:val="24"/>
          <w:highlight w:val="none"/>
        </w:rPr>
        <w:t>]</w:t>
      </w:r>
      <w:r>
        <w:rPr>
          <w:rFonts w:hint="eastAsia" w:ascii="宋体" w:hAnsi="宋体" w:eastAsia="宋体"/>
          <w:color w:val="auto"/>
          <w:sz w:val="24"/>
          <w:highlight w:val="none"/>
        </w:rPr>
        <w:t>规定执行。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第十条　违约责任</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乙方提供的货物如侵犯了第三方合法权益而引发的任何纠纷或诉讼，均由乙方负责交涉并承担全部责任。</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因包装、运输引起的货物损坏，按质量不合格处罚。</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 乙方未按本合同和响应文件中规定的服务承诺提供售后服务的，乙方应按本合同合计金额 5%向甲方支付违约金。</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 乙方提供的货物在质量保证期内，因设计、工艺或材料的缺陷和其它质量原因造成的问题，由乙方负责，费用从质量保证金中扣除，不足另补。</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 其它违约行为按违约货款额5%收取违约金并赔偿经济损失。</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第十一条  不可抗力事件处理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在合同有效期内，任何一方因不可抗力事件导致不能履行合同，则合同履行期可延长，其延长期与不可抗力影响期相同。</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不可抗力事件发生后，应立即通知对方，并寄送有关权威机构出具的证明。</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不可抗力事件延续一百二十天以上，双方应通过友好协商，确定是否继续履行合同。</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第十二条  合同争议解决</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因履行本合同引起的或与本合同有关的争议，甲乙双方应首先通过友好协商解决，如果协商不能解决，可向仲裁委员会申请仲裁或向人民法院提起诉讼。</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诉讼期间，本合同继续履行。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第十三条  合同生效及其它</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合同经双方法定代表人或被授权代表签字并加盖单位公章后生效。</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3.本合同未尽事宜，遵照《合同法》有关条文执行。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第十四条　合同的变更、终止与转让</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除《中华人民共和国政府采购法》第五十条规定的情形外，本合同一经签订，甲乙双方不得擅自变更、中止或终止。</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未经甲方书面同意，乙方不得擅自转让（无进口资格的供应商委托进口货物除外）其应履行的合同义务。</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第十五条　签订本合同依据</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采购文件；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乙方提供的响应文件；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响应承诺书；</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 中标通知书。</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第十六条　</w:t>
      </w:r>
      <w:r>
        <w:rPr>
          <w:rFonts w:hint="eastAsia" w:ascii="宋体" w:hAnsi="宋体" w:eastAsia="宋体"/>
          <w:color w:val="auto"/>
          <w:sz w:val="24"/>
          <w:highlight w:val="none"/>
        </w:rPr>
        <w:t>本合同一式份，具有同等法律效力，采购代理机构、政府采购监督管理处各一份，甲方份，乙方份（可根据需要另增加）。</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本合同甲乙双方签字盖章后生效。</w:t>
      </w:r>
    </w:p>
    <w:p>
      <w:pPr>
        <w:spacing w:line="500" w:lineRule="exact"/>
        <w:rPr>
          <w:rFonts w:ascii="宋体" w:hAnsi="宋体" w:eastAsia="宋体"/>
          <w:color w:val="auto"/>
          <w:sz w:val="24"/>
          <w:highlight w:val="none"/>
          <w:u w:val="single"/>
        </w:rPr>
      </w:pPr>
    </w:p>
    <w:tbl>
      <w:tblPr>
        <w:tblStyle w:val="3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甲方（章）           </w:t>
            </w:r>
          </w:p>
          <w:p>
            <w:pPr>
              <w:spacing w:line="500" w:lineRule="exact"/>
              <w:rPr>
                <w:rFonts w:ascii="宋体" w:hAnsi="宋体" w:eastAsia="宋体"/>
                <w:color w:val="auto"/>
                <w:sz w:val="24"/>
                <w:highlight w:val="none"/>
              </w:rPr>
            </w:pP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年   月   日</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乙方（章）              </w:t>
            </w:r>
          </w:p>
          <w:p>
            <w:pPr>
              <w:spacing w:line="500" w:lineRule="exact"/>
              <w:rPr>
                <w:rFonts w:ascii="宋体" w:hAnsi="宋体" w:eastAsia="宋体"/>
                <w:color w:val="auto"/>
                <w:sz w:val="24"/>
                <w:highlight w:val="none"/>
              </w:rPr>
            </w:pP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单位地址：</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法定代表人：</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委托代理人：</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电话：</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电子邮箱：</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开户银行：</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账号：</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r>
    </w:tbl>
    <w:p>
      <w:pPr>
        <w:spacing w:line="500" w:lineRule="exact"/>
        <w:rPr>
          <w:rFonts w:ascii="宋体" w:hAnsi="宋体" w:eastAsia="宋体"/>
          <w:color w:val="auto"/>
          <w:sz w:val="28"/>
          <w:szCs w:val="28"/>
          <w:highlight w:val="none"/>
        </w:rPr>
      </w:pPr>
    </w:p>
    <w:p>
      <w:pPr>
        <w:spacing w:line="500" w:lineRule="exact"/>
        <w:rPr>
          <w:rFonts w:ascii="宋体" w:hAnsi="宋体" w:eastAsia="宋体"/>
          <w:color w:val="auto"/>
          <w:highlight w:val="none"/>
        </w:rPr>
      </w:pPr>
      <w:r>
        <w:rPr>
          <w:rFonts w:ascii="宋体" w:hAnsi="宋体" w:eastAsia="宋体"/>
          <w:color w:val="auto"/>
          <w:highlight w:val="none"/>
        </w:rPr>
        <w:br w:type="page"/>
      </w:r>
    </w:p>
    <w:p>
      <w:pPr>
        <w:pStyle w:val="102"/>
        <w:rPr>
          <w:rFonts w:hAnsi="宋体" w:cs="Times New Roman"/>
          <w:color w:val="auto"/>
          <w:kern w:val="2"/>
          <w:highlight w:val="none"/>
        </w:rPr>
      </w:pPr>
      <w:r>
        <w:rPr>
          <w:rFonts w:hint="eastAsia" w:hAnsi="宋体" w:cs="Times New Roman"/>
          <w:color w:val="auto"/>
          <w:kern w:val="2"/>
          <w:highlight w:val="none"/>
        </w:rPr>
        <w:t>合同附件</w:t>
      </w:r>
      <w:r>
        <w:rPr>
          <w:rFonts w:hAnsi="宋体" w:cs="Times New Roman"/>
          <w:color w:val="auto"/>
          <w:kern w:val="2"/>
          <w:highlight w:val="none"/>
        </w:rPr>
        <w:t xml:space="preserve">1 </w:t>
      </w:r>
    </w:p>
    <w:p>
      <w:pPr>
        <w:pStyle w:val="102"/>
        <w:jc w:val="center"/>
        <w:rPr>
          <w:rFonts w:hAnsi="宋体" w:cs="Times New Roman"/>
          <w:b/>
          <w:color w:val="auto"/>
          <w:kern w:val="2"/>
          <w:sz w:val="28"/>
          <w:szCs w:val="28"/>
          <w:highlight w:val="none"/>
        </w:rPr>
      </w:pPr>
      <w:r>
        <w:rPr>
          <w:rFonts w:hint="eastAsia" w:hAnsi="宋体" w:cs="Times New Roman"/>
          <w:b/>
          <w:color w:val="auto"/>
          <w:kern w:val="2"/>
          <w:sz w:val="28"/>
          <w:szCs w:val="28"/>
          <w:highlight w:val="none"/>
        </w:rPr>
        <w:t>响应承诺书</w:t>
      </w:r>
    </w:p>
    <w:p>
      <w:pPr>
        <w:pStyle w:val="102"/>
        <w:rPr>
          <w:rFonts w:hAnsi="宋体" w:cs="Times New Roman"/>
          <w:b/>
          <w:color w:val="auto"/>
          <w:kern w:val="2"/>
          <w:sz w:val="28"/>
          <w:szCs w:val="28"/>
          <w:highlight w:val="none"/>
        </w:rPr>
      </w:pPr>
      <w:r>
        <w:rPr>
          <w:rFonts w:hint="eastAsia" w:hAnsi="宋体" w:cs="Times New Roman"/>
          <w:color w:val="auto"/>
          <w:kern w:val="2"/>
          <w:highlight w:val="none"/>
        </w:rPr>
        <w:t>一般货物类</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1</w:t>
            </w:r>
            <w:r>
              <w:rPr>
                <w:rFonts w:hint="eastAsia" w:hAnsi="宋体" w:cs="Times New Roman"/>
                <w:color w:val="auto"/>
                <w:kern w:val="2"/>
                <w:highlight w:val="none"/>
              </w:rPr>
              <w:t>．乙方承诺具体事项：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2</w:t>
            </w:r>
            <w:r>
              <w:rPr>
                <w:rFonts w:hint="eastAsia" w:hAnsi="宋体" w:cs="Times New Roman"/>
                <w:color w:val="auto"/>
                <w:kern w:val="2"/>
                <w:highlight w:val="none"/>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3</w:t>
            </w:r>
            <w:r>
              <w:rPr>
                <w:rFonts w:hint="eastAsia" w:hAnsi="宋体" w:cs="Times New Roman"/>
                <w:color w:val="auto"/>
                <w:kern w:val="2"/>
                <w:highlight w:val="none"/>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4</w:t>
            </w:r>
            <w:r>
              <w:rPr>
                <w:rFonts w:hint="eastAsia" w:hAnsi="宋体" w:cs="Times New Roman"/>
                <w:color w:val="auto"/>
                <w:kern w:val="2"/>
                <w:highlight w:val="none"/>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102"/>
              <w:rPr>
                <w:rFonts w:hAnsi="宋体" w:cs="Times New Roman"/>
                <w:color w:val="auto"/>
                <w:kern w:val="2"/>
                <w:highlight w:val="none"/>
              </w:rPr>
            </w:pPr>
            <w:r>
              <w:rPr>
                <w:rFonts w:hint="eastAsia" w:hAnsi="宋体" w:cs="Times New Roman"/>
                <w:color w:val="auto"/>
                <w:kern w:val="2"/>
                <w:highlight w:val="none"/>
              </w:rPr>
              <w:t>甲方</w:t>
            </w:r>
            <w:r>
              <w:rPr>
                <w:rFonts w:hAnsi="宋体" w:cs="Times New Roman"/>
                <w:color w:val="auto"/>
                <w:kern w:val="2"/>
                <w:highlight w:val="none"/>
              </w:rPr>
              <w:t>(</w:t>
            </w:r>
            <w:r>
              <w:rPr>
                <w:rFonts w:hint="eastAsia" w:hAnsi="宋体" w:cs="Times New Roman"/>
                <w:color w:val="auto"/>
                <w:kern w:val="2"/>
                <w:highlight w:val="none"/>
              </w:rPr>
              <w:t>章</w:t>
            </w:r>
            <w:r>
              <w:rPr>
                <w:rFonts w:hAnsi="宋体" w:cs="Times New Roman"/>
                <w:color w:val="auto"/>
                <w:kern w:val="2"/>
                <w:highlight w:val="none"/>
              </w:rPr>
              <w:t>)</w:t>
            </w:r>
          </w:p>
          <w:p>
            <w:pPr>
              <w:pStyle w:val="102"/>
              <w:rPr>
                <w:rFonts w:hAnsi="宋体" w:cs="Times New Roman"/>
                <w:color w:val="auto"/>
                <w:kern w:val="2"/>
                <w:highlight w:val="none"/>
              </w:rPr>
            </w:pPr>
          </w:p>
          <w:p>
            <w:pPr>
              <w:pStyle w:val="102"/>
              <w:rPr>
                <w:rFonts w:hAnsi="宋体" w:cs="Times New Roman"/>
                <w:color w:val="auto"/>
                <w:kern w:val="2"/>
                <w:highlight w:val="none"/>
              </w:rPr>
            </w:pPr>
          </w:p>
          <w:p>
            <w:pPr>
              <w:pStyle w:val="102"/>
              <w:ind w:firstLine="2640" w:firstLineChars="1100"/>
              <w:rPr>
                <w:rFonts w:hAnsi="宋体" w:cs="Times New Roman"/>
                <w:color w:val="auto"/>
                <w:kern w:val="2"/>
                <w:highlight w:val="none"/>
              </w:rPr>
            </w:pPr>
            <w:r>
              <w:rPr>
                <w:rFonts w:hint="eastAsia" w:hAnsi="宋体" w:cs="Times New Roman"/>
                <w:color w:val="auto"/>
                <w:kern w:val="2"/>
                <w:highlight w:val="none"/>
              </w:rPr>
              <w:t>年 月 日</w:t>
            </w:r>
          </w:p>
        </w:tc>
        <w:tc>
          <w:tcPr>
            <w:tcW w:w="4536" w:type="dxa"/>
          </w:tcPr>
          <w:p>
            <w:pPr>
              <w:pStyle w:val="102"/>
              <w:rPr>
                <w:rFonts w:hAnsi="宋体" w:cs="Times New Roman"/>
                <w:color w:val="auto"/>
                <w:kern w:val="2"/>
                <w:highlight w:val="none"/>
              </w:rPr>
            </w:pPr>
            <w:r>
              <w:rPr>
                <w:rFonts w:hint="eastAsia" w:hAnsi="宋体" w:cs="Times New Roman"/>
                <w:color w:val="auto"/>
                <w:kern w:val="2"/>
                <w:highlight w:val="none"/>
              </w:rPr>
              <w:t>乙方</w:t>
            </w:r>
            <w:r>
              <w:rPr>
                <w:rFonts w:hAnsi="宋体" w:cs="Times New Roman"/>
                <w:color w:val="auto"/>
                <w:kern w:val="2"/>
                <w:highlight w:val="none"/>
              </w:rPr>
              <w:t>(</w:t>
            </w:r>
            <w:r>
              <w:rPr>
                <w:rFonts w:hint="eastAsia" w:hAnsi="宋体" w:cs="Times New Roman"/>
                <w:color w:val="auto"/>
                <w:kern w:val="2"/>
                <w:highlight w:val="none"/>
              </w:rPr>
              <w:t>章</w:t>
            </w:r>
            <w:r>
              <w:rPr>
                <w:rFonts w:hAnsi="宋体" w:cs="Times New Roman"/>
                <w:color w:val="auto"/>
                <w:kern w:val="2"/>
                <w:highlight w:val="none"/>
              </w:rPr>
              <w:t>)</w:t>
            </w:r>
          </w:p>
          <w:p>
            <w:pPr>
              <w:pStyle w:val="102"/>
              <w:rPr>
                <w:rFonts w:hAnsi="宋体" w:cs="Times New Roman"/>
                <w:color w:val="auto"/>
                <w:kern w:val="2"/>
                <w:highlight w:val="none"/>
              </w:rPr>
            </w:pPr>
          </w:p>
          <w:p>
            <w:pPr>
              <w:pStyle w:val="102"/>
              <w:rPr>
                <w:rFonts w:hAnsi="宋体" w:cs="Times New Roman"/>
                <w:color w:val="auto"/>
                <w:kern w:val="2"/>
                <w:highlight w:val="none"/>
              </w:rPr>
            </w:pPr>
          </w:p>
          <w:p>
            <w:pPr>
              <w:pStyle w:val="102"/>
              <w:ind w:firstLine="2880" w:firstLineChars="1200"/>
              <w:rPr>
                <w:rFonts w:hAnsi="宋体" w:cs="Times New Roman"/>
                <w:color w:val="auto"/>
                <w:kern w:val="2"/>
                <w:highlight w:val="none"/>
              </w:rPr>
            </w:pPr>
            <w:r>
              <w:rPr>
                <w:rFonts w:hint="eastAsia" w:hAnsi="宋体" w:cs="Times New Roman"/>
                <w:color w:val="auto"/>
                <w:kern w:val="2"/>
                <w:highlight w:val="none"/>
              </w:rPr>
              <w:t>年 月 日</w:t>
            </w:r>
          </w:p>
        </w:tc>
      </w:tr>
    </w:tbl>
    <w:p>
      <w:pPr>
        <w:ind w:left="440" w:hanging="440" w:hangingChars="200"/>
        <w:rPr>
          <w:rFonts w:ascii="宋体" w:hAnsi="宋体" w:eastAsia="宋体"/>
          <w:color w:val="auto"/>
          <w:sz w:val="24"/>
          <w:highlight w:val="none"/>
        </w:rPr>
      </w:pPr>
      <w:r>
        <w:rPr>
          <w:rFonts w:hint="eastAsia" w:ascii="宋体" w:hAnsi="宋体" w:eastAsia="宋体"/>
          <w:color w:val="auto"/>
          <w:szCs w:val="21"/>
          <w:highlight w:val="none"/>
        </w:rPr>
        <w:t>注：售后服务事项填不下时可另加附页</w:t>
      </w:r>
    </w:p>
    <w:p>
      <w:pPr>
        <w:ind w:left="440" w:hanging="440" w:hangingChars="200"/>
        <w:rPr>
          <w:rFonts w:ascii="宋体" w:hAnsi="宋体" w:eastAsia="宋体"/>
          <w:color w:val="auto"/>
          <w:szCs w:val="21"/>
          <w:highlight w:val="none"/>
        </w:rPr>
      </w:pPr>
    </w:p>
    <w:p>
      <w:pPr>
        <w:adjustRightInd/>
        <w:snapToGrid/>
        <w:spacing w:line="220" w:lineRule="atLeast"/>
        <w:rPr>
          <w:rFonts w:ascii="宋体" w:hAnsi="宋体" w:eastAsia="宋体"/>
          <w:color w:val="auto"/>
          <w:sz w:val="24"/>
          <w:highlight w:val="none"/>
        </w:rPr>
      </w:pPr>
    </w:p>
    <w:p>
      <w:pPr>
        <w:adjustRightInd/>
        <w:snapToGrid/>
        <w:spacing w:line="220" w:lineRule="atLeast"/>
        <w:rPr>
          <w:rFonts w:ascii="宋体" w:hAnsi="宋体" w:eastAsia="宋体"/>
          <w:color w:val="auto"/>
          <w:sz w:val="24"/>
          <w:highlight w:val="none"/>
        </w:rPr>
      </w:pPr>
      <w:r>
        <w:rPr>
          <w:rFonts w:ascii="宋体" w:hAnsi="宋体" w:eastAsia="宋体"/>
          <w:color w:val="auto"/>
          <w:sz w:val="24"/>
          <w:highlight w:val="none"/>
        </w:rPr>
        <w:br w:type="page"/>
      </w:r>
    </w:p>
    <w:p>
      <w:pPr>
        <w:rPr>
          <w:rFonts w:ascii="宋体" w:hAnsi="宋体" w:eastAsia="宋体"/>
          <w:color w:val="auto"/>
          <w:sz w:val="24"/>
          <w:highlight w:val="none"/>
        </w:rPr>
      </w:pPr>
      <w:r>
        <w:rPr>
          <w:rFonts w:hint="eastAsia" w:ascii="宋体" w:hAnsi="宋体" w:eastAsia="宋体"/>
          <w:color w:val="auto"/>
          <w:sz w:val="24"/>
          <w:highlight w:val="none"/>
        </w:rPr>
        <w:t>附件</w:t>
      </w:r>
      <w:r>
        <w:rPr>
          <w:rFonts w:ascii="宋体" w:hAnsi="宋体" w:eastAsia="宋体"/>
          <w:color w:val="auto"/>
          <w:sz w:val="24"/>
          <w:highlight w:val="none"/>
        </w:rPr>
        <w:t>2</w:t>
      </w:r>
      <w:r>
        <w:rPr>
          <w:rFonts w:hint="eastAsia" w:ascii="宋体" w:hAnsi="宋体" w:eastAsia="宋体"/>
          <w:color w:val="auto"/>
          <w:sz w:val="24"/>
          <w:highlight w:val="none"/>
        </w:rPr>
        <w:t>：</w:t>
      </w:r>
    </w:p>
    <w:p>
      <w:pPr>
        <w:shd w:val="clear" w:color="auto" w:fill="FFFFFF"/>
        <w:spacing w:line="580" w:lineRule="exact"/>
        <w:jc w:val="center"/>
        <w:rPr>
          <w:rFonts w:ascii="宋体" w:hAnsi="宋体" w:eastAsia="宋体" w:cs="宋体"/>
          <w:color w:val="auto"/>
          <w:sz w:val="32"/>
          <w:szCs w:val="32"/>
          <w:highlight w:val="none"/>
        </w:rPr>
      </w:pPr>
      <w:r>
        <w:rPr>
          <w:rFonts w:hint="eastAsia" w:ascii="宋体" w:hAnsi="宋体" w:eastAsia="宋体" w:cs="黑体"/>
          <w:color w:val="auto"/>
          <w:sz w:val="32"/>
          <w:szCs w:val="32"/>
          <w:highlight w:val="none"/>
        </w:rPr>
        <w:t>广西壮族自治区政府采购项目合同验收书</w:t>
      </w:r>
      <w:r>
        <w:rPr>
          <w:rFonts w:hint="eastAsia" w:ascii="宋体" w:hAnsi="宋体" w:eastAsia="宋体" w:cs="宋体"/>
          <w:color w:val="auto"/>
          <w:sz w:val="32"/>
          <w:szCs w:val="32"/>
          <w:highlight w:val="none"/>
        </w:rPr>
        <w:t>（格式）</w:t>
      </w:r>
    </w:p>
    <w:p>
      <w:pPr>
        <w:shd w:val="clear" w:color="auto" w:fill="FFFFFF"/>
        <w:spacing w:line="440" w:lineRule="exact"/>
        <w:ind w:firstLine="482"/>
        <w:rPr>
          <w:rFonts w:ascii="宋体" w:hAnsi="宋体" w:eastAsia="宋体" w:cs="宋体"/>
          <w:color w:val="auto"/>
          <w:sz w:val="24"/>
          <w:highlight w:val="none"/>
        </w:rPr>
      </w:pPr>
      <w:r>
        <w:rPr>
          <w:rFonts w:hint="eastAsia" w:ascii="宋体" w:hAnsi="宋体" w:eastAsia="宋体" w:cs="宋体"/>
          <w:color w:val="auto"/>
          <w:sz w:val="24"/>
          <w:highlight w:val="none"/>
        </w:rPr>
        <w:t>根据政府采购项目（</w:t>
      </w:r>
      <w:r>
        <w:rPr>
          <w:rFonts w:hint="eastAsia" w:ascii="宋体" w:hAnsi="宋体" w:eastAsia="宋体" w:cs="宋体"/>
          <w:color w:val="auto"/>
          <w:sz w:val="24"/>
          <w:highlight w:val="none"/>
          <w:u w:val="single"/>
        </w:rPr>
        <w:t>采购合同编号：</w:t>
      </w:r>
      <w:r>
        <w:rPr>
          <w:rFonts w:hint="eastAsia" w:ascii="宋体" w:hAnsi="宋体" w:eastAsia="宋体" w:cs="宋体"/>
          <w:color w:val="auto"/>
          <w:sz w:val="24"/>
          <w:highlight w:val="none"/>
          <w:u w:val="single"/>
        </w:rPr>
        <w:softHyphen/>
      </w:r>
      <w:r>
        <w:rPr>
          <w:rFonts w:hint="eastAsia" w:ascii="宋体" w:hAnsi="宋体" w:eastAsia="宋体" w:cs="宋体"/>
          <w:color w:val="auto"/>
          <w:sz w:val="24"/>
          <w:highlight w:val="none"/>
        </w:rPr>
        <w:t>）的约定，我单位对（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 政府采购项目成交供应商（</w:t>
      </w:r>
      <w:r>
        <w:rPr>
          <w:rFonts w:hint="eastAsia" w:ascii="宋体" w:hAnsi="宋体" w:eastAsia="宋体" w:cs="宋体"/>
          <w:color w:val="auto"/>
          <w:sz w:val="24"/>
          <w:highlight w:val="none"/>
          <w:u w:val="single"/>
        </w:rPr>
        <w:t xml:space="preserve"> 公司名称 </w:t>
      </w:r>
      <w:r>
        <w:rPr>
          <w:rFonts w:hint="eastAsia" w:ascii="宋体" w:hAnsi="宋体" w:eastAsia="宋体" w:cs="宋体"/>
          <w:color w:val="auto"/>
          <w:sz w:val="24"/>
          <w:highlight w:val="none"/>
        </w:rPr>
        <w:t>） 提供的货物（或工程、服务）进行了验收，验收情况如下：</w:t>
      </w:r>
    </w:p>
    <w:tbl>
      <w:tblPr>
        <w:tblStyle w:val="38"/>
        <w:tblW w:w="9177" w:type="dxa"/>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 w:val="24"/>
                <w:szCs w:val="24"/>
                <w:highlight w:val="none"/>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ascii="宋体" w:hAnsi="宋体" w:eastAsia="宋体" w:cs="宋体"/>
                <w:color w:val="auto"/>
                <w:sz w:val="24"/>
                <w:szCs w:val="24"/>
                <w:highlight w:val="none"/>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有异议的意见和说明理由：</w:t>
            </w:r>
          </w:p>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监督人员或其他相关人员签字：</w:t>
            </w:r>
          </w:p>
          <w:p>
            <w:pPr>
              <w:spacing w:before="100" w:beforeAutospacing="1" w:after="100" w:afterAutospacing="1" w:line="320" w:lineRule="atLeast"/>
              <w:ind w:firstLine="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中标或者成交供应商负责人签字或盖章：</w:t>
            </w:r>
          </w:p>
          <w:p>
            <w:pPr>
              <w:spacing w:before="100" w:beforeAutospacing="1" w:after="100" w:afterAutospacing="1" w:line="32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采购人或受托机构的意见（盖章）：</w:t>
            </w:r>
          </w:p>
          <w:p>
            <w:pPr>
              <w:spacing w:before="100" w:beforeAutospacing="1" w:after="100" w:afterAutospacing="1" w:line="320" w:lineRule="atLeas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年 月 日</w:t>
            </w:r>
          </w:p>
        </w:tc>
      </w:tr>
    </w:tbl>
    <w:p>
      <w:pPr>
        <w:rPr>
          <w:rFonts w:ascii="宋体" w:hAnsi="宋体" w:eastAsia="宋体"/>
          <w:color w:val="auto"/>
          <w:sz w:val="28"/>
          <w:szCs w:val="28"/>
          <w:highlight w:val="none"/>
        </w:rPr>
      </w:pPr>
      <w:r>
        <w:rPr>
          <w:rFonts w:hint="eastAsia" w:ascii="宋体" w:hAnsi="宋体" w:eastAsia="宋体"/>
          <w:color w:val="auto"/>
          <w:highlight w:val="none"/>
        </w:rPr>
        <w:br w:type="page"/>
      </w:r>
      <w:r>
        <w:rPr>
          <w:rFonts w:hint="eastAsia" w:ascii="宋体" w:hAnsi="宋体" w:eastAsia="宋体"/>
          <w:color w:val="auto"/>
          <w:sz w:val="28"/>
          <w:szCs w:val="28"/>
          <w:highlight w:val="none"/>
        </w:rPr>
        <w:t>附件</w:t>
      </w:r>
      <w:r>
        <w:rPr>
          <w:rFonts w:ascii="宋体" w:hAnsi="宋体" w:eastAsia="宋体"/>
          <w:color w:val="auto"/>
          <w:sz w:val="28"/>
          <w:szCs w:val="28"/>
          <w:highlight w:val="none"/>
        </w:rPr>
        <w:t>3</w:t>
      </w:r>
      <w:r>
        <w:rPr>
          <w:rFonts w:hint="eastAsia" w:ascii="宋体" w:hAnsi="宋体" w:eastAsia="宋体"/>
          <w:color w:val="auto"/>
          <w:sz w:val="28"/>
          <w:szCs w:val="28"/>
          <w:highlight w:val="none"/>
        </w:rPr>
        <w:t>：</w:t>
      </w:r>
    </w:p>
    <w:p>
      <w:pPr>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政府采购项目履约保证金退付意见书</w:t>
      </w:r>
    </w:p>
    <w:tbl>
      <w:tblPr>
        <w:tblStyle w:val="3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w:t>
            </w:r>
          </w:p>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应</w:t>
            </w:r>
          </w:p>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w:t>
            </w:r>
          </w:p>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申</w:t>
            </w:r>
          </w:p>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highlight w:val="none"/>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4"/>
                <w:szCs w:val="24"/>
                <w:highlight w:val="none"/>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该项目已于年月日验收并交付使用。根据合同规定，该项目的履约保证金期限于年月日已满，请将履约保证金（大写）￥（小写）退付到达以下帐户。</w:t>
            </w:r>
          </w:p>
          <w:p>
            <w:pPr>
              <w:spacing w:after="0" w:line="400" w:lineRule="exact"/>
              <w:ind w:firstLine="705"/>
              <w:rPr>
                <w:rFonts w:ascii="宋体" w:hAnsi="宋体" w:eastAsia="宋体"/>
                <w:color w:val="auto"/>
                <w:sz w:val="24"/>
                <w:szCs w:val="24"/>
                <w:highlight w:val="none"/>
              </w:rPr>
            </w:pPr>
            <w:r>
              <w:rPr>
                <w:rFonts w:hint="eastAsia" w:ascii="宋体" w:hAnsi="宋体" w:eastAsia="宋体"/>
                <w:color w:val="auto"/>
                <w:sz w:val="24"/>
                <w:szCs w:val="24"/>
                <w:highlight w:val="none"/>
              </w:rPr>
              <w:t>单位名称：</w:t>
            </w:r>
          </w:p>
          <w:p>
            <w:pPr>
              <w:spacing w:after="0" w:line="400" w:lineRule="exact"/>
              <w:ind w:firstLine="705"/>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p>
          <w:p>
            <w:pPr>
              <w:spacing w:after="0" w:line="400" w:lineRule="exact"/>
              <w:ind w:firstLine="705"/>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p>
            <w:pPr>
              <w:spacing w:after="0" w:line="400" w:lineRule="exact"/>
              <w:ind w:firstLine="720" w:firstLineChars="300"/>
              <w:rPr>
                <w:rFonts w:ascii="宋体" w:hAnsi="宋体" w:eastAsia="宋体"/>
                <w:color w:val="auto"/>
                <w:sz w:val="24"/>
                <w:szCs w:val="24"/>
                <w:highlight w:val="none"/>
              </w:rPr>
            </w:pPr>
            <w:r>
              <w:rPr>
                <w:rFonts w:hint="eastAsia" w:ascii="宋体" w:hAnsi="宋体" w:eastAsia="宋体"/>
                <w:color w:val="auto"/>
                <w:sz w:val="24"/>
                <w:szCs w:val="24"/>
                <w:highlight w:val="none"/>
              </w:rPr>
              <w:t>联系人及电话：</w:t>
            </w:r>
          </w:p>
          <w:p>
            <w:pPr>
              <w:spacing w:after="0" w:line="52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供应商签章：</w:t>
            </w:r>
          </w:p>
          <w:p>
            <w:pPr>
              <w:spacing w:after="0" w:line="52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采</w:t>
            </w:r>
          </w:p>
          <w:p>
            <w:pPr>
              <w:spacing w:after="12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购</w:t>
            </w:r>
          </w:p>
          <w:p>
            <w:pPr>
              <w:spacing w:after="12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人</w:t>
            </w:r>
          </w:p>
          <w:p>
            <w:pPr>
              <w:spacing w:after="12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意</w:t>
            </w:r>
          </w:p>
          <w:p>
            <w:pPr>
              <w:spacing w:after="12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宋体" w:hAnsi="宋体" w:eastAsia="宋体"/>
                <w:color w:val="auto"/>
                <w:sz w:val="24"/>
                <w:szCs w:val="24"/>
                <w:highlight w:val="none"/>
              </w:rPr>
            </w:pPr>
            <w:r>
              <w:rPr>
                <w:rFonts w:hint="eastAsia" w:ascii="宋体" w:hAnsi="宋体" w:eastAsia="宋体"/>
                <w:color w:val="auto"/>
                <w:sz w:val="24"/>
                <w:szCs w:val="24"/>
                <w:highlight w:val="none"/>
              </w:rPr>
              <w:t>退付意见：是否同意退付履约保证金及退付金额：</w:t>
            </w:r>
          </w:p>
          <w:p>
            <w:pPr>
              <w:spacing w:after="120"/>
              <w:rPr>
                <w:rFonts w:ascii="宋体" w:hAnsi="宋体" w:eastAsia="宋体"/>
                <w:color w:val="auto"/>
                <w:sz w:val="24"/>
                <w:szCs w:val="24"/>
                <w:highlight w:val="none"/>
              </w:rPr>
            </w:pPr>
          </w:p>
          <w:p>
            <w:pPr>
              <w:spacing w:after="120" w:line="52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联系人及电话：                                 采购人签章</w:t>
            </w:r>
          </w:p>
          <w:p>
            <w:pPr>
              <w:spacing w:after="120" w:line="52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tc>
      </w:tr>
    </w:tbl>
    <w:p>
      <w:pPr>
        <w:spacing w:line="500" w:lineRule="exact"/>
        <w:rPr>
          <w:rFonts w:ascii="宋体" w:hAnsi="宋体" w:eastAsia="宋体"/>
          <w:color w:val="auto"/>
          <w:highlight w:val="none"/>
        </w:rPr>
      </w:pPr>
      <w:r>
        <w:rPr>
          <w:rFonts w:hint="eastAsia" w:ascii="宋体" w:hAnsi="宋体" w:eastAsia="宋体"/>
          <w:b/>
          <w:bCs/>
          <w:color w:val="auto"/>
          <w:szCs w:val="21"/>
          <w:highlight w:val="none"/>
        </w:rPr>
        <w:t>注：供应商凭经采购人审批的退付意见书到保证金收取单位办理履约保证金退付事宜。</w:t>
      </w:r>
    </w:p>
    <w:p>
      <w:pPr>
        <w:adjustRightInd/>
        <w:snapToGrid/>
        <w:spacing w:line="220" w:lineRule="atLeast"/>
        <w:rPr>
          <w:rFonts w:ascii="宋体" w:hAnsi="宋体" w:eastAsia="宋体" w:cs="Times New Roman"/>
          <w:color w:val="auto"/>
          <w:sz w:val="36"/>
          <w:szCs w:val="20"/>
          <w:highlight w:val="none"/>
        </w:rPr>
      </w:pPr>
      <w:bookmarkStart w:id="94" w:name="_Toc246094931"/>
      <w:bookmarkStart w:id="95" w:name="_Toc246095537"/>
      <w:bookmarkStart w:id="96" w:name="_Toc246095475"/>
      <w:r>
        <w:rPr>
          <w:rFonts w:ascii="宋体" w:hAnsi="宋体" w:eastAsia="宋体"/>
          <w:color w:val="auto"/>
          <w:highlight w:val="none"/>
        </w:rPr>
        <w:br w:type="page"/>
      </w:r>
    </w:p>
    <w:p>
      <w:pPr>
        <w:pStyle w:val="3"/>
        <w:rPr>
          <w:rFonts w:ascii="宋体" w:hAnsi="宋体" w:eastAsia="宋体"/>
          <w:color w:val="auto"/>
          <w:highlight w:val="none"/>
        </w:rPr>
      </w:pPr>
    </w:p>
    <w:p>
      <w:pPr>
        <w:pStyle w:val="3"/>
        <w:rPr>
          <w:rFonts w:ascii="宋体" w:hAnsi="宋体" w:eastAsia="宋体"/>
          <w:color w:val="auto"/>
          <w:highlight w:val="none"/>
        </w:rPr>
      </w:pPr>
      <w:bookmarkStart w:id="97" w:name="_Toc46404623"/>
      <w:r>
        <w:rPr>
          <w:rFonts w:hint="eastAsia" w:ascii="宋体" w:hAnsi="宋体" w:eastAsia="宋体"/>
          <w:color w:val="auto"/>
          <w:highlight w:val="none"/>
        </w:rPr>
        <w:t>第六章  响应文件格式</w:t>
      </w:r>
      <w:bookmarkEnd w:id="94"/>
      <w:bookmarkEnd w:id="95"/>
      <w:bookmarkEnd w:id="96"/>
      <w:bookmarkEnd w:id="97"/>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r>
        <w:rPr>
          <w:rFonts w:hint="eastAsia" w:ascii="宋体" w:hAnsi="宋体" w:eastAsia="宋体"/>
          <w:color w:val="auto"/>
          <w:highlight w:val="none"/>
        </w:rPr>
        <w:t>（用于响应文件封面）</w:t>
      </w:r>
    </w:p>
    <w:p>
      <w:pPr>
        <w:rPr>
          <w:rFonts w:ascii="宋体" w:hAnsi="宋体" w:eastAsia="宋体"/>
          <w:color w:val="auto"/>
          <w:highlight w:val="none"/>
        </w:rPr>
      </w:pPr>
    </w:p>
    <w:p>
      <w:pPr>
        <w:jc w:val="center"/>
        <w:rPr>
          <w:rFonts w:ascii="宋体" w:hAnsi="宋体" w:eastAsia="宋体"/>
          <w:color w:val="auto"/>
          <w:sz w:val="84"/>
          <w:szCs w:val="84"/>
          <w:highlight w:val="none"/>
        </w:rPr>
      </w:pPr>
      <w:r>
        <w:rPr>
          <w:rFonts w:hint="eastAsia" w:ascii="宋体" w:hAnsi="宋体" w:eastAsia="宋体"/>
          <w:color w:val="auto"/>
          <w:sz w:val="84"/>
          <w:szCs w:val="84"/>
          <w:highlight w:val="none"/>
        </w:rPr>
        <w:t>响应文件</w:t>
      </w:r>
    </w:p>
    <w:p>
      <w:pPr>
        <w:rPr>
          <w:rFonts w:ascii="宋体" w:hAnsi="宋体" w:eastAsia="宋体"/>
          <w:color w:val="auto"/>
          <w:highlight w:val="none"/>
        </w:rPr>
      </w:pPr>
    </w:p>
    <w:p>
      <w:pPr>
        <w:jc w:val="center"/>
        <w:rPr>
          <w:rFonts w:ascii="宋体" w:hAnsi="宋体" w:eastAsia="宋体"/>
          <w:color w:val="auto"/>
          <w:sz w:val="30"/>
          <w:szCs w:val="30"/>
          <w:highlight w:val="none"/>
        </w:rPr>
      </w:pPr>
      <w:r>
        <w:rPr>
          <w:rFonts w:hint="eastAsia" w:ascii="宋体" w:hAnsi="宋体" w:eastAsia="宋体"/>
          <w:color w:val="auto"/>
          <w:sz w:val="30"/>
          <w:szCs w:val="30"/>
          <w:highlight w:val="none"/>
        </w:rPr>
        <w:t>（正/副本）</w:t>
      </w:r>
    </w:p>
    <w:p>
      <w:pPr>
        <w:rPr>
          <w:rFonts w:ascii="宋体" w:hAnsi="宋体" w:eastAsia="宋体"/>
          <w:color w:val="auto"/>
          <w:highlight w:val="none"/>
        </w:rPr>
      </w:pPr>
    </w:p>
    <w:p>
      <w:pPr>
        <w:rPr>
          <w:rFonts w:ascii="宋体" w:hAnsi="宋体" w:eastAsia="宋体"/>
          <w:color w:val="auto"/>
          <w:sz w:val="28"/>
          <w:szCs w:val="28"/>
          <w:highlight w:val="none"/>
        </w:rPr>
      </w:pP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u w:val="single"/>
        </w:rPr>
        <w:t xml:space="preserve">（项目名称）   </w:t>
      </w: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采购编号：</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响应文件内容：</w:t>
      </w:r>
      <w:r>
        <w:rPr>
          <w:rFonts w:hint="eastAsia" w:ascii="宋体" w:hAnsi="宋体" w:eastAsia="宋体"/>
          <w:color w:val="auto"/>
          <w:sz w:val="28"/>
          <w:szCs w:val="28"/>
          <w:highlight w:val="none"/>
          <w:u w:val="single"/>
        </w:rPr>
        <w:t xml:space="preserve">        价格文件/商务技术文件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供应商名称：</w:t>
      </w:r>
      <w:r>
        <w:rPr>
          <w:rFonts w:hint="eastAsia" w:ascii="宋体" w:hAnsi="宋体" w:eastAsia="宋体"/>
          <w:color w:val="auto"/>
          <w:sz w:val="28"/>
          <w:szCs w:val="28"/>
          <w:highlight w:val="none"/>
          <w:u w:val="single"/>
        </w:rPr>
        <w:t xml:space="preserve">        （盖单位公章）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法定代表人或其委托代理人：</w:t>
      </w:r>
      <w:r>
        <w:rPr>
          <w:rFonts w:hint="eastAsia" w:ascii="宋体" w:hAnsi="宋体" w:eastAsia="宋体"/>
          <w:color w:val="auto"/>
          <w:sz w:val="28"/>
          <w:szCs w:val="28"/>
          <w:highlight w:val="none"/>
          <w:u w:val="single"/>
        </w:rPr>
        <w:t xml:space="preserve">      （签字）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rPr>
          <w:rFonts w:ascii="宋体" w:hAnsi="宋体" w:eastAsia="宋体"/>
          <w:color w:val="auto"/>
          <w:highlight w:val="none"/>
        </w:rPr>
      </w:pPr>
      <w:r>
        <w:rPr>
          <w:rFonts w:ascii="宋体" w:hAnsi="宋体" w:eastAsia="宋体"/>
          <w:color w:val="auto"/>
          <w:highlight w:val="none"/>
        </w:rPr>
        <w:br w:type="page"/>
      </w:r>
    </w:p>
    <w:p>
      <w:pPr>
        <w:spacing w:line="30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附件一：</w:t>
      </w:r>
    </w:p>
    <w:p>
      <w:pP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谈判报价表</w:t>
      </w:r>
    </w:p>
    <w:p>
      <w:pPr>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分标（有分标时填写）</w:t>
      </w:r>
    </w:p>
    <w:tbl>
      <w:tblPr>
        <w:tblStyle w:val="38"/>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534"/>
        <w:gridCol w:w="1422"/>
        <w:gridCol w:w="168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610"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货物名称</w:t>
            </w:r>
          </w:p>
        </w:tc>
        <w:tc>
          <w:tcPr>
            <w:tcW w:w="534"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数量①</w:t>
            </w:r>
          </w:p>
        </w:tc>
        <w:tc>
          <w:tcPr>
            <w:tcW w:w="1422"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品牌及规格型号、生产厂家及国别</w:t>
            </w:r>
          </w:p>
        </w:tc>
        <w:tc>
          <w:tcPr>
            <w:tcW w:w="1689"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技术参数及性能配置</w:t>
            </w:r>
          </w:p>
        </w:tc>
        <w:tc>
          <w:tcPr>
            <w:tcW w:w="1413"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②</w:t>
            </w:r>
          </w:p>
        </w:tc>
        <w:tc>
          <w:tcPr>
            <w:tcW w:w="1864"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单项合价（元）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N</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总报价：人民币</w:t>
            </w:r>
            <w:r>
              <w:rPr>
                <w:rFonts w:hint="eastAsia" w:ascii="宋体" w:hAnsi="宋体" w:eastAsia="宋体"/>
                <w:color w:val="auto"/>
                <w:sz w:val="24"/>
                <w:highlight w:val="none"/>
                <w:u w:val="single"/>
              </w:rPr>
              <w:t xml:space="preserve">              （￥                 </w:t>
            </w:r>
            <w:r>
              <w:rPr>
                <w:rFonts w:hint="eastAsia" w:ascii="宋体" w:hAnsi="宋体" w:eastAsia="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交货地点：</w:t>
            </w:r>
          </w:p>
        </w:tc>
      </w:tr>
    </w:tbl>
    <w:p>
      <w:pPr>
        <w:spacing w:after="0" w:line="360" w:lineRule="exact"/>
        <w:jc w:val="both"/>
        <w:rPr>
          <w:rFonts w:ascii="宋体" w:hAnsi="宋体" w:eastAsia="宋体"/>
          <w:color w:val="auto"/>
          <w:sz w:val="24"/>
          <w:szCs w:val="24"/>
          <w:highlight w:val="none"/>
        </w:rPr>
      </w:pPr>
      <w:r>
        <w:rPr>
          <w:rFonts w:hint="eastAsia" w:ascii="宋体" w:hAnsi="宋体" w:eastAsia="宋体"/>
          <w:color w:val="auto"/>
          <w:sz w:val="24"/>
          <w:szCs w:val="24"/>
          <w:highlight w:val="none"/>
        </w:rPr>
        <w:t>注：1.所有价格均用人民币表示，单位为元，精确到小数点后两位数。</w:t>
      </w:r>
    </w:p>
    <w:p>
      <w:pPr>
        <w:spacing w:after="0" w:line="360" w:lineRule="exact"/>
        <w:ind w:firstLine="480" w:firstLineChars="200"/>
        <w:jc w:val="both"/>
        <w:rPr>
          <w:rFonts w:ascii="宋体" w:hAnsi="宋体" w:eastAsia="宋体"/>
          <w:color w:val="auto"/>
          <w:sz w:val="24"/>
          <w:szCs w:val="24"/>
          <w:highlight w:val="none"/>
        </w:rPr>
      </w:pPr>
      <w:r>
        <w:rPr>
          <w:rFonts w:hint="eastAsia" w:ascii="宋体" w:hAnsi="宋体" w:eastAsia="宋体"/>
          <w:bCs/>
          <w:color w:val="auto"/>
          <w:sz w:val="24"/>
          <w:szCs w:val="24"/>
          <w:highlight w:val="none"/>
        </w:rPr>
        <w:t>2.各供应商</w:t>
      </w:r>
      <w:r>
        <w:rPr>
          <w:rFonts w:hint="eastAsia" w:ascii="宋体" w:hAnsi="宋体" w:eastAsia="宋体"/>
          <w:color w:val="auto"/>
          <w:sz w:val="24"/>
          <w:szCs w:val="24"/>
          <w:highlight w:val="none"/>
        </w:rPr>
        <w:t>必须就“项目采购需求和说明”中所有内容作完整唯一报价，否则，其响应文件无效。</w:t>
      </w:r>
    </w:p>
    <w:p>
      <w:pPr>
        <w:spacing w:after="0" w:line="36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此表的总报价是所有需采购方支付的本次采购标的金额总数，即竞标总价。竞标总价须包含完成用户需求要求所有内容的全部费用。</w:t>
      </w:r>
      <w:r>
        <w:rPr>
          <w:rFonts w:ascii="宋体" w:hAnsi="宋体" w:eastAsia="宋体"/>
          <w:color w:val="auto"/>
          <w:sz w:val="24"/>
          <w:szCs w:val="24"/>
          <w:highlight w:val="none"/>
        </w:rPr>
        <w:tab/>
      </w:r>
    </w:p>
    <w:p>
      <w:pPr>
        <w:spacing w:after="0" w:line="360" w:lineRule="exact"/>
        <w:ind w:firstLine="480" w:firstLineChars="200"/>
        <w:jc w:val="both"/>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若此表由多页构成的，需逐页加盖供应商公章。</w:t>
      </w:r>
    </w:p>
    <w:p>
      <w:pPr>
        <w:spacing w:after="120"/>
        <w:rPr>
          <w:rFonts w:ascii="宋体" w:hAnsi="宋体" w:eastAsia="宋体"/>
          <w:color w:val="auto"/>
          <w:highlight w:val="none"/>
        </w:rPr>
      </w:pPr>
    </w:p>
    <w:p>
      <w:pPr>
        <w:spacing w:after="120"/>
        <w:rPr>
          <w:rFonts w:ascii="宋体" w:hAnsi="宋体" w:eastAsia="宋体"/>
          <w:color w:val="auto"/>
          <w:highlight w:val="none"/>
        </w:rPr>
      </w:pP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120" w:line="360" w:lineRule="auto"/>
        <w:ind w:left="1320" w:leftChars="600"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 xml:space="preserve">地址：      </w:t>
      </w:r>
      <w:r>
        <w:rPr>
          <w:rFonts w:hint="eastAsia" w:ascii="宋体" w:hAnsi="宋体" w:eastAsia="宋体" w:cs="宋体"/>
          <w:color w:val="auto"/>
          <w:sz w:val="24"/>
          <w:highlight w:val="none"/>
        </w:rPr>
        <w:t>邮编</w:t>
      </w:r>
      <w:r>
        <w:rPr>
          <w:rFonts w:hint="eastAsia" w:ascii="宋体" w:hAnsi="宋体" w:eastAsia="宋体"/>
          <w:color w:val="auto"/>
          <w:sz w:val="24"/>
          <w:highlight w:val="none"/>
        </w:rPr>
        <w:t>：</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olor w:val="auto"/>
          <w:sz w:val="24"/>
          <w:highlight w:val="none"/>
        </w:rPr>
        <w:t xml:space="preserve">：      </w:t>
      </w:r>
      <w:r>
        <w:rPr>
          <w:rFonts w:hint="eastAsia" w:ascii="宋体" w:hAnsi="宋体" w:eastAsia="宋体" w:cs="宋体"/>
          <w:color w:val="auto"/>
          <w:sz w:val="24"/>
          <w:highlight w:val="none"/>
        </w:rPr>
        <w:t>传</w:t>
      </w:r>
      <w:r>
        <w:rPr>
          <w:rFonts w:hint="eastAsia" w:ascii="宋体" w:hAnsi="宋体" w:eastAsia="宋体"/>
          <w:color w:val="auto"/>
          <w:sz w:val="24"/>
          <w:highlight w:val="none"/>
        </w:rPr>
        <w:t>真：</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日期：  年  月  日</w:t>
      </w:r>
    </w:p>
    <w:p>
      <w:pPr>
        <w:spacing w:line="300" w:lineRule="auto"/>
        <w:rPr>
          <w:rFonts w:ascii="宋体" w:hAnsi="宋体" w:eastAsia="宋体"/>
          <w:b/>
          <w:bCs/>
          <w:color w:val="auto"/>
          <w:sz w:val="24"/>
          <w:highlight w:val="none"/>
        </w:rPr>
      </w:pPr>
      <w:r>
        <w:rPr>
          <w:rFonts w:ascii="宋体" w:hAnsi="宋体" w:eastAsia="宋体"/>
          <w:color w:val="auto"/>
          <w:szCs w:val="21"/>
          <w:highlight w:val="none"/>
        </w:rPr>
        <w:br w:type="page"/>
      </w:r>
      <w:r>
        <w:rPr>
          <w:rFonts w:hint="eastAsia" w:ascii="宋体" w:hAnsi="宋体" w:eastAsia="宋体"/>
          <w:b/>
          <w:bCs/>
          <w:color w:val="auto"/>
          <w:sz w:val="24"/>
          <w:highlight w:val="none"/>
        </w:rPr>
        <w:t>附件二：</w:t>
      </w:r>
    </w:p>
    <w:p>
      <w:pPr>
        <w:spacing w:beforeLines="50" w:afterLines="50" w:line="600" w:lineRule="exact"/>
        <w:jc w:val="center"/>
        <w:rPr>
          <w:rFonts w:ascii="宋体" w:hAnsi="宋体" w:eastAsia="宋体"/>
          <w:color w:val="auto"/>
          <w:sz w:val="32"/>
          <w:szCs w:val="32"/>
          <w:highlight w:val="none"/>
        </w:rPr>
      </w:pPr>
      <w:bookmarkStart w:id="98" w:name="_Toc246095476"/>
      <w:bookmarkStart w:id="99" w:name="_Toc246095538"/>
      <w:bookmarkStart w:id="100" w:name="_Toc246094932"/>
      <w:r>
        <w:rPr>
          <w:rFonts w:hint="eastAsia" w:ascii="宋体" w:hAnsi="宋体" w:eastAsia="宋体"/>
          <w:color w:val="auto"/>
          <w:sz w:val="32"/>
          <w:szCs w:val="32"/>
          <w:highlight w:val="none"/>
        </w:rPr>
        <w:t>谈判书</w:t>
      </w:r>
      <w:bookmarkEnd w:id="98"/>
      <w:bookmarkEnd w:id="99"/>
      <w:bookmarkEnd w:id="100"/>
    </w:p>
    <w:p>
      <w:pPr>
        <w:spacing w:after="0" w:line="420" w:lineRule="exact"/>
        <w:rPr>
          <w:rFonts w:ascii="宋体" w:hAnsi="宋体" w:eastAsia="宋体"/>
          <w:color w:val="auto"/>
          <w:sz w:val="24"/>
          <w:highlight w:val="none"/>
          <w:u w:val="single"/>
        </w:rPr>
      </w:pPr>
      <w:r>
        <w:rPr>
          <w:rFonts w:hint="eastAsia" w:ascii="宋体" w:hAnsi="宋体" w:eastAsia="宋体"/>
          <w:color w:val="auto"/>
          <w:sz w:val="24"/>
          <w:highlight w:val="none"/>
        </w:rPr>
        <w:t>致：(采购代理机构)</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根据贵方的</w:t>
      </w:r>
      <w:r>
        <w:rPr>
          <w:rFonts w:hint="eastAsia" w:ascii="宋体" w:hAnsi="宋体" w:eastAsia="宋体" w:cs="Arial"/>
          <w:color w:val="auto"/>
          <w:sz w:val="24"/>
          <w:highlight w:val="none"/>
          <w:u w:val="single"/>
        </w:rPr>
        <w:t xml:space="preserve">   （项目名称） （采购编号：     ）  </w:t>
      </w:r>
      <w:r>
        <w:rPr>
          <w:rFonts w:hint="eastAsia" w:ascii="宋体" w:hAnsi="宋体" w:eastAsia="宋体" w:cs="Arial"/>
          <w:color w:val="auto"/>
          <w:sz w:val="24"/>
          <w:highlight w:val="none"/>
        </w:rPr>
        <w:t>项目政府采购的谈判邀请，我方授权代表</w:t>
      </w:r>
      <w:r>
        <w:rPr>
          <w:rFonts w:hint="eastAsia" w:ascii="宋体" w:hAnsi="宋体" w:eastAsia="宋体" w:cs="Arial"/>
          <w:color w:val="auto"/>
          <w:sz w:val="24"/>
          <w:highlight w:val="none"/>
          <w:u w:val="single"/>
        </w:rPr>
        <w:t xml:space="preserve">         （姓名和职务）</w:t>
      </w:r>
      <w:r>
        <w:rPr>
          <w:rFonts w:hint="eastAsia" w:ascii="宋体" w:hAnsi="宋体" w:eastAsia="宋体" w:cs="Arial"/>
          <w:color w:val="auto"/>
          <w:sz w:val="24"/>
          <w:highlight w:val="none"/>
        </w:rPr>
        <w:t>经正式授权并代表供应商</w:t>
      </w:r>
      <w:r>
        <w:rPr>
          <w:rFonts w:hint="eastAsia" w:ascii="宋体" w:hAnsi="宋体" w:eastAsia="宋体" w:cs="Arial"/>
          <w:color w:val="auto"/>
          <w:sz w:val="24"/>
          <w:highlight w:val="none"/>
          <w:u w:val="single"/>
        </w:rPr>
        <w:t xml:space="preserve">    （供应商名称）   </w:t>
      </w:r>
      <w:r>
        <w:rPr>
          <w:rFonts w:hint="eastAsia" w:ascii="宋体" w:hAnsi="宋体" w:eastAsia="宋体" w:cs="Arial"/>
          <w:color w:val="auto"/>
          <w:sz w:val="24"/>
          <w:highlight w:val="none"/>
        </w:rPr>
        <w:t>提交响应文件正本一份、副本</w:t>
      </w:r>
      <w:r>
        <w:rPr>
          <w:rFonts w:hint="eastAsia" w:ascii="宋体" w:hAnsi="宋体" w:eastAsia="宋体" w:cs="Arial"/>
          <w:color w:val="auto"/>
          <w:sz w:val="24"/>
          <w:highlight w:val="none"/>
          <w:lang w:eastAsia="zh-CN"/>
        </w:rPr>
        <w:t>三</w:t>
      </w:r>
      <w:r>
        <w:rPr>
          <w:rFonts w:hint="eastAsia" w:ascii="宋体" w:hAnsi="宋体" w:eastAsia="宋体" w:cs="Arial"/>
          <w:color w:val="auto"/>
          <w:sz w:val="24"/>
          <w:highlight w:val="none"/>
        </w:rPr>
        <w:t>份。</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在此，授权代表宣布同意如下：</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3．本次响应文件有效期</w:t>
      </w:r>
      <w:r>
        <w:rPr>
          <w:rFonts w:hint="eastAsia" w:ascii="宋体" w:hAnsi="宋体" w:eastAsia="宋体" w:cs="宋体"/>
          <w:color w:val="auto"/>
          <w:sz w:val="24"/>
          <w:highlight w:val="none"/>
        </w:rPr>
        <w:t>自响应文件提交截止之日起天（日历天）</w:t>
      </w:r>
      <w:r>
        <w:rPr>
          <w:rFonts w:hint="eastAsia" w:ascii="宋体" w:hAnsi="宋体" w:eastAsia="宋体" w:cs="Arial"/>
          <w:color w:val="auto"/>
          <w:sz w:val="24"/>
          <w:highlight w:val="none"/>
        </w:rPr>
        <w:t>内。</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4．如成交，供应商将按“竞争性谈判文件”及政府采购法律、法规的规定履行合同责任和义务。</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5．供应商同意按照贵方要求提供与谈判有关的一切数据或资料。</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lang w:val="en-US" w:eastAsia="zh-CN"/>
        </w:rPr>
        <w:t>6</w:t>
      </w:r>
      <w:r>
        <w:rPr>
          <w:rFonts w:hint="eastAsia" w:ascii="宋体" w:hAnsi="宋体" w:eastAsia="宋体" w:cs="Arial"/>
          <w:color w:val="auto"/>
          <w:sz w:val="24"/>
          <w:highlight w:val="none"/>
        </w:rPr>
        <w:t>．与本次谈判有关的一切正式往来信函请寄：</w:t>
      </w:r>
    </w:p>
    <w:p>
      <w:pPr>
        <w:spacing w:after="0" w:line="420" w:lineRule="exact"/>
        <w:ind w:left="1320" w:leftChars="600" w:firstLine="480" w:firstLineChars="200"/>
        <w:rPr>
          <w:rFonts w:ascii="宋体" w:hAnsi="宋体" w:eastAsia="宋体"/>
          <w:color w:val="auto"/>
          <w:sz w:val="24"/>
          <w:highlight w:val="none"/>
        </w:rPr>
      </w:pP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地址：       邮编：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电话：       传真：</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日期：  年  月  日</w:t>
      </w:r>
    </w:p>
    <w:p>
      <w:pPr>
        <w:spacing w:after="0" w:line="420" w:lineRule="exact"/>
        <w:ind w:left="1320" w:leftChars="600" w:firstLine="480" w:firstLineChars="200"/>
        <w:rPr>
          <w:rFonts w:ascii="宋体" w:hAnsi="宋体" w:eastAsia="宋体"/>
          <w:color w:val="auto"/>
          <w:sz w:val="24"/>
          <w:highlight w:val="none"/>
        </w:rPr>
      </w:pPr>
    </w:p>
    <w:p>
      <w:pPr>
        <w:spacing w:line="360" w:lineRule="auto"/>
        <w:ind w:firstLine="440" w:firstLineChars="200"/>
        <w:rPr>
          <w:rFonts w:ascii="宋体" w:hAnsi="宋体" w:eastAsia="宋体"/>
          <w:color w:val="auto"/>
          <w:sz w:val="32"/>
          <w:szCs w:val="32"/>
          <w:highlight w:val="none"/>
        </w:rPr>
      </w:pPr>
      <w:bookmarkStart w:id="101" w:name="_Toc405196519"/>
      <w:r>
        <w:rPr>
          <w:rFonts w:hint="eastAsia" w:ascii="宋体" w:hAnsi="宋体" w:eastAsia="宋体"/>
          <w:color w:val="auto"/>
          <w:highlight w:val="none"/>
        </w:rPr>
        <w:br w:type="page"/>
      </w:r>
      <w:bookmarkEnd w:id="101"/>
      <w:r>
        <w:rPr>
          <w:rFonts w:hint="eastAsia" w:ascii="宋体" w:hAnsi="宋体" w:eastAsia="宋体"/>
          <w:b/>
          <w:color w:val="auto"/>
          <w:sz w:val="24"/>
          <w:highlight w:val="none"/>
        </w:rPr>
        <w:t>附件三：</w:t>
      </w:r>
    </w:p>
    <w:p>
      <w:pPr>
        <w:spacing w:beforeLines="50" w:afterLines="50" w:line="600" w:lineRule="exact"/>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竞标声明书</w:t>
      </w:r>
    </w:p>
    <w:p>
      <w:pPr>
        <w:spacing w:after="0" w:line="400" w:lineRule="exact"/>
        <w:rPr>
          <w:rFonts w:ascii="宋体" w:hAnsi="宋体" w:eastAsia="宋体"/>
          <w:color w:val="auto"/>
          <w:sz w:val="24"/>
          <w:highlight w:val="none"/>
        </w:rPr>
      </w:pPr>
    </w:p>
    <w:p>
      <w:pPr>
        <w:spacing w:after="0" w:line="400" w:lineRule="exact"/>
        <w:rPr>
          <w:rFonts w:ascii="宋体" w:hAnsi="宋体" w:eastAsia="宋体"/>
          <w:color w:val="auto"/>
          <w:sz w:val="24"/>
          <w:szCs w:val="20"/>
          <w:highlight w:val="none"/>
        </w:rPr>
      </w:pPr>
      <w:r>
        <w:rPr>
          <w:rFonts w:hint="eastAsia" w:ascii="宋体" w:hAnsi="宋体" w:eastAsia="宋体"/>
          <w:color w:val="auto"/>
          <w:sz w:val="24"/>
          <w:highlight w:val="none"/>
        </w:rPr>
        <w:t>致：(采购代理机构)</w:t>
      </w:r>
    </w:p>
    <w:p>
      <w:pPr>
        <w:spacing w:after="0" w:line="400" w:lineRule="exact"/>
        <w:ind w:firstLine="720" w:firstLineChars="300"/>
        <w:rPr>
          <w:rFonts w:ascii="宋体" w:hAnsi="宋体" w:eastAsia="宋体"/>
          <w:color w:val="auto"/>
          <w:sz w:val="24"/>
          <w:szCs w:val="20"/>
          <w:highlight w:val="none"/>
        </w:rPr>
      </w:pP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系中华人民共和国合法企业，经营地址：。</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我</w:t>
      </w:r>
      <w:r>
        <w:rPr>
          <w:rFonts w:hint="eastAsia" w:ascii="宋体" w:hAnsi="宋体" w:eastAsia="宋体"/>
          <w:color w:val="auto"/>
          <w:sz w:val="24"/>
          <w:highlight w:val="none"/>
          <w:u w:val="single"/>
        </w:rPr>
        <w:t>（姓名）</w:t>
      </w:r>
      <w:r>
        <w:rPr>
          <w:rFonts w:hint="eastAsia" w:ascii="宋体" w:hAnsi="宋体" w:eastAsia="宋体"/>
          <w:color w:val="auto"/>
          <w:sz w:val="24"/>
          <w:highlight w:val="none"/>
        </w:rPr>
        <w:t>系</w:t>
      </w: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的法定代表人，我方愿意参加贵方组织的</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）的竞标，为便于贵方公正、择优地确定成交人及其服务，我方就本次竞标有关事项郑重声明如下：</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1.我方向贵方提交的所有响应文件、资料都是准确的和真实的。</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宋体" w:hAnsi="宋体" w:eastAsia="宋体"/>
          <w:color w:val="auto"/>
          <w:sz w:val="24"/>
          <w:szCs w:val="20"/>
          <w:highlight w:val="none"/>
        </w:rPr>
      </w:pPr>
      <w:r>
        <w:rPr>
          <w:rFonts w:ascii="宋体" w:hAnsi="宋体" w:eastAsia="宋体"/>
          <w:color w:val="auto"/>
          <w:sz w:val="24"/>
          <w:szCs w:val="20"/>
          <w:highlight w:val="none"/>
        </w:rPr>
        <w:t>3</w:t>
      </w:r>
      <w:r>
        <w:rPr>
          <w:rFonts w:hint="eastAsia" w:ascii="宋体" w:hAnsi="宋体" w:eastAsia="宋体"/>
          <w:color w:val="auto"/>
          <w:sz w:val="24"/>
          <w:szCs w:val="20"/>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内容中</w:t>
      </w:r>
      <w:r>
        <w:rPr>
          <w:rFonts w:hint="eastAsia" w:ascii="宋体" w:hAnsi="宋体" w:eastAsia="宋体"/>
          <w:color w:val="auto"/>
          <w:sz w:val="24"/>
          <w:szCs w:val="20"/>
          <w:highlight w:val="none"/>
        </w:rPr>
        <w:t>未</w:t>
      </w:r>
      <w:r>
        <w:rPr>
          <w:rFonts w:hint="eastAsia" w:ascii="宋体" w:hAnsi="宋体" w:eastAsia="宋体" w:cs="宋体"/>
          <w:color w:val="auto"/>
          <w:sz w:val="24"/>
          <w:highlight w:val="none"/>
        </w:rPr>
        <w:t>涉及商业秘密；</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涉及商业秘密的内容有：；</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.我方在此声明，完全符合《中华人民共和国政府采购法》第二十二条规定的供应商资格条件，我方对此声明负全部法律责任。</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highlight w:val="none"/>
          <w:lang w:val="zh-CN"/>
        </w:rPr>
        <w:t>5.以上事项如有虚假或隐瞒，我方愿意承担一切后果，并不再寻求任何旨在减轻或免除法律责任的辩解。</w:t>
      </w:r>
    </w:p>
    <w:p>
      <w:pPr>
        <w:spacing w:after="0" w:line="400" w:lineRule="exact"/>
        <w:ind w:firstLine="480" w:firstLineChars="200"/>
        <w:rPr>
          <w:rFonts w:ascii="宋体" w:hAnsi="宋体" w:eastAsia="宋体"/>
          <w:color w:val="auto"/>
          <w:sz w:val="24"/>
          <w:szCs w:val="20"/>
          <w:highlight w:val="none"/>
          <w:u w:val="single"/>
        </w:rPr>
      </w:pPr>
    </w:p>
    <w:p>
      <w:pPr>
        <w:spacing w:line="400" w:lineRule="exact"/>
        <w:ind w:firstLine="5476" w:firstLineChars="2282"/>
        <w:rPr>
          <w:rFonts w:ascii="宋体" w:hAnsi="宋体" w:eastAsia="宋体"/>
          <w:color w:val="auto"/>
          <w:sz w:val="24"/>
          <w:highlight w:val="none"/>
        </w:rPr>
      </w:pPr>
    </w:p>
    <w:p>
      <w:pPr>
        <w:spacing w:line="4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400" w:lineRule="exact"/>
        <w:ind w:firstLine="3720" w:firstLineChars="1550"/>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p>
    <w:p>
      <w:pPr>
        <w:spacing w:line="4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日期：  年  月  日</w:t>
      </w:r>
    </w:p>
    <w:p>
      <w:pPr>
        <w:adjustRightInd/>
        <w:snapToGrid/>
        <w:spacing w:line="220" w:lineRule="atLeast"/>
        <w:rPr>
          <w:rFonts w:ascii="宋体" w:hAnsi="宋体" w:eastAsia="宋体"/>
          <w:b/>
          <w:color w:val="auto"/>
          <w:sz w:val="24"/>
          <w:highlight w:val="none"/>
        </w:rPr>
      </w:pPr>
      <w:r>
        <w:rPr>
          <w:rFonts w:ascii="宋体" w:hAnsi="宋体" w:eastAsia="宋体"/>
          <w:b/>
          <w:color w:val="auto"/>
          <w:sz w:val="24"/>
          <w:highlight w:val="none"/>
        </w:rPr>
        <w:br w:type="page"/>
      </w:r>
    </w:p>
    <w:p>
      <w:pPr>
        <w:spacing w:line="300" w:lineRule="auto"/>
        <w:ind w:left="-92" w:leftChars="-42"/>
        <w:rPr>
          <w:rFonts w:ascii="宋体" w:hAnsi="宋体" w:eastAsia="宋体"/>
          <w:b/>
          <w:color w:val="auto"/>
          <w:sz w:val="24"/>
          <w:highlight w:val="none"/>
        </w:rPr>
      </w:pPr>
      <w:r>
        <w:rPr>
          <w:rFonts w:hint="eastAsia" w:ascii="宋体" w:hAnsi="宋体" w:eastAsia="宋体"/>
          <w:b/>
          <w:color w:val="auto"/>
          <w:sz w:val="24"/>
          <w:highlight w:val="none"/>
        </w:rPr>
        <w:t>附件四：</w:t>
      </w:r>
    </w:p>
    <w:p>
      <w:pPr>
        <w:spacing w:beforeLines="50" w:afterLines="50" w:line="600" w:lineRule="exact"/>
        <w:jc w:val="center"/>
        <w:rPr>
          <w:rFonts w:ascii="宋体" w:hAnsi="宋体" w:eastAsia="宋体"/>
          <w:color w:val="auto"/>
          <w:sz w:val="32"/>
          <w:szCs w:val="32"/>
          <w:highlight w:val="none"/>
        </w:rPr>
      </w:pPr>
      <w:r>
        <w:rPr>
          <w:rFonts w:hint="eastAsia" w:ascii="宋体" w:hAnsi="宋体" w:eastAsia="宋体"/>
          <w:b/>
          <w:color w:val="auto"/>
          <w:sz w:val="32"/>
          <w:szCs w:val="32"/>
          <w:highlight w:val="none"/>
        </w:rPr>
        <w:t>技术响应、偏离情况说明表</w:t>
      </w:r>
    </w:p>
    <w:p>
      <w:pPr>
        <w:spacing w:after="0" w:line="360" w:lineRule="exact"/>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spacing w:after="0" w:line="360" w:lineRule="exact"/>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分标（有分标时填写）</w:t>
      </w:r>
    </w:p>
    <w:tbl>
      <w:tblPr>
        <w:tblStyle w:val="38"/>
        <w:tblW w:w="9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825"/>
        <w:gridCol w:w="1825"/>
        <w:gridCol w:w="1825"/>
        <w:gridCol w:w="1826"/>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after="0" w:line="360" w:lineRule="exact"/>
              <w:rPr>
                <w:rFonts w:ascii="宋体" w:hAnsi="宋体" w:eastAsia="宋体"/>
                <w:color w:val="auto"/>
                <w:sz w:val="24"/>
                <w:highlight w:val="none"/>
              </w:rPr>
            </w:pPr>
            <w:bookmarkStart w:id="102" w:name="_Toc254970729"/>
            <w:bookmarkStart w:id="103" w:name="_Toc383699906"/>
            <w:bookmarkStart w:id="104" w:name="_Toc373333689"/>
            <w:bookmarkStart w:id="105" w:name="_Toc295404981"/>
            <w:bookmarkStart w:id="106" w:name="_Toc254970588"/>
            <w:bookmarkStart w:id="107" w:name="_Toc297193185"/>
            <w:bookmarkStart w:id="108" w:name="_Toc173066401"/>
            <w:bookmarkStart w:id="109" w:name="_Toc301781611"/>
            <w:bookmarkStart w:id="110" w:name="_Toc173211900"/>
            <w:r>
              <w:rPr>
                <w:rFonts w:hint="eastAsia" w:ascii="宋体" w:hAnsi="宋体" w:eastAsia="宋体"/>
                <w:color w:val="auto"/>
                <w:sz w:val="24"/>
                <w:highlight w:val="none"/>
              </w:rPr>
              <w:t>序号</w:t>
            </w:r>
            <w:bookmarkEnd w:id="102"/>
            <w:bookmarkEnd w:id="103"/>
            <w:bookmarkEnd w:id="104"/>
            <w:bookmarkEnd w:id="105"/>
            <w:bookmarkEnd w:id="106"/>
            <w:bookmarkEnd w:id="107"/>
            <w:bookmarkEnd w:id="108"/>
            <w:bookmarkEnd w:id="109"/>
            <w:bookmarkEnd w:id="110"/>
          </w:p>
        </w:tc>
        <w:tc>
          <w:tcPr>
            <w:tcW w:w="1825" w:type="dxa"/>
            <w:tcBorders>
              <w:right w:val="single" w:color="auto" w:sz="4" w:space="0"/>
            </w:tcBorders>
            <w:vAlign w:val="center"/>
          </w:tcPr>
          <w:p>
            <w:pPr>
              <w:spacing w:after="0" w:line="360" w:lineRule="exact"/>
              <w:jc w:val="center"/>
              <w:rPr>
                <w:rFonts w:ascii="宋体" w:hAnsi="宋体" w:eastAsia="宋体"/>
                <w:color w:val="auto"/>
                <w:sz w:val="24"/>
                <w:highlight w:val="none"/>
              </w:rPr>
            </w:pPr>
            <w:r>
              <w:rPr>
                <w:rFonts w:hint="eastAsia" w:ascii="宋体" w:hAnsi="宋体" w:eastAsia="宋体"/>
                <w:color w:val="auto"/>
                <w:sz w:val="24"/>
                <w:highlight w:val="none"/>
              </w:rPr>
              <w:t>货物或产品名称</w:t>
            </w:r>
          </w:p>
        </w:tc>
        <w:tc>
          <w:tcPr>
            <w:tcW w:w="1825" w:type="dxa"/>
            <w:tcBorders>
              <w:left w:val="single" w:color="auto" w:sz="4" w:space="0"/>
            </w:tcBorders>
            <w:vAlign w:val="center"/>
          </w:tcPr>
          <w:p>
            <w:pPr>
              <w:spacing w:after="0" w:line="360" w:lineRule="exact"/>
              <w:jc w:val="center"/>
              <w:rPr>
                <w:rFonts w:ascii="宋体" w:hAnsi="宋体" w:eastAsia="宋体"/>
                <w:color w:val="auto"/>
                <w:sz w:val="24"/>
                <w:highlight w:val="none"/>
              </w:rPr>
            </w:pPr>
            <w:bookmarkStart w:id="111" w:name="_Toc173066402"/>
            <w:bookmarkStart w:id="112" w:name="_Toc301781612"/>
            <w:bookmarkStart w:id="113" w:name="_Toc383699907"/>
            <w:bookmarkStart w:id="114" w:name="_Toc254970589"/>
            <w:bookmarkStart w:id="115" w:name="_Toc295404982"/>
            <w:bookmarkStart w:id="116" w:name="_Toc297193186"/>
            <w:bookmarkStart w:id="117" w:name="_Toc254970730"/>
            <w:bookmarkStart w:id="118" w:name="_Toc173211901"/>
            <w:bookmarkStart w:id="119" w:name="_Toc373333690"/>
            <w:r>
              <w:rPr>
                <w:rFonts w:hint="eastAsia" w:ascii="宋体" w:hAnsi="宋体" w:eastAsia="宋体"/>
                <w:color w:val="auto"/>
                <w:sz w:val="24"/>
                <w:highlight w:val="none"/>
              </w:rPr>
              <w:t>竞争性谈判文件要求</w:t>
            </w:r>
            <w:bookmarkEnd w:id="111"/>
            <w:bookmarkEnd w:id="112"/>
            <w:bookmarkEnd w:id="113"/>
            <w:bookmarkEnd w:id="114"/>
            <w:bookmarkEnd w:id="115"/>
            <w:bookmarkEnd w:id="116"/>
            <w:bookmarkEnd w:id="117"/>
            <w:bookmarkEnd w:id="118"/>
            <w:bookmarkEnd w:id="119"/>
          </w:p>
        </w:tc>
        <w:tc>
          <w:tcPr>
            <w:tcW w:w="1825" w:type="dxa"/>
            <w:vAlign w:val="center"/>
          </w:tcPr>
          <w:p>
            <w:pPr>
              <w:spacing w:after="0" w:line="360" w:lineRule="exact"/>
              <w:jc w:val="center"/>
              <w:rPr>
                <w:rFonts w:ascii="宋体" w:hAnsi="宋体" w:eastAsia="宋体"/>
                <w:color w:val="auto"/>
                <w:sz w:val="24"/>
                <w:highlight w:val="none"/>
              </w:rPr>
            </w:pPr>
            <w:bookmarkStart w:id="120" w:name="_Toc383699908"/>
            <w:bookmarkStart w:id="121" w:name="_Toc254970590"/>
            <w:bookmarkStart w:id="122" w:name="_Toc373333691"/>
            <w:bookmarkStart w:id="123" w:name="_Toc297193187"/>
            <w:bookmarkStart w:id="124" w:name="_Toc295404983"/>
            <w:bookmarkStart w:id="125" w:name="_Toc173066403"/>
            <w:bookmarkStart w:id="126" w:name="_Toc173211902"/>
            <w:bookmarkStart w:id="127" w:name="_Toc301781613"/>
            <w:bookmarkStart w:id="128" w:name="_Toc254970731"/>
            <w:r>
              <w:rPr>
                <w:rFonts w:hint="eastAsia" w:ascii="宋体" w:hAnsi="宋体" w:eastAsia="宋体"/>
                <w:color w:val="auto"/>
                <w:sz w:val="24"/>
                <w:highlight w:val="none"/>
              </w:rPr>
              <w:t>响应文件响应</w:t>
            </w:r>
            <w:bookmarkEnd w:id="120"/>
            <w:bookmarkEnd w:id="121"/>
            <w:bookmarkEnd w:id="122"/>
            <w:bookmarkEnd w:id="123"/>
            <w:bookmarkEnd w:id="124"/>
            <w:bookmarkEnd w:id="125"/>
            <w:bookmarkEnd w:id="126"/>
            <w:bookmarkEnd w:id="127"/>
            <w:bookmarkEnd w:id="128"/>
            <w:r>
              <w:rPr>
                <w:rFonts w:hint="eastAsia" w:ascii="宋体" w:hAnsi="宋体" w:eastAsia="宋体"/>
                <w:color w:val="auto"/>
                <w:sz w:val="24"/>
                <w:highlight w:val="none"/>
              </w:rPr>
              <w:t>内容（</w:t>
            </w:r>
            <w:r>
              <w:rPr>
                <w:rFonts w:hint="eastAsia" w:ascii="宋体" w:hAnsi="宋体" w:eastAsia="宋体"/>
                <w:bCs/>
                <w:color w:val="auto"/>
                <w:sz w:val="24"/>
                <w:highlight w:val="none"/>
              </w:rPr>
              <w:t>货物的技术参数、性能指标承诺）</w:t>
            </w:r>
          </w:p>
        </w:tc>
        <w:tc>
          <w:tcPr>
            <w:tcW w:w="1826" w:type="dxa"/>
            <w:vAlign w:val="center"/>
          </w:tcPr>
          <w:p>
            <w:pPr>
              <w:spacing w:after="0" w:line="360" w:lineRule="exact"/>
              <w:jc w:val="center"/>
              <w:rPr>
                <w:rFonts w:ascii="宋体" w:hAnsi="宋体" w:eastAsia="宋体"/>
                <w:color w:val="auto"/>
                <w:sz w:val="24"/>
                <w:highlight w:val="none"/>
              </w:rPr>
            </w:pPr>
            <w:bookmarkStart w:id="129" w:name="_Toc373333692"/>
            <w:bookmarkStart w:id="130" w:name="_Toc173066404"/>
            <w:bookmarkStart w:id="131" w:name="_Toc301781614"/>
            <w:bookmarkStart w:id="132" w:name="_Toc254970732"/>
            <w:bookmarkStart w:id="133" w:name="_Toc297193188"/>
            <w:bookmarkStart w:id="134" w:name="_Toc173211903"/>
            <w:bookmarkStart w:id="135" w:name="_Toc383699909"/>
            <w:bookmarkStart w:id="136" w:name="_Toc254970591"/>
            <w:bookmarkStart w:id="137" w:name="_Toc295404984"/>
            <w:r>
              <w:rPr>
                <w:rFonts w:hint="eastAsia" w:ascii="宋体" w:hAnsi="宋体" w:eastAsia="宋体"/>
                <w:color w:val="auto"/>
                <w:sz w:val="24"/>
                <w:highlight w:val="none"/>
              </w:rPr>
              <w:t>偏离</w:t>
            </w:r>
            <w:bookmarkEnd w:id="129"/>
            <w:bookmarkEnd w:id="130"/>
            <w:bookmarkEnd w:id="131"/>
            <w:bookmarkEnd w:id="132"/>
            <w:bookmarkEnd w:id="133"/>
            <w:bookmarkEnd w:id="134"/>
            <w:bookmarkEnd w:id="135"/>
            <w:bookmarkEnd w:id="136"/>
            <w:bookmarkEnd w:id="137"/>
            <w:r>
              <w:rPr>
                <w:rFonts w:hint="eastAsia" w:ascii="宋体" w:hAnsi="宋体" w:eastAsia="宋体"/>
                <w:color w:val="auto"/>
                <w:sz w:val="24"/>
                <w:highlight w:val="none"/>
              </w:rPr>
              <w:t>说明</w:t>
            </w:r>
          </w:p>
        </w:tc>
        <w:tc>
          <w:tcPr>
            <w:tcW w:w="1284" w:type="dxa"/>
            <w:vAlign w:val="center"/>
          </w:tcPr>
          <w:p>
            <w:pPr>
              <w:spacing w:after="0" w:line="360" w:lineRule="exact"/>
              <w:jc w:val="center"/>
              <w:rPr>
                <w:rFonts w:ascii="宋体" w:hAnsi="宋体" w:eastAsia="宋体"/>
                <w:color w:val="auto"/>
                <w:sz w:val="24"/>
                <w:highlight w:val="none"/>
              </w:rPr>
            </w:pPr>
            <w:r>
              <w:rPr>
                <w:rFonts w:hint="eastAsia" w:ascii="宋体" w:hAnsi="宋体" w:eastAsia="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color w:val="auto"/>
                <w:sz w:val="24"/>
                <w:highlight w:val="none"/>
              </w:rPr>
            </w:pPr>
            <w:bookmarkStart w:id="138" w:name="_Toc254970593"/>
            <w:bookmarkStart w:id="139" w:name="_Toc301781616"/>
            <w:bookmarkStart w:id="140" w:name="_Toc373333694"/>
            <w:bookmarkStart w:id="141" w:name="_Toc295404986"/>
            <w:bookmarkStart w:id="142" w:name="_Toc173066406"/>
            <w:bookmarkStart w:id="143" w:name="_Toc383699911"/>
            <w:bookmarkStart w:id="144" w:name="_Toc254970734"/>
            <w:bookmarkStart w:id="145" w:name="_Toc297193190"/>
            <w:bookmarkStart w:id="146" w:name="_Toc173211905"/>
            <w:r>
              <w:rPr>
                <w:rFonts w:hint="eastAsia" w:ascii="宋体" w:hAnsi="宋体" w:eastAsia="宋体"/>
                <w:color w:val="auto"/>
                <w:sz w:val="24"/>
                <w:highlight w:val="none"/>
              </w:rPr>
              <w:t>1</w:t>
            </w:r>
            <w:bookmarkEnd w:id="138"/>
            <w:bookmarkEnd w:id="139"/>
            <w:bookmarkEnd w:id="140"/>
            <w:bookmarkEnd w:id="141"/>
            <w:bookmarkEnd w:id="142"/>
            <w:bookmarkEnd w:id="143"/>
            <w:bookmarkEnd w:id="144"/>
            <w:bookmarkEnd w:id="145"/>
            <w:bookmarkEnd w:id="146"/>
          </w:p>
        </w:tc>
        <w:tc>
          <w:tcPr>
            <w:tcW w:w="1825" w:type="dxa"/>
            <w:tcBorders>
              <w:right w:val="single" w:color="auto" w:sz="4" w:space="0"/>
            </w:tcBorders>
            <w:vAlign w:val="center"/>
          </w:tcPr>
          <w:p>
            <w:pPr>
              <w:spacing w:line="300" w:lineRule="auto"/>
              <w:rPr>
                <w:rFonts w:ascii="宋体" w:hAnsi="宋体" w:eastAsia="宋体"/>
                <w:color w:val="auto"/>
                <w:sz w:val="24"/>
                <w:highlight w:val="none"/>
              </w:rPr>
            </w:pPr>
          </w:p>
        </w:tc>
        <w:tc>
          <w:tcPr>
            <w:tcW w:w="1825" w:type="dxa"/>
            <w:tcBorders>
              <w:left w:val="single" w:color="auto" w:sz="4" w:space="0"/>
            </w:tcBorders>
            <w:vAlign w:val="center"/>
          </w:tcPr>
          <w:p>
            <w:pPr>
              <w:spacing w:line="300" w:lineRule="auto"/>
              <w:rPr>
                <w:rFonts w:ascii="宋体" w:hAnsi="宋体" w:eastAsia="宋体"/>
                <w:color w:val="auto"/>
                <w:sz w:val="24"/>
                <w:highlight w:val="none"/>
              </w:rPr>
            </w:pPr>
          </w:p>
        </w:tc>
        <w:tc>
          <w:tcPr>
            <w:tcW w:w="1825" w:type="dxa"/>
            <w:vAlign w:val="center"/>
          </w:tcPr>
          <w:p>
            <w:pPr>
              <w:spacing w:line="300" w:lineRule="auto"/>
              <w:rPr>
                <w:rFonts w:ascii="宋体" w:hAnsi="宋体" w:eastAsia="宋体"/>
                <w:color w:val="auto"/>
                <w:sz w:val="24"/>
                <w:highlight w:val="none"/>
              </w:rPr>
            </w:pPr>
          </w:p>
        </w:tc>
        <w:tc>
          <w:tcPr>
            <w:tcW w:w="1826" w:type="dxa"/>
            <w:vAlign w:val="center"/>
          </w:tcPr>
          <w:p>
            <w:pPr>
              <w:spacing w:line="300" w:lineRule="auto"/>
              <w:rPr>
                <w:rFonts w:ascii="宋体" w:hAnsi="宋体" w:eastAsia="宋体"/>
                <w:color w:val="auto"/>
                <w:sz w:val="24"/>
                <w:highlight w:val="none"/>
              </w:rPr>
            </w:pPr>
          </w:p>
        </w:tc>
        <w:tc>
          <w:tcPr>
            <w:tcW w:w="1284" w:type="dxa"/>
            <w:vAlign w:val="center"/>
          </w:tcPr>
          <w:p>
            <w:pPr>
              <w:spacing w:line="300" w:lineRule="auto"/>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color w:val="auto"/>
                <w:sz w:val="24"/>
                <w:highlight w:val="none"/>
              </w:rPr>
            </w:pPr>
            <w:bookmarkStart w:id="147" w:name="_Toc254970735"/>
            <w:bookmarkStart w:id="148" w:name="_Toc297193191"/>
            <w:bookmarkStart w:id="149" w:name="_Toc173211906"/>
            <w:bookmarkStart w:id="150" w:name="_Toc173066407"/>
            <w:bookmarkStart w:id="151" w:name="_Toc254970594"/>
            <w:bookmarkStart w:id="152" w:name="_Toc295404987"/>
            <w:bookmarkStart w:id="153" w:name="_Toc383699912"/>
            <w:bookmarkStart w:id="154" w:name="_Toc301781617"/>
            <w:bookmarkStart w:id="155" w:name="_Toc373333695"/>
            <w:r>
              <w:rPr>
                <w:rFonts w:hint="eastAsia" w:ascii="宋体" w:hAnsi="宋体" w:eastAsia="宋体"/>
                <w:color w:val="auto"/>
                <w:sz w:val="24"/>
                <w:highlight w:val="none"/>
              </w:rPr>
              <w:t>2</w:t>
            </w:r>
            <w:bookmarkEnd w:id="147"/>
            <w:bookmarkEnd w:id="148"/>
            <w:bookmarkEnd w:id="149"/>
            <w:bookmarkEnd w:id="150"/>
            <w:bookmarkEnd w:id="151"/>
            <w:bookmarkEnd w:id="152"/>
            <w:bookmarkEnd w:id="153"/>
            <w:bookmarkEnd w:id="154"/>
            <w:bookmarkEnd w:id="155"/>
          </w:p>
        </w:tc>
        <w:tc>
          <w:tcPr>
            <w:tcW w:w="1825" w:type="dxa"/>
            <w:tcBorders>
              <w:right w:val="single" w:color="auto" w:sz="4" w:space="0"/>
            </w:tcBorders>
            <w:vAlign w:val="center"/>
          </w:tcPr>
          <w:p>
            <w:pPr>
              <w:spacing w:line="300" w:lineRule="auto"/>
              <w:rPr>
                <w:rFonts w:ascii="宋体" w:hAnsi="宋体" w:eastAsia="宋体"/>
                <w:color w:val="auto"/>
                <w:sz w:val="24"/>
                <w:highlight w:val="none"/>
              </w:rPr>
            </w:pPr>
          </w:p>
        </w:tc>
        <w:tc>
          <w:tcPr>
            <w:tcW w:w="1825" w:type="dxa"/>
            <w:tcBorders>
              <w:left w:val="single" w:color="auto" w:sz="4" w:space="0"/>
            </w:tcBorders>
            <w:vAlign w:val="center"/>
          </w:tcPr>
          <w:p>
            <w:pPr>
              <w:spacing w:line="300" w:lineRule="auto"/>
              <w:rPr>
                <w:rFonts w:ascii="宋体" w:hAnsi="宋体" w:eastAsia="宋体"/>
                <w:color w:val="auto"/>
                <w:sz w:val="24"/>
                <w:highlight w:val="none"/>
              </w:rPr>
            </w:pPr>
          </w:p>
        </w:tc>
        <w:tc>
          <w:tcPr>
            <w:tcW w:w="1825" w:type="dxa"/>
            <w:vAlign w:val="center"/>
          </w:tcPr>
          <w:p>
            <w:pPr>
              <w:spacing w:line="300" w:lineRule="auto"/>
              <w:rPr>
                <w:rFonts w:ascii="宋体" w:hAnsi="宋体" w:eastAsia="宋体"/>
                <w:color w:val="auto"/>
                <w:sz w:val="24"/>
                <w:highlight w:val="none"/>
              </w:rPr>
            </w:pPr>
          </w:p>
        </w:tc>
        <w:tc>
          <w:tcPr>
            <w:tcW w:w="1826" w:type="dxa"/>
            <w:vAlign w:val="center"/>
          </w:tcPr>
          <w:p>
            <w:pPr>
              <w:spacing w:line="300" w:lineRule="auto"/>
              <w:rPr>
                <w:rFonts w:ascii="宋体" w:hAnsi="宋体" w:eastAsia="宋体"/>
                <w:color w:val="auto"/>
                <w:sz w:val="24"/>
                <w:highlight w:val="none"/>
              </w:rPr>
            </w:pPr>
          </w:p>
        </w:tc>
        <w:tc>
          <w:tcPr>
            <w:tcW w:w="1284" w:type="dxa"/>
            <w:vAlign w:val="center"/>
          </w:tcPr>
          <w:p>
            <w:pPr>
              <w:spacing w:line="300" w:lineRule="auto"/>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color w:val="auto"/>
                <w:sz w:val="24"/>
                <w:highlight w:val="none"/>
              </w:rPr>
            </w:pPr>
            <w:bookmarkStart w:id="156" w:name="_Toc295404988"/>
            <w:bookmarkStart w:id="157" w:name="_Toc254970736"/>
            <w:bookmarkStart w:id="158" w:name="_Toc373333696"/>
            <w:bookmarkStart w:id="159" w:name="_Toc297193192"/>
            <w:bookmarkStart w:id="160" w:name="_Toc254970595"/>
            <w:bookmarkStart w:id="161" w:name="_Toc301781618"/>
            <w:bookmarkStart w:id="162" w:name="_Toc173066408"/>
            <w:bookmarkStart w:id="163" w:name="_Toc173211907"/>
            <w:bookmarkStart w:id="164" w:name="_Toc383699913"/>
            <w:r>
              <w:rPr>
                <w:rFonts w:hint="eastAsia" w:ascii="宋体" w:hAnsi="宋体" w:eastAsia="宋体"/>
                <w:color w:val="auto"/>
                <w:sz w:val="24"/>
                <w:highlight w:val="none"/>
              </w:rPr>
              <w:t>3</w:t>
            </w:r>
            <w:bookmarkEnd w:id="156"/>
            <w:bookmarkEnd w:id="157"/>
            <w:bookmarkEnd w:id="158"/>
            <w:bookmarkEnd w:id="159"/>
            <w:bookmarkEnd w:id="160"/>
            <w:bookmarkEnd w:id="161"/>
            <w:bookmarkEnd w:id="162"/>
            <w:bookmarkEnd w:id="163"/>
            <w:bookmarkEnd w:id="164"/>
          </w:p>
        </w:tc>
        <w:tc>
          <w:tcPr>
            <w:tcW w:w="1825" w:type="dxa"/>
            <w:tcBorders>
              <w:right w:val="single" w:color="auto" w:sz="4" w:space="0"/>
            </w:tcBorders>
            <w:vAlign w:val="center"/>
          </w:tcPr>
          <w:p>
            <w:pPr>
              <w:spacing w:line="300" w:lineRule="auto"/>
              <w:rPr>
                <w:rFonts w:ascii="宋体" w:hAnsi="宋体" w:eastAsia="宋体"/>
                <w:color w:val="auto"/>
                <w:sz w:val="24"/>
                <w:highlight w:val="none"/>
              </w:rPr>
            </w:pPr>
          </w:p>
        </w:tc>
        <w:tc>
          <w:tcPr>
            <w:tcW w:w="1825" w:type="dxa"/>
            <w:tcBorders>
              <w:left w:val="single" w:color="auto" w:sz="4" w:space="0"/>
            </w:tcBorders>
            <w:vAlign w:val="center"/>
          </w:tcPr>
          <w:p>
            <w:pPr>
              <w:spacing w:line="300" w:lineRule="auto"/>
              <w:rPr>
                <w:rFonts w:ascii="宋体" w:hAnsi="宋体" w:eastAsia="宋体"/>
                <w:color w:val="auto"/>
                <w:sz w:val="24"/>
                <w:highlight w:val="none"/>
              </w:rPr>
            </w:pPr>
          </w:p>
        </w:tc>
        <w:tc>
          <w:tcPr>
            <w:tcW w:w="1825" w:type="dxa"/>
            <w:vAlign w:val="center"/>
          </w:tcPr>
          <w:p>
            <w:pPr>
              <w:spacing w:line="300" w:lineRule="auto"/>
              <w:rPr>
                <w:rFonts w:ascii="宋体" w:hAnsi="宋体" w:eastAsia="宋体"/>
                <w:color w:val="auto"/>
                <w:sz w:val="24"/>
                <w:highlight w:val="none"/>
              </w:rPr>
            </w:pPr>
          </w:p>
        </w:tc>
        <w:tc>
          <w:tcPr>
            <w:tcW w:w="1826" w:type="dxa"/>
            <w:vAlign w:val="center"/>
          </w:tcPr>
          <w:p>
            <w:pPr>
              <w:spacing w:line="300" w:lineRule="auto"/>
              <w:rPr>
                <w:rFonts w:ascii="宋体" w:hAnsi="宋体" w:eastAsia="宋体"/>
                <w:color w:val="auto"/>
                <w:sz w:val="24"/>
                <w:highlight w:val="none"/>
              </w:rPr>
            </w:pPr>
          </w:p>
        </w:tc>
        <w:tc>
          <w:tcPr>
            <w:tcW w:w="1284" w:type="dxa"/>
            <w:vAlign w:val="center"/>
          </w:tcPr>
          <w:p>
            <w:pPr>
              <w:spacing w:line="300" w:lineRule="auto"/>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color w:val="auto"/>
                <w:sz w:val="24"/>
                <w:highlight w:val="none"/>
              </w:rPr>
            </w:pPr>
            <w:bookmarkStart w:id="165" w:name="_Toc301781619"/>
            <w:bookmarkStart w:id="166" w:name="_Toc297193193"/>
            <w:bookmarkStart w:id="167" w:name="_Toc173211908"/>
            <w:bookmarkStart w:id="168" w:name="_Toc295404989"/>
            <w:bookmarkStart w:id="169" w:name="_Toc173066409"/>
            <w:bookmarkStart w:id="170" w:name="_Toc254970596"/>
            <w:bookmarkStart w:id="171" w:name="_Toc383699914"/>
            <w:bookmarkStart w:id="172" w:name="_Toc373333697"/>
            <w:bookmarkStart w:id="173" w:name="_Toc254970737"/>
            <w:r>
              <w:rPr>
                <w:rFonts w:hint="eastAsia" w:ascii="宋体" w:hAnsi="宋体" w:eastAsia="宋体"/>
                <w:color w:val="auto"/>
                <w:sz w:val="24"/>
                <w:highlight w:val="none"/>
              </w:rPr>
              <w:t>4</w:t>
            </w:r>
            <w:bookmarkEnd w:id="165"/>
            <w:bookmarkEnd w:id="166"/>
            <w:bookmarkEnd w:id="167"/>
            <w:bookmarkEnd w:id="168"/>
            <w:bookmarkEnd w:id="169"/>
            <w:bookmarkEnd w:id="170"/>
            <w:bookmarkEnd w:id="171"/>
            <w:bookmarkEnd w:id="172"/>
            <w:bookmarkEnd w:id="173"/>
          </w:p>
        </w:tc>
        <w:tc>
          <w:tcPr>
            <w:tcW w:w="1825" w:type="dxa"/>
            <w:tcBorders>
              <w:right w:val="single" w:color="auto" w:sz="4" w:space="0"/>
            </w:tcBorders>
            <w:vAlign w:val="center"/>
          </w:tcPr>
          <w:p>
            <w:pPr>
              <w:spacing w:line="300" w:lineRule="auto"/>
              <w:rPr>
                <w:rFonts w:ascii="宋体" w:hAnsi="宋体" w:eastAsia="宋体"/>
                <w:color w:val="auto"/>
                <w:sz w:val="24"/>
                <w:highlight w:val="none"/>
              </w:rPr>
            </w:pPr>
          </w:p>
        </w:tc>
        <w:tc>
          <w:tcPr>
            <w:tcW w:w="1825" w:type="dxa"/>
            <w:tcBorders>
              <w:left w:val="single" w:color="auto" w:sz="4" w:space="0"/>
            </w:tcBorders>
            <w:vAlign w:val="center"/>
          </w:tcPr>
          <w:p>
            <w:pPr>
              <w:spacing w:line="300" w:lineRule="auto"/>
              <w:rPr>
                <w:rFonts w:ascii="宋体" w:hAnsi="宋体" w:eastAsia="宋体"/>
                <w:color w:val="auto"/>
                <w:sz w:val="24"/>
                <w:highlight w:val="none"/>
              </w:rPr>
            </w:pPr>
          </w:p>
        </w:tc>
        <w:tc>
          <w:tcPr>
            <w:tcW w:w="1825" w:type="dxa"/>
            <w:vAlign w:val="center"/>
          </w:tcPr>
          <w:p>
            <w:pPr>
              <w:spacing w:line="300" w:lineRule="auto"/>
              <w:rPr>
                <w:rFonts w:ascii="宋体" w:hAnsi="宋体" w:eastAsia="宋体"/>
                <w:color w:val="auto"/>
                <w:sz w:val="24"/>
                <w:highlight w:val="none"/>
              </w:rPr>
            </w:pPr>
          </w:p>
        </w:tc>
        <w:tc>
          <w:tcPr>
            <w:tcW w:w="1826" w:type="dxa"/>
            <w:vAlign w:val="center"/>
          </w:tcPr>
          <w:p>
            <w:pPr>
              <w:spacing w:line="300" w:lineRule="auto"/>
              <w:rPr>
                <w:rFonts w:ascii="宋体" w:hAnsi="宋体" w:eastAsia="宋体"/>
                <w:color w:val="auto"/>
                <w:sz w:val="24"/>
                <w:highlight w:val="none"/>
              </w:rPr>
            </w:pPr>
          </w:p>
        </w:tc>
        <w:tc>
          <w:tcPr>
            <w:tcW w:w="1284" w:type="dxa"/>
            <w:vAlign w:val="center"/>
          </w:tcPr>
          <w:p>
            <w:pPr>
              <w:spacing w:line="300" w:lineRule="auto"/>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color w:val="auto"/>
                <w:sz w:val="24"/>
                <w:highlight w:val="none"/>
              </w:rPr>
            </w:pPr>
            <w:bookmarkStart w:id="174" w:name="_Toc173211909"/>
            <w:bookmarkStart w:id="175" w:name="_Toc383699915"/>
            <w:bookmarkStart w:id="176" w:name="_Toc297193194"/>
            <w:bookmarkStart w:id="177" w:name="_Toc301781620"/>
            <w:bookmarkStart w:id="178" w:name="_Toc173066410"/>
            <w:bookmarkStart w:id="179" w:name="_Toc295404990"/>
            <w:bookmarkStart w:id="180" w:name="_Toc373333698"/>
            <w:bookmarkStart w:id="181" w:name="_Toc254970738"/>
            <w:bookmarkStart w:id="182" w:name="_Toc254970597"/>
            <w:r>
              <w:rPr>
                <w:rFonts w:hint="eastAsia" w:ascii="宋体" w:hAnsi="宋体" w:eastAsia="宋体"/>
                <w:color w:val="auto"/>
                <w:sz w:val="24"/>
                <w:highlight w:val="none"/>
              </w:rPr>
              <w:t>5</w:t>
            </w:r>
            <w:bookmarkEnd w:id="174"/>
            <w:bookmarkEnd w:id="175"/>
            <w:bookmarkEnd w:id="176"/>
            <w:bookmarkEnd w:id="177"/>
            <w:bookmarkEnd w:id="178"/>
            <w:bookmarkEnd w:id="179"/>
            <w:bookmarkEnd w:id="180"/>
            <w:bookmarkEnd w:id="181"/>
            <w:bookmarkEnd w:id="182"/>
          </w:p>
        </w:tc>
        <w:tc>
          <w:tcPr>
            <w:tcW w:w="1825" w:type="dxa"/>
            <w:tcBorders>
              <w:right w:val="single" w:color="auto" w:sz="4" w:space="0"/>
            </w:tcBorders>
            <w:vAlign w:val="center"/>
          </w:tcPr>
          <w:p>
            <w:pPr>
              <w:spacing w:line="300" w:lineRule="auto"/>
              <w:rPr>
                <w:rFonts w:ascii="宋体" w:hAnsi="宋体" w:eastAsia="宋体"/>
                <w:color w:val="auto"/>
                <w:sz w:val="24"/>
                <w:highlight w:val="none"/>
              </w:rPr>
            </w:pPr>
          </w:p>
        </w:tc>
        <w:tc>
          <w:tcPr>
            <w:tcW w:w="1825" w:type="dxa"/>
            <w:tcBorders>
              <w:left w:val="single" w:color="auto" w:sz="4" w:space="0"/>
            </w:tcBorders>
            <w:vAlign w:val="center"/>
          </w:tcPr>
          <w:p>
            <w:pPr>
              <w:spacing w:line="300" w:lineRule="auto"/>
              <w:rPr>
                <w:rFonts w:ascii="宋体" w:hAnsi="宋体" w:eastAsia="宋体"/>
                <w:color w:val="auto"/>
                <w:sz w:val="24"/>
                <w:highlight w:val="none"/>
              </w:rPr>
            </w:pPr>
          </w:p>
        </w:tc>
        <w:tc>
          <w:tcPr>
            <w:tcW w:w="1825" w:type="dxa"/>
            <w:vAlign w:val="center"/>
          </w:tcPr>
          <w:p>
            <w:pPr>
              <w:spacing w:line="300" w:lineRule="auto"/>
              <w:rPr>
                <w:rFonts w:ascii="宋体" w:hAnsi="宋体" w:eastAsia="宋体"/>
                <w:color w:val="auto"/>
                <w:sz w:val="24"/>
                <w:highlight w:val="none"/>
              </w:rPr>
            </w:pPr>
          </w:p>
        </w:tc>
        <w:tc>
          <w:tcPr>
            <w:tcW w:w="1826" w:type="dxa"/>
            <w:vAlign w:val="center"/>
          </w:tcPr>
          <w:p>
            <w:pPr>
              <w:spacing w:line="300" w:lineRule="auto"/>
              <w:rPr>
                <w:rFonts w:ascii="宋体" w:hAnsi="宋体" w:eastAsia="宋体"/>
                <w:color w:val="auto"/>
                <w:sz w:val="24"/>
                <w:highlight w:val="none"/>
              </w:rPr>
            </w:pPr>
          </w:p>
        </w:tc>
        <w:tc>
          <w:tcPr>
            <w:tcW w:w="1284" w:type="dxa"/>
            <w:vAlign w:val="center"/>
          </w:tcPr>
          <w:p>
            <w:pPr>
              <w:spacing w:line="300" w:lineRule="auto"/>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24" w:type="dxa"/>
            <w:vAlign w:val="center"/>
          </w:tcPr>
          <w:p>
            <w:pPr>
              <w:spacing w:line="300" w:lineRule="auto"/>
              <w:jc w:val="center"/>
              <w:rPr>
                <w:rFonts w:ascii="宋体" w:hAnsi="宋体" w:eastAsia="宋体"/>
                <w:color w:val="auto"/>
                <w:sz w:val="24"/>
                <w:highlight w:val="none"/>
              </w:rPr>
            </w:pPr>
            <w:bookmarkStart w:id="183" w:name="_Toc373333699"/>
            <w:bookmarkStart w:id="184" w:name="_Toc383699916"/>
            <w:bookmarkStart w:id="185" w:name="_Toc301781621"/>
            <w:bookmarkStart w:id="186" w:name="_Toc173211914"/>
            <w:bookmarkStart w:id="187" w:name="_Toc254970743"/>
            <w:bookmarkStart w:id="188" w:name="_Toc173066415"/>
            <w:bookmarkStart w:id="189" w:name="_Toc295404991"/>
            <w:bookmarkStart w:id="190" w:name="_Toc254970602"/>
            <w:bookmarkStart w:id="191" w:name="_Toc297193195"/>
            <w:r>
              <w:rPr>
                <w:rFonts w:hint="eastAsia" w:ascii="宋体" w:hAnsi="宋体" w:eastAsia="宋体"/>
                <w:color w:val="auto"/>
                <w:sz w:val="24"/>
                <w:highlight w:val="none"/>
              </w:rPr>
              <w:t>…</w:t>
            </w:r>
            <w:bookmarkEnd w:id="183"/>
            <w:bookmarkEnd w:id="184"/>
            <w:bookmarkEnd w:id="185"/>
            <w:bookmarkEnd w:id="186"/>
            <w:bookmarkEnd w:id="187"/>
            <w:bookmarkEnd w:id="188"/>
            <w:bookmarkEnd w:id="189"/>
            <w:bookmarkEnd w:id="190"/>
            <w:bookmarkEnd w:id="191"/>
          </w:p>
        </w:tc>
        <w:tc>
          <w:tcPr>
            <w:tcW w:w="1825" w:type="dxa"/>
            <w:tcBorders>
              <w:right w:val="single" w:color="auto" w:sz="4" w:space="0"/>
            </w:tcBorders>
            <w:vAlign w:val="center"/>
          </w:tcPr>
          <w:p>
            <w:pPr>
              <w:spacing w:line="300" w:lineRule="auto"/>
              <w:rPr>
                <w:rFonts w:ascii="宋体" w:hAnsi="宋体" w:eastAsia="宋体"/>
                <w:color w:val="auto"/>
                <w:sz w:val="24"/>
                <w:highlight w:val="none"/>
              </w:rPr>
            </w:pPr>
          </w:p>
        </w:tc>
        <w:tc>
          <w:tcPr>
            <w:tcW w:w="1825" w:type="dxa"/>
            <w:tcBorders>
              <w:left w:val="single" w:color="auto" w:sz="4" w:space="0"/>
            </w:tcBorders>
            <w:vAlign w:val="center"/>
          </w:tcPr>
          <w:p>
            <w:pPr>
              <w:spacing w:line="300" w:lineRule="auto"/>
              <w:rPr>
                <w:rFonts w:ascii="宋体" w:hAnsi="宋体" w:eastAsia="宋体"/>
                <w:color w:val="auto"/>
                <w:sz w:val="24"/>
                <w:highlight w:val="none"/>
              </w:rPr>
            </w:pPr>
          </w:p>
        </w:tc>
        <w:tc>
          <w:tcPr>
            <w:tcW w:w="1825" w:type="dxa"/>
            <w:vAlign w:val="center"/>
          </w:tcPr>
          <w:p>
            <w:pPr>
              <w:spacing w:line="300" w:lineRule="auto"/>
              <w:rPr>
                <w:rFonts w:ascii="宋体" w:hAnsi="宋体" w:eastAsia="宋体"/>
                <w:color w:val="auto"/>
                <w:sz w:val="24"/>
                <w:highlight w:val="none"/>
              </w:rPr>
            </w:pPr>
          </w:p>
        </w:tc>
        <w:tc>
          <w:tcPr>
            <w:tcW w:w="1826" w:type="dxa"/>
            <w:tcBorders>
              <w:right w:val="single" w:color="auto" w:sz="4" w:space="0"/>
            </w:tcBorders>
            <w:vAlign w:val="center"/>
          </w:tcPr>
          <w:p>
            <w:pPr>
              <w:spacing w:line="300" w:lineRule="auto"/>
              <w:rPr>
                <w:rFonts w:ascii="宋体" w:hAnsi="宋体" w:eastAsia="宋体"/>
                <w:color w:val="auto"/>
                <w:sz w:val="24"/>
                <w:highlight w:val="none"/>
              </w:rPr>
            </w:pPr>
          </w:p>
        </w:tc>
        <w:tc>
          <w:tcPr>
            <w:tcW w:w="1284" w:type="dxa"/>
            <w:tcBorders>
              <w:left w:val="single" w:color="auto" w:sz="4" w:space="0"/>
            </w:tcBorders>
            <w:vAlign w:val="center"/>
          </w:tcPr>
          <w:p>
            <w:pPr>
              <w:spacing w:line="300" w:lineRule="auto"/>
              <w:rPr>
                <w:rFonts w:ascii="宋体" w:hAnsi="宋体" w:eastAsia="宋体"/>
                <w:color w:val="auto"/>
                <w:sz w:val="24"/>
                <w:highlight w:val="none"/>
              </w:rPr>
            </w:pPr>
          </w:p>
        </w:tc>
      </w:tr>
    </w:tbl>
    <w:p>
      <w:pPr>
        <w:pStyle w:val="16"/>
        <w:spacing w:line="300" w:lineRule="auto"/>
        <w:ind w:firstLine="0" w:firstLineChars="0"/>
        <w:rPr>
          <w:color w:val="auto"/>
          <w:spacing w:val="0"/>
          <w:sz w:val="24"/>
          <w:highlight w:val="none"/>
        </w:rPr>
      </w:pPr>
      <w:r>
        <w:rPr>
          <w:rFonts w:hint="eastAsia"/>
          <w:color w:val="auto"/>
          <w:spacing w:val="0"/>
          <w:sz w:val="24"/>
          <w:highlight w:val="none"/>
        </w:rPr>
        <w:t>说明：</w:t>
      </w:r>
    </w:p>
    <w:p>
      <w:pPr>
        <w:pStyle w:val="16"/>
        <w:spacing w:line="300" w:lineRule="auto"/>
        <w:ind w:firstLine="480" w:firstLineChars="200"/>
        <w:rPr>
          <w:bCs/>
          <w:color w:val="auto"/>
          <w:spacing w:val="0"/>
          <w:sz w:val="24"/>
          <w:highlight w:val="none"/>
        </w:rPr>
      </w:pPr>
      <w:r>
        <w:rPr>
          <w:rFonts w:hint="eastAsia"/>
          <w:bCs/>
          <w:color w:val="auto"/>
          <w:spacing w:val="0"/>
          <w:sz w:val="24"/>
          <w:highlight w:val="none"/>
        </w:rPr>
        <w:t>注：（</w:t>
      </w:r>
      <w:r>
        <w:rPr>
          <w:bCs/>
          <w:color w:val="auto"/>
          <w:spacing w:val="0"/>
          <w:sz w:val="24"/>
          <w:highlight w:val="none"/>
        </w:rPr>
        <w:t>1</w:t>
      </w:r>
      <w:r>
        <w:rPr>
          <w:rFonts w:hint="eastAsia"/>
          <w:bCs/>
          <w:color w:val="auto"/>
          <w:spacing w:val="0"/>
          <w:sz w:val="24"/>
          <w:highlight w:val="none"/>
        </w:rPr>
        <w:t>）供应商应对照第三章《</w:t>
      </w:r>
      <w:r>
        <w:rPr>
          <w:rFonts w:hint="eastAsia"/>
          <w:color w:val="auto"/>
          <w:spacing w:val="0"/>
          <w:sz w:val="24"/>
          <w:highlight w:val="none"/>
        </w:rPr>
        <w:t>项目采购需求和说明</w:t>
      </w:r>
      <w:r>
        <w:rPr>
          <w:rFonts w:hint="eastAsia"/>
          <w:bCs/>
          <w:color w:val="auto"/>
          <w:spacing w:val="0"/>
          <w:sz w:val="24"/>
          <w:highlight w:val="none"/>
        </w:rPr>
        <w:t>》中所列技术参数、性能指标要求逐条对应填报竞标货物的技术参数、性能指标等承诺，并在</w:t>
      </w:r>
      <w:r>
        <w:rPr>
          <w:bCs/>
          <w:color w:val="auto"/>
          <w:spacing w:val="0"/>
          <w:sz w:val="24"/>
          <w:highlight w:val="none"/>
        </w:rPr>
        <w:t>“</w:t>
      </w:r>
      <w:r>
        <w:rPr>
          <w:rFonts w:hint="eastAsia"/>
          <w:bCs/>
          <w:color w:val="auto"/>
          <w:spacing w:val="0"/>
          <w:sz w:val="24"/>
          <w:highlight w:val="none"/>
        </w:rPr>
        <w:t>偏离说明</w:t>
      </w:r>
      <w:r>
        <w:rPr>
          <w:bCs/>
          <w:color w:val="auto"/>
          <w:spacing w:val="0"/>
          <w:sz w:val="24"/>
          <w:highlight w:val="none"/>
        </w:rPr>
        <w:t>”</w:t>
      </w:r>
      <w:r>
        <w:rPr>
          <w:rFonts w:hint="eastAsia"/>
          <w:bCs/>
          <w:color w:val="auto"/>
          <w:spacing w:val="0"/>
          <w:sz w:val="24"/>
          <w:highlight w:val="none"/>
        </w:rPr>
        <w:t>栏注明</w:t>
      </w:r>
      <w:r>
        <w:rPr>
          <w:bCs/>
          <w:color w:val="auto"/>
          <w:spacing w:val="0"/>
          <w:sz w:val="24"/>
          <w:highlight w:val="none"/>
        </w:rPr>
        <w:t>“</w:t>
      </w:r>
      <w:r>
        <w:rPr>
          <w:rFonts w:hint="eastAsia"/>
          <w:bCs/>
          <w:color w:val="auto"/>
          <w:spacing w:val="0"/>
          <w:sz w:val="24"/>
          <w:highlight w:val="none"/>
        </w:rPr>
        <w:t>正偏离</w:t>
      </w:r>
      <w:r>
        <w:rPr>
          <w:bCs/>
          <w:color w:val="auto"/>
          <w:spacing w:val="0"/>
          <w:sz w:val="24"/>
          <w:highlight w:val="none"/>
        </w:rPr>
        <w:t>”</w:t>
      </w:r>
      <w:r>
        <w:rPr>
          <w:rFonts w:hint="eastAsia"/>
          <w:bCs/>
          <w:color w:val="auto"/>
          <w:spacing w:val="0"/>
          <w:sz w:val="24"/>
          <w:highlight w:val="none"/>
        </w:rPr>
        <w:t>、</w:t>
      </w:r>
      <w:r>
        <w:rPr>
          <w:bCs/>
          <w:color w:val="auto"/>
          <w:spacing w:val="0"/>
          <w:sz w:val="24"/>
          <w:highlight w:val="none"/>
        </w:rPr>
        <w:t>“</w:t>
      </w:r>
      <w:r>
        <w:rPr>
          <w:rFonts w:hint="eastAsia"/>
          <w:bCs/>
          <w:color w:val="auto"/>
          <w:spacing w:val="0"/>
          <w:sz w:val="24"/>
          <w:highlight w:val="none"/>
        </w:rPr>
        <w:t>负偏离</w:t>
      </w:r>
      <w:r>
        <w:rPr>
          <w:bCs/>
          <w:color w:val="auto"/>
          <w:spacing w:val="0"/>
          <w:sz w:val="24"/>
          <w:highlight w:val="none"/>
        </w:rPr>
        <w:t>”</w:t>
      </w:r>
      <w:r>
        <w:rPr>
          <w:rFonts w:hint="eastAsia"/>
          <w:bCs/>
          <w:color w:val="auto"/>
          <w:spacing w:val="0"/>
          <w:sz w:val="24"/>
          <w:highlight w:val="none"/>
        </w:rPr>
        <w:t>或</w:t>
      </w:r>
      <w:r>
        <w:rPr>
          <w:bCs/>
          <w:color w:val="auto"/>
          <w:spacing w:val="0"/>
          <w:sz w:val="24"/>
          <w:highlight w:val="none"/>
        </w:rPr>
        <w:t>“</w:t>
      </w:r>
      <w:r>
        <w:rPr>
          <w:rFonts w:hint="eastAsia"/>
          <w:bCs/>
          <w:color w:val="auto"/>
          <w:spacing w:val="0"/>
          <w:sz w:val="24"/>
          <w:highlight w:val="none"/>
        </w:rPr>
        <w:t>无偏离</w:t>
      </w:r>
      <w:r>
        <w:rPr>
          <w:bCs/>
          <w:color w:val="auto"/>
          <w:spacing w:val="0"/>
          <w:sz w:val="24"/>
          <w:highlight w:val="none"/>
        </w:rPr>
        <w:t>”</w:t>
      </w:r>
      <w:r>
        <w:rPr>
          <w:rFonts w:hint="eastAsia"/>
          <w:bCs/>
          <w:color w:val="auto"/>
          <w:spacing w:val="0"/>
          <w:sz w:val="24"/>
          <w:highlight w:val="none"/>
        </w:rPr>
        <w:t>，当出现</w:t>
      </w:r>
      <w:r>
        <w:rPr>
          <w:bCs/>
          <w:color w:val="auto"/>
          <w:spacing w:val="0"/>
          <w:sz w:val="24"/>
          <w:highlight w:val="none"/>
        </w:rPr>
        <w:t>“</w:t>
      </w:r>
      <w:r>
        <w:rPr>
          <w:rFonts w:hint="eastAsia"/>
          <w:bCs/>
          <w:color w:val="auto"/>
          <w:spacing w:val="0"/>
          <w:sz w:val="24"/>
          <w:highlight w:val="none"/>
        </w:rPr>
        <w:t>正偏离</w:t>
      </w:r>
      <w:r>
        <w:rPr>
          <w:bCs/>
          <w:color w:val="auto"/>
          <w:spacing w:val="0"/>
          <w:sz w:val="24"/>
          <w:highlight w:val="none"/>
        </w:rPr>
        <w:t>”</w:t>
      </w:r>
      <w:r>
        <w:rPr>
          <w:rFonts w:hint="eastAsia"/>
          <w:bCs/>
          <w:color w:val="auto"/>
          <w:spacing w:val="0"/>
          <w:sz w:val="24"/>
          <w:highlight w:val="none"/>
        </w:rPr>
        <w:t>情况时应详细填写偏离情况说明及提供相应有效证明材料。</w:t>
      </w:r>
    </w:p>
    <w:p>
      <w:pPr>
        <w:pStyle w:val="16"/>
        <w:spacing w:line="300" w:lineRule="auto"/>
        <w:ind w:firstLine="480" w:firstLineChars="200"/>
        <w:rPr>
          <w:bCs/>
          <w:color w:val="auto"/>
          <w:spacing w:val="0"/>
          <w:sz w:val="24"/>
          <w:highlight w:val="none"/>
        </w:rPr>
      </w:pPr>
      <w:r>
        <w:rPr>
          <w:rFonts w:hint="eastAsia"/>
          <w:bCs/>
          <w:color w:val="auto"/>
          <w:spacing w:val="0"/>
          <w:sz w:val="24"/>
          <w:highlight w:val="none"/>
        </w:rPr>
        <w:t>（</w:t>
      </w:r>
      <w:r>
        <w:rPr>
          <w:bCs/>
          <w:color w:val="auto"/>
          <w:spacing w:val="0"/>
          <w:sz w:val="24"/>
          <w:highlight w:val="none"/>
        </w:rPr>
        <w:t>2</w:t>
      </w:r>
      <w:r>
        <w:rPr>
          <w:rFonts w:hint="eastAsia"/>
          <w:bCs/>
          <w:color w:val="auto"/>
          <w:spacing w:val="0"/>
          <w:sz w:val="24"/>
          <w:highlight w:val="none"/>
        </w:rPr>
        <w:t>）技术规格与采购要求相同的为无偏离，技术规格高于采购要求的为正偏离，低于采购要求的为负偏离。</w:t>
      </w:r>
    </w:p>
    <w:p>
      <w:pPr>
        <w:pStyle w:val="16"/>
        <w:spacing w:line="300" w:lineRule="auto"/>
        <w:ind w:firstLine="480" w:firstLineChars="200"/>
        <w:rPr>
          <w:color w:val="auto"/>
          <w:spacing w:val="0"/>
          <w:sz w:val="24"/>
          <w:highlight w:val="none"/>
        </w:rPr>
      </w:pPr>
      <w:r>
        <w:rPr>
          <w:rFonts w:hint="eastAsia"/>
          <w:bCs/>
          <w:color w:val="auto"/>
          <w:spacing w:val="0"/>
          <w:sz w:val="24"/>
          <w:highlight w:val="none"/>
        </w:rPr>
        <w:t>（</w:t>
      </w:r>
      <w:r>
        <w:rPr>
          <w:bCs/>
          <w:color w:val="auto"/>
          <w:spacing w:val="0"/>
          <w:sz w:val="24"/>
          <w:highlight w:val="none"/>
        </w:rPr>
        <w:t>3</w:t>
      </w:r>
      <w:r>
        <w:rPr>
          <w:rFonts w:hint="eastAsia"/>
          <w:bCs/>
          <w:color w:val="auto"/>
          <w:spacing w:val="0"/>
          <w:sz w:val="24"/>
          <w:highlight w:val="none"/>
        </w:rPr>
        <w:t>）本表可扩展。</w:t>
      </w:r>
    </w:p>
    <w:p>
      <w:pPr>
        <w:pStyle w:val="19"/>
        <w:spacing w:line="300" w:lineRule="auto"/>
        <w:rPr>
          <w:rFonts w:hAnsi="宋体"/>
          <w:color w:val="auto"/>
          <w:sz w:val="24"/>
          <w:szCs w:val="24"/>
          <w:highlight w:val="none"/>
        </w:rPr>
      </w:pPr>
    </w:p>
    <w:p>
      <w:pPr>
        <w:pStyle w:val="19"/>
        <w:spacing w:line="300" w:lineRule="auto"/>
        <w:ind w:firstLine="1680" w:firstLineChars="700"/>
        <w:rPr>
          <w:rFonts w:hAnsi="宋体"/>
          <w:color w:val="auto"/>
          <w:sz w:val="24"/>
          <w:szCs w:val="24"/>
          <w:highlight w:val="none"/>
        </w:rPr>
      </w:pPr>
    </w:p>
    <w:p>
      <w:pPr>
        <w:pStyle w:val="19"/>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adjustRightInd/>
        <w:snapToGrid/>
        <w:spacing w:line="220" w:lineRule="atLeast"/>
        <w:rPr>
          <w:rFonts w:ascii="宋体" w:hAnsi="宋体" w:eastAsia="宋体"/>
          <w:color w:val="auto"/>
          <w:kern w:val="2"/>
          <w:sz w:val="24"/>
          <w:highlight w:val="none"/>
        </w:rPr>
      </w:pPr>
      <w:r>
        <w:rPr>
          <w:rFonts w:ascii="宋体" w:hAnsi="宋体" w:eastAsia="宋体"/>
          <w:color w:val="auto"/>
          <w:sz w:val="24"/>
          <w:highlight w:val="none"/>
        </w:rPr>
        <w:br w:type="page"/>
      </w:r>
    </w:p>
    <w:p>
      <w:pPr>
        <w:pStyle w:val="19"/>
        <w:spacing w:line="440" w:lineRule="exact"/>
        <w:rPr>
          <w:rFonts w:hAnsi="宋体"/>
          <w:color w:val="auto"/>
          <w:sz w:val="24"/>
          <w:highlight w:val="none"/>
        </w:rPr>
      </w:pPr>
      <w:r>
        <w:rPr>
          <w:rFonts w:hint="eastAsia" w:hAnsi="宋体"/>
          <w:b/>
          <w:color w:val="auto"/>
          <w:sz w:val="24"/>
          <w:szCs w:val="24"/>
          <w:highlight w:val="none"/>
        </w:rPr>
        <w:t>附件五：</w:t>
      </w:r>
    </w:p>
    <w:p>
      <w:pPr>
        <w:pStyle w:val="19"/>
        <w:spacing w:line="400" w:lineRule="exact"/>
        <w:jc w:val="center"/>
        <w:rPr>
          <w:rFonts w:hAnsi="宋体"/>
          <w:color w:val="auto"/>
          <w:sz w:val="24"/>
          <w:szCs w:val="24"/>
          <w:highlight w:val="none"/>
        </w:rPr>
      </w:pPr>
      <w:r>
        <w:rPr>
          <w:rFonts w:hint="eastAsia" w:hAnsi="宋体"/>
          <w:b/>
          <w:color w:val="auto"/>
          <w:sz w:val="32"/>
          <w:szCs w:val="32"/>
          <w:highlight w:val="none"/>
        </w:rPr>
        <w:t>商务响应表</w:t>
      </w:r>
    </w:p>
    <w:p>
      <w:pPr>
        <w:pStyle w:val="19"/>
        <w:spacing w:line="400" w:lineRule="exact"/>
        <w:rPr>
          <w:rFonts w:hAnsi="宋体"/>
          <w:color w:val="auto"/>
          <w:sz w:val="24"/>
          <w:szCs w:val="24"/>
          <w:highlight w:val="none"/>
          <w:u w:val="single"/>
        </w:rPr>
      </w:pPr>
      <w:r>
        <w:rPr>
          <w:rFonts w:hint="eastAsia" w:hAnsi="宋体"/>
          <w:color w:val="auto"/>
          <w:sz w:val="24"/>
          <w:szCs w:val="24"/>
          <w:highlight w:val="none"/>
        </w:rPr>
        <w:t>采购编号：</w:t>
      </w:r>
    </w:p>
    <w:p>
      <w:pPr>
        <w:pStyle w:val="19"/>
        <w:spacing w:line="400" w:lineRule="exact"/>
        <w:rPr>
          <w:rFonts w:hAnsi="宋体"/>
          <w:color w:val="auto"/>
          <w:sz w:val="24"/>
          <w:szCs w:val="24"/>
          <w:highlight w:val="none"/>
          <w:u w:val="single"/>
        </w:rPr>
      </w:pPr>
      <w:r>
        <w:rPr>
          <w:rFonts w:hint="eastAsia" w:hAnsi="宋体"/>
          <w:color w:val="auto"/>
          <w:sz w:val="24"/>
          <w:szCs w:val="24"/>
          <w:highlight w:val="none"/>
        </w:rPr>
        <w:t>项目名称：</w:t>
      </w:r>
    </w:p>
    <w:p>
      <w:pPr>
        <w:pStyle w:val="19"/>
        <w:spacing w:line="400" w:lineRule="exact"/>
        <w:rPr>
          <w:rFonts w:hAnsi="宋体"/>
          <w:color w:val="auto"/>
          <w:sz w:val="24"/>
          <w:szCs w:val="24"/>
          <w:highlight w:val="none"/>
        </w:rPr>
      </w:pPr>
      <w:r>
        <w:rPr>
          <w:rFonts w:hint="eastAsia" w:hAnsi="宋体"/>
          <w:color w:val="auto"/>
          <w:sz w:val="24"/>
          <w:szCs w:val="24"/>
          <w:highlight w:val="none"/>
          <w:u w:val="single"/>
        </w:rPr>
        <w:t>　　</w:t>
      </w:r>
      <w:r>
        <w:rPr>
          <w:rFonts w:hint="eastAsia" w:hAnsi="宋体"/>
          <w:color w:val="auto"/>
          <w:sz w:val="24"/>
          <w:szCs w:val="24"/>
          <w:highlight w:val="none"/>
        </w:rPr>
        <w:t>分标（有分标时填写）</w:t>
      </w:r>
    </w:p>
    <w:tbl>
      <w:tblPr>
        <w:tblStyle w:val="38"/>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766"/>
        <w:gridCol w:w="2392"/>
        <w:gridCol w:w="19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07" w:type="dxa"/>
            <w:vAlign w:val="center"/>
          </w:tcPr>
          <w:p>
            <w:pPr>
              <w:pStyle w:val="19"/>
              <w:spacing w:line="400" w:lineRule="exact"/>
              <w:jc w:val="center"/>
              <w:rPr>
                <w:rFonts w:hAnsi="宋体"/>
                <w:color w:val="auto"/>
                <w:sz w:val="24"/>
                <w:szCs w:val="24"/>
                <w:highlight w:val="none"/>
              </w:rPr>
            </w:pPr>
            <w:r>
              <w:rPr>
                <w:rFonts w:hint="eastAsia" w:hAnsi="宋体"/>
                <w:color w:val="auto"/>
                <w:sz w:val="24"/>
                <w:szCs w:val="24"/>
                <w:highlight w:val="none"/>
              </w:rPr>
              <w:t>序号</w:t>
            </w:r>
          </w:p>
        </w:tc>
        <w:tc>
          <w:tcPr>
            <w:tcW w:w="1766" w:type="dxa"/>
            <w:vAlign w:val="center"/>
          </w:tcPr>
          <w:p>
            <w:pPr>
              <w:pStyle w:val="19"/>
              <w:spacing w:line="400" w:lineRule="exact"/>
              <w:jc w:val="center"/>
              <w:rPr>
                <w:rFonts w:hAnsi="宋体"/>
                <w:color w:val="auto"/>
                <w:sz w:val="24"/>
                <w:szCs w:val="24"/>
                <w:highlight w:val="none"/>
              </w:rPr>
            </w:pPr>
            <w:r>
              <w:rPr>
                <w:rFonts w:hint="eastAsia" w:hAnsi="宋体"/>
                <w:color w:val="auto"/>
                <w:sz w:val="24"/>
                <w:szCs w:val="24"/>
                <w:highlight w:val="none"/>
              </w:rPr>
              <w:t>商务条款名称</w:t>
            </w:r>
          </w:p>
        </w:tc>
        <w:tc>
          <w:tcPr>
            <w:tcW w:w="2392" w:type="dxa"/>
            <w:vAlign w:val="center"/>
          </w:tcPr>
          <w:p>
            <w:pPr>
              <w:pStyle w:val="19"/>
              <w:spacing w:line="400" w:lineRule="exact"/>
              <w:jc w:val="center"/>
              <w:rPr>
                <w:rFonts w:hAnsi="宋体"/>
                <w:color w:val="auto"/>
                <w:sz w:val="24"/>
                <w:szCs w:val="24"/>
                <w:highlight w:val="none"/>
              </w:rPr>
            </w:pPr>
            <w:r>
              <w:rPr>
                <w:rFonts w:hint="eastAsia" w:hAnsi="宋体"/>
                <w:color w:val="auto"/>
                <w:sz w:val="24"/>
                <w:szCs w:val="24"/>
                <w:highlight w:val="none"/>
              </w:rPr>
              <w:t>竞争性谈判文件要求</w:t>
            </w:r>
          </w:p>
        </w:tc>
        <w:tc>
          <w:tcPr>
            <w:tcW w:w="1944" w:type="dxa"/>
            <w:vAlign w:val="center"/>
          </w:tcPr>
          <w:p>
            <w:pPr>
              <w:pStyle w:val="19"/>
              <w:spacing w:line="400" w:lineRule="exact"/>
              <w:jc w:val="center"/>
              <w:rPr>
                <w:rFonts w:hAnsi="宋体"/>
                <w:color w:val="auto"/>
                <w:sz w:val="24"/>
                <w:szCs w:val="24"/>
                <w:highlight w:val="none"/>
              </w:rPr>
            </w:pPr>
            <w:r>
              <w:rPr>
                <w:rFonts w:hint="eastAsia" w:hAnsi="宋体"/>
                <w:color w:val="auto"/>
                <w:sz w:val="24"/>
                <w:szCs w:val="24"/>
                <w:highlight w:val="none"/>
              </w:rPr>
              <w:t>响应文件响应内容</w:t>
            </w:r>
          </w:p>
        </w:tc>
        <w:tc>
          <w:tcPr>
            <w:tcW w:w="1560" w:type="dxa"/>
            <w:vAlign w:val="center"/>
          </w:tcPr>
          <w:p>
            <w:pPr>
              <w:pStyle w:val="19"/>
              <w:spacing w:line="400" w:lineRule="exact"/>
              <w:jc w:val="center"/>
              <w:rPr>
                <w:rFonts w:hAnsi="宋体"/>
                <w:color w:val="auto"/>
                <w:sz w:val="24"/>
                <w:szCs w:val="24"/>
                <w:highlight w:val="none"/>
              </w:rPr>
            </w:pPr>
            <w:r>
              <w:rPr>
                <w:rFonts w:hint="eastAsia" w:hAnsi="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hAnsi="宋体"/>
                <w:color w:val="auto"/>
                <w:highlight w:val="none"/>
              </w:rPr>
            </w:pPr>
          </w:p>
        </w:tc>
        <w:tc>
          <w:tcPr>
            <w:tcW w:w="1766" w:type="dxa"/>
            <w:vAlign w:val="center"/>
          </w:tcPr>
          <w:p>
            <w:pPr>
              <w:pStyle w:val="19"/>
              <w:spacing w:line="400" w:lineRule="exact"/>
              <w:rPr>
                <w:rFonts w:hAnsi="宋体"/>
                <w:color w:val="auto"/>
                <w:sz w:val="24"/>
                <w:szCs w:val="24"/>
                <w:highlight w:val="none"/>
              </w:rPr>
            </w:pPr>
          </w:p>
        </w:tc>
        <w:tc>
          <w:tcPr>
            <w:tcW w:w="2392" w:type="dxa"/>
            <w:vAlign w:val="center"/>
          </w:tcPr>
          <w:p>
            <w:pPr>
              <w:pStyle w:val="19"/>
              <w:spacing w:line="400" w:lineRule="exact"/>
              <w:rPr>
                <w:rFonts w:hAnsi="宋体"/>
                <w:color w:val="auto"/>
                <w:sz w:val="24"/>
                <w:szCs w:val="24"/>
                <w:highlight w:val="none"/>
              </w:rPr>
            </w:pPr>
          </w:p>
        </w:tc>
        <w:tc>
          <w:tcPr>
            <w:tcW w:w="1944" w:type="dxa"/>
            <w:vAlign w:val="center"/>
          </w:tcPr>
          <w:p>
            <w:pPr>
              <w:pStyle w:val="19"/>
              <w:spacing w:line="400" w:lineRule="exact"/>
              <w:rPr>
                <w:rFonts w:hAnsi="宋体"/>
                <w:color w:val="auto"/>
                <w:sz w:val="24"/>
                <w:szCs w:val="24"/>
                <w:highlight w:val="none"/>
              </w:rPr>
            </w:pPr>
          </w:p>
        </w:tc>
        <w:tc>
          <w:tcPr>
            <w:tcW w:w="1560" w:type="dxa"/>
            <w:vAlign w:val="center"/>
          </w:tcPr>
          <w:p>
            <w:pPr>
              <w:pStyle w:val="19"/>
              <w:spacing w:line="4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hAnsi="宋体"/>
                <w:color w:val="auto"/>
                <w:sz w:val="24"/>
                <w:szCs w:val="24"/>
                <w:highlight w:val="none"/>
              </w:rPr>
            </w:pPr>
          </w:p>
        </w:tc>
        <w:tc>
          <w:tcPr>
            <w:tcW w:w="1766" w:type="dxa"/>
            <w:vAlign w:val="center"/>
          </w:tcPr>
          <w:p>
            <w:pPr>
              <w:pStyle w:val="19"/>
              <w:spacing w:line="400" w:lineRule="exact"/>
              <w:rPr>
                <w:rFonts w:hAnsi="宋体"/>
                <w:color w:val="auto"/>
                <w:sz w:val="24"/>
                <w:szCs w:val="24"/>
                <w:highlight w:val="none"/>
              </w:rPr>
            </w:pPr>
            <w:r>
              <w:rPr>
                <w:rFonts w:hAnsi="宋体"/>
                <w:color w:val="auto"/>
                <w:sz w:val="24"/>
                <w:szCs w:val="24"/>
                <w:highlight w:val="none"/>
              </w:rPr>
              <w:t>…</w:t>
            </w:r>
          </w:p>
        </w:tc>
        <w:tc>
          <w:tcPr>
            <w:tcW w:w="2392" w:type="dxa"/>
          </w:tcPr>
          <w:p>
            <w:pPr>
              <w:pStyle w:val="19"/>
              <w:spacing w:line="400" w:lineRule="exact"/>
              <w:rPr>
                <w:rFonts w:hAnsi="宋体"/>
                <w:color w:val="auto"/>
                <w:sz w:val="24"/>
                <w:szCs w:val="24"/>
                <w:highlight w:val="none"/>
              </w:rPr>
            </w:pPr>
          </w:p>
        </w:tc>
        <w:tc>
          <w:tcPr>
            <w:tcW w:w="1944" w:type="dxa"/>
          </w:tcPr>
          <w:p>
            <w:pPr>
              <w:pStyle w:val="19"/>
              <w:spacing w:line="400" w:lineRule="exact"/>
              <w:rPr>
                <w:rFonts w:hAnsi="宋体"/>
                <w:color w:val="auto"/>
                <w:sz w:val="24"/>
                <w:szCs w:val="24"/>
                <w:highlight w:val="none"/>
              </w:rPr>
            </w:pPr>
          </w:p>
        </w:tc>
        <w:tc>
          <w:tcPr>
            <w:tcW w:w="1560" w:type="dxa"/>
          </w:tcPr>
          <w:p>
            <w:pPr>
              <w:pStyle w:val="19"/>
              <w:spacing w:line="4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hAnsi="宋体"/>
                <w:color w:val="auto"/>
                <w:sz w:val="24"/>
                <w:szCs w:val="24"/>
                <w:highlight w:val="none"/>
              </w:rPr>
            </w:pPr>
          </w:p>
        </w:tc>
        <w:tc>
          <w:tcPr>
            <w:tcW w:w="1766" w:type="dxa"/>
            <w:vAlign w:val="center"/>
          </w:tcPr>
          <w:p>
            <w:pPr>
              <w:pStyle w:val="19"/>
              <w:spacing w:line="400" w:lineRule="exact"/>
              <w:rPr>
                <w:rFonts w:hAnsi="宋体"/>
                <w:color w:val="auto"/>
                <w:sz w:val="24"/>
                <w:szCs w:val="24"/>
                <w:highlight w:val="none"/>
              </w:rPr>
            </w:pPr>
          </w:p>
        </w:tc>
        <w:tc>
          <w:tcPr>
            <w:tcW w:w="2392" w:type="dxa"/>
          </w:tcPr>
          <w:p>
            <w:pPr>
              <w:pStyle w:val="19"/>
              <w:spacing w:line="400" w:lineRule="exact"/>
              <w:rPr>
                <w:rFonts w:hAnsi="宋体"/>
                <w:color w:val="auto"/>
                <w:sz w:val="24"/>
                <w:szCs w:val="24"/>
                <w:highlight w:val="none"/>
              </w:rPr>
            </w:pPr>
          </w:p>
        </w:tc>
        <w:tc>
          <w:tcPr>
            <w:tcW w:w="1944" w:type="dxa"/>
          </w:tcPr>
          <w:p>
            <w:pPr>
              <w:pStyle w:val="19"/>
              <w:spacing w:line="400" w:lineRule="exact"/>
              <w:rPr>
                <w:rFonts w:hAnsi="宋体"/>
                <w:color w:val="auto"/>
                <w:sz w:val="24"/>
                <w:szCs w:val="24"/>
                <w:highlight w:val="none"/>
              </w:rPr>
            </w:pPr>
          </w:p>
        </w:tc>
        <w:tc>
          <w:tcPr>
            <w:tcW w:w="1560" w:type="dxa"/>
          </w:tcPr>
          <w:p>
            <w:pPr>
              <w:pStyle w:val="19"/>
              <w:spacing w:line="4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hAnsi="宋体"/>
                <w:color w:val="auto"/>
                <w:sz w:val="24"/>
                <w:szCs w:val="24"/>
                <w:highlight w:val="none"/>
              </w:rPr>
            </w:pPr>
          </w:p>
        </w:tc>
        <w:tc>
          <w:tcPr>
            <w:tcW w:w="1766" w:type="dxa"/>
            <w:vAlign w:val="center"/>
          </w:tcPr>
          <w:p>
            <w:pPr>
              <w:pStyle w:val="19"/>
              <w:spacing w:line="400" w:lineRule="exact"/>
              <w:rPr>
                <w:rFonts w:hAnsi="宋体"/>
                <w:color w:val="auto"/>
                <w:sz w:val="24"/>
                <w:szCs w:val="24"/>
                <w:highlight w:val="none"/>
              </w:rPr>
            </w:pPr>
          </w:p>
        </w:tc>
        <w:tc>
          <w:tcPr>
            <w:tcW w:w="2392" w:type="dxa"/>
          </w:tcPr>
          <w:p>
            <w:pPr>
              <w:pStyle w:val="19"/>
              <w:spacing w:line="400" w:lineRule="exact"/>
              <w:rPr>
                <w:rFonts w:hAnsi="宋体"/>
                <w:color w:val="auto"/>
                <w:sz w:val="24"/>
                <w:szCs w:val="24"/>
                <w:highlight w:val="none"/>
              </w:rPr>
            </w:pPr>
          </w:p>
        </w:tc>
        <w:tc>
          <w:tcPr>
            <w:tcW w:w="1944" w:type="dxa"/>
          </w:tcPr>
          <w:p>
            <w:pPr>
              <w:pStyle w:val="19"/>
              <w:spacing w:line="400" w:lineRule="exact"/>
              <w:rPr>
                <w:rFonts w:hAnsi="宋体"/>
                <w:color w:val="auto"/>
                <w:sz w:val="24"/>
                <w:szCs w:val="24"/>
                <w:highlight w:val="none"/>
              </w:rPr>
            </w:pPr>
          </w:p>
        </w:tc>
        <w:tc>
          <w:tcPr>
            <w:tcW w:w="1560" w:type="dxa"/>
          </w:tcPr>
          <w:p>
            <w:pPr>
              <w:pStyle w:val="19"/>
              <w:spacing w:line="4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hAnsi="宋体"/>
                <w:color w:val="auto"/>
                <w:sz w:val="24"/>
                <w:szCs w:val="24"/>
                <w:highlight w:val="none"/>
              </w:rPr>
            </w:pPr>
          </w:p>
        </w:tc>
        <w:tc>
          <w:tcPr>
            <w:tcW w:w="1766" w:type="dxa"/>
            <w:vAlign w:val="center"/>
          </w:tcPr>
          <w:p>
            <w:pPr>
              <w:pStyle w:val="19"/>
              <w:spacing w:line="400" w:lineRule="exact"/>
              <w:rPr>
                <w:rFonts w:hAnsi="宋体"/>
                <w:color w:val="auto"/>
                <w:sz w:val="24"/>
                <w:szCs w:val="24"/>
                <w:highlight w:val="none"/>
              </w:rPr>
            </w:pPr>
            <w:r>
              <w:rPr>
                <w:rFonts w:hint="eastAsia" w:hAnsi="宋体"/>
                <w:color w:val="auto"/>
                <w:sz w:val="24"/>
                <w:szCs w:val="24"/>
                <w:highlight w:val="none"/>
              </w:rPr>
              <w:t>……</w:t>
            </w:r>
          </w:p>
        </w:tc>
        <w:tc>
          <w:tcPr>
            <w:tcW w:w="2392" w:type="dxa"/>
          </w:tcPr>
          <w:p>
            <w:pPr>
              <w:pStyle w:val="19"/>
              <w:spacing w:line="400" w:lineRule="exact"/>
              <w:rPr>
                <w:rFonts w:hAnsi="宋体"/>
                <w:color w:val="auto"/>
                <w:sz w:val="24"/>
                <w:szCs w:val="24"/>
                <w:highlight w:val="none"/>
              </w:rPr>
            </w:pPr>
          </w:p>
        </w:tc>
        <w:tc>
          <w:tcPr>
            <w:tcW w:w="1944" w:type="dxa"/>
          </w:tcPr>
          <w:p>
            <w:pPr>
              <w:pStyle w:val="19"/>
              <w:spacing w:line="400" w:lineRule="exact"/>
              <w:rPr>
                <w:rFonts w:hAnsi="宋体"/>
                <w:color w:val="auto"/>
                <w:sz w:val="24"/>
                <w:szCs w:val="24"/>
                <w:highlight w:val="none"/>
              </w:rPr>
            </w:pPr>
          </w:p>
        </w:tc>
        <w:tc>
          <w:tcPr>
            <w:tcW w:w="1560" w:type="dxa"/>
          </w:tcPr>
          <w:p>
            <w:pPr>
              <w:pStyle w:val="19"/>
              <w:spacing w:line="400" w:lineRule="exact"/>
              <w:rPr>
                <w:rFonts w:hAnsi="宋体"/>
                <w:color w:val="auto"/>
                <w:sz w:val="24"/>
                <w:szCs w:val="24"/>
                <w:highlight w:val="none"/>
              </w:rPr>
            </w:pPr>
          </w:p>
        </w:tc>
      </w:tr>
    </w:tbl>
    <w:p>
      <w:pPr>
        <w:pStyle w:val="19"/>
        <w:spacing w:line="400" w:lineRule="exact"/>
        <w:rPr>
          <w:rFonts w:hAnsi="宋体"/>
          <w:color w:val="auto"/>
          <w:sz w:val="24"/>
          <w:szCs w:val="24"/>
          <w:highlight w:val="none"/>
        </w:rPr>
      </w:pPr>
      <w:r>
        <w:rPr>
          <w:rFonts w:hint="eastAsia" w:hAnsi="宋体"/>
          <w:color w:val="auto"/>
          <w:sz w:val="24"/>
          <w:szCs w:val="24"/>
          <w:highlight w:val="none"/>
        </w:rPr>
        <w:t>说明：（1）应对照竞争性谈判文件“第三章  项目采购需求和说明”，</w:t>
      </w:r>
      <w:r>
        <w:rPr>
          <w:rFonts w:hint="eastAsia" w:hAnsi="宋体"/>
          <w:b/>
          <w:color w:val="auto"/>
          <w:sz w:val="24"/>
          <w:szCs w:val="24"/>
          <w:highlight w:val="none"/>
          <w:u w:val="single"/>
        </w:rPr>
        <w:t>逐条对应</w:t>
      </w:r>
      <w:r>
        <w:rPr>
          <w:rFonts w:hint="eastAsia" w:hAnsi="宋体"/>
          <w:color w:val="auto"/>
          <w:sz w:val="24"/>
          <w:szCs w:val="24"/>
          <w:highlight w:val="none"/>
        </w:rPr>
        <w:t>商务基本要求进行响应。</w:t>
      </w:r>
    </w:p>
    <w:p>
      <w:pPr>
        <w:pStyle w:val="19"/>
        <w:spacing w:line="400" w:lineRule="exact"/>
        <w:ind w:firstLine="480" w:firstLineChars="200"/>
        <w:rPr>
          <w:rFonts w:hAnsi="宋体"/>
          <w:color w:val="auto"/>
          <w:sz w:val="24"/>
          <w:szCs w:val="24"/>
          <w:highlight w:val="none"/>
        </w:rPr>
      </w:pPr>
      <w:r>
        <w:rPr>
          <w:rFonts w:hint="eastAsia" w:hAnsi="宋体"/>
          <w:color w:val="auto"/>
          <w:sz w:val="24"/>
          <w:szCs w:val="24"/>
          <w:highlight w:val="none"/>
        </w:rPr>
        <w:t>（2）本表内容必须如实填写，并根据响应情况在</w:t>
      </w:r>
      <w:r>
        <w:rPr>
          <w:rFonts w:hAnsi="宋体"/>
          <w:color w:val="auto"/>
          <w:sz w:val="24"/>
          <w:szCs w:val="24"/>
          <w:highlight w:val="none"/>
        </w:rPr>
        <w:t>“</w:t>
      </w:r>
      <w:r>
        <w:rPr>
          <w:rFonts w:hint="eastAsia" w:hAnsi="宋体"/>
          <w:color w:val="auto"/>
          <w:sz w:val="24"/>
          <w:szCs w:val="24"/>
          <w:highlight w:val="none"/>
        </w:rPr>
        <w:t>偏离说明</w:t>
      </w:r>
      <w:r>
        <w:rPr>
          <w:rFonts w:hAnsi="宋体"/>
          <w:color w:val="auto"/>
          <w:sz w:val="24"/>
          <w:szCs w:val="24"/>
          <w:highlight w:val="none"/>
        </w:rPr>
        <w:t>”</w:t>
      </w:r>
      <w:r>
        <w:rPr>
          <w:rFonts w:hint="eastAsia" w:hAnsi="宋体"/>
          <w:color w:val="auto"/>
          <w:sz w:val="24"/>
          <w:szCs w:val="24"/>
          <w:highlight w:val="none"/>
        </w:rPr>
        <w:t>栏填写正偏离或负偏离及原因，完全符合的填写</w:t>
      </w:r>
      <w:r>
        <w:rPr>
          <w:rFonts w:hAnsi="宋体"/>
          <w:color w:val="auto"/>
          <w:sz w:val="24"/>
          <w:szCs w:val="24"/>
          <w:highlight w:val="none"/>
        </w:rPr>
        <w:t>“</w:t>
      </w:r>
      <w:r>
        <w:rPr>
          <w:rFonts w:hint="eastAsia" w:hAnsi="宋体"/>
          <w:color w:val="auto"/>
          <w:sz w:val="24"/>
          <w:szCs w:val="24"/>
          <w:highlight w:val="none"/>
        </w:rPr>
        <w:t>无偏离</w:t>
      </w:r>
      <w:r>
        <w:rPr>
          <w:rFonts w:hAnsi="宋体"/>
          <w:color w:val="auto"/>
          <w:sz w:val="24"/>
          <w:szCs w:val="24"/>
          <w:highlight w:val="none"/>
        </w:rPr>
        <w:t>”</w:t>
      </w:r>
      <w:r>
        <w:rPr>
          <w:rFonts w:hint="eastAsia" w:hAnsi="宋体"/>
          <w:color w:val="auto"/>
          <w:sz w:val="24"/>
          <w:szCs w:val="24"/>
          <w:highlight w:val="none"/>
        </w:rPr>
        <w:t>。</w:t>
      </w:r>
    </w:p>
    <w:p>
      <w:pPr>
        <w:pStyle w:val="19"/>
        <w:spacing w:line="400" w:lineRule="exact"/>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）本表可扩展。</w:t>
      </w:r>
    </w:p>
    <w:p>
      <w:pPr>
        <w:pStyle w:val="19"/>
        <w:spacing w:line="400" w:lineRule="exact"/>
        <w:rPr>
          <w:rFonts w:hAnsi="宋体"/>
          <w:color w:val="auto"/>
          <w:szCs w:val="21"/>
          <w:highlight w:val="none"/>
        </w:rPr>
      </w:pPr>
    </w:p>
    <w:p>
      <w:pPr>
        <w:pStyle w:val="19"/>
        <w:spacing w:line="300" w:lineRule="auto"/>
        <w:ind w:firstLine="1680" w:firstLineChars="700"/>
        <w:rPr>
          <w:rFonts w:hAnsi="宋体"/>
          <w:color w:val="auto"/>
          <w:sz w:val="24"/>
          <w:szCs w:val="24"/>
          <w:highlight w:val="none"/>
        </w:rPr>
      </w:pPr>
    </w:p>
    <w:p>
      <w:pPr>
        <w:pStyle w:val="19"/>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pStyle w:val="19"/>
        <w:spacing w:line="400" w:lineRule="exact"/>
        <w:rPr>
          <w:rFonts w:hAnsi="宋体"/>
          <w:color w:val="auto"/>
          <w:szCs w:val="21"/>
          <w:highlight w:val="none"/>
        </w:rPr>
      </w:pPr>
    </w:p>
    <w:p>
      <w:pPr>
        <w:spacing w:beforeLines="50" w:after="50"/>
        <w:rPr>
          <w:rFonts w:ascii="宋体" w:hAnsi="宋体" w:eastAsia="宋体" w:cs="宋体"/>
          <w:color w:val="auto"/>
          <w:szCs w:val="21"/>
          <w:highlight w:val="none"/>
        </w:rPr>
      </w:pPr>
      <w:r>
        <w:rPr>
          <w:rFonts w:ascii="宋体" w:hAnsi="宋体" w:eastAsia="宋体"/>
          <w:color w:val="auto"/>
          <w:szCs w:val="21"/>
          <w:highlight w:val="none"/>
        </w:rPr>
        <w:br w:type="page"/>
      </w:r>
      <w:r>
        <w:rPr>
          <w:rFonts w:hint="eastAsia" w:ascii="宋体" w:hAnsi="宋体" w:eastAsia="宋体"/>
          <w:b/>
          <w:color w:val="auto"/>
          <w:kern w:val="2"/>
          <w:sz w:val="24"/>
          <w:szCs w:val="24"/>
          <w:highlight w:val="none"/>
        </w:rPr>
        <w:t>附件六：</w:t>
      </w:r>
    </w:p>
    <w:p>
      <w:pPr>
        <w:spacing w:beforeLines="50" w:after="50"/>
        <w:jc w:val="center"/>
        <w:rPr>
          <w:rFonts w:ascii="宋体" w:hAnsi="宋体" w:eastAsia="宋体" w:cs="宋体"/>
          <w:b/>
          <w:color w:val="auto"/>
          <w:sz w:val="28"/>
          <w:szCs w:val="28"/>
          <w:highlight w:val="none"/>
        </w:rPr>
      </w:pPr>
    </w:p>
    <w:p>
      <w:pPr>
        <w:spacing w:beforeLines="50" w:after="5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具备履行合同所必需的设备和专业技术服务能力的承诺书</w:t>
      </w:r>
    </w:p>
    <w:p>
      <w:pPr>
        <w:spacing w:after="0" w:line="400" w:lineRule="exact"/>
        <w:rPr>
          <w:rFonts w:ascii="宋体" w:hAnsi="宋体" w:eastAsia="宋体" w:cs="宋体"/>
          <w:b/>
          <w:bCs/>
          <w:color w:val="auto"/>
          <w:sz w:val="24"/>
          <w:szCs w:val="24"/>
          <w:highlight w:val="none"/>
        </w:rPr>
      </w:pPr>
    </w:p>
    <w:p>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（采购人或代理机构）     </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我单位参加贵公司组织的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编号：）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after="0" w:line="400" w:lineRule="exact"/>
        <w:ind w:firstLine="480" w:firstLineChars="200"/>
        <w:rPr>
          <w:rFonts w:ascii="宋体" w:hAnsi="宋体" w:eastAsia="宋体" w:cs="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spacing w:beforeLines="50" w:after="50" w:line="360" w:lineRule="auto"/>
        <w:rPr>
          <w:rFonts w:ascii="宋体" w:hAnsi="宋体" w:eastAsia="宋体" w:cs="宋体"/>
          <w:color w:val="auto"/>
          <w:szCs w:val="21"/>
          <w:highlight w:val="none"/>
        </w:rPr>
      </w:pPr>
    </w:p>
    <w:p>
      <w:pPr>
        <w:spacing w:beforeLines="50" w:after="5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附：我单位具备履行合同所必需的设备、项目实施人员专业技术服务能力证明材料（如有可以提供）</w:t>
      </w:r>
    </w:p>
    <w:p>
      <w:pPr>
        <w:adjustRightInd/>
        <w:snapToGrid/>
        <w:spacing w:line="220" w:lineRule="atLeas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r>
        <w:rPr>
          <w:rFonts w:hint="eastAsia" w:ascii="宋体" w:hAnsi="宋体" w:eastAsia="宋体"/>
          <w:b/>
          <w:color w:val="auto"/>
          <w:sz w:val="24"/>
          <w:szCs w:val="24"/>
          <w:highlight w:val="none"/>
        </w:rPr>
        <w:t>附件七：</w:t>
      </w:r>
    </w:p>
    <w:p>
      <w:pPr>
        <w:pStyle w:val="19"/>
        <w:spacing w:line="400" w:lineRule="exact"/>
        <w:rPr>
          <w:rFonts w:hAnsi="宋体"/>
          <w:b/>
          <w:color w:val="auto"/>
          <w:szCs w:val="21"/>
          <w:highlight w:val="none"/>
        </w:rPr>
      </w:pPr>
    </w:p>
    <w:p>
      <w:pPr>
        <w:pStyle w:val="19"/>
        <w:spacing w:line="400" w:lineRule="exact"/>
        <w:jc w:val="center"/>
        <w:rPr>
          <w:rFonts w:hAnsi="宋体"/>
          <w:b/>
          <w:color w:val="auto"/>
          <w:sz w:val="28"/>
          <w:szCs w:val="28"/>
          <w:highlight w:val="none"/>
        </w:rPr>
      </w:pPr>
      <w:r>
        <w:rPr>
          <w:rFonts w:hint="eastAsia" w:hAnsi="宋体"/>
          <w:b/>
          <w:color w:val="auto"/>
          <w:sz w:val="28"/>
          <w:szCs w:val="28"/>
          <w:highlight w:val="none"/>
        </w:rPr>
        <w:t>参加政府采购活动前三年内在经营活动中没有重大违法记录的书面声明</w:t>
      </w:r>
    </w:p>
    <w:p>
      <w:pPr>
        <w:pStyle w:val="19"/>
        <w:spacing w:line="400" w:lineRule="exact"/>
        <w:rPr>
          <w:rFonts w:hAnsi="宋体"/>
          <w:color w:val="auto"/>
          <w:szCs w:val="21"/>
          <w:highlight w:val="none"/>
        </w:rPr>
      </w:pPr>
    </w:p>
    <w:p>
      <w:pPr>
        <w:pStyle w:val="19"/>
        <w:spacing w:line="400" w:lineRule="exact"/>
        <w:rPr>
          <w:rFonts w:hAnsi="宋体"/>
          <w:color w:val="auto"/>
          <w:szCs w:val="21"/>
          <w:highlight w:val="none"/>
        </w:rPr>
      </w:pPr>
    </w:p>
    <w:p>
      <w:pPr>
        <w:pStyle w:val="19"/>
        <w:spacing w:line="500" w:lineRule="exact"/>
        <w:rPr>
          <w:rFonts w:hAnsi="宋体"/>
          <w:color w:val="auto"/>
          <w:sz w:val="24"/>
          <w:szCs w:val="24"/>
          <w:highlight w:val="none"/>
        </w:rPr>
      </w:pPr>
      <w:r>
        <w:rPr>
          <w:rFonts w:hint="eastAsia" w:hAnsi="宋体"/>
          <w:color w:val="auto"/>
          <w:sz w:val="24"/>
          <w:szCs w:val="24"/>
          <w:highlight w:val="none"/>
        </w:rPr>
        <w:t>致：________(采购代理机构)</w:t>
      </w:r>
    </w:p>
    <w:p>
      <w:pPr>
        <w:pStyle w:val="19"/>
        <w:spacing w:line="500" w:lineRule="exact"/>
        <w:ind w:firstLine="480" w:firstLineChars="200"/>
        <w:rPr>
          <w:rFonts w:hAnsi="宋体"/>
          <w:color w:val="auto"/>
          <w:sz w:val="24"/>
          <w:szCs w:val="24"/>
          <w:highlight w:val="none"/>
        </w:rPr>
      </w:pPr>
      <w:r>
        <w:rPr>
          <w:rFonts w:hint="eastAsia" w:hAnsi="宋体"/>
          <w:color w:val="auto"/>
          <w:sz w:val="24"/>
          <w:szCs w:val="24"/>
          <w:highlight w:val="none"/>
        </w:rPr>
        <w:t>我单位参加贵公司组织的</w:t>
      </w:r>
      <w:r>
        <w:rPr>
          <w:rFonts w:hint="eastAsia" w:hAnsi="宋体"/>
          <w:color w:val="auto"/>
          <w:sz w:val="24"/>
          <w:szCs w:val="24"/>
          <w:highlight w:val="none"/>
          <w:u w:val="single"/>
        </w:rPr>
        <w:t>（项目名称）</w:t>
      </w:r>
      <w:r>
        <w:rPr>
          <w:rFonts w:hint="eastAsia" w:hAnsi="宋体"/>
          <w:color w:val="auto"/>
          <w:sz w:val="24"/>
          <w:szCs w:val="24"/>
          <w:highlight w:val="none"/>
        </w:rPr>
        <w:t>（采购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9"/>
        <w:spacing w:line="500" w:lineRule="exact"/>
        <w:ind w:firstLine="480" w:firstLineChars="200"/>
        <w:rPr>
          <w:rFonts w:hAnsi="宋体"/>
          <w:color w:val="auto"/>
          <w:sz w:val="24"/>
          <w:szCs w:val="24"/>
          <w:highlight w:val="none"/>
        </w:rPr>
      </w:pPr>
      <w:r>
        <w:rPr>
          <w:rFonts w:hint="eastAsia" w:hAnsi="宋体"/>
          <w:color w:val="auto"/>
          <w:sz w:val="24"/>
          <w:szCs w:val="24"/>
          <w:highlight w:val="none"/>
        </w:rPr>
        <w:t>特此承诺。</w:t>
      </w:r>
    </w:p>
    <w:p>
      <w:pPr>
        <w:pStyle w:val="19"/>
        <w:spacing w:line="400" w:lineRule="exact"/>
        <w:rPr>
          <w:rFonts w:hAnsi="宋体"/>
          <w:color w:val="auto"/>
          <w:szCs w:val="21"/>
          <w:highlight w:val="none"/>
        </w:rPr>
      </w:pPr>
    </w:p>
    <w:p>
      <w:pPr>
        <w:pStyle w:val="19"/>
        <w:spacing w:line="300" w:lineRule="auto"/>
        <w:ind w:firstLine="1680" w:firstLineChars="700"/>
        <w:rPr>
          <w:rFonts w:hAnsi="宋体"/>
          <w:color w:val="auto"/>
          <w:sz w:val="24"/>
          <w:szCs w:val="24"/>
          <w:highlight w:val="none"/>
        </w:rPr>
      </w:pPr>
    </w:p>
    <w:p>
      <w:pPr>
        <w:pStyle w:val="19"/>
        <w:spacing w:line="300" w:lineRule="auto"/>
        <w:ind w:firstLine="1680" w:firstLineChars="700"/>
        <w:rPr>
          <w:rFonts w:hAnsi="宋体"/>
          <w:color w:val="auto"/>
          <w:sz w:val="24"/>
          <w:szCs w:val="24"/>
          <w:highlight w:val="none"/>
        </w:rPr>
      </w:pPr>
    </w:p>
    <w:p>
      <w:pPr>
        <w:pStyle w:val="19"/>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pStyle w:val="19"/>
        <w:spacing w:line="400" w:lineRule="exact"/>
        <w:rPr>
          <w:rFonts w:hAnsi="宋体"/>
          <w:color w:val="auto"/>
          <w:szCs w:val="21"/>
          <w:highlight w:val="none"/>
        </w:rPr>
      </w:pPr>
    </w:p>
    <w:p>
      <w:pPr>
        <w:spacing w:beforeLines="50" w:after="50"/>
        <w:rPr>
          <w:rFonts w:ascii="宋体" w:hAnsi="宋体" w:eastAsia="宋体"/>
          <w:color w:val="auto"/>
          <w:szCs w:val="21"/>
          <w:highlight w:val="none"/>
        </w:rPr>
      </w:pPr>
      <w:r>
        <w:rPr>
          <w:rFonts w:ascii="宋体" w:hAnsi="宋体" w:eastAsia="宋体"/>
          <w:color w:val="auto"/>
          <w:szCs w:val="21"/>
          <w:highlight w:val="none"/>
        </w:rPr>
        <w:br w:type="page"/>
      </w:r>
    </w:p>
    <w:p>
      <w:pPr>
        <w:pStyle w:val="19"/>
        <w:spacing w:line="440" w:lineRule="exact"/>
        <w:rPr>
          <w:rFonts w:hAnsi="宋体"/>
          <w:b/>
          <w:color w:val="auto"/>
          <w:sz w:val="24"/>
          <w:szCs w:val="24"/>
          <w:highlight w:val="none"/>
        </w:rPr>
      </w:pPr>
      <w:r>
        <w:rPr>
          <w:rFonts w:hint="eastAsia" w:hAnsi="宋体"/>
          <w:b/>
          <w:color w:val="auto"/>
          <w:sz w:val="24"/>
          <w:szCs w:val="24"/>
          <w:highlight w:val="none"/>
        </w:rPr>
        <w:t>附件八：</w:t>
      </w:r>
    </w:p>
    <w:p>
      <w:pPr>
        <w:pStyle w:val="19"/>
        <w:spacing w:line="400" w:lineRule="exact"/>
        <w:rPr>
          <w:rFonts w:hAnsi="宋体"/>
          <w:color w:val="auto"/>
          <w:szCs w:val="21"/>
          <w:highlight w:val="none"/>
        </w:rPr>
      </w:pPr>
    </w:p>
    <w:p>
      <w:pPr>
        <w:pStyle w:val="101"/>
        <w:ind w:firstLine="0" w:firstLineChars="0"/>
        <w:jc w:val="center"/>
        <w:rPr>
          <w:rFonts w:ascii="宋体" w:hAnsi="宋体"/>
          <w:b/>
          <w:color w:val="auto"/>
          <w:sz w:val="30"/>
          <w:szCs w:val="30"/>
          <w:highlight w:val="none"/>
        </w:rPr>
      </w:pPr>
      <w:r>
        <w:rPr>
          <w:rFonts w:hint="eastAsia" w:ascii="宋体" w:hAnsi="宋体"/>
          <w:b/>
          <w:color w:val="auto"/>
          <w:sz w:val="30"/>
          <w:szCs w:val="30"/>
          <w:highlight w:val="none"/>
        </w:rPr>
        <w:t>供应商控股及管理关系情况申报表</w:t>
      </w:r>
    </w:p>
    <w:p>
      <w:pPr>
        <w:spacing w:line="440" w:lineRule="exact"/>
        <w:rPr>
          <w:rFonts w:ascii="宋体" w:hAnsi="宋体" w:eastAsia="宋体"/>
          <w:color w:val="auto"/>
          <w:sz w:val="24"/>
          <w:szCs w:val="24"/>
          <w:highlight w:val="none"/>
        </w:rPr>
      </w:pPr>
    </w:p>
    <w:p>
      <w:pPr>
        <w:spacing w:line="440" w:lineRule="exact"/>
        <w:rPr>
          <w:rFonts w:ascii="宋体" w:hAnsi="宋体" w:eastAsia="宋体"/>
          <w:color w:val="auto"/>
          <w:kern w:val="2"/>
          <w:sz w:val="24"/>
          <w:szCs w:val="24"/>
          <w:highlight w:val="none"/>
        </w:rPr>
      </w:pPr>
      <w:r>
        <w:rPr>
          <w:rFonts w:hint="eastAsia" w:ascii="宋体" w:hAnsi="宋体" w:eastAsia="宋体"/>
          <w:color w:val="auto"/>
          <w:sz w:val="24"/>
          <w:szCs w:val="24"/>
          <w:highlight w:val="none"/>
        </w:rPr>
        <w:t>致：________(采购代理机构)</w:t>
      </w:r>
    </w:p>
    <w:p>
      <w:pPr>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我单位参加</w:t>
      </w:r>
      <w:r>
        <w:rPr>
          <w:rFonts w:hint="eastAsia" w:ascii="宋体" w:hAnsi="宋体" w:eastAsia="宋体"/>
          <w:color w:val="auto"/>
          <w:kern w:val="2"/>
          <w:sz w:val="24"/>
          <w:szCs w:val="24"/>
          <w:highlight w:val="none"/>
          <w:u w:val="single"/>
        </w:rPr>
        <w:t xml:space="preserve">   （项目名称）      </w:t>
      </w:r>
      <w:r>
        <w:rPr>
          <w:rFonts w:hint="eastAsia" w:ascii="宋体" w:hAnsi="宋体" w:eastAsia="宋体"/>
          <w:color w:val="auto"/>
          <w:kern w:val="2"/>
          <w:sz w:val="24"/>
          <w:szCs w:val="24"/>
          <w:highlight w:val="none"/>
        </w:rPr>
        <w:t>的竞标，根据《中华人民共和国政府采购法》及相关规定，特就本单位控股及管理关系情况申报如下，并承担申报不实的责任。</w:t>
      </w:r>
    </w:p>
    <w:tbl>
      <w:tblPr>
        <w:tblStyle w:val="3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供应商名称</w:t>
            </w:r>
          </w:p>
        </w:tc>
        <w:tc>
          <w:tcPr>
            <w:tcW w:w="6455" w:type="dxa"/>
            <w:gridSpan w:val="2"/>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法定代表人</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单位负责人</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姓名</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身份证号</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非控股股东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被管理关系单位名称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备注：</w:t>
            </w:r>
          </w:p>
        </w:tc>
      </w:tr>
    </w:tbl>
    <w:p>
      <w:pPr>
        <w:spacing w:after="0" w:line="3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注：</w:t>
      </w:r>
    </w:p>
    <w:p>
      <w:pPr>
        <w:pStyle w:val="101"/>
        <w:numPr>
          <w:ilvl w:val="3"/>
          <w:numId w:val="4"/>
        </w:numPr>
        <w:adjustRightInd w:val="0"/>
        <w:snapToGrid w:val="0"/>
        <w:spacing w:line="340" w:lineRule="exact"/>
        <w:ind w:left="0" w:firstLine="480"/>
        <w:rPr>
          <w:rFonts w:ascii="宋体" w:hAnsi="宋体" w:cstheme="minorBidi"/>
          <w:color w:val="auto"/>
          <w:sz w:val="24"/>
          <w:highlight w:val="none"/>
        </w:rPr>
      </w:pPr>
      <w:r>
        <w:rPr>
          <w:rFonts w:hint="eastAsia" w:ascii="宋体" w:hAnsi="宋体" w:cstheme="minorBidi"/>
          <w:color w:val="auto"/>
          <w:sz w:val="24"/>
          <w:highlight w:val="none"/>
        </w:rPr>
        <w:t>控股股东</w:t>
      </w:r>
      <w:r>
        <w:rPr>
          <w:rFonts w:ascii="宋体" w:hAnsi="宋体" w:cstheme="minorBidi"/>
          <w:color w:val="auto"/>
          <w:sz w:val="24"/>
          <w:highlight w:val="none"/>
        </w:rPr>
        <w:t>/</w:t>
      </w:r>
      <w:r>
        <w:rPr>
          <w:rFonts w:hint="eastAsia" w:ascii="宋体" w:hAnsi="宋体" w:cstheme="minorBidi"/>
          <w:color w:val="auto"/>
          <w:sz w:val="24"/>
          <w:highlight w:val="none"/>
        </w:rPr>
        <w:t>投资人是指出资比例在</w:t>
      </w:r>
      <w:r>
        <w:rPr>
          <w:rFonts w:ascii="宋体" w:hAnsi="宋体" w:cstheme="minorBidi"/>
          <w:color w:val="auto"/>
          <w:sz w:val="24"/>
          <w:highlight w:val="none"/>
        </w:rPr>
        <w:t>50%</w:t>
      </w:r>
      <w:r>
        <w:rPr>
          <w:rFonts w:hint="eastAsia" w:ascii="宋体" w:hAnsi="宋体" w:cstheme="minorBidi"/>
          <w:color w:val="auto"/>
          <w:sz w:val="24"/>
          <w:highlight w:val="none"/>
        </w:rPr>
        <w:t>以上，或者出资比例不足</w:t>
      </w:r>
      <w:r>
        <w:rPr>
          <w:rFonts w:ascii="宋体" w:hAnsi="宋体" w:cstheme="minorBidi"/>
          <w:color w:val="auto"/>
          <w:sz w:val="24"/>
          <w:highlight w:val="none"/>
        </w:rPr>
        <w:t>50%</w:t>
      </w:r>
      <w:r>
        <w:rPr>
          <w:rFonts w:hint="eastAsia" w:ascii="宋体" w:hAnsi="宋体" w:cstheme="minorBidi"/>
          <w:color w:val="auto"/>
          <w:sz w:val="24"/>
          <w:highlight w:val="none"/>
        </w:rPr>
        <w:t>，但享有公司股东会</w:t>
      </w:r>
      <w:r>
        <w:rPr>
          <w:rFonts w:ascii="宋体" w:hAnsi="宋体" w:cstheme="minorBidi"/>
          <w:color w:val="auto"/>
          <w:sz w:val="24"/>
          <w:highlight w:val="none"/>
        </w:rPr>
        <w:t>/</w:t>
      </w:r>
      <w:r>
        <w:rPr>
          <w:rFonts w:hint="eastAsia" w:ascii="宋体" w:hAnsi="宋体" w:cstheme="minorBidi"/>
          <w:color w:val="auto"/>
          <w:sz w:val="24"/>
          <w:highlight w:val="none"/>
        </w:rPr>
        <w:t>董事会控制权的投资方（含单位或者个人）；</w:t>
      </w:r>
    </w:p>
    <w:p>
      <w:pPr>
        <w:pStyle w:val="101"/>
        <w:numPr>
          <w:ilvl w:val="3"/>
          <w:numId w:val="4"/>
        </w:numPr>
        <w:adjustRightInd w:val="0"/>
        <w:snapToGrid w:val="0"/>
        <w:spacing w:line="340" w:lineRule="exact"/>
        <w:ind w:left="0" w:firstLine="480"/>
        <w:rPr>
          <w:rFonts w:ascii="宋体" w:hAnsi="宋体" w:cstheme="minorBidi"/>
          <w:color w:val="auto"/>
          <w:sz w:val="24"/>
          <w:highlight w:val="none"/>
        </w:rPr>
      </w:pPr>
      <w:r>
        <w:rPr>
          <w:rFonts w:hint="eastAsia" w:ascii="宋体" w:hAnsi="宋体" w:cstheme="minorBidi"/>
          <w:color w:val="auto"/>
          <w:sz w:val="24"/>
          <w:highlight w:val="none"/>
        </w:rPr>
        <w:t>管理关系单位是指与不具有出资持股关系的其他单位之间存在管理与被管理关系的单位；</w:t>
      </w:r>
    </w:p>
    <w:p>
      <w:pPr>
        <w:pStyle w:val="101"/>
        <w:numPr>
          <w:ilvl w:val="3"/>
          <w:numId w:val="4"/>
        </w:numPr>
        <w:adjustRightInd w:val="0"/>
        <w:snapToGrid w:val="0"/>
        <w:spacing w:line="340" w:lineRule="exact"/>
        <w:ind w:left="0" w:firstLine="480"/>
        <w:rPr>
          <w:rFonts w:ascii="宋体" w:hAnsi="宋体"/>
          <w:color w:val="auto"/>
          <w:sz w:val="24"/>
          <w:highlight w:val="none"/>
        </w:rPr>
      </w:pPr>
      <w:r>
        <w:rPr>
          <w:rFonts w:hint="eastAsia" w:ascii="宋体" w:hAnsi="宋体" w:cstheme="minorBidi"/>
          <w:color w:val="auto"/>
          <w:sz w:val="24"/>
          <w:highlight w:val="none"/>
        </w:rPr>
        <w:t>如未有相关情况，请在相应栏填写“无”。</w:t>
      </w:r>
    </w:p>
    <w:p>
      <w:pPr>
        <w:pStyle w:val="19"/>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Cs w:val="21"/>
          <w:highlight w:val="none"/>
        </w:rPr>
      </w:pPr>
      <w:r>
        <w:rPr>
          <w:rFonts w:hint="eastAsia" w:hAnsi="宋体"/>
          <w:color w:val="auto"/>
          <w:sz w:val="24"/>
          <w:highlight w:val="none"/>
        </w:rPr>
        <w:t>日期：  年  月  日</w:t>
      </w:r>
    </w:p>
    <w:p>
      <w:pPr>
        <w:pStyle w:val="19"/>
        <w:spacing w:line="440" w:lineRule="exact"/>
        <w:rPr>
          <w:rFonts w:hAnsi="宋体"/>
          <w:color w:val="auto"/>
          <w:sz w:val="24"/>
          <w:highlight w:val="none"/>
        </w:rPr>
      </w:pPr>
      <w:r>
        <w:rPr>
          <w:rFonts w:hAnsi="宋体"/>
          <w:color w:val="auto"/>
          <w:sz w:val="24"/>
          <w:highlight w:val="none"/>
        </w:rPr>
        <w:br w:type="page"/>
      </w:r>
      <w:r>
        <w:rPr>
          <w:rFonts w:hint="eastAsia" w:hAnsi="宋体"/>
          <w:b/>
          <w:color w:val="auto"/>
          <w:sz w:val="24"/>
          <w:szCs w:val="24"/>
          <w:highlight w:val="none"/>
        </w:rPr>
        <w:t>附件九：</w:t>
      </w:r>
    </w:p>
    <w:p>
      <w:pPr>
        <w:pStyle w:val="19"/>
        <w:spacing w:line="440" w:lineRule="exact"/>
        <w:jc w:val="center"/>
        <w:rPr>
          <w:rFonts w:hAnsi="宋体"/>
          <w:b/>
          <w:color w:val="auto"/>
          <w:sz w:val="32"/>
          <w:szCs w:val="32"/>
          <w:highlight w:val="none"/>
        </w:rPr>
      </w:pPr>
    </w:p>
    <w:p>
      <w:pPr>
        <w:spacing w:beforeLines="50" w:afterLines="50" w:line="6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法定代表人身份证明</w:t>
      </w:r>
    </w:p>
    <w:p>
      <w:pPr>
        <w:pStyle w:val="19"/>
        <w:spacing w:line="460" w:lineRule="exact"/>
        <w:ind w:firstLine="616" w:firstLineChars="257"/>
        <w:rPr>
          <w:rFonts w:hAnsi="宋体"/>
          <w:color w:val="auto"/>
          <w:sz w:val="24"/>
          <w:highlight w:val="none"/>
          <w:u w:val="single"/>
        </w:rPr>
      </w:pPr>
      <w:r>
        <w:rPr>
          <w:rFonts w:hint="eastAsia" w:hAnsi="宋体"/>
          <w:color w:val="auto"/>
          <w:sz w:val="24"/>
          <w:highlight w:val="none"/>
        </w:rPr>
        <w:t>供应商：</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单位性质：</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地    址：</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成立时间：年月日</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经营期限：</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姓    名：性      别：</w:t>
      </w:r>
    </w:p>
    <w:p>
      <w:pPr>
        <w:pStyle w:val="19"/>
        <w:spacing w:line="460" w:lineRule="exact"/>
        <w:ind w:firstLine="616" w:firstLineChars="257"/>
        <w:rPr>
          <w:rFonts w:hAnsi="宋体"/>
          <w:color w:val="auto"/>
          <w:sz w:val="24"/>
          <w:highlight w:val="none"/>
          <w:u w:val="single"/>
        </w:rPr>
      </w:pPr>
      <w:r>
        <w:rPr>
          <w:rFonts w:hint="eastAsia" w:hAnsi="宋体"/>
          <w:color w:val="auto"/>
          <w:sz w:val="24"/>
          <w:highlight w:val="none"/>
        </w:rPr>
        <w:t>年    龄：职      务：</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身份证号码：</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 xml:space="preserve">（供应商名称）               </w:t>
      </w:r>
      <w:r>
        <w:rPr>
          <w:rFonts w:hint="eastAsia" w:hAnsi="宋体"/>
          <w:color w:val="auto"/>
          <w:sz w:val="24"/>
          <w:highlight w:val="none"/>
        </w:rPr>
        <w:t>的法定代表人。</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特此证明。</w:t>
      </w:r>
    </w:p>
    <w:p>
      <w:pPr>
        <w:pStyle w:val="19"/>
        <w:spacing w:line="460" w:lineRule="exact"/>
        <w:ind w:firstLine="616" w:firstLineChars="257"/>
        <w:rPr>
          <w:rFonts w:hAnsi="宋体"/>
          <w:color w:val="auto"/>
          <w:sz w:val="24"/>
          <w:szCs w:val="24"/>
          <w:highlight w:val="none"/>
        </w:rPr>
      </w:pPr>
      <w:r>
        <w:rPr>
          <w:rFonts w:hint="eastAsia" w:hAnsi="宋体"/>
          <w:color w:val="auto"/>
          <w:kern w:val="0"/>
          <w:sz w:val="24"/>
          <w:highlight w:val="none"/>
        </w:rPr>
        <w:t>附：法定代表人有效的身份证正反面复印件，并加盖公章。</w:t>
      </w:r>
    </w:p>
    <w:p>
      <w:pPr>
        <w:pStyle w:val="19"/>
        <w:spacing w:line="460" w:lineRule="exact"/>
        <w:ind w:firstLine="616" w:firstLineChars="257"/>
        <w:rPr>
          <w:rFonts w:hAnsi="宋体"/>
          <w:color w:val="auto"/>
          <w:sz w:val="24"/>
          <w:szCs w:val="24"/>
          <w:highlight w:val="none"/>
        </w:rPr>
      </w:pPr>
    </w:p>
    <w:p>
      <w:pPr>
        <w:pStyle w:val="19"/>
        <w:spacing w:line="460" w:lineRule="exact"/>
        <w:ind w:firstLine="616" w:firstLineChars="257"/>
        <w:rPr>
          <w:rFonts w:hAnsi="宋体"/>
          <w:color w:val="auto"/>
          <w:sz w:val="24"/>
          <w:szCs w:val="24"/>
          <w:highlight w:val="none"/>
        </w:rPr>
      </w:pPr>
    </w:p>
    <w:p>
      <w:pPr>
        <w:pStyle w:val="19"/>
        <w:spacing w:line="460" w:lineRule="exact"/>
        <w:ind w:firstLine="616" w:firstLineChars="257"/>
        <w:rPr>
          <w:rFonts w:hAnsi="宋体"/>
          <w:color w:val="auto"/>
          <w:sz w:val="24"/>
          <w:szCs w:val="24"/>
          <w:highlight w:val="none"/>
        </w:rPr>
      </w:pPr>
    </w:p>
    <w:p>
      <w:pPr>
        <w:pStyle w:val="19"/>
        <w:spacing w:line="460" w:lineRule="exact"/>
        <w:ind w:firstLine="616" w:firstLineChars="257"/>
        <w:rPr>
          <w:rFonts w:hAnsi="宋体"/>
          <w:color w:val="auto"/>
          <w:sz w:val="24"/>
          <w:szCs w:val="24"/>
          <w:highlight w:val="none"/>
        </w:rPr>
      </w:pPr>
    </w:p>
    <w:p>
      <w:pPr>
        <w:spacing w:after="0" w:line="500" w:lineRule="exact"/>
        <w:ind w:firstLine="3840" w:firstLineChars="16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pStyle w:val="19"/>
        <w:spacing w:line="460" w:lineRule="exact"/>
        <w:ind w:firstLine="3840" w:firstLineChars="1600"/>
        <w:rPr>
          <w:rFonts w:hAnsi="宋体"/>
          <w:color w:val="auto"/>
          <w:sz w:val="24"/>
          <w:szCs w:val="24"/>
          <w:highlight w:val="none"/>
        </w:rPr>
      </w:pPr>
      <w:r>
        <w:rPr>
          <w:rFonts w:hint="eastAsia" w:hAnsi="宋体"/>
          <w:color w:val="auto"/>
          <w:sz w:val="24"/>
          <w:highlight w:val="none"/>
        </w:rPr>
        <w:t>日期：  年  月  日</w:t>
      </w:r>
    </w:p>
    <w:p>
      <w:pPr>
        <w:adjustRightInd/>
        <w:snapToGrid/>
        <w:spacing w:line="220" w:lineRule="atLeast"/>
        <w:rPr>
          <w:rFonts w:ascii="宋体" w:hAnsi="宋体" w:eastAsia="宋体"/>
          <w:color w:val="auto"/>
          <w:sz w:val="24"/>
          <w:highlight w:val="none"/>
        </w:rPr>
      </w:pPr>
      <w:r>
        <w:rPr>
          <w:rFonts w:ascii="宋体" w:hAnsi="宋体" w:eastAsia="宋体"/>
          <w:color w:val="auto"/>
          <w:sz w:val="24"/>
          <w:highlight w:val="none"/>
        </w:rPr>
        <w:br w:type="page"/>
      </w:r>
    </w:p>
    <w:p>
      <w:pPr>
        <w:spacing w:line="400" w:lineRule="exact"/>
        <w:rPr>
          <w:rFonts w:ascii="宋体" w:hAnsi="宋体" w:eastAsia="宋体"/>
          <w:color w:val="auto"/>
          <w:sz w:val="24"/>
          <w:highlight w:val="none"/>
        </w:rPr>
      </w:pPr>
      <w:r>
        <w:rPr>
          <w:rFonts w:hint="eastAsia" w:ascii="宋体" w:hAnsi="宋体" w:eastAsia="宋体"/>
          <w:b/>
          <w:color w:val="auto"/>
          <w:sz w:val="24"/>
          <w:highlight w:val="none"/>
        </w:rPr>
        <w:t>附件十：</w:t>
      </w:r>
    </w:p>
    <w:p>
      <w:pPr>
        <w:spacing w:beforeLines="50" w:afterLines="50" w:line="60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法定代表人授权委托书</w:t>
      </w:r>
    </w:p>
    <w:p>
      <w:pPr>
        <w:autoSpaceDE w:val="0"/>
        <w:rPr>
          <w:rFonts w:ascii="宋体" w:hAnsi="宋体" w:eastAsia="宋体" w:cs="Arial"/>
          <w:b/>
          <w:color w:val="auto"/>
          <w:szCs w:val="21"/>
          <w:highlight w:val="none"/>
        </w:rPr>
      </w:pPr>
    </w:p>
    <w:p>
      <w:pPr>
        <w:spacing w:after="0" w:line="440" w:lineRule="exact"/>
        <w:rPr>
          <w:rFonts w:ascii="宋体" w:hAnsi="宋体" w:eastAsia="宋体" w:cs="Arial"/>
          <w:b/>
          <w:bCs/>
          <w:color w:val="auto"/>
          <w:sz w:val="24"/>
          <w:highlight w:val="none"/>
        </w:rPr>
      </w:pPr>
      <w:r>
        <w:rPr>
          <w:rFonts w:hint="eastAsia" w:ascii="宋体" w:hAnsi="宋体" w:eastAsia="宋体" w:cs="Arial"/>
          <w:bCs/>
          <w:color w:val="auto"/>
          <w:sz w:val="24"/>
          <w:highlight w:val="none"/>
        </w:rPr>
        <w:t>致</w:t>
      </w:r>
      <w:r>
        <w:rPr>
          <w:rFonts w:hint="eastAsia" w:ascii="宋体" w:hAnsi="宋体" w:eastAsia="宋体" w:cs="Arial"/>
          <w:color w:val="auto"/>
          <w:sz w:val="24"/>
          <w:highlight w:val="none"/>
        </w:rPr>
        <w:t>：（采购代理机构）</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w:t>
      </w:r>
      <w:r>
        <w:rPr>
          <w:rFonts w:hint="eastAsia" w:ascii="宋体" w:hAnsi="宋体" w:eastAsia="宋体" w:cs="Arial"/>
          <w:color w:val="auto"/>
          <w:sz w:val="24"/>
          <w:highlight w:val="none"/>
          <w:u w:val="single"/>
        </w:rPr>
        <w:t>（姓名）</w:t>
      </w:r>
      <w:r>
        <w:rPr>
          <w:rFonts w:hint="eastAsia" w:ascii="宋体" w:hAnsi="宋体" w:eastAsia="宋体" w:cs="Arial"/>
          <w:color w:val="auto"/>
          <w:sz w:val="24"/>
          <w:highlight w:val="none"/>
        </w:rPr>
        <w:t>系</w:t>
      </w:r>
      <w:r>
        <w:rPr>
          <w:rFonts w:hint="eastAsia" w:ascii="宋体" w:hAnsi="宋体" w:eastAsia="宋体" w:cs="Arial"/>
          <w:color w:val="auto"/>
          <w:sz w:val="24"/>
          <w:highlight w:val="none"/>
          <w:u w:val="single"/>
        </w:rPr>
        <w:t>（供应商名称）</w:t>
      </w:r>
      <w:r>
        <w:rPr>
          <w:rFonts w:hint="eastAsia" w:ascii="宋体" w:hAnsi="宋体" w:eastAsia="宋体" w:cs="Arial"/>
          <w:color w:val="auto"/>
          <w:sz w:val="24"/>
          <w:highlight w:val="none"/>
        </w:rPr>
        <w:t>的法定代表人，现授权委托本单位在职职工</w:t>
      </w:r>
      <w:r>
        <w:rPr>
          <w:rFonts w:hint="eastAsia" w:ascii="宋体" w:hAnsi="宋体" w:eastAsia="宋体" w:cs="Arial"/>
          <w:color w:val="auto"/>
          <w:sz w:val="24"/>
          <w:highlight w:val="none"/>
          <w:u w:val="single"/>
        </w:rPr>
        <w:t xml:space="preserve"> （姓名）</w:t>
      </w:r>
      <w:r>
        <w:rPr>
          <w:rFonts w:hint="eastAsia" w:ascii="宋体" w:hAnsi="宋体" w:eastAsia="宋体" w:cs="Arial"/>
          <w:color w:val="auto"/>
          <w:sz w:val="24"/>
          <w:highlight w:val="none"/>
        </w:rPr>
        <w:t>以我方的名义参加</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w:t>
      </w:r>
      <w:r>
        <w:rPr>
          <w:rFonts w:hint="eastAsia" w:ascii="宋体" w:hAnsi="宋体" w:eastAsia="宋体" w:cs="Arial"/>
          <w:color w:val="auto"/>
          <w:sz w:val="24"/>
          <w:highlight w:val="none"/>
        </w:rPr>
        <w:t>项目的竞标活动，并代表我方全权办理针对上述项目的响应文件签署、响应文件提交、谈判、签订合同和处理一切有关事宜等。</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我方对被授权人的签名事项负全部责任。</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授权委托期限：年月日至年月日。被授权人在授权书有效期内签署的所有文件均有效。</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被授权人无转委托权，特此委托。</w:t>
      </w:r>
    </w:p>
    <w:p>
      <w:pPr>
        <w:spacing w:after="0" w:line="440" w:lineRule="exact"/>
        <w:ind w:firstLine="480" w:firstLineChars="200"/>
        <w:rPr>
          <w:rFonts w:ascii="宋体" w:hAnsi="宋体" w:eastAsia="宋体" w:cs="Arial"/>
          <w:color w:val="auto"/>
          <w:sz w:val="24"/>
          <w:highlight w:val="none"/>
        </w:rPr>
      </w:pP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附：被授权人有效的身份证正反面复印件，并加盖公章。</w:t>
      </w:r>
    </w:p>
    <w:p>
      <w:pPr>
        <w:spacing w:line="440" w:lineRule="exact"/>
        <w:ind w:firstLine="480" w:firstLineChars="200"/>
        <w:rPr>
          <w:rFonts w:ascii="宋体" w:hAnsi="宋体" w:eastAsia="宋体" w:cs="Arial"/>
          <w:color w:val="auto"/>
          <w:sz w:val="24"/>
          <w:highlight w:val="none"/>
        </w:rPr>
      </w:pP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法定代表人身份证号码：</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委托代理人身份证号码：</w:t>
      </w:r>
    </w:p>
    <w:p>
      <w:pPr>
        <w:spacing w:line="440" w:lineRule="exact"/>
        <w:ind w:firstLine="2880" w:firstLineChars="1200"/>
        <w:rPr>
          <w:rFonts w:ascii="宋体" w:hAnsi="宋体" w:eastAsia="宋体" w:cs="Arial"/>
          <w:color w:val="auto"/>
          <w:sz w:val="24"/>
          <w:highlight w:val="none"/>
        </w:rPr>
      </w:pPr>
      <w:r>
        <w:rPr>
          <w:rFonts w:hint="eastAsia" w:ascii="宋体" w:hAnsi="宋体" w:eastAsia="宋体"/>
          <w:color w:val="auto"/>
          <w:sz w:val="24"/>
          <w:highlight w:val="none"/>
        </w:rPr>
        <w:t>日期：  年  月  日</w:t>
      </w:r>
    </w:p>
    <w:p>
      <w:pPr>
        <w:spacing w:line="440" w:lineRule="exact"/>
        <w:ind w:firstLine="480" w:firstLineChars="200"/>
        <w:rPr>
          <w:rFonts w:ascii="宋体" w:hAnsi="宋体" w:eastAsia="宋体" w:cs="Arial"/>
          <w:color w:val="auto"/>
          <w:sz w:val="24"/>
          <w:highlight w:val="none"/>
        </w:rPr>
      </w:pPr>
    </w:p>
    <w:p>
      <w:pPr>
        <w:adjustRightInd/>
        <w:snapToGrid/>
        <w:spacing w:line="220" w:lineRule="atLeast"/>
        <w:rPr>
          <w:rFonts w:ascii="宋体" w:hAnsi="宋体" w:eastAsia="宋体" w:cs="Arial"/>
          <w:color w:val="auto"/>
          <w:kern w:val="2"/>
          <w:sz w:val="24"/>
          <w:szCs w:val="24"/>
          <w:highlight w:val="none"/>
        </w:rPr>
      </w:pPr>
      <w:r>
        <w:rPr>
          <w:rFonts w:ascii="宋体" w:hAnsi="宋体" w:eastAsia="宋体" w:cs="Arial"/>
          <w:color w:val="auto"/>
          <w:sz w:val="24"/>
          <w:szCs w:val="24"/>
          <w:highlight w:val="none"/>
        </w:rPr>
        <w:br w:type="page"/>
      </w:r>
    </w:p>
    <w:p>
      <w:pPr>
        <w:spacing w:line="400" w:lineRule="exact"/>
        <w:rPr>
          <w:rFonts w:ascii="宋体" w:hAnsi="宋体" w:eastAsia="宋体" w:cs="Arial"/>
          <w:b/>
          <w:color w:val="auto"/>
          <w:sz w:val="24"/>
          <w:highlight w:val="none"/>
        </w:rPr>
      </w:pPr>
      <w:r>
        <w:rPr>
          <w:rFonts w:hint="eastAsia" w:ascii="宋体" w:hAnsi="宋体" w:eastAsia="宋体"/>
          <w:b/>
          <w:color w:val="auto"/>
          <w:sz w:val="24"/>
          <w:highlight w:val="none"/>
        </w:rPr>
        <w:t>附件十一：</w:t>
      </w:r>
    </w:p>
    <w:p>
      <w:pPr>
        <w:jc w:val="center"/>
        <w:rPr>
          <w:rFonts w:ascii="宋体" w:hAnsi="宋体"/>
          <w:color w:val="auto"/>
          <w:sz w:val="36"/>
          <w:szCs w:val="36"/>
          <w:highlight w:val="none"/>
        </w:rPr>
      </w:pPr>
      <w:r>
        <w:rPr>
          <w:rFonts w:hint="eastAsia" w:ascii="宋体" w:hAnsi="宋体"/>
          <w:color w:val="auto"/>
          <w:sz w:val="36"/>
          <w:szCs w:val="36"/>
          <w:highlight w:val="none"/>
        </w:rPr>
        <w:t>中小企业声明函（货物）</w:t>
      </w:r>
    </w:p>
    <w:p>
      <w:pPr>
        <w:jc w:val="center"/>
        <w:rPr>
          <w:rFonts w:ascii="宋体" w:hAnsi="宋体" w:eastAsia="宋体" w:cs="宋体"/>
          <w:color w:val="auto"/>
          <w:sz w:val="24"/>
          <w:szCs w:val="24"/>
          <w:highlight w:val="none"/>
        </w:rPr>
      </w:pP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本公司</w:t>
      </w:r>
      <w:r>
        <w:rPr>
          <w:rFonts w:hint="eastAsia" w:ascii="宋体" w:hAnsi="宋体" w:eastAsia="宋体" w:cs="宋体"/>
          <w:color w:val="auto"/>
          <w:sz w:val="24"/>
          <w:szCs w:val="24"/>
          <w:highlight w:val="none"/>
        </w:rPr>
        <w:t>郑重声明，据《政府采购促进中小企业发展管理办法》（财库﹝ 2020﹞ 46 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采购活动，提供的货物全部由符合政策要求的中小企业制造。相关企业的具体情况如下：</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，从业人员人，营业收入为万元，资产总额为万元， 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，从业人员人，营业收入为万元，资产总额为万元， 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 不属于大企业的分支机构，不存在控股股东为大企业的情形，也不存在与大企业的负责人为同一人的情形。</w:t>
      </w:r>
    </w:p>
    <w:p>
      <w:pPr>
        <w:spacing w:line="3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r>
        <w:rPr>
          <w:rFonts w:hint="eastAsia" w:ascii="宋体" w:hAnsi="宋体" w:eastAsia="宋体" w:cs="宋体"/>
          <w:color w:val="auto"/>
          <w:sz w:val="24"/>
          <w:szCs w:val="24"/>
          <w:highlight w:val="none"/>
        </w:rPr>
        <w:br w:type="textWrapping"/>
      </w:r>
    </w:p>
    <w:p>
      <w:pPr>
        <w:spacing w:line="320" w:lineRule="exact"/>
        <w:ind w:firstLine="480" w:firstLineChars="200"/>
        <w:rPr>
          <w:rFonts w:ascii="宋体" w:hAnsi="宋体" w:eastAsia="宋体" w:cs="宋体"/>
          <w:color w:val="auto"/>
          <w:sz w:val="24"/>
          <w:szCs w:val="24"/>
          <w:highlight w:val="none"/>
        </w:rPr>
      </w:pPr>
    </w:p>
    <w:p>
      <w:pPr>
        <w:spacing w:line="320" w:lineRule="exact"/>
        <w:ind w:firstLine="4560" w:firstLineChars="19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z w:val="24"/>
          <w:szCs w:val="24"/>
          <w:highlight w:val="none"/>
        </w:rPr>
        <w:br w:type="textWrapping"/>
      </w:r>
    </w:p>
    <w:p>
      <w:pPr>
        <w:spacing w:line="320" w:lineRule="exact"/>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20" w:lineRule="exact"/>
        <w:ind w:firstLine="480" w:firstLineChars="200"/>
        <w:rPr>
          <w:rFonts w:ascii="宋体" w:hAnsi="宋体" w:eastAsia="宋体" w:cs="宋体"/>
          <w:color w:val="auto"/>
          <w:sz w:val="24"/>
          <w:szCs w:val="24"/>
          <w:highlight w:val="none"/>
        </w:rPr>
      </w:pPr>
    </w:p>
    <w:p>
      <w:pPr>
        <w:spacing w:line="320" w:lineRule="exact"/>
        <w:ind w:firstLine="480" w:firstLineChars="200"/>
        <w:rPr>
          <w:rFonts w:ascii="宋体" w:hAnsi="宋体" w:eastAsia="宋体" w:cs="宋体"/>
          <w:color w:val="auto"/>
          <w:sz w:val="24"/>
          <w:szCs w:val="24"/>
          <w:highlight w:val="none"/>
        </w:rPr>
      </w:pPr>
    </w:p>
    <w:p>
      <w:pPr>
        <w:spacing w:line="320" w:lineRule="exact"/>
        <w:rPr>
          <w:rFonts w:ascii="宋体" w:hAnsi="宋体" w:eastAsia="宋体" w:cs="宋体"/>
          <w:color w:val="auto"/>
          <w:sz w:val="24"/>
          <w:szCs w:val="24"/>
          <w:highlight w:val="none"/>
        </w:rPr>
      </w:pPr>
    </w:p>
    <w:p>
      <w:pPr>
        <w:spacing w:line="320" w:lineRule="exact"/>
        <w:ind w:firstLine="480" w:firstLineChars="200"/>
        <w:rPr>
          <w:rFonts w:ascii="宋体" w:hAnsi="宋体" w:eastAsia="宋体" w:cs="宋体"/>
          <w:color w:val="auto"/>
          <w:sz w:val="24"/>
          <w:szCs w:val="24"/>
          <w:highlight w:val="none"/>
        </w:rPr>
      </w:pPr>
    </w:p>
    <w:p>
      <w:pPr>
        <w:spacing w:before="50" w:line="40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从业人员、 营业收入、 资产总额填报上一年度数据， 无上一年度数据的新成立企业可不填报。</w:t>
      </w:r>
    </w:p>
    <w:p>
      <w:pPr>
        <w:spacing w:before="50" w:line="400" w:lineRule="exact"/>
        <w:rPr>
          <w:rFonts w:ascii="宋体" w:hAnsi="宋体" w:eastAsia="宋体"/>
          <w:color w:val="auto"/>
          <w:sz w:val="24"/>
          <w:szCs w:val="24"/>
          <w:highlight w:val="none"/>
        </w:rPr>
      </w:pPr>
    </w:p>
    <w:p>
      <w:pPr>
        <w:pStyle w:val="19"/>
        <w:spacing w:line="440" w:lineRule="exact"/>
        <w:rPr>
          <w:rFonts w:hAnsi="宋体"/>
          <w:b/>
          <w:color w:val="auto"/>
          <w:szCs w:val="21"/>
          <w:highlight w:val="none"/>
        </w:rPr>
      </w:pPr>
    </w:p>
    <w:p>
      <w:pPr>
        <w:adjustRightInd/>
        <w:snapToGrid/>
        <w:spacing w:line="220" w:lineRule="atLeast"/>
        <w:rPr>
          <w:rFonts w:ascii="宋体" w:hAnsi="宋体" w:eastAsia="宋体"/>
          <w:b/>
          <w:color w:val="auto"/>
          <w:kern w:val="2"/>
          <w:sz w:val="21"/>
          <w:szCs w:val="21"/>
          <w:highlight w:val="none"/>
        </w:rPr>
      </w:pPr>
      <w:r>
        <w:rPr>
          <w:rFonts w:ascii="宋体" w:hAnsi="宋体" w:eastAsia="宋体"/>
          <w:b/>
          <w:color w:val="auto"/>
          <w:szCs w:val="21"/>
          <w:highlight w:val="none"/>
        </w:rPr>
        <w:br w:type="page"/>
      </w:r>
    </w:p>
    <w:p>
      <w:pPr>
        <w:rPr>
          <w:rFonts w:ascii="宋体" w:hAnsi="宋体" w:eastAsia="宋体" w:cs="仿宋"/>
          <w:b/>
          <w:color w:val="auto"/>
          <w:sz w:val="32"/>
          <w:szCs w:val="32"/>
          <w:highlight w:val="none"/>
        </w:rPr>
      </w:pPr>
      <w:r>
        <w:rPr>
          <w:rFonts w:hint="eastAsia" w:ascii="宋体" w:hAnsi="宋体" w:eastAsia="宋体"/>
          <w:b/>
          <w:color w:val="auto"/>
          <w:sz w:val="24"/>
          <w:szCs w:val="24"/>
          <w:highlight w:val="none"/>
        </w:rPr>
        <w:t>附件十二：</w:t>
      </w:r>
    </w:p>
    <w:p>
      <w:pPr>
        <w:jc w:val="center"/>
        <w:rPr>
          <w:rFonts w:ascii="宋体" w:hAnsi="宋体" w:eastAsia="宋体" w:cs="仿宋"/>
          <w:b/>
          <w:color w:val="auto"/>
          <w:sz w:val="32"/>
          <w:szCs w:val="32"/>
          <w:highlight w:val="none"/>
        </w:rPr>
      </w:pPr>
    </w:p>
    <w:p>
      <w:pPr>
        <w:spacing w:line="588" w:lineRule="exact"/>
        <w:jc w:val="center"/>
        <w:rPr>
          <w:rFonts w:ascii="宋体" w:hAnsi="宋体" w:eastAsia="宋体"/>
          <w:b/>
          <w:color w:val="auto"/>
          <w:sz w:val="32"/>
          <w:szCs w:val="32"/>
          <w:highlight w:val="none"/>
        </w:rPr>
      </w:pPr>
      <w:bookmarkStart w:id="192" w:name="OLE_LINK14"/>
      <w:bookmarkStart w:id="193" w:name="OLE_LINK13"/>
      <w:r>
        <w:rPr>
          <w:rFonts w:hint="eastAsia" w:ascii="宋体" w:hAnsi="宋体" w:eastAsia="宋体"/>
          <w:b/>
          <w:color w:val="auto"/>
          <w:sz w:val="32"/>
          <w:szCs w:val="32"/>
          <w:highlight w:val="none"/>
        </w:rPr>
        <w:t>残疾人福利性单位声明函</w:t>
      </w:r>
    </w:p>
    <w:bookmarkEnd w:id="192"/>
    <w:bookmarkEnd w:id="193"/>
    <w:p>
      <w:pPr>
        <w:spacing w:line="588" w:lineRule="exact"/>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本单位对上述声明的真实性负责。如有虚假，将依法承担相应责任。</w:t>
      </w:r>
    </w:p>
    <w:p>
      <w:pPr>
        <w:spacing w:line="588" w:lineRule="exact"/>
        <w:ind w:firstLine="480" w:firstLineChars="200"/>
        <w:rPr>
          <w:rFonts w:ascii="宋体" w:hAnsi="宋体" w:eastAsia="宋体" w:cs="仿宋"/>
          <w:color w:val="auto"/>
          <w:sz w:val="24"/>
          <w:szCs w:val="24"/>
          <w:highlight w:val="none"/>
        </w:rPr>
      </w:pPr>
    </w:p>
    <w:p>
      <w:pPr>
        <w:spacing w:line="588" w:lineRule="exact"/>
        <w:ind w:firstLine="480" w:firstLineChars="200"/>
        <w:rPr>
          <w:rFonts w:ascii="宋体" w:hAnsi="宋体" w:eastAsia="宋体" w:cs="仿宋"/>
          <w:color w:val="auto"/>
          <w:sz w:val="24"/>
          <w:szCs w:val="24"/>
          <w:highlight w:val="none"/>
        </w:rPr>
      </w:pPr>
    </w:p>
    <w:p>
      <w:pPr>
        <w:tabs>
          <w:tab w:val="left" w:pos="4860"/>
        </w:tabs>
        <w:spacing w:line="588" w:lineRule="exact"/>
        <w:ind w:right="1560" w:firstLine="480" w:firstLineChars="200"/>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单位名称（盖章）：</w:t>
      </w:r>
    </w:p>
    <w:p>
      <w:pPr>
        <w:tabs>
          <w:tab w:val="left" w:pos="4860"/>
        </w:tabs>
        <w:spacing w:line="588" w:lineRule="exact"/>
        <w:ind w:right="1560" w:firstLine="480" w:firstLineChars="200"/>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日  期：</w:t>
      </w: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spacing w:after="0" w:line="36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注：1、</w:t>
      </w:r>
      <w:r>
        <w:rPr>
          <w:rFonts w:hint="eastAsia" w:ascii="宋体" w:hAnsi="宋体" w:eastAsia="宋体"/>
          <w:b/>
          <w:color w:val="auto"/>
          <w:sz w:val="21"/>
          <w:szCs w:val="21"/>
          <w:highlight w:val="none"/>
          <w:u w:val="single"/>
        </w:rPr>
        <w:t>成交供应商为残疾人福利性单位的，成交结果将同时公告其《残疾人福利性单位声明函》，接受社会监督</w:t>
      </w:r>
      <w:r>
        <w:rPr>
          <w:rFonts w:hint="eastAsia" w:ascii="宋体" w:hAnsi="宋体" w:eastAsia="宋体"/>
          <w:b/>
          <w:color w:val="auto"/>
          <w:sz w:val="21"/>
          <w:szCs w:val="21"/>
          <w:highlight w:val="none"/>
        </w:rPr>
        <w:t>。</w:t>
      </w:r>
    </w:p>
    <w:p>
      <w:pPr>
        <w:numPr>
          <w:ilvl w:val="0"/>
          <w:numId w:val="5"/>
        </w:numPr>
        <w:spacing w:after="0" w:line="36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u w:val="single"/>
        </w:rPr>
        <w:t>供应商提供的《残疾人福利性单位声明函》与事实不符的，依照《政府采购法》第七十七条第一款的规定追究法律责任</w:t>
      </w:r>
      <w:r>
        <w:rPr>
          <w:rFonts w:hint="eastAsia" w:ascii="宋体" w:hAnsi="宋体" w:eastAsia="宋体"/>
          <w:b/>
          <w:color w:val="auto"/>
          <w:sz w:val="21"/>
          <w:szCs w:val="21"/>
          <w:highlight w:val="none"/>
        </w:rPr>
        <w:t>。</w:t>
      </w:r>
    </w:p>
    <w:p>
      <w:pPr>
        <w:rPr>
          <w:color w:val="auto"/>
          <w:highlight w:val="none"/>
        </w:rPr>
      </w:pPr>
    </w:p>
    <w:p>
      <w:pPr>
        <w:pStyle w:val="2"/>
        <w:rPr>
          <w:color w:val="auto"/>
          <w:highlight w:val="none"/>
        </w:rPr>
      </w:pPr>
    </w:p>
    <w:p>
      <w:pPr>
        <w:rPr>
          <w:color w:val="auto"/>
          <w:highlight w:val="none"/>
        </w:rPr>
      </w:pPr>
    </w:p>
    <w:p>
      <w:pPr>
        <w:pStyle w:val="2"/>
        <w:rPr>
          <w:rFonts w:hint="eastAsia" w:eastAsia="黑体"/>
          <w:lang w:eastAsia="zh-CN"/>
        </w:rPr>
      </w:pPr>
      <w:r>
        <w:rPr>
          <w:rFonts w:hint="eastAsia" w:eastAsia="黑体"/>
          <w:lang w:eastAsia="zh-CN"/>
        </w:rPr>
        <w:drawing>
          <wp:inline distT="0" distB="0" distL="114300" distR="114300">
            <wp:extent cx="5915025" cy="6534150"/>
            <wp:effectExtent l="0" t="0" r="9525" b="0"/>
            <wp:docPr id="2" name="图片 2" descr="1632899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2899945(1)"/>
                    <pic:cNvPicPr>
                      <a:picLocks noChangeAspect="1"/>
                    </pic:cNvPicPr>
                  </pic:nvPicPr>
                  <pic:blipFill>
                    <a:blip r:embed="rId17"/>
                    <a:stretch>
                      <a:fillRect/>
                    </a:stretch>
                  </pic:blipFill>
                  <pic:spPr>
                    <a:xfrm>
                      <a:off x="0" y="0"/>
                      <a:ext cx="5915025" cy="6534150"/>
                    </a:xfrm>
                    <a:prstGeom prst="rect">
                      <a:avLst/>
                    </a:prstGeom>
                  </pic:spPr>
                </pic:pic>
              </a:graphicData>
            </a:graphic>
          </wp:inline>
        </w:drawing>
      </w: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50</w: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广西桂水工程咨询有限公司编制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29</w:t>
    </w:r>
    <w:r>
      <w:fldChar w:fldCharType="end"/>
    </w:r>
  </w:p>
  <w:p>
    <w:pPr>
      <w:pStyle w:val="24"/>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50</w:t>
    </w:r>
    <w:r>
      <w:fldChar w:fldCharType="end"/>
    </w:r>
  </w:p>
  <w:p>
    <w:pPr>
      <w:pStyle w:val="2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olor w:val="000000"/>
        <w:szCs w:val="21"/>
      </w:rPr>
      <w:t>田东县平马镇东区小学项目地质勘察服务</w:t>
    </w:r>
    <w:r>
      <w:rPr>
        <w:rFonts w:hint="eastAsia" w:ascii="宋体" w:hAnsi="宋体"/>
      </w:rPr>
      <w:t>GXZC2019-J1-0016-GS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6B9C4"/>
    <w:multiLevelType w:val="singleLevel"/>
    <w:tmpl w:val="CAA6B9C4"/>
    <w:lvl w:ilvl="0" w:tentative="0">
      <w:start w:val="2"/>
      <w:numFmt w:val="decimal"/>
      <w:suff w:val="nothing"/>
      <w:lvlText w:val="%1、"/>
      <w:lvlJc w:val="left"/>
    </w:lvl>
  </w:abstractNum>
  <w:abstractNum w:abstractNumId="1">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6C94796"/>
    <w:multiLevelType w:val="multilevel"/>
    <w:tmpl w:val="76C947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enforcement="1" w:cryptProviderType="rsaFull" w:cryptAlgorithmClass="hash" w:cryptAlgorithmType="typeAny" w:cryptAlgorithmSid="4" w:cryptSpinCount="0" w:hash="eyoGIUd4km8CScie/qF/C5Ffuds=" w:salt="CKIa99LUOO91wVvM3I+S+Q=="/>
  <w:defaultTabStop w:val="0"/>
  <w:displayHorizontalDrawingGridEvery w:val="1"/>
  <w:displayVerticalDrawingGridEvery w:val="1"/>
  <w:noPunctuationKerning w:val="1"/>
  <w:characterSpacingControl w:val="compressPunctuation"/>
  <w:footnotePr>
    <w:footnote w:id="0"/>
    <w:footnote w:id="1"/>
  </w:footnotePr>
  <w:compat>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42D"/>
    <w:rsid w:val="00006497"/>
    <w:rsid w:val="00011BD1"/>
    <w:rsid w:val="000122E4"/>
    <w:rsid w:val="00012F29"/>
    <w:rsid w:val="00014CFD"/>
    <w:rsid w:val="000171E7"/>
    <w:rsid w:val="0002044F"/>
    <w:rsid w:val="00025E43"/>
    <w:rsid w:val="00027A49"/>
    <w:rsid w:val="00027B3D"/>
    <w:rsid w:val="0003115D"/>
    <w:rsid w:val="00041E02"/>
    <w:rsid w:val="0004426D"/>
    <w:rsid w:val="00047131"/>
    <w:rsid w:val="000476A1"/>
    <w:rsid w:val="00052612"/>
    <w:rsid w:val="00054FD9"/>
    <w:rsid w:val="0006381C"/>
    <w:rsid w:val="00063996"/>
    <w:rsid w:val="000661B9"/>
    <w:rsid w:val="000672BF"/>
    <w:rsid w:val="00072582"/>
    <w:rsid w:val="00072E71"/>
    <w:rsid w:val="0008306A"/>
    <w:rsid w:val="00084BC7"/>
    <w:rsid w:val="0009116B"/>
    <w:rsid w:val="00092C89"/>
    <w:rsid w:val="00096110"/>
    <w:rsid w:val="000A0349"/>
    <w:rsid w:val="000B4A85"/>
    <w:rsid w:val="000B4B9F"/>
    <w:rsid w:val="000C42F0"/>
    <w:rsid w:val="000C69BB"/>
    <w:rsid w:val="000C7966"/>
    <w:rsid w:val="000D2379"/>
    <w:rsid w:val="000D3A46"/>
    <w:rsid w:val="000D6913"/>
    <w:rsid w:val="000D6DB4"/>
    <w:rsid w:val="000D75EC"/>
    <w:rsid w:val="000E5E54"/>
    <w:rsid w:val="000E6841"/>
    <w:rsid w:val="000F3EE5"/>
    <w:rsid w:val="0010322C"/>
    <w:rsid w:val="0010330F"/>
    <w:rsid w:val="00116902"/>
    <w:rsid w:val="00120BD6"/>
    <w:rsid w:val="001213B3"/>
    <w:rsid w:val="001248F7"/>
    <w:rsid w:val="00127D2F"/>
    <w:rsid w:val="001374B9"/>
    <w:rsid w:val="001400BE"/>
    <w:rsid w:val="00142557"/>
    <w:rsid w:val="001437AA"/>
    <w:rsid w:val="00145F58"/>
    <w:rsid w:val="00152998"/>
    <w:rsid w:val="00157285"/>
    <w:rsid w:val="00157D15"/>
    <w:rsid w:val="00161DA4"/>
    <w:rsid w:val="001621C3"/>
    <w:rsid w:val="001629DF"/>
    <w:rsid w:val="00163CFE"/>
    <w:rsid w:val="00165EF5"/>
    <w:rsid w:val="00166092"/>
    <w:rsid w:val="001666AB"/>
    <w:rsid w:val="00180C61"/>
    <w:rsid w:val="00182115"/>
    <w:rsid w:val="0018572E"/>
    <w:rsid w:val="00185865"/>
    <w:rsid w:val="00187741"/>
    <w:rsid w:val="00191ABE"/>
    <w:rsid w:val="00193500"/>
    <w:rsid w:val="001938BC"/>
    <w:rsid w:val="00195921"/>
    <w:rsid w:val="001B2CDC"/>
    <w:rsid w:val="001B3834"/>
    <w:rsid w:val="001B4468"/>
    <w:rsid w:val="001B6613"/>
    <w:rsid w:val="001B7744"/>
    <w:rsid w:val="001D01E1"/>
    <w:rsid w:val="001D32A1"/>
    <w:rsid w:val="001D3887"/>
    <w:rsid w:val="001D4899"/>
    <w:rsid w:val="001D5599"/>
    <w:rsid w:val="001E2141"/>
    <w:rsid w:val="001E6B61"/>
    <w:rsid w:val="001F2213"/>
    <w:rsid w:val="001F43DE"/>
    <w:rsid w:val="001F57D4"/>
    <w:rsid w:val="001F7C0B"/>
    <w:rsid w:val="0020543F"/>
    <w:rsid w:val="00206998"/>
    <w:rsid w:val="00206E64"/>
    <w:rsid w:val="0021076C"/>
    <w:rsid w:val="002136A2"/>
    <w:rsid w:val="002144A7"/>
    <w:rsid w:val="00214F75"/>
    <w:rsid w:val="0022067D"/>
    <w:rsid w:val="00223495"/>
    <w:rsid w:val="002258C9"/>
    <w:rsid w:val="00227DFE"/>
    <w:rsid w:val="00231D59"/>
    <w:rsid w:val="002320C7"/>
    <w:rsid w:val="002477D4"/>
    <w:rsid w:val="00251D3F"/>
    <w:rsid w:val="00254F39"/>
    <w:rsid w:val="00260A93"/>
    <w:rsid w:val="00263902"/>
    <w:rsid w:val="002646FC"/>
    <w:rsid w:val="00266240"/>
    <w:rsid w:val="002711FB"/>
    <w:rsid w:val="002770A6"/>
    <w:rsid w:val="002772CF"/>
    <w:rsid w:val="002800B9"/>
    <w:rsid w:val="0028604F"/>
    <w:rsid w:val="00290436"/>
    <w:rsid w:val="002965D3"/>
    <w:rsid w:val="002A2C88"/>
    <w:rsid w:val="002A5A6D"/>
    <w:rsid w:val="002B0BD7"/>
    <w:rsid w:val="002C7CFC"/>
    <w:rsid w:val="002D59E1"/>
    <w:rsid w:val="002D6B72"/>
    <w:rsid w:val="002D7911"/>
    <w:rsid w:val="002E4844"/>
    <w:rsid w:val="002E5EFB"/>
    <w:rsid w:val="002E7CF6"/>
    <w:rsid w:val="002E7E19"/>
    <w:rsid w:val="002F2C0D"/>
    <w:rsid w:val="002F3D23"/>
    <w:rsid w:val="002F4F85"/>
    <w:rsid w:val="00300496"/>
    <w:rsid w:val="003026D6"/>
    <w:rsid w:val="003030CF"/>
    <w:rsid w:val="003050DF"/>
    <w:rsid w:val="003072BA"/>
    <w:rsid w:val="003116FF"/>
    <w:rsid w:val="00312326"/>
    <w:rsid w:val="0031468E"/>
    <w:rsid w:val="00317F98"/>
    <w:rsid w:val="00321947"/>
    <w:rsid w:val="00323B43"/>
    <w:rsid w:val="00331730"/>
    <w:rsid w:val="00335C1E"/>
    <w:rsid w:val="003401E1"/>
    <w:rsid w:val="00342F87"/>
    <w:rsid w:val="00346D8D"/>
    <w:rsid w:val="00346E52"/>
    <w:rsid w:val="00347557"/>
    <w:rsid w:val="00356975"/>
    <w:rsid w:val="00356E18"/>
    <w:rsid w:val="00365BCA"/>
    <w:rsid w:val="00380E67"/>
    <w:rsid w:val="003A3794"/>
    <w:rsid w:val="003B663B"/>
    <w:rsid w:val="003C548A"/>
    <w:rsid w:val="003C74DD"/>
    <w:rsid w:val="003D1FAF"/>
    <w:rsid w:val="003D37D8"/>
    <w:rsid w:val="003E1940"/>
    <w:rsid w:val="003E56B7"/>
    <w:rsid w:val="003E660B"/>
    <w:rsid w:val="003E6750"/>
    <w:rsid w:val="003E769E"/>
    <w:rsid w:val="003F4C21"/>
    <w:rsid w:val="003F4C66"/>
    <w:rsid w:val="003F7A8C"/>
    <w:rsid w:val="004029B5"/>
    <w:rsid w:val="00402CFE"/>
    <w:rsid w:val="00404809"/>
    <w:rsid w:val="00404E91"/>
    <w:rsid w:val="00407742"/>
    <w:rsid w:val="004104E3"/>
    <w:rsid w:val="00413A39"/>
    <w:rsid w:val="00425FE8"/>
    <w:rsid w:val="00426133"/>
    <w:rsid w:val="00426566"/>
    <w:rsid w:val="00430375"/>
    <w:rsid w:val="00432317"/>
    <w:rsid w:val="0043365F"/>
    <w:rsid w:val="004358AB"/>
    <w:rsid w:val="00435DA4"/>
    <w:rsid w:val="00436801"/>
    <w:rsid w:val="00437C27"/>
    <w:rsid w:val="00441F4A"/>
    <w:rsid w:val="004430DB"/>
    <w:rsid w:val="00447603"/>
    <w:rsid w:val="004477C5"/>
    <w:rsid w:val="00453CA5"/>
    <w:rsid w:val="004551B7"/>
    <w:rsid w:val="00457807"/>
    <w:rsid w:val="004622C4"/>
    <w:rsid w:val="0046379F"/>
    <w:rsid w:val="00463E5C"/>
    <w:rsid w:val="004640EB"/>
    <w:rsid w:val="00465AFC"/>
    <w:rsid w:val="00470522"/>
    <w:rsid w:val="00470BE9"/>
    <w:rsid w:val="0048121C"/>
    <w:rsid w:val="004A1AAF"/>
    <w:rsid w:val="004A3DE7"/>
    <w:rsid w:val="004B13F3"/>
    <w:rsid w:val="004B2BE6"/>
    <w:rsid w:val="004B7674"/>
    <w:rsid w:val="004C27CB"/>
    <w:rsid w:val="004C317D"/>
    <w:rsid w:val="004C5D50"/>
    <w:rsid w:val="004D0110"/>
    <w:rsid w:val="004D07FC"/>
    <w:rsid w:val="004D21B6"/>
    <w:rsid w:val="004D2CFC"/>
    <w:rsid w:val="004D6A0C"/>
    <w:rsid w:val="004D6DAB"/>
    <w:rsid w:val="004D778D"/>
    <w:rsid w:val="004E02F7"/>
    <w:rsid w:val="004E5913"/>
    <w:rsid w:val="004E7B57"/>
    <w:rsid w:val="004F14CF"/>
    <w:rsid w:val="004F5A93"/>
    <w:rsid w:val="004F7961"/>
    <w:rsid w:val="00511335"/>
    <w:rsid w:val="00514CED"/>
    <w:rsid w:val="00515724"/>
    <w:rsid w:val="0051714C"/>
    <w:rsid w:val="00517A92"/>
    <w:rsid w:val="00517D7B"/>
    <w:rsid w:val="005200CC"/>
    <w:rsid w:val="00521546"/>
    <w:rsid w:val="00523BE9"/>
    <w:rsid w:val="0052731B"/>
    <w:rsid w:val="005278F2"/>
    <w:rsid w:val="00527E71"/>
    <w:rsid w:val="005318C5"/>
    <w:rsid w:val="0053587A"/>
    <w:rsid w:val="0054143E"/>
    <w:rsid w:val="00541BC8"/>
    <w:rsid w:val="00544657"/>
    <w:rsid w:val="00544BB9"/>
    <w:rsid w:val="00546C50"/>
    <w:rsid w:val="00547052"/>
    <w:rsid w:val="00556798"/>
    <w:rsid w:val="0056288F"/>
    <w:rsid w:val="00570D3C"/>
    <w:rsid w:val="005721D0"/>
    <w:rsid w:val="0057565F"/>
    <w:rsid w:val="0057567A"/>
    <w:rsid w:val="00575AC0"/>
    <w:rsid w:val="00586769"/>
    <w:rsid w:val="005873B8"/>
    <w:rsid w:val="00591382"/>
    <w:rsid w:val="00597D80"/>
    <w:rsid w:val="005A4EE0"/>
    <w:rsid w:val="005A64F3"/>
    <w:rsid w:val="005A6C96"/>
    <w:rsid w:val="005B0581"/>
    <w:rsid w:val="005B0C14"/>
    <w:rsid w:val="005B2EA3"/>
    <w:rsid w:val="005B66E7"/>
    <w:rsid w:val="005B75D5"/>
    <w:rsid w:val="005B7FA0"/>
    <w:rsid w:val="005C56F2"/>
    <w:rsid w:val="005D4031"/>
    <w:rsid w:val="005F001B"/>
    <w:rsid w:val="005F25BA"/>
    <w:rsid w:val="006013A4"/>
    <w:rsid w:val="00601634"/>
    <w:rsid w:val="00601837"/>
    <w:rsid w:val="0060404C"/>
    <w:rsid w:val="0061073B"/>
    <w:rsid w:val="00610990"/>
    <w:rsid w:val="00614096"/>
    <w:rsid w:val="00617327"/>
    <w:rsid w:val="006239D1"/>
    <w:rsid w:val="00624231"/>
    <w:rsid w:val="00626EE7"/>
    <w:rsid w:val="00632498"/>
    <w:rsid w:val="0063259E"/>
    <w:rsid w:val="00634868"/>
    <w:rsid w:val="006353FA"/>
    <w:rsid w:val="00636FBF"/>
    <w:rsid w:val="00637A8A"/>
    <w:rsid w:val="006415BD"/>
    <w:rsid w:val="00641AF0"/>
    <w:rsid w:val="006427A2"/>
    <w:rsid w:val="00643D21"/>
    <w:rsid w:val="00644EE8"/>
    <w:rsid w:val="00645D9B"/>
    <w:rsid w:val="0064689F"/>
    <w:rsid w:val="00647694"/>
    <w:rsid w:val="00651EFC"/>
    <w:rsid w:val="00656AD0"/>
    <w:rsid w:val="00664F84"/>
    <w:rsid w:val="00673589"/>
    <w:rsid w:val="00684893"/>
    <w:rsid w:val="00693F54"/>
    <w:rsid w:val="00695663"/>
    <w:rsid w:val="00697BF1"/>
    <w:rsid w:val="006A4319"/>
    <w:rsid w:val="006B1AF6"/>
    <w:rsid w:val="006C1AEA"/>
    <w:rsid w:val="006C665A"/>
    <w:rsid w:val="006D43EE"/>
    <w:rsid w:val="006D4EC7"/>
    <w:rsid w:val="006D4FA3"/>
    <w:rsid w:val="006E0736"/>
    <w:rsid w:val="006E11BE"/>
    <w:rsid w:val="006E4679"/>
    <w:rsid w:val="006F0FEF"/>
    <w:rsid w:val="006F1C37"/>
    <w:rsid w:val="006F2607"/>
    <w:rsid w:val="006F3224"/>
    <w:rsid w:val="006F6263"/>
    <w:rsid w:val="00702215"/>
    <w:rsid w:val="0070306B"/>
    <w:rsid w:val="00703627"/>
    <w:rsid w:val="0071222A"/>
    <w:rsid w:val="00725481"/>
    <w:rsid w:val="007407ED"/>
    <w:rsid w:val="0074108A"/>
    <w:rsid w:val="00743365"/>
    <w:rsid w:val="00747D6F"/>
    <w:rsid w:val="00754BAC"/>
    <w:rsid w:val="00754DFF"/>
    <w:rsid w:val="007614B1"/>
    <w:rsid w:val="00761FAD"/>
    <w:rsid w:val="00764728"/>
    <w:rsid w:val="007654A4"/>
    <w:rsid w:val="00767325"/>
    <w:rsid w:val="00790A16"/>
    <w:rsid w:val="00790DEF"/>
    <w:rsid w:val="00790F7C"/>
    <w:rsid w:val="007916F5"/>
    <w:rsid w:val="007923AA"/>
    <w:rsid w:val="00792579"/>
    <w:rsid w:val="00795F52"/>
    <w:rsid w:val="007971C9"/>
    <w:rsid w:val="007B0B71"/>
    <w:rsid w:val="007B13D0"/>
    <w:rsid w:val="007B2C90"/>
    <w:rsid w:val="007B33D0"/>
    <w:rsid w:val="007B691C"/>
    <w:rsid w:val="007B7D96"/>
    <w:rsid w:val="007D121F"/>
    <w:rsid w:val="007E23B9"/>
    <w:rsid w:val="007E23F6"/>
    <w:rsid w:val="007E3FBB"/>
    <w:rsid w:val="007F3EE4"/>
    <w:rsid w:val="007F697D"/>
    <w:rsid w:val="007F6CFA"/>
    <w:rsid w:val="007F7FCB"/>
    <w:rsid w:val="00802B9A"/>
    <w:rsid w:val="00803360"/>
    <w:rsid w:val="008042EE"/>
    <w:rsid w:val="0080598F"/>
    <w:rsid w:val="00810DC0"/>
    <w:rsid w:val="00812CFB"/>
    <w:rsid w:val="0081548B"/>
    <w:rsid w:val="00815FA3"/>
    <w:rsid w:val="00821052"/>
    <w:rsid w:val="008227AF"/>
    <w:rsid w:val="008233FF"/>
    <w:rsid w:val="0082344F"/>
    <w:rsid w:val="00824FA1"/>
    <w:rsid w:val="00833C8B"/>
    <w:rsid w:val="00842401"/>
    <w:rsid w:val="00843778"/>
    <w:rsid w:val="00844F3A"/>
    <w:rsid w:val="00846E83"/>
    <w:rsid w:val="008609A7"/>
    <w:rsid w:val="0086791D"/>
    <w:rsid w:val="00871A16"/>
    <w:rsid w:val="00872578"/>
    <w:rsid w:val="00875111"/>
    <w:rsid w:val="008912F6"/>
    <w:rsid w:val="00891DF6"/>
    <w:rsid w:val="008960DD"/>
    <w:rsid w:val="00896825"/>
    <w:rsid w:val="008969C5"/>
    <w:rsid w:val="008A338C"/>
    <w:rsid w:val="008A7344"/>
    <w:rsid w:val="008A7FF3"/>
    <w:rsid w:val="008B7726"/>
    <w:rsid w:val="008B7979"/>
    <w:rsid w:val="008C3AB9"/>
    <w:rsid w:val="008C4FD8"/>
    <w:rsid w:val="008C5AB5"/>
    <w:rsid w:val="008C6005"/>
    <w:rsid w:val="008C7B90"/>
    <w:rsid w:val="008D4A71"/>
    <w:rsid w:val="008E05CC"/>
    <w:rsid w:val="008E56A2"/>
    <w:rsid w:val="008E5E66"/>
    <w:rsid w:val="008F0063"/>
    <w:rsid w:val="008F24CA"/>
    <w:rsid w:val="00903407"/>
    <w:rsid w:val="009071F4"/>
    <w:rsid w:val="00910BAD"/>
    <w:rsid w:val="009111BB"/>
    <w:rsid w:val="00912DBC"/>
    <w:rsid w:val="00912EEF"/>
    <w:rsid w:val="00914C06"/>
    <w:rsid w:val="00916B70"/>
    <w:rsid w:val="009206E9"/>
    <w:rsid w:val="00921430"/>
    <w:rsid w:val="00924E2B"/>
    <w:rsid w:val="00936118"/>
    <w:rsid w:val="00937A6D"/>
    <w:rsid w:val="009410DA"/>
    <w:rsid w:val="0094392D"/>
    <w:rsid w:val="009519AF"/>
    <w:rsid w:val="00954097"/>
    <w:rsid w:val="0095448D"/>
    <w:rsid w:val="009569C1"/>
    <w:rsid w:val="00957F62"/>
    <w:rsid w:val="009617FC"/>
    <w:rsid w:val="00961D5F"/>
    <w:rsid w:val="00964E44"/>
    <w:rsid w:val="00966B87"/>
    <w:rsid w:val="00973C11"/>
    <w:rsid w:val="00974D37"/>
    <w:rsid w:val="009750E8"/>
    <w:rsid w:val="009811F3"/>
    <w:rsid w:val="009824B2"/>
    <w:rsid w:val="00985035"/>
    <w:rsid w:val="009874C2"/>
    <w:rsid w:val="009901F5"/>
    <w:rsid w:val="009903D9"/>
    <w:rsid w:val="009920BA"/>
    <w:rsid w:val="009958C6"/>
    <w:rsid w:val="009A0891"/>
    <w:rsid w:val="009A4747"/>
    <w:rsid w:val="009B5AFE"/>
    <w:rsid w:val="009B6493"/>
    <w:rsid w:val="009C37BA"/>
    <w:rsid w:val="009C3F41"/>
    <w:rsid w:val="009C40CF"/>
    <w:rsid w:val="009C7936"/>
    <w:rsid w:val="009D19FD"/>
    <w:rsid w:val="009D2B7D"/>
    <w:rsid w:val="009D46C5"/>
    <w:rsid w:val="009D779F"/>
    <w:rsid w:val="009E3F97"/>
    <w:rsid w:val="009E4EEB"/>
    <w:rsid w:val="009F067F"/>
    <w:rsid w:val="009F1863"/>
    <w:rsid w:val="009F7F5F"/>
    <w:rsid w:val="00A0665B"/>
    <w:rsid w:val="00A13B17"/>
    <w:rsid w:val="00A164B6"/>
    <w:rsid w:val="00A30543"/>
    <w:rsid w:val="00A34005"/>
    <w:rsid w:val="00A3684E"/>
    <w:rsid w:val="00A4059B"/>
    <w:rsid w:val="00A40C2E"/>
    <w:rsid w:val="00A43840"/>
    <w:rsid w:val="00A44999"/>
    <w:rsid w:val="00A51C59"/>
    <w:rsid w:val="00A537D7"/>
    <w:rsid w:val="00A550BA"/>
    <w:rsid w:val="00A61457"/>
    <w:rsid w:val="00A61955"/>
    <w:rsid w:val="00A62C79"/>
    <w:rsid w:val="00A72747"/>
    <w:rsid w:val="00A737DC"/>
    <w:rsid w:val="00A74EEE"/>
    <w:rsid w:val="00A764E7"/>
    <w:rsid w:val="00A7685F"/>
    <w:rsid w:val="00A8006B"/>
    <w:rsid w:val="00A843E9"/>
    <w:rsid w:val="00A87E6C"/>
    <w:rsid w:val="00A87EB2"/>
    <w:rsid w:val="00A93C09"/>
    <w:rsid w:val="00A9417D"/>
    <w:rsid w:val="00A949C2"/>
    <w:rsid w:val="00A96CC3"/>
    <w:rsid w:val="00AA17EB"/>
    <w:rsid w:val="00AA38BF"/>
    <w:rsid w:val="00AB45EA"/>
    <w:rsid w:val="00AB4C10"/>
    <w:rsid w:val="00AB62D0"/>
    <w:rsid w:val="00AB6F79"/>
    <w:rsid w:val="00AC2770"/>
    <w:rsid w:val="00AC3251"/>
    <w:rsid w:val="00AC4044"/>
    <w:rsid w:val="00AC758B"/>
    <w:rsid w:val="00AD4F15"/>
    <w:rsid w:val="00AD509F"/>
    <w:rsid w:val="00AE0A6E"/>
    <w:rsid w:val="00AF0563"/>
    <w:rsid w:val="00AF1BEE"/>
    <w:rsid w:val="00AF37E6"/>
    <w:rsid w:val="00B01CA8"/>
    <w:rsid w:val="00B03356"/>
    <w:rsid w:val="00B07FCB"/>
    <w:rsid w:val="00B141D5"/>
    <w:rsid w:val="00B1422A"/>
    <w:rsid w:val="00B14EFA"/>
    <w:rsid w:val="00B17B59"/>
    <w:rsid w:val="00B20C57"/>
    <w:rsid w:val="00B220DB"/>
    <w:rsid w:val="00B23E19"/>
    <w:rsid w:val="00B244B5"/>
    <w:rsid w:val="00B3300A"/>
    <w:rsid w:val="00B378AA"/>
    <w:rsid w:val="00B40E79"/>
    <w:rsid w:val="00B41008"/>
    <w:rsid w:val="00B4198E"/>
    <w:rsid w:val="00B44C9C"/>
    <w:rsid w:val="00B4740D"/>
    <w:rsid w:val="00B51CAE"/>
    <w:rsid w:val="00B6039E"/>
    <w:rsid w:val="00B64405"/>
    <w:rsid w:val="00B64C7F"/>
    <w:rsid w:val="00B6578F"/>
    <w:rsid w:val="00B679A7"/>
    <w:rsid w:val="00B7257B"/>
    <w:rsid w:val="00B75025"/>
    <w:rsid w:val="00B762D4"/>
    <w:rsid w:val="00B80836"/>
    <w:rsid w:val="00B812C5"/>
    <w:rsid w:val="00B81932"/>
    <w:rsid w:val="00B910D6"/>
    <w:rsid w:val="00B93178"/>
    <w:rsid w:val="00B965FE"/>
    <w:rsid w:val="00B966FA"/>
    <w:rsid w:val="00B979AF"/>
    <w:rsid w:val="00BA3E69"/>
    <w:rsid w:val="00BA6E86"/>
    <w:rsid w:val="00BB4C08"/>
    <w:rsid w:val="00BB7092"/>
    <w:rsid w:val="00BC4D71"/>
    <w:rsid w:val="00BC50CB"/>
    <w:rsid w:val="00BC5465"/>
    <w:rsid w:val="00BD468E"/>
    <w:rsid w:val="00BD50EC"/>
    <w:rsid w:val="00BE0FD6"/>
    <w:rsid w:val="00BE3423"/>
    <w:rsid w:val="00BE41BE"/>
    <w:rsid w:val="00BF365B"/>
    <w:rsid w:val="00BF4D08"/>
    <w:rsid w:val="00BF6D7F"/>
    <w:rsid w:val="00BF7DD1"/>
    <w:rsid w:val="00C02566"/>
    <w:rsid w:val="00C05221"/>
    <w:rsid w:val="00C052F8"/>
    <w:rsid w:val="00C05707"/>
    <w:rsid w:val="00C16565"/>
    <w:rsid w:val="00C17456"/>
    <w:rsid w:val="00C21DE7"/>
    <w:rsid w:val="00C22AB5"/>
    <w:rsid w:val="00C24058"/>
    <w:rsid w:val="00C308C7"/>
    <w:rsid w:val="00C32396"/>
    <w:rsid w:val="00C43870"/>
    <w:rsid w:val="00C439EE"/>
    <w:rsid w:val="00C53AF2"/>
    <w:rsid w:val="00C53FFB"/>
    <w:rsid w:val="00C55031"/>
    <w:rsid w:val="00C55199"/>
    <w:rsid w:val="00C57964"/>
    <w:rsid w:val="00C60207"/>
    <w:rsid w:val="00C61C50"/>
    <w:rsid w:val="00C6358A"/>
    <w:rsid w:val="00C64F18"/>
    <w:rsid w:val="00C7158A"/>
    <w:rsid w:val="00C74193"/>
    <w:rsid w:val="00C74FD3"/>
    <w:rsid w:val="00C903B4"/>
    <w:rsid w:val="00C90A64"/>
    <w:rsid w:val="00C913B6"/>
    <w:rsid w:val="00C9219B"/>
    <w:rsid w:val="00C93A97"/>
    <w:rsid w:val="00C97DBE"/>
    <w:rsid w:val="00CA0471"/>
    <w:rsid w:val="00CA0D37"/>
    <w:rsid w:val="00CA72C6"/>
    <w:rsid w:val="00CB1135"/>
    <w:rsid w:val="00CB2A90"/>
    <w:rsid w:val="00CB34E6"/>
    <w:rsid w:val="00CB47DA"/>
    <w:rsid w:val="00CB6535"/>
    <w:rsid w:val="00CC11E4"/>
    <w:rsid w:val="00CC37BD"/>
    <w:rsid w:val="00CC5F65"/>
    <w:rsid w:val="00CC74C3"/>
    <w:rsid w:val="00CD48EE"/>
    <w:rsid w:val="00CE08E0"/>
    <w:rsid w:val="00D005C7"/>
    <w:rsid w:val="00D01C73"/>
    <w:rsid w:val="00D063A0"/>
    <w:rsid w:val="00D10CEE"/>
    <w:rsid w:val="00D15AF4"/>
    <w:rsid w:val="00D220A6"/>
    <w:rsid w:val="00D2308C"/>
    <w:rsid w:val="00D24329"/>
    <w:rsid w:val="00D26D4D"/>
    <w:rsid w:val="00D31D50"/>
    <w:rsid w:val="00D32522"/>
    <w:rsid w:val="00D4378F"/>
    <w:rsid w:val="00D55E0D"/>
    <w:rsid w:val="00D56B0D"/>
    <w:rsid w:val="00D609AD"/>
    <w:rsid w:val="00D635E9"/>
    <w:rsid w:val="00D63737"/>
    <w:rsid w:val="00D63A19"/>
    <w:rsid w:val="00D63D9E"/>
    <w:rsid w:val="00D65B62"/>
    <w:rsid w:val="00D66324"/>
    <w:rsid w:val="00D6645F"/>
    <w:rsid w:val="00D668E2"/>
    <w:rsid w:val="00D71340"/>
    <w:rsid w:val="00D75E55"/>
    <w:rsid w:val="00D76A20"/>
    <w:rsid w:val="00D87394"/>
    <w:rsid w:val="00D905AF"/>
    <w:rsid w:val="00D92369"/>
    <w:rsid w:val="00D943AE"/>
    <w:rsid w:val="00D952EB"/>
    <w:rsid w:val="00D961B7"/>
    <w:rsid w:val="00D97F1B"/>
    <w:rsid w:val="00DA625C"/>
    <w:rsid w:val="00DB08A0"/>
    <w:rsid w:val="00DB107A"/>
    <w:rsid w:val="00DB12E5"/>
    <w:rsid w:val="00DB3DA2"/>
    <w:rsid w:val="00DC3409"/>
    <w:rsid w:val="00DC4E36"/>
    <w:rsid w:val="00DC65DA"/>
    <w:rsid w:val="00DD0046"/>
    <w:rsid w:val="00DD3B47"/>
    <w:rsid w:val="00DD3BD9"/>
    <w:rsid w:val="00DD5776"/>
    <w:rsid w:val="00DE1F54"/>
    <w:rsid w:val="00DE2A89"/>
    <w:rsid w:val="00DF17FC"/>
    <w:rsid w:val="00E00207"/>
    <w:rsid w:val="00E007A3"/>
    <w:rsid w:val="00E03F33"/>
    <w:rsid w:val="00E06D51"/>
    <w:rsid w:val="00E12FEC"/>
    <w:rsid w:val="00E16BEE"/>
    <w:rsid w:val="00E174C6"/>
    <w:rsid w:val="00E22143"/>
    <w:rsid w:val="00E22940"/>
    <w:rsid w:val="00E26CD6"/>
    <w:rsid w:val="00E30355"/>
    <w:rsid w:val="00E335A7"/>
    <w:rsid w:val="00E3436F"/>
    <w:rsid w:val="00E443B0"/>
    <w:rsid w:val="00E44911"/>
    <w:rsid w:val="00E47518"/>
    <w:rsid w:val="00E47E16"/>
    <w:rsid w:val="00E511FE"/>
    <w:rsid w:val="00E54ED4"/>
    <w:rsid w:val="00E571E1"/>
    <w:rsid w:val="00E6613B"/>
    <w:rsid w:val="00E73726"/>
    <w:rsid w:val="00E80575"/>
    <w:rsid w:val="00E81436"/>
    <w:rsid w:val="00E8574F"/>
    <w:rsid w:val="00E85D2A"/>
    <w:rsid w:val="00E91115"/>
    <w:rsid w:val="00E93D95"/>
    <w:rsid w:val="00E945F9"/>
    <w:rsid w:val="00E94A42"/>
    <w:rsid w:val="00E95A95"/>
    <w:rsid w:val="00E96E0A"/>
    <w:rsid w:val="00E97DC9"/>
    <w:rsid w:val="00EA6A66"/>
    <w:rsid w:val="00EA7A3F"/>
    <w:rsid w:val="00EA7D96"/>
    <w:rsid w:val="00EB029A"/>
    <w:rsid w:val="00EB2D6C"/>
    <w:rsid w:val="00EB30FD"/>
    <w:rsid w:val="00EB3D1F"/>
    <w:rsid w:val="00EB42DD"/>
    <w:rsid w:val="00EB71CB"/>
    <w:rsid w:val="00EB77CF"/>
    <w:rsid w:val="00EC0613"/>
    <w:rsid w:val="00EC1F03"/>
    <w:rsid w:val="00EC39C3"/>
    <w:rsid w:val="00EC3B4B"/>
    <w:rsid w:val="00EC45CA"/>
    <w:rsid w:val="00EC4C02"/>
    <w:rsid w:val="00ED38D5"/>
    <w:rsid w:val="00ED4171"/>
    <w:rsid w:val="00ED761F"/>
    <w:rsid w:val="00EE16C8"/>
    <w:rsid w:val="00EE4031"/>
    <w:rsid w:val="00EE5366"/>
    <w:rsid w:val="00EF1593"/>
    <w:rsid w:val="00EF1A5F"/>
    <w:rsid w:val="00EF45C6"/>
    <w:rsid w:val="00EF4BDE"/>
    <w:rsid w:val="00EF792F"/>
    <w:rsid w:val="00F010D4"/>
    <w:rsid w:val="00F03791"/>
    <w:rsid w:val="00F07C5A"/>
    <w:rsid w:val="00F12ECC"/>
    <w:rsid w:val="00F13538"/>
    <w:rsid w:val="00F1499B"/>
    <w:rsid w:val="00F21168"/>
    <w:rsid w:val="00F32DB4"/>
    <w:rsid w:val="00F34A36"/>
    <w:rsid w:val="00F3663D"/>
    <w:rsid w:val="00F42B01"/>
    <w:rsid w:val="00F471A6"/>
    <w:rsid w:val="00F53E19"/>
    <w:rsid w:val="00F57069"/>
    <w:rsid w:val="00F60605"/>
    <w:rsid w:val="00F62F02"/>
    <w:rsid w:val="00F63395"/>
    <w:rsid w:val="00F67A39"/>
    <w:rsid w:val="00F70D82"/>
    <w:rsid w:val="00F70D94"/>
    <w:rsid w:val="00F7275B"/>
    <w:rsid w:val="00F84D34"/>
    <w:rsid w:val="00F86BE9"/>
    <w:rsid w:val="00F872A5"/>
    <w:rsid w:val="00F914BF"/>
    <w:rsid w:val="00F9160E"/>
    <w:rsid w:val="00F941EA"/>
    <w:rsid w:val="00F9740E"/>
    <w:rsid w:val="00F977E6"/>
    <w:rsid w:val="00FA7923"/>
    <w:rsid w:val="00FB0F9D"/>
    <w:rsid w:val="00FB362C"/>
    <w:rsid w:val="00FB429A"/>
    <w:rsid w:val="00FC0085"/>
    <w:rsid w:val="00FC0265"/>
    <w:rsid w:val="00FC0821"/>
    <w:rsid w:val="00FC2CB8"/>
    <w:rsid w:val="00FC70D5"/>
    <w:rsid w:val="00FD0C86"/>
    <w:rsid w:val="00FD4D03"/>
    <w:rsid w:val="00FD5815"/>
    <w:rsid w:val="00FD7A01"/>
    <w:rsid w:val="00FE4D30"/>
    <w:rsid w:val="00FE6C0D"/>
    <w:rsid w:val="00FE769C"/>
    <w:rsid w:val="00FF5E6D"/>
    <w:rsid w:val="018A7ABB"/>
    <w:rsid w:val="01CF3795"/>
    <w:rsid w:val="02D25134"/>
    <w:rsid w:val="03A64F2F"/>
    <w:rsid w:val="03B9487A"/>
    <w:rsid w:val="04043DB4"/>
    <w:rsid w:val="04DF59CD"/>
    <w:rsid w:val="054031FE"/>
    <w:rsid w:val="06DD3CC8"/>
    <w:rsid w:val="07A422B8"/>
    <w:rsid w:val="07C808C1"/>
    <w:rsid w:val="07ED50C7"/>
    <w:rsid w:val="08505995"/>
    <w:rsid w:val="08EE5F21"/>
    <w:rsid w:val="09283501"/>
    <w:rsid w:val="0A2140C2"/>
    <w:rsid w:val="0C1D6928"/>
    <w:rsid w:val="0CF10061"/>
    <w:rsid w:val="0D5E67D5"/>
    <w:rsid w:val="0DA5653C"/>
    <w:rsid w:val="0F770DD2"/>
    <w:rsid w:val="0FDA03B1"/>
    <w:rsid w:val="0FFC6C5F"/>
    <w:rsid w:val="10D80A93"/>
    <w:rsid w:val="112113E4"/>
    <w:rsid w:val="117059B5"/>
    <w:rsid w:val="124A34C0"/>
    <w:rsid w:val="136239CC"/>
    <w:rsid w:val="13705E86"/>
    <w:rsid w:val="1491334F"/>
    <w:rsid w:val="15A72D09"/>
    <w:rsid w:val="164755A9"/>
    <w:rsid w:val="1A31171F"/>
    <w:rsid w:val="1B185B6D"/>
    <w:rsid w:val="1B8250EE"/>
    <w:rsid w:val="1C4368ED"/>
    <w:rsid w:val="1DA75B34"/>
    <w:rsid w:val="1F73133A"/>
    <w:rsid w:val="1FC16FCA"/>
    <w:rsid w:val="20157D84"/>
    <w:rsid w:val="210309B7"/>
    <w:rsid w:val="210F53A4"/>
    <w:rsid w:val="21307DF1"/>
    <w:rsid w:val="21760EF0"/>
    <w:rsid w:val="22E66C5F"/>
    <w:rsid w:val="231B2056"/>
    <w:rsid w:val="23B6424A"/>
    <w:rsid w:val="24A47B1C"/>
    <w:rsid w:val="252C369D"/>
    <w:rsid w:val="25CB2F7B"/>
    <w:rsid w:val="26134D2D"/>
    <w:rsid w:val="26797BD0"/>
    <w:rsid w:val="281672C0"/>
    <w:rsid w:val="28E90784"/>
    <w:rsid w:val="29EE4595"/>
    <w:rsid w:val="2AF05C62"/>
    <w:rsid w:val="2B81016F"/>
    <w:rsid w:val="2B965EFC"/>
    <w:rsid w:val="2BB40D50"/>
    <w:rsid w:val="2C2741AA"/>
    <w:rsid w:val="2C2A5364"/>
    <w:rsid w:val="2C333D95"/>
    <w:rsid w:val="2CD34F78"/>
    <w:rsid w:val="2D3A77A2"/>
    <w:rsid w:val="2DFB6ED5"/>
    <w:rsid w:val="2F053466"/>
    <w:rsid w:val="2F791A39"/>
    <w:rsid w:val="2F8614C4"/>
    <w:rsid w:val="2FEF6C7E"/>
    <w:rsid w:val="306D5C31"/>
    <w:rsid w:val="312F0FD1"/>
    <w:rsid w:val="32802430"/>
    <w:rsid w:val="328527AF"/>
    <w:rsid w:val="338B2DD2"/>
    <w:rsid w:val="33EF50BA"/>
    <w:rsid w:val="363956BA"/>
    <w:rsid w:val="369161C6"/>
    <w:rsid w:val="387D6C38"/>
    <w:rsid w:val="38C179F5"/>
    <w:rsid w:val="38EE03E8"/>
    <w:rsid w:val="39DD3B28"/>
    <w:rsid w:val="3A80614C"/>
    <w:rsid w:val="3A9C2DEC"/>
    <w:rsid w:val="3D5D53C6"/>
    <w:rsid w:val="3E724148"/>
    <w:rsid w:val="3EE5726C"/>
    <w:rsid w:val="3F1E781A"/>
    <w:rsid w:val="3FA77421"/>
    <w:rsid w:val="403941E2"/>
    <w:rsid w:val="43675359"/>
    <w:rsid w:val="456A033A"/>
    <w:rsid w:val="45806389"/>
    <w:rsid w:val="46E01BD9"/>
    <w:rsid w:val="470E6F7D"/>
    <w:rsid w:val="497C3349"/>
    <w:rsid w:val="4B50307A"/>
    <w:rsid w:val="4CC90E42"/>
    <w:rsid w:val="4CD101A4"/>
    <w:rsid w:val="4D1C7932"/>
    <w:rsid w:val="4EE00703"/>
    <w:rsid w:val="4FC818FF"/>
    <w:rsid w:val="52230EB1"/>
    <w:rsid w:val="5311360A"/>
    <w:rsid w:val="5420190B"/>
    <w:rsid w:val="55056B2D"/>
    <w:rsid w:val="55A65480"/>
    <w:rsid w:val="55A77CE9"/>
    <w:rsid w:val="55BE122D"/>
    <w:rsid w:val="56D00083"/>
    <w:rsid w:val="574719BD"/>
    <w:rsid w:val="57C06CCB"/>
    <w:rsid w:val="57D3553F"/>
    <w:rsid w:val="587D04B0"/>
    <w:rsid w:val="59426E90"/>
    <w:rsid w:val="5A4C203D"/>
    <w:rsid w:val="5B210DA3"/>
    <w:rsid w:val="5B305BC2"/>
    <w:rsid w:val="5CF319CE"/>
    <w:rsid w:val="5D7D4354"/>
    <w:rsid w:val="5FEC7979"/>
    <w:rsid w:val="60B43B73"/>
    <w:rsid w:val="62590734"/>
    <w:rsid w:val="6293209D"/>
    <w:rsid w:val="637C5EC6"/>
    <w:rsid w:val="63AC5C1C"/>
    <w:rsid w:val="645F357E"/>
    <w:rsid w:val="65D55453"/>
    <w:rsid w:val="66E6205E"/>
    <w:rsid w:val="680F18FC"/>
    <w:rsid w:val="684502AB"/>
    <w:rsid w:val="690E1724"/>
    <w:rsid w:val="6C8E6D80"/>
    <w:rsid w:val="6E114023"/>
    <w:rsid w:val="6FD750C6"/>
    <w:rsid w:val="71BF29E7"/>
    <w:rsid w:val="71FE3FF3"/>
    <w:rsid w:val="73597F04"/>
    <w:rsid w:val="739A3C9D"/>
    <w:rsid w:val="73C01891"/>
    <w:rsid w:val="74F3142E"/>
    <w:rsid w:val="75EE4586"/>
    <w:rsid w:val="76B32353"/>
    <w:rsid w:val="77C75E21"/>
    <w:rsid w:val="7A7C7CAA"/>
    <w:rsid w:val="7B5C583A"/>
    <w:rsid w:val="7C2142A7"/>
    <w:rsid w:val="7C976103"/>
    <w:rsid w:val="7CD53D4A"/>
    <w:rsid w:val="7E1B3A29"/>
    <w:rsid w:val="7E5F70F1"/>
    <w:rsid w:val="7EFA665C"/>
    <w:rsid w:val="7F0F7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8"/>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57"/>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50"/>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51"/>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52"/>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2">
    <w:name w:val="heading 6"/>
    <w:basedOn w:val="1"/>
    <w:next w:val="1"/>
    <w:link w:val="53"/>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8">
    <w:name w:val="heading 7"/>
    <w:basedOn w:val="1"/>
    <w:next w:val="1"/>
    <w:link w:val="54"/>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9">
    <w:name w:val="heading 8"/>
    <w:basedOn w:val="1"/>
    <w:next w:val="1"/>
    <w:link w:val="55"/>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0">
    <w:name w:val="heading 9"/>
    <w:basedOn w:val="1"/>
    <w:next w:val="1"/>
    <w:link w:val="56"/>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2">
    <w:name w:val="Normal Indent"/>
    <w:basedOn w:val="1"/>
    <w:link w:val="98"/>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3">
    <w:name w:val="Document Map"/>
    <w:basedOn w:val="1"/>
    <w:link w:val="75"/>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4">
    <w:name w:val="annotation text"/>
    <w:basedOn w:val="1"/>
    <w:link w:val="65"/>
    <w:qFormat/>
    <w:uiPriority w:val="0"/>
    <w:pPr>
      <w:widowControl w:val="0"/>
      <w:adjustRightInd/>
      <w:snapToGrid/>
      <w:spacing w:after="0"/>
    </w:pPr>
    <w:rPr>
      <w:rFonts w:ascii="Times New Roman" w:hAnsi="Times New Roman" w:eastAsia="宋体" w:cs="Times New Roman"/>
      <w:kern w:val="2"/>
      <w:sz w:val="21"/>
      <w:szCs w:val="24"/>
    </w:rPr>
  </w:style>
  <w:style w:type="paragraph" w:styleId="15">
    <w:name w:val="Body Text"/>
    <w:basedOn w:val="1"/>
    <w:next w:val="1"/>
    <w:link w:val="74"/>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6">
    <w:name w:val="Body Text Indent"/>
    <w:basedOn w:val="1"/>
    <w:next w:val="1"/>
    <w:link w:val="66"/>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7">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8">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19">
    <w:name w:val="Plain Text"/>
    <w:basedOn w:val="1"/>
    <w:next w:val="1"/>
    <w:link w:val="61"/>
    <w:qFormat/>
    <w:uiPriority w:val="0"/>
    <w:pPr>
      <w:widowControl w:val="0"/>
      <w:adjustRightInd/>
      <w:snapToGrid/>
      <w:spacing w:after="0"/>
      <w:jc w:val="both"/>
    </w:pPr>
    <w:rPr>
      <w:rFonts w:ascii="宋体" w:hAnsi="Courier New" w:eastAsia="宋体"/>
      <w:kern w:val="2"/>
      <w:sz w:val="21"/>
    </w:rPr>
  </w:style>
  <w:style w:type="paragraph" w:styleId="20">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1">
    <w:name w:val="Date"/>
    <w:basedOn w:val="1"/>
    <w:next w:val="1"/>
    <w:link w:val="76"/>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2">
    <w:name w:val="Body Text Indent 2"/>
    <w:basedOn w:val="1"/>
    <w:link w:val="70"/>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3">
    <w:name w:val="Balloon Text"/>
    <w:basedOn w:val="1"/>
    <w:link w:val="71"/>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4">
    <w:name w:val="footer"/>
    <w:basedOn w:val="1"/>
    <w:link w:val="47"/>
    <w:unhideWhenUsed/>
    <w:qFormat/>
    <w:uiPriority w:val="0"/>
    <w:pPr>
      <w:tabs>
        <w:tab w:val="center" w:pos="4153"/>
        <w:tab w:val="right" w:pos="8306"/>
      </w:tabs>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jc w:val="center"/>
    </w:pPr>
    <w:rPr>
      <w:sz w:val="18"/>
      <w:szCs w:val="18"/>
    </w:rPr>
  </w:style>
  <w:style w:type="paragraph" w:styleId="26">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7">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8">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29">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0">
    <w:name w:val="Body Text Indent 3"/>
    <w:basedOn w:val="1"/>
    <w:link w:val="73"/>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1">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2">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3">
    <w:name w:val="Body Text 2"/>
    <w:basedOn w:val="1"/>
    <w:link w:val="64"/>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4">
    <w:name w:val="Normal (Web)"/>
    <w:basedOn w:val="1"/>
    <w:qFormat/>
    <w:uiPriority w:val="99"/>
    <w:pPr>
      <w:adjustRightInd/>
      <w:snapToGrid/>
      <w:spacing w:before="100" w:beforeAutospacing="1" w:after="100" w:afterAutospacing="1"/>
    </w:pPr>
    <w:rPr>
      <w:rFonts w:ascii="宋体" w:hAnsi="宋体" w:eastAsia="宋体" w:cs="Times New Roman"/>
      <w:sz w:val="24"/>
      <w:szCs w:val="24"/>
    </w:rPr>
  </w:style>
  <w:style w:type="paragraph" w:styleId="35">
    <w:name w:val="annotation subject"/>
    <w:basedOn w:val="14"/>
    <w:next w:val="14"/>
    <w:link w:val="72"/>
    <w:semiHidden/>
    <w:qFormat/>
    <w:uiPriority w:val="0"/>
    <w:rPr>
      <w:b/>
      <w:bCs/>
    </w:rPr>
  </w:style>
  <w:style w:type="paragraph" w:styleId="36">
    <w:name w:val="Body Text First Indent 2"/>
    <w:basedOn w:val="16"/>
    <w:next w:val="37"/>
    <w:unhideWhenUsed/>
    <w:qFormat/>
    <w:uiPriority w:val="99"/>
    <w:pPr>
      <w:spacing w:after="120" w:line="240" w:lineRule="auto"/>
      <w:ind w:left="420" w:leftChars="200" w:firstLine="420"/>
    </w:pPr>
    <w:rPr>
      <w:rFonts w:ascii="Times New Roman"/>
      <w:sz w:val="28"/>
    </w:rPr>
  </w:style>
  <w:style w:type="paragraph" w:styleId="37">
    <w:name w:val="Intense Quote"/>
    <w:basedOn w:val="1"/>
    <w:next w:val="1"/>
    <w:qFormat/>
    <w:uiPriority w:val="0"/>
    <w:pPr>
      <w:pBdr>
        <w:bottom w:val="single" w:color="4F81BD" w:sz="4" w:space="4"/>
      </w:pBdr>
      <w:spacing w:before="200" w:after="280"/>
      <w:ind w:left="936" w:right="936"/>
    </w:pPr>
    <w:rPr>
      <w:rFonts w:ascii="Calibri" w:hAnsi="Calibri" w:eastAsia="宋体" w:cs="Times New Roman"/>
      <w:b/>
      <w:i/>
      <w:color w:val="4F81BD"/>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000000"/>
      <w:u w:val="none"/>
    </w:rPr>
  </w:style>
  <w:style w:type="character" w:styleId="44">
    <w:name w:val="Hyperlink"/>
    <w:basedOn w:val="40"/>
    <w:qFormat/>
    <w:uiPriority w:val="99"/>
    <w:rPr>
      <w:color w:val="000000"/>
      <w:u w:val="none"/>
    </w:rPr>
  </w:style>
  <w:style w:type="character" w:styleId="45">
    <w:name w:val="annotation reference"/>
    <w:qFormat/>
    <w:uiPriority w:val="0"/>
    <w:rPr>
      <w:sz w:val="21"/>
      <w:szCs w:val="21"/>
    </w:rPr>
  </w:style>
  <w:style w:type="character" w:customStyle="1" w:styleId="46">
    <w:name w:val="页眉 Char"/>
    <w:basedOn w:val="40"/>
    <w:link w:val="25"/>
    <w:semiHidden/>
    <w:qFormat/>
    <w:uiPriority w:val="99"/>
    <w:rPr>
      <w:rFonts w:ascii="Tahoma" w:hAnsi="Tahoma"/>
      <w:sz w:val="18"/>
      <w:szCs w:val="18"/>
    </w:rPr>
  </w:style>
  <w:style w:type="character" w:customStyle="1" w:styleId="47">
    <w:name w:val="页脚 Char"/>
    <w:basedOn w:val="40"/>
    <w:link w:val="24"/>
    <w:qFormat/>
    <w:uiPriority w:val="0"/>
    <w:rPr>
      <w:rFonts w:ascii="Tahoma" w:hAnsi="Tahoma"/>
      <w:sz w:val="18"/>
      <w:szCs w:val="18"/>
    </w:rPr>
  </w:style>
  <w:style w:type="character" w:customStyle="1" w:styleId="48">
    <w:name w:val="标题 1 Char"/>
    <w:basedOn w:val="40"/>
    <w:link w:val="3"/>
    <w:qFormat/>
    <w:uiPriority w:val="0"/>
    <w:rPr>
      <w:rFonts w:ascii="黑体" w:hAnsi="Times New Roman" w:eastAsia="黑体" w:cs="Times New Roman"/>
      <w:sz w:val="36"/>
      <w:szCs w:val="20"/>
    </w:rPr>
  </w:style>
  <w:style w:type="character" w:customStyle="1" w:styleId="49">
    <w:name w:val="标题 2 Char"/>
    <w:basedOn w:val="40"/>
    <w:qFormat/>
    <w:uiPriority w:val="0"/>
    <w:rPr>
      <w:rFonts w:asciiTheme="majorHAnsi" w:hAnsiTheme="majorHAnsi" w:eastAsiaTheme="majorEastAsia" w:cstheme="majorBidi"/>
      <w:b/>
      <w:bCs/>
      <w:sz w:val="32"/>
      <w:szCs w:val="32"/>
    </w:rPr>
  </w:style>
  <w:style w:type="character" w:customStyle="1" w:styleId="50">
    <w:name w:val="标题 3 Char"/>
    <w:basedOn w:val="40"/>
    <w:link w:val="5"/>
    <w:qFormat/>
    <w:uiPriority w:val="0"/>
    <w:rPr>
      <w:rFonts w:ascii="宋体" w:hAnsi="宋体" w:eastAsia="宋体" w:cs="Times New Roman"/>
      <w:bCs/>
      <w:sz w:val="30"/>
      <w:szCs w:val="32"/>
    </w:rPr>
  </w:style>
  <w:style w:type="character" w:customStyle="1" w:styleId="51">
    <w:name w:val="标题 4 Char"/>
    <w:basedOn w:val="40"/>
    <w:link w:val="6"/>
    <w:qFormat/>
    <w:uiPriority w:val="0"/>
    <w:rPr>
      <w:rFonts w:ascii="Cambria" w:hAnsi="Cambria" w:eastAsia="宋体" w:cs="Times New Roman"/>
      <w:b/>
      <w:bCs/>
      <w:kern w:val="2"/>
      <w:sz w:val="28"/>
      <w:szCs w:val="28"/>
    </w:rPr>
  </w:style>
  <w:style w:type="character" w:customStyle="1" w:styleId="52">
    <w:name w:val="标题 5 Char"/>
    <w:basedOn w:val="40"/>
    <w:link w:val="7"/>
    <w:qFormat/>
    <w:uiPriority w:val="0"/>
    <w:rPr>
      <w:rFonts w:ascii="Times New Roman" w:hAnsi="Times New Roman" w:eastAsia="宋体" w:cs="Times New Roman"/>
      <w:b/>
      <w:bCs/>
      <w:kern w:val="2"/>
      <w:sz w:val="28"/>
      <w:szCs w:val="28"/>
    </w:rPr>
  </w:style>
  <w:style w:type="character" w:customStyle="1" w:styleId="53">
    <w:name w:val="标题 6 Char"/>
    <w:basedOn w:val="40"/>
    <w:link w:val="2"/>
    <w:qFormat/>
    <w:uiPriority w:val="0"/>
    <w:rPr>
      <w:rFonts w:ascii="Arial" w:hAnsi="Arial" w:eastAsia="黑体" w:cs="Times New Roman"/>
      <w:b/>
      <w:bCs/>
      <w:sz w:val="24"/>
      <w:szCs w:val="24"/>
    </w:rPr>
  </w:style>
  <w:style w:type="character" w:customStyle="1" w:styleId="54">
    <w:name w:val="标题 7 Char"/>
    <w:basedOn w:val="40"/>
    <w:link w:val="8"/>
    <w:qFormat/>
    <w:uiPriority w:val="0"/>
    <w:rPr>
      <w:rFonts w:ascii="Times New Roman" w:hAnsi="Times New Roman" w:eastAsia="宋体" w:cs="Times New Roman"/>
      <w:b/>
      <w:bCs/>
      <w:sz w:val="24"/>
      <w:szCs w:val="24"/>
    </w:rPr>
  </w:style>
  <w:style w:type="character" w:customStyle="1" w:styleId="55">
    <w:name w:val="标题 8 Char"/>
    <w:basedOn w:val="40"/>
    <w:link w:val="9"/>
    <w:qFormat/>
    <w:uiPriority w:val="0"/>
    <w:rPr>
      <w:rFonts w:ascii="Arial" w:hAnsi="Arial" w:eastAsia="黑体" w:cs="Times New Roman"/>
      <w:sz w:val="24"/>
      <w:szCs w:val="24"/>
    </w:rPr>
  </w:style>
  <w:style w:type="character" w:customStyle="1" w:styleId="56">
    <w:name w:val="标题 9 Char"/>
    <w:basedOn w:val="40"/>
    <w:link w:val="10"/>
    <w:qFormat/>
    <w:uiPriority w:val="0"/>
    <w:rPr>
      <w:rFonts w:ascii="Arial" w:hAnsi="Arial" w:eastAsia="黑体" w:cs="Times New Roman"/>
      <w:sz w:val="21"/>
      <w:szCs w:val="21"/>
    </w:rPr>
  </w:style>
  <w:style w:type="character" w:customStyle="1" w:styleId="57">
    <w:name w:val="标题 2 Char1"/>
    <w:link w:val="4"/>
    <w:qFormat/>
    <w:uiPriority w:val="0"/>
    <w:rPr>
      <w:rFonts w:ascii="Arial" w:hAnsi="Arial" w:eastAsia="黑体" w:cs="Times New Roman"/>
      <w:bCs/>
      <w:sz w:val="32"/>
      <w:szCs w:val="32"/>
    </w:rPr>
  </w:style>
  <w:style w:type="character" w:customStyle="1" w:styleId="58">
    <w:name w:val="样式 标题 3 + 五号 黑色 Char"/>
    <w:link w:val="59"/>
    <w:qFormat/>
    <w:uiPriority w:val="0"/>
    <w:rPr>
      <w:rFonts w:ascii="宋体" w:hAnsi="宋体"/>
      <w:bCs/>
      <w:color w:val="000000"/>
      <w:sz w:val="28"/>
      <w:szCs w:val="32"/>
    </w:rPr>
  </w:style>
  <w:style w:type="paragraph" w:customStyle="1" w:styleId="59">
    <w:name w:val="样式 标题 3 + 五号 黑色"/>
    <w:basedOn w:val="5"/>
    <w:link w:val="58"/>
    <w:qFormat/>
    <w:uiPriority w:val="0"/>
    <w:rPr>
      <w:rFonts w:hint="default" w:eastAsia="微软雅黑" w:cstheme="minorBidi"/>
      <w:color w:val="000000"/>
      <w:sz w:val="28"/>
    </w:rPr>
  </w:style>
  <w:style w:type="character" w:customStyle="1" w:styleId="60">
    <w:name w:val="标题 2 Char Char"/>
    <w:qFormat/>
    <w:uiPriority w:val="0"/>
    <w:rPr>
      <w:rFonts w:ascii="Arial" w:hAnsi="Arial" w:eastAsia="黑体"/>
      <w:bCs/>
      <w:sz w:val="32"/>
      <w:szCs w:val="32"/>
      <w:lang w:val="en-US" w:eastAsia="zh-CN" w:bidi="ar-SA"/>
    </w:rPr>
  </w:style>
  <w:style w:type="character" w:customStyle="1" w:styleId="61">
    <w:name w:val="纯文本 Char2"/>
    <w:link w:val="19"/>
    <w:qFormat/>
    <w:uiPriority w:val="0"/>
    <w:rPr>
      <w:rFonts w:ascii="宋体" w:hAnsi="Courier New" w:eastAsia="宋体"/>
      <w:kern w:val="2"/>
      <w:sz w:val="21"/>
    </w:rPr>
  </w:style>
  <w:style w:type="character" w:customStyle="1" w:styleId="62">
    <w:name w:val="样式 标题 2 Char"/>
    <w:basedOn w:val="57"/>
    <w:link w:val="63"/>
    <w:qFormat/>
    <w:uiPriority w:val="0"/>
    <w:rPr>
      <w:rFonts w:ascii="Arial" w:hAnsi="Arial" w:eastAsia="黑体" w:cs="Times New Roman"/>
      <w:sz w:val="32"/>
      <w:szCs w:val="32"/>
    </w:rPr>
  </w:style>
  <w:style w:type="paragraph" w:customStyle="1" w:styleId="63">
    <w:name w:val="样式 标题 2"/>
    <w:basedOn w:val="4"/>
    <w:link w:val="62"/>
    <w:qFormat/>
    <w:uiPriority w:val="0"/>
  </w:style>
  <w:style w:type="character" w:customStyle="1" w:styleId="64">
    <w:name w:val="正文文本 2 Char"/>
    <w:basedOn w:val="40"/>
    <w:link w:val="33"/>
    <w:qFormat/>
    <w:uiPriority w:val="0"/>
    <w:rPr>
      <w:rFonts w:ascii="Times New Roman" w:hAnsi="Times New Roman" w:eastAsia="宋体" w:cs="Times New Roman"/>
      <w:kern w:val="2"/>
      <w:sz w:val="21"/>
      <w:szCs w:val="24"/>
    </w:rPr>
  </w:style>
  <w:style w:type="character" w:customStyle="1" w:styleId="65">
    <w:name w:val="批注文字 Char"/>
    <w:basedOn w:val="40"/>
    <w:link w:val="14"/>
    <w:qFormat/>
    <w:uiPriority w:val="0"/>
    <w:rPr>
      <w:rFonts w:ascii="Times New Roman" w:hAnsi="Times New Roman" w:eastAsia="宋体" w:cs="Times New Roman"/>
      <w:kern w:val="2"/>
      <w:sz w:val="21"/>
      <w:szCs w:val="24"/>
    </w:rPr>
  </w:style>
  <w:style w:type="character" w:customStyle="1" w:styleId="66">
    <w:name w:val="正文文本缩进 Char"/>
    <w:basedOn w:val="40"/>
    <w:link w:val="16"/>
    <w:qFormat/>
    <w:uiPriority w:val="0"/>
    <w:rPr>
      <w:rFonts w:ascii="宋体" w:hAnsi="宋体" w:eastAsia="宋体" w:cs="Courier New"/>
      <w:spacing w:val="2"/>
      <w:kern w:val="2"/>
      <w:sz w:val="21"/>
      <w:szCs w:val="24"/>
    </w:rPr>
  </w:style>
  <w:style w:type="paragraph" w:customStyle="1" w:styleId="67">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8">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9">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70">
    <w:name w:val="正文文本缩进 2 Char"/>
    <w:basedOn w:val="40"/>
    <w:link w:val="22"/>
    <w:qFormat/>
    <w:uiPriority w:val="0"/>
    <w:rPr>
      <w:rFonts w:ascii="Times New Roman" w:hAnsi="Times New Roman" w:eastAsia="宋体" w:cs="Times New Roman"/>
      <w:kern w:val="2"/>
      <w:sz w:val="21"/>
      <w:szCs w:val="24"/>
    </w:rPr>
  </w:style>
  <w:style w:type="character" w:customStyle="1" w:styleId="71">
    <w:name w:val="批注框文本 Char"/>
    <w:basedOn w:val="40"/>
    <w:link w:val="23"/>
    <w:qFormat/>
    <w:uiPriority w:val="0"/>
    <w:rPr>
      <w:rFonts w:ascii="Times New Roman" w:hAnsi="Times New Roman" w:eastAsia="宋体" w:cs="Times New Roman"/>
      <w:kern w:val="2"/>
      <w:sz w:val="18"/>
      <w:szCs w:val="18"/>
    </w:rPr>
  </w:style>
  <w:style w:type="character" w:customStyle="1" w:styleId="72">
    <w:name w:val="批注主题 Char"/>
    <w:basedOn w:val="65"/>
    <w:link w:val="35"/>
    <w:semiHidden/>
    <w:qFormat/>
    <w:uiPriority w:val="0"/>
    <w:rPr>
      <w:rFonts w:ascii="Times New Roman" w:hAnsi="Times New Roman" w:eastAsia="宋体" w:cs="Times New Roman"/>
      <w:b/>
      <w:bCs/>
      <w:kern w:val="2"/>
      <w:sz w:val="21"/>
      <w:szCs w:val="24"/>
    </w:rPr>
  </w:style>
  <w:style w:type="character" w:customStyle="1" w:styleId="73">
    <w:name w:val="正文文本缩进 3 Char"/>
    <w:basedOn w:val="40"/>
    <w:link w:val="30"/>
    <w:qFormat/>
    <w:uiPriority w:val="0"/>
    <w:rPr>
      <w:rFonts w:ascii="宋体" w:hAnsi="Courier New" w:eastAsia="宋体" w:cs="Courier New"/>
      <w:kern w:val="2"/>
      <w:sz w:val="21"/>
      <w:szCs w:val="24"/>
    </w:rPr>
  </w:style>
  <w:style w:type="character" w:customStyle="1" w:styleId="74">
    <w:name w:val="正文文本 Char"/>
    <w:basedOn w:val="40"/>
    <w:link w:val="15"/>
    <w:qFormat/>
    <w:uiPriority w:val="0"/>
    <w:rPr>
      <w:rFonts w:ascii="Times New Roman" w:hAnsi="Times New Roman" w:eastAsia="宋体" w:cs="Times New Roman"/>
      <w:kern w:val="2"/>
      <w:sz w:val="52"/>
      <w:szCs w:val="24"/>
    </w:rPr>
  </w:style>
  <w:style w:type="character" w:customStyle="1" w:styleId="75">
    <w:name w:val="文档结构图 Char"/>
    <w:basedOn w:val="40"/>
    <w:link w:val="13"/>
    <w:semiHidden/>
    <w:qFormat/>
    <w:uiPriority w:val="0"/>
    <w:rPr>
      <w:rFonts w:ascii="Times New Roman" w:hAnsi="Times New Roman" w:eastAsia="宋体" w:cs="Times New Roman"/>
      <w:kern w:val="2"/>
      <w:sz w:val="21"/>
      <w:szCs w:val="24"/>
      <w:shd w:val="clear" w:color="auto" w:fill="000080"/>
    </w:rPr>
  </w:style>
  <w:style w:type="character" w:customStyle="1" w:styleId="76">
    <w:name w:val="日期 Char"/>
    <w:basedOn w:val="40"/>
    <w:link w:val="21"/>
    <w:qFormat/>
    <w:uiPriority w:val="0"/>
    <w:rPr>
      <w:rFonts w:ascii="Times New Roman" w:hAnsi="Times New Roman" w:eastAsia="宋体" w:cs="Times New Roman"/>
      <w:kern w:val="2"/>
      <w:sz w:val="21"/>
      <w:szCs w:val="24"/>
    </w:rPr>
  </w:style>
  <w:style w:type="character" w:customStyle="1" w:styleId="77">
    <w:name w:val="纯文本 Char"/>
    <w:basedOn w:val="40"/>
    <w:qFormat/>
    <w:uiPriority w:val="0"/>
    <w:rPr>
      <w:rFonts w:ascii="宋体" w:hAnsi="Courier New" w:eastAsia="宋体" w:cs="Courier New"/>
      <w:sz w:val="21"/>
      <w:szCs w:val="21"/>
    </w:rPr>
  </w:style>
  <w:style w:type="paragraph" w:customStyle="1" w:styleId="78">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9">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80">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1">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2">
    <w:name w:val="1"/>
    <w:basedOn w:val="1"/>
    <w:next w:val="19"/>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3">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4">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5">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6">
    <w:name w:val="Char Char Char Char"/>
    <w:basedOn w:val="13"/>
    <w:qFormat/>
    <w:uiPriority w:val="0"/>
    <w:rPr>
      <w:rFonts w:ascii="宋体" w:hAnsi="Courier New"/>
      <w:szCs w:val="20"/>
    </w:rPr>
  </w:style>
  <w:style w:type="paragraph" w:customStyle="1" w:styleId="87">
    <w:name w:val="样式3"/>
    <w:basedOn w:val="19"/>
    <w:qFormat/>
    <w:uiPriority w:val="0"/>
    <w:pPr>
      <w:adjustRightInd w:val="0"/>
      <w:spacing w:line="0" w:lineRule="atLeast"/>
      <w:textAlignment w:val="baseline"/>
      <w:outlineLvl w:val="0"/>
    </w:pPr>
    <w:rPr>
      <w:sz w:val="28"/>
    </w:rPr>
  </w:style>
  <w:style w:type="paragraph" w:customStyle="1" w:styleId="88">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9">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90">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1">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2">
    <w:name w:val="默认段落字体 Para Char Char Char Char Char Char Char Char Char1 Char"/>
    <w:basedOn w:val="13"/>
    <w:qFormat/>
    <w:uiPriority w:val="0"/>
    <w:pPr>
      <w:adjustRightInd w:val="0"/>
      <w:spacing w:line="436" w:lineRule="exact"/>
      <w:ind w:left="357"/>
      <w:jc w:val="left"/>
      <w:outlineLvl w:val="3"/>
    </w:pPr>
    <w:rPr>
      <w:shd w:val="clear" w:color="auto" w:fill="000080"/>
    </w:rPr>
  </w:style>
  <w:style w:type="character" w:customStyle="1" w:styleId="93">
    <w:name w:val="Char Char2"/>
    <w:qFormat/>
    <w:uiPriority w:val="0"/>
    <w:rPr>
      <w:rFonts w:ascii="宋体" w:hAnsi="Courier New" w:eastAsia="宋体" w:cs="Courier New"/>
      <w:szCs w:val="21"/>
    </w:rPr>
  </w:style>
  <w:style w:type="character" w:customStyle="1" w:styleId="94">
    <w:name w:val="普通文字 Char Char2"/>
    <w:qFormat/>
    <w:uiPriority w:val="0"/>
    <w:rPr>
      <w:rFonts w:ascii="宋体" w:hAnsi="宋体"/>
      <w:kern w:val="1"/>
      <w:sz w:val="21"/>
      <w:lang w:eastAsia="ar-SA"/>
    </w:rPr>
  </w:style>
  <w:style w:type="paragraph" w:styleId="95">
    <w:name w:val="List Paragraph"/>
    <w:basedOn w:val="1"/>
    <w:qFormat/>
    <w:uiPriority w:val="34"/>
    <w:pPr>
      <w:ind w:firstLine="420" w:firstLineChars="200"/>
    </w:pPr>
  </w:style>
  <w:style w:type="paragraph" w:customStyle="1" w:styleId="96">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7">
    <w:name w:val="纯文本 Char1"/>
    <w:qFormat/>
    <w:uiPriority w:val="0"/>
    <w:rPr>
      <w:rFonts w:ascii="宋体" w:hAnsi="Courier New" w:eastAsia="宋体" w:cs="Courier New"/>
      <w:szCs w:val="21"/>
    </w:rPr>
  </w:style>
  <w:style w:type="character" w:customStyle="1" w:styleId="98">
    <w:name w:val="正文缩进 Char"/>
    <w:link w:val="12"/>
    <w:qFormat/>
    <w:uiPriority w:val="0"/>
    <w:rPr>
      <w:rFonts w:ascii="Times New Roman" w:hAnsi="Times New Roman" w:eastAsia="宋体" w:cs="Times New Roman"/>
      <w:kern w:val="2"/>
      <w:sz w:val="21"/>
      <w:szCs w:val="20"/>
    </w:rPr>
  </w:style>
  <w:style w:type="character" w:customStyle="1" w:styleId="99">
    <w:name w:val="Char Char10"/>
    <w:qFormat/>
    <w:uiPriority w:val="0"/>
    <w:rPr>
      <w:rFonts w:ascii="宋体" w:hAnsi="Courier New" w:eastAsia="宋体" w:cs="Courier New"/>
      <w:kern w:val="2"/>
      <w:sz w:val="21"/>
      <w:szCs w:val="21"/>
      <w:lang w:val="en-US" w:eastAsia="zh-CN" w:bidi="ar-SA"/>
    </w:rPr>
  </w:style>
  <w:style w:type="character" w:customStyle="1" w:styleId="100">
    <w:name w:val="日期 Char1"/>
    <w:qFormat/>
    <w:uiPriority w:val="0"/>
    <w:rPr>
      <w:kern w:val="2"/>
      <w:sz w:val="21"/>
      <w:szCs w:val="24"/>
    </w:rPr>
  </w:style>
  <w:style w:type="paragraph" w:customStyle="1" w:styleId="101">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List Paragraph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character" w:customStyle="1" w:styleId="104">
    <w:name w:val="font31"/>
    <w:basedOn w:val="40"/>
    <w:qFormat/>
    <w:uiPriority w:val="0"/>
    <w:rPr>
      <w:rFonts w:hint="eastAsia" w:ascii="宋体" w:hAnsi="宋体" w:eastAsia="宋体" w:cs="宋体"/>
      <w:color w:val="000000"/>
      <w:sz w:val="20"/>
      <w:szCs w:val="20"/>
      <w:u w:val="none"/>
    </w:rPr>
  </w:style>
  <w:style w:type="character" w:customStyle="1" w:styleId="105">
    <w:name w:val="font151"/>
    <w:basedOn w:val="40"/>
    <w:qFormat/>
    <w:uiPriority w:val="0"/>
    <w:rPr>
      <w:rFonts w:ascii="Arial" w:hAnsi="Arial" w:cs="Arial"/>
      <w:color w:val="000000"/>
      <w:sz w:val="20"/>
      <w:szCs w:val="20"/>
      <w:u w:val="none"/>
    </w:rPr>
  </w:style>
  <w:style w:type="character" w:customStyle="1" w:styleId="106">
    <w:name w:val="font01"/>
    <w:qFormat/>
    <w:uiPriority w:val="0"/>
    <w:rPr>
      <w:rFonts w:hint="eastAsia" w:ascii="宋体" w:hAnsi="宋体" w:eastAsia="宋体"/>
      <w:color w:val="000000"/>
      <w:sz w:val="18"/>
      <w:szCs w:val="18"/>
      <w:u w:val="none"/>
    </w:rPr>
  </w:style>
  <w:style w:type="paragraph" w:customStyle="1" w:styleId="107">
    <w:name w:val="列表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108">
    <w:name w:val="列出段落1"/>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09">
    <w:name w:val="未处理的提及1"/>
    <w:basedOn w:val="40"/>
    <w:semiHidden/>
    <w:unhideWhenUsed/>
    <w:qFormat/>
    <w:uiPriority w:val="99"/>
    <w:rPr>
      <w:color w:val="605E5C"/>
      <w:shd w:val="clear" w:color="auto" w:fill="E1DFDD"/>
    </w:rPr>
  </w:style>
  <w:style w:type="paragraph" w:customStyle="1" w:styleId="110">
    <w:name w:val="修订1"/>
    <w:hidden/>
    <w:semiHidden/>
    <w:qFormat/>
    <w:uiPriority w:val="99"/>
    <w:rPr>
      <w:rFonts w:ascii="Tahoma" w:hAnsi="Tahoma" w:eastAsia="微软雅黑" w:cstheme="minorBidi"/>
      <w:sz w:val="22"/>
      <w:szCs w:val="22"/>
      <w:lang w:val="en-US" w:eastAsia="zh-CN" w:bidi="ar-SA"/>
    </w:rPr>
  </w:style>
  <w:style w:type="character" w:customStyle="1" w:styleId="111">
    <w:name w:val="font11"/>
    <w:basedOn w:val="40"/>
    <w:qFormat/>
    <w:uiPriority w:val="0"/>
    <w:rPr>
      <w:rFonts w:hint="eastAsia" w:ascii="宋体" w:hAnsi="宋体" w:eastAsia="宋体" w:cs="宋体"/>
      <w:color w:val="000000"/>
      <w:sz w:val="24"/>
      <w:szCs w:val="24"/>
      <w:u w:val="none"/>
    </w:rPr>
  </w:style>
  <w:style w:type="character" w:customStyle="1" w:styleId="112">
    <w:name w:val="bds_more2"/>
    <w:basedOn w:val="40"/>
    <w:qFormat/>
    <w:uiPriority w:val="0"/>
  </w:style>
  <w:style w:type="character" w:customStyle="1" w:styleId="113">
    <w:name w:val="bds_more3"/>
    <w:basedOn w:val="40"/>
    <w:qFormat/>
    <w:uiPriority w:val="0"/>
    <w:rPr>
      <w:rFonts w:hint="eastAsia" w:ascii="宋体" w:hAnsi="宋体" w:eastAsia="宋体" w:cs="宋体"/>
    </w:rPr>
  </w:style>
  <w:style w:type="character" w:customStyle="1" w:styleId="114">
    <w:name w:val="bds_more4"/>
    <w:basedOn w:val="40"/>
    <w:qFormat/>
    <w:uiPriority w:val="0"/>
  </w:style>
  <w:style w:type="character" w:customStyle="1" w:styleId="115">
    <w:name w:val="bds_nopic"/>
    <w:basedOn w:val="40"/>
    <w:qFormat/>
    <w:uiPriority w:val="0"/>
  </w:style>
  <w:style w:type="character" w:customStyle="1" w:styleId="116">
    <w:name w:val="bds_nopic1"/>
    <w:basedOn w:val="40"/>
    <w:qFormat/>
    <w:uiPriority w:val="0"/>
  </w:style>
  <w:style w:type="character" w:customStyle="1" w:styleId="117">
    <w:name w:val="bds_nopic2"/>
    <w:basedOn w:val="40"/>
    <w:qFormat/>
    <w:uiPriority w:val="0"/>
  </w:style>
  <w:style w:type="character" w:customStyle="1" w:styleId="118">
    <w:name w:val="bds_more"/>
    <w:basedOn w:val="40"/>
    <w:qFormat/>
    <w:uiPriority w:val="0"/>
  </w:style>
  <w:style w:type="character" w:customStyle="1" w:styleId="119">
    <w:name w:val="bds_more1"/>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FEFFA-BCC1-4C10-944B-CCC2868BB0C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30462</Words>
  <Characters>32115</Characters>
  <Lines>262</Lines>
  <Paragraphs>73</Paragraphs>
  <TotalTime>14</TotalTime>
  <ScaleCrop>false</ScaleCrop>
  <LinksUpToDate>false</LinksUpToDate>
  <CharactersWithSpaces>33238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2020-07-17T00:55:00Z</dcterms:created>
  <dc:creator>Administrator</dc:creator>
  <cp:lastModifiedBy>Strulle</cp:lastModifiedBy>
  <cp:lastPrinted>2021-04-09T03:56:00Z</cp:lastPrinted>
  <dcterms:modified xsi:type="dcterms:W3CDTF">2021-09-29T07:22:54Z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F66A5AE9E1214F1D94C24699EC0C9AA8</vt:lpwstr>
  </property>
</Properties>
</file>