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auto"/>
          <w:sz w:val="44"/>
          <w:szCs w:val="44"/>
          <w:highlight w:val="none"/>
        </w:rPr>
      </w:pPr>
      <w:bookmarkStart w:id="168" w:name="_GoBack"/>
      <w:bookmarkEnd w:id="168"/>
    </w:p>
    <w:p>
      <w:pPr>
        <w:jc w:val="center"/>
        <w:rPr>
          <w:rFonts w:ascii="宋体" w:hAnsi="宋体" w:eastAsia="宋体"/>
          <w:b/>
          <w:color w:val="auto"/>
          <w:sz w:val="56"/>
          <w:highlight w:val="none"/>
        </w:rPr>
      </w:pPr>
      <w:r>
        <w:rPr>
          <w:rFonts w:hint="eastAsia" w:ascii="宋体" w:hAnsi="宋体" w:eastAsia="宋体"/>
          <w:b/>
          <w:color w:val="auto"/>
          <w:sz w:val="56"/>
          <w:highlight w:val="none"/>
        </w:rPr>
        <w:t>广西睿翼工程咨询有限公司</w:t>
      </w:r>
    </w:p>
    <w:p>
      <w:pPr>
        <w:pStyle w:val="15"/>
        <w:rPr>
          <w:rFonts w:ascii="宋体" w:hAnsi="宋体"/>
          <w:b/>
          <w:bCs/>
          <w:color w:val="auto"/>
          <w:sz w:val="10"/>
          <w:highlight w:val="none"/>
        </w:rPr>
      </w:pPr>
    </w:p>
    <w:p>
      <w:pPr>
        <w:pStyle w:val="15"/>
        <w:rPr>
          <w:rFonts w:ascii="宋体" w:hAnsi="宋体"/>
          <w:color w:val="auto"/>
          <w:sz w:val="72"/>
          <w:highlight w:val="none"/>
        </w:rPr>
      </w:pPr>
      <w:r>
        <w:rPr>
          <w:rFonts w:ascii="宋体" w:hAnsi="宋体"/>
          <w:color w:val="auto"/>
          <w:sz w:val="20"/>
          <w:highlight w:val="none"/>
          <w:u w:val="single"/>
        </w:rPr>
        <mc:AlternateContent>
          <mc:Choice Requires="wps">
            <w:drawing>
              <wp:anchor distT="0" distB="0" distL="114300" distR="114300" simplePos="0" relativeHeight="251660288" behindDoc="0" locked="0" layoutInCell="1" allowOverlap="1">
                <wp:simplePos x="0" y="0"/>
                <wp:positionH relativeFrom="column">
                  <wp:posOffset>165100</wp:posOffset>
                </wp:positionH>
                <wp:positionV relativeFrom="paragraph">
                  <wp:posOffset>154940</wp:posOffset>
                </wp:positionV>
                <wp:extent cx="5652135" cy="0"/>
                <wp:effectExtent l="0" t="13970" r="5715" b="24130"/>
                <wp:wrapNone/>
                <wp:docPr id="4" name="直线 4"/>
                <wp:cNvGraphicFramePr/>
                <a:graphic xmlns:a="http://schemas.openxmlformats.org/drawingml/2006/main">
                  <a:graphicData uri="http://schemas.microsoft.com/office/word/2010/wordprocessingShape">
                    <wps:wsp>
                      <wps:cNvCnPr>
                        <a:cxnSpLocks noChangeShapeType="1"/>
                      </wps:cNvCnPr>
                      <wps:spPr bwMode="auto">
                        <a:xfrm flipV="1">
                          <a:off x="0" y="0"/>
                          <a:ext cx="5652135" cy="0"/>
                        </a:xfrm>
                        <a:prstGeom prst="line">
                          <a:avLst/>
                        </a:prstGeom>
                        <a:noFill/>
                        <a:ln w="28575">
                          <a:solidFill>
                            <a:srgbClr val="000000"/>
                          </a:solidFill>
                          <a:round/>
                        </a:ln>
                        <a:effectLst/>
                      </wps:spPr>
                      <wps:bodyPr/>
                    </wps:wsp>
                  </a:graphicData>
                </a:graphic>
              </wp:anchor>
            </w:drawing>
          </mc:Choice>
          <mc:Fallback>
            <w:pict>
              <v:line id="直线 4" o:spid="_x0000_s1026" o:spt="20" style="position:absolute;left:0pt;flip:y;margin-left:13pt;margin-top:12.2pt;height:0pt;width:445.05pt;z-index:251660288;mso-width-relative:page;mso-height-relative:page;" filled="f" stroked="t" coordsize="21600,21600" o:gfxdata="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zqCMv1gAAAAgB&#10;AAAPAAAAAAAAAAEAIAAAACIAAABkcnMvZG93bnJldi54bWxQSwECFAAUAAAACACHTuJATYjMmOQB&#10;AAC6AwAADgAAAAAAAAABACAAAAAlAQAAZHJzL2Uyb0RvYy54bWxQSwUGAAAAAAYABgBZAQAAewUA&#10;AAAA&#10;">
                <v:fill on="f" focussize="0,0"/>
                <v:stroke weight="2.25pt" color="#000000" joinstyle="round"/>
                <v:imagedata o:title=""/>
                <o:lock v:ext="edit" aspectratio="f"/>
              </v:line>
            </w:pict>
          </mc:Fallback>
        </mc:AlternateContent>
      </w:r>
    </w:p>
    <w:p>
      <w:pPr>
        <w:pStyle w:val="15"/>
        <w:rPr>
          <w:rFonts w:ascii="宋体" w:hAnsi="宋体"/>
          <w:color w:val="auto"/>
          <w:sz w:val="72"/>
          <w:highlight w:val="none"/>
        </w:rPr>
      </w:pPr>
    </w:p>
    <w:p>
      <w:pPr>
        <w:pStyle w:val="15"/>
        <w:rPr>
          <w:rFonts w:ascii="宋体" w:hAnsi="宋体"/>
          <w:color w:val="auto"/>
          <w:sz w:val="11"/>
          <w:szCs w:val="11"/>
          <w:highlight w:val="none"/>
        </w:rPr>
      </w:pPr>
    </w:p>
    <w:p>
      <w:pPr>
        <w:pStyle w:val="15"/>
        <w:rPr>
          <w:rFonts w:ascii="宋体" w:hAnsi="宋体"/>
          <w:b/>
          <w:bCs/>
          <w:color w:val="auto"/>
          <w:sz w:val="96"/>
          <w:szCs w:val="96"/>
          <w:highlight w:val="none"/>
        </w:rPr>
      </w:pPr>
      <w:r>
        <w:rPr>
          <w:rFonts w:hint="eastAsia" w:ascii="宋体" w:hAnsi="宋体"/>
          <w:b/>
          <w:bCs/>
          <w:color w:val="auto"/>
          <w:sz w:val="96"/>
          <w:szCs w:val="96"/>
          <w:highlight w:val="none"/>
        </w:rPr>
        <w:t>竞争性谈判文件</w:t>
      </w:r>
    </w:p>
    <w:p>
      <w:pPr>
        <w:pStyle w:val="15"/>
        <w:rPr>
          <w:rFonts w:ascii="宋体" w:hAnsi="宋体"/>
          <w:color w:val="auto"/>
          <w:sz w:val="21"/>
          <w:szCs w:val="21"/>
          <w:highlight w:val="none"/>
        </w:rPr>
      </w:pPr>
    </w:p>
    <w:p>
      <w:pPr>
        <w:pStyle w:val="15"/>
        <w:rPr>
          <w:rFonts w:ascii="宋体" w:hAnsi="宋体"/>
          <w:color w:val="auto"/>
          <w:sz w:val="21"/>
          <w:szCs w:val="21"/>
          <w:highlight w:val="none"/>
        </w:rPr>
      </w:pPr>
    </w:p>
    <w:p>
      <w:pPr>
        <w:pStyle w:val="15"/>
        <w:rPr>
          <w:rFonts w:ascii="宋体" w:hAnsi="宋体"/>
          <w:color w:val="auto"/>
          <w:sz w:val="21"/>
          <w:szCs w:val="21"/>
          <w:highlight w:val="none"/>
        </w:rPr>
      </w:pPr>
    </w:p>
    <w:p>
      <w:pPr>
        <w:pStyle w:val="15"/>
        <w:rPr>
          <w:rFonts w:ascii="宋体" w:hAnsi="宋体"/>
          <w:color w:val="auto"/>
          <w:sz w:val="21"/>
          <w:szCs w:val="21"/>
          <w:highlight w:val="none"/>
        </w:rPr>
      </w:pPr>
    </w:p>
    <w:p>
      <w:pPr>
        <w:pStyle w:val="15"/>
        <w:rPr>
          <w:rFonts w:ascii="宋体" w:hAnsi="宋体"/>
          <w:color w:val="auto"/>
          <w:sz w:val="21"/>
          <w:szCs w:val="21"/>
          <w:highlight w:val="none"/>
        </w:rPr>
      </w:pPr>
    </w:p>
    <w:p>
      <w:pPr>
        <w:pStyle w:val="15"/>
        <w:rPr>
          <w:rFonts w:ascii="宋体" w:hAnsi="宋体"/>
          <w:color w:val="auto"/>
          <w:sz w:val="21"/>
          <w:szCs w:val="21"/>
          <w:highlight w:val="none"/>
        </w:rPr>
      </w:pPr>
    </w:p>
    <w:p>
      <w:pPr>
        <w:pStyle w:val="15"/>
        <w:rPr>
          <w:rFonts w:ascii="宋体" w:hAnsi="宋体"/>
          <w:color w:val="auto"/>
          <w:sz w:val="21"/>
          <w:szCs w:val="21"/>
          <w:highlight w:val="none"/>
        </w:rPr>
      </w:pPr>
    </w:p>
    <w:p>
      <w:pPr>
        <w:pStyle w:val="15"/>
        <w:rPr>
          <w:rFonts w:ascii="宋体" w:hAnsi="宋体"/>
          <w:color w:val="auto"/>
          <w:sz w:val="21"/>
          <w:szCs w:val="21"/>
          <w:highlight w:val="none"/>
        </w:rPr>
      </w:pPr>
    </w:p>
    <w:p>
      <w:pPr>
        <w:pStyle w:val="15"/>
        <w:rPr>
          <w:rFonts w:ascii="宋体" w:hAnsi="宋体"/>
          <w:color w:val="auto"/>
          <w:sz w:val="21"/>
          <w:szCs w:val="21"/>
          <w:highlight w:val="none"/>
        </w:rPr>
      </w:pPr>
    </w:p>
    <w:p>
      <w:pPr>
        <w:pStyle w:val="15"/>
        <w:rPr>
          <w:rFonts w:ascii="宋体" w:hAnsi="宋体"/>
          <w:color w:val="auto"/>
          <w:sz w:val="21"/>
          <w:szCs w:val="21"/>
          <w:highlight w:val="none"/>
        </w:rPr>
      </w:pPr>
    </w:p>
    <w:p>
      <w:pPr>
        <w:pStyle w:val="15"/>
        <w:rPr>
          <w:rFonts w:ascii="宋体" w:hAnsi="宋体"/>
          <w:color w:val="auto"/>
          <w:sz w:val="21"/>
          <w:szCs w:val="21"/>
          <w:highlight w:val="none"/>
        </w:rPr>
      </w:pPr>
    </w:p>
    <w:p>
      <w:pPr>
        <w:pStyle w:val="15"/>
        <w:rPr>
          <w:rFonts w:ascii="宋体" w:hAnsi="宋体"/>
          <w:color w:val="auto"/>
          <w:sz w:val="21"/>
          <w:szCs w:val="21"/>
          <w:highlight w:val="none"/>
        </w:rPr>
      </w:pPr>
    </w:p>
    <w:p>
      <w:pPr>
        <w:pStyle w:val="15"/>
        <w:rPr>
          <w:rFonts w:ascii="宋体" w:hAnsi="宋体"/>
          <w:color w:val="auto"/>
          <w:sz w:val="21"/>
          <w:szCs w:val="21"/>
          <w:highlight w:val="none"/>
        </w:rPr>
      </w:pPr>
    </w:p>
    <w:p>
      <w:pPr>
        <w:pStyle w:val="15"/>
        <w:rPr>
          <w:rFonts w:ascii="宋体" w:hAnsi="宋体"/>
          <w:color w:val="auto"/>
          <w:sz w:val="21"/>
          <w:szCs w:val="21"/>
          <w:highlight w:val="none"/>
        </w:rPr>
      </w:pPr>
    </w:p>
    <w:p>
      <w:pPr>
        <w:pStyle w:val="15"/>
        <w:rPr>
          <w:rFonts w:ascii="宋体" w:hAnsi="宋体"/>
          <w:color w:val="auto"/>
          <w:sz w:val="21"/>
          <w:szCs w:val="21"/>
          <w:highlight w:val="none"/>
        </w:rPr>
      </w:pPr>
    </w:p>
    <w:p>
      <w:pPr>
        <w:pStyle w:val="15"/>
        <w:rPr>
          <w:rFonts w:ascii="宋体" w:hAnsi="宋体"/>
          <w:color w:val="auto"/>
          <w:sz w:val="21"/>
          <w:szCs w:val="21"/>
          <w:highlight w:val="none"/>
        </w:rPr>
      </w:pPr>
      <w:r>
        <w:rPr>
          <w:rFonts w:ascii="宋体" w:hAnsi="宋体"/>
          <w:color w:val="auto"/>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165100</wp:posOffset>
                </wp:positionH>
                <wp:positionV relativeFrom="paragraph">
                  <wp:posOffset>177800</wp:posOffset>
                </wp:positionV>
                <wp:extent cx="5652135" cy="0"/>
                <wp:effectExtent l="0" t="13970" r="5715" b="24130"/>
                <wp:wrapNone/>
                <wp:docPr id="2" name="直线 3"/>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28575">
                          <a:solidFill>
                            <a:srgbClr val="000000"/>
                          </a:solidFill>
                          <a:round/>
                        </a:ln>
                        <a:effectLst/>
                      </wps:spPr>
                      <wps:bodyPr/>
                    </wps:wsp>
                  </a:graphicData>
                </a:graphic>
              </wp:anchor>
            </w:drawing>
          </mc:Choice>
          <mc:Fallback>
            <w:pict>
              <v:line id="直线 3" o:spid="_x0000_s1026" o:spt="20" style="position:absolute;left:0pt;margin-left:13pt;margin-top:14pt;height:0pt;width:445.05pt;z-index:251659264;mso-width-relative:page;mso-height-relative:page;" filled="f" stroked="t" coordsize="21600,21600" o:gfxdata="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Umr9W1QAAAAgBAAAPAAAAAAAA&#10;AAEAIAAAACIAAABkcnMvZG93bnJldi54bWxQSwECFAAUAAAACACHTuJAvgVZE9wBAACwAwAADgAA&#10;AAAAAAABACAAAAAkAQAAZHJzL2Uyb0RvYy54bWxQSwUGAAAAAAYABgBZAQAAcgUAAAAA&#10;">
                <v:fill on="f" focussize="0,0"/>
                <v:stroke weight="2.25pt" color="#000000" joinstyle="round"/>
                <v:imagedata o:title=""/>
                <o:lock v:ext="edit" aspectratio="f"/>
              </v:line>
            </w:pict>
          </mc:Fallback>
        </mc:AlternateContent>
      </w:r>
    </w:p>
    <w:p>
      <w:pPr>
        <w:spacing w:after="0" w:line="600" w:lineRule="exact"/>
        <w:ind w:left="2269" w:leftChars="304" w:hanging="1600" w:hangingChars="500"/>
        <w:rPr>
          <w:rFonts w:ascii="宋体" w:hAnsi="宋体" w:eastAsia="宋体"/>
          <w:color w:val="auto"/>
          <w:sz w:val="32"/>
          <w:highlight w:val="none"/>
        </w:rPr>
      </w:pPr>
      <w:r>
        <w:rPr>
          <w:rFonts w:hint="eastAsia" w:ascii="宋体" w:hAnsi="宋体" w:eastAsia="宋体"/>
          <w:color w:val="auto"/>
          <w:sz w:val="32"/>
          <w:highlight w:val="none"/>
        </w:rPr>
        <w:t>项目名称：罗城仫佬族自治县节水型社会达标建设项目</w:t>
      </w:r>
    </w:p>
    <w:p>
      <w:pPr>
        <w:pStyle w:val="15"/>
        <w:spacing w:line="600" w:lineRule="exact"/>
        <w:ind w:firstLine="640" w:firstLineChars="200"/>
        <w:jc w:val="both"/>
        <w:rPr>
          <w:rFonts w:ascii="宋体" w:hAnsi="宋体"/>
          <w:color w:val="auto"/>
          <w:sz w:val="32"/>
          <w:highlight w:val="none"/>
        </w:rPr>
      </w:pPr>
      <w:r>
        <w:rPr>
          <w:rFonts w:hint="eastAsia" w:ascii="宋体" w:hAnsi="宋体"/>
          <w:color w:val="auto"/>
          <w:sz w:val="32"/>
          <w:highlight w:val="none"/>
        </w:rPr>
        <w:t>采购编号：HCZC2021-J1-250359-GXRY</w:t>
      </w:r>
    </w:p>
    <w:p>
      <w:pPr>
        <w:spacing w:after="0" w:line="600" w:lineRule="exact"/>
        <w:ind w:firstLine="640" w:firstLineChars="200"/>
        <w:rPr>
          <w:rFonts w:ascii="宋体" w:hAnsi="宋体" w:eastAsia="宋体"/>
          <w:color w:val="auto"/>
          <w:sz w:val="32"/>
          <w:highlight w:val="none"/>
        </w:rPr>
      </w:pPr>
      <w:r>
        <w:rPr>
          <w:rFonts w:hint="eastAsia" w:ascii="宋体" w:hAnsi="宋体" w:eastAsia="宋体"/>
          <w:color w:val="auto"/>
          <w:sz w:val="32"/>
          <w:highlight w:val="none"/>
        </w:rPr>
        <w:t>采购人：</w:t>
      </w:r>
      <w:r>
        <w:rPr>
          <w:rFonts w:hint="eastAsia" w:ascii="宋体" w:hAnsi="宋体" w:eastAsia="宋体"/>
          <w:bCs/>
          <w:color w:val="auto"/>
          <w:sz w:val="32"/>
          <w:szCs w:val="32"/>
          <w:highlight w:val="none"/>
        </w:rPr>
        <w:t>罗城仫佬族自治县水利局</w:t>
      </w:r>
    </w:p>
    <w:p>
      <w:pPr>
        <w:pStyle w:val="15"/>
        <w:spacing w:line="600" w:lineRule="exact"/>
        <w:ind w:right="-273" w:rightChars="-124" w:firstLine="640" w:firstLineChars="200"/>
        <w:jc w:val="both"/>
        <w:rPr>
          <w:rFonts w:ascii="宋体" w:hAnsi="宋体"/>
          <w:color w:val="auto"/>
          <w:sz w:val="32"/>
          <w:highlight w:val="none"/>
        </w:rPr>
      </w:pPr>
      <w:r>
        <w:rPr>
          <w:rFonts w:hint="eastAsia" w:ascii="宋体" w:hAnsi="宋体"/>
          <w:color w:val="auto"/>
          <w:sz w:val="32"/>
          <w:highlight w:val="none"/>
        </w:rPr>
        <w:t>采购代理机构：广西睿翼工程咨询有限公司</w:t>
      </w:r>
    </w:p>
    <w:p>
      <w:pPr>
        <w:spacing w:after="0" w:line="600" w:lineRule="exact"/>
        <w:jc w:val="center"/>
        <w:rPr>
          <w:rFonts w:ascii="宋体" w:hAnsi="宋体" w:eastAsia="宋体"/>
          <w:color w:val="auto"/>
          <w:sz w:val="32"/>
          <w:szCs w:val="32"/>
          <w:highlight w:val="none"/>
        </w:rPr>
      </w:pPr>
      <w:r>
        <w:rPr>
          <w:rFonts w:hint="eastAsia" w:ascii="宋体" w:hAnsi="宋体" w:eastAsia="宋体"/>
          <w:color w:val="auto"/>
          <w:sz w:val="32"/>
          <w:highlight w:val="none"/>
        </w:rPr>
        <w:t>2021年</w:t>
      </w:r>
      <w:r>
        <w:rPr>
          <w:rFonts w:hint="eastAsia" w:ascii="宋体" w:hAnsi="宋体" w:eastAsia="宋体"/>
          <w:color w:val="auto"/>
          <w:sz w:val="32"/>
          <w:highlight w:val="none"/>
          <w:lang w:val="en-US" w:eastAsia="zh-CN"/>
        </w:rPr>
        <w:t>10</w:t>
      </w:r>
      <w:r>
        <w:rPr>
          <w:rFonts w:hint="eastAsia" w:ascii="宋体" w:hAnsi="宋体" w:eastAsia="宋体"/>
          <w:color w:val="auto"/>
          <w:sz w:val="32"/>
          <w:highlight w:val="none"/>
        </w:rPr>
        <w:t>月</w:t>
      </w:r>
    </w:p>
    <w:p>
      <w:pPr>
        <w:rPr>
          <w:rFonts w:ascii="宋体" w:hAnsi="宋体" w:eastAsia="宋体"/>
          <w:color w:val="auto"/>
          <w:sz w:val="32"/>
          <w:szCs w:val="32"/>
          <w:highlight w:val="none"/>
        </w:rPr>
      </w:pPr>
      <w:bookmarkStart w:id="0" w:name="_Toc246095451"/>
      <w:bookmarkStart w:id="1" w:name="_Toc246094907"/>
      <w:bookmarkStart w:id="2" w:name="_Toc246095513"/>
    </w:p>
    <w:p>
      <w:pPr>
        <w:pStyle w:val="4"/>
        <w:rPr>
          <w:color w:val="auto"/>
          <w:highlight w:val="none"/>
        </w:rPr>
        <w:sectPr>
          <w:headerReference r:id="rId5" w:type="first"/>
          <w:headerReference r:id="rId4" w:type="default"/>
          <w:footerReference r:id="rId6" w:type="default"/>
          <w:footerReference r:id="rId7" w:type="even"/>
          <w:pgSz w:w="11907" w:h="16840"/>
          <w:pgMar w:top="1077" w:right="1418" w:bottom="1418" w:left="1077" w:header="624" w:footer="737" w:gutter="0"/>
          <w:pgNumType w:start="1"/>
          <w:cols w:space="720" w:num="1"/>
          <w:titlePg/>
          <w:docGrid w:linePitch="312" w:charSpace="0"/>
        </w:sectPr>
      </w:pPr>
    </w:p>
    <w:p>
      <w:pPr>
        <w:jc w:val="center"/>
        <w:rPr>
          <w:rFonts w:ascii="宋体" w:hAnsi="宋体" w:eastAsia="宋体"/>
          <w:color w:val="auto"/>
          <w:sz w:val="44"/>
          <w:szCs w:val="44"/>
          <w:highlight w:val="none"/>
        </w:rPr>
      </w:pPr>
    </w:p>
    <w:p>
      <w:pPr>
        <w:jc w:val="center"/>
        <w:rPr>
          <w:rFonts w:ascii="宋体" w:hAnsi="宋体" w:eastAsia="宋体"/>
          <w:b/>
          <w:bCs/>
          <w:color w:val="auto"/>
          <w:sz w:val="44"/>
          <w:szCs w:val="44"/>
          <w:highlight w:val="none"/>
        </w:rPr>
      </w:pPr>
      <w:r>
        <w:rPr>
          <w:rFonts w:hint="eastAsia" w:ascii="宋体" w:hAnsi="宋体" w:eastAsia="宋体"/>
          <w:b/>
          <w:bCs/>
          <w:color w:val="auto"/>
          <w:sz w:val="44"/>
          <w:szCs w:val="44"/>
          <w:highlight w:val="none"/>
        </w:rPr>
        <w:t>目 录</w:t>
      </w:r>
    </w:p>
    <w:p>
      <w:pPr>
        <w:spacing w:line="400" w:lineRule="exact"/>
        <w:rPr>
          <w:rFonts w:ascii="宋体" w:hAnsi="宋体" w:eastAsia="宋体"/>
          <w:color w:val="auto"/>
          <w:sz w:val="28"/>
          <w:szCs w:val="28"/>
          <w:highlight w:val="none"/>
        </w:rPr>
      </w:pPr>
    </w:p>
    <w:p>
      <w:pPr>
        <w:pStyle w:val="26"/>
        <w:tabs>
          <w:tab w:val="right" w:leader="dot" w:pos="9412"/>
        </w:tabs>
        <w:spacing w:line="500" w:lineRule="exact"/>
        <w:rPr>
          <w:color w:val="auto"/>
          <w:sz w:val="28"/>
          <w:szCs w:val="28"/>
          <w:highlight w:val="none"/>
        </w:rPr>
      </w:pPr>
      <w:r>
        <w:rPr>
          <w:rFonts w:hint="eastAsia" w:ascii="宋体" w:hAnsi="宋体" w:cs="仿宋"/>
          <w:b w:val="0"/>
          <w:color w:val="auto"/>
          <w:sz w:val="28"/>
          <w:szCs w:val="28"/>
          <w:highlight w:val="none"/>
        </w:rPr>
        <w:fldChar w:fldCharType="begin"/>
      </w:r>
      <w:r>
        <w:rPr>
          <w:rFonts w:hint="eastAsia" w:ascii="宋体" w:hAnsi="宋体" w:cs="仿宋"/>
          <w:b w:val="0"/>
          <w:color w:val="auto"/>
          <w:sz w:val="28"/>
          <w:szCs w:val="28"/>
          <w:highlight w:val="none"/>
        </w:rPr>
        <w:instrText xml:space="preserve"> TOC \o "1-3" \h \z \u </w:instrText>
      </w:r>
      <w:r>
        <w:rPr>
          <w:rFonts w:hint="eastAsia" w:ascii="宋体" w:hAnsi="宋体" w:cs="仿宋"/>
          <w:b w:val="0"/>
          <w:color w:val="auto"/>
          <w:sz w:val="28"/>
          <w:szCs w:val="28"/>
          <w:highlight w:val="none"/>
        </w:rPr>
        <w:fldChar w:fldCharType="separate"/>
      </w:r>
      <w:r>
        <w:rPr>
          <w:color w:val="auto"/>
          <w:highlight w:val="none"/>
        </w:rPr>
        <w:fldChar w:fldCharType="begin"/>
      </w:r>
      <w:r>
        <w:rPr>
          <w:color w:val="auto"/>
          <w:highlight w:val="none"/>
        </w:rPr>
        <w:instrText xml:space="preserve"> HYPERLINK \l "_Toc9108" </w:instrText>
      </w:r>
      <w:r>
        <w:rPr>
          <w:color w:val="auto"/>
          <w:highlight w:val="none"/>
        </w:rPr>
        <w:fldChar w:fldCharType="separate"/>
      </w:r>
      <w:r>
        <w:rPr>
          <w:rFonts w:hint="eastAsia" w:ascii="宋体" w:hAnsi="宋体" w:cs="仿宋"/>
          <w:color w:val="auto"/>
          <w:sz w:val="28"/>
          <w:szCs w:val="28"/>
          <w:highlight w:val="none"/>
        </w:rPr>
        <w:t>第一章 竞争性谈判公告</w:t>
      </w:r>
      <w:r>
        <w:rPr>
          <w:color w:val="auto"/>
          <w:sz w:val="28"/>
          <w:szCs w:val="28"/>
          <w:highlight w:val="none"/>
        </w:rPr>
        <w:tab/>
      </w:r>
      <w:r>
        <w:rPr>
          <w:rFonts w:hint="eastAsia"/>
          <w:color w:val="auto"/>
          <w:sz w:val="28"/>
          <w:szCs w:val="28"/>
          <w:highlight w:val="none"/>
        </w:rPr>
        <w:t>1</w:t>
      </w:r>
      <w:r>
        <w:rPr>
          <w:rFonts w:hint="eastAsia"/>
          <w:color w:val="auto"/>
          <w:sz w:val="28"/>
          <w:szCs w:val="28"/>
          <w:highlight w:val="none"/>
        </w:rPr>
        <w:fldChar w:fldCharType="end"/>
      </w:r>
    </w:p>
    <w:p>
      <w:pPr>
        <w:pStyle w:val="26"/>
        <w:tabs>
          <w:tab w:val="right" w:leader="dot" w:pos="9412"/>
        </w:tabs>
        <w:spacing w:line="500" w:lineRule="exact"/>
        <w:rPr>
          <w:color w:val="auto"/>
          <w:sz w:val="28"/>
          <w:szCs w:val="28"/>
          <w:highlight w:val="none"/>
        </w:rPr>
      </w:pPr>
      <w:r>
        <w:rPr>
          <w:color w:val="auto"/>
          <w:highlight w:val="none"/>
        </w:rPr>
        <w:fldChar w:fldCharType="begin"/>
      </w:r>
      <w:r>
        <w:rPr>
          <w:color w:val="auto"/>
          <w:highlight w:val="none"/>
        </w:rPr>
        <w:instrText xml:space="preserve"> HYPERLINK \l "_Toc13678" </w:instrText>
      </w:r>
      <w:r>
        <w:rPr>
          <w:color w:val="auto"/>
          <w:highlight w:val="none"/>
        </w:rPr>
        <w:fldChar w:fldCharType="separate"/>
      </w:r>
      <w:r>
        <w:rPr>
          <w:rFonts w:hint="eastAsia" w:ascii="宋体" w:hAnsi="宋体"/>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_Toc13678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pPr>
        <w:pStyle w:val="31"/>
        <w:tabs>
          <w:tab w:val="right" w:leader="dot" w:pos="9412"/>
        </w:tabs>
        <w:spacing w:line="500" w:lineRule="exact"/>
        <w:rPr>
          <w:color w:val="auto"/>
          <w:sz w:val="28"/>
          <w:szCs w:val="28"/>
          <w:highlight w:val="none"/>
        </w:rPr>
      </w:pPr>
      <w:r>
        <w:rPr>
          <w:color w:val="auto"/>
          <w:highlight w:val="none"/>
        </w:rPr>
        <w:fldChar w:fldCharType="begin"/>
      </w:r>
      <w:r>
        <w:rPr>
          <w:color w:val="auto"/>
          <w:highlight w:val="none"/>
        </w:rPr>
        <w:instrText xml:space="preserve"> HYPERLINK \l "_Toc31896" </w:instrText>
      </w:r>
      <w:r>
        <w:rPr>
          <w:color w:val="auto"/>
          <w:highlight w:val="none"/>
        </w:rPr>
        <w:fldChar w:fldCharType="separate"/>
      </w:r>
      <w:r>
        <w:rPr>
          <w:rFonts w:hint="eastAsia" w:ascii="宋体" w:hAnsi="宋体"/>
          <w:color w:val="auto"/>
          <w:sz w:val="28"/>
          <w:szCs w:val="28"/>
          <w:highlight w:val="none"/>
        </w:rPr>
        <w:t>供应商须知前附表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_Toc31896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pPr>
        <w:pStyle w:val="31"/>
        <w:tabs>
          <w:tab w:val="right" w:leader="dot" w:pos="9412"/>
        </w:tabs>
        <w:spacing w:line="500" w:lineRule="exact"/>
        <w:rPr>
          <w:color w:val="auto"/>
          <w:sz w:val="28"/>
          <w:szCs w:val="28"/>
          <w:highlight w:val="none"/>
        </w:rPr>
      </w:pPr>
      <w:r>
        <w:rPr>
          <w:color w:val="auto"/>
          <w:highlight w:val="none"/>
        </w:rPr>
        <w:fldChar w:fldCharType="begin"/>
      </w:r>
      <w:r>
        <w:rPr>
          <w:color w:val="auto"/>
          <w:highlight w:val="none"/>
        </w:rPr>
        <w:instrText xml:space="preserve"> HYPERLINK \l "_Toc23082" </w:instrText>
      </w:r>
      <w:r>
        <w:rPr>
          <w:color w:val="auto"/>
          <w:highlight w:val="none"/>
        </w:rPr>
        <w:fldChar w:fldCharType="separate"/>
      </w:r>
      <w:r>
        <w:rPr>
          <w:rFonts w:hint="eastAsia" w:ascii="宋体" w:hAnsi="宋体"/>
          <w:color w:val="auto"/>
          <w:sz w:val="28"/>
          <w:szCs w:val="28"/>
          <w:highlight w:val="none"/>
        </w:rPr>
        <w:t>一、总则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_Toc23082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color w:val="auto"/>
          <w:sz w:val="28"/>
          <w:szCs w:val="28"/>
          <w:highlight w:val="none"/>
        </w:rPr>
        <w:fldChar w:fldCharType="end"/>
      </w:r>
    </w:p>
    <w:p>
      <w:pPr>
        <w:pStyle w:val="31"/>
        <w:tabs>
          <w:tab w:val="right" w:leader="dot" w:pos="9412"/>
        </w:tabs>
        <w:spacing w:line="500" w:lineRule="exact"/>
        <w:rPr>
          <w:color w:val="auto"/>
          <w:sz w:val="28"/>
          <w:szCs w:val="28"/>
          <w:highlight w:val="none"/>
        </w:rPr>
      </w:pPr>
      <w:r>
        <w:rPr>
          <w:color w:val="auto"/>
          <w:highlight w:val="none"/>
        </w:rPr>
        <w:fldChar w:fldCharType="begin"/>
      </w:r>
      <w:r>
        <w:rPr>
          <w:color w:val="auto"/>
          <w:highlight w:val="none"/>
        </w:rPr>
        <w:instrText xml:space="preserve"> HYPERLINK \l "_Toc13358" </w:instrText>
      </w:r>
      <w:r>
        <w:rPr>
          <w:color w:val="auto"/>
          <w:highlight w:val="none"/>
        </w:rPr>
        <w:fldChar w:fldCharType="separate"/>
      </w:r>
      <w:r>
        <w:rPr>
          <w:rFonts w:hint="eastAsia" w:ascii="宋体" w:hAnsi="宋体"/>
          <w:color w:val="auto"/>
          <w:sz w:val="28"/>
          <w:szCs w:val="28"/>
          <w:highlight w:val="none"/>
        </w:rPr>
        <w:t>二、竞争性谈判文件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_Toc13358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color w:val="auto"/>
          <w:sz w:val="28"/>
          <w:szCs w:val="28"/>
          <w:highlight w:val="none"/>
        </w:rPr>
        <w:fldChar w:fldCharType="end"/>
      </w:r>
    </w:p>
    <w:p>
      <w:pPr>
        <w:pStyle w:val="31"/>
        <w:tabs>
          <w:tab w:val="right" w:leader="dot" w:pos="9412"/>
        </w:tabs>
        <w:spacing w:line="500" w:lineRule="exact"/>
        <w:rPr>
          <w:color w:val="auto"/>
          <w:sz w:val="28"/>
          <w:szCs w:val="28"/>
          <w:highlight w:val="none"/>
        </w:rPr>
      </w:pPr>
      <w:r>
        <w:rPr>
          <w:color w:val="auto"/>
          <w:highlight w:val="none"/>
        </w:rPr>
        <w:fldChar w:fldCharType="begin"/>
      </w:r>
      <w:r>
        <w:rPr>
          <w:color w:val="auto"/>
          <w:highlight w:val="none"/>
        </w:rPr>
        <w:instrText xml:space="preserve"> HYPERLINK \l "_Toc27175" </w:instrText>
      </w:r>
      <w:r>
        <w:rPr>
          <w:color w:val="auto"/>
          <w:highlight w:val="none"/>
        </w:rPr>
        <w:fldChar w:fldCharType="separate"/>
      </w:r>
      <w:r>
        <w:rPr>
          <w:rFonts w:hint="eastAsia" w:ascii="宋体" w:hAnsi="宋体"/>
          <w:color w:val="auto"/>
          <w:sz w:val="28"/>
          <w:szCs w:val="28"/>
          <w:highlight w:val="none"/>
        </w:rPr>
        <w:t>三、响应文件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_Toc27175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color w:val="auto"/>
          <w:sz w:val="28"/>
          <w:szCs w:val="28"/>
          <w:highlight w:val="none"/>
        </w:rPr>
        <w:fldChar w:fldCharType="end"/>
      </w:r>
    </w:p>
    <w:p>
      <w:pPr>
        <w:pStyle w:val="31"/>
        <w:tabs>
          <w:tab w:val="right" w:leader="dot" w:pos="9412"/>
        </w:tabs>
        <w:spacing w:line="500" w:lineRule="exact"/>
        <w:rPr>
          <w:color w:val="auto"/>
          <w:sz w:val="28"/>
          <w:szCs w:val="28"/>
          <w:highlight w:val="none"/>
        </w:rPr>
      </w:pPr>
      <w:r>
        <w:rPr>
          <w:color w:val="auto"/>
          <w:highlight w:val="none"/>
        </w:rPr>
        <w:fldChar w:fldCharType="begin"/>
      </w:r>
      <w:r>
        <w:rPr>
          <w:color w:val="auto"/>
          <w:highlight w:val="none"/>
        </w:rPr>
        <w:instrText xml:space="preserve"> HYPERLINK \l "_Toc26527" </w:instrText>
      </w:r>
      <w:r>
        <w:rPr>
          <w:color w:val="auto"/>
          <w:highlight w:val="none"/>
        </w:rPr>
        <w:fldChar w:fldCharType="separate"/>
      </w:r>
      <w:r>
        <w:rPr>
          <w:rFonts w:hint="eastAsia" w:ascii="宋体" w:hAnsi="宋体"/>
          <w:color w:val="auto"/>
          <w:sz w:val="28"/>
          <w:szCs w:val="28"/>
          <w:highlight w:val="none"/>
        </w:rPr>
        <w:t>四、谈判与评审</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_Toc26527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color w:val="auto"/>
          <w:sz w:val="28"/>
          <w:szCs w:val="28"/>
          <w:highlight w:val="none"/>
        </w:rPr>
        <w:fldChar w:fldCharType="end"/>
      </w:r>
    </w:p>
    <w:p>
      <w:pPr>
        <w:pStyle w:val="31"/>
        <w:tabs>
          <w:tab w:val="right" w:leader="dot" w:pos="9412"/>
        </w:tabs>
        <w:spacing w:line="500" w:lineRule="exact"/>
        <w:rPr>
          <w:color w:val="auto"/>
          <w:sz w:val="28"/>
          <w:szCs w:val="28"/>
          <w:highlight w:val="none"/>
        </w:rPr>
      </w:pPr>
      <w:r>
        <w:rPr>
          <w:color w:val="auto"/>
          <w:highlight w:val="none"/>
        </w:rPr>
        <w:fldChar w:fldCharType="begin"/>
      </w:r>
      <w:r>
        <w:rPr>
          <w:color w:val="auto"/>
          <w:highlight w:val="none"/>
        </w:rPr>
        <w:instrText xml:space="preserve"> HYPERLINK \l "_Toc3773" </w:instrText>
      </w:r>
      <w:r>
        <w:rPr>
          <w:color w:val="auto"/>
          <w:highlight w:val="none"/>
        </w:rPr>
        <w:fldChar w:fldCharType="separate"/>
      </w:r>
      <w:r>
        <w:rPr>
          <w:rFonts w:hint="eastAsia" w:ascii="宋体" w:hAnsi="宋体"/>
          <w:color w:val="auto"/>
          <w:sz w:val="28"/>
          <w:szCs w:val="28"/>
          <w:highlight w:val="none"/>
        </w:rPr>
        <w:t>五、评审结果</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_Toc3773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pPr>
        <w:pStyle w:val="31"/>
        <w:tabs>
          <w:tab w:val="right" w:leader="dot" w:pos="9412"/>
        </w:tabs>
        <w:spacing w:line="500" w:lineRule="exact"/>
        <w:rPr>
          <w:color w:val="auto"/>
          <w:sz w:val="28"/>
          <w:szCs w:val="28"/>
          <w:highlight w:val="none"/>
        </w:rPr>
      </w:pPr>
      <w:r>
        <w:rPr>
          <w:color w:val="auto"/>
          <w:highlight w:val="none"/>
        </w:rPr>
        <w:fldChar w:fldCharType="begin"/>
      </w:r>
      <w:r>
        <w:rPr>
          <w:color w:val="auto"/>
          <w:highlight w:val="none"/>
        </w:rPr>
        <w:instrText xml:space="preserve"> HYPERLINK \l "_Toc453" </w:instrText>
      </w:r>
      <w:r>
        <w:rPr>
          <w:color w:val="auto"/>
          <w:highlight w:val="none"/>
        </w:rPr>
        <w:fldChar w:fldCharType="separate"/>
      </w:r>
      <w:r>
        <w:rPr>
          <w:rFonts w:hint="eastAsia" w:ascii="宋体" w:hAnsi="宋体"/>
          <w:color w:val="auto"/>
          <w:sz w:val="28"/>
          <w:szCs w:val="28"/>
          <w:highlight w:val="none"/>
        </w:rPr>
        <w:t>六、合同授予</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_Toc453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pPr>
        <w:pStyle w:val="31"/>
        <w:tabs>
          <w:tab w:val="right" w:leader="dot" w:pos="9412"/>
        </w:tabs>
        <w:spacing w:line="500" w:lineRule="exact"/>
        <w:rPr>
          <w:color w:val="auto"/>
          <w:sz w:val="28"/>
          <w:szCs w:val="28"/>
          <w:highlight w:val="none"/>
        </w:rPr>
      </w:pPr>
      <w:r>
        <w:rPr>
          <w:color w:val="auto"/>
          <w:highlight w:val="none"/>
        </w:rPr>
        <w:fldChar w:fldCharType="begin"/>
      </w:r>
      <w:r>
        <w:rPr>
          <w:color w:val="auto"/>
          <w:highlight w:val="none"/>
        </w:rPr>
        <w:instrText xml:space="preserve"> HYPERLINK \l "_Toc23225" </w:instrText>
      </w:r>
      <w:r>
        <w:rPr>
          <w:color w:val="auto"/>
          <w:highlight w:val="none"/>
        </w:rPr>
        <w:fldChar w:fldCharType="separate"/>
      </w:r>
      <w:r>
        <w:rPr>
          <w:rFonts w:hint="eastAsia" w:ascii="宋体" w:hAnsi="宋体"/>
          <w:color w:val="auto"/>
          <w:sz w:val="28"/>
          <w:szCs w:val="28"/>
          <w:highlight w:val="none"/>
        </w:rPr>
        <w:t>七、其他</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_Toc23225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color w:val="auto"/>
          <w:sz w:val="28"/>
          <w:szCs w:val="28"/>
          <w:highlight w:val="none"/>
        </w:rPr>
        <w:fldChar w:fldCharType="end"/>
      </w:r>
    </w:p>
    <w:p>
      <w:pPr>
        <w:pStyle w:val="26"/>
        <w:tabs>
          <w:tab w:val="right" w:leader="dot" w:pos="9412"/>
        </w:tabs>
        <w:spacing w:line="500" w:lineRule="exact"/>
        <w:rPr>
          <w:color w:val="auto"/>
          <w:sz w:val="28"/>
          <w:szCs w:val="28"/>
          <w:highlight w:val="none"/>
        </w:rPr>
      </w:pPr>
      <w:r>
        <w:rPr>
          <w:color w:val="auto"/>
          <w:highlight w:val="none"/>
        </w:rPr>
        <w:fldChar w:fldCharType="begin"/>
      </w:r>
      <w:r>
        <w:rPr>
          <w:color w:val="auto"/>
          <w:highlight w:val="none"/>
        </w:rPr>
        <w:instrText xml:space="preserve"> HYPERLINK \l "_Toc14373" </w:instrText>
      </w:r>
      <w:r>
        <w:rPr>
          <w:color w:val="auto"/>
          <w:highlight w:val="none"/>
        </w:rPr>
        <w:fldChar w:fldCharType="separate"/>
      </w:r>
      <w:r>
        <w:rPr>
          <w:rFonts w:hint="eastAsia" w:ascii="宋体" w:hAnsi="宋体"/>
          <w:color w:val="auto"/>
          <w:sz w:val="28"/>
          <w:szCs w:val="28"/>
          <w:highlight w:val="none"/>
        </w:rPr>
        <w:t>第三章  项目采购需求和说明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_Toc14373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color w:val="auto"/>
          <w:sz w:val="28"/>
          <w:szCs w:val="28"/>
          <w:highlight w:val="none"/>
        </w:rPr>
        <w:fldChar w:fldCharType="end"/>
      </w:r>
    </w:p>
    <w:p>
      <w:pPr>
        <w:pStyle w:val="26"/>
        <w:tabs>
          <w:tab w:val="right" w:leader="dot" w:pos="9412"/>
        </w:tabs>
        <w:spacing w:line="500" w:lineRule="exact"/>
        <w:rPr>
          <w:color w:val="auto"/>
          <w:sz w:val="28"/>
          <w:szCs w:val="28"/>
          <w:highlight w:val="none"/>
        </w:rPr>
      </w:pPr>
      <w:r>
        <w:rPr>
          <w:color w:val="auto"/>
          <w:highlight w:val="none"/>
        </w:rPr>
        <w:fldChar w:fldCharType="begin"/>
      </w:r>
      <w:r>
        <w:rPr>
          <w:color w:val="auto"/>
          <w:highlight w:val="none"/>
        </w:rPr>
        <w:instrText xml:space="preserve"> HYPERLINK \l "_Toc11191" </w:instrText>
      </w:r>
      <w:r>
        <w:rPr>
          <w:color w:val="auto"/>
          <w:highlight w:val="none"/>
        </w:rPr>
        <w:fldChar w:fldCharType="separate"/>
      </w:r>
      <w:r>
        <w:rPr>
          <w:rFonts w:hint="eastAsia" w:ascii="宋体" w:hAnsi="宋体"/>
          <w:color w:val="auto"/>
          <w:sz w:val="28"/>
          <w:szCs w:val="28"/>
          <w:highlight w:val="none"/>
        </w:rPr>
        <w:t>第四章  评审方法及评审标准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_Toc11191 </w:instrText>
      </w:r>
      <w:r>
        <w:rPr>
          <w:color w:val="auto"/>
          <w:sz w:val="28"/>
          <w:szCs w:val="28"/>
          <w:highlight w:val="none"/>
        </w:rPr>
        <w:fldChar w:fldCharType="separate"/>
      </w:r>
      <w:r>
        <w:rPr>
          <w:color w:val="auto"/>
          <w:sz w:val="28"/>
          <w:szCs w:val="28"/>
          <w:highlight w:val="none"/>
        </w:rPr>
        <w:t>34</w:t>
      </w:r>
      <w:r>
        <w:rPr>
          <w:color w:val="auto"/>
          <w:sz w:val="28"/>
          <w:szCs w:val="28"/>
          <w:highlight w:val="none"/>
        </w:rPr>
        <w:fldChar w:fldCharType="end"/>
      </w:r>
      <w:r>
        <w:rPr>
          <w:color w:val="auto"/>
          <w:sz w:val="28"/>
          <w:szCs w:val="28"/>
          <w:highlight w:val="none"/>
        </w:rPr>
        <w:fldChar w:fldCharType="end"/>
      </w:r>
    </w:p>
    <w:p>
      <w:pPr>
        <w:pStyle w:val="31"/>
        <w:tabs>
          <w:tab w:val="right" w:leader="dot" w:pos="9412"/>
        </w:tabs>
        <w:spacing w:line="500" w:lineRule="exact"/>
        <w:rPr>
          <w:color w:val="auto"/>
          <w:sz w:val="28"/>
          <w:szCs w:val="28"/>
          <w:highlight w:val="none"/>
        </w:rPr>
      </w:pPr>
      <w:r>
        <w:rPr>
          <w:color w:val="auto"/>
          <w:highlight w:val="none"/>
        </w:rPr>
        <w:fldChar w:fldCharType="begin"/>
      </w:r>
      <w:r>
        <w:rPr>
          <w:color w:val="auto"/>
          <w:highlight w:val="none"/>
        </w:rPr>
        <w:instrText xml:space="preserve"> HYPERLINK \l "_Toc8052" </w:instrText>
      </w:r>
      <w:r>
        <w:rPr>
          <w:color w:val="auto"/>
          <w:highlight w:val="none"/>
        </w:rPr>
        <w:fldChar w:fldCharType="separate"/>
      </w:r>
      <w:r>
        <w:rPr>
          <w:rFonts w:hint="eastAsia" w:ascii="宋体" w:hAnsi="宋体" w:cs="Arial"/>
          <w:bCs/>
          <w:color w:val="auto"/>
          <w:sz w:val="28"/>
          <w:szCs w:val="28"/>
          <w:highlight w:val="none"/>
        </w:rPr>
        <w:t>一、评审原则</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_Toc8052 </w:instrText>
      </w:r>
      <w:r>
        <w:rPr>
          <w:color w:val="auto"/>
          <w:sz w:val="28"/>
          <w:szCs w:val="28"/>
          <w:highlight w:val="none"/>
        </w:rPr>
        <w:fldChar w:fldCharType="separate"/>
      </w:r>
      <w:r>
        <w:rPr>
          <w:color w:val="auto"/>
          <w:sz w:val="28"/>
          <w:szCs w:val="28"/>
          <w:highlight w:val="none"/>
        </w:rPr>
        <w:t>34</w:t>
      </w:r>
      <w:r>
        <w:rPr>
          <w:color w:val="auto"/>
          <w:sz w:val="28"/>
          <w:szCs w:val="28"/>
          <w:highlight w:val="none"/>
        </w:rPr>
        <w:fldChar w:fldCharType="end"/>
      </w:r>
      <w:r>
        <w:rPr>
          <w:color w:val="auto"/>
          <w:sz w:val="28"/>
          <w:szCs w:val="28"/>
          <w:highlight w:val="none"/>
        </w:rPr>
        <w:fldChar w:fldCharType="end"/>
      </w:r>
    </w:p>
    <w:p>
      <w:pPr>
        <w:pStyle w:val="31"/>
        <w:tabs>
          <w:tab w:val="right" w:leader="dot" w:pos="9412"/>
        </w:tabs>
        <w:spacing w:line="500" w:lineRule="exact"/>
        <w:rPr>
          <w:color w:val="auto"/>
          <w:sz w:val="28"/>
          <w:szCs w:val="28"/>
          <w:highlight w:val="none"/>
        </w:rPr>
      </w:pPr>
      <w:r>
        <w:rPr>
          <w:color w:val="auto"/>
          <w:highlight w:val="none"/>
        </w:rPr>
        <w:fldChar w:fldCharType="begin"/>
      </w:r>
      <w:r>
        <w:rPr>
          <w:color w:val="auto"/>
          <w:highlight w:val="none"/>
        </w:rPr>
        <w:instrText xml:space="preserve"> HYPERLINK \l "_Toc17167" </w:instrText>
      </w:r>
      <w:r>
        <w:rPr>
          <w:color w:val="auto"/>
          <w:highlight w:val="none"/>
        </w:rPr>
        <w:fldChar w:fldCharType="separate"/>
      </w:r>
      <w:r>
        <w:rPr>
          <w:rFonts w:hint="eastAsia" w:ascii="宋体" w:hAnsi="宋体" w:cs="Arial"/>
          <w:bCs/>
          <w:color w:val="auto"/>
          <w:sz w:val="28"/>
          <w:szCs w:val="28"/>
          <w:highlight w:val="none"/>
        </w:rPr>
        <w:t>二、评审标准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_Toc17167 </w:instrText>
      </w:r>
      <w:r>
        <w:rPr>
          <w:color w:val="auto"/>
          <w:sz w:val="28"/>
          <w:szCs w:val="28"/>
          <w:highlight w:val="none"/>
        </w:rPr>
        <w:fldChar w:fldCharType="separate"/>
      </w:r>
      <w:r>
        <w:rPr>
          <w:color w:val="auto"/>
          <w:sz w:val="28"/>
          <w:szCs w:val="28"/>
          <w:highlight w:val="none"/>
        </w:rPr>
        <w:t>34</w:t>
      </w:r>
      <w:r>
        <w:rPr>
          <w:color w:val="auto"/>
          <w:sz w:val="28"/>
          <w:szCs w:val="28"/>
          <w:highlight w:val="none"/>
        </w:rPr>
        <w:fldChar w:fldCharType="end"/>
      </w:r>
      <w:r>
        <w:rPr>
          <w:color w:val="auto"/>
          <w:sz w:val="28"/>
          <w:szCs w:val="28"/>
          <w:highlight w:val="none"/>
        </w:rPr>
        <w:fldChar w:fldCharType="end"/>
      </w:r>
    </w:p>
    <w:p>
      <w:pPr>
        <w:pStyle w:val="31"/>
        <w:tabs>
          <w:tab w:val="right" w:leader="dot" w:pos="9412"/>
        </w:tabs>
        <w:spacing w:line="500" w:lineRule="exact"/>
        <w:rPr>
          <w:color w:val="auto"/>
          <w:sz w:val="28"/>
          <w:szCs w:val="28"/>
          <w:highlight w:val="none"/>
        </w:rPr>
      </w:pPr>
      <w:r>
        <w:rPr>
          <w:color w:val="auto"/>
          <w:highlight w:val="none"/>
        </w:rPr>
        <w:fldChar w:fldCharType="begin"/>
      </w:r>
      <w:r>
        <w:rPr>
          <w:color w:val="auto"/>
          <w:highlight w:val="none"/>
        </w:rPr>
        <w:instrText xml:space="preserve"> HYPERLINK \l "_Toc23866" </w:instrText>
      </w:r>
      <w:r>
        <w:rPr>
          <w:color w:val="auto"/>
          <w:highlight w:val="none"/>
        </w:rPr>
        <w:fldChar w:fldCharType="separate"/>
      </w:r>
      <w:r>
        <w:rPr>
          <w:rFonts w:hint="eastAsia" w:ascii="宋体" w:hAnsi="宋体" w:cs="Arial"/>
          <w:bCs/>
          <w:color w:val="auto"/>
          <w:sz w:val="28"/>
          <w:szCs w:val="28"/>
          <w:highlight w:val="none"/>
        </w:rPr>
        <w:t>三、确定成交供应商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_Toc23866 </w:instrText>
      </w:r>
      <w:r>
        <w:rPr>
          <w:color w:val="auto"/>
          <w:sz w:val="28"/>
          <w:szCs w:val="28"/>
          <w:highlight w:val="none"/>
        </w:rPr>
        <w:fldChar w:fldCharType="separate"/>
      </w:r>
      <w:r>
        <w:rPr>
          <w:color w:val="auto"/>
          <w:sz w:val="28"/>
          <w:szCs w:val="28"/>
          <w:highlight w:val="none"/>
        </w:rPr>
        <w:t>37</w:t>
      </w:r>
      <w:r>
        <w:rPr>
          <w:color w:val="auto"/>
          <w:sz w:val="28"/>
          <w:szCs w:val="28"/>
          <w:highlight w:val="none"/>
        </w:rPr>
        <w:fldChar w:fldCharType="end"/>
      </w:r>
      <w:r>
        <w:rPr>
          <w:color w:val="auto"/>
          <w:sz w:val="28"/>
          <w:szCs w:val="28"/>
          <w:highlight w:val="none"/>
        </w:rPr>
        <w:fldChar w:fldCharType="end"/>
      </w:r>
    </w:p>
    <w:p>
      <w:pPr>
        <w:pStyle w:val="26"/>
        <w:tabs>
          <w:tab w:val="right" w:leader="dot" w:pos="9412"/>
        </w:tabs>
        <w:spacing w:line="500" w:lineRule="exact"/>
        <w:rPr>
          <w:color w:val="auto"/>
          <w:sz w:val="28"/>
          <w:szCs w:val="28"/>
          <w:highlight w:val="none"/>
        </w:rPr>
      </w:pPr>
      <w:r>
        <w:rPr>
          <w:color w:val="auto"/>
          <w:highlight w:val="none"/>
        </w:rPr>
        <w:fldChar w:fldCharType="begin"/>
      </w:r>
      <w:r>
        <w:rPr>
          <w:color w:val="auto"/>
          <w:highlight w:val="none"/>
        </w:rPr>
        <w:instrText xml:space="preserve"> HYPERLINK \l "_Toc15224" </w:instrText>
      </w:r>
      <w:r>
        <w:rPr>
          <w:color w:val="auto"/>
          <w:highlight w:val="none"/>
        </w:rPr>
        <w:fldChar w:fldCharType="separate"/>
      </w:r>
      <w:r>
        <w:rPr>
          <w:rFonts w:hint="eastAsia" w:ascii="宋体" w:hAnsi="宋体"/>
          <w:color w:val="auto"/>
          <w:sz w:val="28"/>
          <w:szCs w:val="28"/>
          <w:highlight w:val="none"/>
        </w:rPr>
        <w:t>第五章  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_Toc15224 </w:instrText>
      </w:r>
      <w:r>
        <w:rPr>
          <w:color w:val="auto"/>
          <w:sz w:val="28"/>
          <w:szCs w:val="28"/>
          <w:highlight w:val="none"/>
        </w:rPr>
        <w:fldChar w:fldCharType="separate"/>
      </w:r>
      <w:r>
        <w:rPr>
          <w:color w:val="auto"/>
          <w:sz w:val="28"/>
          <w:szCs w:val="28"/>
          <w:highlight w:val="none"/>
        </w:rPr>
        <w:t>38</w:t>
      </w:r>
      <w:r>
        <w:rPr>
          <w:color w:val="auto"/>
          <w:sz w:val="28"/>
          <w:szCs w:val="28"/>
          <w:highlight w:val="none"/>
        </w:rPr>
        <w:fldChar w:fldCharType="end"/>
      </w:r>
      <w:r>
        <w:rPr>
          <w:color w:val="auto"/>
          <w:sz w:val="28"/>
          <w:szCs w:val="28"/>
          <w:highlight w:val="none"/>
        </w:rPr>
        <w:fldChar w:fldCharType="end"/>
      </w:r>
    </w:p>
    <w:p>
      <w:pPr>
        <w:pStyle w:val="26"/>
        <w:tabs>
          <w:tab w:val="right" w:leader="dot" w:pos="9412"/>
        </w:tabs>
        <w:spacing w:line="500" w:lineRule="exact"/>
        <w:rPr>
          <w:color w:val="auto"/>
          <w:highlight w:val="none"/>
        </w:rPr>
      </w:pPr>
      <w:r>
        <w:rPr>
          <w:color w:val="auto"/>
          <w:highlight w:val="none"/>
        </w:rPr>
        <w:fldChar w:fldCharType="begin"/>
      </w:r>
      <w:r>
        <w:rPr>
          <w:color w:val="auto"/>
          <w:highlight w:val="none"/>
        </w:rPr>
        <w:instrText xml:space="preserve"> HYPERLINK \l "_Toc10098" </w:instrText>
      </w:r>
      <w:r>
        <w:rPr>
          <w:color w:val="auto"/>
          <w:highlight w:val="none"/>
        </w:rPr>
        <w:fldChar w:fldCharType="separate"/>
      </w:r>
      <w:r>
        <w:rPr>
          <w:rFonts w:hint="eastAsia" w:ascii="宋体" w:hAnsi="宋体"/>
          <w:color w:val="auto"/>
          <w:sz w:val="28"/>
          <w:szCs w:val="28"/>
          <w:highlight w:val="none"/>
        </w:rPr>
        <w:t>第六章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_Toc10098 </w:instrText>
      </w:r>
      <w:r>
        <w:rPr>
          <w:color w:val="auto"/>
          <w:sz w:val="28"/>
          <w:szCs w:val="28"/>
          <w:highlight w:val="none"/>
        </w:rPr>
        <w:fldChar w:fldCharType="separate"/>
      </w:r>
      <w:r>
        <w:rPr>
          <w:color w:val="auto"/>
          <w:sz w:val="28"/>
          <w:szCs w:val="28"/>
          <w:highlight w:val="none"/>
        </w:rPr>
        <w:t>48</w:t>
      </w:r>
      <w:r>
        <w:rPr>
          <w:color w:val="auto"/>
          <w:sz w:val="28"/>
          <w:szCs w:val="28"/>
          <w:highlight w:val="none"/>
        </w:rPr>
        <w:fldChar w:fldCharType="end"/>
      </w:r>
      <w:r>
        <w:rPr>
          <w:color w:val="auto"/>
          <w:sz w:val="28"/>
          <w:szCs w:val="28"/>
          <w:highlight w:val="none"/>
        </w:rPr>
        <w:fldChar w:fldCharType="end"/>
      </w:r>
    </w:p>
    <w:p>
      <w:pPr>
        <w:spacing w:after="0" w:line="500" w:lineRule="exact"/>
        <w:ind w:firstLine="220" w:firstLineChars="100"/>
        <w:rPr>
          <w:rFonts w:ascii="宋体" w:hAnsi="宋体" w:eastAsia="宋体"/>
          <w:color w:val="auto"/>
          <w:sz w:val="20"/>
          <w:szCs w:val="20"/>
          <w:highlight w:val="none"/>
        </w:rPr>
        <w:sectPr>
          <w:headerReference r:id="rId8" w:type="first"/>
          <w:footerReference r:id="rId9" w:type="first"/>
          <w:pgSz w:w="11907" w:h="16840"/>
          <w:pgMar w:top="1077" w:right="1418" w:bottom="1418" w:left="1077" w:header="624" w:footer="737" w:gutter="0"/>
          <w:pgNumType w:start="1"/>
          <w:cols w:space="720" w:num="1"/>
          <w:docGrid w:linePitch="312" w:charSpace="0"/>
        </w:sectPr>
      </w:pPr>
      <w:r>
        <w:rPr>
          <w:rFonts w:hint="eastAsia" w:ascii="宋体" w:hAnsi="宋体" w:eastAsia="宋体" w:cs="仿宋"/>
          <w:bCs/>
          <w:color w:val="auto"/>
          <w:szCs w:val="28"/>
          <w:highlight w:val="none"/>
        </w:rPr>
        <w:fldChar w:fldCharType="end"/>
      </w:r>
    </w:p>
    <w:bookmarkEnd w:id="0"/>
    <w:bookmarkEnd w:id="1"/>
    <w:bookmarkEnd w:id="2"/>
    <w:p>
      <w:pPr>
        <w:pStyle w:val="3"/>
        <w:rPr>
          <w:color w:val="auto"/>
          <w:highlight w:val="none"/>
        </w:rPr>
      </w:pPr>
      <w:r>
        <w:rPr>
          <w:rFonts w:hint="eastAsia"/>
          <w:color w:val="auto"/>
          <w:highlight w:val="none"/>
        </w:rPr>
        <w:t>第一章  竞争性谈判公告</w:t>
      </w:r>
    </w:p>
    <w:p>
      <w:pPr>
        <w:pStyle w:val="36"/>
        <w:ind w:left="0" w:leftChars="0" w:firstLine="0" w:firstLineChars="0"/>
        <w:jc w:val="center"/>
        <w:rPr>
          <w:rFonts w:ascii="宋体"/>
          <w:b/>
          <w:color w:val="auto"/>
          <w:szCs w:val="28"/>
          <w:highlight w:val="none"/>
        </w:rPr>
      </w:pPr>
      <w:r>
        <w:rPr>
          <w:rFonts w:hint="eastAsia" w:ascii="宋体"/>
          <w:b/>
          <w:color w:val="auto"/>
          <w:szCs w:val="28"/>
          <w:highlight w:val="none"/>
        </w:rPr>
        <w:t>罗城仫佬族自治县节水型社会达标建设项目</w:t>
      </w:r>
    </w:p>
    <w:p>
      <w:pPr>
        <w:pStyle w:val="36"/>
        <w:ind w:left="0" w:leftChars="0" w:firstLine="0" w:firstLineChars="0"/>
        <w:jc w:val="center"/>
        <w:rPr>
          <w:rFonts w:ascii="宋体"/>
          <w:b/>
          <w:color w:val="auto"/>
          <w:szCs w:val="28"/>
          <w:highlight w:val="none"/>
        </w:rPr>
      </w:pPr>
      <w:r>
        <w:rPr>
          <w:rFonts w:hint="eastAsia" w:ascii="宋体"/>
          <w:b/>
          <w:color w:val="auto"/>
          <w:szCs w:val="28"/>
          <w:highlight w:val="none"/>
        </w:rPr>
        <w:t>竞争性谈判公告</w:t>
      </w:r>
    </w:p>
    <w:p>
      <w:pPr>
        <w:widowControl w:val="0"/>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r>
        <w:rPr>
          <w:rFonts w:hint="eastAsia" w:ascii="宋体" w:hAnsi="宋体" w:eastAsia="宋体" w:cs="宋体"/>
          <w:color w:val="auto"/>
          <w:sz w:val="24"/>
          <w:szCs w:val="24"/>
          <w:highlight w:val="none"/>
          <w:u w:val="single"/>
        </w:rPr>
        <w:t>罗城仫佬族自治县节水型社会达标建设项目</w:t>
      </w:r>
      <w:r>
        <w:rPr>
          <w:rFonts w:hint="eastAsia" w:ascii="宋体" w:hAnsi="宋体" w:eastAsia="宋体" w:cs="宋体"/>
          <w:color w:val="auto"/>
          <w:sz w:val="24"/>
          <w:szCs w:val="24"/>
          <w:highlight w:val="none"/>
        </w:rPr>
        <w:t>项目已经依法获得采购人和评审专家分别书面推荐的供应商应在全国公共资源交易平台(广西.河池)（http://ggzy.jgswj.gxzf.gov.cn/hcggzy）及政府采购云平台（https://login.zcygov.cn）</w:t>
      </w:r>
      <w:r>
        <w:rPr>
          <w:rFonts w:hint="eastAsia" w:ascii="宋体" w:hAnsi="宋体" w:eastAsia="宋体" w:cs="宋体"/>
          <w:color w:val="auto"/>
          <w:sz w:val="24"/>
          <w:szCs w:val="24"/>
          <w:highlight w:val="none"/>
          <w:lang w:eastAsia="zh-CN"/>
        </w:rPr>
        <w:t>登录</w:t>
      </w:r>
      <w:r>
        <w:rPr>
          <w:rFonts w:hint="eastAsia" w:ascii="宋体" w:hAnsi="宋体" w:eastAsia="宋体" w:cs="宋体"/>
          <w:color w:val="auto"/>
          <w:sz w:val="24"/>
          <w:szCs w:val="24"/>
          <w:highlight w:val="none"/>
        </w:rPr>
        <w:t>注册并获取采购文件。并于</w:t>
      </w:r>
      <w:r>
        <w:rPr>
          <w:rFonts w:hint="eastAsia" w:ascii="宋体" w:hAnsi="宋体" w:eastAsia="宋体" w:cs="宋体"/>
          <w:color w:val="auto"/>
          <w:sz w:val="24"/>
          <w:szCs w:val="24"/>
          <w:highlight w:val="none"/>
          <w:u w:val="single"/>
        </w:rPr>
        <w:t xml:space="preserve">2021年 </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 xml:space="preserve"> 月</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 xml:space="preserve"> 日</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点</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 xml:space="preserve"> 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pPr>
        <w:spacing w:after="0" w:line="440" w:lineRule="exact"/>
        <w:rPr>
          <w:rFonts w:ascii="宋体" w:hAnsi="宋体" w:eastAsia="宋体" w:cs="宋体"/>
          <w:color w:val="auto"/>
          <w:sz w:val="24"/>
          <w:szCs w:val="24"/>
          <w:highlight w:val="none"/>
        </w:rPr>
      </w:pPr>
      <w:bookmarkStart w:id="3" w:name="_Toc35393629"/>
      <w:bookmarkStart w:id="4" w:name="_Toc28359012"/>
      <w:bookmarkStart w:id="5" w:name="_Toc35393798"/>
      <w:bookmarkStart w:id="6" w:name="_Toc28359089"/>
      <w:r>
        <w:rPr>
          <w:rFonts w:hint="eastAsia" w:ascii="宋体" w:hAnsi="宋体" w:eastAsia="宋体" w:cs="宋体"/>
          <w:color w:val="auto"/>
          <w:sz w:val="24"/>
          <w:szCs w:val="24"/>
          <w:highlight w:val="none"/>
        </w:rPr>
        <w:t>一、项目基本情况</w:t>
      </w:r>
      <w:bookmarkEnd w:id="3"/>
      <w:bookmarkEnd w:id="4"/>
      <w:bookmarkEnd w:id="5"/>
      <w:bookmarkEnd w:id="6"/>
    </w:p>
    <w:p>
      <w:pPr>
        <w:widowControl w:val="0"/>
        <w:spacing w:after="0"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项目编号：HCZC2021-J1-250359-GXRY</w:t>
      </w:r>
    </w:p>
    <w:p>
      <w:pPr>
        <w:widowControl w:val="0"/>
        <w:spacing w:after="0" w:line="440" w:lineRule="exac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项目名称：罗城仫佬族自治县节水型社会达标建设项目</w:t>
      </w:r>
    </w:p>
    <w:p>
      <w:pPr>
        <w:widowControl w:val="0"/>
        <w:spacing w:after="0"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采购方式：竞争性谈判</w:t>
      </w:r>
    </w:p>
    <w:p>
      <w:pPr>
        <w:widowControl w:val="0"/>
        <w:spacing w:after="0"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预算金额：人民币835120.00元；其中1标（罗城仫佬族自治县7个灌区计量设施建设）352950.00元；2标（罗城仫佬族自治县11个节水型公共机构建设）482170.00元</w:t>
      </w:r>
    </w:p>
    <w:p>
      <w:pPr>
        <w:widowControl w:val="0"/>
        <w:spacing w:after="0"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最高限价：人民币835120.00元；其中1标（罗城仫佬族自治县7个灌区计量设施建设）352950.00元；2标（罗城仫佬族自治县11个节水型公共机构建设）482170.00元</w:t>
      </w:r>
    </w:p>
    <w:p>
      <w:pPr>
        <w:widowControl w:val="0"/>
        <w:spacing w:after="0"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bl>
      <w:tblPr>
        <w:tblStyle w:val="38"/>
        <w:tblW w:w="10323"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705"/>
        <w:gridCol w:w="6662"/>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23" w:type="dxa"/>
            <w:gridSpan w:val="4"/>
            <w:vAlign w:val="center"/>
          </w:tcPr>
          <w:p>
            <w:pPr>
              <w:spacing w:line="380" w:lineRule="exact"/>
              <w:jc w:val="center"/>
              <w:textAlignment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1标（罗城仫佬族自治县7个灌区计量设施建设）参数说明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31" w:type="dxa"/>
            <w:vAlign w:val="center"/>
          </w:tcPr>
          <w:p>
            <w:pPr>
              <w:spacing w:line="380" w:lineRule="exact"/>
              <w:jc w:val="center"/>
              <w:textAlignment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序号</w:t>
            </w:r>
          </w:p>
        </w:tc>
        <w:tc>
          <w:tcPr>
            <w:tcW w:w="705" w:type="dxa"/>
            <w:vAlign w:val="center"/>
          </w:tcPr>
          <w:p>
            <w:pPr>
              <w:spacing w:line="380" w:lineRule="exact"/>
              <w:jc w:val="center"/>
              <w:textAlignment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设备名称</w:t>
            </w:r>
          </w:p>
        </w:tc>
        <w:tc>
          <w:tcPr>
            <w:tcW w:w="6662" w:type="dxa"/>
            <w:vAlign w:val="center"/>
          </w:tcPr>
          <w:p>
            <w:pPr>
              <w:spacing w:line="380" w:lineRule="exact"/>
              <w:jc w:val="center"/>
              <w:textAlignment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技术规格、参数</w:t>
            </w:r>
          </w:p>
        </w:tc>
        <w:tc>
          <w:tcPr>
            <w:tcW w:w="1825" w:type="dxa"/>
            <w:vAlign w:val="center"/>
          </w:tcPr>
          <w:p>
            <w:pPr>
              <w:spacing w:line="380" w:lineRule="exact"/>
              <w:jc w:val="center"/>
              <w:textAlignment w:val="center"/>
              <w:rPr>
                <w:rFonts w:hint="default" w:ascii="宋体" w:hAnsi="宋体" w:eastAsia="宋体" w:cs="宋体"/>
                <w:b/>
                <w:color w:val="auto"/>
                <w:sz w:val="24"/>
                <w:szCs w:val="24"/>
                <w:highlight w:val="none"/>
                <w:lang w:val="en-US" w:eastAsia="zh-CN" w:bidi="ar"/>
              </w:rPr>
            </w:pPr>
            <w:r>
              <w:rPr>
                <w:rFonts w:hint="eastAsia" w:ascii="宋体" w:hAnsi="宋体" w:eastAsia="宋体" w:cs="宋体"/>
                <w:b/>
                <w:color w:val="auto"/>
                <w:sz w:val="24"/>
                <w:szCs w:val="24"/>
                <w:highlight w:val="none"/>
                <w:lang w:bidi="ar"/>
              </w:rPr>
              <w:t>数量</w:t>
            </w:r>
            <w:r>
              <w:rPr>
                <w:rFonts w:hint="eastAsia" w:ascii="宋体" w:hAnsi="宋体" w:eastAsia="宋体" w:cs="宋体"/>
                <w:b/>
                <w:color w:val="auto"/>
                <w:sz w:val="24"/>
                <w:szCs w:val="24"/>
                <w:highlight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31" w:type="dxa"/>
            <w:vAlign w:val="center"/>
          </w:tcPr>
          <w:p>
            <w:pPr>
              <w:spacing w:line="380" w:lineRule="exact"/>
              <w:jc w:val="center"/>
              <w:textAlignment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一</w:t>
            </w:r>
          </w:p>
        </w:tc>
        <w:tc>
          <w:tcPr>
            <w:tcW w:w="9192" w:type="dxa"/>
            <w:gridSpan w:val="3"/>
            <w:vAlign w:val="center"/>
          </w:tcPr>
          <w:p>
            <w:pPr>
              <w:spacing w:line="380" w:lineRule="exact"/>
              <w:jc w:val="center"/>
              <w:textAlignment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遥测站设备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1" w:type="dxa"/>
            <w:vAlign w:val="center"/>
          </w:tcPr>
          <w:p>
            <w:pPr>
              <w:spacing w:line="380" w:lineRule="exact"/>
              <w:jc w:val="center"/>
              <w:textAlignment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（一）</w:t>
            </w:r>
          </w:p>
        </w:tc>
        <w:tc>
          <w:tcPr>
            <w:tcW w:w="9192" w:type="dxa"/>
            <w:gridSpan w:val="3"/>
            <w:vAlign w:val="center"/>
          </w:tcPr>
          <w:p>
            <w:pPr>
              <w:spacing w:line="380" w:lineRule="exact"/>
              <w:jc w:val="center"/>
              <w:textAlignment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水雨情遥测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1" w:type="dxa"/>
            <w:vAlign w:val="center"/>
          </w:tcPr>
          <w:p>
            <w:pPr>
              <w:spacing w:line="380" w:lineRule="exact"/>
              <w:jc w:val="center"/>
              <w:textAlignment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1</w:t>
            </w:r>
          </w:p>
        </w:tc>
        <w:tc>
          <w:tcPr>
            <w:tcW w:w="705" w:type="dxa"/>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遥测终端</w:t>
            </w:r>
          </w:p>
        </w:tc>
        <w:tc>
          <w:tcPr>
            <w:tcW w:w="6662" w:type="dxa"/>
            <w:vAlign w:val="center"/>
          </w:tcPr>
          <w:p>
            <w:pPr>
              <w:spacing w:after="120" w:afterLines="50"/>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w:t>
            </w:r>
            <w:r>
              <w:rPr>
                <w:rFonts w:hint="eastAsia" w:ascii="宋体" w:hAnsi="宋体" w:eastAsia="宋体" w:cs="宋体"/>
                <w:color w:val="auto"/>
                <w:sz w:val="24"/>
                <w:szCs w:val="24"/>
                <w:highlight w:val="none"/>
              </w:rPr>
              <w:t xml:space="preserve"> （1）具备8路无源数字量输入接口，具有脉冲、频率和电平信号的采集功能，接入雨量计、行程开关、脉冲式流量计（水表）以及输出频率信号的传感器。......详见竞争性谈判文件</w:t>
            </w:r>
          </w:p>
        </w:tc>
        <w:tc>
          <w:tcPr>
            <w:tcW w:w="1825" w:type="dxa"/>
            <w:vAlign w:val="center"/>
          </w:tcPr>
          <w:p>
            <w:pPr>
              <w:spacing w:line="380" w:lineRule="exact"/>
              <w:jc w:val="center"/>
              <w:textAlignment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1" w:type="dxa"/>
            <w:vAlign w:val="center"/>
          </w:tcPr>
          <w:p>
            <w:pPr>
              <w:spacing w:line="380" w:lineRule="exact"/>
              <w:jc w:val="center"/>
              <w:textAlignment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2</w:t>
            </w:r>
          </w:p>
        </w:tc>
        <w:tc>
          <w:tcPr>
            <w:tcW w:w="705" w:type="dxa"/>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无线通讯模块</w:t>
            </w:r>
          </w:p>
        </w:tc>
        <w:tc>
          <w:tcPr>
            <w:tcW w:w="6662" w:type="dxa"/>
            <w:vAlign w:val="center"/>
          </w:tcPr>
          <w:p>
            <w:pPr>
              <w:spacing w:after="120" w:afterLines="50"/>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w:t>
            </w:r>
            <w:r>
              <w:rPr>
                <w:rFonts w:hint="eastAsia" w:ascii="宋体" w:hAnsi="宋体" w:eastAsia="宋体" w:cs="宋体"/>
                <w:color w:val="auto"/>
                <w:sz w:val="24"/>
                <w:szCs w:val="24"/>
                <w:highlight w:val="none"/>
              </w:rPr>
              <w:t xml:space="preserve"> 1、内置无线通讯模块，支持GPRS/CDMA/3G/4G/NB-iot，可以同时进行短信和网络数据的收发；能够同时与4个服务器进行数据通信；具有低功耗待机功能。......详见竞争性谈判文件</w:t>
            </w:r>
          </w:p>
        </w:tc>
        <w:tc>
          <w:tcPr>
            <w:tcW w:w="1825" w:type="dxa"/>
            <w:vAlign w:val="center"/>
          </w:tcPr>
          <w:p>
            <w:pPr>
              <w:spacing w:line="380" w:lineRule="exact"/>
              <w:jc w:val="center"/>
              <w:textAlignment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1" w:type="dxa"/>
            <w:vAlign w:val="center"/>
          </w:tcPr>
          <w:p>
            <w:pPr>
              <w:spacing w:line="380" w:lineRule="exact"/>
              <w:jc w:val="center"/>
              <w:textAlignment w:val="center"/>
              <w:rPr>
                <w:rFonts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w:t>
            </w:r>
          </w:p>
        </w:tc>
        <w:tc>
          <w:tcPr>
            <w:tcW w:w="705" w:type="dxa"/>
            <w:vAlign w:val="center"/>
          </w:tcPr>
          <w:p>
            <w:pPr>
              <w:jc w:val="center"/>
              <w:textAlignment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w:t>
            </w:r>
          </w:p>
        </w:tc>
        <w:tc>
          <w:tcPr>
            <w:tcW w:w="6662" w:type="dxa"/>
            <w:vAlign w:val="center"/>
          </w:tcPr>
          <w:p>
            <w:pPr>
              <w:spacing w:line="380" w:lineRule="exact"/>
              <w:jc w:val="center"/>
              <w:textAlignment w:val="center"/>
              <w:rPr>
                <w:rFonts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w:t>
            </w:r>
          </w:p>
        </w:tc>
        <w:tc>
          <w:tcPr>
            <w:tcW w:w="1825" w:type="dxa"/>
            <w:vAlign w:val="center"/>
          </w:tcPr>
          <w:p>
            <w:pPr>
              <w:spacing w:line="380" w:lineRule="exact"/>
              <w:jc w:val="center"/>
              <w:textAlignment w:val="center"/>
              <w:rPr>
                <w:rFonts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323" w:type="dxa"/>
            <w:gridSpan w:val="4"/>
            <w:vAlign w:val="center"/>
          </w:tcPr>
          <w:p>
            <w:pPr>
              <w:spacing w:line="380" w:lineRule="exact"/>
              <w:jc w:val="center"/>
              <w:textAlignment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2标（罗城仫佬族自治县11个节水型公共机构建设）参数说明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1" w:type="dxa"/>
            <w:vAlign w:val="center"/>
          </w:tcPr>
          <w:p>
            <w:pPr>
              <w:spacing w:line="380" w:lineRule="exact"/>
              <w:jc w:val="center"/>
              <w:textAlignment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1</w:t>
            </w:r>
          </w:p>
        </w:tc>
        <w:tc>
          <w:tcPr>
            <w:tcW w:w="705" w:type="dxa"/>
            <w:vAlign w:val="center"/>
          </w:tcPr>
          <w:p>
            <w:pPr>
              <w:spacing w:line="380" w:lineRule="exact"/>
              <w:jc w:val="center"/>
              <w:textAlignment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水平衡测试</w:t>
            </w:r>
          </w:p>
        </w:tc>
        <w:tc>
          <w:tcPr>
            <w:tcW w:w="6662" w:type="dxa"/>
            <w:vAlign w:val="center"/>
          </w:tcPr>
          <w:p>
            <w:pPr>
              <w:spacing w:after="120" w:afterLines="50"/>
              <w:rPr>
                <w:rFonts w:ascii="宋体" w:hAnsi="宋体" w:eastAsia="宋体" w:cs="宋体"/>
                <w:b/>
                <w:color w:val="auto"/>
                <w:sz w:val="24"/>
                <w:szCs w:val="24"/>
                <w:highlight w:val="none"/>
                <w:lang w:bidi="ar"/>
              </w:rPr>
            </w:pPr>
            <w:r>
              <w:rPr>
                <w:rFonts w:hint="eastAsia" w:ascii="宋体" w:hAnsi="宋体" w:eastAsia="宋体" w:cs="宋体"/>
                <w:color w:val="auto"/>
                <w:sz w:val="24"/>
                <w:szCs w:val="24"/>
                <w:highlight w:val="none"/>
              </w:rPr>
              <w:t>增加计量器具，进行终端节水器具改造，实施完成后进行水平衡测试，确保无漏损现象，并反映节水效果，得出相应的水平衡测试数据，绘制相关图片，体现自评报告需要的合理数据。......详见竞争性谈判文件</w:t>
            </w:r>
          </w:p>
        </w:tc>
        <w:tc>
          <w:tcPr>
            <w:tcW w:w="1825" w:type="dxa"/>
            <w:vAlign w:val="center"/>
          </w:tcPr>
          <w:p>
            <w:pPr>
              <w:spacing w:line="380" w:lineRule="exact"/>
              <w:jc w:val="center"/>
              <w:textAlignment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1" w:type="dxa"/>
            <w:vAlign w:val="center"/>
          </w:tcPr>
          <w:p>
            <w:pPr>
              <w:spacing w:line="380" w:lineRule="exact"/>
              <w:jc w:val="center"/>
              <w:textAlignment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2</w:t>
            </w:r>
          </w:p>
        </w:tc>
        <w:tc>
          <w:tcPr>
            <w:tcW w:w="705" w:type="dxa"/>
            <w:vAlign w:val="center"/>
          </w:tcPr>
          <w:p>
            <w:pPr>
              <w:spacing w:line="380" w:lineRule="exact"/>
              <w:jc w:val="center"/>
              <w:textAlignment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管网图绘制</w:t>
            </w:r>
          </w:p>
        </w:tc>
        <w:tc>
          <w:tcPr>
            <w:tcW w:w="6662" w:type="dxa"/>
            <w:vAlign w:val="center"/>
          </w:tcPr>
          <w:p>
            <w:pPr>
              <w:spacing w:after="120" w:afterLines="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参照《建筑给水排水制图标准》绘制管网图，每个节水单位一套</w:t>
            </w:r>
            <w:r>
              <w:rPr>
                <w:rFonts w:hint="eastAsia" w:ascii="宋体" w:hAnsi="宋体" w:eastAsia="宋体" w:cs="宋体"/>
                <w:color w:val="auto"/>
                <w:sz w:val="24"/>
                <w:szCs w:val="24"/>
                <w:highlight w:val="none"/>
                <w:lang w:eastAsia="zh-CN"/>
              </w:rPr>
              <w:t>。</w:t>
            </w:r>
          </w:p>
          <w:p>
            <w:pPr>
              <w:spacing w:after="120" w:afterLines="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......详见竞争性谈判文件</w:t>
            </w:r>
          </w:p>
        </w:tc>
        <w:tc>
          <w:tcPr>
            <w:tcW w:w="1825" w:type="dxa"/>
            <w:vAlign w:val="center"/>
          </w:tcPr>
          <w:p>
            <w:pPr>
              <w:spacing w:line="380" w:lineRule="exact"/>
              <w:jc w:val="center"/>
              <w:textAlignment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11项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31" w:type="dxa"/>
            <w:vAlign w:val="center"/>
          </w:tcPr>
          <w:p>
            <w:pPr>
              <w:spacing w:line="380" w:lineRule="exact"/>
              <w:jc w:val="center"/>
              <w:textAlignment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w:t>
            </w:r>
          </w:p>
        </w:tc>
        <w:tc>
          <w:tcPr>
            <w:tcW w:w="705" w:type="dxa"/>
            <w:vAlign w:val="center"/>
          </w:tcPr>
          <w:p>
            <w:pPr>
              <w:spacing w:line="380" w:lineRule="exact"/>
              <w:jc w:val="center"/>
              <w:textAlignment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w:t>
            </w:r>
          </w:p>
        </w:tc>
        <w:tc>
          <w:tcPr>
            <w:tcW w:w="6662" w:type="dxa"/>
            <w:vAlign w:val="center"/>
          </w:tcPr>
          <w:p>
            <w:pPr>
              <w:spacing w:line="380" w:lineRule="exact"/>
              <w:jc w:val="center"/>
              <w:textAlignment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w:t>
            </w:r>
          </w:p>
        </w:tc>
        <w:tc>
          <w:tcPr>
            <w:tcW w:w="1825" w:type="dxa"/>
            <w:vAlign w:val="center"/>
          </w:tcPr>
          <w:p>
            <w:pPr>
              <w:spacing w:line="380" w:lineRule="exact"/>
              <w:jc w:val="center"/>
              <w:textAlignment w:val="center"/>
              <w:rPr>
                <w:rFonts w:ascii="宋体" w:hAnsi="宋体" w:eastAsia="宋体" w:cs="宋体"/>
                <w:b/>
                <w:color w:val="auto"/>
                <w:sz w:val="24"/>
                <w:szCs w:val="24"/>
                <w:highlight w:val="none"/>
                <w:lang w:bidi="ar"/>
              </w:rPr>
            </w:pPr>
            <w:r>
              <w:rPr>
                <w:rFonts w:hint="eastAsia" w:ascii="宋体" w:hAnsi="宋体" w:eastAsia="宋体" w:cs="宋体"/>
                <w:b/>
                <w:color w:val="auto"/>
                <w:sz w:val="24"/>
                <w:szCs w:val="24"/>
                <w:highlight w:val="none"/>
                <w:lang w:bidi="ar"/>
              </w:rPr>
              <w:t>...</w:t>
            </w:r>
          </w:p>
        </w:tc>
      </w:tr>
    </w:tbl>
    <w:p>
      <w:pPr>
        <w:widowControl w:val="0"/>
        <w:spacing w:after="0"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合同履行期限：自签订合同之日起30天内交货并安装调试完毕。</w:t>
      </w:r>
    </w:p>
    <w:p>
      <w:pPr>
        <w:widowControl w:val="0"/>
        <w:spacing w:after="0"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本项目（否）接受联合体。</w:t>
      </w:r>
    </w:p>
    <w:p>
      <w:pPr>
        <w:spacing w:after="0" w:line="440" w:lineRule="exact"/>
        <w:rPr>
          <w:rFonts w:ascii="宋体" w:hAnsi="宋体" w:eastAsia="宋体" w:cs="宋体"/>
          <w:b/>
          <w:bCs/>
          <w:color w:val="auto"/>
          <w:sz w:val="24"/>
          <w:szCs w:val="24"/>
          <w:highlight w:val="none"/>
        </w:rPr>
      </w:pPr>
      <w:bookmarkStart w:id="7" w:name="_Toc35393799"/>
      <w:bookmarkStart w:id="8" w:name="_Toc35393630"/>
      <w:bookmarkStart w:id="9" w:name="_Toc28359090"/>
      <w:bookmarkStart w:id="10" w:name="_Toc28359013"/>
      <w:r>
        <w:rPr>
          <w:rFonts w:hint="eastAsia" w:ascii="宋体" w:hAnsi="宋体" w:eastAsia="宋体" w:cs="宋体"/>
          <w:b/>
          <w:bCs/>
          <w:color w:val="auto"/>
          <w:sz w:val="24"/>
          <w:szCs w:val="24"/>
          <w:highlight w:val="none"/>
        </w:rPr>
        <w:t>二、申请人的资格要求：</w:t>
      </w:r>
      <w:bookmarkEnd w:id="7"/>
      <w:bookmarkEnd w:id="8"/>
      <w:bookmarkEnd w:id="9"/>
      <w:bookmarkEnd w:id="10"/>
    </w:p>
    <w:p>
      <w:pPr>
        <w:widowControl w:val="0"/>
        <w:spacing w:after="0" w:line="480" w:lineRule="exact"/>
        <w:ind w:firstLine="439" w:firstLineChars="1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widowControl w:val="0"/>
        <w:spacing w:after="0" w:line="480" w:lineRule="exact"/>
        <w:ind w:firstLine="439" w:firstLineChars="183"/>
        <w:rPr>
          <w:rFonts w:ascii="宋体" w:hAnsi="宋体" w:eastAsia="宋体" w:cs="宋体"/>
          <w:color w:val="auto"/>
          <w:sz w:val="24"/>
          <w:szCs w:val="24"/>
          <w:highlight w:val="none"/>
        </w:rPr>
      </w:pPr>
      <w:bookmarkStart w:id="11" w:name="_Toc28359014"/>
      <w:bookmarkStart w:id="12" w:name="_Toc28359091"/>
      <w:r>
        <w:rPr>
          <w:rFonts w:hint="eastAsia" w:ascii="宋体" w:hAnsi="宋体" w:eastAsia="宋体" w:cs="宋体"/>
          <w:color w:val="auto"/>
          <w:sz w:val="24"/>
          <w:szCs w:val="24"/>
          <w:highlight w:val="none"/>
        </w:rPr>
        <w:t>2.落实政府采购政策需满足的资格要求：本项目属于非专门面向中小企业采购的项目。</w:t>
      </w:r>
    </w:p>
    <w:p>
      <w:pPr>
        <w:widowControl w:val="0"/>
        <w:spacing w:after="0" w:line="480" w:lineRule="exact"/>
        <w:ind w:firstLine="439" w:firstLineChars="1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3.本项目的特定资格要求：已经依法获得采购人和评审专家分别书面推荐的供应商并在规定时间内获取采购文件的供应商才有资格参与谈判；</w:t>
      </w:r>
    </w:p>
    <w:p>
      <w:pPr>
        <w:pStyle w:val="22"/>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2"/>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80" w:lineRule="exact"/>
        <w:rPr>
          <w:rFonts w:ascii="宋体" w:hAnsi="宋体" w:eastAsia="宋体" w:cs="宋体"/>
          <w:b/>
          <w:bCs/>
          <w:color w:val="auto"/>
          <w:sz w:val="24"/>
          <w:szCs w:val="24"/>
          <w:highlight w:val="none"/>
        </w:rPr>
      </w:pPr>
      <w:bookmarkStart w:id="13" w:name="_Toc35393631"/>
      <w:bookmarkStart w:id="14" w:name="_Toc35393800"/>
      <w:r>
        <w:rPr>
          <w:rFonts w:hint="eastAsia" w:ascii="宋体" w:hAnsi="宋体" w:eastAsia="宋体" w:cs="宋体"/>
          <w:b/>
          <w:bCs/>
          <w:color w:val="auto"/>
          <w:sz w:val="24"/>
          <w:szCs w:val="24"/>
          <w:highlight w:val="none"/>
        </w:rPr>
        <w:t>三、获取采购文件</w:t>
      </w:r>
      <w:bookmarkEnd w:id="11"/>
      <w:bookmarkEnd w:id="12"/>
      <w:bookmarkEnd w:id="13"/>
      <w:bookmarkEnd w:id="14"/>
    </w:p>
    <w:p>
      <w:pPr>
        <w:spacing w:line="4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时间：自本公告发布之时起至响应文件递交截止时间前</w:t>
      </w:r>
    </w:p>
    <w:p>
      <w:pPr>
        <w:widowControl w:val="0"/>
        <w:spacing w:after="0" w:line="48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地点、方式：全国公共资源交易平台(广西.河池)（http://ggzy.jgswj.gxzf.gov.cn/hcggzy）及政府采购云平台（https://login.zcygov.cn）注册或登录并获取采购文件。</w:t>
      </w:r>
    </w:p>
    <w:p>
      <w:pPr>
        <w:widowControl w:val="0"/>
        <w:spacing w:after="0" w:line="4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pPr>
        <w:spacing w:line="480" w:lineRule="exact"/>
        <w:rPr>
          <w:rFonts w:ascii="宋体" w:hAnsi="宋体" w:eastAsia="宋体" w:cs="宋体"/>
          <w:b/>
          <w:bCs/>
          <w:color w:val="auto"/>
          <w:sz w:val="24"/>
          <w:szCs w:val="24"/>
          <w:highlight w:val="none"/>
        </w:rPr>
      </w:pPr>
      <w:bookmarkStart w:id="15" w:name="_Toc35393632"/>
      <w:bookmarkStart w:id="16" w:name="_Toc35393801"/>
      <w:bookmarkStart w:id="17" w:name="_Toc28359092"/>
      <w:bookmarkStart w:id="18" w:name="_Toc28359015"/>
      <w:r>
        <w:rPr>
          <w:rFonts w:hint="eastAsia" w:ascii="宋体" w:hAnsi="宋体" w:eastAsia="宋体" w:cs="宋体"/>
          <w:b/>
          <w:bCs/>
          <w:color w:val="auto"/>
          <w:sz w:val="24"/>
          <w:szCs w:val="24"/>
          <w:highlight w:val="none"/>
        </w:rPr>
        <w:t>四、响应文件提交</w:t>
      </w:r>
      <w:bookmarkEnd w:id="15"/>
      <w:bookmarkEnd w:id="16"/>
      <w:bookmarkEnd w:id="17"/>
      <w:bookmarkEnd w:id="18"/>
    </w:p>
    <w:p>
      <w:pPr>
        <w:widowControl w:val="0"/>
        <w:spacing w:after="0" w:line="500" w:lineRule="exact"/>
        <w:ind w:firstLine="480" w:firstLineChars="200"/>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 xml:space="preserve">2021年 </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 xml:space="preserve"> 月 </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 xml:space="preserve"> 日1</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点00分</w:t>
      </w:r>
      <w:r>
        <w:rPr>
          <w:rFonts w:hint="eastAsia" w:ascii="宋体" w:hAnsi="宋体" w:eastAsia="宋体" w:cs="宋体"/>
          <w:bCs/>
          <w:color w:val="auto"/>
          <w:sz w:val="24"/>
          <w:szCs w:val="24"/>
          <w:highlight w:val="none"/>
        </w:rPr>
        <w:t>（北京时间）</w:t>
      </w:r>
    </w:p>
    <w:p>
      <w:pPr>
        <w:widowControl w:val="0"/>
        <w:spacing w:after="0" w:line="500" w:lineRule="exact"/>
        <w:ind w:firstLine="480" w:firstLineChars="200"/>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地点：河池市公共资源交易中心开标厅【河池市金城江区江湾路2号（市工人文化宫办公大楼五楼），具体开标室见当天的电子LED大屏安排】</w:t>
      </w:r>
    </w:p>
    <w:p>
      <w:pPr>
        <w:spacing w:line="500" w:lineRule="exact"/>
        <w:rPr>
          <w:rFonts w:ascii="宋体" w:hAnsi="宋体" w:eastAsia="宋体" w:cs="宋体"/>
          <w:b/>
          <w:bCs/>
          <w:color w:val="auto"/>
          <w:sz w:val="24"/>
          <w:szCs w:val="24"/>
          <w:highlight w:val="none"/>
        </w:rPr>
      </w:pPr>
      <w:bookmarkStart w:id="19" w:name="_Toc28359016"/>
      <w:bookmarkStart w:id="20" w:name="_Toc28359093"/>
      <w:bookmarkStart w:id="21" w:name="_Toc35393802"/>
      <w:bookmarkStart w:id="22" w:name="_Toc35393633"/>
      <w:r>
        <w:rPr>
          <w:rFonts w:hint="eastAsia" w:ascii="宋体" w:hAnsi="宋体" w:eastAsia="宋体" w:cs="宋体"/>
          <w:b/>
          <w:bCs/>
          <w:color w:val="auto"/>
          <w:sz w:val="24"/>
          <w:szCs w:val="24"/>
          <w:highlight w:val="none"/>
        </w:rPr>
        <w:t>五、开启</w:t>
      </w:r>
      <w:bookmarkEnd w:id="19"/>
      <w:bookmarkEnd w:id="20"/>
      <w:bookmarkEnd w:id="21"/>
      <w:bookmarkEnd w:id="22"/>
    </w:p>
    <w:p>
      <w:pPr>
        <w:widowControl w:val="0"/>
        <w:spacing w:after="0" w:line="500" w:lineRule="exact"/>
        <w:ind w:firstLine="439" w:firstLineChars="183"/>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2021年 </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 xml:space="preserve"> 月 </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 xml:space="preserve"> 日</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点00分</w:t>
      </w:r>
      <w:r>
        <w:rPr>
          <w:rFonts w:hint="eastAsia" w:ascii="宋体" w:hAnsi="宋体" w:eastAsia="宋体" w:cs="宋体"/>
          <w:bCs/>
          <w:color w:val="auto"/>
          <w:sz w:val="24"/>
          <w:szCs w:val="24"/>
          <w:highlight w:val="none"/>
        </w:rPr>
        <w:t>（北京时间）</w:t>
      </w:r>
    </w:p>
    <w:p>
      <w:pPr>
        <w:widowControl w:val="0"/>
        <w:spacing w:after="0" w:line="500" w:lineRule="exact"/>
        <w:ind w:firstLine="439" w:firstLineChars="183"/>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地点：河池市公共资源交易中心开标厅【河池市金城江区江湾路2号（市工人文化宫办公大楼五楼），具体开标室见当天的电子LED大屏安排】</w:t>
      </w:r>
    </w:p>
    <w:p>
      <w:pPr>
        <w:spacing w:line="500" w:lineRule="exact"/>
        <w:rPr>
          <w:rFonts w:ascii="宋体" w:hAnsi="宋体" w:eastAsia="宋体" w:cs="宋体"/>
          <w:b/>
          <w:bCs/>
          <w:color w:val="auto"/>
          <w:sz w:val="24"/>
          <w:szCs w:val="24"/>
          <w:highlight w:val="none"/>
        </w:rPr>
      </w:pPr>
      <w:bookmarkStart w:id="23" w:name="_Toc28359017"/>
      <w:bookmarkStart w:id="24" w:name="_Toc35393803"/>
      <w:bookmarkStart w:id="25" w:name="_Toc35393634"/>
      <w:bookmarkStart w:id="26" w:name="_Toc28359094"/>
      <w:r>
        <w:rPr>
          <w:rFonts w:hint="eastAsia" w:ascii="宋体" w:hAnsi="宋体" w:eastAsia="宋体" w:cs="宋体"/>
          <w:b/>
          <w:bCs/>
          <w:color w:val="auto"/>
          <w:sz w:val="24"/>
          <w:szCs w:val="24"/>
          <w:highlight w:val="none"/>
        </w:rPr>
        <w:t>六、公告期限</w:t>
      </w:r>
      <w:bookmarkEnd w:id="23"/>
      <w:bookmarkEnd w:id="24"/>
      <w:bookmarkEnd w:id="25"/>
      <w:bookmarkEnd w:id="26"/>
    </w:p>
    <w:p>
      <w:pPr>
        <w:widowControl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pPr>
        <w:widowControl w:val="0"/>
        <w:spacing w:line="500" w:lineRule="exact"/>
        <w:rPr>
          <w:rFonts w:ascii="宋体" w:hAnsi="宋体" w:eastAsia="宋体" w:cs="宋体"/>
          <w:b/>
          <w:bCs/>
          <w:color w:val="auto"/>
          <w:sz w:val="24"/>
          <w:szCs w:val="24"/>
          <w:highlight w:val="none"/>
        </w:rPr>
      </w:pPr>
      <w:bookmarkStart w:id="27" w:name="_Toc35393804"/>
      <w:bookmarkStart w:id="28" w:name="_Toc35393635"/>
      <w:r>
        <w:rPr>
          <w:rFonts w:hint="eastAsia" w:ascii="宋体" w:hAnsi="宋体" w:eastAsia="宋体" w:cs="宋体"/>
          <w:b/>
          <w:bCs/>
          <w:color w:val="auto"/>
          <w:sz w:val="24"/>
          <w:szCs w:val="24"/>
          <w:highlight w:val="none"/>
        </w:rPr>
        <w:t>七、其他补充事宜</w:t>
      </w:r>
      <w:bookmarkEnd w:id="27"/>
      <w:bookmarkEnd w:id="28"/>
    </w:p>
    <w:p>
      <w:pPr>
        <w:pStyle w:val="22"/>
        <w:spacing w:line="500" w:lineRule="exact"/>
        <w:ind w:firstLine="439" w:firstLineChars="183"/>
        <w:rPr>
          <w:rFonts w:ascii="宋体" w:hAnsi="宋体" w:cs="宋体"/>
          <w:color w:val="auto"/>
          <w:sz w:val="24"/>
          <w:highlight w:val="none"/>
        </w:rPr>
      </w:pPr>
      <w:r>
        <w:rPr>
          <w:rFonts w:hint="eastAsia" w:ascii="宋体" w:hAnsi="宋体" w:cs="宋体"/>
          <w:color w:val="auto"/>
          <w:sz w:val="24"/>
          <w:highlight w:val="none"/>
        </w:rPr>
        <w:t>1、采购项目需要落实的政府采购政策：</w:t>
      </w:r>
    </w:p>
    <w:p>
      <w:pPr>
        <w:pStyle w:val="22"/>
        <w:spacing w:line="500" w:lineRule="exact"/>
        <w:ind w:firstLine="439" w:firstLineChars="183"/>
        <w:rPr>
          <w:rFonts w:ascii="宋体" w:hAnsi="宋体" w:cs="宋体"/>
          <w:color w:val="auto"/>
          <w:sz w:val="24"/>
          <w:highlight w:val="none"/>
        </w:rPr>
      </w:pPr>
      <w:r>
        <w:rPr>
          <w:rFonts w:hint="eastAsia" w:ascii="宋体" w:hAnsi="宋体" w:cs="宋体"/>
          <w:color w:val="auto"/>
          <w:sz w:val="24"/>
          <w:highlight w:val="none"/>
        </w:rPr>
        <w:t>（1）政府采购促进中小企业发展管理办法。（2）政府采购支持采用本国产品的政策。（3）强制采购、优先采购环境标志产品、节能产品。（4）政府采购促进残疾人就业政策。（5）政府采购支持监狱企业发展。</w:t>
      </w:r>
    </w:p>
    <w:p>
      <w:pPr>
        <w:pStyle w:val="22"/>
        <w:spacing w:line="500" w:lineRule="exact"/>
        <w:ind w:firstLine="439" w:firstLineChars="183"/>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、查询公告地址：</w:t>
      </w:r>
      <w:bookmarkStart w:id="29" w:name="_Toc28359018"/>
      <w:bookmarkStart w:id="30" w:name="_Toc28359095"/>
      <w:bookmarkStart w:id="31" w:name="_Toc35393805"/>
      <w:bookmarkStart w:id="32" w:name="_Toc35393636"/>
      <w:r>
        <w:rPr>
          <w:rFonts w:hint="eastAsia" w:ascii="宋体" w:hAnsi="宋体" w:cs="宋体"/>
          <w:color w:val="auto"/>
          <w:sz w:val="24"/>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44"/>
          <w:rFonts w:hint="eastAsia" w:ascii="宋体" w:hAnsi="宋体" w:cs="宋体"/>
          <w:color w:val="auto"/>
          <w:sz w:val="24"/>
          <w:highlight w:val="none"/>
          <w:u w:val="none"/>
        </w:rPr>
        <w:t>www.ccgp.gov.cn)、</w:t>
      </w:r>
      <w:r>
        <w:rPr>
          <w:rStyle w:val="44"/>
          <w:rFonts w:hint="eastAsia" w:ascii="宋体" w:hAnsi="宋体" w:cs="宋体"/>
          <w:color w:val="auto"/>
          <w:sz w:val="24"/>
          <w:highlight w:val="none"/>
          <w:u w:val="none"/>
        </w:rPr>
        <w:fldChar w:fldCharType="end"/>
      </w:r>
      <w:r>
        <w:rPr>
          <w:rFonts w:hint="eastAsia" w:ascii="宋体" w:hAnsi="宋体" w:cs="宋体"/>
          <w:color w:val="auto"/>
          <w:sz w:val="24"/>
          <w:highlight w:val="none"/>
        </w:rPr>
        <w:t>广西壮族自治区政府采购网（http：//zfcg.gxzf.gov.cn）全国公共资源交易平台(广西.河池)（http://ggzy.jgswj.gxzf.gov.cn/hcggzy）；</w:t>
      </w:r>
    </w:p>
    <w:p>
      <w:pPr>
        <w:widowControl w:val="0"/>
        <w:spacing w:line="500" w:lineRule="exac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八、凡对本次采购提出询问，请按以下方式联系。</w:t>
      </w:r>
      <w:bookmarkEnd w:id="29"/>
      <w:bookmarkEnd w:id="30"/>
      <w:bookmarkEnd w:id="31"/>
      <w:bookmarkEnd w:id="32"/>
    </w:p>
    <w:p>
      <w:pPr>
        <w:widowControl w:val="0"/>
        <w:spacing w:after="0" w:line="500" w:lineRule="exact"/>
        <w:rPr>
          <w:rFonts w:ascii="宋体" w:hAnsi="宋体" w:eastAsia="宋体" w:cs="宋体"/>
          <w:color w:val="auto"/>
          <w:sz w:val="24"/>
          <w:szCs w:val="24"/>
          <w:highlight w:val="none"/>
        </w:rPr>
      </w:pPr>
      <w:bookmarkStart w:id="33" w:name="_Toc35393806"/>
      <w:bookmarkStart w:id="34" w:name="_Toc35393637"/>
      <w:bookmarkStart w:id="35" w:name="_Toc28359096"/>
      <w:bookmarkStart w:id="36" w:name="_Toc28359019"/>
      <w:r>
        <w:rPr>
          <w:rFonts w:hint="eastAsia" w:ascii="宋体" w:hAnsi="宋体" w:eastAsia="宋体" w:cs="宋体"/>
          <w:color w:val="auto"/>
          <w:sz w:val="24"/>
          <w:szCs w:val="24"/>
          <w:highlight w:val="none"/>
        </w:rPr>
        <w:t>1.采购人信息</w:t>
      </w:r>
      <w:bookmarkEnd w:id="33"/>
      <w:bookmarkEnd w:id="34"/>
      <w:bookmarkEnd w:id="35"/>
      <w:bookmarkEnd w:id="36"/>
    </w:p>
    <w:p>
      <w:pPr>
        <w:widowControl w:val="0"/>
        <w:spacing w:after="0"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名称：罗城仫佬族自治县水利局</w:t>
      </w:r>
    </w:p>
    <w:p>
      <w:pPr>
        <w:widowControl w:val="0"/>
        <w:spacing w:after="0"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地址：罗城仫佬族自治县东门镇解放路43号</w:t>
      </w:r>
    </w:p>
    <w:p>
      <w:pPr>
        <w:widowControl w:val="0"/>
        <w:spacing w:after="0"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联系方式：0778-8213599                </w:t>
      </w:r>
    </w:p>
    <w:p>
      <w:pPr>
        <w:widowControl w:val="0"/>
        <w:spacing w:after="0" w:line="500" w:lineRule="exact"/>
        <w:rPr>
          <w:rFonts w:ascii="宋体" w:hAnsi="宋体" w:eastAsia="宋体" w:cs="宋体"/>
          <w:color w:val="auto"/>
          <w:sz w:val="24"/>
          <w:szCs w:val="24"/>
          <w:highlight w:val="none"/>
        </w:rPr>
      </w:pPr>
      <w:bookmarkStart w:id="37" w:name="_Toc28359097"/>
      <w:bookmarkStart w:id="38" w:name="_Toc35393807"/>
      <w:bookmarkStart w:id="39" w:name="_Toc35393638"/>
      <w:bookmarkStart w:id="40" w:name="_Toc28359020"/>
      <w:r>
        <w:rPr>
          <w:rFonts w:hint="eastAsia" w:ascii="宋体" w:hAnsi="宋体" w:eastAsia="宋体" w:cs="宋体"/>
          <w:color w:val="auto"/>
          <w:sz w:val="24"/>
          <w:szCs w:val="24"/>
          <w:highlight w:val="none"/>
        </w:rPr>
        <w:t>2.采购代理机构信息</w:t>
      </w:r>
      <w:bookmarkEnd w:id="37"/>
      <w:bookmarkEnd w:id="38"/>
      <w:bookmarkEnd w:id="39"/>
      <w:bookmarkEnd w:id="40"/>
    </w:p>
    <w:p>
      <w:pPr>
        <w:widowControl w:val="0"/>
        <w:spacing w:after="0"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名称：广西睿翼工程咨询有限公司　</w:t>
      </w:r>
    </w:p>
    <w:p>
      <w:pPr>
        <w:widowControl w:val="0"/>
        <w:spacing w:after="0"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地址：河池市金城江区金城中路2-4号铜鼓园写字楼3楼　</w:t>
      </w:r>
    </w:p>
    <w:p>
      <w:pPr>
        <w:widowControl w:val="0"/>
        <w:spacing w:after="0"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联系方式：0778-2211981  　</w:t>
      </w:r>
    </w:p>
    <w:p>
      <w:pPr>
        <w:widowControl w:val="0"/>
        <w:spacing w:after="0" w:line="500" w:lineRule="exact"/>
        <w:rPr>
          <w:rFonts w:ascii="宋体" w:hAnsi="宋体" w:eastAsia="宋体" w:cs="宋体"/>
          <w:color w:val="auto"/>
          <w:sz w:val="24"/>
          <w:szCs w:val="24"/>
          <w:highlight w:val="none"/>
        </w:rPr>
      </w:pPr>
      <w:bookmarkStart w:id="41" w:name="_Toc28359098"/>
      <w:bookmarkStart w:id="42" w:name="_Toc35393639"/>
      <w:bookmarkStart w:id="43" w:name="_Toc35393808"/>
      <w:bookmarkStart w:id="44" w:name="_Toc28359021"/>
      <w:r>
        <w:rPr>
          <w:rFonts w:hint="eastAsia" w:ascii="宋体" w:hAnsi="宋体" w:eastAsia="宋体" w:cs="宋体"/>
          <w:color w:val="auto"/>
          <w:sz w:val="24"/>
          <w:szCs w:val="24"/>
          <w:highlight w:val="none"/>
        </w:rPr>
        <w:t>3.项目联系方式</w:t>
      </w:r>
      <w:bookmarkEnd w:id="41"/>
      <w:bookmarkEnd w:id="42"/>
      <w:bookmarkEnd w:id="43"/>
      <w:bookmarkEnd w:id="44"/>
    </w:p>
    <w:p>
      <w:pPr>
        <w:widowControl w:val="0"/>
        <w:spacing w:after="0"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项目联系人：陈恩松</w:t>
      </w:r>
    </w:p>
    <w:p>
      <w:pPr>
        <w:widowControl w:val="0"/>
        <w:spacing w:after="0"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电话：0778-2211981　</w:t>
      </w:r>
    </w:p>
    <w:p>
      <w:pPr>
        <w:widowControl w:val="0"/>
        <w:spacing w:after="0"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4、监督部门:罗城仫佬族自治县政府采购监督管理股   联系电话：0778-8221879</w:t>
      </w:r>
    </w:p>
    <w:p>
      <w:pPr>
        <w:widowControl w:val="0"/>
        <w:spacing w:after="0" w:line="500" w:lineRule="exact"/>
        <w:ind w:left="20" w:leftChars="9" w:firstLine="19" w:firstLineChars="8"/>
        <w:rPr>
          <w:rFonts w:ascii="宋体" w:hAnsi="宋体" w:eastAsia="宋体" w:cs="宋体"/>
          <w:color w:val="auto"/>
          <w:sz w:val="24"/>
          <w:szCs w:val="24"/>
          <w:highlight w:val="none"/>
        </w:rPr>
      </w:pPr>
    </w:p>
    <w:p>
      <w:pPr>
        <w:widowControl w:val="0"/>
        <w:spacing w:after="0" w:line="500" w:lineRule="exact"/>
        <w:ind w:left="20" w:leftChars="9" w:firstLine="19" w:firstLineChars="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采购人：罗城仫佬族自治县水利局      采购代理机构：广西睿翼工程咨询有限公司</w:t>
      </w:r>
    </w:p>
    <w:p>
      <w:pPr>
        <w:widowControl w:val="0"/>
        <w:spacing w:after="0" w:line="500" w:lineRule="exact"/>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2021年  </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日                      2021年 </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日</w:t>
      </w:r>
    </w:p>
    <w:p>
      <w:pPr>
        <w:rPr>
          <w:rFonts w:ascii="宋体" w:hAnsi="宋体"/>
          <w:b/>
          <w:color w:val="auto"/>
          <w:highlight w:val="none"/>
        </w:rPr>
      </w:pPr>
    </w:p>
    <w:p>
      <w:pPr>
        <w:pStyle w:val="15"/>
        <w:rPr>
          <w:color w:val="auto"/>
          <w:highlight w:val="none"/>
        </w:rPr>
      </w:pPr>
    </w:p>
    <w:p>
      <w:pPr>
        <w:pStyle w:val="3"/>
        <w:spacing w:before="240" w:beforeLines="100" w:after="240" w:afterLines="100"/>
        <w:ind w:firstLine="1084" w:firstLineChars="300"/>
        <w:rPr>
          <w:rFonts w:ascii="宋体" w:hAnsi="宋体" w:eastAsia="宋体"/>
          <w:b/>
          <w:bCs/>
          <w:color w:val="auto"/>
          <w:highlight w:val="none"/>
        </w:rPr>
      </w:pPr>
      <w:bookmarkStart w:id="45" w:name="_Toc246094908"/>
      <w:bookmarkStart w:id="46" w:name="_Toc246095452"/>
      <w:bookmarkStart w:id="47" w:name="_Toc13678"/>
      <w:bookmarkStart w:id="48" w:name="_Toc246095514"/>
      <w:r>
        <w:rPr>
          <w:rFonts w:hint="eastAsia" w:ascii="宋体" w:hAnsi="宋体" w:eastAsia="宋体"/>
          <w:b/>
          <w:bCs/>
          <w:color w:val="auto"/>
          <w:highlight w:val="none"/>
        </w:rPr>
        <w:br w:type="page"/>
      </w:r>
    </w:p>
    <w:p>
      <w:pPr>
        <w:pStyle w:val="3"/>
        <w:spacing w:before="240" w:beforeLines="100" w:after="240" w:afterLines="100"/>
        <w:ind w:firstLine="1084" w:firstLineChars="300"/>
        <w:rPr>
          <w:rFonts w:ascii="宋体" w:hAnsi="宋体" w:eastAsia="宋体"/>
          <w:color w:val="auto"/>
          <w:highlight w:val="none"/>
        </w:rPr>
      </w:pPr>
      <w:r>
        <w:rPr>
          <w:rFonts w:hint="eastAsia" w:ascii="宋体" w:hAnsi="宋体" w:eastAsia="宋体"/>
          <w:b/>
          <w:bCs/>
          <w:color w:val="auto"/>
          <w:highlight w:val="none"/>
        </w:rPr>
        <w:t>第二章  供应商须知</w:t>
      </w:r>
      <w:bookmarkEnd w:id="45"/>
      <w:bookmarkEnd w:id="46"/>
      <w:bookmarkEnd w:id="47"/>
      <w:bookmarkEnd w:id="48"/>
    </w:p>
    <w:p>
      <w:pPr>
        <w:pStyle w:val="4"/>
        <w:spacing w:after="240" w:afterLines="100" w:line="400" w:lineRule="exact"/>
        <w:ind w:firstLine="640" w:firstLineChars="200"/>
        <w:rPr>
          <w:rFonts w:ascii="宋体" w:hAnsi="宋体" w:eastAsia="宋体"/>
          <w:color w:val="auto"/>
          <w:highlight w:val="none"/>
        </w:rPr>
      </w:pPr>
      <w:bookmarkStart w:id="49" w:name="_Toc246095453"/>
      <w:bookmarkStart w:id="50" w:name="_Toc246095515"/>
      <w:bookmarkStart w:id="51" w:name="_Toc246094909"/>
      <w:bookmarkStart w:id="52" w:name="_Toc31896"/>
      <w:r>
        <w:rPr>
          <w:rFonts w:hint="eastAsia" w:ascii="宋体" w:hAnsi="宋体" w:eastAsia="宋体"/>
          <w:color w:val="auto"/>
          <w:highlight w:val="none"/>
        </w:rPr>
        <w:t>供应商须知前附表</w:t>
      </w:r>
      <w:bookmarkEnd w:id="49"/>
      <w:bookmarkEnd w:id="50"/>
      <w:bookmarkEnd w:id="51"/>
      <w:bookmarkEnd w:id="52"/>
    </w:p>
    <w:tbl>
      <w:tblPr>
        <w:tblStyle w:val="38"/>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625"/>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1030" w:type="dxa"/>
            <w:vAlign w:val="center"/>
          </w:tcPr>
          <w:p>
            <w:pPr>
              <w:spacing w:after="0" w:line="36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625" w:type="dxa"/>
            <w:vAlign w:val="center"/>
          </w:tcPr>
          <w:p>
            <w:pPr>
              <w:spacing w:after="0" w:line="36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7226" w:type="dxa"/>
            <w:vAlign w:val="center"/>
          </w:tcPr>
          <w:p>
            <w:pPr>
              <w:spacing w:after="0" w:line="360" w:lineRule="exact"/>
              <w:ind w:firstLine="482" w:firstLineChars="20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30"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625"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7226" w:type="dxa"/>
            <w:vAlign w:val="center"/>
          </w:tcPr>
          <w:p>
            <w:pPr>
              <w:spacing w:after="0" w:line="36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名称：罗城仫佬族自治县水利局</w:t>
            </w:r>
          </w:p>
          <w:p>
            <w:pPr>
              <w:widowControl w:val="0"/>
              <w:spacing w:after="0" w:line="500" w:lineRule="exact"/>
              <w:rPr>
                <w:rFonts w:ascii="宋体" w:hAnsi="宋体" w:eastAsia="宋体" w:cs="宋体"/>
                <w:color w:val="auto"/>
                <w:sz w:val="24"/>
                <w:szCs w:val="24"/>
                <w:highlight w:val="none"/>
              </w:rPr>
            </w:pPr>
            <w:r>
              <w:rPr>
                <w:rFonts w:hint="eastAsia" w:ascii="宋体" w:hAnsi="宋体" w:eastAsia="宋体"/>
                <w:color w:val="auto"/>
                <w:sz w:val="24"/>
                <w:szCs w:val="24"/>
                <w:highlight w:val="none"/>
              </w:rPr>
              <w:t>联系地址：</w:t>
            </w:r>
            <w:r>
              <w:rPr>
                <w:rFonts w:hint="eastAsia" w:ascii="宋体" w:hAnsi="宋体" w:eastAsia="宋体" w:cs="宋体"/>
                <w:color w:val="auto"/>
                <w:sz w:val="24"/>
                <w:szCs w:val="24"/>
                <w:highlight w:val="none"/>
              </w:rPr>
              <w:t>罗城仫佬族自治县东门镇解放路43号</w:t>
            </w:r>
          </w:p>
          <w:p>
            <w:pPr>
              <w:spacing w:after="0" w:line="360" w:lineRule="exact"/>
              <w:rPr>
                <w:rFonts w:ascii="宋体" w:hAnsi="宋体" w:eastAsia="宋体" w:cs="宋体"/>
                <w:color w:val="auto"/>
                <w:sz w:val="24"/>
                <w:szCs w:val="24"/>
                <w:highlight w:val="none"/>
              </w:rPr>
            </w:pPr>
            <w:r>
              <w:rPr>
                <w:rFonts w:hint="eastAsia" w:ascii="宋体" w:hAnsi="宋体" w:eastAsia="宋体"/>
                <w:color w:val="auto"/>
                <w:sz w:val="24"/>
                <w:szCs w:val="24"/>
                <w:highlight w:val="none"/>
              </w:rPr>
              <w:t xml:space="preserve">联系人：覃工     联系电话：0778-8213599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625"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bCs/>
                <w:color w:val="auto"/>
                <w:sz w:val="24"/>
                <w:szCs w:val="24"/>
                <w:highlight w:val="none"/>
              </w:rPr>
              <w:t>采购代理机构</w:t>
            </w:r>
          </w:p>
        </w:tc>
        <w:tc>
          <w:tcPr>
            <w:tcW w:w="7226" w:type="dxa"/>
            <w:vAlign w:val="center"/>
          </w:tcPr>
          <w:p>
            <w:pPr>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名称：广西睿翼工程咨询有限公司</w:t>
            </w:r>
          </w:p>
          <w:p>
            <w:pPr>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河池市金城江区金城中路2-4号铜鼓园写字楼3楼</w:t>
            </w:r>
          </w:p>
          <w:p>
            <w:pPr>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联系人：陈恩松        联系电话：0778-2211981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625"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226" w:type="dxa"/>
            <w:vAlign w:val="center"/>
          </w:tcPr>
          <w:p>
            <w:pPr>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罗城仫佬族自治县节水型社会达标建设项目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625"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c>
        <w:tc>
          <w:tcPr>
            <w:tcW w:w="7226" w:type="dxa"/>
            <w:vAlign w:val="center"/>
          </w:tcPr>
          <w:p>
            <w:pPr>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HCZC2021-J1-250359-GXRY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625"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采购预算</w:t>
            </w:r>
          </w:p>
        </w:tc>
        <w:tc>
          <w:tcPr>
            <w:tcW w:w="7226" w:type="dxa"/>
            <w:vAlign w:val="center"/>
          </w:tcPr>
          <w:p>
            <w:pPr>
              <w:spacing w:after="0" w:line="360" w:lineRule="exact"/>
              <w:rPr>
                <w:rFonts w:ascii="宋体" w:hAnsi="宋体" w:eastAsia="宋体" w:cs="Arial"/>
                <w:bCs/>
                <w:color w:val="auto"/>
                <w:sz w:val="24"/>
                <w:szCs w:val="24"/>
                <w:highlight w:val="none"/>
              </w:rPr>
            </w:pPr>
            <w:r>
              <w:rPr>
                <w:rFonts w:hint="eastAsia" w:ascii="宋体" w:hAnsi="宋体" w:eastAsia="宋体" w:cs="Arial"/>
                <w:bCs/>
                <w:color w:val="auto"/>
                <w:sz w:val="24"/>
                <w:szCs w:val="24"/>
                <w:highlight w:val="none"/>
              </w:rPr>
              <w:t>人民币835120.00元；其中1标（罗城仫佬族自治县7个灌区计量设施建设）352950.00元；2标（罗城仫佬族自治县11个节水型公共机构建设）482170.00元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30"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625"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资金来源</w:t>
            </w:r>
          </w:p>
        </w:tc>
        <w:tc>
          <w:tcPr>
            <w:tcW w:w="7226" w:type="dxa"/>
            <w:vAlign w:val="center"/>
          </w:tcPr>
          <w:p>
            <w:pPr>
              <w:spacing w:after="0" w:line="360" w:lineRule="exact"/>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pStyle w:val="19"/>
              <w:spacing w:line="360" w:lineRule="exact"/>
              <w:jc w:val="center"/>
              <w:rPr>
                <w:rFonts w:hAnsi="宋体" w:cs="宋体"/>
                <w:bCs/>
                <w:color w:val="auto"/>
                <w:kern w:val="0"/>
                <w:sz w:val="24"/>
                <w:szCs w:val="24"/>
                <w:highlight w:val="none"/>
              </w:rPr>
            </w:pPr>
            <w:r>
              <w:rPr>
                <w:rFonts w:hint="eastAsia" w:hAnsi="宋体" w:cs="宋体"/>
                <w:bCs/>
                <w:color w:val="auto"/>
                <w:kern w:val="0"/>
                <w:sz w:val="24"/>
                <w:szCs w:val="24"/>
                <w:highlight w:val="none"/>
              </w:rPr>
              <w:t>1.8</w:t>
            </w:r>
          </w:p>
        </w:tc>
        <w:tc>
          <w:tcPr>
            <w:tcW w:w="1625" w:type="dxa"/>
            <w:vAlign w:val="center"/>
          </w:tcPr>
          <w:p>
            <w:pPr>
              <w:pStyle w:val="19"/>
              <w:spacing w:line="360" w:lineRule="exact"/>
              <w:jc w:val="center"/>
              <w:rPr>
                <w:rFonts w:hAnsi="宋体" w:cs="宋体"/>
                <w:bCs/>
                <w:color w:val="auto"/>
                <w:kern w:val="0"/>
                <w:sz w:val="24"/>
                <w:szCs w:val="24"/>
                <w:highlight w:val="none"/>
              </w:rPr>
            </w:pPr>
            <w:r>
              <w:rPr>
                <w:rFonts w:hint="eastAsia" w:hAnsi="宋体" w:cs="宋体"/>
                <w:bCs/>
                <w:color w:val="auto"/>
                <w:kern w:val="0"/>
                <w:sz w:val="24"/>
                <w:szCs w:val="24"/>
                <w:highlight w:val="none"/>
              </w:rPr>
              <w:t>所属行业</w:t>
            </w:r>
          </w:p>
        </w:tc>
        <w:tc>
          <w:tcPr>
            <w:tcW w:w="7226" w:type="dxa"/>
            <w:vAlign w:val="center"/>
          </w:tcPr>
          <w:p>
            <w:pPr>
              <w:pStyle w:val="19"/>
              <w:spacing w:line="360" w:lineRule="exact"/>
              <w:ind w:left="682" w:hanging="681" w:hangingChars="284"/>
              <w:rPr>
                <w:rFonts w:hAnsi="宋体" w:cs="宋体"/>
                <w:bCs/>
                <w:color w:val="auto"/>
                <w:kern w:val="0"/>
                <w:sz w:val="24"/>
                <w:szCs w:val="24"/>
                <w:highlight w:val="none"/>
              </w:rPr>
            </w:pPr>
            <w:r>
              <w:rPr>
                <w:rFonts w:hint="eastAsia" w:hAnsi="宋体" w:cs="宋体"/>
                <w:bCs/>
                <w:color w:val="auto"/>
                <w:kern w:val="0"/>
                <w:sz w:val="24"/>
                <w:szCs w:val="24"/>
                <w:highlight w:val="non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pStyle w:val="19"/>
              <w:spacing w:line="360" w:lineRule="exact"/>
              <w:jc w:val="center"/>
              <w:rPr>
                <w:rFonts w:hAnsi="宋体" w:cs="宋体"/>
                <w:bCs/>
                <w:color w:val="auto"/>
                <w:kern w:val="0"/>
                <w:sz w:val="24"/>
                <w:szCs w:val="24"/>
                <w:highlight w:val="none"/>
              </w:rPr>
            </w:pPr>
            <w:r>
              <w:rPr>
                <w:rFonts w:hint="eastAsia" w:hAnsi="宋体" w:cs="宋体"/>
                <w:bCs/>
                <w:color w:val="auto"/>
                <w:kern w:val="0"/>
                <w:sz w:val="24"/>
                <w:szCs w:val="24"/>
                <w:highlight w:val="none"/>
              </w:rPr>
              <w:t>1.9</w:t>
            </w:r>
          </w:p>
        </w:tc>
        <w:tc>
          <w:tcPr>
            <w:tcW w:w="1625" w:type="dxa"/>
            <w:vAlign w:val="center"/>
          </w:tcPr>
          <w:p>
            <w:pPr>
              <w:pStyle w:val="19"/>
              <w:spacing w:line="360" w:lineRule="exact"/>
              <w:jc w:val="center"/>
              <w:rPr>
                <w:rFonts w:hAnsi="宋体" w:cs="宋体"/>
                <w:bCs/>
                <w:color w:val="auto"/>
                <w:kern w:val="0"/>
                <w:sz w:val="24"/>
                <w:szCs w:val="24"/>
                <w:highlight w:val="none"/>
              </w:rPr>
            </w:pPr>
            <w:r>
              <w:rPr>
                <w:rFonts w:hint="eastAsia" w:hAnsi="宋体" w:cs="宋体"/>
                <w:bCs/>
                <w:color w:val="auto"/>
                <w:kern w:val="0"/>
                <w:sz w:val="24"/>
                <w:szCs w:val="24"/>
                <w:highlight w:val="none"/>
              </w:rPr>
              <w:t>预留采购份额</w:t>
            </w:r>
          </w:p>
        </w:tc>
        <w:tc>
          <w:tcPr>
            <w:tcW w:w="7226" w:type="dxa"/>
            <w:vAlign w:val="center"/>
          </w:tcPr>
          <w:p>
            <w:pPr>
              <w:pStyle w:val="19"/>
              <w:spacing w:line="360" w:lineRule="exact"/>
              <w:ind w:left="682" w:hanging="681" w:hangingChars="284"/>
              <w:rPr>
                <w:rFonts w:hAnsi="宋体" w:cs="宋体"/>
                <w:bCs/>
                <w:color w:val="auto"/>
                <w:kern w:val="0"/>
                <w:sz w:val="24"/>
                <w:szCs w:val="24"/>
                <w:highlight w:val="none"/>
              </w:rPr>
            </w:pPr>
            <w:r>
              <w:rPr>
                <w:rFonts w:hint="eastAsia" w:hAnsi="宋体" w:cs="宋体"/>
                <w:bCs/>
                <w:color w:val="auto"/>
                <w:kern w:val="0"/>
                <w:sz w:val="24"/>
                <w:szCs w:val="24"/>
                <w:highlight w:val="none"/>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625"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供应商资格条件</w:t>
            </w:r>
          </w:p>
        </w:tc>
        <w:tc>
          <w:tcPr>
            <w:tcW w:w="7226" w:type="dxa"/>
            <w:vAlign w:val="center"/>
          </w:tcPr>
          <w:p>
            <w:pPr>
              <w:widowControl w:val="0"/>
              <w:autoSpaceDE w:val="0"/>
              <w:adjustRightInd/>
              <w:snapToGrid/>
              <w:spacing w:after="0" w:line="380" w:lineRule="exact"/>
              <w:ind w:firstLine="480" w:firstLineChars="200"/>
              <w:jc w:val="both"/>
              <w:rPr>
                <w:rFonts w:ascii="宋体" w:hAnsi="宋体" w:eastAsia="宋体"/>
                <w:color w:val="auto"/>
                <w:sz w:val="24"/>
                <w:szCs w:val="24"/>
                <w:highlight w:val="none"/>
              </w:rPr>
            </w:pPr>
            <w:r>
              <w:rPr>
                <w:rFonts w:hint="eastAsia" w:ascii="宋体" w:hAnsi="宋体" w:eastAsia="宋体"/>
                <w:color w:val="auto"/>
                <w:sz w:val="24"/>
                <w:szCs w:val="24"/>
                <w:highlight w:val="none"/>
              </w:rPr>
              <w:t>1.满足《中华人民共和国政府采购法》第二十二条规定；</w:t>
            </w:r>
          </w:p>
          <w:p>
            <w:pPr>
              <w:widowControl w:val="0"/>
              <w:autoSpaceDE w:val="0"/>
              <w:adjustRightInd/>
              <w:snapToGrid/>
              <w:spacing w:after="0" w:line="380" w:lineRule="exact"/>
              <w:ind w:firstLine="480" w:firstLineChars="200"/>
              <w:jc w:val="both"/>
              <w:rPr>
                <w:rFonts w:ascii="宋体" w:hAnsi="宋体" w:eastAsia="宋体"/>
                <w:color w:val="auto"/>
                <w:sz w:val="24"/>
                <w:szCs w:val="24"/>
                <w:highlight w:val="none"/>
              </w:rPr>
            </w:pPr>
            <w:r>
              <w:rPr>
                <w:rFonts w:hint="eastAsia" w:ascii="宋体" w:hAnsi="宋体" w:eastAsia="宋体"/>
                <w:color w:val="auto"/>
                <w:sz w:val="24"/>
                <w:szCs w:val="24"/>
                <w:highlight w:val="none"/>
              </w:rPr>
              <w:t>2.落实政府采购政策需满足的资格要求：本项目属于非专门面向中小企业采购的项目。</w:t>
            </w:r>
          </w:p>
          <w:p>
            <w:pPr>
              <w:widowControl w:val="0"/>
              <w:autoSpaceDE w:val="0"/>
              <w:adjustRightInd/>
              <w:snapToGrid/>
              <w:spacing w:after="0" w:line="380" w:lineRule="exact"/>
              <w:ind w:firstLine="480" w:firstLineChars="200"/>
              <w:jc w:val="both"/>
              <w:rPr>
                <w:rFonts w:ascii="宋体" w:hAnsi="宋体" w:eastAsia="宋体"/>
                <w:color w:val="auto"/>
                <w:sz w:val="24"/>
                <w:szCs w:val="24"/>
                <w:highlight w:val="none"/>
              </w:rPr>
            </w:pPr>
            <w:r>
              <w:rPr>
                <w:rFonts w:hint="eastAsia" w:ascii="宋体" w:hAnsi="宋体" w:eastAsia="宋体"/>
                <w:color w:val="auto"/>
                <w:sz w:val="24"/>
                <w:szCs w:val="24"/>
                <w:highlight w:val="none"/>
              </w:rPr>
              <w:t>3.本项目的特定资格要求：已经依法获得采购人和评审专家分别书面推荐的供应商并在规定时间内获取采购文件的供应商才有资格参与谈判；</w:t>
            </w:r>
          </w:p>
          <w:p>
            <w:pPr>
              <w:widowControl w:val="0"/>
              <w:autoSpaceDE w:val="0"/>
              <w:adjustRightInd/>
              <w:snapToGrid/>
              <w:spacing w:after="0" w:line="380" w:lineRule="exact"/>
              <w:ind w:firstLine="480" w:firstLineChars="200"/>
              <w:jc w:val="both"/>
              <w:rPr>
                <w:rFonts w:ascii="宋体" w:hAnsi="宋体" w:eastAsia="宋体"/>
                <w:color w:val="auto"/>
                <w:sz w:val="24"/>
                <w:szCs w:val="24"/>
                <w:highlight w:val="none"/>
              </w:rPr>
            </w:pPr>
            <w:r>
              <w:rPr>
                <w:rFonts w:hint="eastAsia" w:ascii="宋体" w:hAnsi="宋体" w:eastAsia="宋体"/>
                <w:color w:val="auto"/>
                <w:sz w:val="24"/>
                <w:szCs w:val="24"/>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val="0"/>
              <w:autoSpaceDE w:val="0"/>
              <w:adjustRightInd/>
              <w:snapToGrid/>
              <w:spacing w:after="0" w:line="380" w:lineRule="exact"/>
              <w:ind w:firstLine="480" w:firstLineChars="200"/>
              <w:jc w:val="both"/>
              <w:rPr>
                <w:rFonts w:ascii="宋体" w:hAnsi="宋体" w:eastAsia="宋体"/>
                <w:color w:val="auto"/>
                <w:sz w:val="24"/>
                <w:szCs w:val="24"/>
                <w:highlight w:val="none"/>
              </w:rPr>
            </w:pPr>
            <w:r>
              <w:rPr>
                <w:rFonts w:hint="eastAsia" w:ascii="宋体" w:hAnsi="宋体" w:eastAsia="宋体"/>
                <w:color w:val="auto"/>
                <w:sz w:val="24"/>
                <w:szCs w:val="24"/>
                <w:highlight w:val="none"/>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p>
        </w:tc>
        <w:tc>
          <w:tcPr>
            <w:tcW w:w="1625"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olor w:val="auto"/>
                <w:sz w:val="24"/>
                <w:szCs w:val="24"/>
                <w:highlight w:val="none"/>
              </w:rPr>
              <w:t>招标代理服务费</w:t>
            </w:r>
          </w:p>
        </w:tc>
        <w:tc>
          <w:tcPr>
            <w:tcW w:w="7226" w:type="dxa"/>
            <w:vAlign w:val="center"/>
          </w:tcPr>
          <w:p>
            <w:pPr>
              <w:autoSpaceDE w:val="0"/>
              <w:autoSpaceDN w:val="0"/>
              <w:spacing w:after="0" w:line="3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本项目招标代理服务费按本章第33条规定的费率标准，按差额定率累进法计算。成交人领取成交通知书前，应向采购代理机构一次付清招标代理服务费。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1625"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现场勘察</w:t>
            </w:r>
          </w:p>
        </w:tc>
        <w:tc>
          <w:tcPr>
            <w:tcW w:w="7226" w:type="dxa"/>
            <w:vAlign w:val="center"/>
          </w:tcPr>
          <w:p>
            <w:pPr>
              <w:autoSpaceDE w:val="0"/>
              <w:autoSpaceDN w:val="0"/>
              <w:spacing w:after="0" w:line="3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drawing>
                <wp:inline distT="0" distB="0" distL="0" distR="0">
                  <wp:extent cx="152400" cy="152400"/>
                  <wp:effectExtent l="19050" t="0" r="0" b="0"/>
                  <wp:docPr id="1"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
                          <pic:cNvPicPr>
                            <a:picLocks noChangeAspect="1" noChangeArrowheads="1"/>
                          </pic:cNvPicPr>
                        </pic:nvPicPr>
                        <pic:blipFill>
                          <a:blip r:embed="rId14" cstate="print"/>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宋体" w:hAnsi="宋体" w:eastAsia="宋体"/>
                <w:color w:val="auto"/>
                <w:sz w:val="24"/>
                <w:szCs w:val="24"/>
                <w:highlight w:val="none"/>
              </w:rPr>
              <w:t>不组织。由供应商自行决定是否勘察现场，建议供应商自行对项目现场和其周围环境进行现场勘察，以获取有关编制响应文件和签署实施项目合同所需的各种资料。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30"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olor w:val="auto"/>
                <w:sz w:val="24"/>
                <w:szCs w:val="24"/>
                <w:highlight w:val="none"/>
              </w:rPr>
              <w:t>10.1.1</w:t>
            </w:r>
          </w:p>
        </w:tc>
        <w:tc>
          <w:tcPr>
            <w:tcW w:w="1625"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olor w:val="auto"/>
                <w:sz w:val="24"/>
                <w:szCs w:val="24"/>
                <w:highlight w:val="none"/>
              </w:rPr>
              <w:t>价格文件组成内容</w:t>
            </w:r>
          </w:p>
        </w:tc>
        <w:tc>
          <w:tcPr>
            <w:tcW w:w="7226" w:type="dxa"/>
            <w:vAlign w:val="center"/>
          </w:tcPr>
          <w:p>
            <w:pPr>
              <w:autoSpaceDE w:val="0"/>
              <w:autoSpaceDN w:val="0"/>
              <w:spacing w:after="0" w:line="360" w:lineRule="exact"/>
              <w:ind w:firstLine="482" w:firstLineChars="200"/>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价格文件（下列文件列明“必须提供”的，须加盖公章按要求提供，否则作竞标无效处理）</w:t>
            </w:r>
            <w:r>
              <w:rPr>
                <w:rFonts w:hint="eastAsia" w:ascii="宋体" w:hAnsi="宋体" w:eastAsia="宋体" w:cs="宋体"/>
                <w:color w:val="auto"/>
                <w:sz w:val="24"/>
                <w:szCs w:val="24"/>
                <w:highlight w:val="none"/>
              </w:rPr>
              <w:t>：</w:t>
            </w:r>
          </w:p>
          <w:p>
            <w:pPr>
              <w:pStyle w:val="95"/>
              <w:numPr>
                <w:ilvl w:val="0"/>
                <w:numId w:val="1"/>
              </w:numPr>
              <w:autoSpaceDE w:val="0"/>
              <w:autoSpaceDN w:val="0"/>
              <w:spacing w:after="0" w:line="360" w:lineRule="exact"/>
              <w:ind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谈判报价表；（格式见附件，</w:t>
            </w:r>
            <w:r>
              <w:rPr>
                <w:rFonts w:hint="eastAsia" w:ascii="宋体" w:hAnsi="宋体" w:eastAsia="宋体" w:cs="宋体"/>
                <w:b/>
                <w:color w:val="auto"/>
                <w:sz w:val="24"/>
                <w:szCs w:val="24"/>
                <w:highlight w:val="none"/>
              </w:rPr>
              <w:t>必须提供)</w:t>
            </w:r>
          </w:p>
          <w:p>
            <w:pPr>
              <w:autoSpaceDE w:val="0"/>
              <w:autoSpaceDN w:val="0"/>
              <w:spacing w:after="0"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10.1.2</w:t>
            </w:r>
          </w:p>
        </w:tc>
        <w:tc>
          <w:tcPr>
            <w:tcW w:w="1625" w:type="dxa"/>
            <w:vAlign w:val="center"/>
          </w:tcPr>
          <w:p>
            <w:pPr>
              <w:spacing w:after="0"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商务技术文件组成内容</w:t>
            </w:r>
          </w:p>
        </w:tc>
        <w:tc>
          <w:tcPr>
            <w:tcW w:w="7226" w:type="dxa"/>
            <w:vAlign w:val="center"/>
          </w:tcPr>
          <w:p>
            <w:pPr>
              <w:topLinePunct/>
              <w:adjustRightInd/>
              <w:spacing w:after="0" w:line="360" w:lineRule="exact"/>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技术文件（下列文件列明“必须提供”的，须加盖公章按要求提供，否则作竞标无效处理；其余项结合第三章“项目采购需求和说明”要求提供，要求“必须提供”的，如未提供，谈判小组有权拒绝其响应文件。</w:t>
            </w:r>
            <w:r>
              <w:rPr>
                <w:rFonts w:hint="eastAsia" w:ascii="宋体" w:hAnsi="宋体" w:eastAsia="宋体" w:cs="宋体"/>
                <w:b/>
                <w:color w:val="auto"/>
                <w:sz w:val="24"/>
                <w:szCs w:val="24"/>
                <w:highlight w:val="none"/>
                <w:u w:val="single"/>
              </w:rPr>
              <w:t>供应商所提供的材料不完整，或模糊不清以致关键信息无法辨认的，谈判小组有权认定该材料无效</w:t>
            </w:r>
            <w:r>
              <w:rPr>
                <w:rFonts w:hint="eastAsia" w:ascii="宋体" w:hAnsi="宋体" w:eastAsia="宋体" w:cs="宋体"/>
                <w:b/>
                <w:color w:val="auto"/>
                <w:sz w:val="24"/>
                <w:szCs w:val="24"/>
                <w:highlight w:val="none"/>
              </w:rPr>
              <w:t>。其他如有请提供）</w:t>
            </w:r>
          </w:p>
          <w:p>
            <w:pPr>
              <w:pStyle w:val="95"/>
              <w:numPr>
                <w:ilvl w:val="0"/>
                <w:numId w:val="2"/>
              </w:numPr>
              <w:autoSpaceDE w:val="0"/>
              <w:autoSpaceDN w:val="0"/>
              <w:spacing w:after="0" w:line="360" w:lineRule="exact"/>
              <w:ind w:left="20" w:firstLine="420" w:firstLineChars="0"/>
              <w:rPr>
                <w:rFonts w:ascii="宋体" w:hAnsi="宋体" w:eastAsia="宋体" w:cs="宋体"/>
                <w:color w:val="auto"/>
                <w:sz w:val="24"/>
                <w:szCs w:val="24"/>
                <w:highlight w:val="none"/>
              </w:rPr>
            </w:pPr>
            <w:bookmarkStart w:id="53" w:name="_Hlk38193327"/>
            <w:r>
              <w:rPr>
                <w:rFonts w:hint="eastAsia" w:ascii="宋体" w:hAnsi="宋体" w:eastAsia="宋体" w:cs="宋体"/>
                <w:color w:val="auto"/>
                <w:sz w:val="24"/>
                <w:szCs w:val="24"/>
                <w:highlight w:val="none"/>
              </w:rPr>
              <w:t>谈判书；（格式见附件，</w:t>
            </w:r>
            <w:r>
              <w:rPr>
                <w:rFonts w:hint="eastAsia" w:ascii="宋体" w:hAnsi="宋体" w:eastAsia="宋体" w:cs="宋体"/>
                <w:b/>
                <w:color w:val="auto"/>
                <w:sz w:val="24"/>
                <w:szCs w:val="24"/>
                <w:highlight w:val="none"/>
              </w:rPr>
              <w:t>必须提供)</w:t>
            </w:r>
          </w:p>
          <w:p>
            <w:pPr>
              <w:pStyle w:val="95"/>
              <w:numPr>
                <w:ilvl w:val="0"/>
                <w:numId w:val="2"/>
              </w:numPr>
              <w:autoSpaceDE w:val="0"/>
              <w:autoSpaceDN w:val="0"/>
              <w:spacing w:after="0" w:line="360" w:lineRule="exact"/>
              <w:ind w:left="20" w:firstLine="42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竞标声明书；（格式见附件，</w:t>
            </w:r>
            <w:r>
              <w:rPr>
                <w:rFonts w:hint="eastAsia" w:ascii="宋体" w:hAnsi="宋体" w:eastAsia="宋体" w:cs="宋体"/>
                <w:b/>
                <w:color w:val="auto"/>
                <w:sz w:val="24"/>
                <w:szCs w:val="24"/>
                <w:highlight w:val="none"/>
              </w:rPr>
              <w:t>必须提供)</w:t>
            </w:r>
          </w:p>
          <w:p>
            <w:pPr>
              <w:pStyle w:val="95"/>
              <w:numPr>
                <w:ilvl w:val="0"/>
                <w:numId w:val="2"/>
              </w:numPr>
              <w:autoSpaceDE w:val="0"/>
              <w:autoSpaceDN w:val="0"/>
              <w:spacing w:after="0" w:line="360" w:lineRule="exact"/>
              <w:ind w:left="20" w:firstLine="42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技术响应、偏离情况说明表及商务偏离表；（格式见附件，</w:t>
            </w:r>
            <w:r>
              <w:rPr>
                <w:rFonts w:hint="eastAsia" w:ascii="宋体" w:hAnsi="宋体" w:eastAsia="宋体" w:cs="宋体"/>
                <w:b/>
                <w:color w:val="auto"/>
                <w:sz w:val="24"/>
                <w:szCs w:val="24"/>
                <w:highlight w:val="none"/>
              </w:rPr>
              <w:t>必须提供)</w:t>
            </w:r>
          </w:p>
          <w:p>
            <w:pPr>
              <w:pStyle w:val="95"/>
              <w:numPr>
                <w:ilvl w:val="0"/>
                <w:numId w:val="2"/>
              </w:numPr>
              <w:autoSpaceDE w:val="0"/>
              <w:autoSpaceDN w:val="0"/>
              <w:spacing w:after="0" w:line="360" w:lineRule="exact"/>
              <w:ind w:left="20" w:firstLine="42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售后服务承诺（由供应商按本项目竞争性谈判文件第三章“项目采购需求和说明”要求自行编制）；</w:t>
            </w:r>
            <w:r>
              <w:rPr>
                <w:rFonts w:hint="eastAsia" w:ascii="宋体" w:hAnsi="宋体" w:eastAsia="宋体" w:cs="宋体"/>
                <w:b/>
                <w:color w:val="auto"/>
                <w:sz w:val="24"/>
                <w:szCs w:val="24"/>
                <w:highlight w:val="none"/>
              </w:rPr>
              <w:t>（必须提供）</w:t>
            </w:r>
          </w:p>
          <w:p>
            <w:pPr>
              <w:pStyle w:val="95"/>
              <w:numPr>
                <w:ilvl w:val="0"/>
                <w:numId w:val="2"/>
              </w:numPr>
              <w:autoSpaceDE w:val="0"/>
              <w:autoSpaceDN w:val="0"/>
              <w:spacing w:after="0" w:line="360" w:lineRule="exact"/>
              <w:ind w:left="20" w:firstLine="42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有效的“营业执照”正本或副本复印件</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事业单位提供事业单位法人证书）；</w:t>
            </w:r>
            <w:r>
              <w:rPr>
                <w:rFonts w:hint="eastAsia" w:ascii="宋体" w:hAnsi="宋体" w:eastAsia="宋体" w:cs="宋体"/>
                <w:b/>
                <w:color w:val="auto"/>
                <w:sz w:val="24"/>
                <w:szCs w:val="24"/>
                <w:highlight w:val="none"/>
              </w:rPr>
              <w:t>(必须提供)</w:t>
            </w:r>
          </w:p>
          <w:p>
            <w:pPr>
              <w:pStyle w:val="95"/>
              <w:numPr>
                <w:ilvl w:val="0"/>
                <w:numId w:val="2"/>
              </w:numPr>
              <w:autoSpaceDE w:val="0"/>
              <w:autoSpaceDN w:val="0"/>
              <w:spacing w:after="0" w:line="360" w:lineRule="exact"/>
              <w:ind w:left="20" w:firstLine="42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提交响应文件截止之日前近半年以来连续三个月依法缴纳税费或依法免缴税费（包括无纳税记录或零报税）的证明（新成立的且不足三个月的企业按实际提供），证明材料可以是：银行已缴纳税费凭证复印件或第三方有效的相关业务托缴凭证或其他有效证明，或供应商所在地税务部门出具的有效证明（复印件）；(必须提供)；</w:t>
            </w:r>
            <w:r>
              <w:rPr>
                <w:rFonts w:hint="eastAsia" w:ascii="宋体" w:hAnsi="宋体" w:eastAsia="宋体" w:cs="宋体"/>
                <w:b/>
                <w:color w:val="auto"/>
                <w:sz w:val="24"/>
                <w:szCs w:val="24"/>
                <w:highlight w:val="none"/>
              </w:rPr>
              <w:t>(必须提供)</w:t>
            </w:r>
          </w:p>
          <w:p>
            <w:pPr>
              <w:pStyle w:val="95"/>
              <w:numPr>
                <w:ilvl w:val="0"/>
                <w:numId w:val="2"/>
              </w:numPr>
              <w:autoSpaceDE w:val="0"/>
              <w:autoSpaceDN w:val="0"/>
              <w:spacing w:after="0" w:line="360" w:lineRule="exact"/>
              <w:ind w:left="20" w:firstLine="42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提交响应文件截止之日前近半年以来连续三个月依法缴纳社会保险费（新成立的且不足三个月的企业按实际提供），证明材料可以是：银行已缴纳社会保险费凭证复印件或第三方有效的相关业务托缴凭证或其他有效证明（复印件）；</w:t>
            </w:r>
            <w:r>
              <w:rPr>
                <w:rFonts w:hint="eastAsia" w:ascii="宋体" w:hAnsi="宋体" w:eastAsia="宋体" w:cs="宋体"/>
                <w:b/>
                <w:color w:val="auto"/>
                <w:sz w:val="24"/>
                <w:szCs w:val="24"/>
                <w:highlight w:val="none"/>
              </w:rPr>
              <w:t>（必须提供）</w:t>
            </w:r>
          </w:p>
          <w:p>
            <w:pPr>
              <w:pStyle w:val="95"/>
              <w:numPr>
                <w:ilvl w:val="0"/>
                <w:numId w:val="2"/>
              </w:numPr>
              <w:autoSpaceDE w:val="0"/>
              <w:autoSpaceDN w:val="0"/>
              <w:spacing w:after="0" w:line="360" w:lineRule="exact"/>
              <w:ind w:left="20" w:firstLine="42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竞标人经第三方审计的2020年度的财务报表（账务报表至少包含资产负债表、利润表、现金流量表及其附注、审计报告）复印件（新成立的公司提供公司成立日之后次月起到响应文件递交截止前一个月的财务报表复印件）或供应商提交响应文件截止之日前三个月内其基本开户银行出具的银行资信证明（仅提供银行出具的存款证明不能作为其银行资信证明）复印件；</w:t>
            </w:r>
            <w:r>
              <w:rPr>
                <w:rFonts w:hint="eastAsia" w:ascii="宋体" w:hAnsi="宋体" w:eastAsia="宋体" w:cs="宋体"/>
                <w:b/>
                <w:color w:val="auto"/>
                <w:sz w:val="24"/>
                <w:szCs w:val="24"/>
                <w:highlight w:val="none"/>
              </w:rPr>
              <w:t>（必须提供）</w:t>
            </w:r>
          </w:p>
          <w:p>
            <w:pPr>
              <w:pStyle w:val="95"/>
              <w:numPr>
                <w:ilvl w:val="0"/>
                <w:numId w:val="2"/>
              </w:numPr>
              <w:autoSpaceDE w:val="0"/>
              <w:autoSpaceDN w:val="0"/>
              <w:spacing w:after="0" w:line="360" w:lineRule="exact"/>
              <w:ind w:left="20" w:firstLine="42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具备履行合同所必需的设备和专业技术服务能力的承诺书（格式见附件）；</w:t>
            </w:r>
            <w:r>
              <w:rPr>
                <w:rFonts w:hint="eastAsia" w:ascii="宋体" w:hAnsi="宋体" w:eastAsia="宋体" w:cs="宋体"/>
                <w:b/>
                <w:color w:val="auto"/>
                <w:sz w:val="24"/>
                <w:szCs w:val="24"/>
                <w:highlight w:val="none"/>
              </w:rPr>
              <w:t>（必须提供）</w:t>
            </w:r>
          </w:p>
          <w:p>
            <w:pPr>
              <w:pStyle w:val="95"/>
              <w:numPr>
                <w:ilvl w:val="0"/>
                <w:numId w:val="2"/>
              </w:numPr>
              <w:autoSpaceDE w:val="0"/>
              <w:autoSpaceDN w:val="0"/>
              <w:spacing w:after="0" w:line="360" w:lineRule="exact"/>
              <w:ind w:left="20" w:firstLine="420" w:firstLineChars="0"/>
              <w:rPr>
                <w:rFonts w:ascii="宋体" w:hAnsi="宋体" w:eastAsia="宋体" w:cs="宋体"/>
                <w:color w:val="auto"/>
                <w:sz w:val="24"/>
                <w:szCs w:val="24"/>
                <w:highlight w:val="none"/>
              </w:rPr>
            </w:pPr>
            <w:r>
              <w:rPr>
                <w:rFonts w:hint="eastAsia" w:ascii="宋体" w:hAnsi="宋体" w:eastAsia="宋体"/>
                <w:color w:val="auto"/>
                <w:sz w:val="24"/>
                <w:szCs w:val="24"/>
                <w:highlight w:val="none"/>
              </w:rPr>
              <w:t>参加本次政府采购活动前三年内在经营活动中无重大违法记录</w:t>
            </w:r>
            <w:r>
              <w:rPr>
                <w:rFonts w:hint="eastAsia" w:ascii="宋体" w:hAnsi="宋体" w:eastAsia="宋体" w:cs="宋体"/>
                <w:color w:val="auto"/>
                <w:sz w:val="24"/>
                <w:szCs w:val="24"/>
                <w:highlight w:val="none"/>
              </w:rPr>
              <w:t>的书面声明原件；（格式见附件，</w:t>
            </w:r>
            <w:r>
              <w:rPr>
                <w:rFonts w:hint="eastAsia" w:ascii="宋体" w:hAnsi="宋体" w:eastAsia="宋体" w:cs="宋体"/>
                <w:b/>
                <w:color w:val="auto"/>
                <w:sz w:val="24"/>
                <w:szCs w:val="24"/>
                <w:highlight w:val="none"/>
              </w:rPr>
              <w:t>必须提供）</w:t>
            </w:r>
          </w:p>
          <w:p>
            <w:pPr>
              <w:pStyle w:val="95"/>
              <w:numPr>
                <w:ilvl w:val="0"/>
                <w:numId w:val="2"/>
              </w:numPr>
              <w:autoSpaceDE w:val="0"/>
              <w:autoSpaceDN w:val="0"/>
              <w:spacing w:after="0" w:line="360" w:lineRule="exact"/>
              <w:ind w:left="20" w:firstLine="42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本须知3.1款对</w:t>
            </w:r>
            <w:r>
              <w:rPr>
                <w:rFonts w:hint="eastAsia" w:ascii="宋体" w:hAnsi="宋体" w:eastAsia="宋体"/>
                <w:color w:val="auto"/>
                <w:sz w:val="24"/>
                <w:szCs w:val="24"/>
                <w:highlight w:val="none"/>
              </w:rPr>
              <w:t>供应商特定要求的证明材料</w:t>
            </w:r>
            <w:r>
              <w:rPr>
                <w:rFonts w:hint="eastAsia" w:ascii="宋体" w:hAnsi="宋体" w:eastAsia="宋体" w:cs="宋体"/>
                <w:b/>
                <w:color w:val="auto"/>
                <w:sz w:val="24"/>
                <w:szCs w:val="24"/>
                <w:highlight w:val="none"/>
              </w:rPr>
              <w:t>（如有要求的，必须提供）</w:t>
            </w:r>
          </w:p>
          <w:p>
            <w:pPr>
              <w:pStyle w:val="95"/>
              <w:numPr>
                <w:ilvl w:val="0"/>
                <w:numId w:val="2"/>
              </w:numPr>
              <w:autoSpaceDE w:val="0"/>
              <w:autoSpaceDN w:val="0"/>
              <w:spacing w:after="0" w:line="360" w:lineRule="exact"/>
              <w:ind w:left="20" w:firstLine="42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供应商控股及管理关系情况申报表；（格式见附件，</w:t>
            </w:r>
            <w:r>
              <w:rPr>
                <w:rFonts w:hint="eastAsia" w:ascii="宋体" w:hAnsi="宋体" w:eastAsia="宋体" w:cs="宋体"/>
                <w:b/>
                <w:color w:val="auto"/>
                <w:sz w:val="24"/>
                <w:szCs w:val="24"/>
                <w:highlight w:val="none"/>
              </w:rPr>
              <w:t>必须提供)</w:t>
            </w:r>
          </w:p>
          <w:p>
            <w:pPr>
              <w:pStyle w:val="95"/>
              <w:numPr>
                <w:ilvl w:val="0"/>
                <w:numId w:val="2"/>
              </w:numPr>
              <w:autoSpaceDE w:val="0"/>
              <w:autoSpaceDN w:val="0"/>
              <w:spacing w:after="0" w:line="360" w:lineRule="exact"/>
              <w:ind w:left="20" w:firstLine="42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法定代表人身份证明书原件及法定代表人有效身份证正反面复印件；（格式见附件）</w:t>
            </w:r>
            <w:r>
              <w:rPr>
                <w:rFonts w:hint="eastAsia" w:ascii="宋体" w:hAnsi="宋体" w:eastAsia="宋体" w:cs="宋体"/>
                <w:b/>
                <w:color w:val="auto"/>
                <w:sz w:val="24"/>
                <w:szCs w:val="24"/>
                <w:highlight w:val="none"/>
              </w:rPr>
              <w:t>（必须提供）</w:t>
            </w:r>
          </w:p>
          <w:p>
            <w:pPr>
              <w:pStyle w:val="95"/>
              <w:numPr>
                <w:ilvl w:val="0"/>
                <w:numId w:val="2"/>
              </w:numPr>
              <w:autoSpaceDE w:val="0"/>
              <w:autoSpaceDN w:val="0"/>
              <w:spacing w:after="0" w:line="360" w:lineRule="exact"/>
              <w:ind w:left="20" w:firstLine="42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法定代表人授权委托书原件及被授权人有效身份证正反面复印件；（格式见附件，</w:t>
            </w:r>
            <w:r>
              <w:rPr>
                <w:rFonts w:hint="eastAsia" w:ascii="宋体" w:hAnsi="宋体" w:eastAsia="宋体" w:cs="宋体"/>
                <w:b/>
                <w:color w:val="auto"/>
                <w:sz w:val="24"/>
                <w:szCs w:val="24"/>
                <w:highlight w:val="none"/>
              </w:rPr>
              <w:t>委托时必须提供，否则竞标无效）</w:t>
            </w:r>
          </w:p>
          <w:p>
            <w:pPr>
              <w:pStyle w:val="95"/>
              <w:numPr>
                <w:ilvl w:val="0"/>
                <w:numId w:val="2"/>
              </w:numPr>
              <w:autoSpaceDE w:val="0"/>
              <w:autoSpaceDN w:val="0"/>
              <w:spacing w:after="0" w:line="360" w:lineRule="exact"/>
              <w:ind w:left="20" w:firstLine="42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供应商认为需要提供的有关资料、文件、说明（如货物认证、检测报告、鉴定证书；产品获奖证书；产品样本、使用保养说明书、图纸等技术资料；货物全部由符合政策要求的</w:t>
            </w:r>
            <w:r>
              <w:rPr>
                <w:rFonts w:hint="eastAsia" w:ascii="宋体" w:hAnsi="宋体" w:eastAsia="宋体" w:cs="宋体"/>
                <w:color w:val="auto"/>
                <w:sz w:val="24"/>
                <w:szCs w:val="24"/>
                <w:highlight w:val="none"/>
                <w:lang w:eastAsia="zh-CN"/>
              </w:rPr>
              <w:t>小微</w:t>
            </w:r>
            <w:r>
              <w:rPr>
                <w:rFonts w:hint="eastAsia" w:ascii="宋体" w:hAnsi="宋体" w:eastAsia="宋体" w:cs="宋体"/>
                <w:color w:val="auto"/>
                <w:sz w:val="24"/>
                <w:szCs w:val="24"/>
                <w:highlight w:val="none"/>
              </w:rPr>
              <w:t>企业制造，须提供《中小企业声明函》(格式见附件)；属监狱企业的，请提供由省级以上监狱管理局、戒毒管理局（含新疆生产建设兵团）出具的属于监狱企业的证明文件；属于残疾人福利性单位的，请提供《残疾人福利性单位声明函》(格式见附件)等）。</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30"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1625"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响应有效期</w:t>
            </w:r>
          </w:p>
        </w:tc>
        <w:tc>
          <w:tcPr>
            <w:tcW w:w="7226" w:type="dxa"/>
            <w:vAlign w:val="center"/>
          </w:tcPr>
          <w:p>
            <w:pPr>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自响应文件提交截止之日起60 天（日历天）内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1625"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w:t>
            </w:r>
          </w:p>
        </w:tc>
        <w:tc>
          <w:tcPr>
            <w:tcW w:w="7226" w:type="dxa"/>
            <w:vAlign w:val="center"/>
          </w:tcPr>
          <w:p>
            <w:pPr>
              <w:spacing w:after="0" w:line="3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本项目不需要缴纳保证金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14.4</w:t>
            </w:r>
          </w:p>
        </w:tc>
        <w:tc>
          <w:tcPr>
            <w:tcW w:w="1625"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响应文件份数</w:t>
            </w:r>
          </w:p>
        </w:tc>
        <w:tc>
          <w:tcPr>
            <w:tcW w:w="7226" w:type="dxa"/>
            <w:vAlign w:val="center"/>
          </w:tcPr>
          <w:p>
            <w:pPr>
              <w:spacing w:after="0"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正本一份、副本二份。即：“价格文件”正本一份，副本</w:t>
            </w:r>
            <w:r>
              <w:rPr>
                <w:rFonts w:hint="eastAsia" w:ascii="宋体" w:hAnsi="宋体" w:eastAsia="宋体" w:cs="宋体"/>
                <w:color w:val="auto"/>
                <w:sz w:val="24"/>
                <w:szCs w:val="24"/>
                <w:highlight w:val="none"/>
                <w:u w:val="single"/>
              </w:rPr>
              <w:t xml:space="preserve"> 二</w:t>
            </w:r>
            <w:r>
              <w:rPr>
                <w:rFonts w:hint="eastAsia" w:ascii="宋体" w:hAnsi="宋体" w:eastAsia="宋体" w:cs="宋体"/>
                <w:color w:val="auto"/>
                <w:sz w:val="24"/>
                <w:szCs w:val="24"/>
                <w:highlight w:val="none"/>
              </w:rPr>
              <w:t>份；“商务技术文件”正本一份，副本</w:t>
            </w:r>
            <w:r>
              <w:rPr>
                <w:rFonts w:hint="eastAsia" w:ascii="宋体" w:hAnsi="宋体" w:eastAsia="宋体" w:cs="宋体"/>
                <w:color w:val="auto"/>
                <w:sz w:val="24"/>
                <w:szCs w:val="24"/>
                <w:highlight w:val="none"/>
                <w:u w:val="single"/>
              </w:rPr>
              <w:t>二</w:t>
            </w:r>
            <w:r>
              <w:rPr>
                <w:rFonts w:hint="eastAsia" w:ascii="宋体" w:hAnsi="宋体" w:eastAsia="宋体" w:cs="宋体"/>
                <w:color w:val="auto"/>
                <w:sz w:val="24"/>
                <w:szCs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1625"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递交响应文件截止时间</w:t>
            </w:r>
          </w:p>
        </w:tc>
        <w:tc>
          <w:tcPr>
            <w:tcW w:w="7226" w:type="dxa"/>
            <w:vAlign w:val="center"/>
          </w:tcPr>
          <w:p>
            <w:pPr>
              <w:spacing w:after="0"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2021年 </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 xml:space="preserve"> 日1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p>
        </w:tc>
        <w:tc>
          <w:tcPr>
            <w:tcW w:w="1625"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响应文件递交地点</w:t>
            </w:r>
          </w:p>
        </w:tc>
        <w:tc>
          <w:tcPr>
            <w:tcW w:w="7226" w:type="dxa"/>
            <w:vAlign w:val="center"/>
          </w:tcPr>
          <w:p>
            <w:pPr>
              <w:spacing w:after="0" w:line="360" w:lineRule="exact"/>
              <w:ind w:firstLine="480" w:firstLineChars="200"/>
              <w:rPr>
                <w:rFonts w:ascii="宋体" w:hAnsi="宋体" w:eastAsia="宋体" w:cs="宋体"/>
                <w:color w:val="auto"/>
                <w:sz w:val="24"/>
                <w:szCs w:val="24"/>
                <w:highlight w:val="none"/>
              </w:rPr>
            </w:pPr>
            <w:r>
              <w:rPr>
                <w:rFonts w:hint="eastAsia" w:ascii="宋体" w:hAnsi="宋体" w:eastAsia="宋体"/>
                <w:color w:val="auto"/>
                <w:sz w:val="24"/>
                <w:szCs w:val="24"/>
                <w:highlight w:val="none"/>
              </w:rPr>
              <w:t>河池市公共资源交易中心开标厅【河池市金城江区江湾路2号（市工人文化宫办公大楼五楼），具体开标室见当天的电子LED大屏安排】，并由采购代理机构签收。逾期送达或未按要求密封的响应文件将予以拒收或作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8</w:t>
            </w:r>
            <w:r>
              <w:rPr>
                <w:rFonts w:hint="eastAsia" w:ascii="宋体" w:hAnsi="宋体" w:eastAsia="宋体" w:cs="宋体"/>
                <w:color w:val="auto"/>
                <w:sz w:val="24"/>
                <w:szCs w:val="24"/>
                <w:highlight w:val="none"/>
              </w:rPr>
              <w:t>.1</w:t>
            </w:r>
          </w:p>
        </w:tc>
        <w:tc>
          <w:tcPr>
            <w:tcW w:w="1625"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谈判时间和地点</w:t>
            </w:r>
          </w:p>
        </w:tc>
        <w:tc>
          <w:tcPr>
            <w:tcW w:w="7226" w:type="dxa"/>
            <w:vAlign w:val="center"/>
          </w:tcPr>
          <w:p>
            <w:pPr>
              <w:spacing w:after="0"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谈判时间：2021年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 xml:space="preserve"> 日1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时00分整截标后（具体时间由采购代理机构另行通知）；</w:t>
            </w:r>
          </w:p>
          <w:p>
            <w:pPr>
              <w:spacing w:after="0"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谈判地点：河池市公共资源交易中心开标厅【河池市金城江区江湾路2号（市工人文化宫办公大楼五楼），具体开标室见当天的电子LED大屏安排】；</w:t>
            </w:r>
          </w:p>
          <w:p>
            <w:pPr>
              <w:spacing w:after="0"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供应商法定代表人或其授权代表必须携带以下有效证件按时参加谈判会议，否则视为自动放弃谈判。有效证件为：</w:t>
            </w:r>
          </w:p>
          <w:p>
            <w:pPr>
              <w:spacing w:after="0" w:line="360" w:lineRule="exact"/>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如法定代表人参加，则须提供法定代表人身份证明及本人身份证原件；如授权委托代理人参加，则须提供法人授权委托书原件及本人身份证原件；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030"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0</w:t>
            </w:r>
            <w:r>
              <w:rPr>
                <w:rFonts w:hint="eastAsia" w:ascii="宋体" w:hAnsi="宋体" w:eastAsia="宋体" w:cs="宋体"/>
                <w:color w:val="auto"/>
                <w:sz w:val="24"/>
                <w:szCs w:val="24"/>
                <w:highlight w:val="none"/>
              </w:rPr>
              <w:t>.2</w:t>
            </w:r>
          </w:p>
        </w:tc>
        <w:tc>
          <w:tcPr>
            <w:tcW w:w="1625"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p>
        </w:tc>
        <w:tc>
          <w:tcPr>
            <w:tcW w:w="7226" w:type="dxa"/>
            <w:vAlign w:val="center"/>
          </w:tcPr>
          <w:p>
            <w:pPr>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30.1</w:t>
            </w:r>
          </w:p>
        </w:tc>
        <w:tc>
          <w:tcPr>
            <w:tcW w:w="1625"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履约保证金</w:t>
            </w:r>
          </w:p>
        </w:tc>
        <w:tc>
          <w:tcPr>
            <w:tcW w:w="7226" w:type="dxa"/>
            <w:vAlign w:val="center"/>
          </w:tcPr>
          <w:p>
            <w:pPr>
              <w:spacing w:after="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履约保证金金额：按合同金额的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%收取。</w:t>
            </w:r>
          </w:p>
          <w:p>
            <w:pPr>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履约保证金递交方式：银行转账、支票、汇票、本票、银行出具的保函或保险机构出具的保函、保险单等非现金形式。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1625"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olor w:val="auto"/>
                <w:sz w:val="24"/>
                <w:szCs w:val="24"/>
                <w:highlight w:val="none"/>
              </w:rPr>
              <w:t>招标代理服务费</w:t>
            </w:r>
          </w:p>
        </w:tc>
        <w:tc>
          <w:tcPr>
            <w:tcW w:w="7226" w:type="dxa"/>
            <w:vAlign w:val="center"/>
          </w:tcPr>
          <w:p>
            <w:pPr>
              <w:autoSpaceDE w:val="0"/>
              <w:autoSpaceDN w:val="0"/>
              <w:spacing w:after="0" w:line="360" w:lineRule="exact"/>
              <w:ind w:firstLine="480" w:firstLineChars="200"/>
              <w:textAlignment w:val="bottom"/>
              <w:rPr>
                <w:rFonts w:ascii="宋体" w:hAnsi="宋体" w:eastAsia="宋体"/>
                <w:color w:val="auto"/>
                <w:sz w:val="24"/>
                <w:szCs w:val="24"/>
                <w:highlight w:val="none"/>
              </w:rPr>
            </w:pPr>
            <w:r>
              <w:rPr>
                <w:rFonts w:hint="eastAsia" w:ascii="宋体" w:hAnsi="宋体" w:eastAsia="宋体"/>
                <w:color w:val="auto"/>
                <w:sz w:val="24"/>
                <w:szCs w:val="24"/>
                <w:highlight w:val="none"/>
              </w:rPr>
              <w:t>招标代理服务费由成交人支付。</w:t>
            </w:r>
          </w:p>
          <w:p>
            <w:pPr>
              <w:autoSpaceDE w:val="0"/>
              <w:autoSpaceDN w:val="0"/>
              <w:spacing w:after="0" w:line="360" w:lineRule="exact"/>
              <w:ind w:firstLine="480" w:firstLineChars="200"/>
              <w:textAlignment w:val="bottom"/>
              <w:rPr>
                <w:rFonts w:ascii="宋体" w:hAnsi="宋体" w:eastAsia="宋体"/>
                <w:color w:val="auto"/>
                <w:sz w:val="24"/>
                <w:szCs w:val="24"/>
                <w:highlight w:val="none"/>
              </w:rPr>
            </w:pPr>
            <w:r>
              <w:rPr>
                <w:rFonts w:hint="eastAsia" w:ascii="宋体" w:hAnsi="宋体" w:eastAsia="宋体"/>
                <w:color w:val="auto"/>
                <w:sz w:val="24"/>
                <w:szCs w:val="24"/>
                <w:highlight w:val="none"/>
              </w:rPr>
              <w:t>（1）成交人领取成交通知书前，应向采购代理机构一次付清招标代理服务费，代理服务收费按下述标准（货物招标）以差额定率累进法计算收取，具体标准如下：</w:t>
            </w:r>
          </w:p>
          <w:tbl>
            <w:tblPr>
              <w:tblStyle w:val="38"/>
              <w:tblW w:w="6315"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1329"/>
              <w:gridCol w:w="1208"/>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497" w:type="dxa"/>
                  <w:tcBorders>
                    <w:tl2br w:val="single" w:color="auto" w:sz="4" w:space="0"/>
                  </w:tcBorders>
                </w:tcPr>
                <w:p>
                  <w:pPr>
                    <w:spacing w:after="0" w:line="3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费率</w:t>
                  </w:r>
                </w:p>
                <w:p>
                  <w:pPr>
                    <w:spacing w:after="0" w:line="3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中标金额</w:t>
                  </w:r>
                </w:p>
              </w:tc>
              <w:tc>
                <w:tcPr>
                  <w:tcW w:w="1329" w:type="dxa"/>
                  <w:vAlign w:val="center"/>
                </w:tcPr>
                <w:p>
                  <w:pPr>
                    <w:spacing w:after="0"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货物招标</w:t>
                  </w:r>
                </w:p>
              </w:tc>
              <w:tc>
                <w:tcPr>
                  <w:tcW w:w="1208" w:type="dxa"/>
                  <w:vAlign w:val="center"/>
                </w:tcPr>
                <w:p>
                  <w:pPr>
                    <w:spacing w:after="0"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服务招标</w:t>
                  </w:r>
                </w:p>
              </w:tc>
              <w:tc>
                <w:tcPr>
                  <w:tcW w:w="1281" w:type="dxa"/>
                  <w:vAlign w:val="center"/>
                </w:tcPr>
                <w:p>
                  <w:pPr>
                    <w:spacing w:after="0"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97" w:type="dxa"/>
                </w:tcPr>
                <w:p>
                  <w:pPr>
                    <w:spacing w:after="0" w:line="3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100万元以下</w:t>
                  </w:r>
                </w:p>
              </w:tc>
              <w:tc>
                <w:tcPr>
                  <w:tcW w:w="1329" w:type="dxa"/>
                </w:tcPr>
                <w:p>
                  <w:pPr>
                    <w:spacing w:after="0" w:line="3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208" w:type="dxa"/>
                </w:tcPr>
                <w:p>
                  <w:pPr>
                    <w:spacing w:after="0" w:line="3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281" w:type="dxa"/>
                </w:tcPr>
                <w:p>
                  <w:pPr>
                    <w:spacing w:after="0" w:line="3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97" w:type="dxa"/>
                </w:tcPr>
                <w:p>
                  <w:pPr>
                    <w:spacing w:after="0" w:line="3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100～500万元</w:t>
                  </w:r>
                </w:p>
              </w:tc>
              <w:tc>
                <w:tcPr>
                  <w:tcW w:w="1329" w:type="dxa"/>
                </w:tcPr>
                <w:p>
                  <w:pPr>
                    <w:spacing w:after="0" w:line="3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208" w:type="dxa"/>
                </w:tcPr>
                <w:p>
                  <w:pPr>
                    <w:spacing w:after="0" w:line="3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1281" w:type="dxa"/>
                </w:tcPr>
                <w:p>
                  <w:pPr>
                    <w:spacing w:after="0" w:line="3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0.7%</w:t>
                  </w:r>
                </w:p>
              </w:tc>
            </w:tr>
          </w:tbl>
          <w:p>
            <w:pPr>
              <w:adjustRightInd/>
              <w:spacing w:after="0" w:line="360" w:lineRule="exact"/>
              <w:ind w:firstLine="480" w:firstLineChars="200"/>
              <w:jc w:val="both"/>
              <w:rPr>
                <w:rFonts w:ascii="宋体" w:hAnsi="宋体" w:eastAsia="宋体"/>
                <w:color w:val="auto"/>
                <w:sz w:val="24"/>
                <w:szCs w:val="24"/>
                <w:highlight w:val="none"/>
              </w:rPr>
            </w:pPr>
            <w:r>
              <w:rPr>
                <w:rFonts w:hint="eastAsia" w:ascii="宋体" w:hAnsi="宋体" w:eastAsia="宋体"/>
                <w:color w:val="auto"/>
                <w:sz w:val="24"/>
                <w:szCs w:val="24"/>
                <w:highlight w:val="none"/>
              </w:rPr>
              <w:t>例如：某货物招标代理业务成交金额为</w:t>
            </w:r>
            <w:r>
              <w:rPr>
                <w:rFonts w:ascii="宋体" w:hAnsi="宋体" w:eastAsia="宋体"/>
                <w:color w:val="auto"/>
                <w:sz w:val="24"/>
                <w:szCs w:val="24"/>
                <w:highlight w:val="none"/>
              </w:rPr>
              <w:t>300</w:t>
            </w:r>
            <w:r>
              <w:rPr>
                <w:rFonts w:hint="eastAsia" w:ascii="宋体" w:hAnsi="宋体" w:eastAsia="宋体"/>
                <w:color w:val="auto"/>
                <w:sz w:val="24"/>
                <w:szCs w:val="24"/>
                <w:highlight w:val="none"/>
              </w:rPr>
              <w:t>万元，招标代理服务费金额按如下计算：</w:t>
            </w:r>
          </w:p>
          <w:p>
            <w:pPr>
              <w:spacing w:after="0" w:line="38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100</w:t>
            </w:r>
            <w:r>
              <w:rPr>
                <w:rFonts w:hint="eastAsia" w:ascii="宋体" w:hAnsi="宋体" w:eastAsia="宋体"/>
                <w:color w:val="auto"/>
                <w:sz w:val="24"/>
                <w:szCs w:val="24"/>
                <w:highlight w:val="none"/>
              </w:rPr>
              <w:t>万元×</w:t>
            </w:r>
            <w:r>
              <w:rPr>
                <w:rFonts w:ascii="宋体" w:hAnsi="宋体" w:eastAsia="宋体"/>
                <w:color w:val="auto"/>
                <w:sz w:val="24"/>
                <w:szCs w:val="24"/>
                <w:highlight w:val="none"/>
              </w:rPr>
              <w:t>1.5%</w:t>
            </w:r>
            <w:r>
              <w:rPr>
                <w:rFonts w:hint="eastAsia" w:ascii="宋体" w:hAnsi="宋体" w:eastAsia="宋体"/>
                <w:color w:val="auto"/>
                <w:sz w:val="24"/>
                <w:szCs w:val="24"/>
                <w:highlight w:val="none"/>
              </w:rPr>
              <w:t>＝</w:t>
            </w:r>
            <w:r>
              <w:rPr>
                <w:rFonts w:ascii="宋体" w:hAnsi="宋体" w:eastAsia="宋体"/>
                <w:color w:val="auto"/>
                <w:sz w:val="24"/>
                <w:szCs w:val="24"/>
                <w:highlight w:val="none"/>
              </w:rPr>
              <w:t xml:space="preserve">1.5 </w:t>
            </w:r>
            <w:r>
              <w:rPr>
                <w:rFonts w:hint="eastAsia" w:ascii="宋体" w:hAnsi="宋体" w:eastAsia="宋体"/>
                <w:color w:val="auto"/>
                <w:sz w:val="24"/>
                <w:szCs w:val="24"/>
                <w:highlight w:val="none"/>
              </w:rPr>
              <w:t>万元</w:t>
            </w:r>
          </w:p>
          <w:p>
            <w:pPr>
              <w:spacing w:after="0" w:line="38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（300－100）万元×1.1%＝2.2万元</w:t>
            </w:r>
          </w:p>
          <w:p>
            <w:pPr>
              <w:adjustRightInd/>
              <w:spacing w:after="0" w:line="360" w:lineRule="exact"/>
              <w:ind w:firstLine="480" w:firstLineChars="200"/>
              <w:jc w:val="both"/>
              <w:rPr>
                <w:rFonts w:ascii="宋体" w:hAnsi="宋体" w:eastAsia="宋体"/>
                <w:color w:val="auto"/>
                <w:sz w:val="24"/>
                <w:szCs w:val="24"/>
                <w:highlight w:val="none"/>
              </w:rPr>
            </w:pPr>
            <w:r>
              <w:rPr>
                <w:rFonts w:hint="eastAsia" w:ascii="宋体" w:hAnsi="宋体" w:eastAsia="宋体" w:cs="宋体"/>
                <w:color w:val="auto"/>
                <w:sz w:val="24"/>
                <w:szCs w:val="24"/>
                <w:highlight w:val="none"/>
              </w:rPr>
              <w:t>合计收费＝1.5＋2.2=3.7万元</w:t>
            </w:r>
          </w:p>
          <w:p>
            <w:pPr>
              <w:spacing w:after="0" w:line="360" w:lineRule="exact"/>
              <w:ind w:firstLine="480" w:firstLineChars="200"/>
              <w:rPr>
                <w:rFonts w:ascii="宋体" w:hAnsi="宋体" w:eastAsia="宋体"/>
                <w:color w:val="auto"/>
                <w:sz w:val="24"/>
                <w:szCs w:val="24"/>
                <w:highlight w:val="none"/>
              </w:rPr>
            </w:pPr>
            <w:r>
              <w:rPr>
                <w:rFonts w:hint="eastAsia" w:ascii="宋体" w:hAnsi="宋体" w:eastAsia="宋体" w:cs="Courier New"/>
                <w:color w:val="auto"/>
                <w:sz w:val="24"/>
                <w:szCs w:val="24"/>
                <w:highlight w:val="none"/>
              </w:rPr>
              <w:t>（2）</w:t>
            </w:r>
            <w:r>
              <w:rPr>
                <w:rFonts w:hint="eastAsia" w:ascii="宋体" w:hAnsi="宋体" w:eastAsia="宋体"/>
                <w:color w:val="auto"/>
                <w:sz w:val="24"/>
                <w:szCs w:val="24"/>
                <w:highlight w:val="none"/>
              </w:rPr>
              <w:t>采购代理机构指定的收取招标代理服务费的银行账户：</w:t>
            </w:r>
          </w:p>
          <w:p>
            <w:pPr>
              <w:spacing w:after="0" w:line="3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户  名：广西睿翼工程咨询有限公司河池分公司</w:t>
            </w:r>
          </w:p>
          <w:p>
            <w:pPr>
              <w:autoSpaceDE w:val="0"/>
              <w:autoSpaceDN w:val="0"/>
              <w:spacing w:after="0" w:line="360" w:lineRule="exact"/>
              <w:ind w:firstLine="480" w:firstLineChars="200"/>
              <w:textAlignment w:val="bottom"/>
              <w:rPr>
                <w:rFonts w:ascii="宋体" w:hAnsi="宋体" w:eastAsia="宋体"/>
                <w:color w:val="auto"/>
                <w:sz w:val="24"/>
                <w:szCs w:val="24"/>
                <w:highlight w:val="none"/>
              </w:rPr>
            </w:pPr>
            <w:r>
              <w:rPr>
                <w:rFonts w:hint="eastAsia" w:ascii="宋体" w:hAnsi="宋体" w:eastAsia="宋体"/>
                <w:color w:val="auto"/>
                <w:sz w:val="24"/>
                <w:szCs w:val="24"/>
                <w:highlight w:val="none"/>
              </w:rPr>
              <w:t>账  号：2114810709300060820</w:t>
            </w:r>
          </w:p>
          <w:p>
            <w:pPr>
              <w:autoSpaceDE w:val="0"/>
              <w:autoSpaceDN w:val="0"/>
              <w:spacing w:after="0" w:line="360" w:lineRule="exact"/>
              <w:ind w:firstLine="480" w:firstLineChars="200"/>
              <w:textAlignment w:val="bottom"/>
              <w:rPr>
                <w:rFonts w:ascii="宋体" w:hAnsi="宋体" w:eastAsia="宋体"/>
                <w:color w:val="auto"/>
                <w:sz w:val="24"/>
                <w:szCs w:val="24"/>
                <w:highlight w:val="none"/>
              </w:rPr>
            </w:pPr>
            <w:r>
              <w:rPr>
                <w:rFonts w:hint="eastAsia" w:ascii="宋体" w:hAnsi="宋体" w:eastAsia="宋体"/>
                <w:color w:val="auto"/>
                <w:sz w:val="24"/>
                <w:szCs w:val="24"/>
                <w:highlight w:val="none"/>
              </w:rPr>
              <w:t>开户行：中国工商银行股份有限公司河池金龙湾支行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1625" w:type="dxa"/>
            <w:vAlign w:val="center"/>
          </w:tcPr>
          <w:p>
            <w:pPr>
              <w:spacing w:after="0" w:line="360" w:lineRule="exact"/>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质疑函接收及联系方式</w:t>
            </w:r>
          </w:p>
        </w:tc>
        <w:tc>
          <w:tcPr>
            <w:tcW w:w="7226" w:type="dxa"/>
            <w:vAlign w:val="center"/>
          </w:tcPr>
          <w:p>
            <w:pPr>
              <w:spacing w:after="0" w:line="3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接收质疑函的方式</w:t>
            </w:r>
            <w:r>
              <w:rPr>
                <w:rFonts w:hint="eastAsia" w:ascii="宋体" w:hAnsi="宋体" w:eastAsia="宋体"/>
                <w:color w:val="auto"/>
                <w:sz w:val="24"/>
                <w:szCs w:val="24"/>
                <w:highlight w:val="none"/>
              </w:rPr>
              <w:t>：接收供应商或其委托代理人以书面形式递交的质疑函原件，委托</w:t>
            </w:r>
            <w:r>
              <w:rPr>
                <w:rFonts w:ascii="宋体" w:hAnsi="宋体" w:eastAsia="宋体"/>
                <w:color w:val="auto"/>
                <w:sz w:val="24"/>
                <w:szCs w:val="24"/>
                <w:highlight w:val="none"/>
              </w:rPr>
              <w:t>代理人提出质疑</w:t>
            </w:r>
            <w:r>
              <w:rPr>
                <w:rFonts w:hint="eastAsia" w:ascii="宋体" w:hAnsi="宋体" w:eastAsia="宋体"/>
                <w:color w:val="auto"/>
                <w:sz w:val="24"/>
                <w:szCs w:val="24"/>
                <w:highlight w:val="none"/>
              </w:rPr>
              <w:t>的</w:t>
            </w:r>
            <w:r>
              <w:rPr>
                <w:rFonts w:ascii="宋体" w:hAnsi="宋体" w:eastAsia="宋体"/>
                <w:color w:val="auto"/>
                <w:sz w:val="24"/>
                <w:szCs w:val="24"/>
                <w:highlight w:val="none"/>
              </w:rPr>
              <w:t>，</w:t>
            </w:r>
            <w:r>
              <w:rPr>
                <w:rFonts w:hint="eastAsia" w:ascii="宋体" w:hAnsi="宋体" w:eastAsia="宋体"/>
                <w:color w:val="auto"/>
                <w:sz w:val="24"/>
                <w:szCs w:val="24"/>
                <w:highlight w:val="none"/>
              </w:rPr>
              <w:t>还</w:t>
            </w:r>
            <w:r>
              <w:rPr>
                <w:rFonts w:ascii="宋体" w:hAnsi="宋体" w:eastAsia="宋体"/>
                <w:color w:val="auto"/>
                <w:sz w:val="24"/>
                <w:szCs w:val="24"/>
                <w:highlight w:val="none"/>
              </w:rPr>
              <w:t>应当提交供应商签署的授权委托书</w:t>
            </w:r>
            <w:r>
              <w:rPr>
                <w:rFonts w:hint="eastAsia" w:ascii="宋体" w:hAnsi="宋体" w:eastAsia="宋体"/>
                <w:color w:val="auto"/>
                <w:sz w:val="24"/>
                <w:szCs w:val="24"/>
                <w:highlight w:val="none"/>
              </w:rPr>
              <w:t>。</w:t>
            </w:r>
          </w:p>
          <w:p>
            <w:pPr>
              <w:spacing w:after="0" w:line="3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联系部门</w:t>
            </w:r>
            <w:r>
              <w:rPr>
                <w:rFonts w:hint="eastAsia" w:ascii="宋体" w:hAnsi="宋体" w:eastAsia="宋体"/>
                <w:color w:val="auto"/>
                <w:sz w:val="24"/>
                <w:szCs w:val="24"/>
                <w:highlight w:val="none"/>
              </w:rPr>
              <w:t>：广西睿翼工程咨询有限公司</w:t>
            </w:r>
          </w:p>
          <w:p>
            <w:pPr>
              <w:spacing w:after="0" w:line="3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联系电话：</w:t>
            </w:r>
            <w:r>
              <w:rPr>
                <w:rFonts w:ascii="宋体" w:hAnsi="宋体" w:eastAsia="宋体"/>
                <w:color w:val="auto"/>
                <w:sz w:val="24"/>
                <w:szCs w:val="24"/>
                <w:highlight w:val="none"/>
              </w:rPr>
              <w:t>0778</w:t>
            </w:r>
            <w:r>
              <w:rPr>
                <w:rFonts w:hint="eastAsia" w:ascii="宋体" w:hAnsi="宋体" w:eastAsia="宋体"/>
                <w:color w:val="auto"/>
                <w:sz w:val="24"/>
                <w:szCs w:val="24"/>
                <w:highlight w:val="none"/>
              </w:rPr>
              <w:t>-</w:t>
            </w:r>
            <w:r>
              <w:rPr>
                <w:rFonts w:ascii="宋体" w:hAnsi="宋体" w:eastAsia="宋体"/>
                <w:color w:val="auto"/>
                <w:sz w:val="24"/>
                <w:szCs w:val="24"/>
                <w:highlight w:val="none"/>
              </w:rPr>
              <w:t>2211981</w:t>
            </w:r>
          </w:p>
          <w:p>
            <w:pPr>
              <w:spacing w:after="0" w:line="3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通讯地址：金城江区金城中路2-4号铜鼓园写字楼3楼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5</w:t>
            </w:r>
          </w:p>
        </w:tc>
        <w:tc>
          <w:tcPr>
            <w:tcW w:w="1625"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theme="minorEastAsia"/>
                <w:color w:val="auto"/>
                <w:sz w:val="24"/>
                <w:szCs w:val="24"/>
                <w:highlight w:val="none"/>
              </w:rPr>
              <w:t>公章及签字</w:t>
            </w:r>
          </w:p>
        </w:tc>
        <w:tc>
          <w:tcPr>
            <w:tcW w:w="7226" w:type="dxa"/>
            <w:vAlign w:val="center"/>
          </w:tcPr>
          <w:p>
            <w:pPr>
              <w:spacing w:after="0"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本文件中描述</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的“公章”是指根据我国对公章的管理规定，用</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法定主体行为名称制作的印章，除本文件有特殊规定外，</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的财务章、部门章、分公司章、工会章、合同章、</w:t>
            </w:r>
            <w:r>
              <w:rPr>
                <w:rFonts w:hint="eastAsia" w:ascii="宋体" w:hAnsi="宋体" w:eastAsia="宋体" w:cs="宋体"/>
                <w:color w:val="auto"/>
                <w:sz w:val="24"/>
                <w:szCs w:val="24"/>
                <w:highlight w:val="none"/>
              </w:rPr>
              <w:t>竞标</w:t>
            </w:r>
            <w:r>
              <w:rPr>
                <w:rFonts w:ascii="宋体" w:hAnsi="宋体" w:eastAsia="宋体" w:cs="宋体"/>
                <w:color w:val="auto"/>
                <w:sz w:val="24"/>
                <w:szCs w:val="24"/>
                <w:highlight w:val="none"/>
              </w:rPr>
              <w:t>专用章、业务专用章及银行的转账章、现金收讫章、现金付讫章等其它形式印章均不能代替公章。</w:t>
            </w:r>
            <w:r>
              <w:rPr>
                <w:rFonts w:hint="eastAsia" w:ascii="宋体" w:hAnsi="宋体" w:eastAsia="宋体" w:cs="宋体"/>
                <w:b/>
                <w:color w:val="auto"/>
                <w:sz w:val="24"/>
                <w:szCs w:val="24"/>
                <w:highlight w:val="none"/>
              </w:rPr>
              <w:t>不符合要求的作竞标无效处理。</w:t>
            </w:r>
          </w:p>
          <w:p>
            <w:pPr>
              <w:spacing w:after="0"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本文件中描述</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的“</w:t>
            </w:r>
            <w:r>
              <w:rPr>
                <w:rFonts w:hint="eastAsia" w:ascii="宋体" w:hAnsi="宋体" w:eastAsia="宋体" w:cs="宋体"/>
                <w:color w:val="auto"/>
                <w:sz w:val="24"/>
                <w:szCs w:val="24"/>
                <w:highlight w:val="none"/>
              </w:rPr>
              <w:t>签字</w:t>
            </w:r>
            <w:r>
              <w:rPr>
                <w:rFonts w:ascii="宋体" w:hAnsi="宋体" w:eastAsia="宋体" w:cs="宋体"/>
                <w:color w:val="auto"/>
                <w:sz w:val="24"/>
                <w:szCs w:val="24"/>
                <w:highlight w:val="none"/>
              </w:rPr>
              <w:t>”是指</w:t>
            </w:r>
            <w:r>
              <w:rPr>
                <w:rFonts w:hint="eastAsia" w:ascii="宋体" w:hAnsi="宋体" w:eastAsia="宋体" w:cs="宋体"/>
                <w:color w:val="auto"/>
                <w:sz w:val="24"/>
                <w:szCs w:val="24"/>
                <w:highlight w:val="none"/>
              </w:rPr>
              <w:t>供应商的法定代表人或被授权人亲自在文件规定签署处亲笔写上个人的名字的行为，私章、签字章、印鉴、影印等其它形式</w:t>
            </w:r>
            <w:r>
              <w:rPr>
                <w:rFonts w:ascii="宋体" w:hAnsi="宋体" w:eastAsia="宋体" w:cs="宋体"/>
                <w:color w:val="auto"/>
                <w:sz w:val="24"/>
                <w:szCs w:val="24"/>
                <w:highlight w:val="none"/>
              </w:rPr>
              <w:t>均不能代替</w:t>
            </w:r>
            <w:r>
              <w:rPr>
                <w:rFonts w:hint="eastAsia" w:ascii="宋体" w:hAnsi="宋体" w:eastAsia="宋体" w:cs="宋体"/>
                <w:color w:val="auto"/>
                <w:sz w:val="24"/>
                <w:szCs w:val="24"/>
                <w:highlight w:val="none"/>
              </w:rPr>
              <w:t>亲笔签字</w:t>
            </w:r>
            <w:r>
              <w:rPr>
                <w:rFonts w:ascii="宋体" w:hAnsi="宋体" w:eastAsia="宋体" w:cs="宋体"/>
                <w:color w:val="auto"/>
                <w:sz w:val="24"/>
                <w:szCs w:val="24"/>
                <w:highlight w:val="none"/>
              </w:rPr>
              <w:t>。</w:t>
            </w:r>
            <w:r>
              <w:rPr>
                <w:rFonts w:hint="eastAsia" w:ascii="宋体" w:hAnsi="宋体" w:eastAsia="宋体" w:cs="宋体"/>
                <w:b/>
                <w:color w:val="auto"/>
                <w:sz w:val="24"/>
                <w:szCs w:val="24"/>
                <w:highlight w:val="none"/>
              </w:rPr>
              <w:t>不符合要求的或漏签的作竞标无效处理。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6</w:t>
            </w:r>
          </w:p>
        </w:tc>
        <w:tc>
          <w:tcPr>
            <w:tcW w:w="1625" w:type="dxa"/>
            <w:vAlign w:val="center"/>
          </w:tcPr>
          <w:p>
            <w:pPr>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信用查询</w:t>
            </w:r>
          </w:p>
        </w:tc>
        <w:tc>
          <w:tcPr>
            <w:tcW w:w="7226" w:type="dxa"/>
            <w:vAlign w:val="center"/>
          </w:tcPr>
          <w:p>
            <w:pPr>
              <w:spacing w:after="0" w:line="360" w:lineRule="exact"/>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递交响应文件截止时间后，由采购人或采购代理机构对供应商进行信用信息查询，具体规定如下：</w:t>
            </w:r>
          </w:p>
          <w:p>
            <w:pPr>
              <w:spacing w:after="0" w:line="360" w:lineRule="exact"/>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查询渠道：“</w:t>
            </w:r>
            <w:r>
              <w:rPr>
                <w:rFonts w:ascii="宋体" w:hAnsi="宋体" w:eastAsia="宋体" w:cs="仿宋"/>
                <w:color w:val="auto"/>
                <w:sz w:val="24"/>
                <w:szCs w:val="24"/>
                <w:highlight w:val="none"/>
              </w:rPr>
              <w:t>信用中国</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eastAsia="宋体" w:cs="仿宋"/>
                <w:color w:val="auto"/>
                <w:sz w:val="24"/>
                <w:szCs w:val="24"/>
                <w:highlight w:val="none"/>
              </w:rPr>
              <w:t>www.ccgp.gov.cn</w:t>
            </w:r>
            <w:r>
              <w:rPr>
                <w:rFonts w:ascii="宋体" w:hAnsi="宋体" w:eastAsia="宋体" w:cs="仿宋"/>
                <w:color w:val="auto"/>
                <w:sz w:val="24"/>
                <w:szCs w:val="24"/>
                <w:highlight w:val="none"/>
              </w:rPr>
              <w:fldChar w:fldCharType="end"/>
            </w:r>
            <w:r>
              <w:rPr>
                <w:rFonts w:ascii="宋体" w:hAnsi="宋体" w:eastAsia="宋体" w:cs="仿宋"/>
                <w:color w:val="auto"/>
                <w:sz w:val="24"/>
                <w:szCs w:val="24"/>
                <w:highlight w:val="none"/>
              </w:rPr>
              <w:t>)</w:t>
            </w:r>
            <w:r>
              <w:rPr>
                <w:rFonts w:hint="eastAsia" w:ascii="宋体" w:hAnsi="宋体" w:eastAsia="宋体" w:cs="仿宋"/>
                <w:color w:val="auto"/>
                <w:sz w:val="24"/>
                <w:szCs w:val="24"/>
                <w:highlight w:val="none"/>
              </w:rPr>
              <w:t>等。</w:t>
            </w:r>
          </w:p>
          <w:p>
            <w:pPr>
              <w:spacing w:after="0" w:line="360" w:lineRule="exact"/>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信用中国</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网站</w:t>
            </w:r>
            <w:r>
              <w:rPr>
                <w:rFonts w:hint="eastAsia" w:ascii="宋体" w:hAnsi="宋体" w:eastAsia="宋体" w:cs="仿宋"/>
                <w:color w:val="auto"/>
                <w:sz w:val="24"/>
                <w:szCs w:val="24"/>
                <w:highlight w:val="none"/>
              </w:rPr>
              <w:t>查询内容：失信被执行人、重大税收违法案件当事人名单、政府采购严重违法失信行为记录名单</w:t>
            </w:r>
            <w:r>
              <w:rPr>
                <w:rFonts w:ascii="宋体" w:hAnsi="宋体" w:eastAsia="宋体" w:cs="仿宋"/>
                <w:color w:val="auto"/>
                <w:sz w:val="24"/>
                <w:szCs w:val="24"/>
                <w:highlight w:val="none"/>
              </w:rPr>
              <w:t>查询结果或界面截图</w:t>
            </w:r>
            <w:r>
              <w:rPr>
                <w:rFonts w:hint="eastAsia" w:ascii="宋体" w:hAnsi="宋体" w:eastAsia="宋体" w:cs="仿宋"/>
                <w:color w:val="auto"/>
                <w:sz w:val="24"/>
                <w:szCs w:val="24"/>
                <w:highlight w:val="none"/>
              </w:rPr>
              <w:t>。</w:t>
            </w:r>
          </w:p>
          <w:p>
            <w:pPr>
              <w:spacing w:after="0" w:line="360" w:lineRule="exact"/>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“中国政府采购网”的查询内容：政府采购严重违法失信行为信息记录（查询界面截图须显示供应商名称以及查询结果）</w:t>
            </w:r>
            <w:r>
              <w:rPr>
                <w:rFonts w:ascii="宋体" w:hAnsi="宋体" w:eastAsia="宋体" w:cs="仿宋"/>
                <w:color w:val="auto"/>
                <w:sz w:val="24"/>
                <w:szCs w:val="24"/>
                <w:highlight w:val="none"/>
              </w:rPr>
              <w:t>。</w:t>
            </w:r>
          </w:p>
          <w:p>
            <w:pPr>
              <w:spacing w:after="0" w:line="360" w:lineRule="exact"/>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查询记录和证据留存方式：在查询网站中直接打印查询记录，打印材料作为评审资料保存。</w:t>
            </w:r>
          </w:p>
          <w:p>
            <w:pPr>
              <w:spacing w:after="0" w:line="360" w:lineRule="exact"/>
              <w:ind w:firstLine="480" w:firstLineChars="200"/>
              <w:jc w:val="both"/>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信用信息使用规则：对在“</w:t>
            </w:r>
            <w:r>
              <w:rPr>
                <w:rFonts w:ascii="宋体" w:hAnsi="宋体" w:eastAsia="宋体" w:cs="仿宋"/>
                <w:color w:val="auto"/>
                <w:sz w:val="24"/>
                <w:szCs w:val="24"/>
                <w:highlight w:val="none"/>
              </w:rPr>
              <w:t>信用中国</w:t>
            </w:r>
            <w:r>
              <w:rPr>
                <w:rFonts w:hint="eastAsia" w:ascii="宋体" w:hAnsi="宋体" w:eastAsia="宋体" w:cs="仿宋"/>
                <w:color w:val="auto"/>
                <w:sz w:val="24"/>
                <w:szCs w:val="24"/>
                <w:highlight w:val="none"/>
              </w:rPr>
              <w:t>”</w:t>
            </w:r>
            <w:r>
              <w:rPr>
                <w:rFonts w:ascii="宋体" w:hAnsi="宋体" w:eastAsia="宋体" w:cs="仿宋"/>
                <w:color w:val="auto"/>
                <w:sz w:val="24"/>
                <w:szCs w:val="24"/>
                <w:highlight w:val="none"/>
              </w:rPr>
              <w:t>网站(www.creditchina.gov.cn)、中国政府采购网(www.ccgp.gov.cn)等渠道</w:t>
            </w:r>
            <w:r>
              <w:rPr>
                <w:rFonts w:hint="eastAsia" w:ascii="宋体" w:hAnsi="宋体" w:eastAsia="宋体" w:cs="仿宋"/>
                <w:color w:val="auto"/>
                <w:sz w:val="24"/>
                <w:szCs w:val="24"/>
                <w:highlight w:val="none"/>
              </w:rPr>
              <w:t>列入失信被执行人、重大税收违法案件当事人名单、政府采购严重违法失信行为记录名单及其他不符合《中华人民共和国政府采购法》第二十二条规定条件的供应商，资格审查不通过，不得参与政府采购活动。</w:t>
            </w:r>
            <w:r>
              <w:rPr>
                <w:rFonts w:ascii="宋体" w:hAnsi="宋体" w:eastAsia="宋体" w:cs="仿宋"/>
                <w:color w:val="auto"/>
                <w:sz w:val="24"/>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pPr>
        <w:pStyle w:val="4"/>
        <w:spacing w:before="240" w:beforeLines="100" w:line="400" w:lineRule="exact"/>
        <w:rPr>
          <w:rFonts w:ascii="宋体" w:hAnsi="宋体" w:eastAsia="宋体"/>
          <w:color w:val="auto"/>
          <w:highlight w:val="none"/>
        </w:rPr>
      </w:pPr>
      <w:bookmarkStart w:id="54" w:name="_Toc246095454"/>
      <w:bookmarkStart w:id="55" w:name="_Toc246094910"/>
      <w:bookmarkStart w:id="56" w:name="_Toc246095516"/>
      <w:r>
        <w:rPr>
          <w:rFonts w:hint="eastAsia" w:ascii="宋体" w:hAnsi="宋体" w:eastAsia="宋体"/>
          <w:color w:val="auto"/>
          <w:highlight w:val="none"/>
        </w:rPr>
        <w:br w:type="page"/>
      </w:r>
      <w:bookmarkStart w:id="57" w:name="_Toc23082"/>
      <w:r>
        <w:rPr>
          <w:rFonts w:hint="eastAsia" w:ascii="宋体" w:hAnsi="宋体" w:eastAsia="宋体"/>
          <w:color w:val="auto"/>
          <w:highlight w:val="none"/>
        </w:rPr>
        <w:t>一、总则</w:t>
      </w:r>
      <w:bookmarkEnd w:id="54"/>
      <w:bookmarkEnd w:id="55"/>
      <w:bookmarkEnd w:id="56"/>
      <w:bookmarkEnd w:id="57"/>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l. 项目概况</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1.1适用范围：本文件仅适用于本文件中所叙述的货物类政府采购项目。</w:t>
      </w:r>
    </w:p>
    <w:p>
      <w:pPr>
        <w:spacing w:after="0" w:line="400" w:lineRule="exac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1.2  采购人：见供应商须知前附表。</w:t>
      </w:r>
    </w:p>
    <w:p>
      <w:pPr>
        <w:spacing w:after="0" w:line="400" w:lineRule="exac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1.3  采购代理机构：见供应商须知前附表。</w:t>
      </w:r>
    </w:p>
    <w:p>
      <w:pPr>
        <w:spacing w:after="0" w:line="400" w:lineRule="exact"/>
        <w:ind w:firstLine="480" w:firstLineChars="200"/>
        <w:rPr>
          <w:rFonts w:ascii="宋体" w:hAnsi="宋体" w:eastAsia="宋体"/>
          <w:bCs/>
          <w:color w:val="auto"/>
          <w:sz w:val="24"/>
          <w:highlight w:val="none"/>
        </w:rPr>
      </w:pPr>
      <w:r>
        <w:rPr>
          <w:rFonts w:hint="eastAsia" w:ascii="宋体" w:hAnsi="宋体" w:eastAsia="宋体"/>
          <w:color w:val="auto"/>
          <w:sz w:val="24"/>
          <w:highlight w:val="none"/>
        </w:rPr>
        <w:t>1.4  项目名称：</w:t>
      </w:r>
      <w:r>
        <w:rPr>
          <w:rFonts w:hint="eastAsia" w:ascii="宋体" w:hAnsi="宋体" w:eastAsia="宋体"/>
          <w:bCs/>
          <w:color w:val="auto"/>
          <w:sz w:val="24"/>
          <w:highlight w:val="none"/>
        </w:rPr>
        <w:t>见供应商须知前附表。</w:t>
      </w:r>
    </w:p>
    <w:p>
      <w:pPr>
        <w:spacing w:after="0" w:line="400" w:lineRule="exact"/>
        <w:ind w:firstLine="480" w:firstLineChars="200"/>
        <w:rPr>
          <w:rFonts w:ascii="宋体" w:hAnsi="宋体" w:eastAsia="宋体"/>
          <w:bCs/>
          <w:color w:val="auto"/>
          <w:sz w:val="24"/>
          <w:highlight w:val="none"/>
        </w:rPr>
      </w:pPr>
      <w:r>
        <w:rPr>
          <w:rFonts w:hint="eastAsia" w:ascii="宋体" w:hAnsi="宋体" w:eastAsia="宋体"/>
          <w:color w:val="auto"/>
          <w:sz w:val="24"/>
          <w:highlight w:val="none"/>
        </w:rPr>
        <w:t>1.5  采购编号：</w:t>
      </w:r>
      <w:r>
        <w:rPr>
          <w:rFonts w:hint="eastAsia" w:ascii="宋体" w:hAnsi="宋体" w:eastAsia="宋体"/>
          <w:bCs/>
          <w:color w:val="auto"/>
          <w:sz w:val="24"/>
          <w:highlight w:val="none"/>
        </w:rPr>
        <w:t>见供应商须知前附表。</w:t>
      </w:r>
    </w:p>
    <w:p>
      <w:pPr>
        <w:spacing w:after="0" w:line="400" w:lineRule="exac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1.6  采购预算：见供应商须知前附表。</w:t>
      </w:r>
    </w:p>
    <w:p>
      <w:pPr>
        <w:spacing w:after="0" w:line="400" w:lineRule="exac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1.7  资金来源：见供应商须知前附表。</w:t>
      </w:r>
    </w:p>
    <w:p>
      <w:pPr>
        <w:spacing w:after="0" w:line="400" w:lineRule="exact"/>
        <w:ind w:firstLine="480" w:firstLineChars="200"/>
        <w:rPr>
          <w:rFonts w:ascii="宋体" w:hAnsi="宋体" w:eastAsia="宋体" w:cs="宋体"/>
          <w:bCs/>
          <w:color w:val="auto"/>
          <w:highlight w:val="none"/>
        </w:rPr>
      </w:pPr>
      <w:r>
        <w:rPr>
          <w:rFonts w:hint="eastAsia" w:ascii="宋体" w:hAnsi="宋体" w:eastAsia="宋体"/>
          <w:bCs/>
          <w:color w:val="auto"/>
          <w:sz w:val="24"/>
          <w:highlight w:val="none"/>
        </w:rPr>
        <w:t>1.8  预留采购份额：见供应商须知前附表。</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2.定义</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2.1 “采购人"是指依法进行政府采购的国家机关、事业单位、团体组织。</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2.2 “采购代理机构”是指依法设立、从事采购代理业务并提供相关服务的社会中介机构。</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2.3 “供应商”是指响应本文件要求，参加谈判的法人、其他组织或者自然人。如果该供应商在本次谈判中成交，即成为"成交供应商"。法人包括企业法人、机关法人、事业单位法人和社会团体法人。其他组织包括合伙企业、非企业专业服务机构、个体工商户、农村承包经营户及国家有关法律法规规定的组织。自然人是指中国公民。</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2.4“货物”是指各种形态和种类的物品，包括原材料、燃料、设备、产品等。</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w:t>
      </w:r>
      <w:r>
        <w:rPr>
          <w:rFonts w:ascii="宋体" w:hAnsi="宋体" w:eastAsia="宋体" w:cs="Arial"/>
          <w:color w:val="auto"/>
          <w:sz w:val="24"/>
          <w:highlight w:val="none"/>
        </w:rPr>
        <w:t>5</w:t>
      </w:r>
      <w:r>
        <w:rPr>
          <w:rFonts w:hint="eastAsia" w:ascii="宋体" w:hAnsi="宋体" w:eastAsia="宋体" w:cs="Arial"/>
          <w:color w:val="auto"/>
          <w:sz w:val="24"/>
          <w:highlight w:val="none"/>
        </w:rPr>
        <w:t>“服务”系指除货物和工程以外的其他政府采购对象。</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w:t>
      </w:r>
      <w:r>
        <w:rPr>
          <w:rFonts w:ascii="宋体" w:hAnsi="宋体" w:eastAsia="宋体" w:cs="Arial"/>
          <w:color w:val="auto"/>
          <w:sz w:val="24"/>
          <w:highlight w:val="none"/>
        </w:rPr>
        <w:t>6</w:t>
      </w:r>
      <w:r>
        <w:rPr>
          <w:rFonts w:hint="eastAsia" w:ascii="宋体" w:hAnsi="宋体" w:eastAsia="宋体" w:cs="Arial"/>
          <w:color w:val="auto"/>
          <w:sz w:val="24"/>
          <w:highlight w:val="none"/>
        </w:rPr>
        <w:t>“响应文件”是指供应商根据本文件要求，编制包含报价、技术和服务等所有内容的文件。</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2.7“书面形式”如无特殊规定，“书面形式”是指信函和数据电文（包括地表现所载内容的形式。采购文件如有特殊规定，以采购文件规定为准。</w:t>
      </w:r>
    </w:p>
    <w:p>
      <w:pPr>
        <w:spacing w:after="0" w:line="400" w:lineRule="exact"/>
        <w:ind w:firstLine="480" w:firstLineChars="200"/>
        <w:rPr>
          <w:rFonts w:ascii="宋体" w:hAnsi="宋体" w:eastAsia="宋体" w:cs="Arial"/>
          <w:color w:val="auto"/>
          <w:sz w:val="24"/>
          <w:highlight w:val="none"/>
        </w:rPr>
      </w:pPr>
      <w:r>
        <w:rPr>
          <w:rFonts w:ascii="宋体" w:hAnsi="宋体" w:eastAsia="宋体" w:cs="Arial"/>
          <w:color w:val="auto"/>
          <w:sz w:val="24"/>
          <w:highlight w:val="none"/>
        </w:rPr>
        <w:t>2.8</w:t>
      </w:r>
      <w:r>
        <w:rPr>
          <w:rFonts w:hint="eastAsia" w:ascii="宋体" w:hAnsi="宋体" w:eastAsia="宋体" w:cs="Arial"/>
          <w:color w:val="auto"/>
          <w:sz w:val="24"/>
          <w:highlight w:val="none"/>
        </w:rPr>
        <w:t>本文件中的“法定代表人”若法律法规无特别规定，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w:t>
      </w:r>
      <w:r>
        <w:rPr>
          <w:rFonts w:ascii="宋体" w:hAnsi="宋体" w:eastAsia="宋体" w:cs="Arial"/>
          <w:color w:val="auto"/>
          <w:sz w:val="24"/>
          <w:highlight w:val="none"/>
        </w:rPr>
        <w:t>9</w:t>
      </w:r>
      <w:r>
        <w:rPr>
          <w:rFonts w:hint="eastAsia" w:ascii="宋体" w:hAnsi="宋体" w:eastAsia="宋体" w:cs="Arial"/>
          <w:color w:val="auto"/>
          <w:sz w:val="24"/>
          <w:highlight w:val="none"/>
        </w:rPr>
        <w:t>标注“</w:t>
      </w:r>
      <w:r>
        <w:rPr>
          <w:rFonts w:hint="eastAsia" w:ascii="宋体" w:hAnsi="宋体" w:eastAsia="宋体" w:cs="宋体"/>
          <w:color w:val="auto"/>
          <w:sz w:val="21"/>
          <w:szCs w:val="21"/>
          <w:highlight w:val="none"/>
        </w:rPr>
        <w:t>▲</w:t>
      </w:r>
      <w:r>
        <w:rPr>
          <w:rFonts w:hint="eastAsia" w:ascii="宋体" w:hAnsi="宋体" w:eastAsia="宋体" w:cs="Arial"/>
          <w:color w:val="auto"/>
          <w:sz w:val="24"/>
          <w:highlight w:val="none"/>
        </w:rPr>
        <w:t>”号的条款或要求系指实质性条款或实质性要求。</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 供应商资格条件</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3.1 基本资格条件：见“供应商须知前附表”规定。</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3.2 供应商的特定要求：见“供应商须知前附表”规定。</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3.3 存在下列情形之一的供应商不得参加资格性审查： </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1）单位负责人为同一人或者存在直接控股、管理关系的不同供应商，不得参加本项目同一合同项下的政府采购活动。为本项目提供整体设计、规范编制或者项目管理、监理、检测等服务的供应商，不得再参加本项目的采购活动。 </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（2）在财政部门禁止参加政府采购活动期限以内的。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3.4 按本项目采购公告规定方式获得竞争性谈判文件。 </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3.5 本项目是否接受联合体竞标，见“供应商须知前附表”规定。</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4. 语言文字及计量单位</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除专用术语外，与采购有关的语言均使用中文。必要时专用术语应附有中文注释。所有计量均采用中华人民共和国法定计量单位。</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5. 竞标费用</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5.1供应商应自行承担所有与编写和提交响应文件有关的费用，不论谈判结果如何，采购人和采购代理机构在任何情况下无义务和责任承担此类费用。</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5.2本项目的招标代理服务费按须知</w:t>
      </w:r>
      <w:r>
        <w:rPr>
          <w:rFonts w:hint="eastAsia" w:ascii="宋体" w:hAnsi="宋体" w:eastAsia="宋体"/>
          <w:b/>
          <w:bCs/>
          <w:color w:val="auto"/>
          <w:sz w:val="24"/>
          <w:highlight w:val="none"/>
        </w:rPr>
        <w:t>前附表</w:t>
      </w:r>
      <w:r>
        <w:rPr>
          <w:rFonts w:hint="eastAsia" w:ascii="宋体" w:hAnsi="宋体" w:eastAsia="宋体"/>
          <w:color w:val="auto"/>
          <w:sz w:val="24"/>
          <w:highlight w:val="none"/>
        </w:rPr>
        <w:t>的规定执行，由成交供应商在领取成交通知书前，一次性向采购代理机构支付。</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6. 现场勘察</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olor w:val="auto"/>
          <w:sz w:val="24"/>
          <w:highlight w:val="none"/>
        </w:rPr>
        <w:t>6.1</w:t>
      </w:r>
      <w:r>
        <w:rPr>
          <w:rFonts w:hint="eastAsia" w:ascii="宋体" w:hAnsi="宋体" w:eastAsia="宋体" w:cs="Arial"/>
          <w:color w:val="auto"/>
          <w:sz w:val="24"/>
          <w:highlight w:val="none"/>
        </w:rPr>
        <w:t>前附表如规定现场踏勘的，供应商应按规定时间地点参加踏勘。</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6.2 供应商应承担现场勘察的责任和风险。勘查现场的费用由供应商自己承担。采购人</w:t>
      </w:r>
      <w:r>
        <w:rPr>
          <w:rFonts w:ascii="宋体" w:hAnsi="宋体" w:eastAsia="宋体"/>
          <w:color w:val="auto"/>
          <w:sz w:val="24"/>
          <w:highlight w:val="none"/>
        </w:rPr>
        <w:t>对</w:t>
      </w:r>
      <w:r>
        <w:rPr>
          <w:rFonts w:hint="eastAsia" w:ascii="宋体" w:hAnsi="宋体" w:eastAsia="宋体"/>
          <w:color w:val="auto"/>
          <w:sz w:val="24"/>
          <w:highlight w:val="none"/>
        </w:rPr>
        <w:t>供应商</w:t>
      </w:r>
      <w:r>
        <w:rPr>
          <w:rFonts w:ascii="宋体" w:hAnsi="宋体" w:eastAsia="宋体"/>
          <w:color w:val="auto"/>
          <w:sz w:val="24"/>
          <w:highlight w:val="none"/>
        </w:rPr>
        <w:t>由此而做出的推论、理解和结论概不负责。</w:t>
      </w:r>
    </w:p>
    <w:p>
      <w:pPr>
        <w:pStyle w:val="4"/>
        <w:spacing w:before="240" w:beforeLines="100" w:line="400" w:lineRule="exact"/>
        <w:rPr>
          <w:rFonts w:ascii="宋体" w:hAnsi="宋体" w:eastAsia="宋体"/>
          <w:color w:val="auto"/>
          <w:highlight w:val="none"/>
        </w:rPr>
      </w:pPr>
      <w:bookmarkStart w:id="58" w:name="_Toc13358"/>
      <w:bookmarkStart w:id="59" w:name="_Toc246095455"/>
      <w:bookmarkStart w:id="60" w:name="_Toc246095517"/>
      <w:bookmarkStart w:id="61" w:name="_Toc246094911"/>
      <w:r>
        <w:rPr>
          <w:rFonts w:hint="eastAsia" w:ascii="宋体" w:hAnsi="宋体" w:eastAsia="宋体"/>
          <w:color w:val="auto"/>
          <w:highlight w:val="none"/>
        </w:rPr>
        <w:t>二、竞争性谈判文件</w:t>
      </w:r>
      <w:bookmarkEnd w:id="58"/>
      <w:bookmarkEnd w:id="59"/>
      <w:bookmarkEnd w:id="60"/>
      <w:bookmarkEnd w:id="61"/>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7. 竞争性谈判文件的组成</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7.1 竞争性谈判文件包括下列内容：</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第一章 竞争性谈判公告</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第二章 供应商须知</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第三章 项目采购需求和说明</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第四章 评标办法</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第五章 合同条款</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第六章 响应文件格式</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7.2 除本供应商须知第7.1款所述的竞争性谈判文件内容外，采购人在采购期间、符合法定时间发出的答疑、澄清、修改或补充内容，均是竞争性谈判文件的组成部分，对采购人和供应商起约束作用。根据本章第8条、第9条对竞争性谈判文件所作的澄清、修改，构成竞争性谈判文件的组成部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7.3 供应商应认真审阅竞争性谈判文件。如果供应商编制的响应文件不符合竞争性谈判文件的要求，责任由供应商自负。实质上不响应竞争性谈判文件要求的响应文件将被采购人拒绝。</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8. 竞争性谈判文件的澄清</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8.1 供应商应仔细阅读和检查竞争性谈判文件的全部内容。如发现缺页、</w:t>
      </w:r>
      <w:r>
        <w:rPr>
          <w:rFonts w:hint="eastAsia" w:ascii="宋体" w:hAnsi="宋体" w:eastAsia="宋体" w:cs="Arial"/>
          <w:color w:val="auto"/>
          <w:sz w:val="24"/>
          <w:highlight w:val="none"/>
        </w:rPr>
        <w:t>有误或有不合理要求的</w:t>
      </w:r>
      <w:r>
        <w:rPr>
          <w:rFonts w:hint="eastAsia" w:ascii="宋体" w:hAnsi="宋体" w:eastAsia="宋体"/>
          <w:color w:val="auto"/>
          <w:sz w:val="24"/>
          <w:highlight w:val="none"/>
        </w:rPr>
        <w:t>，供应商必须在</w:t>
      </w:r>
      <w:r>
        <w:rPr>
          <w:rFonts w:ascii="宋体" w:hAnsi="宋体" w:eastAsia="宋体"/>
          <w:color w:val="auto"/>
          <w:sz w:val="24"/>
          <w:highlight w:val="none"/>
        </w:rPr>
        <w:t>提交首次响应文件截止之日前</w:t>
      </w:r>
      <w:r>
        <w:rPr>
          <w:rFonts w:hint="eastAsia" w:ascii="宋体" w:hAnsi="宋体" w:eastAsia="宋体"/>
          <w:color w:val="auto"/>
          <w:sz w:val="24"/>
          <w:highlight w:val="none"/>
        </w:rPr>
        <w:t>，以书面形式要求</w:t>
      </w:r>
      <w:r>
        <w:rPr>
          <w:rFonts w:ascii="宋体" w:hAnsi="宋体" w:eastAsia="宋体"/>
          <w:color w:val="auto"/>
          <w:sz w:val="24"/>
          <w:highlight w:val="none"/>
        </w:rPr>
        <w:t>采购人</w:t>
      </w:r>
      <w:r>
        <w:rPr>
          <w:rFonts w:hint="eastAsia" w:ascii="宋体" w:hAnsi="宋体" w:eastAsia="宋体"/>
          <w:color w:val="auto"/>
          <w:sz w:val="24"/>
          <w:highlight w:val="none"/>
        </w:rPr>
        <w:t>或</w:t>
      </w:r>
      <w:r>
        <w:rPr>
          <w:rFonts w:ascii="宋体" w:hAnsi="宋体" w:eastAsia="宋体"/>
          <w:color w:val="auto"/>
          <w:sz w:val="24"/>
          <w:highlight w:val="none"/>
        </w:rPr>
        <w:t>采购代理机构</w:t>
      </w:r>
      <w:r>
        <w:rPr>
          <w:rFonts w:hint="eastAsia" w:ascii="宋体" w:hAnsi="宋体" w:eastAsia="宋体"/>
          <w:color w:val="auto"/>
          <w:sz w:val="24"/>
          <w:highlight w:val="none"/>
        </w:rPr>
        <w:t>澄清。逾期不提出澄清要求视为对竞争性谈判文件无异议。</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olor w:val="auto"/>
          <w:sz w:val="24"/>
          <w:highlight w:val="none"/>
        </w:rPr>
        <w:t>8.2</w:t>
      </w:r>
      <w:r>
        <w:rPr>
          <w:rFonts w:ascii="宋体" w:hAnsi="宋体" w:eastAsia="宋体"/>
          <w:color w:val="auto"/>
          <w:sz w:val="24"/>
          <w:highlight w:val="none"/>
        </w:rPr>
        <w:t>采购人、采购代理机构可以对已发出的谈判文件进行必要的澄清，澄清的内容作为谈判文件的组成部分。澄清的内容可能影响响应文件编制的，</w:t>
      </w:r>
      <w:r>
        <w:rPr>
          <w:rFonts w:hint="eastAsia" w:ascii="宋体" w:hAnsi="宋体" w:eastAsia="宋体"/>
          <w:color w:val="auto"/>
          <w:sz w:val="24"/>
          <w:highlight w:val="none"/>
        </w:rPr>
        <w:t>谈判文件的澄清将在</w:t>
      </w:r>
      <w:r>
        <w:rPr>
          <w:rFonts w:hint="eastAsia" w:ascii="宋体" w:hAnsi="宋体" w:eastAsia="宋体" w:cs="Arial"/>
          <w:color w:val="auto"/>
          <w:sz w:val="24"/>
          <w:highlight w:val="none"/>
        </w:rPr>
        <w:t>提交首次响应文件截止之日3</w:t>
      </w:r>
      <w:r>
        <w:rPr>
          <w:rFonts w:hint="eastAsia" w:ascii="宋体" w:hAnsi="宋体" w:eastAsia="宋体"/>
          <w:color w:val="auto"/>
          <w:sz w:val="24"/>
          <w:highlight w:val="none"/>
        </w:rPr>
        <w:t>个工作日前以书面形式（</w:t>
      </w:r>
      <w:r>
        <w:rPr>
          <w:rFonts w:hint="eastAsia" w:ascii="宋体" w:hAnsi="宋体" w:eastAsia="宋体" w:cs="Arial"/>
          <w:color w:val="auto"/>
          <w:sz w:val="24"/>
          <w:highlight w:val="none"/>
        </w:rPr>
        <w:t>在发布竞争性谈判公告的政府采购信息发布媒体上发布</w:t>
      </w:r>
      <w:r>
        <w:rPr>
          <w:rFonts w:hint="eastAsia" w:ascii="宋体" w:hAnsi="宋体" w:eastAsia="宋体"/>
          <w:color w:val="auto"/>
          <w:sz w:val="24"/>
          <w:highlight w:val="none"/>
        </w:rPr>
        <w:t>）发给所有购买竞争性谈判文件的供应商，但不指明澄清问题的来源，供应商未及时关注采购代理机构在公告发布媒介上发布的澄清文件造成的损失，由供应商自行负责。</w:t>
      </w:r>
      <w:r>
        <w:rPr>
          <w:rFonts w:ascii="宋体" w:hAnsi="宋体" w:eastAsia="宋体"/>
          <w:color w:val="auto"/>
          <w:sz w:val="24"/>
          <w:highlight w:val="none"/>
        </w:rPr>
        <w:t>不足3个工作日的，</w:t>
      </w:r>
      <w:r>
        <w:rPr>
          <w:rFonts w:hint="eastAsia" w:ascii="宋体" w:hAnsi="宋体" w:eastAsia="宋体"/>
          <w:color w:val="auto"/>
          <w:sz w:val="24"/>
          <w:highlight w:val="none"/>
        </w:rPr>
        <w:t>将</w:t>
      </w:r>
      <w:r>
        <w:rPr>
          <w:rFonts w:ascii="宋体" w:hAnsi="宋体" w:eastAsia="宋体"/>
          <w:color w:val="auto"/>
          <w:sz w:val="24"/>
          <w:highlight w:val="none"/>
        </w:rPr>
        <w:t>顺延提交首次响应文件截止之日</w:t>
      </w:r>
      <w:r>
        <w:rPr>
          <w:rFonts w:hint="eastAsia" w:ascii="宋体" w:hAnsi="宋体" w:eastAsia="宋体"/>
          <w:color w:val="auto"/>
          <w:sz w:val="24"/>
          <w:highlight w:val="none"/>
        </w:rPr>
        <w:t>。</w:t>
      </w:r>
      <w:r>
        <w:rPr>
          <w:rFonts w:hint="eastAsia" w:ascii="宋体" w:hAnsi="宋体" w:eastAsia="宋体" w:cs="Arial"/>
          <w:color w:val="auto"/>
          <w:sz w:val="24"/>
          <w:highlight w:val="none"/>
        </w:rPr>
        <w:t>该澄清的内容为谈判文件的组成部分。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s="Arial"/>
          <w:color w:val="auto"/>
          <w:sz w:val="24"/>
          <w:highlight w:val="none"/>
        </w:rPr>
        <w:t>8.3当谈判文件与谈判文件的澄清就同一内容的表述不一致时，以最后发出的公告或书面文件为准。</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9. 竞争性谈判文件的修改</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9.1</w:t>
      </w:r>
      <w:r>
        <w:rPr>
          <w:rFonts w:ascii="宋体" w:hAnsi="宋体" w:eastAsia="宋体"/>
          <w:color w:val="auto"/>
          <w:sz w:val="24"/>
          <w:highlight w:val="none"/>
        </w:rPr>
        <w:t>采购人、采购代理机构可以对已发出的谈判文件进行必要的</w:t>
      </w:r>
      <w:r>
        <w:rPr>
          <w:rFonts w:hint="eastAsia" w:ascii="宋体" w:hAnsi="宋体" w:eastAsia="宋体"/>
          <w:color w:val="auto"/>
          <w:sz w:val="24"/>
          <w:highlight w:val="none"/>
        </w:rPr>
        <w:t>修改</w:t>
      </w:r>
      <w:r>
        <w:rPr>
          <w:rFonts w:ascii="宋体" w:hAnsi="宋体" w:eastAsia="宋体"/>
          <w:color w:val="auto"/>
          <w:sz w:val="24"/>
          <w:highlight w:val="none"/>
        </w:rPr>
        <w:t>，</w:t>
      </w:r>
      <w:r>
        <w:rPr>
          <w:rFonts w:hint="eastAsia" w:ascii="宋体" w:hAnsi="宋体" w:eastAsia="宋体"/>
          <w:color w:val="auto"/>
          <w:sz w:val="24"/>
          <w:highlight w:val="none"/>
        </w:rPr>
        <w:t>修改</w:t>
      </w:r>
      <w:r>
        <w:rPr>
          <w:rFonts w:ascii="宋体" w:hAnsi="宋体" w:eastAsia="宋体"/>
          <w:color w:val="auto"/>
          <w:sz w:val="24"/>
          <w:highlight w:val="none"/>
        </w:rPr>
        <w:t>的内容作为谈判文件的组成部分。</w:t>
      </w:r>
      <w:r>
        <w:rPr>
          <w:rFonts w:hint="eastAsia" w:ascii="宋体" w:hAnsi="宋体" w:eastAsia="宋体"/>
          <w:color w:val="auto"/>
          <w:sz w:val="24"/>
          <w:highlight w:val="none"/>
        </w:rPr>
        <w:t>修改</w:t>
      </w:r>
      <w:r>
        <w:rPr>
          <w:rFonts w:ascii="宋体" w:hAnsi="宋体" w:eastAsia="宋体"/>
          <w:color w:val="auto"/>
          <w:sz w:val="24"/>
          <w:highlight w:val="none"/>
        </w:rPr>
        <w:t>的内容可能影响响应文件编制的，</w:t>
      </w:r>
      <w:r>
        <w:rPr>
          <w:rFonts w:hint="eastAsia" w:ascii="宋体" w:hAnsi="宋体" w:eastAsia="宋体"/>
          <w:color w:val="auto"/>
          <w:sz w:val="24"/>
          <w:highlight w:val="none"/>
        </w:rPr>
        <w:t>谈判文件的修改将在</w:t>
      </w:r>
      <w:r>
        <w:rPr>
          <w:rFonts w:hint="eastAsia" w:ascii="宋体" w:hAnsi="宋体" w:eastAsia="宋体" w:cs="Arial"/>
          <w:color w:val="auto"/>
          <w:sz w:val="24"/>
          <w:highlight w:val="none"/>
        </w:rPr>
        <w:t>提交首次响应文件截止之日3</w:t>
      </w:r>
      <w:r>
        <w:rPr>
          <w:rFonts w:hint="eastAsia" w:ascii="宋体" w:hAnsi="宋体" w:eastAsia="宋体"/>
          <w:color w:val="auto"/>
          <w:sz w:val="24"/>
          <w:highlight w:val="none"/>
        </w:rPr>
        <w:t>个工作日前以书面形式（</w:t>
      </w:r>
      <w:r>
        <w:rPr>
          <w:rFonts w:hint="eastAsia" w:ascii="宋体" w:hAnsi="宋体" w:eastAsia="宋体" w:cs="Arial"/>
          <w:color w:val="auto"/>
          <w:sz w:val="24"/>
          <w:highlight w:val="none"/>
        </w:rPr>
        <w:t>在发布竞争性谈判公告的政府采购信息发布媒体上发布</w:t>
      </w:r>
      <w:r>
        <w:rPr>
          <w:rFonts w:hint="eastAsia" w:ascii="宋体" w:hAnsi="宋体" w:eastAsia="宋体"/>
          <w:color w:val="auto"/>
          <w:sz w:val="24"/>
          <w:highlight w:val="none"/>
        </w:rPr>
        <w:t>）发给所有购买竞争性谈判文件的供应商，供应商未及时关注采购代理机构在公告发布媒介上发布的修改文件造成的损失，由供应商自行负责。</w:t>
      </w:r>
      <w:r>
        <w:rPr>
          <w:rFonts w:ascii="宋体" w:hAnsi="宋体" w:eastAsia="宋体"/>
          <w:color w:val="auto"/>
          <w:sz w:val="24"/>
          <w:highlight w:val="none"/>
        </w:rPr>
        <w:t>不足3个工作日的，</w:t>
      </w:r>
      <w:r>
        <w:rPr>
          <w:rFonts w:hint="eastAsia" w:ascii="宋体" w:hAnsi="宋体" w:eastAsia="宋体"/>
          <w:color w:val="auto"/>
          <w:sz w:val="24"/>
          <w:highlight w:val="none"/>
        </w:rPr>
        <w:t>将</w:t>
      </w:r>
      <w:r>
        <w:rPr>
          <w:rFonts w:ascii="宋体" w:hAnsi="宋体" w:eastAsia="宋体"/>
          <w:color w:val="auto"/>
          <w:sz w:val="24"/>
          <w:highlight w:val="none"/>
        </w:rPr>
        <w:t>顺延提交首次响应文件截止之日</w:t>
      </w:r>
      <w:r>
        <w:rPr>
          <w:rFonts w:hint="eastAsia" w:ascii="宋体" w:hAnsi="宋体" w:eastAsia="宋体"/>
          <w:color w:val="auto"/>
          <w:sz w:val="24"/>
          <w:highlight w:val="none"/>
        </w:rPr>
        <w:t>。</w:t>
      </w:r>
      <w:r>
        <w:rPr>
          <w:rFonts w:hint="eastAsia" w:ascii="宋体" w:hAnsi="宋体" w:eastAsia="宋体" w:cs="Arial"/>
          <w:color w:val="auto"/>
          <w:sz w:val="24"/>
          <w:highlight w:val="none"/>
        </w:rPr>
        <w:t>该修改的内容为谈判文件的组成部分。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9.2</w:t>
      </w:r>
      <w:r>
        <w:rPr>
          <w:rFonts w:hint="eastAsia" w:ascii="宋体" w:hAnsi="宋体" w:eastAsia="宋体" w:cs="Arial"/>
          <w:color w:val="auto"/>
          <w:sz w:val="24"/>
          <w:highlight w:val="none"/>
        </w:rPr>
        <w:t>当谈判文件与谈判文件的修改就同一内容的表述不一致时，以最后发出的公告或书面文件为准。</w:t>
      </w:r>
    </w:p>
    <w:p>
      <w:pPr>
        <w:pStyle w:val="4"/>
        <w:spacing w:before="240" w:beforeLines="100" w:line="400" w:lineRule="exact"/>
        <w:rPr>
          <w:rFonts w:ascii="宋体" w:hAnsi="宋体" w:eastAsia="宋体"/>
          <w:color w:val="auto"/>
          <w:highlight w:val="none"/>
        </w:rPr>
      </w:pPr>
      <w:bookmarkStart w:id="62" w:name="_Toc27175"/>
      <w:bookmarkStart w:id="63" w:name="_Toc246095518"/>
      <w:bookmarkStart w:id="64" w:name="_Toc246095456"/>
      <w:bookmarkStart w:id="65" w:name="_Toc246094912"/>
      <w:r>
        <w:rPr>
          <w:rFonts w:hint="eastAsia" w:ascii="宋体" w:hAnsi="宋体" w:eastAsia="宋体"/>
          <w:color w:val="auto"/>
          <w:highlight w:val="none"/>
        </w:rPr>
        <w:t>三、响应文件</w:t>
      </w:r>
      <w:bookmarkEnd w:id="62"/>
      <w:bookmarkEnd w:id="63"/>
      <w:bookmarkEnd w:id="64"/>
      <w:bookmarkEnd w:id="65"/>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10. 响应文件的组成</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10.1响应文件应分为价格文件和商务技术文件两个部分组成。</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10.1.1价格文件：</w:t>
      </w:r>
      <w:r>
        <w:rPr>
          <w:rFonts w:ascii="宋体" w:hAnsi="宋体" w:eastAsia="宋体"/>
          <w:color w:val="auto"/>
          <w:sz w:val="24"/>
          <w:highlight w:val="none"/>
        </w:rPr>
        <w:t>具体材料见“</w:t>
      </w:r>
      <w:r>
        <w:rPr>
          <w:rFonts w:hint="eastAsia" w:ascii="宋体" w:hAnsi="宋体" w:eastAsia="宋体"/>
          <w:color w:val="auto"/>
          <w:sz w:val="24"/>
          <w:highlight w:val="none"/>
        </w:rPr>
        <w:t>供应商</w:t>
      </w:r>
      <w:r>
        <w:rPr>
          <w:rFonts w:ascii="宋体" w:hAnsi="宋体" w:eastAsia="宋体"/>
          <w:color w:val="auto"/>
          <w:sz w:val="24"/>
          <w:highlight w:val="none"/>
        </w:rPr>
        <w:t>须知前附表”</w:t>
      </w:r>
      <w:r>
        <w:rPr>
          <w:rFonts w:hint="eastAsia" w:ascii="宋体" w:hAnsi="宋体" w:eastAsia="宋体"/>
          <w:color w:val="auto"/>
          <w:sz w:val="24"/>
          <w:highlight w:val="none"/>
        </w:rPr>
        <w:t>。</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10.1.2 商务技术文件：</w:t>
      </w:r>
      <w:r>
        <w:rPr>
          <w:rFonts w:ascii="宋体" w:hAnsi="宋体" w:eastAsia="宋体"/>
          <w:color w:val="auto"/>
          <w:sz w:val="24"/>
          <w:highlight w:val="none"/>
        </w:rPr>
        <w:t>具体材料见“</w:t>
      </w:r>
      <w:r>
        <w:rPr>
          <w:rFonts w:hint="eastAsia" w:ascii="宋体" w:hAnsi="宋体" w:eastAsia="宋体"/>
          <w:color w:val="auto"/>
          <w:sz w:val="24"/>
          <w:highlight w:val="none"/>
        </w:rPr>
        <w:t>供应商</w:t>
      </w:r>
      <w:r>
        <w:rPr>
          <w:rFonts w:ascii="宋体" w:hAnsi="宋体" w:eastAsia="宋体"/>
          <w:color w:val="auto"/>
          <w:sz w:val="24"/>
          <w:highlight w:val="none"/>
        </w:rPr>
        <w:t>须知前附表”</w:t>
      </w:r>
      <w:r>
        <w:rPr>
          <w:rFonts w:hint="eastAsia" w:ascii="宋体" w:hAnsi="宋体" w:eastAsia="宋体"/>
          <w:color w:val="auto"/>
          <w:sz w:val="24"/>
          <w:highlight w:val="none"/>
        </w:rPr>
        <w:t>。</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10.2 供应商应按照采购人提供的响应文件格式和顺序，自行编制响应文件，响应文件应包含本须知第10.1条中规定的内容，但表格可以按同样格式扩展。</w:t>
      </w:r>
      <w:bookmarkStart w:id="66" w:name="_Toc219773118"/>
    </w:p>
    <w:bookmarkEnd w:id="66"/>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11. 谈判报价</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11.1响应文件中的报价均采用人民币表示。谈判报价应按谈判文件中相关附表格式填写。</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11.2</w:t>
      </w:r>
      <w:r>
        <w:rPr>
          <w:rFonts w:hint="eastAsia" w:ascii="宋体" w:hAnsi="宋体" w:eastAsia="宋体" w:cs="Arial"/>
          <w:color w:val="auto"/>
          <w:sz w:val="24"/>
          <w:highlight w:val="none"/>
        </w:rPr>
        <w:t>最后谈判报价是履行合同的最终价格。应包括第三章“</w:t>
      </w:r>
      <w:r>
        <w:rPr>
          <w:rFonts w:hint="eastAsia" w:ascii="宋体" w:hAnsi="宋体" w:eastAsia="宋体"/>
          <w:color w:val="auto"/>
          <w:sz w:val="24"/>
          <w:highlight w:val="none"/>
        </w:rPr>
        <w:t>项目采购需求和说明</w:t>
      </w:r>
      <w:r>
        <w:rPr>
          <w:rFonts w:hint="eastAsia" w:ascii="宋体" w:hAnsi="宋体" w:eastAsia="宋体" w:cs="Arial"/>
          <w:color w:val="auto"/>
          <w:sz w:val="24"/>
          <w:highlight w:val="none"/>
        </w:rPr>
        <w:t>”规定的各项价格</w:t>
      </w:r>
      <w:r>
        <w:rPr>
          <w:rFonts w:hint="eastAsia" w:ascii="宋体" w:hAnsi="宋体" w:eastAsia="宋体"/>
          <w:color w:val="auto"/>
          <w:sz w:val="24"/>
          <w:highlight w:val="none"/>
        </w:rPr>
        <w:t>。若无特殊规定，报价包含完成本项目所有内容所需的一</w:t>
      </w:r>
      <w:r>
        <w:rPr>
          <w:rFonts w:hint="eastAsia" w:ascii="宋体" w:hAnsi="宋体" w:eastAsia="宋体" w:cs="Arial"/>
          <w:color w:val="auto"/>
          <w:sz w:val="24"/>
          <w:highlight w:val="none"/>
        </w:rPr>
        <w:t>切费用（包括但不限于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以及合同明示或暗示的所有责任</w:t>
      </w:r>
      <w:r>
        <w:rPr>
          <w:rFonts w:hint="eastAsia" w:ascii="宋体" w:hAnsi="宋体" w:eastAsia="宋体"/>
          <w:color w:val="auto"/>
          <w:sz w:val="24"/>
          <w:highlight w:val="none"/>
        </w:rPr>
        <w:t>、义务和一般风险等一切费用。</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11.3对于本文件中未列明，而供应商认为必需的费用也需列入总报价。在合同实施时，采购人将不予支付成交供应商没有列入的项目费用，并认为此项目的费用已包括在总报价中。</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11.4供应商必须就所竞项目（或分标）的全部内容作完整唯一报价，漏项报价的或有选择的或有条件的报价，其竞标将视为无效。</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11.5供应商的报价超出采购预算价或最高限价（如有）的，其竞标无效。</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12. 响应有效期</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12.1在供应商须知前附表规定的响应有效期内，供应商不得要求撤销或修改其响应文件。</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12.2 出现特殊情况需要延长响应有效期的，采购人以书面形式通知所有供应商延长响应有效期。供应商同意延长的，应相应延长其谈判保证金的有效期，但不得要求或被允许修改或撤销其响应文件；供应商拒绝延长的，其报价失效，但供应商有权收回其谈判保证金。</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13. 谈判保证金</w:t>
      </w:r>
    </w:p>
    <w:p>
      <w:pPr>
        <w:spacing w:after="0" w:line="400" w:lineRule="exact"/>
        <w:ind w:firstLine="480" w:firstLineChars="200"/>
        <w:rPr>
          <w:rFonts w:ascii="宋体" w:hAnsi="宋体" w:eastAsia="宋体"/>
          <w:b/>
          <w:color w:val="auto"/>
          <w:sz w:val="24"/>
          <w:highlight w:val="none"/>
        </w:rPr>
      </w:pPr>
      <w:r>
        <w:rPr>
          <w:rFonts w:hint="eastAsia" w:ascii="宋体" w:hAnsi="宋体" w:eastAsia="宋体"/>
          <w:color w:val="auto"/>
          <w:sz w:val="24"/>
          <w:highlight w:val="none"/>
        </w:rPr>
        <w:t>13.1 供应商应按供应商须知前附表规定的数额、方式要求交纳谈判保证金，</w:t>
      </w:r>
      <w:r>
        <w:rPr>
          <w:rFonts w:hint="eastAsia" w:ascii="宋体" w:hAnsi="宋体" w:eastAsia="宋体"/>
          <w:b/>
          <w:color w:val="auto"/>
          <w:sz w:val="24"/>
          <w:highlight w:val="none"/>
        </w:rPr>
        <w:t>否则其竞标无效。</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13.2办理谈判保证金手续时，请务必在银行进账单或电汇单的用途或空白栏上注明项目名称或采购编号，以免耽误谈判。对未按采购文件要求缴纳谈判保证金的响应文件，采购代理机构将视其为不响应谈判条件而予以拒绝。</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13.3</w:t>
      </w:r>
      <w:r>
        <w:rPr>
          <w:rFonts w:hint="eastAsia" w:ascii="宋体" w:hAnsi="宋体" w:eastAsia="宋体" w:cs="Arial"/>
          <w:color w:val="auto"/>
          <w:sz w:val="24"/>
          <w:highlight w:val="none"/>
        </w:rPr>
        <w:t>未成交供应商的谈判保证金在成交通知书发出后5个工作日内退还</w:t>
      </w:r>
      <w:r>
        <w:rPr>
          <w:rFonts w:hint="eastAsia" w:ascii="宋体" w:hAnsi="宋体" w:eastAsia="宋体"/>
          <w:color w:val="auto"/>
          <w:sz w:val="24"/>
          <w:highlight w:val="none"/>
        </w:rPr>
        <w:t>（不计利息）。成交人的谈判保证金，在成交人与采购人签订合同后 5个工作日内退还。谈判保证金一律以转账方式退还，不计利息。</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13.4 如供应商有下列情形之一的，其谈判保证金将不予退还：</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（一）供应商在提交响应文件截止时间后撤回响应文件的；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（二）供应商在响应文件中提供虚假材料的；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（三）除因不可抗力或谈判文件认可的情形以外，成交供应商不与采购人签订合同的；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（四）供应商与采购人、其他供应商或者采购代理机构恶意串通的；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（五）成交人在收到成交通知书后，未按竞争性谈判文件规定提交履约保证金；</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s="Arial"/>
          <w:color w:val="auto"/>
          <w:sz w:val="24"/>
          <w:highlight w:val="none"/>
        </w:rPr>
        <w:t>（六）法律法规</w:t>
      </w:r>
      <w:r>
        <w:rPr>
          <w:rFonts w:ascii="宋体" w:hAnsi="宋体" w:eastAsia="宋体" w:cs="Arial"/>
          <w:color w:val="auto"/>
          <w:sz w:val="24"/>
          <w:highlight w:val="none"/>
        </w:rPr>
        <w:t>规定的其他情形</w:t>
      </w:r>
      <w:r>
        <w:rPr>
          <w:rFonts w:hint="eastAsia" w:ascii="宋体" w:hAnsi="宋体" w:eastAsia="宋体" w:cs="Arial"/>
          <w:color w:val="auto"/>
          <w:sz w:val="24"/>
          <w:highlight w:val="none"/>
        </w:rPr>
        <w:t>。</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14. 响应文件编制</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14.1 响应文件应按第六章“响应文件格式”进行编写，如有必要，可以增加附页，作为响应文件的组成部分。</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14.2 </w:t>
      </w:r>
      <w:r>
        <w:rPr>
          <w:rFonts w:hint="eastAsia" w:ascii="宋体" w:hAnsi="宋体" w:eastAsia="宋体"/>
          <w:color w:val="auto"/>
          <w:sz w:val="24"/>
          <w:highlight w:val="none"/>
        </w:rPr>
        <w:t>供应商应按本文件规定的格式和顺序编制、装订响应文件并编制完整的页码、目录，响应文件内容不完整、编排混乱导致响应文件被误读、漏读或者查找不到相关内容，后果由供应商自行负责。</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14.3 响应文件应无涂改、行间插字或删除，如果出现上述情况，改动之处应加盖单位章或由供应商的法定代表人或其授权的代理人签字确认。响应文件因字迹潦草或表达不清所引起的后果由供应商负责。</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14.4 响应文件正本一份，副本份数见供应商须知前附表。正本和副本的封面上应清楚地标记“正本”或“副本”的字样。</w:t>
      </w:r>
      <w:r>
        <w:rPr>
          <w:rFonts w:hint="eastAsia" w:ascii="宋体" w:hAnsi="宋体" w:eastAsia="宋体"/>
          <w:b/>
          <w:color w:val="auto"/>
          <w:sz w:val="24"/>
          <w:highlight w:val="none"/>
        </w:rPr>
        <w:t>副本可为已按要求签字盖章的正本的复印件</w:t>
      </w:r>
      <w:r>
        <w:rPr>
          <w:rFonts w:hint="eastAsia" w:ascii="宋体" w:hAnsi="宋体" w:eastAsia="宋体"/>
          <w:color w:val="auto"/>
          <w:sz w:val="24"/>
          <w:highlight w:val="none"/>
        </w:rPr>
        <w:t>，当副本和正本不一致时，以正本为准。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14.5响应文件的正本与副本应分别装订成册，并编制目录和页码。</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15. 响应文件的密封和标识</w:t>
      </w:r>
    </w:p>
    <w:p>
      <w:pPr>
        <w:spacing w:after="0" w:line="400" w:lineRule="exact"/>
        <w:ind w:firstLine="488" w:firstLineChars="200"/>
        <w:rPr>
          <w:rFonts w:ascii="宋体" w:hAnsi="宋体" w:eastAsia="宋体"/>
          <w:color w:val="auto"/>
          <w:sz w:val="24"/>
          <w:highlight w:val="none"/>
        </w:rPr>
      </w:pPr>
      <w:r>
        <w:rPr>
          <w:rFonts w:hint="eastAsia" w:ascii="宋体" w:hAnsi="宋体" w:eastAsia="宋体" w:cs="Courier New"/>
          <w:color w:val="auto"/>
          <w:spacing w:val="2"/>
          <w:sz w:val="24"/>
          <w:highlight w:val="none"/>
        </w:rPr>
        <w:t>15.1 将响应文件</w:t>
      </w:r>
      <w:r>
        <w:rPr>
          <w:rFonts w:hint="eastAsia" w:ascii="宋体" w:hAnsi="宋体" w:eastAsia="宋体" w:cs="宋体"/>
          <w:color w:val="auto"/>
          <w:sz w:val="24"/>
          <w:highlight w:val="none"/>
        </w:rPr>
        <w:t>“价格文件”书面版本</w:t>
      </w:r>
      <w:r>
        <w:rPr>
          <w:rFonts w:hint="eastAsia" w:ascii="宋体" w:hAnsi="宋体" w:eastAsia="宋体" w:cs="Courier New"/>
          <w:color w:val="auto"/>
          <w:spacing w:val="2"/>
          <w:sz w:val="24"/>
          <w:highlight w:val="none"/>
        </w:rPr>
        <w:t>的正本和全部副本</w:t>
      </w:r>
      <w:r>
        <w:rPr>
          <w:rFonts w:hint="eastAsia" w:ascii="宋体" w:hAnsi="宋体" w:eastAsia="宋体"/>
          <w:color w:val="auto"/>
          <w:sz w:val="24"/>
          <w:highlight w:val="none"/>
        </w:rPr>
        <w:t>密封在一个包封内。</w:t>
      </w:r>
      <w:r>
        <w:rPr>
          <w:rFonts w:hint="eastAsia" w:ascii="宋体" w:hAnsi="宋体" w:eastAsia="宋体" w:cs="Courier New"/>
          <w:color w:val="auto"/>
          <w:spacing w:val="2"/>
          <w:sz w:val="24"/>
          <w:highlight w:val="none"/>
        </w:rPr>
        <w:t>内层包封上应写明“</w:t>
      </w:r>
      <w:r>
        <w:rPr>
          <w:rFonts w:hint="eastAsia" w:ascii="宋体" w:hAnsi="宋体" w:eastAsia="宋体" w:cs="宋体"/>
          <w:color w:val="auto"/>
          <w:sz w:val="24"/>
          <w:highlight w:val="none"/>
        </w:rPr>
        <w:t>价格文件、</w:t>
      </w:r>
      <w:r>
        <w:rPr>
          <w:rFonts w:hint="eastAsia" w:ascii="宋体" w:hAnsi="宋体" w:eastAsia="宋体" w:cs="Courier New"/>
          <w:color w:val="auto"/>
          <w:spacing w:val="2"/>
          <w:sz w:val="24"/>
          <w:highlight w:val="none"/>
        </w:rPr>
        <w:t>供应商名称和地址、项目名称、采购编号”</w:t>
      </w:r>
      <w:r>
        <w:rPr>
          <w:rFonts w:hint="eastAsia" w:ascii="宋体" w:hAnsi="宋体" w:eastAsia="宋体"/>
          <w:color w:val="auto"/>
          <w:sz w:val="24"/>
          <w:highlight w:val="none"/>
        </w:rPr>
        <w:t>字样；</w:t>
      </w:r>
    </w:p>
    <w:p>
      <w:pPr>
        <w:spacing w:after="0" w:line="400" w:lineRule="exact"/>
        <w:ind w:firstLine="488" w:firstLineChars="200"/>
        <w:rPr>
          <w:rFonts w:ascii="宋体" w:hAnsi="宋体" w:eastAsia="宋体"/>
          <w:color w:val="auto"/>
          <w:sz w:val="24"/>
          <w:highlight w:val="none"/>
        </w:rPr>
      </w:pPr>
      <w:r>
        <w:rPr>
          <w:rFonts w:hint="eastAsia" w:ascii="宋体" w:hAnsi="宋体" w:eastAsia="宋体" w:cs="Courier New"/>
          <w:color w:val="auto"/>
          <w:spacing w:val="2"/>
          <w:sz w:val="24"/>
          <w:highlight w:val="none"/>
        </w:rPr>
        <w:t>15.2 将响应文件</w:t>
      </w:r>
      <w:r>
        <w:rPr>
          <w:rFonts w:hint="eastAsia" w:ascii="宋体" w:hAnsi="宋体" w:eastAsia="宋体" w:cs="宋体"/>
          <w:color w:val="auto"/>
          <w:sz w:val="24"/>
          <w:highlight w:val="none"/>
        </w:rPr>
        <w:t>“商务技术文件”书面版本</w:t>
      </w:r>
      <w:r>
        <w:rPr>
          <w:rFonts w:hint="eastAsia" w:ascii="宋体" w:hAnsi="宋体" w:eastAsia="宋体" w:cs="Courier New"/>
          <w:color w:val="auto"/>
          <w:spacing w:val="2"/>
          <w:sz w:val="24"/>
          <w:highlight w:val="none"/>
        </w:rPr>
        <w:t>的正本和全部副本</w:t>
      </w:r>
      <w:r>
        <w:rPr>
          <w:rFonts w:hint="eastAsia" w:ascii="宋体" w:hAnsi="宋体" w:eastAsia="宋体"/>
          <w:color w:val="auto"/>
          <w:sz w:val="24"/>
          <w:highlight w:val="none"/>
        </w:rPr>
        <w:t>密封在一个包封内。</w:t>
      </w:r>
      <w:r>
        <w:rPr>
          <w:rFonts w:hint="eastAsia" w:ascii="宋体" w:hAnsi="宋体" w:eastAsia="宋体" w:cs="Courier New"/>
          <w:color w:val="auto"/>
          <w:spacing w:val="2"/>
          <w:sz w:val="24"/>
          <w:highlight w:val="none"/>
        </w:rPr>
        <w:t>内层包封上应写明“</w:t>
      </w:r>
      <w:r>
        <w:rPr>
          <w:rFonts w:hint="eastAsia" w:ascii="宋体" w:hAnsi="宋体" w:eastAsia="宋体" w:cs="宋体"/>
          <w:color w:val="auto"/>
          <w:sz w:val="24"/>
          <w:highlight w:val="none"/>
        </w:rPr>
        <w:t>商务技术文件、</w:t>
      </w:r>
      <w:r>
        <w:rPr>
          <w:rFonts w:hint="eastAsia" w:ascii="宋体" w:hAnsi="宋体" w:eastAsia="宋体" w:cs="Courier New"/>
          <w:color w:val="auto"/>
          <w:spacing w:val="2"/>
          <w:sz w:val="24"/>
          <w:highlight w:val="none"/>
        </w:rPr>
        <w:t>供应商名称和地址、项目名称、采购编号”</w:t>
      </w:r>
      <w:r>
        <w:rPr>
          <w:rFonts w:hint="eastAsia" w:ascii="宋体" w:hAnsi="宋体" w:eastAsia="宋体"/>
          <w:color w:val="auto"/>
          <w:sz w:val="24"/>
          <w:highlight w:val="none"/>
        </w:rPr>
        <w:t>字样；</w:t>
      </w:r>
    </w:p>
    <w:p>
      <w:pPr>
        <w:spacing w:after="0" w:line="400" w:lineRule="exact"/>
        <w:ind w:firstLine="488" w:firstLineChars="200"/>
        <w:rPr>
          <w:rFonts w:ascii="宋体" w:hAnsi="宋体" w:eastAsia="宋体"/>
          <w:color w:val="auto"/>
          <w:sz w:val="24"/>
          <w:highlight w:val="none"/>
        </w:rPr>
      </w:pPr>
      <w:r>
        <w:rPr>
          <w:rFonts w:hint="eastAsia" w:ascii="宋体" w:hAnsi="宋体" w:eastAsia="宋体" w:cs="Courier New"/>
          <w:color w:val="auto"/>
          <w:spacing w:val="2"/>
          <w:sz w:val="24"/>
          <w:highlight w:val="none"/>
        </w:rPr>
        <w:t xml:space="preserve">15.3 </w:t>
      </w:r>
      <w:r>
        <w:rPr>
          <w:rFonts w:hint="eastAsia" w:ascii="宋体" w:hAnsi="宋体" w:eastAsia="宋体"/>
          <w:color w:val="auto"/>
          <w:sz w:val="24"/>
          <w:highlight w:val="none"/>
        </w:rPr>
        <w:t>将按上述第15.1项至第15.2项的规定包封好的“</w:t>
      </w:r>
      <w:r>
        <w:rPr>
          <w:rFonts w:hint="eastAsia" w:ascii="宋体" w:hAnsi="宋体" w:eastAsia="宋体" w:cs="宋体"/>
          <w:color w:val="auto"/>
          <w:sz w:val="24"/>
          <w:highlight w:val="none"/>
        </w:rPr>
        <w:t>价格文件</w:t>
      </w:r>
      <w:r>
        <w:rPr>
          <w:rFonts w:hint="eastAsia" w:ascii="宋体" w:hAnsi="宋体" w:eastAsia="宋体"/>
          <w:color w:val="auto"/>
          <w:sz w:val="24"/>
          <w:highlight w:val="none"/>
        </w:rPr>
        <w:t>”、“</w:t>
      </w:r>
      <w:r>
        <w:rPr>
          <w:rFonts w:hint="eastAsia" w:ascii="宋体" w:hAnsi="宋体" w:eastAsia="宋体" w:cs="宋体"/>
          <w:color w:val="auto"/>
          <w:sz w:val="24"/>
          <w:highlight w:val="none"/>
        </w:rPr>
        <w:t>商务技术文件</w:t>
      </w:r>
      <w:r>
        <w:rPr>
          <w:rFonts w:hint="eastAsia" w:ascii="宋体" w:hAnsi="宋体" w:eastAsia="宋体"/>
          <w:color w:val="auto"/>
          <w:sz w:val="24"/>
          <w:highlight w:val="none"/>
        </w:rPr>
        <w:t>”全部密封在一个外层包封内。在外层包封上写明</w:t>
      </w:r>
      <w:r>
        <w:rPr>
          <w:rFonts w:hint="eastAsia" w:ascii="宋体" w:hAnsi="宋体" w:eastAsia="宋体" w:cs="Arial"/>
          <w:color w:val="auto"/>
          <w:sz w:val="24"/>
          <w:highlight w:val="none"/>
        </w:rPr>
        <w:t>供应商名称、供应商地址、项目名称、采购编号、分包号或标段号（如有）等字样，并加盖供应商公章。</w:t>
      </w:r>
    </w:p>
    <w:p>
      <w:pPr>
        <w:spacing w:after="0" w:line="400" w:lineRule="exact"/>
        <w:ind w:firstLine="490" w:firstLineChars="200"/>
        <w:rPr>
          <w:rFonts w:ascii="宋体" w:hAnsi="宋体" w:eastAsia="宋体" w:cs="Courier New"/>
          <w:b/>
          <w:color w:val="auto"/>
          <w:spacing w:val="2"/>
          <w:sz w:val="24"/>
          <w:highlight w:val="none"/>
        </w:rPr>
      </w:pPr>
      <w:r>
        <w:rPr>
          <w:rFonts w:hint="eastAsia" w:ascii="宋体" w:hAnsi="宋体" w:eastAsia="宋体" w:cs="Courier New"/>
          <w:b/>
          <w:color w:val="auto"/>
          <w:spacing w:val="2"/>
          <w:sz w:val="24"/>
          <w:highlight w:val="none"/>
        </w:rPr>
        <w:t>外包封必须加盖供应商公章或由供应商法定代表人（或授权代表）签字以示密封。</w:t>
      </w:r>
    </w:p>
    <w:p>
      <w:pPr>
        <w:spacing w:after="0" w:line="400" w:lineRule="exact"/>
        <w:ind w:firstLine="488" w:firstLineChars="200"/>
        <w:rPr>
          <w:rFonts w:ascii="宋体" w:hAnsi="宋体" w:eastAsia="宋体" w:cs="Courier New"/>
          <w:color w:val="auto"/>
          <w:spacing w:val="2"/>
          <w:sz w:val="24"/>
          <w:highlight w:val="none"/>
        </w:rPr>
      </w:pPr>
      <w:r>
        <w:rPr>
          <w:rFonts w:hint="eastAsia" w:ascii="宋体" w:hAnsi="宋体" w:eastAsia="宋体" w:cs="Courier New"/>
          <w:color w:val="auto"/>
          <w:spacing w:val="2"/>
          <w:sz w:val="24"/>
          <w:highlight w:val="none"/>
        </w:rPr>
        <w:t>15.5 未按本章第15.1条或15.3条要求密封和加写标记，作无效响应文件处理。</w:t>
      </w:r>
    </w:p>
    <w:p>
      <w:pPr>
        <w:spacing w:after="0" w:line="400" w:lineRule="exact"/>
        <w:ind w:firstLine="490" w:firstLineChars="200"/>
        <w:rPr>
          <w:rFonts w:ascii="宋体" w:hAnsi="宋体" w:eastAsia="宋体" w:cs="Courier New"/>
          <w:b/>
          <w:bCs/>
          <w:color w:val="auto"/>
          <w:spacing w:val="2"/>
          <w:sz w:val="24"/>
          <w:highlight w:val="none"/>
        </w:rPr>
      </w:pPr>
      <w:r>
        <w:rPr>
          <w:rFonts w:hint="eastAsia" w:ascii="宋体" w:hAnsi="宋体" w:eastAsia="宋体" w:cs="Courier New"/>
          <w:b/>
          <w:bCs/>
          <w:color w:val="auto"/>
          <w:spacing w:val="2"/>
          <w:sz w:val="24"/>
          <w:highlight w:val="none"/>
        </w:rPr>
        <w:t>16. 响应文件的递交</w:t>
      </w:r>
    </w:p>
    <w:p>
      <w:pPr>
        <w:spacing w:after="0" w:line="400" w:lineRule="exact"/>
        <w:ind w:firstLine="488" w:firstLineChars="200"/>
        <w:rPr>
          <w:rFonts w:ascii="宋体" w:hAnsi="宋体" w:eastAsia="宋体" w:cs="Courier New"/>
          <w:color w:val="auto"/>
          <w:spacing w:val="2"/>
          <w:sz w:val="24"/>
          <w:highlight w:val="none"/>
        </w:rPr>
      </w:pPr>
      <w:r>
        <w:rPr>
          <w:rFonts w:hint="eastAsia" w:ascii="宋体" w:hAnsi="宋体" w:eastAsia="宋体" w:cs="Courier New"/>
          <w:bCs/>
          <w:color w:val="auto"/>
          <w:spacing w:val="2"/>
          <w:sz w:val="24"/>
          <w:highlight w:val="none"/>
        </w:rPr>
        <w:t xml:space="preserve">16.1 </w:t>
      </w:r>
      <w:r>
        <w:rPr>
          <w:rFonts w:hint="eastAsia" w:ascii="宋体" w:hAnsi="宋体" w:eastAsia="宋体" w:cs="Courier New"/>
          <w:color w:val="auto"/>
          <w:spacing w:val="2"/>
          <w:sz w:val="24"/>
          <w:highlight w:val="none"/>
        </w:rPr>
        <w:t>供应商应在</w:t>
      </w:r>
      <w:r>
        <w:rPr>
          <w:rFonts w:hint="eastAsia" w:ascii="宋体" w:hAnsi="宋体" w:eastAsia="宋体"/>
          <w:color w:val="auto"/>
          <w:sz w:val="24"/>
          <w:highlight w:val="none"/>
        </w:rPr>
        <w:t>供应商须知前附表</w:t>
      </w:r>
      <w:r>
        <w:rPr>
          <w:rFonts w:hint="eastAsia" w:ascii="宋体" w:hAnsi="宋体" w:eastAsia="宋体" w:cs="Courier New"/>
          <w:color w:val="auto"/>
          <w:spacing w:val="2"/>
          <w:sz w:val="24"/>
          <w:highlight w:val="none"/>
        </w:rPr>
        <w:t>规定的截止时间前递交响应文件。凡逾期送达的响应文件将视为无效响应文件处理。</w:t>
      </w:r>
    </w:p>
    <w:p>
      <w:pPr>
        <w:spacing w:after="0" w:line="400" w:lineRule="exact"/>
        <w:ind w:firstLine="488" w:firstLineChars="200"/>
        <w:rPr>
          <w:rFonts w:ascii="宋体" w:hAnsi="宋体" w:eastAsia="宋体" w:cs="Courier New"/>
          <w:bCs/>
          <w:color w:val="auto"/>
          <w:spacing w:val="2"/>
          <w:sz w:val="24"/>
          <w:highlight w:val="none"/>
        </w:rPr>
      </w:pPr>
      <w:r>
        <w:rPr>
          <w:rFonts w:hint="eastAsia" w:ascii="宋体" w:hAnsi="宋体" w:eastAsia="宋体" w:cs="Courier New"/>
          <w:bCs/>
          <w:color w:val="auto"/>
          <w:spacing w:val="2"/>
          <w:sz w:val="24"/>
          <w:highlight w:val="none"/>
        </w:rPr>
        <w:t>16.2 供应商按</w:t>
      </w:r>
      <w:r>
        <w:rPr>
          <w:rFonts w:hint="eastAsia" w:ascii="宋体" w:hAnsi="宋体" w:eastAsia="宋体"/>
          <w:color w:val="auto"/>
          <w:sz w:val="24"/>
          <w:highlight w:val="none"/>
        </w:rPr>
        <w:t>供应商须知前附表</w:t>
      </w:r>
      <w:r>
        <w:rPr>
          <w:rFonts w:hint="eastAsia" w:ascii="宋体" w:hAnsi="宋体" w:eastAsia="宋体" w:cs="Courier New"/>
          <w:color w:val="auto"/>
          <w:spacing w:val="2"/>
          <w:sz w:val="24"/>
          <w:highlight w:val="none"/>
        </w:rPr>
        <w:t>规定的地点</w:t>
      </w:r>
      <w:r>
        <w:rPr>
          <w:rFonts w:hint="eastAsia" w:ascii="宋体" w:hAnsi="宋体" w:eastAsia="宋体" w:cs="Courier New"/>
          <w:bCs/>
          <w:color w:val="auto"/>
          <w:spacing w:val="2"/>
          <w:sz w:val="24"/>
          <w:highlight w:val="none"/>
        </w:rPr>
        <w:t>递交响应文件，并由采购人或采购代理机构</w:t>
      </w:r>
      <w:r>
        <w:rPr>
          <w:rFonts w:hint="eastAsia" w:ascii="宋体" w:hAnsi="宋体" w:eastAsia="宋体" w:cs="Courier New"/>
          <w:color w:val="auto"/>
          <w:spacing w:val="2"/>
          <w:sz w:val="24"/>
          <w:highlight w:val="none"/>
        </w:rPr>
        <w:t>签收</w:t>
      </w:r>
      <w:r>
        <w:rPr>
          <w:rFonts w:hint="eastAsia" w:ascii="宋体" w:hAnsi="宋体" w:eastAsia="宋体" w:cs="Courier New"/>
          <w:b/>
          <w:color w:val="auto"/>
          <w:spacing w:val="2"/>
          <w:sz w:val="24"/>
          <w:highlight w:val="none"/>
        </w:rPr>
        <w:t>。</w:t>
      </w:r>
    </w:p>
    <w:p>
      <w:pPr>
        <w:spacing w:after="0" w:line="400" w:lineRule="exact"/>
        <w:ind w:firstLine="488" w:firstLineChars="200"/>
        <w:rPr>
          <w:rFonts w:ascii="宋体" w:hAnsi="宋体" w:eastAsia="宋体" w:cs="Courier New"/>
          <w:bCs/>
          <w:color w:val="auto"/>
          <w:spacing w:val="2"/>
          <w:sz w:val="24"/>
          <w:highlight w:val="none"/>
        </w:rPr>
      </w:pPr>
      <w:r>
        <w:rPr>
          <w:rFonts w:hint="eastAsia" w:ascii="宋体" w:hAnsi="宋体" w:eastAsia="宋体" w:cs="Courier New"/>
          <w:bCs/>
          <w:color w:val="auto"/>
          <w:spacing w:val="2"/>
          <w:sz w:val="24"/>
          <w:highlight w:val="none"/>
        </w:rPr>
        <w:t>16.3 除竞争性谈判文件另有规定外，供应商所递交的响应文件不予退还。</w:t>
      </w:r>
    </w:p>
    <w:p>
      <w:pPr>
        <w:spacing w:after="0" w:line="400" w:lineRule="exact"/>
        <w:ind w:firstLine="488" w:firstLineChars="200"/>
        <w:rPr>
          <w:rFonts w:ascii="宋体" w:hAnsi="宋体" w:eastAsia="宋体" w:cs="Courier New"/>
          <w:bCs/>
          <w:color w:val="auto"/>
          <w:spacing w:val="2"/>
          <w:sz w:val="24"/>
          <w:highlight w:val="none"/>
        </w:rPr>
      </w:pPr>
      <w:r>
        <w:rPr>
          <w:rFonts w:hint="eastAsia" w:ascii="宋体" w:hAnsi="宋体" w:eastAsia="宋体" w:cs="Courier New"/>
          <w:bCs/>
          <w:color w:val="auto"/>
          <w:spacing w:val="2"/>
          <w:sz w:val="24"/>
          <w:highlight w:val="none"/>
        </w:rPr>
        <w:t>16.4 逾期送达的或者未送达指定地点的响应文件，</w:t>
      </w:r>
      <w:r>
        <w:rPr>
          <w:rFonts w:hint="eastAsia" w:ascii="宋体" w:hAnsi="宋体" w:eastAsia="宋体" w:cs="Courier New"/>
          <w:color w:val="auto"/>
          <w:spacing w:val="2"/>
          <w:sz w:val="24"/>
          <w:highlight w:val="none"/>
        </w:rPr>
        <w:t>采购代理机构将拒绝接收</w:t>
      </w:r>
      <w:r>
        <w:rPr>
          <w:rFonts w:hint="eastAsia" w:ascii="宋体" w:hAnsi="宋体" w:eastAsia="宋体" w:cs="Courier New"/>
          <w:bCs/>
          <w:color w:val="auto"/>
          <w:spacing w:val="2"/>
          <w:sz w:val="24"/>
          <w:highlight w:val="none"/>
        </w:rPr>
        <w:t>。</w:t>
      </w:r>
    </w:p>
    <w:p>
      <w:pPr>
        <w:spacing w:after="0" w:line="400" w:lineRule="exact"/>
        <w:ind w:firstLine="490" w:firstLineChars="200"/>
        <w:rPr>
          <w:rFonts w:ascii="宋体" w:hAnsi="宋体" w:eastAsia="宋体" w:cs="Courier New"/>
          <w:b/>
          <w:bCs/>
          <w:color w:val="auto"/>
          <w:spacing w:val="2"/>
          <w:sz w:val="24"/>
          <w:highlight w:val="none"/>
        </w:rPr>
      </w:pPr>
      <w:r>
        <w:rPr>
          <w:rFonts w:hint="eastAsia" w:ascii="宋体" w:hAnsi="宋体" w:eastAsia="宋体" w:cs="Courier New"/>
          <w:b/>
          <w:bCs/>
          <w:color w:val="auto"/>
          <w:spacing w:val="2"/>
          <w:sz w:val="24"/>
          <w:highlight w:val="none"/>
        </w:rPr>
        <w:t>17. 响应文件的修改和撤回</w:t>
      </w:r>
    </w:p>
    <w:p>
      <w:pPr>
        <w:spacing w:after="0" w:line="400" w:lineRule="exact"/>
        <w:ind w:firstLine="488" w:firstLineChars="200"/>
        <w:rPr>
          <w:rFonts w:ascii="宋体" w:hAnsi="宋体" w:eastAsia="宋体" w:cs="Courier New"/>
          <w:color w:val="auto"/>
          <w:spacing w:val="2"/>
          <w:sz w:val="24"/>
          <w:highlight w:val="none"/>
        </w:rPr>
      </w:pPr>
      <w:r>
        <w:rPr>
          <w:rFonts w:hint="eastAsia" w:ascii="宋体" w:hAnsi="宋体" w:eastAsia="宋体" w:cs="Courier New"/>
          <w:color w:val="auto"/>
          <w:spacing w:val="2"/>
          <w:sz w:val="24"/>
          <w:highlight w:val="none"/>
        </w:rPr>
        <w:t>17.1 在</w:t>
      </w:r>
      <w:r>
        <w:rPr>
          <w:rFonts w:hint="eastAsia" w:ascii="宋体" w:hAnsi="宋体" w:eastAsia="宋体"/>
          <w:color w:val="auto"/>
          <w:sz w:val="24"/>
          <w:highlight w:val="none"/>
        </w:rPr>
        <w:t>供应商须知前附表</w:t>
      </w:r>
      <w:r>
        <w:rPr>
          <w:rFonts w:hint="eastAsia" w:ascii="宋体" w:hAnsi="宋体" w:eastAsia="宋体" w:cs="Courier New"/>
          <w:color w:val="auto"/>
          <w:spacing w:val="2"/>
          <w:sz w:val="24"/>
          <w:highlight w:val="none"/>
        </w:rPr>
        <w:t>规定的</w:t>
      </w:r>
      <w:r>
        <w:rPr>
          <w:rFonts w:hint="eastAsia" w:ascii="宋体" w:hAnsi="宋体" w:eastAsia="宋体" w:cs="宋体"/>
          <w:color w:val="auto"/>
          <w:sz w:val="24"/>
          <w:highlight w:val="none"/>
        </w:rPr>
        <w:t>递交响应文件</w:t>
      </w:r>
      <w:r>
        <w:rPr>
          <w:rFonts w:hint="eastAsia" w:ascii="宋体" w:hAnsi="宋体" w:eastAsia="宋体" w:cs="Courier New"/>
          <w:color w:val="auto"/>
          <w:spacing w:val="2"/>
          <w:sz w:val="24"/>
          <w:highlight w:val="none"/>
        </w:rPr>
        <w:t>截止时间前，供应商可以修改或撤回已递交的响应文件，但应以书面形式通知采购人或采购代理机构。</w:t>
      </w:r>
    </w:p>
    <w:p>
      <w:pPr>
        <w:spacing w:after="0" w:line="400" w:lineRule="exact"/>
        <w:ind w:firstLine="488" w:firstLineChars="200"/>
        <w:rPr>
          <w:rFonts w:ascii="宋体" w:hAnsi="宋体" w:eastAsia="宋体" w:cs="Courier New"/>
          <w:color w:val="auto"/>
          <w:spacing w:val="2"/>
          <w:sz w:val="24"/>
          <w:highlight w:val="none"/>
        </w:rPr>
      </w:pPr>
      <w:r>
        <w:rPr>
          <w:rFonts w:hint="eastAsia" w:ascii="宋体" w:hAnsi="宋体" w:eastAsia="宋体" w:cs="Courier New"/>
          <w:color w:val="auto"/>
          <w:spacing w:val="2"/>
          <w:sz w:val="24"/>
          <w:highlight w:val="none"/>
        </w:rPr>
        <w:t>17.2 供应商修改或撤回已递交响应文件的书面通知应按照本章第14.3项的要求签字或盖章。采购人或采购代理机构收到书面通知后，向供应商出具签收凭证。</w:t>
      </w:r>
    </w:p>
    <w:p>
      <w:pPr>
        <w:spacing w:after="0" w:line="400" w:lineRule="exact"/>
        <w:ind w:firstLine="488" w:firstLineChars="200"/>
        <w:rPr>
          <w:rFonts w:ascii="宋体" w:hAnsi="宋体" w:eastAsia="宋体" w:cs="Courier New"/>
          <w:color w:val="auto"/>
          <w:spacing w:val="2"/>
          <w:sz w:val="24"/>
          <w:highlight w:val="none"/>
        </w:rPr>
      </w:pPr>
      <w:r>
        <w:rPr>
          <w:rFonts w:hint="eastAsia" w:ascii="宋体" w:hAnsi="宋体" w:eastAsia="宋体" w:cs="Courier New"/>
          <w:color w:val="auto"/>
          <w:spacing w:val="2"/>
          <w:sz w:val="24"/>
          <w:highlight w:val="none"/>
        </w:rPr>
        <w:t>17.3 修改的内容为响应文件的组成部分。修改的响应文件应按照本章第15条、第16条规定进行编制、密封、标记和递交，并标明“修改”字样。</w:t>
      </w:r>
    </w:p>
    <w:p>
      <w:pPr>
        <w:spacing w:after="0" w:line="400" w:lineRule="exact"/>
        <w:ind w:firstLine="490" w:firstLineChars="200"/>
        <w:rPr>
          <w:rFonts w:ascii="宋体" w:hAnsi="宋体" w:eastAsia="宋体" w:cs="Courier New"/>
          <w:b/>
          <w:bCs/>
          <w:color w:val="auto"/>
          <w:spacing w:val="2"/>
          <w:sz w:val="24"/>
          <w:highlight w:val="none"/>
        </w:rPr>
      </w:pPr>
      <w:r>
        <w:rPr>
          <w:rFonts w:hint="eastAsia" w:ascii="宋体" w:hAnsi="宋体" w:eastAsia="宋体" w:cs="Courier New"/>
          <w:b/>
          <w:bCs/>
          <w:color w:val="auto"/>
          <w:spacing w:val="2"/>
          <w:sz w:val="24"/>
          <w:highlight w:val="none"/>
        </w:rPr>
        <w:t>18.响应文件的编写说明</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18.1 响应文件的复印件均须加盖投标单位的公章。</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18.2 供应商在响应文件中提供不真实的材料，都将视为虚假应标，竞谈无效，并承担由此产生的经济与法律责任。</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18.3 供应商在详细报价中，应按竞争性谈判文件提供的《项目采购需求》进行完整报价。</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18.4 报价栏项目中如出现唯一的数字“0”或空白，则视报价为零。</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18.5供应商必须自行承担因其响应文件中的任何错漏而导致的一切后果。</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18.6 响应文件的编制、签署及密封和标记等均要求按本须知15、18.6条规定的要求，否则视为未响应竞争性谈判文件要求。</w:t>
      </w:r>
    </w:p>
    <w:p>
      <w:pPr>
        <w:pStyle w:val="24"/>
        <w:rPr>
          <w:color w:val="auto"/>
          <w:highlight w:val="none"/>
        </w:rPr>
      </w:pPr>
    </w:p>
    <w:p>
      <w:pPr>
        <w:pStyle w:val="4"/>
        <w:spacing w:before="240" w:beforeLines="100" w:line="400" w:lineRule="exact"/>
        <w:rPr>
          <w:rFonts w:ascii="宋体" w:hAnsi="宋体" w:eastAsia="宋体"/>
          <w:color w:val="auto"/>
          <w:highlight w:val="none"/>
        </w:rPr>
      </w:pPr>
      <w:bookmarkStart w:id="67" w:name="_Toc26527"/>
      <w:r>
        <w:rPr>
          <w:rFonts w:hint="eastAsia" w:ascii="宋体" w:hAnsi="宋体" w:eastAsia="宋体"/>
          <w:color w:val="auto"/>
          <w:highlight w:val="none"/>
        </w:rPr>
        <w:t>四、谈判与评审</w:t>
      </w:r>
      <w:bookmarkEnd w:id="67"/>
    </w:p>
    <w:p>
      <w:pPr>
        <w:pStyle w:val="19"/>
        <w:spacing w:line="400" w:lineRule="exact"/>
        <w:ind w:firstLine="482" w:firstLineChars="200"/>
        <w:rPr>
          <w:rFonts w:hAnsi="宋体"/>
          <w:b/>
          <w:color w:val="auto"/>
          <w:sz w:val="24"/>
          <w:highlight w:val="none"/>
        </w:rPr>
      </w:pPr>
      <w:r>
        <w:rPr>
          <w:rFonts w:hint="eastAsia" w:hAnsi="宋体"/>
          <w:b/>
          <w:color w:val="auto"/>
          <w:sz w:val="24"/>
          <w:highlight w:val="none"/>
        </w:rPr>
        <w:t>19. 谈判时间和地点</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19.1 采购代理机构将在供应商须知前附表规定的时间和地点组织谈判，供应商的法定代表人或其授权委托人必须持供应商须知前附表规定的证件依时到现场参加谈判，否则作无效响应处理。</w:t>
      </w:r>
    </w:p>
    <w:p>
      <w:pPr>
        <w:pStyle w:val="19"/>
        <w:spacing w:line="400" w:lineRule="exact"/>
        <w:ind w:firstLine="482" w:firstLineChars="200"/>
        <w:rPr>
          <w:rFonts w:hAnsi="宋体"/>
          <w:b/>
          <w:color w:val="auto"/>
          <w:sz w:val="24"/>
          <w:highlight w:val="none"/>
        </w:rPr>
      </w:pPr>
      <w:r>
        <w:rPr>
          <w:rFonts w:hint="eastAsia" w:hAnsi="宋体"/>
          <w:b/>
          <w:color w:val="auto"/>
          <w:sz w:val="24"/>
          <w:highlight w:val="none"/>
        </w:rPr>
        <w:t>20. 谈判小组成立</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20.1竞争性谈判小组成立</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采购代理机构依据法律规定，在政府采购监督部门规定的专家库中上随机抽取政府采购评审专家与采购人组成竞争性谈判小组。</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20.2 竞争性谈判小组在采购活动过程中应当履行下列职责：</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 xml:space="preserve">（1）确认谈判文件； </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（2）从符合相应资格条件的供应商名单中确定不少于3家的供应商参加谈判；</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（3）审查供应商的响应文件并作出评价；</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（4）要求供应商解释或者澄清其响应文件；</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 xml:space="preserve">（5）编写评审报告； </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（6）告知采购人、采购代理机构在评审过程中发现的供应商的违法违规行为。</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20.3竞争性谈判小组成员应当履行下列义务：</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（1）遵纪守法，客观、公正、廉洁地履行职责；</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（2）根据采购文件的规定独立进行评审，对个人的评审意见承担法律责任；</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（3）参与评审报告的起草；</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（4）配合采购人、采购代理机构答复供应商提出的质疑；</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（5）配合财政部门的投诉处理和监督检查工作。</w:t>
      </w:r>
    </w:p>
    <w:p>
      <w:pPr>
        <w:pStyle w:val="19"/>
        <w:spacing w:line="400" w:lineRule="exact"/>
        <w:ind w:firstLine="482" w:firstLineChars="200"/>
        <w:rPr>
          <w:rFonts w:hAnsi="宋体"/>
          <w:b/>
          <w:color w:val="auto"/>
          <w:sz w:val="24"/>
          <w:highlight w:val="none"/>
        </w:rPr>
      </w:pPr>
      <w:r>
        <w:rPr>
          <w:rFonts w:hint="eastAsia" w:hAnsi="宋体"/>
          <w:b/>
          <w:bCs/>
          <w:color w:val="auto"/>
          <w:sz w:val="24"/>
          <w:highlight w:val="none"/>
        </w:rPr>
        <w:t>20.4 评</w:t>
      </w:r>
      <w:r>
        <w:rPr>
          <w:rFonts w:hint="eastAsia" w:hAnsi="宋体"/>
          <w:b/>
          <w:color w:val="auto"/>
          <w:sz w:val="24"/>
          <w:highlight w:val="none"/>
        </w:rPr>
        <w:t>审原则及方法</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（1）评审原则：</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评审活动遵循公平、公正、科学和择优的原则。</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（2）评审方法：</w:t>
      </w:r>
    </w:p>
    <w:p>
      <w:pPr>
        <w:pStyle w:val="19"/>
        <w:spacing w:line="400" w:lineRule="exact"/>
        <w:ind w:firstLine="480" w:firstLineChars="200"/>
        <w:rPr>
          <w:rFonts w:hAnsi="宋体"/>
          <w:color w:val="auto"/>
          <w:sz w:val="24"/>
          <w:highlight w:val="none"/>
        </w:rPr>
      </w:pPr>
      <w:r>
        <w:rPr>
          <w:rFonts w:hint="eastAsia" w:hAnsi="宋体"/>
          <w:color w:val="auto"/>
          <w:sz w:val="24"/>
          <w:highlight w:val="none"/>
        </w:rPr>
        <w:t>谈判小组按照供应商须知前附表和第四章“评审方法及评审标准”规定的方法、评审因素和标准对响应文件进行评审。在评审中，不得改变第四章“评审方法及评审标准”规定的方法、评审因素和标准；第四章“评审方法及评审标准”没有规定的方法、评审因素和标准，不作为评审依据。</w:t>
      </w:r>
    </w:p>
    <w:p>
      <w:pPr>
        <w:pStyle w:val="19"/>
        <w:spacing w:line="400" w:lineRule="exact"/>
        <w:ind w:firstLine="482" w:firstLineChars="200"/>
        <w:rPr>
          <w:rFonts w:hAnsi="宋体"/>
          <w:b/>
          <w:color w:val="auto"/>
          <w:sz w:val="24"/>
          <w:highlight w:val="none"/>
        </w:rPr>
      </w:pPr>
      <w:r>
        <w:rPr>
          <w:rFonts w:hint="eastAsia" w:hAnsi="宋体"/>
          <w:b/>
          <w:color w:val="auto"/>
          <w:sz w:val="24"/>
          <w:highlight w:val="none"/>
        </w:rPr>
        <w:t>2</w:t>
      </w:r>
      <w:r>
        <w:rPr>
          <w:rFonts w:hAnsi="宋体"/>
          <w:b/>
          <w:color w:val="auto"/>
          <w:sz w:val="24"/>
          <w:highlight w:val="none"/>
        </w:rPr>
        <w:t>1</w:t>
      </w:r>
      <w:r>
        <w:rPr>
          <w:rFonts w:hint="eastAsia" w:hAnsi="宋体"/>
          <w:b/>
          <w:color w:val="auto"/>
          <w:sz w:val="24"/>
          <w:highlight w:val="none"/>
        </w:rPr>
        <w:t>. 评审程序</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w:t>
      </w:r>
      <w:r>
        <w:rPr>
          <w:rFonts w:hint="eastAsia" w:ascii="宋体" w:hAnsi="宋体" w:eastAsia="宋体" w:cs="宋体"/>
          <w:color w:val="auto"/>
          <w:sz w:val="24"/>
          <w:highlight w:val="none"/>
        </w:rPr>
        <w:t>.1</w:t>
      </w:r>
      <w:r>
        <w:rPr>
          <w:rFonts w:hint="eastAsia" w:ascii="宋体" w:hAnsi="宋体" w:eastAsia="宋体"/>
          <w:color w:val="auto"/>
          <w:sz w:val="24"/>
          <w:highlight w:val="none"/>
        </w:rPr>
        <w:t>谈判小组确认竞争性谈判文件。</w:t>
      </w:r>
    </w:p>
    <w:p>
      <w:pPr>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w:t>
      </w:r>
      <w:r>
        <w:rPr>
          <w:rFonts w:hint="eastAsia" w:ascii="宋体" w:hAnsi="宋体" w:eastAsia="宋体" w:cs="宋体"/>
          <w:color w:val="auto"/>
          <w:sz w:val="24"/>
          <w:highlight w:val="none"/>
        </w:rPr>
        <w:t>.2资格审查和符合性审查</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谈判小组对供应商资格条件及响应文件进行评审，并从符合竞争性谈判文件规定的相应资格条件的供应商名单中确定不少于3家的供应商参加谈判除《政府采购非招标采购方式管理办法》（财政部74号令）第二十七条第二款规定的“公开招标的货物、服务采购项目，招标过程中提交响应文件或者经评审实质性响应采购文件要求的供应商只有两家时，采购人、采购代理机构按照本办法第四条经本级财政部门批准后可以与该两家供应商进行竞争性谈判采购”情形除外，供应商最低数量可以为两家。</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资格条件</w:t>
      </w:r>
      <w:r>
        <w:rPr>
          <w:rFonts w:hint="eastAsia" w:ascii="宋体" w:hAnsi="宋体" w:eastAsia="宋体"/>
          <w:color w:val="auto"/>
          <w:sz w:val="24"/>
          <w:highlight w:val="none"/>
        </w:rPr>
        <w:t>不符合</w:t>
      </w:r>
      <w:r>
        <w:rPr>
          <w:rFonts w:ascii="宋体" w:hAnsi="宋体" w:eastAsia="宋体"/>
          <w:color w:val="auto"/>
          <w:sz w:val="24"/>
          <w:highlight w:val="none"/>
        </w:rPr>
        <w:t>的供应商</w:t>
      </w:r>
      <w:r>
        <w:rPr>
          <w:rFonts w:hint="eastAsia" w:ascii="宋体" w:hAnsi="宋体" w:eastAsia="宋体"/>
          <w:color w:val="auto"/>
          <w:sz w:val="24"/>
          <w:highlight w:val="none"/>
        </w:rPr>
        <w:t>或</w:t>
      </w:r>
      <w:r>
        <w:rPr>
          <w:rFonts w:ascii="宋体" w:hAnsi="宋体" w:eastAsia="宋体"/>
          <w:color w:val="auto"/>
          <w:sz w:val="24"/>
          <w:highlight w:val="none"/>
        </w:rPr>
        <w:t>未实质性响应谈判文件的响应文件按无效</w:t>
      </w:r>
      <w:r>
        <w:rPr>
          <w:rFonts w:hint="eastAsia" w:ascii="宋体" w:hAnsi="宋体" w:eastAsia="宋体"/>
          <w:color w:val="auto"/>
          <w:sz w:val="24"/>
          <w:highlight w:val="none"/>
        </w:rPr>
        <w:t>竞标</w:t>
      </w:r>
      <w:r>
        <w:rPr>
          <w:rFonts w:ascii="宋体" w:hAnsi="宋体" w:eastAsia="宋体"/>
          <w:color w:val="auto"/>
          <w:sz w:val="24"/>
          <w:highlight w:val="none"/>
        </w:rPr>
        <w:t>处理，谈判小组告知有关供应商。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21.2.1资格审查</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供应商有下列情形之一的，资格审查不通过：</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（1）不符合《中华人民共和国政府采购法》第二十二条规定条件的。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（2）未按本项目采购公告规定方式获得竞争性谈判文件的。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（3）参加同一合同项下的政府采购活动的不同供应商，单位负责人为同一人或者存在直接控股、管理关系的。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（4）为本次采购项目提供整体设计、规范编制或者项目管理、监理、检测等服务的。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（5）在“信用中国”网站(www.creditchina.gov.cn)</w:t>
      </w:r>
      <w:r>
        <w:rPr>
          <w:rFonts w:hint="eastAsia" w:ascii="宋体" w:hAnsi="宋体" w:eastAsia="宋体" w:cs="宋体"/>
          <w:color w:val="auto"/>
          <w:sz w:val="24"/>
          <w:highlight w:val="none"/>
        </w:rPr>
        <w:t>、中国政府采购网（www.ccgp.gov.cn）等</w:t>
      </w:r>
      <w:r>
        <w:rPr>
          <w:rFonts w:hint="eastAsia" w:ascii="宋体" w:hAnsi="宋体" w:eastAsia="宋体"/>
          <w:color w:val="auto"/>
          <w:sz w:val="24"/>
          <w:highlight w:val="none"/>
        </w:rPr>
        <w:t>渠道被列入失信被执行人、重大税收违法案件当事人名单、政府采购严重违法失信行为记录名单的。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（6）不按照采购文件要求提供合格的资格证明材料的。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（7）违反国家法律法规规定的其他资格内容的。</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21.2.2符合性审查</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依据采购文件的规定，谈判小组对通过资格审查的供应商的响应文件从有效性、完整性和对采购文件的响应程度等几方面进行审查，以确定是否对采购文件的实质性要求和条件作出响应。</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21.3</w:t>
      </w:r>
      <w:r>
        <w:rPr>
          <w:rFonts w:hint="eastAsia" w:ascii="宋体" w:hAnsi="宋体" w:eastAsia="宋体"/>
          <w:color w:val="auto"/>
          <w:sz w:val="24"/>
          <w:highlight w:val="none"/>
        </w:rPr>
        <w:t>澄清有关问题</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对响应文件中含义不明确、同类问题表述不一致或者有明显文字和计算错误的内容，谈判小组可以书面形式（应当由谈判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pPr>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1.4</w:t>
      </w:r>
      <w:r>
        <w:rPr>
          <w:rFonts w:hint="eastAsia" w:ascii="宋体" w:hAnsi="宋体" w:eastAsia="宋体" w:cs="宋体"/>
          <w:color w:val="auto"/>
          <w:sz w:val="24"/>
          <w:highlight w:val="none"/>
        </w:rPr>
        <w:t>谈判</w:t>
      </w:r>
    </w:p>
    <w:p>
      <w:pPr>
        <w:spacing w:after="0"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谈判小组按已确定的</w:t>
      </w:r>
      <w:r>
        <w:rPr>
          <w:rFonts w:hint="eastAsia" w:ascii="宋体" w:hAnsi="宋体" w:eastAsia="宋体"/>
          <w:color w:val="auto"/>
          <w:sz w:val="24"/>
          <w:highlight w:val="none"/>
        </w:rPr>
        <w:t>谈判顺序，谈判小组所有成员应当集中与单一供应商分别进行谈判，并给予所有参加谈判的供应商平等的谈判机会。符合谈判资格的供应商未在规定时间内参加谈判的，视同放弃参加谈判权利，其响应文件作无效处理。</w:t>
      </w:r>
    </w:p>
    <w:p>
      <w:pPr>
        <w:spacing w:after="0" w:line="400" w:lineRule="exact"/>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在谈判过程中，</w:t>
      </w:r>
      <w:r>
        <w:rPr>
          <w:rFonts w:hint="eastAsia" w:ascii="宋体" w:hAnsi="宋体" w:eastAsia="宋体"/>
          <w:color w:val="auto"/>
          <w:sz w:val="24"/>
          <w:highlight w:val="none"/>
          <w:u w:val="single"/>
        </w:rPr>
        <w:t>谈判小组可以根据谈判文件和谈判情况实质性变动采购需求中的技术、服务要求以及合同草案条款，但不得变动谈判文件中的其他内容。实质性变动的内容，须经采购人代表确认。</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对谈判文件作出的实质性变动是谈判文件的有效组成部分，谈判小组及时以书面形式同时通知所有参加谈判的供应商。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参加谈判的供应商未在规定时间内重新提交响应文件的，视同放弃提交权利，其响应文件作无效处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谈判中，谈判的任何一方不得透露与谈判有关的其他供应商的技术资料、价格和其他信息。</w:t>
      </w:r>
    </w:p>
    <w:p>
      <w:pPr>
        <w:tabs>
          <w:tab w:val="left" w:pos="540"/>
        </w:tabs>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采购代理机构对谈判过程和重要谈判内容进行记录，谈判双方在记录上签字确认。</w:t>
      </w:r>
    </w:p>
    <w:p>
      <w:pPr>
        <w:tabs>
          <w:tab w:val="left" w:pos="540"/>
        </w:tabs>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谈判小组一致确定响应供应商符合谈判文件要求的，按谈判文件设定的方法和标准确定成交候选人。第一轮谈判谈判小组未能确定成交候选人的，对谈判文件修正后进行第二轮谈判，以此类推。</w:t>
      </w:r>
    </w:p>
    <w:p>
      <w:pPr>
        <w:tabs>
          <w:tab w:val="left" w:pos="540"/>
        </w:tabs>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21.5</w:t>
      </w:r>
      <w:r>
        <w:rPr>
          <w:rFonts w:hint="eastAsia" w:ascii="宋体" w:hAnsi="宋体" w:eastAsia="宋体"/>
          <w:color w:val="auto"/>
          <w:sz w:val="24"/>
          <w:highlight w:val="none"/>
        </w:rPr>
        <w:t>最后报价</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21.5</w:t>
      </w:r>
      <w:r>
        <w:rPr>
          <w:rFonts w:hint="eastAsia" w:ascii="宋体" w:hAnsi="宋体" w:eastAsia="宋体"/>
          <w:color w:val="auto"/>
          <w:sz w:val="24"/>
          <w:highlight w:val="none"/>
        </w:rPr>
        <w:t>.1 谈判文件能够详细列明采购标的的技术、服务要求的，谈判结束后，谈判小组应当要求所有继续参加谈判的供应商在规定时间内密封提交最后报价，提交最后报价的供应商不得少于3家。</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21.5</w:t>
      </w:r>
      <w:r>
        <w:rPr>
          <w:rFonts w:hint="eastAsia" w:ascii="宋体" w:hAnsi="宋体" w:eastAsia="宋体"/>
          <w:color w:val="auto"/>
          <w:sz w:val="24"/>
          <w:highlight w:val="none"/>
        </w:rPr>
        <w:t>.2 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密封提交最后报价。</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21.5</w:t>
      </w:r>
      <w:r>
        <w:rPr>
          <w:rFonts w:hint="eastAsia" w:ascii="宋体" w:hAnsi="宋体" w:eastAsia="宋体"/>
          <w:color w:val="auto"/>
          <w:sz w:val="24"/>
          <w:highlight w:val="none"/>
        </w:rPr>
        <w:t>.3 最后报价是供应商响应文件的有效组成部分。</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21.5</w:t>
      </w:r>
      <w:r>
        <w:rPr>
          <w:rFonts w:hint="eastAsia" w:ascii="宋体" w:hAnsi="宋体" w:eastAsia="宋体"/>
          <w:color w:val="auto"/>
          <w:sz w:val="24"/>
          <w:highlight w:val="none"/>
        </w:rPr>
        <w:t>.4 已经提交响应文件的供应商，在提交最后报价之前，可以根据谈判情况退出谈判。采购人、采购代理机构将退还退出谈判的供应商的保证金。</w:t>
      </w:r>
    </w:p>
    <w:p>
      <w:pPr>
        <w:tabs>
          <w:tab w:val="left" w:pos="540"/>
        </w:tabs>
        <w:spacing w:after="0" w:line="400" w:lineRule="exact"/>
        <w:ind w:firstLine="480" w:firstLineChars="200"/>
        <w:rPr>
          <w:rFonts w:ascii="宋体" w:hAnsi="宋体" w:eastAsia="宋体"/>
          <w:b/>
          <w:color w:val="auto"/>
          <w:sz w:val="24"/>
          <w:highlight w:val="none"/>
        </w:rPr>
      </w:pPr>
      <w:r>
        <w:rPr>
          <w:rFonts w:ascii="宋体" w:hAnsi="宋体" w:eastAsia="宋体"/>
          <w:color w:val="auto"/>
          <w:sz w:val="24"/>
          <w:highlight w:val="none"/>
        </w:rPr>
        <w:t>21.6</w:t>
      </w:r>
      <w:r>
        <w:rPr>
          <w:rFonts w:hint="eastAsia" w:ascii="宋体" w:hAnsi="宋体" w:eastAsia="宋体"/>
          <w:b/>
          <w:bCs/>
          <w:color w:val="auto"/>
          <w:sz w:val="24"/>
          <w:highlight w:val="none"/>
        </w:rPr>
        <w:t>在谈判过程中出现法律法规和谈判文件均没有明确规定的情形时，由谈判小组现场协商解决，协商不一致的，由全体谈判小组投票表决，以得票率二分之一以上专家的意见为准。</w:t>
      </w:r>
    </w:p>
    <w:p>
      <w:pPr>
        <w:spacing w:after="0" w:line="400" w:lineRule="exact"/>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w:t>
      </w:r>
      <w:r>
        <w:rPr>
          <w:rFonts w:ascii="宋体" w:hAnsi="宋体" w:eastAsia="宋体"/>
          <w:b/>
          <w:bCs/>
          <w:color w:val="auto"/>
          <w:sz w:val="24"/>
          <w:highlight w:val="none"/>
        </w:rPr>
        <w:t>2</w:t>
      </w:r>
      <w:r>
        <w:rPr>
          <w:rFonts w:hint="eastAsia" w:ascii="宋体" w:hAnsi="宋体" w:eastAsia="宋体"/>
          <w:b/>
          <w:bCs/>
          <w:color w:val="auto"/>
          <w:sz w:val="24"/>
          <w:highlight w:val="none"/>
        </w:rPr>
        <w:t>. 错误修正</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w:t>
      </w:r>
      <w:r>
        <w:rPr>
          <w:rFonts w:ascii="宋体" w:hAnsi="宋体" w:eastAsia="宋体" w:cs="Arial"/>
          <w:color w:val="auto"/>
          <w:sz w:val="24"/>
          <w:highlight w:val="none"/>
        </w:rPr>
        <w:t>2</w:t>
      </w:r>
      <w:r>
        <w:rPr>
          <w:rFonts w:hint="eastAsia" w:ascii="宋体" w:hAnsi="宋体" w:eastAsia="宋体" w:cs="Arial"/>
          <w:color w:val="auto"/>
          <w:sz w:val="24"/>
          <w:highlight w:val="none"/>
        </w:rPr>
        <w:t>.1响应文件如果出现计算或表达上的错误，修正错误的原则如下：</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（1）响应文件的大写金额和小写金额不一致的，以大写金额为准；</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（2）总价金额与按单价汇总金额不一致的，以单价金额计算结果为准；</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（3）单价金额小数点有明显错位的，应以总价为准，并修正单价；</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（4）对不同文字文本响应文件的解释发生异议的，以中文文本为准。</w:t>
      </w:r>
    </w:p>
    <w:p>
      <w:pPr>
        <w:pStyle w:val="19"/>
        <w:spacing w:line="400" w:lineRule="exact"/>
        <w:ind w:firstLine="480" w:firstLineChars="200"/>
        <w:rPr>
          <w:rFonts w:hAnsi="宋体"/>
          <w:b/>
          <w:color w:val="auto"/>
          <w:sz w:val="24"/>
          <w:highlight w:val="none"/>
        </w:rPr>
      </w:pPr>
      <w:r>
        <w:rPr>
          <w:rFonts w:hint="eastAsia" w:hAnsi="宋体" w:cs="Arial"/>
          <w:color w:val="auto"/>
          <w:sz w:val="24"/>
          <w:highlight w:val="none"/>
        </w:rPr>
        <w:t>2</w:t>
      </w:r>
      <w:r>
        <w:rPr>
          <w:rFonts w:hAnsi="宋体" w:cs="Arial"/>
          <w:color w:val="auto"/>
          <w:sz w:val="24"/>
          <w:highlight w:val="none"/>
        </w:rPr>
        <w:t>2</w:t>
      </w:r>
      <w:r>
        <w:rPr>
          <w:rFonts w:hint="eastAsia" w:hAnsi="宋体" w:cs="Arial"/>
          <w:color w:val="auto"/>
          <w:sz w:val="24"/>
          <w:highlight w:val="none"/>
        </w:rPr>
        <w:t>.2谈判小组按上述修正错误的原则及方法调整或修正响应文件的响应报价，供应商同意并签字确认后，调整后的响应报价对供应商具有约束作用。如果供应商不接受修正后的报价，则其响应将作为无效响应处理。</w:t>
      </w:r>
    </w:p>
    <w:p>
      <w:pPr>
        <w:spacing w:after="0" w:line="400" w:lineRule="exact"/>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2</w:t>
      </w:r>
      <w:r>
        <w:rPr>
          <w:rFonts w:ascii="宋体" w:hAnsi="宋体" w:eastAsia="宋体"/>
          <w:b/>
          <w:bCs/>
          <w:color w:val="auto"/>
          <w:sz w:val="24"/>
          <w:highlight w:val="none"/>
        </w:rPr>
        <w:t>3</w:t>
      </w:r>
      <w:r>
        <w:rPr>
          <w:rFonts w:hint="eastAsia" w:ascii="宋体" w:hAnsi="宋体" w:eastAsia="宋体"/>
          <w:b/>
          <w:bCs/>
          <w:color w:val="auto"/>
          <w:sz w:val="24"/>
          <w:highlight w:val="none"/>
        </w:rPr>
        <w:t>. 评审过程的保密</w:t>
      </w:r>
    </w:p>
    <w:p>
      <w:pPr>
        <w:spacing w:after="0" w:line="400" w:lineRule="exact"/>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w:t>
      </w:r>
      <w:r>
        <w:rPr>
          <w:rFonts w:ascii="宋体" w:hAnsi="宋体" w:eastAsia="宋体"/>
          <w:bCs/>
          <w:color w:val="auto"/>
          <w:sz w:val="24"/>
          <w:highlight w:val="none"/>
        </w:rPr>
        <w:t>3</w:t>
      </w:r>
      <w:r>
        <w:rPr>
          <w:rFonts w:hint="eastAsia" w:ascii="宋体" w:hAnsi="宋体" w:eastAsia="宋体"/>
          <w:bCs/>
          <w:color w:val="auto"/>
          <w:sz w:val="24"/>
          <w:highlight w:val="none"/>
        </w:rPr>
        <w:t>.1 在评审活动中，凡属于审查、澄清、评价和比较的有关资料及有关授予合同的信息，都不应向供应商或与评审无关的其他人泄露。</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2</w:t>
      </w:r>
      <w:r>
        <w:rPr>
          <w:rFonts w:ascii="宋体" w:hAnsi="宋体" w:eastAsia="宋体"/>
          <w:bCs/>
          <w:color w:val="auto"/>
          <w:sz w:val="24"/>
          <w:highlight w:val="none"/>
        </w:rPr>
        <w:t>3</w:t>
      </w:r>
      <w:r>
        <w:rPr>
          <w:rFonts w:hint="eastAsia" w:ascii="宋体" w:hAnsi="宋体" w:eastAsia="宋体"/>
          <w:bCs/>
          <w:color w:val="auto"/>
          <w:sz w:val="24"/>
          <w:highlight w:val="none"/>
        </w:rPr>
        <w:t>.2 在响应文件的审查、澄清、评价和比较以及授予合同的过程中，供应商对采购人和谈判小组成员施加影响的任何行为，都将导致被取消谈判资格。</w:t>
      </w:r>
    </w:p>
    <w:p>
      <w:pPr>
        <w:spacing w:after="0" w:line="400" w:lineRule="exact"/>
        <w:ind w:firstLine="480" w:firstLineChars="200"/>
        <w:rPr>
          <w:rFonts w:ascii="宋体" w:hAnsi="宋体" w:eastAsia="宋体"/>
          <w:b/>
          <w:bCs/>
          <w:color w:val="auto"/>
          <w:sz w:val="24"/>
          <w:highlight w:val="none"/>
        </w:rPr>
      </w:pPr>
      <w:r>
        <w:rPr>
          <w:rFonts w:hint="eastAsia" w:ascii="宋体" w:hAnsi="宋体" w:eastAsia="宋体" w:cs="宋体"/>
          <w:color w:val="auto"/>
          <w:sz w:val="24"/>
          <w:highlight w:val="none"/>
        </w:rPr>
        <w:t>▲</w:t>
      </w:r>
      <w:r>
        <w:rPr>
          <w:rFonts w:hint="eastAsia" w:ascii="宋体" w:hAnsi="宋体" w:eastAsia="宋体"/>
          <w:b/>
          <w:bCs/>
          <w:color w:val="auto"/>
          <w:sz w:val="24"/>
          <w:highlight w:val="none"/>
        </w:rPr>
        <w:t>2</w:t>
      </w:r>
      <w:r>
        <w:rPr>
          <w:rFonts w:ascii="宋体" w:hAnsi="宋体" w:eastAsia="宋体"/>
          <w:b/>
          <w:bCs/>
          <w:color w:val="auto"/>
          <w:sz w:val="24"/>
          <w:highlight w:val="none"/>
        </w:rPr>
        <w:t>4</w:t>
      </w:r>
      <w:r>
        <w:rPr>
          <w:rFonts w:hint="eastAsia" w:ascii="宋体" w:hAnsi="宋体" w:eastAsia="宋体"/>
          <w:b/>
          <w:bCs/>
          <w:color w:val="auto"/>
          <w:sz w:val="24"/>
          <w:highlight w:val="none"/>
        </w:rPr>
        <w:t>.</w:t>
      </w:r>
      <w:bookmarkStart w:id="68" w:name="_Toc254970532"/>
      <w:bookmarkStart w:id="69" w:name="_Toc254970673"/>
      <w:r>
        <w:rPr>
          <w:rFonts w:hint="eastAsia" w:ascii="宋体" w:hAnsi="宋体" w:eastAsia="宋体"/>
          <w:b/>
          <w:bCs/>
          <w:color w:val="auto"/>
          <w:sz w:val="24"/>
          <w:highlight w:val="none"/>
        </w:rPr>
        <w:t xml:space="preserve"> 特别说明：</w:t>
      </w:r>
      <w:bookmarkEnd w:id="68"/>
      <w:bookmarkEnd w:id="69"/>
    </w:p>
    <w:p>
      <w:pPr>
        <w:spacing w:after="0" w:line="400" w:lineRule="exact"/>
        <w:ind w:firstLine="480" w:firstLineChars="200"/>
        <w:rPr>
          <w:rFonts w:ascii="宋体" w:hAnsi="宋体" w:eastAsia="宋体"/>
          <w:color w:val="auto"/>
          <w:sz w:val="24"/>
          <w:highlight w:val="none"/>
        </w:rPr>
      </w:pPr>
      <w:r>
        <w:rPr>
          <w:rFonts w:hint="eastAsia" w:ascii="宋体" w:hAnsi="宋体" w:eastAsia="宋体" w:cs="Arial"/>
          <w:color w:val="auto"/>
          <w:sz w:val="24"/>
          <w:highlight w:val="none"/>
        </w:rPr>
        <w:t>（本条款所述竞标人等同于供应商，评标等同于评审，竞标等同于谈判或响应）</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24.1单位负责人为同一人或者存在直接控股、管理关系的，不得参加同一合同项下投标或未划分分标的同一合同项下投标，否则响应文件将被视为无效。</w:t>
      </w:r>
      <w:r>
        <w:rPr>
          <w:rFonts w:hint="eastAsia" w:ascii="宋体" w:hAnsi="宋体" w:eastAsia="宋体"/>
          <w:b/>
          <w:color w:val="auto"/>
          <w:sz w:val="24"/>
          <w:highlight w:val="none"/>
        </w:rPr>
        <w:t>生产厂商授权给供应商后自己不得参加同一合同项下的政府采购活动；生产厂商对同一品牌同一型号的货物，仅能委托一个代理商参加竞标。</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24.2除单一来源采购项目外，为采购项目提供整体设计、规范编制或者项目管理、监理、检测等服务的供应商，不得再参加该采购项目的其他采购活动，否则投标无效。</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24.3出现下列情形之一的，在评审过程中，取其中通过资格审查、符合性审查且报价最低的参加评审；当报价相同时，则由采购人自主选择确定一个参加评审的供应商，其他响应文件无效：</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（1）根据桂财采[2016]42号的规定，提供相同品牌产品的不同竞标人参加同一合同项下投标的，评审时，按上述规定确定其中一家为有效供应商。</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（2）非单一产品采购项目中，多家竞标人提供的核心产品相同的，视为提供相同品牌产品，应当按一个供应商认定，评审时，按上述规定确定其中一家为有效供应商。核心产品在谈判文件中写明。</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24.4 竞标人投标所使用的资格、信誉、荣誉、业绩与企业认证必须为本法人所拥有。</w:t>
      </w:r>
      <w:r>
        <w:rPr>
          <w:rFonts w:hint="eastAsia" w:ascii="宋体" w:hAnsi="宋体" w:eastAsia="宋体"/>
          <w:b/>
          <w:color w:val="auto"/>
          <w:sz w:val="24"/>
          <w:highlight w:val="none"/>
        </w:rPr>
        <w:t>（本采购文件第三章“项目采购需求和说明”另有约定的从其约定）</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24.5 竞标人应仔细阅读采购文件的所有内容，按照采购文件的要求提交响应文件，并对所提供的全部资料的真实性承担法律责任。</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24.6竞标人在投标活动中提供任何虚假材料,其投标无效，并报监管部门查处；中标后发现的,成交供应商须依照《中华人民共和国消费者权益保护法》规定赔偿采购人，且民事赔偿并不免除违法竞标人的行政与刑事责任。</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24.7在政府采购活动中，采购人员及相关人员与竞标人有下列利害关系之一的，应当回避：</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（1）参加采购活动前3年内与竞标人存在劳动关系；</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（2）参加采购活动前3年内担任竞标人的董事、监事；</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（3）参加采购活动前3年内是竞标人的控股股东或者实际控制人；</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（4）与竞标人的法定代表人或者负责人有夫妻、直系血亲、三代以内旁系血亲或者近姻亲关系；</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（5）与竞标人有其他可能影响政府采购活动公平、公正进行的关系。</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竞标人认为采购人员及相关人员与其他竞标人有利害关系的，可以向采购人或者采购代理机构书面提出回避申请，并说明理由。采购人或者采购代理机构应当及时询问被申请回避人员，有利害关系的被申请回避人员应当回避。</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25. 供应商相互串通投标</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有下列情形之一的视为供应商相互串通投标，响应文件将被视为无效：</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（1）不同供应商的响应文件由同一单位或者个人编制；或不同供应商报名的IP地址一致的；</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（2）不同供应商委托同一单位或者个人办理投标事宜；</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（3）不同的供应商的响应文件载明的项目管理员为同一个人；</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（4）不同供应商的响应文件异常一致或投标报价呈规律性差异；</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（5）不同供应商的响应文件相互混装；</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（6）不同供应商的投标保证金从同一单位或者个人账户转出。</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w:t>
      </w:r>
      <w:r>
        <w:rPr>
          <w:rFonts w:ascii="宋体" w:hAnsi="宋体" w:eastAsia="宋体"/>
          <w:b/>
          <w:color w:val="auto"/>
          <w:sz w:val="24"/>
          <w:highlight w:val="none"/>
        </w:rPr>
        <w:t xml:space="preserve">6. </w:t>
      </w:r>
      <w:r>
        <w:rPr>
          <w:rFonts w:hint="eastAsia" w:ascii="宋体" w:hAnsi="宋体" w:eastAsia="宋体"/>
          <w:b/>
          <w:color w:val="auto"/>
          <w:sz w:val="24"/>
          <w:highlight w:val="none"/>
        </w:rPr>
        <w:t>供应商恶意串通投标</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供应商有下列情形之一的，属于恶意串通行为：</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（1）供应商直接或者间接从采购人或者采购代理机构处获得其他供应商的相关信息并修改其响应文件或者响应文件：</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（2）供应商按照采购人或者采购代理机构的授意撤换、修改响应文件或者响应文件；</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（3）供应商之间协商报价、技术方案等响应文件或者响应文件的实质性内容；</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（4）属于同一集团、协会、商会等组织成员的供应商按照该组织要求协同参加政府采购活动；</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（5）供应商之间事先约定一致抬高或者压低投标报价,或者在招标项目中事先约定轮流以高价位或者低价位中标,或者事先约定由某一特定供应商中标,然后再参加投标；</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（6）供应商之间商定部分供应商放弃参加政府采购活动或者放弃中标；</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（7）供应商与采购人或者采购代理机构之间、供应商相互之间，为谋求特定供应商中标或者排斥其他供应商的其他串通行为。</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w:t>
      </w:r>
      <w:r>
        <w:rPr>
          <w:rFonts w:ascii="宋体" w:hAnsi="宋体" w:eastAsia="宋体"/>
          <w:b/>
          <w:color w:val="auto"/>
          <w:sz w:val="24"/>
          <w:highlight w:val="none"/>
        </w:rPr>
        <w:t>7</w:t>
      </w:r>
      <w:r>
        <w:rPr>
          <w:rFonts w:hint="eastAsia" w:ascii="宋体" w:hAnsi="宋体" w:eastAsia="宋体"/>
          <w:b/>
          <w:color w:val="auto"/>
          <w:sz w:val="24"/>
          <w:highlight w:val="none"/>
        </w:rPr>
        <w:t>. 终止采购</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出现下列情形之一的，采购人或者采购代理机构终止竞争性谈判采购活动，发布项目终止公告并说明原因，重新开展采购活动：</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（一）因情况变化，不再符合规定的竞争性谈判采购方式适用情形的；</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（二）出现影响采购公正的违法、违规行为的；</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（三）在采购过程中符合竞争要求的供应商或者报价未超过采购预算的供应商不足3家的，但</w:t>
      </w:r>
      <w:r>
        <w:rPr>
          <w:rFonts w:hint="eastAsia" w:ascii="宋体" w:hAnsi="宋体" w:eastAsia="宋体"/>
          <w:color w:val="auto"/>
          <w:sz w:val="24"/>
          <w:highlight w:val="none"/>
        </w:rPr>
        <w:t>《政府采购非招标采购方式管理办法》</w:t>
      </w:r>
      <w:r>
        <w:rPr>
          <w:rFonts w:ascii="宋体" w:hAnsi="宋体" w:eastAsia="宋体"/>
          <w:color w:val="auto"/>
          <w:sz w:val="24"/>
          <w:highlight w:val="none"/>
        </w:rPr>
        <w:t>第二十七条第二款规定的情形除外。</w:t>
      </w:r>
    </w:p>
    <w:p>
      <w:pPr>
        <w:pStyle w:val="4"/>
        <w:spacing w:before="120" w:beforeLines="50" w:line="400" w:lineRule="exact"/>
        <w:rPr>
          <w:rFonts w:ascii="宋体" w:hAnsi="宋体" w:eastAsia="宋体"/>
          <w:color w:val="auto"/>
          <w:highlight w:val="none"/>
        </w:rPr>
      </w:pPr>
      <w:bookmarkStart w:id="70" w:name="_Toc246094916"/>
      <w:bookmarkStart w:id="71" w:name="_Toc246095522"/>
      <w:bookmarkStart w:id="72" w:name="_Toc246095460"/>
      <w:bookmarkStart w:id="73" w:name="_Toc3773"/>
      <w:r>
        <w:rPr>
          <w:rFonts w:hint="eastAsia" w:ascii="宋体" w:hAnsi="宋体" w:eastAsia="宋体"/>
          <w:color w:val="auto"/>
          <w:highlight w:val="none"/>
        </w:rPr>
        <w:t>五、</w:t>
      </w:r>
      <w:bookmarkEnd w:id="70"/>
      <w:bookmarkEnd w:id="71"/>
      <w:bookmarkEnd w:id="72"/>
      <w:r>
        <w:rPr>
          <w:rFonts w:hint="eastAsia" w:ascii="宋体" w:hAnsi="宋体" w:eastAsia="宋体"/>
          <w:color w:val="auto"/>
          <w:highlight w:val="none"/>
        </w:rPr>
        <w:t>评审结果</w:t>
      </w:r>
      <w:bookmarkEnd w:id="73"/>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w:t>
      </w:r>
      <w:r>
        <w:rPr>
          <w:rFonts w:ascii="宋体" w:hAnsi="宋体" w:eastAsia="宋体"/>
          <w:b/>
          <w:color w:val="auto"/>
          <w:sz w:val="24"/>
          <w:highlight w:val="none"/>
        </w:rPr>
        <w:t>8</w:t>
      </w:r>
      <w:r>
        <w:rPr>
          <w:rFonts w:hint="eastAsia" w:ascii="宋体" w:hAnsi="宋体" w:eastAsia="宋体"/>
          <w:b/>
          <w:color w:val="auto"/>
          <w:sz w:val="24"/>
          <w:highlight w:val="none"/>
        </w:rPr>
        <w:t>. 评审结果确定</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采购代理机构在评审结束后2个工作日内将评审报告送采购人确认。采购人在收到评审报告后5个工作日内，从评审报告提出的成交候选人中，根据质量和服务均能满足采购文件实质性响应要求且最后报价/评标价最低的原则确定成交供应商（也可以书面授权谈判小组直接确定成交供应商）。采购人逾期未确定成交供应商且不提出异议的，视为确定评审报告提出的评标价最低的供应商为成交供应商。</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2</w:t>
      </w:r>
      <w:r>
        <w:rPr>
          <w:rFonts w:ascii="宋体" w:hAnsi="宋体" w:eastAsia="宋体"/>
          <w:b/>
          <w:color w:val="auto"/>
          <w:sz w:val="24"/>
          <w:highlight w:val="none"/>
        </w:rPr>
        <w:t>9</w:t>
      </w:r>
      <w:r>
        <w:rPr>
          <w:rFonts w:hint="eastAsia" w:ascii="宋体" w:hAnsi="宋体" w:eastAsia="宋体"/>
          <w:b/>
          <w:color w:val="auto"/>
          <w:sz w:val="24"/>
          <w:highlight w:val="none"/>
        </w:rPr>
        <w:t>. 成交通知</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采购代理机构在成交供应商确定后2个工作日内，在省级以上财政部门指定的媒体上公告成交结果，同时向成交供应商发出成交通知书。</w:t>
      </w:r>
    </w:p>
    <w:p>
      <w:pPr>
        <w:pStyle w:val="4"/>
        <w:spacing w:before="240" w:beforeLines="100" w:line="400" w:lineRule="exact"/>
        <w:rPr>
          <w:rFonts w:ascii="宋体" w:hAnsi="宋体" w:eastAsia="宋体"/>
          <w:color w:val="auto"/>
          <w:highlight w:val="none"/>
        </w:rPr>
      </w:pPr>
      <w:bookmarkStart w:id="74" w:name="_Toc453"/>
      <w:r>
        <w:rPr>
          <w:rFonts w:hint="eastAsia" w:ascii="宋体" w:hAnsi="宋体" w:eastAsia="宋体"/>
          <w:color w:val="auto"/>
          <w:highlight w:val="none"/>
        </w:rPr>
        <w:t>六、合同授予</w:t>
      </w:r>
      <w:bookmarkEnd w:id="74"/>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30. 履约保证金</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30.1成交供应商应按供应商须知前附表规定的履约保证金的金额、方式，在签订合同前缴纳给采购人指定账户。</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30.2 履约保证金作为违约金的一部分及用于补偿采购人因成交供应商不能完成其合同义务而蒙受的损失。如成交供应商不按双方签订的合同规定履约，则不予退还其全部履约保证金，履约保证金不足以赔偿损失的，按实际损失赔偿。</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30.3履约担保的有效期应当自本合同生效之日起至</w:t>
      </w:r>
      <w:r>
        <w:rPr>
          <w:rFonts w:hint="eastAsia" w:ascii="宋体" w:hAnsi="宋体" w:eastAsia="宋体"/>
          <w:color w:val="auto"/>
          <w:sz w:val="24"/>
          <w:highlight w:val="none"/>
          <w:lang w:eastAsia="zh-CN"/>
        </w:rPr>
        <w:t>质保期结束</w:t>
      </w:r>
      <w:r>
        <w:rPr>
          <w:rFonts w:hint="eastAsia" w:ascii="宋体" w:hAnsi="宋体" w:eastAsia="宋体"/>
          <w:color w:val="auto"/>
          <w:sz w:val="24"/>
          <w:highlight w:val="none"/>
        </w:rPr>
        <w:t>之日止。项目验收合格，成交供应商向采购人办理成果移交手续后，由供应商向采购人提供《政府采购项目履约保证金退付意见书》及《政府采购项目合同验收报告》（详见附件），采购人在收到合格材料后</w:t>
      </w:r>
      <w:r>
        <w:rPr>
          <w:rFonts w:ascii="宋体" w:hAnsi="宋体" w:eastAsia="宋体"/>
          <w:color w:val="auto"/>
          <w:sz w:val="24"/>
          <w:highlight w:val="none"/>
        </w:rPr>
        <w:t>5</w:t>
      </w:r>
      <w:r>
        <w:rPr>
          <w:rFonts w:hint="eastAsia" w:ascii="宋体" w:hAnsi="宋体" w:eastAsia="宋体"/>
          <w:color w:val="auto"/>
          <w:sz w:val="24"/>
          <w:highlight w:val="none"/>
        </w:rPr>
        <w:t>个日历天内扣减成交供应商赔偿金和其他应从成交供应商扣回的款项后，将履约保证金的余额退还给成交供应商（无息）。</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30.4在履约保证金退还日期前，若成交供应商的开户名称、开户银行、账号有变动的，请以书面形式通知采购人，否则由此产生的后果由成交供应商自负。</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31. 签订合同</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31</w:t>
      </w:r>
      <w:r>
        <w:rPr>
          <w:rFonts w:ascii="宋体" w:hAnsi="宋体" w:eastAsia="宋体"/>
          <w:color w:val="auto"/>
          <w:sz w:val="24"/>
          <w:highlight w:val="none"/>
        </w:rPr>
        <w:t>.1</w:t>
      </w:r>
      <w:r>
        <w:rPr>
          <w:rFonts w:hint="eastAsia" w:ascii="宋体" w:hAnsi="宋体" w:eastAsia="宋体"/>
          <w:color w:val="auto"/>
          <w:sz w:val="24"/>
          <w:highlight w:val="none"/>
        </w:rPr>
        <w:t>成交供应商应在成交通知书发出之日起15天内与采购人签订合同。</w:t>
      </w:r>
      <w:r>
        <w:rPr>
          <w:rFonts w:hint="eastAsia" w:ascii="宋体" w:hAnsi="宋体" w:eastAsia="宋体" w:cs="Arial"/>
          <w:color w:val="auto"/>
          <w:sz w:val="24"/>
          <w:highlight w:val="none"/>
        </w:rPr>
        <w:t>谈判文件、成交供应商的响应文件、应答文件等，均为签订政府采购合同的依据。</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31</w:t>
      </w:r>
      <w:r>
        <w:rPr>
          <w:rFonts w:ascii="宋体" w:hAnsi="宋体" w:eastAsia="宋体"/>
          <w:color w:val="auto"/>
          <w:sz w:val="24"/>
          <w:highlight w:val="none"/>
        </w:rPr>
        <w:t>.2</w:t>
      </w:r>
      <w:r>
        <w:rPr>
          <w:rFonts w:hint="eastAsia" w:ascii="宋体" w:hAnsi="宋体" w:eastAsia="宋体"/>
          <w:color w:val="auto"/>
          <w:sz w:val="24"/>
          <w:highlight w:val="none"/>
        </w:rPr>
        <w:t>如成交供应商不按成交通知书的规定签订合同，则按成交供应商违约处理，采购代理机构将不予退还成交供应商谈判保证金并上缴财政国库。</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31</w:t>
      </w:r>
      <w:r>
        <w:rPr>
          <w:rFonts w:ascii="宋体" w:hAnsi="宋体" w:eastAsia="宋体"/>
          <w:color w:val="auto"/>
          <w:sz w:val="24"/>
          <w:highlight w:val="none"/>
        </w:rPr>
        <w:t>.3成交供应商拒绝签订政府采购合同的，</w:t>
      </w:r>
      <w:r>
        <w:rPr>
          <w:rFonts w:hint="eastAsia" w:ascii="宋体" w:hAnsi="宋体" w:eastAsia="宋体"/>
          <w:color w:val="auto"/>
          <w:sz w:val="24"/>
          <w:highlight w:val="none"/>
        </w:rPr>
        <w:t>如</w:t>
      </w:r>
      <w:r>
        <w:rPr>
          <w:rFonts w:ascii="宋体" w:hAnsi="宋体" w:eastAsia="宋体"/>
          <w:color w:val="auto"/>
          <w:sz w:val="24"/>
          <w:highlight w:val="none"/>
        </w:rPr>
        <w:t>政府采购活动或</w:t>
      </w:r>
      <w:r>
        <w:rPr>
          <w:rFonts w:hint="eastAsia" w:ascii="宋体" w:hAnsi="宋体" w:eastAsia="宋体"/>
          <w:color w:val="auto"/>
          <w:sz w:val="24"/>
          <w:highlight w:val="none"/>
        </w:rPr>
        <w:t>成交</w:t>
      </w:r>
      <w:r>
        <w:rPr>
          <w:rFonts w:ascii="宋体" w:hAnsi="宋体" w:eastAsia="宋体"/>
          <w:color w:val="auto"/>
          <w:sz w:val="24"/>
          <w:highlight w:val="none"/>
        </w:rPr>
        <w:t>供应商不存在违法违规情形的，采购人可以根据采购项目的实际情况，综合考虑递补供应商的经济性和效率等因素，自主确定是否重新开展采购活动或确定下一候选人为成交供应商。</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31.</w:t>
      </w:r>
      <w:r>
        <w:rPr>
          <w:rFonts w:ascii="宋体" w:hAnsi="宋体" w:eastAsia="宋体"/>
          <w:color w:val="auto"/>
          <w:sz w:val="24"/>
          <w:highlight w:val="none"/>
        </w:rPr>
        <w:t>4</w:t>
      </w:r>
      <w:r>
        <w:rPr>
          <w:rFonts w:hint="eastAsia" w:ascii="宋体" w:hAnsi="宋体" w:eastAsia="宋体"/>
          <w:color w:val="auto"/>
          <w:sz w:val="24"/>
          <w:highlight w:val="none"/>
        </w:rPr>
        <w:t>采购人或成交供应商不得单方面向合同另一方提出任何竞争性谈判文件没有约定的条件或不合理的要求，作为签订合同的条件，也不得协商另行订立背离竞争性谈判文件和合同实质性内容的协议。</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31.5在合同履行中，采购人需追加与合同标的相同的货物、工程或者服务的，在不改变原合同条款的前提下，可以与供应商协商签订补充合同，但所有补充合同的采购金额不得超过原采购合同金额的10%。</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32. 政府采购合同公告</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根据</w:t>
      </w:r>
      <w:r>
        <w:rPr>
          <w:rFonts w:ascii="宋体" w:hAnsi="宋体" w:eastAsia="宋体" w:cs="Arial"/>
          <w:color w:val="auto"/>
          <w:sz w:val="24"/>
          <w:highlight w:val="none"/>
        </w:rPr>
        <w:t>《中华人民共和国政府采购法实施条例》第五十条</w:t>
      </w:r>
      <w:r>
        <w:rPr>
          <w:rFonts w:hint="eastAsia" w:ascii="宋体" w:hAnsi="宋体" w:eastAsia="宋体" w:cs="Arial"/>
          <w:color w:val="auto"/>
          <w:sz w:val="24"/>
          <w:highlight w:val="none"/>
        </w:rPr>
        <w:t>规定，采购人应当自政府采购合同签订之日起2个工作日内，将政府采购合同在省级以上人民政府财政部门指定的媒体上公告，</w:t>
      </w:r>
      <w:r>
        <w:rPr>
          <w:rFonts w:ascii="宋体" w:hAnsi="宋体" w:eastAsia="宋体" w:cs="Arial"/>
          <w:color w:val="auto"/>
          <w:sz w:val="24"/>
          <w:highlight w:val="none"/>
        </w:rPr>
        <w:t>但政府采购合同中涉及国家秘密、商业秘密的内容除外。</w:t>
      </w:r>
    </w:p>
    <w:p>
      <w:pPr>
        <w:pStyle w:val="4"/>
        <w:spacing w:before="240" w:beforeLines="100" w:line="400" w:lineRule="exact"/>
        <w:rPr>
          <w:rFonts w:ascii="宋体" w:hAnsi="宋体" w:eastAsia="宋体"/>
          <w:color w:val="auto"/>
          <w:highlight w:val="none"/>
        </w:rPr>
      </w:pPr>
      <w:bookmarkStart w:id="75" w:name="_Toc246095461"/>
      <w:bookmarkStart w:id="76" w:name="_Toc246095523"/>
      <w:bookmarkStart w:id="77" w:name="_Toc246094917"/>
      <w:bookmarkStart w:id="78" w:name="_Toc23225"/>
      <w:r>
        <w:rPr>
          <w:rFonts w:hint="eastAsia" w:ascii="宋体" w:hAnsi="宋体" w:eastAsia="宋体"/>
          <w:color w:val="auto"/>
          <w:highlight w:val="none"/>
        </w:rPr>
        <w:t>七、其他</w:t>
      </w:r>
      <w:bookmarkEnd w:id="75"/>
      <w:bookmarkEnd w:id="76"/>
      <w:bookmarkEnd w:id="77"/>
      <w:bookmarkEnd w:id="78"/>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33. 招标代理服务费</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33.1本项目招标代理服务费按本章33.2款规定的货物类费率标准，按差额定率累进法计算。成交人领取成交通知书前，应向采购代理机构一次付清招标代理服务费，否则，采购代理机构将视之为违约。</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33.2招标代理服务费标准：</w:t>
      </w:r>
    </w:p>
    <w:tbl>
      <w:tblPr>
        <w:tblStyle w:val="38"/>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1920"/>
        <w:gridCol w:w="1907"/>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l2br w:val="single" w:color="auto" w:sz="4" w:space="0"/>
            </w:tcBorders>
          </w:tcPr>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             费率</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中标金额</w:t>
            </w:r>
          </w:p>
        </w:tc>
        <w:tc>
          <w:tcPr>
            <w:tcW w:w="1920" w:type="dxa"/>
            <w:vAlign w:val="center"/>
          </w:tcPr>
          <w:p>
            <w:pPr>
              <w:spacing w:after="0" w:line="400" w:lineRule="exact"/>
              <w:jc w:val="center"/>
              <w:rPr>
                <w:rFonts w:ascii="宋体" w:hAnsi="宋体" w:eastAsia="宋体"/>
                <w:color w:val="auto"/>
                <w:sz w:val="24"/>
                <w:highlight w:val="none"/>
              </w:rPr>
            </w:pPr>
            <w:r>
              <w:rPr>
                <w:rFonts w:hint="eastAsia" w:ascii="宋体" w:hAnsi="宋体" w:eastAsia="宋体"/>
                <w:color w:val="auto"/>
                <w:sz w:val="24"/>
                <w:highlight w:val="none"/>
              </w:rPr>
              <w:t>货物招标</w:t>
            </w:r>
          </w:p>
        </w:tc>
        <w:tc>
          <w:tcPr>
            <w:tcW w:w="1907" w:type="dxa"/>
            <w:vAlign w:val="center"/>
          </w:tcPr>
          <w:p>
            <w:pPr>
              <w:spacing w:after="0" w:line="400" w:lineRule="exact"/>
              <w:jc w:val="center"/>
              <w:rPr>
                <w:rFonts w:ascii="宋体" w:hAnsi="宋体" w:eastAsia="宋体"/>
                <w:color w:val="auto"/>
                <w:sz w:val="24"/>
                <w:highlight w:val="none"/>
              </w:rPr>
            </w:pPr>
            <w:r>
              <w:rPr>
                <w:rFonts w:hint="eastAsia" w:ascii="宋体" w:hAnsi="宋体" w:eastAsia="宋体"/>
                <w:color w:val="auto"/>
                <w:sz w:val="24"/>
                <w:highlight w:val="none"/>
              </w:rPr>
              <w:t>服务招标</w:t>
            </w:r>
          </w:p>
        </w:tc>
        <w:tc>
          <w:tcPr>
            <w:tcW w:w="1683" w:type="dxa"/>
            <w:vAlign w:val="center"/>
          </w:tcPr>
          <w:p>
            <w:pPr>
              <w:spacing w:after="0" w:line="400" w:lineRule="exact"/>
              <w:jc w:val="center"/>
              <w:rPr>
                <w:rFonts w:ascii="宋体" w:hAnsi="宋体" w:eastAsia="宋体"/>
                <w:color w:val="auto"/>
                <w:sz w:val="24"/>
                <w:highlight w:val="none"/>
              </w:rPr>
            </w:pPr>
            <w:r>
              <w:rPr>
                <w:rFonts w:hint="eastAsia" w:ascii="宋体" w:hAnsi="宋体" w:eastAsia="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43" w:type="dxa"/>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100万元以下</w:t>
            </w:r>
          </w:p>
        </w:tc>
        <w:tc>
          <w:tcPr>
            <w:tcW w:w="1920" w:type="dxa"/>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1.5%</w:t>
            </w:r>
          </w:p>
        </w:tc>
        <w:tc>
          <w:tcPr>
            <w:tcW w:w="1907" w:type="dxa"/>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1.5%</w:t>
            </w:r>
          </w:p>
        </w:tc>
        <w:tc>
          <w:tcPr>
            <w:tcW w:w="1683" w:type="dxa"/>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1.0%</w:t>
            </w:r>
          </w:p>
        </w:tc>
      </w:tr>
    </w:tbl>
    <w:p>
      <w:pPr>
        <w:spacing w:after="0" w:line="400" w:lineRule="exact"/>
        <w:ind w:firstLine="482" w:firstLineChars="200"/>
        <w:rPr>
          <w:rFonts w:ascii="宋体" w:hAnsi="宋体" w:eastAsia="宋体"/>
          <w:b/>
          <w:color w:val="auto"/>
          <w:sz w:val="24"/>
          <w:highlight w:val="none"/>
        </w:rPr>
      </w:pP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34. 询问、质疑和投诉</w:t>
      </w:r>
    </w:p>
    <w:p>
      <w:pPr>
        <w:spacing w:after="0" w:line="400" w:lineRule="exact"/>
        <w:ind w:firstLine="480" w:firstLineChars="200"/>
        <w:rPr>
          <w:rFonts w:ascii="宋体" w:hAnsi="宋体" w:eastAsia="宋体" w:cs="Arial"/>
          <w:color w:val="auto"/>
          <w:sz w:val="24"/>
          <w:highlight w:val="none"/>
        </w:rPr>
      </w:pPr>
      <w:r>
        <w:rPr>
          <w:rFonts w:ascii="宋体" w:hAnsi="宋体" w:eastAsia="宋体" w:cs="Arial"/>
          <w:color w:val="auto"/>
          <w:sz w:val="24"/>
          <w:highlight w:val="none"/>
        </w:rPr>
        <w:t>34</w:t>
      </w:r>
      <w:r>
        <w:rPr>
          <w:rFonts w:hint="eastAsia" w:ascii="宋体" w:hAnsi="宋体" w:eastAsia="宋体" w:cs="Arial"/>
          <w:color w:val="auto"/>
          <w:sz w:val="24"/>
          <w:highlight w:val="none"/>
        </w:rPr>
        <w:t>.1供应商对政府采购活动事项有疑问的，可以向采购人、采购代理机构提出询问。</w:t>
      </w:r>
    </w:p>
    <w:p>
      <w:pPr>
        <w:spacing w:after="0" w:line="400" w:lineRule="exact"/>
        <w:ind w:firstLine="480" w:firstLineChars="200"/>
        <w:rPr>
          <w:rFonts w:ascii="宋体" w:hAnsi="宋体" w:eastAsia="宋体" w:cs="Arial"/>
          <w:color w:val="auto"/>
          <w:sz w:val="24"/>
          <w:highlight w:val="none"/>
        </w:rPr>
      </w:pPr>
      <w:r>
        <w:rPr>
          <w:rFonts w:ascii="宋体" w:hAnsi="宋体" w:eastAsia="宋体" w:cs="Arial"/>
          <w:color w:val="auto"/>
          <w:sz w:val="24"/>
          <w:highlight w:val="none"/>
        </w:rPr>
        <w:t>34</w:t>
      </w:r>
      <w:r>
        <w:rPr>
          <w:rFonts w:hint="eastAsia" w:ascii="宋体" w:hAnsi="宋体" w:eastAsia="宋体" w:cs="Arial"/>
          <w:color w:val="auto"/>
          <w:sz w:val="24"/>
          <w:highlight w:val="none"/>
        </w:rPr>
        <w:t>.2供应商认为采购文件、采购过程或成交结果使自己的合法权益受到损害的，应当在知道或者应知其权益受到损害之日起七个工作日内，以书面形式向采购人、采购代理机构提出质疑。具体计算起算时间如下：</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（一）对可以质疑的采购文件提出质疑的，为收到采购文件之日或者采购文件公告期限届满之日；</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（二）对采购过程提出质疑的，为各采购程序环节结束之日；</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（三）对成交结果提出质疑的，为成交结果公告期限届满之日。</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采购人或采购代理机构在收到供应商书面质疑后</w:t>
      </w:r>
      <w:r>
        <w:rPr>
          <w:rFonts w:ascii="宋体" w:hAnsi="宋体" w:eastAsia="宋体" w:cs="Arial"/>
          <w:color w:val="auto"/>
          <w:sz w:val="24"/>
          <w:highlight w:val="none"/>
        </w:rPr>
        <w:t>7</w:t>
      </w:r>
      <w:r>
        <w:rPr>
          <w:rFonts w:hint="eastAsia" w:ascii="宋体" w:hAnsi="宋体" w:eastAsia="宋体" w:cs="Arial"/>
          <w:color w:val="auto"/>
          <w:sz w:val="24"/>
          <w:highlight w:val="none"/>
        </w:rPr>
        <w:t>个工作日内，对质疑内容作出答复。供应商对采购人或采购代理机构的质疑答复不满意或者采购人或采购代理机构未在规定时间内作出答复的，可以在答复期满后十五个工作日内向同级采购监管部门投诉。</w:t>
      </w:r>
    </w:p>
    <w:p>
      <w:pPr>
        <w:spacing w:after="0" w:line="400" w:lineRule="exact"/>
        <w:ind w:firstLine="480" w:firstLineChars="200"/>
        <w:rPr>
          <w:rFonts w:ascii="宋体" w:hAnsi="宋体" w:eastAsia="宋体" w:cs="Arial"/>
          <w:color w:val="auto"/>
          <w:sz w:val="24"/>
          <w:highlight w:val="none"/>
        </w:rPr>
      </w:pPr>
      <w:r>
        <w:rPr>
          <w:rFonts w:ascii="宋体" w:hAnsi="宋体" w:eastAsia="宋体" w:cs="Arial"/>
          <w:color w:val="auto"/>
          <w:sz w:val="24"/>
          <w:highlight w:val="none"/>
        </w:rPr>
        <w:t>34</w:t>
      </w:r>
      <w:r>
        <w:rPr>
          <w:rFonts w:hint="eastAsia" w:ascii="宋体" w:hAnsi="宋体" w:eastAsia="宋体" w:cs="Arial"/>
          <w:color w:val="auto"/>
          <w:sz w:val="24"/>
          <w:highlight w:val="none"/>
        </w:rPr>
        <w:t>.3供应商的</w:t>
      </w:r>
      <w:r>
        <w:rPr>
          <w:rFonts w:hint="eastAsia" w:ascii="宋体" w:hAnsi="宋体" w:eastAsia="宋体" w:cs="Arial"/>
          <w:bCs/>
          <w:color w:val="auto"/>
          <w:sz w:val="24"/>
          <w:highlight w:val="none"/>
        </w:rPr>
        <w:t>质疑和投诉行为应当符合《政府采购质疑和投诉办法》（中华人民共和国财政部令第94号）规定。</w:t>
      </w:r>
      <w:r>
        <w:rPr>
          <w:rFonts w:hint="eastAsia" w:ascii="宋体" w:hAnsi="宋体" w:eastAsia="宋体" w:cs="Arial"/>
          <w:color w:val="auto"/>
          <w:sz w:val="24"/>
          <w:highlight w:val="none"/>
        </w:rPr>
        <w:t>质疑、投诉应当采用书面形式，</w:t>
      </w:r>
      <w:r>
        <w:rPr>
          <w:rFonts w:hint="eastAsia" w:ascii="宋体" w:hAnsi="宋体" w:eastAsia="宋体" w:cs="Arial"/>
          <w:bCs/>
          <w:color w:val="auto"/>
          <w:sz w:val="24"/>
          <w:highlight w:val="none"/>
        </w:rPr>
        <w:t>质疑函、投诉书应按财政部发布《政府采购供应商质疑函范本》、《政府采购供应商投诉书范本》编制，</w:t>
      </w:r>
      <w:r>
        <w:rPr>
          <w:rFonts w:hint="eastAsia" w:ascii="宋体" w:hAnsi="宋体" w:eastAsia="宋体" w:cs="Arial"/>
          <w:color w:val="auto"/>
          <w:sz w:val="24"/>
          <w:highlight w:val="none"/>
        </w:rPr>
        <w:t>质疑书、投诉书均应明确阐述采购文件、采购过程、成交结果中使自己合法权益受到损害的实质性内容，提供相关事实、明确的请求、必要的证明材料，便于有关单位调查、答复和处理。</w:t>
      </w:r>
    </w:p>
    <w:p>
      <w:pPr>
        <w:spacing w:after="0" w:line="40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供应商提出质疑应当提交质疑函和必要的证明材料，针对同一采购程序环节的质疑必须在法定质疑期内一次性提出。</w:t>
      </w:r>
    </w:p>
    <w:p>
      <w:pPr>
        <w:spacing w:after="0" w:line="40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35. 适用法律</w:t>
      </w:r>
    </w:p>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采购当事人的一切活动均适用于《中华人民共和国政府采购法》、《中华人民共和国政府采购法实施条例》、《</w:t>
      </w:r>
      <w:r>
        <w:rPr>
          <w:rFonts w:ascii="宋体" w:hAnsi="宋体" w:eastAsia="宋体"/>
          <w:color w:val="auto"/>
          <w:sz w:val="24"/>
          <w:highlight w:val="none"/>
        </w:rPr>
        <w:t>政府采购非招标采购方式管理办法</w:t>
      </w:r>
      <w:r>
        <w:rPr>
          <w:rFonts w:hint="eastAsia" w:ascii="宋体" w:hAnsi="宋体" w:eastAsia="宋体"/>
          <w:color w:val="auto"/>
          <w:sz w:val="24"/>
          <w:highlight w:val="none"/>
        </w:rPr>
        <w:t>》及相关规定。</w:t>
      </w:r>
    </w:p>
    <w:p>
      <w:pPr>
        <w:spacing w:after="0" w:line="400" w:lineRule="exact"/>
        <w:ind w:firstLine="480" w:firstLineChars="200"/>
        <w:rPr>
          <w:rFonts w:ascii="宋体" w:hAnsi="宋体" w:eastAsia="宋体"/>
          <w:color w:val="auto"/>
          <w:sz w:val="24"/>
          <w:highlight w:val="none"/>
        </w:rPr>
      </w:pPr>
    </w:p>
    <w:p>
      <w:pPr>
        <w:spacing w:after="0" w:line="400" w:lineRule="exact"/>
        <w:ind w:firstLine="440" w:firstLineChars="200"/>
        <w:rPr>
          <w:rFonts w:ascii="宋体" w:hAnsi="宋体" w:eastAsia="宋体"/>
          <w:color w:val="auto"/>
          <w:highlight w:val="none"/>
        </w:rPr>
        <w:sectPr>
          <w:headerReference r:id="rId10" w:type="first"/>
          <w:footerReference r:id="rId11" w:type="default"/>
          <w:footerReference r:id="rId12" w:type="even"/>
          <w:pgSz w:w="11907" w:h="16840"/>
          <w:pgMar w:top="1077" w:right="1049" w:bottom="1418" w:left="1020" w:header="624" w:footer="737" w:gutter="0"/>
          <w:pgNumType w:start="1"/>
          <w:cols w:space="720" w:num="1"/>
          <w:docGrid w:linePitch="312" w:charSpace="0"/>
        </w:sectPr>
      </w:pPr>
    </w:p>
    <w:p>
      <w:pPr>
        <w:pStyle w:val="3"/>
        <w:spacing w:before="120" w:beforeLines="50" w:after="120" w:afterLines="50"/>
        <w:ind w:firstLine="723" w:firstLineChars="200"/>
        <w:rPr>
          <w:rFonts w:ascii="宋体" w:hAnsi="宋体" w:eastAsia="宋体"/>
          <w:b/>
          <w:bCs/>
          <w:color w:val="auto"/>
          <w:highlight w:val="none"/>
        </w:rPr>
      </w:pPr>
      <w:bookmarkStart w:id="79" w:name="_Toc14373"/>
      <w:r>
        <w:rPr>
          <w:rFonts w:hint="eastAsia" w:ascii="宋体" w:hAnsi="宋体" w:eastAsia="宋体"/>
          <w:b/>
          <w:bCs/>
          <w:color w:val="auto"/>
          <w:highlight w:val="none"/>
        </w:rPr>
        <w:t>第三章  项目采购需求和说明</w:t>
      </w:r>
      <w:bookmarkEnd w:id="79"/>
    </w:p>
    <w:p>
      <w:pPr>
        <w:adjustRightInd/>
        <w:snapToGrid/>
        <w:spacing w:line="220" w:lineRule="atLeast"/>
        <w:rPr>
          <w:rFonts w:ascii="宋体" w:hAnsi="宋体" w:eastAsia="宋体"/>
          <w:color w:val="auto"/>
          <w:sz w:val="24"/>
          <w:highlight w:val="none"/>
        </w:rPr>
      </w:pPr>
    </w:p>
    <w:p>
      <w:pPr>
        <w:adjustRightInd/>
        <w:snapToGrid/>
        <w:spacing w:line="220" w:lineRule="atLeast"/>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采购项目技术规格、参数及要求</w:t>
      </w:r>
    </w:p>
    <w:p>
      <w:pPr>
        <w:spacing w:after="0" w:line="400" w:lineRule="exact"/>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1、本一览表中设备或货物的技术参数及其性能（配置）是本项目的基本要求，竞标人可选优于本一览表的技术参数性能（配置）要求的设备或货物进行应标。 </w:t>
      </w:r>
    </w:p>
    <w:p>
      <w:pPr>
        <w:spacing w:after="0" w:line="400" w:lineRule="exact"/>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2、本项目采购需求中技术参数及需求不明确或有误的，请以详细、正确的技术参数进行响应并承诺，同时填写“技术响应、偏离情况说明表”。</w:t>
      </w:r>
    </w:p>
    <w:p>
      <w:pPr>
        <w:spacing w:after="0" w:line="400" w:lineRule="exact"/>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供应商必须自行为其竞标产品侵犯其他供应商或专利人的专利成果承担相应法律责任；同时，具有产品专利的供应商应在其响应文件中提供与其自有产品专利相关的有效证明材料，否则，不能就其产品的专利在本项目竞标过程中被侵权问题提出异议。</w:t>
      </w:r>
    </w:p>
    <w:p>
      <w:pPr>
        <w:spacing w:after="0" w:line="4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u w:val="single"/>
        </w:rPr>
        <w:t>本次采购将依据强制采购节能产品品目清单和节能产品认证证书实施政府强制采购。若采购货物含有此类产品时，供应商的竞标货物必须使用政府强制采购的节能产品，供应商在响应文件中必须提供所投产品获得国家确定的认证机构出具的、处于有效期之内的节能产品认证证书复印件（加盖供应商单位公章），否则相应竞标无效</w:t>
      </w:r>
      <w:r>
        <w:rPr>
          <w:rFonts w:hint="eastAsia" w:asciiTheme="minorEastAsia" w:hAnsiTheme="minorEastAsia" w:eastAsiaTheme="minorEastAsia"/>
          <w:color w:val="auto"/>
          <w:sz w:val="24"/>
          <w:highlight w:val="none"/>
        </w:rPr>
        <w:t>。</w:t>
      </w:r>
    </w:p>
    <w:p>
      <w:pPr>
        <w:spacing w:after="0" w:line="400" w:lineRule="exact"/>
        <w:ind w:firstLine="480" w:firstLineChars="200"/>
        <w:rPr>
          <w:color w:val="auto"/>
          <w:highlight w:val="none"/>
        </w:rPr>
      </w:pPr>
      <w:r>
        <w:rPr>
          <w:rFonts w:hint="eastAsia" w:asciiTheme="minorEastAsia" w:hAnsiTheme="minorEastAsia" w:eastAsiaTheme="minorEastAsia"/>
          <w:bCs/>
          <w:color w:val="auto"/>
          <w:sz w:val="24"/>
          <w:highlight w:val="none"/>
          <w:u w:val="single"/>
        </w:rPr>
        <w:t>台式计算机、便携式计算机、平板式微型计算机、激光打印机、针式打印机、液晶显示器、制冷压缩机、空调机组、专用制冷、空调设备、镇流器、空调机、电热水器、普通照明用双端荧光灯、电视设备、视频设备以及便器、水嘴均为节能产品政府采购目清单内标注“★”的品目，属于政府强制采购节能产品。</w:t>
      </w:r>
    </w:p>
    <w:p>
      <w:pPr>
        <w:spacing w:after="0" w:line="400" w:lineRule="exact"/>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5、竞争性谈判文件中所要求提供的证明材料，如为英文文本的请同时提供中文译本。</w:t>
      </w:r>
    </w:p>
    <w:p>
      <w:pPr>
        <w:spacing w:after="0" w:line="400" w:lineRule="exact"/>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r>
        <w:rPr>
          <w:rFonts w:hint="eastAsia" w:asciiTheme="majorEastAsia" w:hAnsiTheme="majorEastAsia" w:eastAsiaTheme="majorEastAsia" w:cstheme="majorEastAsia"/>
          <w:b/>
          <w:color w:val="auto"/>
          <w:sz w:val="24"/>
          <w:highlight w:val="none"/>
          <w:u w:val="single"/>
        </w:rPr>
        <w:t>竞争性谈判文件中标注“</w:t>
      </w:r>
      <w:r>
        <w:rPr>
          <w:rFonts w:hint="eastAsia" w:ascii="宋体" w:hAnsi="宋体" w:eastAsia="宋体" w:cs="宋体"/>
          <w:bCs/>
          <w:color w:val="auto"/>
          <w:sz w:val="24"/>
          <w:highlight w:val="none"/>
          <w:u w:val="single"/>
        </w:rPr>
        <w:t>▲</w:t>
      </w:r>
      <w:r>
        <w:rPr>
          <w:rFonts w:hint="eastAsia" w:asciiTheme="majorEastAsia" w:hAnsiTheme="majorEastAsia" w:eastAsiaTheme="majorEastAsia" w:cstheme="majorEastAsia"/>
          <w:b/>
          <w:color w:val="auto"/>
          <w:sz w:val="24"/>
          <w:highlight w:val="none"/>
          <w:u w:val="single"/>
        </w:rPr>
        <w:t>”号的条款为实质性条款，必须满足或优于，否则竞标无效</w:t>
      </w:r>
      <w:r>
        <w:rPr>
          <w:rFonts w:hint="eastAsia" w:asciiTheme="majorEastAsia" w:hAnsiTheme="majorEastAsia" w:eastAsiaTheme="majorEastAsia" w:cstheme="majorEastAsia"/>
          <w:b/>
          <w:color w:val="auto"/>
          <w:sz w:val="24"/>
          <w:highlight w:val="none"/>
        </w:rPr>
        <w:t>。</w:t>
      </w:r>
    </w:p>
    <w:p>
      <w:pPr>
        <w:spacing w:after="0" w:line="400" w:lineRule="exact"/>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7、供应商所投项目（或分标）货物如国家有强制性要求的应按国家规定执行，并提供相关证明材料。</w:t>
      </w:r>
    </w:p>
    <w:p>
      <w:pPr>
        <w:spacing w:after="0" w:line="400" w:lineRule="exact"/>
        <w:ind w:firstLine="482" w:firstLineChars="200"/>
        <w:rPr>
          <w:color w:val="auto"/>
          <w:highlight w:val="none"/>
        </w:rPr>
      </w:pPr>
      <w:r>
        <w:rPr>
          <w:rFonts w:hint="eastAsia" w:asciiTheme="majorEastAsia" w:hAnsiTheme="majorEastAsia" w:eastAsiaTheme="majorEastAsia" w:cstheme="majorEastAsia"/>
          <w:b/>
          <w:color w:val="auto"/>
          <w:sz w:val="24"/>
          <w:highlight w:val="none"/>
        </w:rPr>
        <w:t>8、最终报价有时间限制，请各供应商事前做好准备，以免耽误报价。最终报价时，供应商只需报一个总价，结算时，各分项单价按最终报价与第一次报价的比例进行调整。</w:t>
      </w:r>
    </w:p>
    <w:p>
      <w:pPr>
        <w:adjustRightInd/>
        <w:snapToGrid/>
        <w:spacing w:line="220" w:lineRule="atLeast"/>
        <w:ind w:firstLine="480" w:firstLineChars="200"/>
        <w:rPr>
          <w:rFonts w:ascii="宋体" w:hAnsi="宋体" w:eastAsia="宋体"/>
          <w:color w:val="auto"/>
          <w:sz w:val="24"/>
          <w:highlight w:val="none"/>
        </w:rPr>
      </w:pPr>
    </w:p>
    <w:p>
      <w:pPr>
        <w:spacing w:after="0" w:line="400" w:lineRule="exact"/>
        <w:ind w:firstLine="480" w:firstLineChars="200"/>
        <w:rPr>
          <w:rFonts w:ascii="宋体" w:hAnsi="宋体" w:eastAsia="宋体"/>
          <w:color w:val="auto"/>
          <w:sz w:val="24"/>
          <w:highlight w:val="none"/>
        </w:rPr>
      </w:pPr>
    </w:p>
    <w:p>
      <w:pPr>
        <w:spacing w:after="0" w:line="400" w:lineRule="exact"/>
        <w:ind w:firstLine="480" w:firstLineChars="200"/>
        <w:rPr>
          <w:rFonts w:ascii="宋体" w:hAnsi="宋体" w:eastAsia="宋体"/>
          <w:color w:val="auto"/>
          <w:sz w:val="24"/>
          <w:highlight w:val="none"/>
        </w:rPr>
      </w:pPr>
    </w:p>
    <w:p>
      <w:pPr>
        <w:spacing w:after="0" w:line="400" w:lineRule="exact"/>
        <w:ind w:firstLine="480" w:firstLineChars="200"/>
        <w:rPr>
          <w:rFonts w:ascii="宋体" w:hAnsi="宋体" w:eastAsia="宋体"/>
          <w:color w:val="auto"/>
          <w:sz w:val="24"/>
          <w:highlight w:val="none"/>
        </w:rPr>
      </w:pPr>
    </w:p>
    <w:p>
      <w:pPr>
        <w:spacing w:after="0" w:line="400" w:lineRule="exact"/>
        <w:ind w:firstLine="480" w:firstLineChars="200"/>
        <w:rPr>
          <w:rFonts w:ascii="宋体" w:hAnsi="宋体" w:eastAsia="宋体"/>
          <w:color w:val="auto"/>
          <w:sz w:val="24"/>
          <w:highlight w:val="none"/>
        </w:rPr>
      </w:pPr>
    </w:p>
    <w:p>
      <w:pPr>
        <w:spacing w:after="0" w:line="400" w:lineRule="exact"/>
        <w:ind w:firstLine="480" w:firstLineChars="200"/>
        <w:rPr>
          <w:rFonts w:ascii="宋体" w:hAnsi="宋体" w:eastAsia="宋体"/>
          <w:color w:val="auto"/>
          <w:sz w:val="24"/>
          <w:highlight w:val="none"/>
        </w:rPr>
      </w:pPr>
    </w:p>
    <w:p>
      <w:pPr>
        <w:spacing w:after="0" w:line="400" w:lineRule="exact"/>
        <w:ind w:firstLine="480" w:firstLineChars="200"/>
        <w:rPr>
          <w:rFonts w:ascii="宋体" w:hAnsi="宋体" w:eastAsia="宋体"/>
          <w:color w:val="auto"/>
          <w:sz w:val="24"/>
          <w:highlight w:val="none"/>
        </w:rPr>
      </w:pPr>
    </w:p>
    <w:p>
      <w:pPr>
        <w:spacing w:after="0" w:line="400" w:lineRule="exact"/>
        <w:ind w:firstLine="480" w:firstLineChars="200"/>
        <w:rPr>
          <w:rFonts w:ascii="宋体" w:hAnsi="宋体" w:eastAsia="宋体"/>
          <w:color w:val="auto"/>
          <w:sz w:val="24"/>
          <w:highlight w:val="none"/>
        </w:rPr>
      </w:pPr>
    </w:p>
    <w:p>
      <w:pPr>
        <w:spacing w:after="0" w:line="400" w:lineRule="exact"/>
        <w:ind w:firstLine="3584" w:firstLineChars="1700"/>
        <w:jc w:val="both"/>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货物需求一览表</w:t>
      </w:r>
    </w:p>
    <w:tbl>
      <w:tblPr>
        <w:tblStyle w:val="38"/>
        <w:tblW w:w="0" w:type="auto"/>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444"/>
        <w:gridCol w:w="444"/>
        <w:gridCol w:w="444"/>
        <w:gridCol w:w="5197"/>
        <w:gridCol w:w="573"/>
        <w:gridCol w:w="88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gridSpan w:val="8"/>
            <w:vAlign w:val="center"/>
          </w:tcPr>
          <w:p>
            <w:pPr>
              <w:spacing w:line="380" w:lineRule="exact"/>
              <w:jc w:val="center"/>
              <w:textAlignment w:val="center"/>
              <w:rPr>
                <w:rFonts w:asciiTheme="majorEastAsia" w:hAnsiTheme="majorEastAsia" w:eastAsiaTheme="majorEastAsia" w:cstheme="majorEastAsia"/>
                <w:b w:val="0"/>
                <w:bCs w:val="0"/>
                <w:color w:val="auto"/>
                <w:kern w:val="2"/>
                <w:sz w:val="21"/>
                <w:szCs w:val="21"/>
                <w:highlight w:val="none"/>
              </w:rPr>
            </w:pPr>
            <w:r>
              <w:rPr>
                <w:rFonts w:hint="eastAsia" w:asciiTheme="majorEastAsia" w:hAnsiTheme="majorEastAsia" w:eastAsiaTheme="majorEastAsia" w:cstheme="majorEastAsia"/>
                <w:b w:val="0"/>
                <w:bCs w:val="0"/>
                <w:color w:val="auto"/>
                <w:kern w:val="2"/>
                <w:sz w:val="21"/>
                <w:szCs w:val="21"/>
                <w:highlight w:val="none"/>
              </w:rPr>
              <w:t>1标（罗城仫佬族自治县7个灌区计量设施建设）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1"/>
                <w:szCs w:val="21"/>
                <w:highlight w:val="none"/>
                <w:lang w:bidi="ar"/>
              </w:rPr>
            </w:pPr>
            <w:r>
              <w:rPr>
                <w:rFonts w:hint="eastAsia" w:asciiTheme="majorEastAsia" w:hAnsiTheme="majorEastAsia" w:eastAsiaTheme="majorEastAsia" w:cstheme="majorEastAsia"/>
                <w:b w:val="0"/>
                <w:bCs w:val="0"/>
                <w:color w:val="auto"/>
                <w:sz w:val="21"/>
                <w:szCs w:val="21"/>
                <w:highlight w:val="none"/>
                <w:lang w:bidi="ar"/>
              </w:rPr>
              <w:t>序号</w:t>
            </w:r>
          </w:p>
        </w:tc>
        <w:tc>
          <w:tcPr>
            <w:tcW w:w="0" w:type="auto"/>
            <w:gridSpan w:val="3"/>
            <w:vAlign w:val="center"/>
          </w:tcPr>
          <w:p>
            <w:pPr>
              <w:spacing w:line="380" w:lineRule="exact"/>
              <w:jc w:val="center"/>
              <w:textAlignment w:val="center"/>
              <w:rPr>
                <w:rFonts w:asciiTheme="majorEastAsia" w:hAnsiTheme="majorEastAsia" w:eastAsiaTheme="majorEastAsia" w:cstheme="majorEastAsia"/>
                <w:b w:val="0"/>
                <w:bCs w:val="0"/>
                <w:color w:val="auto"/>
                <w:sz w:val="21"/>
                <w:szCs w:val="21"/>
                <w:highlight w:val="none"/>
                <w:lang w:bidi="ar"/>
              </w:rPr>
            </w:pPr>
            <w:r>
              <w:rPr>
                <w:rFonts w:hint="eastAsia" w:asciiTheme="majorEastAsia" w:hAnsiTheme="majorEastAsia" w:eastAsiaTheme="majorEastAsia" w:cstheme="majorEastAsia"/>
                <w:b w:val="0"/>
                <w:bCs w:val="0"/>
                <w:color w:val="auto"/>
                <w:sz w:val="21"/>
                <w:szCs w:val="21"/>
                <w:highlight w:val="none"/>
                <w:lang w:bidi="ar"/>
              </w:rPr>
              <w:t>设备名称</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1"/>
                <w:szCs w:val="21"/>
                <w:highlight w:val="none"/>
                <w:lang w:bidi="ar"/>
              </w:rPr>
            </w:pPr>
            <w:r>
              <w:rPr>
                <w:rFonts w:hint="eastAsia" w:asciiTheme="majorEastAsia" w:hAnsiTheme="majorEastAsia" w:eastAsiaTheme="majorEastAsia" w:cstheme="majorEastAsia"/>
                <w:b w:val="0"/>
                <w:bCs w:val="0"/>
                <w:color w:val="auto"/>
                <w:sz w:val="21"/>
                <w:szCs w:val="21"/>
                <w:highlight w:val="none"/>
                <w:lang w:bidi="ar"/>
              </w:rPr>
              <w:t>技术规格、参数</w:t>
            </w:r>
          </w:p>
        </w:tc>
        <w:tc>
          <w:tcPr>
            <w:tcW w:w="0" w:type="auto"/>
            <w:vAlign w:val="center"/>
          </w:tcPr>
          <w:p>
            <w:pPr>
              <w:spacing w:line="380" w:lineRule="exact"/>
              <w:jc w:val="center"/>
              <w:textAlignment w:val="center"/>
              <w:rPr>
                <w:rFonts w:hint="eastAsia" w:asciiTheme="majorEastAsia" w:hAnsiTheme="majorEastAsia" w:eastAsiaTheme="majorEastAsia" w:cstheme="majorEastAsia"/>
                <w:b w:val="0"/>
                <w:bCs w:val="0"/>
                <w:color w:val="auto"/>
                <w:sz w:val="21"/>
                <w:szCs w:val="21"/>
                <w:highlight w:val="none"/>
                <w:lang w:val="en-US" w:eastAsia="zh-CN" w:bidi="ar"/>
              </w:rPr>
            </w:pPr>
            <w:r>
              <w:rPr>
                <w:rFonts w:hint="eastAsia" w:asciiTheme="majorEastAsia" w:hAnsiTheme="majorEastAsia" w:eastAsiaTheme="majorEastAsia" w:cstheme="majorEastAsia"/>
                <w:b w:val="0"/>
                <w:bCs w:val="0"/>
                <w:color w:val="auto"/>
                <w:sz w:val="21"/>
                <w:szCs w:val="21"/>
                <w:highlight w:val="none"/>
                <w:lang w:bidi="ar"/>
              </w:rPr>
              <w:t>数量</w:t>
            </w:r>
            <w:r>
              <w:rPr>
                <w:rFonts w:hint="eastAsia" w:asciiTheme="majorEastAsia" w:hAnsiTheme="majorEastAsia" w:eastAsiaTheme="majorEastAsia" w:cstheme="majorEastAsia"/>
                <w:b w:val="0"/>
                <w:bCs w:val="0"/>
                <w:color w:val="auto"/>
                <w:sz w:val="21"/>
                <w:szCs w:val="21"/>
                <w:highlight w:val="none"/>
                <w:lang w:val="en-US" w:eastAsia="zh-CN" w:bidi="ar"/>
              </w:rPr>
              <w:t>/单位</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1"/>
                <w:szCs w:val="21"/>
                <w:highlight w:val="none"/>
                <w:lang w:bidi="ar"/>
              </w:rPr>
            </w:pPr>
            <w:r>
              <w:rPr>
                <w:rFonts w:hint="eastAsia" w:asciiTheme="majorEastAsia" w:hAnsiTheme="majorEastAsia" w:eastAsiaTheme="majorEastAsia" w:cstheme="majorEastAsia"/>
                <w:b w:val="0"/>
                <w:bCs w:val="0"/>
                <w:color w:val="auto"/>
                <w:sz w:val="21"/>
                <w:szCs w:val="21"/>
                <w:highlight w:val="none"/>
                <w:lang w:bidi="ar"/>
              </w:rPr>
              <w:t>单价（元）</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1"/>
                <w:szCs w:val="21"/>
                <w:highlight w:val="none"/>
                <w:lang w:bidi="ar"/>
              </w:rPr>
            </w:pPr>
            <w:r>
              <w:rPr>
                <w:rFonts w:hint="eastAsia" w:asciiTheme="majorEastAsia" w:hAnsiTheme="majorEastAsia" w:eastAsiaTheme="majorEastAsia" w:cstheme="majorEastAsia"/>
                <w:b w:val="0"/>
                <w:bCs w:val="0"/>
                <w:color w:val="auto"/>
                <w:sz w:val="21"/>
                <w:szCs w:val="21"/>
                <w:highlight w:val="none"/>
                <w:lang w:bidi="ar"/>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1"/>
                <w:szCs w:val="21"/>
                <w:highlight w:val="none"/>
                <w:lang w:bidi="ar"/>
              </w:rPr>
            </w:pPr>
            <w:r>
              <w:rPr>
                <w:rFonts w:hint="eastAsia" w:asciiTheme="majorEastAsia" w:hAnsiTheme="majorEastAsia" w:eastAsiaTheme="majorEastAsia" w:cstheme="majorEastAsia"/>
                <w:b w:val="0"/>
                <w:bCs w:val="0"/>
                <w:color w:val="auto"/>
                <w:sz w:val="21"/>
                <w:szCs w:val="21"/>
                <w:highlight w:val="none"/>
                <w:lang w:bidi="ar"/>
              </w:rPr>
              <w:t>一</w:t>
            </w:r>
          </w:p>
        </w:tc>
        <w:tc>
          <w:tcPr>
            <w:tcW w:w="0" w:type="auto"/>
            <w:gridSpan w:val="7"/>
            <w:vAlign w:val="center"/>
          </w:tcPr>
          <w:p>
            <w:pPr>
              <w:spacing w:line="380" w:lineRule="exact"/>
              <w:jc w:val="center"/>
              <w:textAlignment w:val="center"/>
              <w:rPr>
                <w:rFonts w:asciiTheme="majorEastAsia" w:hAnsiTheme="majorEastAsia" w:eastAsiaTheme="majorEastAsia" w:cstheme="majorEastAsia"/>
                <w:b w:val="0"/>
                <w:bCs w:val="0"/>
                <w:color w:val="auto"/>
                <w:sz w:val="21"/>
                <w:szCs w:val="21"/>
                <w:highlight w:val="none"/>
                <w:lang w:bidi="ar"/>
              </w:rPr>
            </w:pPr>
            <w:r>
              <w:rPr>
                <w:rFonts w:hint="eastAsia" w:asciiTheme="majorEastAsia" w:hAnsiTheme="majorEastAsia" w:eastAsiaTheme="majorEastAsia" w:cstheme="majorEastAsia"/>
                <w:b w:val="0"/>
                <w:bCs w:val="0"/>
                <w:color w:val="auto"/>
                <w:sz w:val="21"/>
                <w:szCs w:val="21"/>
                <w:highlight w:val="none"/>
                <w:lang w:bidi="ar"/>
              </w:rPr>
              <w:t>遥测站设备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1"/>
                <w:szCs w:val="21"/>
                <w:highlight w:val="none"/>
                <w:lang w:bidi="ar"/>
              </w:rPr>
            </w:pPr>
            <w:r>
              <w:rPr>
                <w:rFonts w:hint="eastAsia" w:asciiTheme="majorEastAsia" w:hAnsiTheme="majorEastAsia" w:eastAsiaTheme="majorEastAsia" w:cstheme="majorEastAsia"/>
                <w:b w:val="0"/>
                <w:bCs w:val="0"/>
                <w:color w:val="auto"/>
                <w:sz w:val="21"/>
                <w:szCs w:val="21"/>
                <w:highlight w:val="none"/>
                <w:lang w:bidi="ar"/>
              </w:rPr>
              <w:t>（一）</w:t>
            </w:r>
          </w:p>
        </w:tc>
        <w:tc>
          <w:tcPr>
            <w:tcW w:w="0" w:type="auto"/>
            <w:gridSpan w:val="7"/>
            <w:vAlign w:val="center"/>
          </w:tcPr>
          <w:p>
            <w:pPr>
              <w:spacing w:line="380" w:lineRule="exact"/>
              <w:jc w:val="center"/>
              <w:textAlignment w:val="center"/>
              <w:rPr>
                <w:rFonts w:asciiTheme="majorEastAsia" w:hAnsiTheme="majorEastAsia" w:eastAsiaTheme="majorEastAsia" w:cstheme="majorEastAsia"/>
                <w:b w:val="0"/>
                <w:bCs w:val="0"/>
                <w:color w:val="auto"/>
                <w:sz w:val="21"/>
                <w:szCs w:val="21"/>
                <w:highlight w:val="none"/>
                <w:lang w:bidi="ar"/>
              </w:rPr>
            </w:pPr>
            <w:r>
              <w:rPr>
                <w:rFonts w:hint="eastAsia" w:asciiTheme="majorEastAsia" w:hAnsiTheme="majorEastAsia" w:eastAsiaTheme="majorEastAsia" w:cstheme="majorEastAsia"/>
                <w:b w:val="0"/>
                <w:bCs w:val="0"/>
                <w:color w:val="auto"/>
                <w:sz w:val="21"/>
                <w:szCs w:val="21"/>
                <w:highlight w:val="none"/>
                <w:lang w:bidi="ar"/>
              </w:rPr>
              <w:t>水雨情遥测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w:t>
            </w:r>
          </w:p>
        </w:tc>
        <w:tc>
          <w:tcPr>
            <w:tcW w:w="0" w:type="auto"/>
            <w:gridSpan w:val="3"/>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▲遥测终端</w:t>
            </w:r>
          </w:p>
        </w:tc>
        <w:tc>
          <w:tcPr>
            <w:tcW w:w="0" w:type="auto"/>
            <w:vAlign w:val="center"/>
          </w:tcPr>
          <w:p>
            <w:pPr>
              <w:spacing w:after="120" w:afterLines="50"/>
              <w:rPr>
                <w:rFonts w:asciiTheme="majorEastAsia" w:hAnsiTheme="majorEastAsia" w:eastAsiaTheme="majorEastAsia" w:cstheme="majorEastAsia"/>
                <w:b w:val="0"/>
                <w:bCs w:val="0"/>
                <w:color w:val="auto"/>
                <w:sz w:val="20"/>
                <w:szCs w:val="20"/>
                <w:highlight w:val="none"/>
              </w:rPr>
            </w:pPr>
            <w:r>
              <w:rPr>
                <w:rFonts w:asciiTheme="majorEastAsia" w:hAnsiTheme="majorEastAsia" w:eastAsiaTheme="majorEastAsia" w:cstheme="majorEastAsia"/>
                <w:b w:val="0"/>
                <w:bCs w:val="0"/>
                <w:color w:val="auto"/>
                <w:sz w:val="20"/>
                <w:szCs w:val="20"/>
                <w:highlight w:val="none"/>
                <w:lang w:bidi="ar"/>
              </w:rPr>
              <w:t></w:t>
            </w:r>
            <w:r>
              <w:rPr>
                <w:rFonts w:asciiTheme="majorEastAsia" w:hAnsiTheme="majorEastAsia" w:eastAsiaTheme="majorEastAsia" w:cstheme="majorEastAsia"/>
                <w:b w:val="0"/>
                <w:bCs w:val="0"/>
                <w:color w:val="auto"/>
                <w:sz w:val="20"/>
                <w:szCs w:val="20"/>
                <w:highlight w:val="none"/>
              </w:rPr>
              <w:t xml:space="preserve"> </w:t>
            </w:r>
            <w:r>
              <w:rPr>
                <w:rFonts w:hint="eastAsia" w:asciiTheme="majorEastAsia" w:hAnsiTheme="majorEastAsia" w:eastAsiaTheme="majorEastAsia" w:cstheme="majorEastAsia"/>
                <w:b w:val="0"/>
                <w:bCs w:val="0"/>
                <w:color w:val="auto"/>
                <w:sz w:val="20"/>
                <w:szCs w:val="20"/>
                <w:highlight w:val="none"/>
              </w:rPr>
              <w:t>（</w:t>
            </w:r>
            <w:r>
              <w:rPr>
                <w:rFonts w:asciiTheme="majorEastAsia" w:hAnsiTheme="majorEastAsia" w:eastAsiaTheme="majorEastAsia" w:cstheme="majorEastAsia"/>
                <w:b w:val="0"/>
                <w:bCs w:val="0"/>
                <w:color w:val="auto"/>
                <w:sz w:val="20"/>
                <w:szCs w:val="20"/>
                <w:highlight w:val="none"/>
              </w:rPr>
              <w:t>1</w:t>
            </w:r>
            <w:r>
              <w:rPr>
                <w:rFonts w:hint="eastAsia" w:asciiTheme="majorEastAsia" w:hAnsiTheme="majorEastAsia" w:eastAsiaTheme="majorEastAsia" w:cstheme="majorEastAsia"/>
                <w:b w:val="0"/>
                <w:bCs w:val="0"/>
                <w:color w:val="auto"/>
                <w:sz w:val="20"/>
                <w:szCs w:val="20"/>
                <w:highlight w:val="none"/>
              </w:rPr>
              <w:t>）具备</w:t>
            </w:r>
            <w:r>
              <w:rPr>
                <w:rFonts w:asciiTheme="majorEastAsia" w:hAnsiTheme="majorEastAsia" w:eastAsiaTheme="majorEastAsia" w:cstheme="majorEastAsia"/>
                <w:b w:val="0"/>
                <w:bCs w:val="0"/>
                <w:color w:val="auto"/>
                <w:sz w:val="20"/>
                <w:szCs w:val="20"/>
                <w:highlight w:val="none"/>
              </w:rPr>
              <w:t>8</w:t>
            </w:r>
            <w:r>
              <w:rPr>
                <w:rFonts w:hint="eastAsia" w:asciiTheme="majorEastAsia" w:hAnsiTheme="majorEastAsia" w:eastAsiaTheme="majorEastAsia" w:cstheme="majorEastAsia"/>
                <w:b w:val="0"/>
                <w:bCs w:val="0"/>
                <w:color w:val="auto"/>
                <w:sz w:val="20"/>
                <w:szCs w:val="20"/>
                <w:highlight w:val="none"/>
              </w:rPr>
              <w:t>路无源数字量输入接口，具有脉冲、频率和电平信号的采集功能，接入雨量计、行程开关、脉冲式流量计（水表）以及输出频率信号的传感器。</w:t>
            </w:r>
          </w:p>
          <w:p>
            <w:pPr>
              <w:spacing w:after="120" w:afterLines="50"/>
              <w:rPr>
                <w:rFonts w:asciiTheme="majorEastAsia" w:hAnsiTheme="majorEastAsia" w:eastAsiaTheme="majorEastAsia" w:cstheme="majorEastAsia"/>
                <w:b w:val="0"/>
                <w:bCs w:val="0"/>
                <w:color w:val="auto"/>
                <w:sz w:val="20"/>
                <w:szCs w:val="20"/>
                <w:highlight w:val="none"/>
              </w:rPr>
            </w:pPr>
            <w:r>
              <w:rPr>
                <w:rFonts w:asciiTheme="majorEastAsia" w:hAnsiTheme="majorEastAsia" w:eastAsiaTheme="majorEastAsia" w:cstheme="majorEastAsia"/>
                <w:b w:val="0"/>
                <w:bCs w:val="0"/>
                <w:color w:val="auto"/>
                <w:sz w:val="20"/>
                <w:szCs w:val="20"/>
                <w:highlight w:val="none"/>
              </w:rPr>
              <w:t xml:space="preserve"> </w:t>
            </w:r>
            <w:r>
              <w:rPr>
                <w:rFonts w:hint="eastAsia" w:asciiTheme="majorEastAsia" w:hAnsiTheme="majorEastAsia" w:eastAsiaTheme="majorEastAsia" w:cstheme="majorEastAsia"/>
                <w:b w:val="0"/>
                <w:bCs w:val="0"/>
                <w:color w:val="auto"/>
                <w:sz w:val="20"/>
                <w:szCs w:val="20"/>
                <w:highlight w:val="none"/>
              </w:rPr>
              <w:t>（</w:t>
            </w:r>
            <w:r>
              <w:rPr>
                <w:rFonts w:asciiTheme="majorEastAsia" w:hAnsiTheme="majorEastAsia" w:eastAsiaTheme="majorEastAsia" w:cstheme="majorEastAsia"/>
                <w:b w:val="0"/>
                <w:bCs w:val="0"/>
                <w:color w:val="auto"/>
                <w:sz w:val="20"/>
                <w:szCs w:val="20"/>
                <w:highlight w:val="none"/>
              </w:rPr>
              <w:t>2</w:t>
            </w:r>
            <w:r>
              <w:rPr>
                <w:rFonts w:hint="eastAsia" w:asciiTheme="majorEastAsia" w:hAnsiTheme="majorEastAsia" w:eastAsiaTheme="majorEastAsia" w:cstheme="majorEastAsia"/>
                <w:b w:val="0"/>
                <w:bCs w:val="0"/>
                <w:color w:val="auto"/>
                <w:sz w:val="20"/>
                <w:szCs w:val="20"/>
                <w:highlight w:val="none"/>
              </w:rPr>
              <w:t>）具备</w:t>
            </w:r>
            <w:r>
              <w:rPr>
                <w:rFonts w:asciiTheme="majorEastAsia" w:hAnsiTheme="majorEastAsia" w:eastAsiaTheme="majorEastAsia" w:cstheme="majorEastAsia"/>
                <w:b w:val="0"/>
                <w:bCs w:val="0"/>
                <w:color w:val="auto"/>
                <w:sz w:val="20"/>
                <w:szCs w:val="20"/>
                <w:highlight w:val="none"/>
              </w:rPr>
              <w:t>7</w:t>
            </w:r>
            <w:r>
              <w:rPr>
                <w:rFonts w:hint="eastAsia" w:asciiTheme="majorEastAsia" w:hAnsiTheme="majorEastAsia" w:eastAsiaTheme="majorEastAsia" w:cstheme="majorEastAsia"/>
                <w:b w:val="0"/>
                <w:bCs w:val="0"/>
                <w:color w:val="auto"/>
                <w:sz w:val="20"/>
                <w:szCs w:val="20"/>
                <w:highlight w:val="none"/>
              </w:rPr>
              <w:t>路模拟量采集输入接口，能够采集</w:t>
            </w:r>
            <w:r>
              <w:rPr>
                <w:rFonts w:asciiTheme="majorEastAsia" w:hAnsiTheme="majorEastAsia" w:eastAsiaTheme="majorEastAsia" w:cstheme="majorEastAsia"/>
                <w:b w:val="0"/>
                <w:bCs w:val="0"/>
                <w:color w:val="auto"/>
                <w:sz w:val="20"/>
                <w:szCs w:val="20"/>
                <w:highlight w:val="none"/>
              </w:rPr>
              <w:t>4-20mA</w:t>
            </w:r>
            <w:r>
              <w:rPr>
                <w:rFonts w:hint="eastAsia" w:asciiTheme="majorEastAsia" w:hAnsiTheme="majorEastAsia" w:eastAsiaTheme="majorEastAsia" w:cstheme="majorEastAsia"/>
                <w:b w:val="0"/>
                <w:bCs w:val="0"/>
                <w:color w:val="auto"/>
                <w:sz w:val="20"/>
                <w:szCs w:val="20"/>
                <w:highlight w:val="none"/>
              </w:rPr>
              <w:t>、</w:t>
            </w:r>
            <w:r>
              <w:rPr>
                <w:rFonts w:asciiTheme="majorEastAsia" w:hAnsiTheme="majorEastAsia" w:eastAsiaTheme="majorEastAsia" w:cstheme="majorEastAsia"/>
                <w:b w:val="0"/>
                <w:bCs w:val="0"/>
                <w:color w:val="auto"/>
                <w:sz w:val="20"/>
                <w:szCs w:val="20"/>
                <w:highlight w:val="none"/>
              </w:rPr>
              <w:t>0-5V</w:t>
            </w:r>
            <w:r>
              <w:rPr>
                <w:rFonts w:hint="eastAsia" w:asciiTheme="majorEastAsia" w:hAnsiTheme="majorEastAsia" w:eastAsiaTheme="majorEastAsia" w:cstheme="majorEastAsia"/>
                <w:b w:val="0"/>
                <w:bCs w:val="0"/>
                <w:color w:val="auto"/>
                <w:sz w:val="20"/>
                <w:szCs w:val="20"/>
                <w:highlight w:val="none"/>
              </w:rPr>
              <w:t>等标准模拟量信号，提供</w:t>
            </w:r>
            <w:r>
              <w:rPr>
                <w:rFonts w:asciiTheme="majorEastAsia" w:hAnsiTheme="majorEastAsia" w:eastAsiaTheme="majorEastAsia" w:cstheme="majorEastAsia"/>
                <w:b w:val="0"/>
                <w:bCs w:val="0"/>
                <w:color w:val="auto"/>
                <w:sz w:val="20"/>
                <w:szCs w:val="20"/>
                <w:highlight w:val="none"/>
              </w:rPr>
              <w:t>12-bit</w:t>
            </w:r>
            <w:r>
              <w:rPr>
                <w:rFonts w:hint="eastAsia" w:asciiTheme="majorEastAsia" w:hAnsiTheme="majorEastAsia" w:eastAsiaTheme="majorEastAsia" w:cstheme="majorEastAsia"/>
                <w:b w:val="0"/>
                <w:bCs w:val="0"/>
                <w:color w:val="auto"/>
                <w:sz w:val="20"/>
                <w:szCs w:val="20"/>
                <w:highlight w:val="none"/>
              </w:rPr>
              <w:t>精度，采集速度为</w:t>
            </w:r>
            <w:r>
              <w:rPr>
                <w:rFonts w:asciiTheme="majorEastAsia" w:hAnsiTheme="majorEastAsia" w:eastAsiaTheme="majorEastAsia" w:cstheme="majorEastAsia"/>
                <w:b w:val="0"/>
                <w:bCs w:val="0"/>
                <w:color w:val="auto"/>
                <w:sz w:val="20"/>
                <w:szCs w:val="20"/>
                <w:highlight w:val="none"/>
              </w:rPr>
              <w:t>1kps</w:t>
            </w:r>
            <w:r>
              <w:rPr>
                <w:rFonts w:hint="eastAsia" w:asciiTheme="majorEastAsia" w:hAnsiTheme="majorEastAsia" w:eastAsiaTheme="majorEastAsia" w:cstheme="majorEastAsia"/>
                <w:b w:val="0"/>
                <w:bCs w:val="0"/>
                <w:color w:val="auto"/>
                <w:sz w:val="20"/>
                <w:szCs w:val="20"/>
                <w:highlight w:val="none"/>
              </w:rPr>
              <w:t>，接</w:t>
            </w:r>
            <w:r>
              <w:rPr>
                <w:rFonts w:asciiTheme="majorEastAsia" w:hAnsiTheme="majorEastAsia" w:eastAsiaTheme="majorEastAsia" w:cstheme="majorEastAsia"/>
                <w:b w:val="0"/>
                <w:bCs w:val="0"/>
                <w:color w:val="auto"/>
                <w:sz w:val="20"/>
                <w:szCs w:val="20"/>
                <w:highlight w:val="none"/>
              </w:rPr>
              <w:t>PH</w:t>
            </w:r>
            <w:r>
              <w:rPr>
                <w:rFonts w:hint="eastAsia" w:asciiTheme="majorEastAsia" w:hAnsiTheme="majorEastAsia" w:eastAsiaTheme="majorEastAsia" w:cstheme="majorEastAsia"/>
                <w:b w:val="0"/>
                <w:bCs w:val="0"/>
                <w:color w:val="auto"/>
                <w:sz w:val="20"/>
                <w:szCs w:val="20"/>
                <w:highlight w:val="none"/>
              </w:rPr>
              <w:t>计、压力变送器、温湿度传感器等。</w:t>
            </w:r>
          </w:p>
          <w:p>
            <w:pPr>
              <w:spacing w:after="120" w:afterLines="50"/>
              <w:rPr>
                <w:rFonts w:asciiTheme="majorEastAsia" w:hAnsiTheme="majorEastAsia" w:eastAsiaTheme="majorEastAsia" w:cstheme="majorEastAsia"/>
                <w:b w:val="0"/>
                <w:bCs w:val="0"/>
                <w:color w:val="auto"/>
                <w:sz w:val="20"/>
                <w:szCs w:val="20"/>
                <w:highlight w:val="none"/>
              </w:rPr>
            </w:pPr>
            <w:r>
              <w:rPr>
                <w:rFonts w:asciiTheme="majorEastAsia" w:hAnsiTheme="majorEastAsia" w:eastAsiaTheme="majorEastAsia" w:cstheme="majorEastAsia"/>
                <w:b w:val="0"/>
                <w:bCs w:val="0"/>
                <w:color w:val="auto"/>
                <w:sz w:val="20"/>
                <w:szCs w:val="20"/>
                <w:highlight w:val="none"/>
              </w:rPr>
              <w:t>（3</w:t>
            </w:r>
            <w:r>
              <w:rPr>
                <w:rFonts w:hint="eastAsia" w:asciiTheme="majorEastAsia" w:hAnsiTheme="majorEastAsia" w:eastAsiaTheme="majorEastAsia" w:cstheme="majorEastAsia"/>
                <w:b w:val="0"/>
                <w:bCs w:val="0"/>
                <w:color w:val="auto"/>
                <w:sz w:val="20"/>
                <w:szCs w:val="20"/>
                <w:highlight w:val="none"/>
              </w:rPr>
              <w:t>）具有</w:t>
            </w:r>
            <w:r>
              <w:rPr>
                <w:rFonts w:asciiTheme="majorEastAsia" w:hAnsiTheme="majorEastAsia" w:eastAsiaTheme="majorEastAsia" w:cstheme="majorEastAsia"/>
                <w:b w:val="0"/>
                <w:bCs w:val="0"/>
                <w:color w:val="auto"/>
                <w:sz w:val="20"/>
                <w:szCs w:val="20"/>
                <w:highlight w:val="none"/>
              </w:rPr>
              <w:t>2</w:t>
            </w:r>
            <w:r>
              <w:rPr>
                <w:rFonts w:hint="eastAsia" w:asciiTheme="majorEastAsia" w:hAnsiTheme="majorEastAsia" w:eastAsiaTheme="majorEastAsia" w:cstheme="majorEastAsia"/>
                <w:b w:val="0"/>
                <w:bCs w:val="0"/>
                <w:color w:val="auto"/>
                <w:sz w:val="20"/>
                <w:szCs w:val="20"/>
                <w:highlight w:val="none"/>
              </w:rPr>
              <w:t>路</w:t>
            </w:r>
            <w:r>
              <w:rPr>
                <w:rFonts w:asciiTheme="majorEastAsia" w:hAnsiTheme="majorEastAsia" w:eastAsiaTheme="majorEastAsia" w:cstheme="majorEastAsia"/>
                <w:b w:val="0"/>
                <w:bCs w:val="0"/>
                <w:color w:val="auto"/>
                <w:sz w:val="20"/>
                <w:szCs w:val="20"/>
                <w:highlight w:val="none"/>
              </w:rPr>
              <w:t>RS-232</w:t>
            </w:r>
            <w:r>
              <w:rPr>
                <w:rFonts w:hint="eastAsia" w:asciiTheme="majorEastAsia" w:hAnsiTheme="majorEastAsia" w:eastAsiaTheme="majorEastAsia" w:cstheme="majorEastAsia"/>
                <w:b w:val="0"/>
                <w:bCs w:val="0"/>
                <w:color w:val="auto"/>
                <w:sz w:val="20"/>
                <w:szCs w:val="20"/>
                <w:highlight w:val="none"/>
              </w:rPr>
              <w:t>接口，波特率范围为</w:t>
            </w:r>
            <w:r>
              <w:rPr>
                <w:rFonts w:asciiTheme="majorEastAsia" w:hAnsiTheme="majorEastAsia" w:eastAsiaTheme="majorEastAsia" w:cstheme="majorEastAsia"/>
                <w:b w:val="0"/>
                <w:bCs w:val="0"/>
                <w:color w:val="auto"/>
                <w:sz w:val="20"/>
                <w:szCs w:val="20"/>
                <w:highlight w:val="none"/>
              </w:rPr>
              <w:t>300bps-115200bps</w:t>
            </w:r>
            <w:r>
              <w:rPr>
                <w:rFonts w:hint="eastAsia" w:asciiTheme="majorEastAsia" w:hAnsiTheme="majorEastAsia" w:eastAsiaTheme="majorEastAsia" w:cstheme="majorEastAsia"/>
                <w:b w:val="0"/>
                <w:bCs w:val="0"/>
                <w:color w:val="auto"/>
                <w:sz w:val="20"/>
                <w:szCs w:val="20"/>
                <w:highlight w:val="none"/>
              </w:rPr>
              <w:t>，其中一路为低功耗接口，可以在休眠时接受外接设备主动发送的数据。可以外接电台、卫星、北斗等通信设备，也可以外接</w:t>
            </w:r>
            <w:r>
              <w:rPr>
                <w:rFonts w:asciiTheme="majorEastAsia" w:hAnsiTheme="majorEastAsia" w:eastAsiaTheme="majorEastAsia" w:cstheme="majorEastAsia"/>
                <w:b w:val="0"/>
                <w:bCs w:val="0"/>
                <w:color w:val="auto"/>
                <w:sz w:val="20"/>
                <w:szCs w:val="20"/>
                <w:highlight w:val="none"/>
              </w:rPr>
              <w:t>GPS</w:t>
            </w:r>
            <w:r>
              <w:rPr>
                <w:rFonts w:hint="eastAsia" w:asciiTheme="majorEastAsia" w:hAnsiTheme="majorEastAsia" w:eastAsiaTheme="majorEastAsia" w:cstheme="majorEastAsia"/>
                <w:b w:val="0"/>
                <w:bCs w:val="0"/>
                <w:color w:val="auto"/>
                <w:sz w:val="20"/>
                <w:szCs w:val="20"/>
                <w:highlight w:val="none"/>
              </w:rPr>
              <w:t>、串口摄像头等设备，还可以外接各种带有</w:t>
            </w:r>
            <w:r>
              <w:rPr>
                <w:rFonts w:asciiTheme="majorEastAsia" w:hAnsiTheme="majorEastAsia" w:eastAsiaTheme="majorEastAsia" w:cstheme="majorEastAsia"/>
                <w:b w:val="0"/>
                <w:bCs w:val="0"/>
                <w:color w:val="auto"/>
                <w:sz w:val="20"/>
                <w:szCs w:val="20"/>
                <w:highlight w:val="none"/>
              </w:rPr>
              <w:t>RS-232</w:t>
            </w:r>
            <w:r>
              <w:rPr>
                <w:rFonts w:hint="eastAsia" w:asciiTheme="majorEastAsia" w:hAnsiTheme="majorEastAsia" w:eastAsiaTheme="majorEastAsia" w:cstheme="majorEastAsia"/>
                <w:b w:val="0"/>
                <w:bCs w:val="0"/>
                <w:color w:val="auto"/>
                <w:sz w:val="20"/>
                <w:szCs w:val="20"/>
                <w:highlight w:val="none"/>
              </w:rPr>
              <w:t>接口的传感器设备。</w:t>
            </w:r>
          </w:p>
          <w:p>
            <w:pPr>
              <w:spacing w:after="120" w:afterLines="50"/>
              <w:rPr>
                <w:rFonts w:asciiTheme="majorEastAsia" w:hAnsiTheme="majorEastAsia" w:eastAsiaTheme="majorEastAsia" w:cstheme="majorEastAsia"/>
                <w:b w:val="0"/>
                <w:bCs w:val="0"/>
                <w:color w:val="auto"/>
                <w:sz w:val="20"/>
                <w:szCs w:val="20"/>
                <w:highlight w:val="none"/>
              </w:rPr>
            </w:pPr>
            <w:r>
              <w:rPr>
                <w:rFonts w:asciiTheme="majorEastAsia" w:hAnsiTheme="majorEastAsia" w:eastAsiaTheme="majorEastAsia" w:cstheme="majorEastAsia"/>
                <w:b w:val="0"/>
                <w:bCs w:val="0"/>
                <w:color w:val="auto"/>
                <w:sz w:val="20"/>
                <w:szCs w:val="20"/>
                <w:highlight w:val="none"/>
              </w:rPr>
              <w:t>（4</w:t>
            </w:r>
            <w:r>
              <w:rPr>
                <w:rFonts w:hint="eastAsia" w:asciiTheme="majorEastAsia" w:hAnsiTheme="majorEastAsia" w:eastAsiaTheme="majorEastAsia" w:cstheme="majorEastAsia"/>
                <w:b w:val="0"/>
                <w:bCs w:val="0"/>
                <w:color w:val="auto"/>
                <w:sz w:val="20"/>
                <w:szCs w:val="20"/>
                <w:highlight w:val="none"/>
              </w:rPr>
              <w:t>）具有</w:t>
            </w:r>
            <w:r>
              <w:rPr>
                <w:rFonts w:asciiTheme="majorEastAsia" w:hAnsiTheme="majorEastAsia" w:eastAsiaTheme="majorEastAsia" w:cstheme="majorEastAsia"/>
                <w:b w:val="0"/>
                <w:bCs w:val="0"/>
                <w:color w:val="auto"/>
                <w:sz w:val="20"/>
                <w:szCs w:val="20"/>
                <w:highlight w:val="none"/>
              </w:rPr>
              <w:t>2</w:t>
            </w:r>
            <w:r>
              <w:rPr>
                <w:rFonts w:hint="eastAsia" w:asciiTheme="majorEastAsia" w:hAnsiTheme="majorEastAsia" w:eastAsiaTheme="majorEastAsia" w:cstheme="majorEastAsia"/>
                <w:b w:val="0"/>
                <w:bCs w:val="0"/>
                <w:color w:val="auto"/>
                <w:sz w:val="20"/>
                <w:szCs w:val="20"/>
                <w:highlight w:val="none"/>
              </w:rPr>
              <w:t>路</w:t>
            </w:r>
            <w:r>
              <w:rPr>
                <w:rFonts w:asciiTheme="majorEastAsia" w:hAnsiTheme="majorEastAsia" w:eastAsiaTheme="majorEastAsia" w:cstheme="majorEastAsia"/>
                <w:b w:val="0"/>
                <w:bCs w:val="0"/>
                <w:color w:val="auto"/>
                <w:sz w:val="20"/>
                <w:szCs w:val="20"/>
                <w:highlight w:val="none"/>
              </w:rPr>
              <w:t>RS-485</w:t>
            </w:r>
            <w:r>
              <w:rPr>
                <w:rFonts w:hint="eastAsia" w:asciiTheme="majorEastAsia" w:hAnsiTheme="majorEastAsia" w:eastAsiaTheme="majorEastAsia" w:cstheme="majorEastAsia"/>
                <w:b w:val="0"/>
                <w:bCs w:val="0"/>
                <w:color w:val="auto"/>
                <w:sz w:val="20"/>
                <w:szCs w:val="20"/>
                <w:highlight w:val="none"/>
              </w:rPr>
              <w:t>接口，波特率范围为</w:t>
            </w:r>
            <w:r>
              <w:rPr>
                <w:rFonts w:asciiTheme="majorEastAsia" w:hAnsiTheme="majorEastAsia" w:eastAsiaTheme="majorEastAsia" w:cstheme="majorEastAsia"/>
                <w:b w:val="0"/>
                <w:bCs w:val="0"/>
                <w:color w:val="auto"/>
                <w:sz w:val="20"/>
                <w:szCs w:val="20"/>
                <w:highlight w:val="none"/>
              </w:rPr>
              <w:t>300bps-115200bps</w:t>
            </w:r>
            <w:r>
              <w:rPr>
                <w:rFonts w:hint="eastAsia" w:asciiTheme="majorEastAsia" w:hAnsiTheme="majorEastAsia" w:eastAsiaTheme="majorEastAsia" w:cstheme="majorEastAsia"/>
                <w:b w:val="0"/>
                <w:bCs w:val="0"/>
                <w:color w:val="auto"/>
                <w:sz w:val="20"/>
                <w:szCs w:val="20"/>
                <w:highlight w:val="none"/>
              </w:rPr>
              <w:t>，每路最多个外接</w:t>
            </w:r>
            <w:r>
              <w:rPr>
                <w:rFonts w:asciiTheme="majorEastAsia" w:hAnsiTheme="majorEastAsia" w:eastAsiaTheme="majorEastAsia" w:cstheme="majorEastAsia"/>
                <w:b w:val="0"/>
                <w:bCs w:val="0"/>
                <w:color w:val="auto"/>
                <w:sz w:val="20"/>
                <w:szCs w:val="20"/>
                <w:highlight w:val="none"/>
              </w:rPr>
              <w:t>256</w:t>
            </w:r>
            <w:r>
              <w:rPr>
                <w:rFonts w:hint="eastAsia" w:asciiTheme="majorEastAsia" w:hAnsiTheme="majorEastAsia" w:eastAsiaTheme="majorEastAsia" w:cstheme="majorEastAsia"/>
                <w:b w:val="0"/>
                <w:bCs w:val="0"/>
                <w:color w:val="auto"/>
                <w:sz w:val="20"/>
                <w:szCs w:val="20"/>
                <w:highlight w:val="none"/>
              </w:rPr>
              <w:t>个</w:t>
            </w:r>
            <w:r>
              <w:rPr>
                <w:rFonts w:asciiTheme="majorEastAsia" w:hAnsiTheme="majorEastAsia" w:eastAsiaTheme="majorEastAsia" w:cstheme="majorEastAsia"/>
                <w:b w:val="0"/>
                <w:bCs w:val="0"/>
                <w:color w:val="auto"/>
                <w:sz w:val="20"/>
                <w:szCs w:val="20"/>
                <w:highlight w:val="none"/>
              </w:rPr>
              <w:t>RS-485</w:t>
            </w:r>
            <w:r>
              <w:rPr>
                <w:rFonts w:hint="eastAsia" w:asciiTheme="majorEastAsia" w:hAnsiTheme="majorEastAsia" w:eastAsiaTheme="majorEastAsia" w:cstheme="majorEastAsia"/>
                <w:b w:val="0"/>
                <w:bCs w:val="0"/>
                <w:color w:val="auto"/>
                <w:sz w:val="20"/>
                <w:szCs w:val="20"/>
                <w:highlight w:val="none"/>
              </w:rPr>
              <w:t>接口设备，同时兼容多种协议，可以同时采集串口摄像头、水位计、流量计、流速传感器、水质传感器等带有</w:t>
            </w:r>
            <w:r>
              <w:rPr>
                <w:rFonts w:asciiTheme="majorEastAsia" w:hAnsiTheme="majorEastAsia" w:eastAsiaTheme="majorEastAsia" w:cstheme="majorEastAsia"/>
                <w:b w:val="0"/>
                <w:bCs w:val="0"/>
                <w:color w:val="auto"/>
                <w:sz w:val="20"/>
                <w:szCs w:val="20"/>
                <w:highlight w:val="none"/>
              </w:rPr>
              <w:t>RS-485</w:t>
            </w:r>
            <w:r>
              <w:rPr>
                <w:rFonts w:hint="eastAsia" w:asciiTheme="majorEastAsia" w:hAnsiTheme="majorEastAsia" w:eastAsiaTheme="majorEastAsia" w:cstheme="majorEastAsia"/>
                <w:b w:val="0"/>
                <w:bCs w:val="0"/>
                <w:color w:val="auto"/>
                <w:sz w:val="20"/>
                <w:szCs w:val="20"/>
                <w:highlight w:val="none"/>
              </w:rPr>
              <w:t>接口的外接设备。</w:t>
            </w:r>
          </w:p>
          <w:p>
            <w:pPr>
              <w:spacing w:after="120" w:afterLines="50"/>
              <w:rPr>
                <w:rFonts w:asciiTheme="majorEastAsia" w:hAnsiTheme="majorEastAsia" w:eastAsiaTheme="majorEastAsia" w:cstheme="majorEastAsia"/>
                <w:b w:val="0"/>
                <w:bCs w:val="0"/>
                <w:color w:val="auto"/>
                <w:sz w:val="20"/>
                <w:szCs w:val="20"/>
                <w:highlight w:val="none"/>
              </w:rPr>
            </w:pPr>
            <w:r>
              <w:rPr>
                <w:rFonts w:asciiTheme="majorEastAsia" w:hAnsiTheme="majorEastAsia" w:eastAsiaTheme="majorEastAsia" w:cstheme="majorEastAsia"/>
                <w:b w:val="0"/>
                <w:bCs w:val="0"/>
                <w:color w:val="auto"/>
                <w:sz w:val="20"/>
                <w:szCs w:val="20"/>
                <w:highlight w:val="none"/>
              </w:rPr>
              <w:t>（5</w:t>
            </w:r>
            <w:r>
              <w:rPr>
                <w:rFonts w:hint="eastAsia" w:asciiTheme="majorEastAsia" w:hAnsiTheme="majorEastAsia" w:eastAsiaTheme="majorEastAsia" w:cstheme="majorEastAsia"/>
                <w:b w:val="0"/>
                <w:bCs w:val="0"/>
                <w:color w:val="auto"/>
                <w:sz w:val="20"/>
                <w:szCs w:val="20"/>
                <w:highlight w:val="none"/>
              </w:rPr>
              <w:t>）具有</w:t>
            </w:r>
            <w:r>
              <w:rPr>
                <w:rFonts w:asciiTheme="majorEastAsia" w:hAnsiTheme="majorEastAsia" w:eastAsiaTheme="majorEastAsia" w:cstheme="majorEastAsia"/>
                <w:b w:val="0"/>
                <w:bCs w:val="0"/>
                <w:color w:val="auto"/>
                <w:sz w:val="20"/>
                <w:szCs w:val="20"/>
                <w:highlight w:val="none"/>
              </w:rPr>
              <w:t>1</w:t>
            </w:r>
            <w:r>
              <w:rPr>
                <w:rFonts w:hint="eastAsia" w:asciiTheme="majorEastAsia" w:hAnsiTheme="majorEastAsia" w:eastAsiaTheme="majorEastAsia" w:cstheme="majorEastAsia"/>
                <w:b w:val="0"/>
                <w:bCs w:val="0"/>
                <w:color w:val="auto"/>
                <w:sz w:val="20"/>
                <w:szCs w:val="20"/>
                <w:highlight w:val="none"/>
              </w:rPr>
              <w:t>路</w:t>
            </w:r>
            <w:r>
              <w:rPr>
                <w:rFonts w:asciiTheme="majorEastAsia" w:hAnsiTheme="majorEastAsia" w:eastAsiaTheme="majorEastAsia" w:cstheme="majorEastAsia"/>
                <w:b w:val="0"/>
                <w:bCs w:val="0"/>
                <w:color w:val="auto"/>
                <w:sz w:val="20"/>
                <w:szCs w:val="20"/>
                <w:highlight w:val="none"/>
              </w:rPr>
              <w:t>SDI-12</w:t>
            </w:r>
            <w:r>
              <w:rPr>
                <w:rFonts w:hint="eastAsia" w:asciiTheme="majorEastAsia" w:hAnsiTheme="majorEastAsia" w:eastAsiaTheme="majorEastAsia" w:cstheme="majorEastAsia"/>
                <w:b w:val="0"/>
                <w:bCs w:val="0"/>
                <w:color w:val="auto"/>
                <w:sz w:val="20"/>
                <w:szCs w:val="20"/>
                <w:highlight w:val="none"/>
              </w:rPr>
              <w:t>接口，内置</w:t>
            </w:r>
            <w:r>
              <w:rPr>
                <w:rFonts w:asciiTheme="majorEastAsia" w:hAnsiTheme="majorEastAsia" w:eastAsiaTheme="majorEastAsia" w:cstheme="majorEastAsia"/>
                <w:b w:val="0"/>
                <w:bCs w:val="0"/>
                <w:color w:val="auto"/>
                <w:sz w:val="20"/>
                <w:szCs w:val="20"/>
                <w:highlight w:val="none"/>
              </w:rPr>
              <w:t>SDI-12</w:t>
            </w:r>
            <w:r>
              <w:rPr>
                <w:rFonts w:hint="eastAsia" w:asciiTheme="majorEastAsia" w:hAnsiTheme="majorEastAsia" w:eastAsiaTheme="majorEastAsia" w:cstheme="majorEastAsia"/>
                <w:b w:val="0"/>
                <w:bCs w:val="0"/>
                <w:color w:val="auto"/>
                <w:sz w:val="20"/>
                <w:szCs w:val="20"/>
                <w:highlight w:val="none"/>
              </w:rPr>
              <w:t>协议，可以采集带有</w:t>
            </w:r>
            <w:r>
              <w:rPr>
                <w:rFonts w:asciiTheme="majorEastAsia" w:hAnsiTheme="majorEastAsia" w:eastAsiaTheme="majorEastAsia" w:cstheme="majorEastAsia"/>
                <w:b w:val="0"/>
                <w:bCs w:val="0"/>
                <w:color w:val="auto"/>
                <w:sz w:val="20"/>
                <w:szCs w:val="20"/>
                <w:highlight w:val="none"/>
              </w:rPr>
              <w:t>SDI-12</w:t>
            </w:r>
            <w:r>
              <w:rPr>
                <w:rFonts w:hint="eastAsia" w:asciiTheme="majorEastAsia" w:hAnsiTheme="majorEastAsia" w:eastAsiaTheme="majorEastAsia" w:cstheme="majorEastAsia"/>
                <w:b w:val="0"/>
                <w:bCs w:val="0"/>
                <w:color w:val="auto"/>
                <w:sz w:val="20"/>
                <w:szCs w:val="20"/>
                <w:highlight w:val="none"/>
              </w:rPr>
              <w:t>接口的水位计、流速传感器、水质传感器等外接设备。</w:t>
            </w:r>
          </w:p>
          <w:p>
            <w:pPr>
              <w:spacing w:after="120" w:afterLines="50"/>
              <w:rPr>
                <w:rFonts w:asciiTheme="majorEastAsia" w:hAnsiTheme="majorEastAsia" w:eastAsiaTheme="majorEastAsia" w:cstheme="majorEastAsia"/>
                <w:b w:val="0"/>
                <w:bCs w:val="0"/>
                <w:color w:val="auto"/>
                <w:sz w:val="20"/>
                <w:szCs w:val="20"/>
                <w:highlight w:val="none"/>
              </w:rPr>
            </w:pPr>
            <w:r>
              <w:rPr>
                <w:rFonts w:asciiTheme="majorEastAsia" w:hAnsiTheme="majorEastAsia" w:eastAsiaTheme="majorEastAsia" w:cstheme="majorEastAsia"/>
                <w:b w:val="0"/>
                <w:bCs w:val="0"/>
                <w:color w:val="auto"/>
                <w:sz w:val="20"/>
                <w:szCs w:val="20"/>
                <w:highlight w:val="none"/>
              </w:rPr>
              <w:t>1</w:t>
            </w:r>
            <w:r>
              <w:rPr>
                <w:rFonts w:hint="eastAsia" w:asciiTheme="majorEastAsia" w:hAnsiTheme="majorEastAsia" w:eastAsiaTheme="majorEastAsia" w:cstheme="majorEastAsia"/>
                <w:b w:val="0"/>
                <w:bCs w:val="0"/>
                <w:color w:val="auto"/>
                <w:sz w:val="20"/>
                <w:szCs w:val="20"/>
                <w:highlight w:val="none"/>
              </w:rPr>
              <w:t>、通信功能</w:t>
            </w:r>
          </w:p>
          <w:p>
            <w:pPr>
              <w:spacing w:after="120" w:afterLines="50"/>
              <w:rPr>
                <w:rFonts w:asciiTheme="majorEastAsia" w:hAnsiTheme="majorEastAsia" w:eastAsiaTheme="majorEastAsia" w:cstheme="majorEastAsia"/>
                <w:b w:val="0"/>
                <w:bCs w:val="0"/>
                <w:color w:val="auto"/>
                <w:sz w:val="20"/>
                <w:szCs w:val="20"/>
                <w:highlight w:val="none"/>
              </w:rPr>
            </w:pPr>
            <w:r>
              <w:rPr>
                <w:rFonts w:asciiTheme="majorEastAsia" w:hAnsiTheme="majorEastAsia" w:eastAsiaTheme="majorEastAsia" w:cstheme="majorEastAsia"/>
                <w:b w:val="0"/>
                <w:bCs w:val="0"/>
                <w:color w:val="auto"/>
                <w:sz w:val="20"/>
                <w:szCs w:val="20"/>
                <w:highlight w:val="none"/>
              </w:rPr>
              <w:t xml:space="preserve"> </w:t>
            </w:r>
            <w:r>
              <w:rPr>
                <w:rFonts w:hint="eastAsia" w:asciiTheme="majorEastAsia" w:hAnsiTheme="majorEastAsia" w:eastAsiaTheme="majorEastAsia" w:cstheme="majorEastAsia"/>
                <w:b w:val="0"/>
                <w:bCs w:val="0"/>
                <w:color w:val="auto"/>
                <w:sz w:val="20"/>
                <w:szCs w:val="20"/>
                <w:highlight w:val="none"/>
              </w:rPr>
              <w:t>（</w:t>
            </w:r>
            <w:r>
              <w:rPr>
                <w:rFonts w:asciiTheme="majorEastAsia" w:hAnsiTheme="majorEastAsia" w:eastAsiaTheme="majorEastAsia" w:cstheme="majorEastAsia"/>
                <w:b w:val="0"/>
                <w:bCs w:val="0"/>
                <w:color w:val="auto"/>
                <w:sz w:val="20"/>
                <w:szCs w:val="20"/>
                <w:highlight w:val="none"/>
              </w:rPr>
              <w:t>1</w:t>
            </w:r>
            <w:r>
              <w:rPr>
                <w:rFonts w:hint="eastAsia" w:asciiTheme="majorEastAsia" w:hAnsiTheme="majorEastAsia" w:eastAsiaTheme="majorEastAsia" w:cstheme="majorEastAsia"/>
                <w:b w:val="0"/>
                <w:bCs w:val="0"/>
                <w:color w:val="auto"/>
                <w:sz w:val="20"/>
                <w:szCs w:val="20"/>
                <w:highlight w:val="none"/>
              </w:rPr>
              <w:t>）内置无线通讯模块，支持</w:t>
            </w:r>
            <w:r>
              <w:rPr>
                <w:rFonts w:asciiTheme="majorEastAsia" w:hAnsiTheme="majorEastAsia" w:eastAsiaTheme="majorEastAsia" w:cstheme="majorEastAsia"/>
                <w:b w:val="0"/>
                <w:bCs w:val="0"/>
                <w:color w:val="auto"/>
                <w:sz w:val="20"/>
                <w:szCs w:val="20"/>
                <w:highlight w:val="none"/>
              </w:rPr>
              <w:t>GPRS/CDMA/3G/4G/NB-iot</w:t>
            </w:r>
            <w:r>
              <w:rPr>
                <w:rFonts w:hint="eastAsia" w:asciiTheme="majorEastAsia" w:hAnsiTheme="majorEastAsia" w:eastAsiaTheme="majorEastAsia" w:cstheme="majorEastAsia"/>
                <w:b w:val="0"/>
                <w:bCs w:val="0"/>
                <w:color w:val="auto"/>
                <w:sz w:val="20"/>
                <w:szCs w:val="20"/>
                <w:highlight w:val="none"/>
              </w:rPr>
              <w:t>，可以同时进行短信和网络数据的收发；能够同时与</w:t>
            </w:r>
            <w:r>
              <w:rPr>
                <w:rFonts w:asciiTheme="majorEastAsia" w:hAnsiTheme="majorEastAsia" w:eastAsiaTheme="majorEastAsia" w:cstheme="majorEastAsia"/>
                <w:b w:val="0"/>
                <w:bCs w:val="0"/>
                <w:color w:val="auto"/>
                <w:sz w:val="20"/>
                <w:szCs w:val="20"/>
                <w:highlight w:val="none"/>
              </w:rPr>
              <w:t>4</w:t>
            </w:r>
            <w:r>
              <w:rPr>
                <w:rFonts w:hint="eastAsia" w:asciiTheme="majorEastAsia" w:hAnsiTheme="majorEastAsia" w:eastAsiaTheme="majorEastAsia" w:cstheme="majorEastAsia"/>
                <w:b w:val="0"/>
                <w:bCs w:val="0"/>
                <w:color w:val="auto"/>
                <w:sz w:val="20"/>
                <w:szCs w:val="20"/>
                <w:highlight w:val="none"/>
              </w:rPr>
              <w:t>个服务器进行数据通信；具有低功耗待机功能，可以通过短信和电话唤醒；能够对短信和电话的号码进行识别，支持白名单功能。</w:t>
            </w:r>
          </w:p>
          <w:p>
            <w:pPr>
              <w:spacing w:after="120" w:afterLines="50"/>
              <w:rPr>
                <w:rFonts w:asciiTheme="majorEastAsia" w:hAnsiTheme="majorEastAsia" w:eastAsiaTheme="majorEastAsia" w:cstheme="majorEastAsia"/>
                <w:b w:val="0"/>
                <w:bCs w:val="0"/>
                <w:color w:val="auto"/>
                <w:sz w:val="20"/>
                <w:szCs w:val="20"/>
                <w:highlight w:val="none"/>
              </w:rPr>
            </w:pPr>
            <w:r>
              <w:rPr>
                <w:rFonts w:asciiTheme="majorEastAsia" w:hAnsiTheme="majorEastAsia" w:eastAsiaTheme="majorEastAsia" w:cstheme="majorEastAsia"/>
                <w:b w:val="0"/>
                <w:bCs w:val="0"/>
                <w:color w:val="auto"/>
                <w:sz w:val="20"/>
                <w:szCs w:val="20"/>
                <w:highlight w:val="none"/>
              </w:rPr>
              <w:t xml:space="preserve"> </w:t>
            </w:r>
            <w:r>
              <w:rPr>
                <w:rFonts w:hint="eastAsia" w:asciiTheme="majorEastAsia" w:hAnsiTheme="majorEastAsia" w:eastAsiaTheme="majorEastAsia" w:cstheme="majorEastAsia"/>
                <w:b w:val="0"/>
                <w:bCs w:val="0"/>
                <w:color w:val="auto"/>
                <w:sz w:val="20"/>
                <w:szCs w:val="20"/>
                <w:highlight w:val="none"/>
              </w:rPr>
              <w:t>（</w:t>
            </w:r>
            <w:r>
              <w:rPr>
                <w:rFonts w:asciiTheme="majorEastAsia" w:hAnsiTheme="majorEastAsia" w:eastAsiaTheme="majorEastAsia" w:cstheme="majorEastAsia"/>
                <w:b w:val="0"/>
                <w:bCs w:val="0"/>
                <w:color w:val="auto"/>
                <w:sz w:val="20"/>
                <w:szCs w:val="20"/>
                <w:highlight w:val="none"/>
              </w:rPr>
              <w:t>2</w:t>
            </w:r>
            <w:r>
              <w:rPr>
                <w:rFonts w:hint="eastAsia" w:asciiTheme="majorEastAsia" w:hAnsiTheme="majorEastAsia" w:eastAsiaTheme="majorEastAsia" w:cstheme="majorEastAsia"/>
                <w:b w:val="0"/>
                <w:bCs w:val="0"/>
                <w:color w:val="auto"/>
                <w:sz w:val="20"/>
                <w:szCs w:val="20"/>
                <w:highlight w:val="none"/>
              </w:rPr>
              <w:t>）</w:t>
            </w:r>
            <w:r>
              <w:rPr>
                <w:rFonts w:asciiTheme="majorEastAsia" w:hAnsiTheme="majorEastAsia" w:eastAsiaTheme="majorEastAsia" w:cstheme="majorEastAsia"/>
                <w:b w:val="0"/>
                <w:bCs w:val="0"/>
                <w:color w:val="auto"/>
                <w:sz w:val="20"/>
                <w:szCs w:val="20"/>
                <w:highlight w:val="none"/>
              </w:rPr>
              <w:t xml:space="preserve"> </w:t>
            </w:r>
            <w:r>
              <w:rPr>
                <w:rFonts w:hint="eastAsia" w:asciiTheme="majorEastAsia" w:hAnsiTheme="majorEastAsia" w:eastAsiaTheme="majorEastAsia" w:cstheme="majorEastAsia"/>
                <w:b w:val="0"/>
                <w:bCs w:val="0"/>
                <w:color w:val="auto"/>
                <w:sz w:val="20"/>
                <w:szCs w:val="20"/>
                <w:highlight w:val="none"/>
              </w:rPr>
              <w:t>支持通过串口外接电台、卫星、以及北斗等设备进行通信。</w:t>
            </w:r>
          </w:p>
          <w:p>
            <w:pPr>
              <w:spacing w:after="120" w:afterLines="50"/>
              <w:rPr>
                <w:rFonts w:asciiTheme="majorEastAsia" w:hAnsiTheme="majorEastAsia" w:eastAsiaTheme="majorEastAsia" w:cstheme="majorEastAsia"/>
                <w:b w:val="0"/>
                <w:bCs w:val="0"/>
                <w:color w:val="auto"/>
                <w:sz w:val="20"/>
                <w:szCs w:val="20"/>
                <w:highlight w:val="none"/>
              </w:rPr>
            </w:pPr>
            <w:r>
              <w:rPr>
                <w:rFonts w:asciiTheme="majorEastAsia" w:hAnsiTheme="majorEastAsia" w:eastAsiaTheme="majorEastAsia" w:cstheme="majorEastAsia"/>
                <w:b w:val="0"/>
                <w:bCs w:val="0"/>
                <w:color w:val="auto"/>
                <w:sz w:val="20"/>
                <w:szCs w:val="20"/>
                <w:highlight w:val="none"/>
              </w:rPr>
              <w:t xml:space="preserve">  </w:t>
            </w:r>
            <w:r>
              <w:rPr>
                <w:rFonts w:hint="eastAsia" w:asciiTheme="majorEastAsia" w:hAnsiTheme="majorEastAsia" w:eastAsiaTheme="majorEastAsia" w:cstheme="majorEastAsia"/>
                <w:b w:val="0"/>
                <w:bCs w:val="0"/>
                <w:color w:val="auto"/>
                <w:sz w:val="20"/>
                <w:szCs w:val="20"/>
                <w:highlight w:val="none"/>
              </w:rPr>
              <w:t>（</w:t>
            </w:r>
            <w:r>
              <w:rPr>
                <w:rFonts w:asciiTheme="majorEastAsia" w:hAnsiTheme="majorEastAsia" w:eastAsiaTheme="majorEastAsia" w:cstheme="majorEastAsia"/>
                <w:b w:val="0"/>
                <w:bCs w:val="0"/>
                <w:color w:val="auto"/>
                <w:sz w:val="20"/>
                <w:szCs w:val="20"/>
                <w:highlight w:val="none"/>
              </w:rPr>
              <w:t>3</w:t>
            </w:r>
            <w:r>
              <w:rPr>
                <w:rFonts w:hint="eastAsia" w:asciiTheme="majorEastAsia" w:hAnsiTheme="majorEastAsia" w:eastAsiaTheme="majorEastAsia" w:cstheme="majorEastAsia"/>
                <w:b w:val="0"/>
                <w:bCs w:val="0"/>
                <w:color w:val="auto"/>
                <w:sz w:val="20"/>
                <w:szCs w:val="20"/>
                <w:highlight w:val="none"/>
              </w:rPr>
              <w:t>）支持主备通信功能，主备通信方式可任意设定。</w:t>
            </w:r>
          </w:p>
          <w:p>
            <w:pPr>
              <w:spacing w:after="120" w:afterLines="50"/>
              <w:rPr>
                <w:rFonts w:asciiTheme="majorEastAsia" w:hAnsiTheme="majorEastAsia" w:eastAsiaTheme="majorEastAsia" w:cstheme="majorEastAsia"/>
                <w:b w:val="0"/>
                <w:bCs w:val="0"/>
                <w:color w:val="auto"/>
                <w:sz w:val="20"/>
                <w:szCs w:val="20"/>
                <w:highlight w:val="none"/>
              </w:rPr>
            </w:pPr>
            <w:r>
              <w:rPr>
                <w:rFonts w:asciiTheme="majorEastAsia" w:hAnsiTheme="majorEastAsia" w:eastAsiaTheme="majorEastAsia" w:cstheme="majorEastAsia"/>
                <w:b w:val="0"/>
                <w:bCs w:val="0"/>
                <w:color w:val="auto"/>
                <w:sz w:val="20"/>
                <w:szCs w:val="20"/>
                <w:highlight w:val="none"/>
              </w:rPr>
              <w:t>2</w:t>
            </w:r>
            <w:r>
              <w:rPr>
                <w:rFonts w:hint="eastAsia" w:asciiTheme="majorEastAsia" w:hAnsiTheme="majorEastAsia" w:eastAsiaTheme="majorEastAsia" w:cstheme="majorEastAsia"/>
                <w:b w:val="0"/>
                <w:bCs w:val="0"/>
                <w:color w:val="auto"/>
                <w:sz w:val="20"/>
                <w:szCs w:val="20"/>
                <w:highlight w:val="none"/>
              </w:rPr>
              <w:t>．存储功能</w:t>
            </w:r>
          </w:p>
          <w:p>
            <w:pPr>
              <w:spacing w:after="120" w:afterLines="50"/>
              <w:rPr>
                <w:rFonts w:asciiTheme="majorEastAsia" w:hAnsiTheme="majorEastAsia" w:eastAsiaTheme="majorEastAsia" w:cstheme="majorEastAsia"/>
                <w:b w:val="0"/>
                <w:bCs w:val="0"/>
                <w:color w:val="auto"/>
                <w:sz w:val="20"/>
                <w:szCs w:val="20"/>
                <w:highlight w:val="none"/>
              </w:rPr>
            </w:pPr>
            <w:r>
              <w:rPr>
                <w:rFonts w:asciiTheme="majorEastAsia" w:hAnsiTheme="majorEastAsia" w:eastAsiaTheme="majorEastAsia" w:cstheme="majorEastAsia"/>
                <w:b w:val="0"/>
                <w:bCs w:val="0"/>
                <w:color w:val="auto"/>
                <w:sz w:val="20"/>
                <w:szCs w:val="20"/>
                <w:highlight w:val="none"/>
              </w:rPr>
              <w:t xml:space="preserve"> </w:t>
            </w:r>
            <w:r>
              <w:rPr>
                <w:rFonts w:hint="eastAsia" w:asciiTheme="majorEastAsia" w:hAnsiTheme="majorEastAsia" w:eastAsiaTheme="majorEastAsia" w:cstheme="majorEastAsia"/>
                <w:b w:val="0"/>
                <w:bCs w:val="0"/>
                <w:color w:val="auto"/>
                <w:sz w:val="20"/>
                <w:szCs w:val="20"/>
                <w:highlight w:val="none"/>
              </w:rPr>
              <w:t>（</w:t>
            </w:r>
            <w:r>
              <w:rPr>
                <w:rFonts w:asciiTheme="majorEastAsia" w:hAnsiTheme="majorEastAsia" w:eastAsiaTheme="majorEastAsia" w:cstheme="majorEastAsia"/>
                <w:b w:val="0"/>
                <w:bCs w:val="0"/>
                <w:color w:val="auto"/>
                <w:sz w:val="20"/>
                <w:szCs w:val="20"/>
                <w:highlight w:val="none"/>
              </w:rPr>
              <w:t>1</w:t>
            </w:r>
            <w:r>
              <w:rPr>
                <w:rFonts w:hint="eastAsia" w:asciiTheme="majorEastAsia" w:hAnsiTheme="majorEastAsia" w:eastAsiaTheme="majorEastAsia" w:cstheme="majorEastAsia"/>
                <w:b w:val="0"/>
                <w:bCs w:val="0"/>
                <w:color w:val="auto"/>
                <w:sz w:val="20"/>
                <w:szCs w:val="20"/>
                <w:highlight w:val="none"/>
              </w:rPr>
              <w:t>）</w:t>
            </w:r>
            <w:r>
              <w:rPr>
                <w:rFonts w:asciiTheme="majorEastAsia" w:hAnsiTheme="majorEastAsia" w:eastAsiaTheme="majorEastAsia" w:cstheme="majorEastAsia"/>
                <w:b w:val="0"/>
                <w:bCs w:val="0"/>
                <w:color w:val="auto"/>
                <w:sz w:val="20"/>
                <w:szCs w:val="20"/>
                <w:highlight w:val="none"/>
              </w:rPr>
              <w:t xml:space="preserve"> </w:t>
            </w:r>
            <w:r>
              <w:rPr>
                <w:rFonts w:hint="eastAsia" w:asciiTheme="majorEastAsia" w:hAnsiTheme="majorEastAsia" w:eastAsiaTheme="majorEastAsia" w:cstheme="majorEastAsia"/>
                <w:b w:val="0"/>
                <w:bCs w:val="0"/>
                <w:color w:val="auto"/>
                <w:sz w:val="20"/>
                <w:szCs w:val="20"/>
                <w:highlight w:val="none"/>
              </w:rPr>
              <w:t>内置最大</w:t>
            </w:r>
            <w:r>
              <w:rPr>
                <w:rFonts w:asciiTheme="majorEastAsia" w:hAnsiTheme="majorEastAsia" w:eastAsiaTheme="majorEastAsia" w:cstheme="majorEastAsia"/>
                <w:b w:val="0"/>
                <w:bCs w:val="0"/>
                <w:color w:val="auto"/>
                <w:sz w:val="20"/>
                <w:szCs w:val="20"/>
                <w:highlight w:val="none"/>
              </w:rPr>
              <w:t>64M</w:t>
            </w:r>
            <w:r>
              <w:rPr>
                <w:rFonts w:hint="eastAsia" w:asciiTheme="majorEastAsia" w:hAnsiTheme="majorEastAsia" w:eastAsiaTheme="majorEastAsia" w:cstheme="majorEastAsia"/>
                <w:b w:val="0"/>
                <w:bCs w:val="0"/>
                <w:color w:val="auto"/>
                <w:sz w:val="20"/>
                <w:szCs w:val="20"/>
                <w:highlight w:val="none"/>
              </w:rPr>
              <w:t>串行</w:t>
            </w:r>
            <w:r>
              <w:rPr>
                <w:rFonts w:asciiTheme="majorEastAsia" w:hAnsiTheme="majorEastAsia" w:eastAsiaTheme="majorEastAsia" w:cstheme="majorEastAsia"/>
                <w:b w:val="0"/>
                <w:bCs w:val="0"/>
                <w:color w:val="auto"/>
                <w:sz w:val="20"/>
                <w:szCs w:val="20"/>
                <w:highlight w:val="none"/>
              </w:rPr>
              <w:t>FLASH</w:t>
            </w:r>
            <w:r>
              <w:rPr>
                <w:rFonts w:hint="eastAsia" w:asciiTheme="majorEastAsia" w:hAnsiTheme="majorEastAsia" w:eastAsiaTheme="majorEastAsia" w:cstheme="majorEastAsia"/>
                <w:b w:val="0"/>
                <w:bCs w:val="0"/>
                <w:color w:val="auto"/>
                <w:sz w:val="20"/>
                <w:szCs w:val="20"/>
                <w:highlight w:val="none"/>
              </w:rPr>
              <w:t>存储模块，可存储</w:t>
            </w:r>
            <w:r>
              <w:rPr>
                <w:rFonts w:asciiTheme="majorEastAsia" w:hAnsiTheme="majorEastAsia" w:eastAsiaTheme="majorEastAsia" w:cstheme="majorEastAsia"/>
                <w:b w:val="0"/>
                <w:bCs w:val="0"/>
                <w:color w:val="auto"/>
                <w:sz w:val="20"/>
                <w:szCs w:val="20"/>
                <w:highlight w:val="none"/>
              </w:rPr>
              <w:t>5</w:t>
            </w:r>
            <w:r>
              <w:rPr>
                <w:rFonts w:hint="eastAsia" w:asciiTheme="majorEastAsia" w:hAnsiTheme="majorEastAsia" w:eastAsiaTheme="majorEastAsia" w:cstheme="majorEastAsia"/>
                <w:b w:val="0"/>
                <w:bCs w:val="0"/>
                <w:color w:val="auto"/>
                <w:sz w:val="20"/>
                <w:szCs w:val="20"/>
                <w:highlight w:val="none"/>
              </w:rPr>
              <w:t>年以上的历史数据。</w:t>
            </w:r>
          </w:p>
          <w:p>
            <w:pPr>
              <w:spacing w:after="120" w:afterLines="50"/>
              <w:rPr>
                <w:rFonts w:asciiTheme="majorEastAsia" w:hAnsiTheme="majorEastAsia" w:eastAsiaTheme="majorEastAsia" w:cstheme="majorEastAsia"/>
                <w:b w:val="0"/>
                <w:bCs w:val="0"/>
                <w:color w:val="auto"/>
                <w:sz w:val="20"/>
                <w:szCs w:val="20"/>
                <w:highlight w:val="none"/>
              </w:rPr>
            </w:pPr>
            <w:r>
              <w:rPr>
                <w:rFonts w:asciiTheme="majorEastAsia" w:hAnsiTheme="majorEastAsia" w:eastAsiaTheme="majorEastAsia" w:cstheme="majorEastAsia"/>
                <w:b w:val="0"/>
                <w:bCs w:val="0"/>
                <w:color w:val="auto"/>
                <w:sz w:val="20"/>
                <w:szCs w:val="20"/>
                <w:highlight w:val="none"/>
              </w:rPr>
              <w:t xml:space="preserve">  </w:t>
            </w:r>
            <w:r>
              <w:rPr>
                <w:rFonts w:hint="eastAsia" w:asciiTheme="majorEastAsia" w:hAnsiTheme="majorEastAsia" w:eastAsiaTheme="majorEastAsia" w:cstheme="majorEastAsia"/>
                <w:b w:val="0"/>
                <w:bCs w:val="0"/>
                <w:color w:val="auto"/>
                <w:sz w:val="20"/>
                <w:szCs w:val="20"/>
                <w:highlight w:val="none"/>
              </w:rPr>
              <w:t>（</w:t>
            </w:r>
            <w:r>
              <w:rPr>
                <w:rFonts w:asciiTheme="majorEastAsia" w:hAnsiTheme="majorEastAsia" w:eastAsiaTheme="majorEastAsia" w:cstheme="majorEastAsia"/>
                <w:b w:val="0"/>
                <w:bCs w:val="0"/>
                <w:color w:val="auto"/>
                <w:sz w:val="20"/>
                <w:szCs w:val="20"/>
                <w:highlight w:val="none"/>
              </w:rPr>
              <w:t>2</w:t>
            </w:r>
            <w:r>
              <w:rPr>
                <w:rFonts w:hint="eastAsia" w:asciiTheme="majorEastAsia" w:hAnsiTheme="majorEastAsia" w:eastAsiaTheme="majorEastAsia" w:cstheme="majorEastAsia"/>
                <w:b w:val="0"/>
                <w:bCs w:val="0"/>
                <w:color w:val="auto"/>
                <w:sz w:val="20"/>
                <w:szCs w:val="20"/>
                <w:highlight w:val="none"/>
              </w:rPr>
              <w:t>）内置</w:t>
            </w:r>
            <w:r>
              <w:rPr>
                <w:rFonts w:asciiTheme="majorEastAsia" w:hAnsiTheme="majorEastAsia" w:eastAsiaTheme="majorEastAsia" w:cstheme="majorEastAsia"/>
                <w:b w:val="0"/>
                <w:bCs w:val="0"/>
                <w:color w:val="auto"/>
                <w:sz w:val="20"/>
                <w:szCs w:val="20"/>
                <w:highlight w:val="none"/>
              </w:rPr>
              <w:t>32K</w:t>
            </w:r>
            <w:r>
              <w:rPr>
                <w:rFonts w:hint="eastAsia" w:asciiTheme="majorEastAsia" w:hAnsiTheme="majorEastAsia" w:eastAsiaTheme="majorEastAsia" w:cstheme="majorEastAsia"/>
                <w:b w:val="0"/>
                <w:bCs w:val="0"/>
                <w:color w:val="auto"/>
                <w:sz w:val="20"/>
                <w:szCs w:val="20"/>
                <w:highlight w:val="none"/>
              </w:rPr>
              <w:t>的</w:t>
            </w:r>
            <w:r>
              <w:rPr>
                <w:rFonts w:asciiTheme="majorEastAsia" w:hAnsiTheme="majorEastAsia" w:eastAsiaTheme="majorEastAsia" w:cstheme="majorEastAsia"/>
                <w:b w:val="0"/>
                <w:bCs w:val="0"/>
                <w:color w:val="auto"/>
                <w:sz w:val="20"/>
                <w:szCs w:val="20"/>
                <w:highlight w:val="none"/>
              </w:rPr>
              <w:t>MRAM</w:t>
            </w:r>
            <w:r>
              <w:rPr>
                <w:rFonts w:hint="eastAsia" w:asciiTheme="majorEastAsia" w:hAnsiTheme="majorEastAsia" w:eastAsiaTheme="majorEastAsia" w:cstheme="majorEastAsia"/>
                <w:b w:val="0"/>
                <w:bCs w:val="0"/>
                <w:color w:val="auto"/>
                <w:sz w:val="20"/>
                <w:szCs w:val="20"/>
                <w:highlight w:val="none"/>
              </w:rPr>
              <w:t>，用于存储需实时存储的数据，次数不限，安全可靠。</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3</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SD</w:t>
            </w:r>
            <w:r>
              <w:rPr>
                <w:rFonts w:hint="eastAsia" w:cs="Times New Roman" w:asciiTheme="minorEastAsia" w:hAnsiTheme="minorEastAsia" w:eastAsiaTheme="minorEastAsia"/>
                <w:b w:val="0"/>
                <w:bCs w:val="0"/>
                <w:color w:val="auto"/>
                <w:kern w:val="2"/>
                <w:sz w:val="20"/>
                <w:szCs w:val="20"/>
                <w:highlight w:val="none"/>
              </w:rPr>
              <w:t>卡功能</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 xml:space="preserve">  </w:t>
            </w:r>
            <w:r>
              <w:rPr>
                <w:rFonts w:hint="eastAsia" w:cs="Times New Roman" w:asciiTheme="minorEastAsia" w:hAnsiTheme="minorEastAsia" w:eastAsiaTheme="minorEastAsia"/>
                <w:b w:val="0"/>
                <w:bCs w:val="0"/>
                <w:color w:val="auto"/>
                <w:kern w:val="2"/>
                <w:sz w:val="20"/>
                <w:szCs w:val="20"/>
                <w:highlight w:val="none"/>
              </w:rPr>
              <w:t>具有</w:t>
            </w:r>
            <w:r>
              <w:rPr>
                <w:rFonts w:cs="Times New Roman" w:asciiTheme="minorEastAsia" w:hAnsiTheme="minorEastAsia" w:eastAsiaTheme="minorEastAsia"/>
                <w:b w:val="0"/>
                <w:bCs w:val="0"/>
                <w:color w:val="auto"/>
                <w:kern w:val="2"/>
                <w:sz w:val="20"/>
                <w:szCs w:val="20"/>
                <w:highlight w:val="none"/>
              </w:rPr>
              <w:t>1</w:t>
            </w:r>
            <w:r>
              <w:rPr>
                <w:rFonts w:hint="eastAsia" w:cs="Times New Roman" w:asciiTheme="minorEastAsia" w:hAnsiTheme="minorEastAsia" w:eastAsiaTheme="minorEastAsia"/>
                <w:b w:val="0"/>
                <w:bCs w:val="0"/>
                <w:color w:val="auto"/>
                <w:kern w:val="2"/>
                <w:sz w:val="20"/>
                <w:szCs w:val="20"/>
                <w:highlight w:val="none"/>
              </w:rPr>
              <w:t>个</w:t>
            </w:r>
            <w:r>
              <w:rPr>
                <w:rFonts w:cs="Times New Roman" w:asciiTheme="minorEastAsia" w:hAnsiTheme="minorEastAsia" w:eastAsiaTheme="minorEastAsia"/>
                <w:b w:val="0"/>
                <w:bCs w:val="0"/>
                <w:color w:val="auto"/>
                <w:kern w:val="2"/>
                <w:sz w:val="20"/>
                <w:szCs w:val="20"/>
                <w:highlight w:val="none"/>
              </w:rPr>
              <w:t>SD</w:t>
            </w:r>
            <w:r>
              <w:rPr>
                <w:rFonts w:hint="eastAsia" w:cs="Times New Roman" w:asciiTheme="minorEastAsia" w:hAnsiTheme="minorEastAsia" w:eastAsiaTheme="minorEastAsia"/>
                <w:b w:val="0"/>
                <w:bCs w:val="0"/>
                <w:color w:val="auto"/>
                <w:kern w:val="2"/>
                <w:sz w:val="20"/>
                <w:szCs w:val="20"/>
                <w:highlight w:val="none"/>
              </w:rPr>
              <w:t>卡接口，支持外接</w:t>
            </w:r>
            <w:r>
              <w:rPr>
                <w:rFonts w:cs="Times New Roman" w:asciiTheme="minorEastAsia" w:hAnsiTheme="minorEastAsia" w:eastAsiaTheme="minorEastAsia"/>
                <w:b w:val="0"/>
                <w:bCs w:val="0"/>
                <w:color w:val="auto"/>
                <w:kern w:val="2"/>
                <w:sz w:val="20"/>
                <w:szCs w:val="20"/>
                <w:highlight w:val="none"/>
              </w:rPr>
              <w:t>MicroSD</w:t>
            </w:r>
            <w:r>
              <w:rPr>
                <w:rFonts w:hint="eastAsia" w:cs="Times New Roman" w:asciiTheme="minorEastAsia" w:hAnsiTheme="minorEastAsia" w:eastAsiaTheme="minorEastAsia"/>
                <w:b w:val="0"/>
                <w:bCs w:val="0"/>
                <w:color w:val="auto"/>
                <w:kern w:val="2"/>
                <w:sz w:val="20"/>
                <w:szCs w:val="20"/>
                <w:highlight w:val="none"/>
              </w:rPr>
              <w:t>卡。</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4</w:t>
            </w:r>
            <w:r>
              <w:rPr>
                <w:rFonts w:hint="eastAsia" w:cs="Times New Roman" w:asciiTheme="minorEastAsia" w:hAnsiTheme="minorEastAsia" w:eastAsiaTheme="minorEastAsia"/>
                <w:b w:val="0"/>
                <w:bCs w:val="0"/>
                <w:color w:val="auto"/>
                <w:kern w:val="2"/>
                <w:sz w:val="20"/>
                <w:szCs w:val="20"/>
                <w:highlight w:val="none"/>
              </w:rPr>
              <w:t>．输出控制功能</w:t>
            </w:r>
          </w:p>
          <w:p>
            <w:pPr>
              <w:spacing w:after="0" w:afterLines="-2147483648" w:line="380" w:lineRule="exact"/>
              <w:ind w:firstLine="200" w:firstLineChars="100"/>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1</w:t>
            </w:r>
            <w:r>
              <w:rPr>
                <w:rFonts w:hint="eastAsia" w:cs="Times New Roman" w:asciiTheme="minorEastAsia" w:hAnsiTheme="minorEastAsia" w:eastAsiaTheme="minorEastAsia"/>
                <w:b w:val="0"/>
                <w:bCs w:val="0"/>
                <w:color w:val="auto"/>
                <w:kern w:val="2"/>
                <w:sz w:val="20"/>
                <w:szCs w:val="20"/>
                <w:highlight w:val="none"/>
              </w:rPr>
              <w:t>）具有</w:t>
            </w:r>
            <w:r>
              <w:rPr>
                <w:rFonts w:cs="Times New Roman" w:asciiTheme="minorEastAsia" w:hAnsiTheme="minorEastAsia" w:eastAsiaTheme="minorEastAsia"/>
                <w:b w:val="0"/>
                <w:bCs w:val="0"/>
                <w:color w:val="auto"/>
                <w:kern w:val="2"/>
                <w:sz w:val="20"/>
                <w:szCs w:val="20"/>
                <w:highlight w:val="none"/>
              </w:rPr>
              <w:t>4</w:t>
            </w:r>
            <w:r>
              <w:rPr>
                <w:rFonts w:hint="eastAsia" w:cs="Times New Roman" w:asciiTheme="minorEastAsia" w:hAnsiTheme="minorEastAsia" w:eastAsiaTheme="minorEastAsia"/>
                <w:b w:val="0"/>
                <w:bCs w:val="0"/>
                <w:color w:val="auto"/>
                <w:kern w:val="2"/>
                <w:sz w:val="20"/>
                <w:szCs w:val="20"/>
                <w:highlight w:val="none"/>
              </w:rPr>
              <w:t>路三极管输出功能，可用于外部控制，最大负载电流</w:t>
            </w:r>
            <w:r>
              <w:rPr>
                <w:rFonts w:cs="Times New Roman" w:asciiTheme="minorEastAsia" w:hAnsiTheme="minorEastAsia" w:eastAsiaTheme="minorEastAsia"/>
                <w:b w:val="0"/>
                <w:bCs w:val="0"/>
                <w:color w:val="auto"/>
                <w:kern w:val="2"/>
                <w:sz w:val="20"/>
                <w:szCs w:val="20"/>
                <w:highlight w:val="none"/>
              </w:rPr>
              <w:t>200mA</w:t>
            </w:r>
            <w:r>
              <w:rPr>
                <w:rFonts w:hint="eastAsia" w:cs="Times New Roman" w:asciiTheme="minorEastAsia" w:hAnsiTheme="minorEastAsia" w:eastAsiaTheme="minorEastAsia"/>
                <w:b w:val="0"/>
                <w:bCs w:val="0"/>
                <w:color w:val="auto"/>
                <w:kern w:val="2"/>
                <w:sz w:val="20"/>
                <w:szCs w:val="20"/>
                <w:highlight w:val="none"/>
              </w:rPr>
              <w:t>。</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 xml:space="preserve"> </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2</w:t>
            </w:r>
            <w:r>
              <w:rPr>
                <w:rFonts w:hint="eastAsia" w:cs="Times New Roman" w:asciiTheme="minorEastAsia" w:hAnsiTheme="minorEastAsia" w:eastAsiaTheme="minorEastAsia"/>
                <w:b w:val="0"/>
                <w:bCs w:val="0"/>
                <w:color w:val="auto"/>
                <w:kern w:val="2"/>
                <w:sz w:val="20"/>
                <w:szCs w:val="20"/>
                <w:highlight w:val="none"/>
              </w:rPr>
              <w:t>）具有</w:t>
            </w:r>
            <w:r>
              <w:rPr>
                <w:rFonts w:cs="Times New Roman" w:asciiTheme="minorEastAsia" w:hAnsiTheme="minorEastAsia" w:eastAsiaTheme="minorEastAsia"/>
                <w:b w:val="0"/>
                <w:bCs w:val="0"/>
                <w:color w:val="auto"/>
                <w:kern w:val="2"/>
                <w:sz w:val="20"/>
                <w:szCs w:val="20"/>
                <w:highlight w:val="none"/>
              </w:rPr>
              <w:t>2</w:t>
            </w:r>
            <w:r>
              <w:rPr>
                <w:rFonts w:hint="eastAsia" w:cs="Times New Roman" w:asciiTheme="minorEastAsia" w:hAnsiTheme="minorEastAsia" w:eastAsiaTheme="minorEastAsia"/>
                <w:b w:val="0"/>
                <w:bCs w:val="0"/>
                <w:color w:val="auto"/>
                <w:kern w:val="2"/>
                <w:sz w:val="20"/>
                <w:szCs w:val="20"/>
                <w:highlight w:val="none"/>
              </w:rPr>
              <w:t>路低功耗继电器，最大负载为</w:t>
            </w:r>
            <w:r>
              <w:rPr>
                <w:rFonts w:cs="Times New Roman" w:asciiTheme="minorEastAsia" w:hAnsiTheme="minorEastAsia" w:eastAsiaTheme="minorEastAsia"/>
                <w:b w:val="0"/>
                <w:bCs w:val="0"/>
                <w:color w:val="auto"/>
                <w:kern w:val="2"/>
                <w:sz w:val="20"/>
                <w:szCs w:val="20"/>
                <w:highlight w:val="none"/>
              </w:rPr>
              <w:t>1A/30VDC</w:t>
            </w:r>
            <w:r>
              <w:rPr>
                <w:rFonts w:hint="eastAsia" w:cs="Times New Roman" w:asciiTheme="minorEastAsia" w:hAnsiTheme="minorEastAsia" w:eastAsiaTheme="minorEastAsia"/>
                <w:b w:val="0"/>
                <w:bCs w:val="0"/>
                <w:color w:val="auto"/>
                <w:kern w:val="2"/>
                <w:sz w:val="20"/>
                <w:szCs w:val="20"/>
                <w:highlight w:val="none"/>
              </w:rPr>
              <w:t>，可直接用于控制外部传感器供电。</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5</w:t>
            </w:r>
            <w:r>
              <w:rPr>
                <w:rFonts w:hint="eastAsia" w:cs="Times New Roman" w:asciiTheme="minorEastAsia" w:hAnsiTheme="minorEastAsia" w:eastAsiaTheme="minorEastAsia"/>
                <w:b w:val="0"/>
                <w:bCs w:val="0"/>
                <w:color w:val="auto"/>
                <w:kern w:val="2"/>
                <w:sz w:val="20"/>
                <w:szCs w:val="20"/>
                <w:highlight w:val="none"/>
              </w:rPr>
              <w:t>．电源输出功能</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1</w:t>
            </w:r>
            <w:r>
              <w:rPr>
                <w:rFonts w:hint="eastAsia" w:cs="Times New Roman" w:asciiTheme="minorEastAsia" w:hAnsiTheme="minorEastAsia" w:eastAsiaTheme="minorEastAsia"/>
                <w:b w:val="0"/>
                <w:bCs w:val="0"/>
                <w:color w:val="auto"/>
                <w:kern w:val="2"/>
                <w:sz w:val="20"/>
                <w:szCs w:val="20"/>
                <w:highlight w:val="none"/>
              </w:rPr>
              <w:t>）具有</w:t>
            </w:r>
            <w:r>
              <w:rPr>
                <w:rFonts w:cs="Times New Roman" w:asciiTheme="minorEastAsia" w:hAnsiTheme="minorEastAsia" w:eastAsiaTheme="minorEastAsia"/>
                <w:b w:val="0"/>
                <w:bCs w:val="0"/>
                <w:color w:val="auto"/>
                <w:kern w:val="2"/>
                <w:sz w:val="20"/>
                <w:szCs w:val="20"/>
                <w:highlight w:val="none"/>
              </w:rPr>
              <w:t>1</w:t>
            </w:r>
            <w:r>
              <w:rPr>
                <w:rFonts w:hint="eastAsia" w:cs="Times New Roman" w:asciiTheme="minorEastAsia" w:hAnsiTheme="minorEastAsia" w:eastAsiaTheme="minorEastAsia"/>
                <w:b w:val="0"/>
                <w:bCs w:val="0"/>
                <w:color w:val="auto"/>
                <w:kern w:val="2"/>
                <w:sz w:val="20"/>
                <w:szCs w:val="20"/>
                <w:highlight w:val="none"/>
              </w:rPr>
              <w:t>路</w:t>
            </w:r>
            <w:r>
              <w:rPr>
                <w:rFonts w:cs="Times New Roman" w:asciiTheme="minorEastAsia" w:hAnsiTheme="minorEastAsia" w:eastAsiaTheme="minorEastAsia"/>
                <w:b w:val="0"/>
                <w:bCs w:val="0"/>
                <w:color w:val="auto"/>
                <w:kern w:val="2"/>
                <w:sz w:val="20"/>
                <w:szCs w:val="20"/>
                <w:highlight w:val="none"/>
              </w:rPr>
              <w:t>24V</w:t>
            </w:r>
            <w:r>
              <w:rPr>
                <w:rFonts w:hint="eastAsia" w:cs="Times New Roman" w:asciiTheme="minorEastAsia" w:hAnsiTheme="minorEastAsia" w:eastAsiaTheme="minorEastAsia"/>
                <w:b w:val="0"/>
                <w:bCs w:val="0"/>
                <w:color w:val="auto"/>
                <w:kern w:val="2"/>
                <w:sz w:val="20"/>
                <w:szCs w:val="20"/>
                <w:highlight w:val="none"/>
              </w:rPr>
              <w:t>电源输出，最大输出电流为</w:t>
            </w:r>
            <w:r>
              <w:rPr>
                <w:rFonts w:cs="Times New Roman" w:asciiTheme="minorEastAsia" w:hAnsiTheme="minorEastAsia" w:eastAsiaTheme="minorEastAsia"/>
                <w:b w:val="0"/>
                <w:bCs w:val="0"/>
                <w:color w:val="auto"/>
                <w:kern w:val="2"/>
                <w:sz w:val="20"/>
                <w:szCs w:val="20"/>
                <w:highlight w:val="none"/>
              </w:rPr>
              <w:t>50mA</w:t>
            </w:r>
            <w:r>
              <w:rPr>
                <w:rFonts w:hint="eastAsia" w:cs="Times New Roman" w:asciiTheme="minorEastAsia" w:hAnsiTheme="minorEastAsia" w:eastAsiaTheme="minorEastAsia"/>
                <w:b w:val="0"/>
                <w:bCs w:val="0"/>
                <w:color w:val="auto"/>
                <w:kern w:val="2"/>
                <w:sz w:val="20"/>
                <w:szCs w:val="20"/>
                <w:highlight w:val="none"/>
              </w:rPr>
              <w:t>。</w:t>
            </w:r>
          </w:p>
          <w:p>
            <w:pPr>
              <w:spacing w:after="0" w:afterLines="-2147483648" w:line="380" w:lineRule="exact"/>
              <w:rPr>
                <w:rFonts w:asciiTheme="majorEastAsia" w:hAnsiTheme="majorEastAsia" w:eastAsiaTheme="majorEastAsia" w:cstheme="majorEastAsia"/>
                <w:b w:val="0"/>
                <w:bCs w:val="0"/>
                <w:color w:val="auto"/>
                <w:sz w:val="20"/>
                <w:szCs w:val="20"/>
                <w:highlight w:val="none"/>
                <w:lang w:bidi="ar"/>
              </w:rPr>
            </w:pPr>
            <w:r>
              <w:rPr>
                <w:rFonts w:cs="Times New Roman" w:asciiTheme="minorEastAsia" w:hAnsiTheme="minorEastAsia" w:eastAsiaTheme="minorEastAsia"/>
                <w:b w:val="0"/>
                <w:bCs w:val="0"/>
                <w:color w:val="auto"/>
                <w:kern w:val="2"/>
                <w:sz w:val="20"/>
                <w:szCs w:val="20"/>
                <w:highlight w:val="none"/>
              </w:rPr>
              <w:t></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2</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 xml:space="preserve"> </w:t>
            </w:r>
            <w:r>
              <w:rPr>
                <w:rFonts w:hint="eastAsia" w:cs="Times New Roman" w:asciiTheme="minorEastAsia" w:hAnsiTheme="minorEastAsia" w:eastAsiaTheme="minorEastAsia"/>
                <w:b w:val="0"/>
                <w:bCs w:val="0"/>
                <w:color w:val="auto"/>
                <w:kern w:val="2"/>
                <w:sz w:val="20"/>
                <w:szCs w:val="20"/>
                <w:highlight w:val="none"/>
              </w:rPr>
              <w:t>具有</w:t>
            </w:r>
            <w:r>
              <w:rPr>
                <w:rFonts w:cs="Times New Roman" w:asciiTheme="minorEastAsia" w:hAnsiTheme="minorEastAsia" w:eastAsiaTheme="minorEastAsia"/>
                <w:b w:val="0"/>
                <w:bCs w:val="0"/>
                <w:color w:val="auto"/>
                <w:kern w:val="2"/>
                <w:sz w:val="20"/>
                <w:szCs w:val="20"/>
                <w:highlight w:val="none"/>
              </w:rPr>
              <w:t>1</w:t>
            </w:r>
            <w:r>
              <w:rPr>
                <w:rFonts w:hint="eastAsia" w:cs="Times New Roman" w:asciiTheme="minorEastAsia" w:hAnsiTheme="minorEastAsia" w:eastAsiaTheme="minorEastAsia"/>
                <w:b w:val="0"/>
                <w:bCs w:val="0"/>
                <w:color w:val="auto"/>
                <w:kern w:val="2"/>
                <w:sz w:val="20"/>
                <w:szCs w:val="20"/>
                <w:highlight w:val="none"/>
              </w:rPr>
              <w:t>路</w:t>
            </w:r>
            <w:r>
              <w:rPr>
                <w:rFonts w:cs="Times New Roman" w:asciiTheme="minorEastAsia" w:hAnsiTheme="minorEastAsia" w:eastAsiaTheme="minorEastAsia"/>
                <w:b w:val="0"/>
                <w:bCs w:val="0"/>
                <w:color w:val="auto"/>
                <w:kern w:val="2"/>
                <w:sz w:val="20"/>
                <w:szCs w:val="20"/>
                <w:highlight w:val="none"/>
              </w:rPr>
              <w:t>5V</w:t>
            </w:r>
            <w:r>
              <w:rPr>
                <w:rFonts w:hint="eastAsia" w:cs="Times New Roman" w:asciiTheme="minorEastAsia" w:hAnsiTheme="minorEastAsia" w:eastAsiaTheme="minorEastAsia"/>
                <w:b w:val="0"/>
                <w:bCs w:val="0"/>
                <w:color w:val="auto"/>
                <w:kern w:val="2"/>
                <w:sz w:val="20"/>
                <w:szCs w:val="20"/>
                <w:highlight w:val="none"/>
              </w:rPr>
              <w:t>电源输出，最大输出电流为</w:t>
            </w:r>
            <w:r>
              <w:rPr>
                <w:rFonts w:cs="Times New Roman" w:asciiTheme="minorEastAsia" w:hAnsiTheme="minorEastAsia" w:eastAsiaTheme="minorEastAsia"/>
                <w:b w:val="0"/>
                <w:bCs w:val="0"/>
                <w:color w:val="auto"/>
                <w:kern w:val="2"/>
                <w:sz w:val="20"/>
                <w:szCs w:val="20"/>
                <w:highlight w:val="none"/>
              </w:rPr>
              <w:t>100mA</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7</w:t>
            </w:r>
            <w:r>
              <w:rPr>
                <w:rFonts w:hint="eastAsia" w:asciiTheme="majorEastAsia" w:hAnsiTheme="majorEastAsia" w:eastAsiaTheme="majorEastAsia" w:cstheme="majorEastAsia"/>
                <w:b w:val="0"/>
                <w:bCs w:val="0"/>
                <w:color w:val="auto"/>
                <w:sz w:val="20"/>
                <w:szCs w:val="20"/>
                <w:highlight w:val="none"/>
                <w:lang w:bidi="ar"/>
              </w:rPr>
              <w:t>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8000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w:t>
            </w:r>
          </w:p>
        </w:tc>
        <w:tc>
          <w:tcPr>
            <w:tcW w:w="0" w:type="auto"/>
            <w:gridSpan w:val="3"/>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无线通讯模块</w:t>
            </w:r>
          </w:p>
        </w:tc>
        <w:tc>
          <w:tcPr>
            <w:tcW w:w="0" w:type="auto"/>
            <w:vAlign w:val="center"/>
          </w:tcPr>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w:t>
            </w:r>
            <w:r>
              <w:rPr>
                <w:rFonts w:hint="eastAsia" w:cs="Times New Roman" w:asciiTheme="minorEastAsia" w:hAnsiTheme="minorEastAsia" w:eastAsiaTheme="minorEastAsia"/>
                <w:b w:val="0"/>
                <w:bCs w:val="0"/>
                <w:color w:val="auto"/>
                <w:kern w:val="2"/>
                <w:sz w:val="20"/>
                <w:szCs w:val="20"/>
                <w:highlight w:val="none"/>
              </w:rPr>
              <w:t>、内置无线通讯模块，支</w:t>
            </w:r>
            <w:r>
              <w:rPr>
                <w:rFonts w:cs="Times New Roman" w:asciiTheme="minorEastAsia" w:hAnsiTheme="minorEastAsia" w:eastAsiaTheme="minorEastAsia"/>
                <w:b w:val="0"/>
                <w:bCs w:val="0"/>
                <w:color w:val="auto"/>
                <w:kern w:val="2"/>
                <w:sz w:val="20"/>
                <w:szCs w:val="20"/>
                <w:highlight w:val="none"/>
              </w:rPr>
              <w:t>GPRS/CDMA/3G/4G/NB-iot</w:t>
            </w:r>
            <w:r>
              <w:rPr>
                <w:rFonts w:hint="eastAsia" w:cs="Times New Roman" w:asciiTheme="minorEastAsia" w:hAnsiTheme="minorEastAsia" w:eastAsiaTheme="minorEastAsia"/>
                <w:b w:val="0"/>
                <w:bCs w:val="0"/>
                <w:color w:val="auto"/>
                <w:kern w:val="2"/>
                <w:sz w:val="20"/>
                <w:szCs w:val="20"/>
                <w:highlight w:val="none"/>
              </w:rPr>
              <w:t>，可以同时进行短信和网络数据的收发；能够同时与</w:t>
            </w:r>
            <w:r>
              <w:rPr>
                <w:rFonts w:cs="Times New Roman" w:asciiTheme="minorEastAsia" w:hAnsiTheme="minorEastAsia" w:eastAsiaTheme="minorEastAsia"/>
                <w:b w:val="0"/>
                <w:bCs w:val="0"/>
                <w:color w:val="auto"/>
                <w:kern w:val="2"/>
                <w:sz w:val="20"/>
                <w:szCs w:val="20"/>
                <w:highlight w:val="none"/>
              </w:rPr>
              <w:t>4</w:t>
            </w:r>
            <w:r>
              <w:rPr>
                <w:rFonts w:hint="eastAsia" w:cs="Times New Roman" w:asciiTheme="minorEastAsia" w:hAnsiTheme="minorEastAsia" w:eastAsiaTheme="minorEastAsia"/>
                <w:b w:val="0"/>
                <w:bCs w:val="0"/>
                <w:color w:val="auto"/>
                <w:kern w:val="2"/>
                <w:sz w:val="20"/>
                <w:szCs w:val="20"/>
                <w:highlight w:val="none"/>
              </w:rPr>
              <w:t>个服务器进行数据通信；具有低功耗待机功能，可以通过短信和电话唤醒；能够对短信和电话的号码进行识别，支持白名单功能。</w:t>
            </w:r>
          </w:p>
          <w:p>
            <w:pPr>
              <w:spacing w:after="0" w:afterLines="-2147483648" w:line="380" w:lineRule="exact"/>
              <w:ind w:firstLine="0" w:firstLineChars="0"/>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2</w:t>
            </w:r>
            <w:r>
              <w:rPr>
                <w:rFonts w:hint="eastAsia" w:cs="Times New Roman" w:asciiTheme="minorEastAsia" w:hAnsiTheme="minorEastAsia" w:eastAsiaTheme="minorEastAsia"/>
                <w:b w:val="0"/>
                <w:bCs w:val="0"/>
                <w:color w:val="auto"/>
                <w:kern w:val="2"/>
                <w:sz w:val="20"/>
                <w:szCs w:val="20"/>
                <w:highlight w:val="none"/>
              </w:rPr>
              <w:t>、支持通过串口外接电台、卫星、以及北斗等设备进行通信。</w:t>
            </w:r>
          </w:p>
          <w:p>
            <w:pPr>
              <w:spacing w:after="0" w:afterLines="-2147483648" w:line="380" w:lineRule="exact"/>
              <w:rPr>
                <w:rFonts w:asciiTheme="majorEastAsia" w:hAnsiTheme="majorEastAsia" w:eastAsiaTheme="majorEastAsia" w:cstheme="majorEastAsia"/>
                <w:b w:val="0"/>
                <w:bCs w:val="0"/>
                <w:color w:val="auto"/>
                <w:sz w:val="20"/>
                <w:szCs w:val="20"/>
                <w:highlight w:val="none"/>
                <w:lang w:bidi="ar"/>
              </w:rPr>
            </w:pPr>
            <w:r>
              <w:rPr>
                <w:rFonts w:cs="Times New Roman" w:asciiTheme="minorEastAsia" w:hAnsiTheme="minorEastAsia" w:eastAsiaTheme="minorEastAsia"/>
                <w:b w:val="0"/>
                <w:bCs w:val="0"/>
                <w:color w:val="auto"/>
                <w:kern w:val="2"/>
                <w:sz w:val="20"/>
                <w:szCs w:val="20"/>
                <w:highlight w:val="none"/>
              </w:rPr>
              <w:t>3</w:t>
            </w:r>
            <w:r>
              <w:rPr>
                <w:rFonts w:hint="eastAsia" w:cs="Times New Roman" w:asciiTheme="minorEastAsia" w:hAnsiTheme="minorEastAsia" w:eastAsiaTheme="minorEastAsia"/>
                <w:b w:val="0"/>
                <w:bCs w:val="0"/>
                <w:color w:val="auto"/>
                <w:kern w:val="2"/>
                <w:sz w:val="20"/>
                <w:szCs w:val="20"/>
                <w:highlight w:val="none"/>
              </w:rPr>
              <w:t>、支持主备通信功能，主备通信方式可任意设定。</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7</w:t>
            </w:r>
            <w:r>
              <w:rPr>
                <w:rFonts w:hint="eastAsia" w:asciiTheme="majorEastAsia" w:hAnsiTheme="majorEastAsia" w:eastAsiaTheme="majorEastAsia" w:cstheme="majorEastAsia"/>
                <w:b w:val="0"/>
                <w:bCs w:val="0"/>
                <w:color w:val="auto"/>
                <w:sz w:val="20"/>
                <w:szCs w:val="20"/>
                <w:highlight w:val="none"/>
                <w:lang w:bidi="ar"/>
              </w:rPr>
              <w:t>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1200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3</w:t>
            </w:r>
          </w:p>
        </w:tc>
        <w:tc>
          <w:tcPr>
            <w:tcW w:w="0" w:type="auto"/>
            <w:gridSpan w:val="3"/>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太阳能电池板</w:t>
            </w:r>
          </w:p>
        </w:tc>
        <w:tc>
          <w:tcPr>
            <w:tcW w:w="0" w:type="auto"/>
            <w:vAlign w:val="center"/>
          </w:tcPr>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主要技术参数：</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w:t>
            </w:r>
            <w:r>
              <w:rPr>
                <w:rFonts w:hint="eastAsia" w:cs="Times New Roman" w:asciiTheme="minorEastAsia" w:hAnsiTheme="minorEastAsia" w:eastAsiaTheme="minorEastAsia"/>
                <w:b w:val="0"/>
                <w:bCs w:val="0"/>
                <w:color w:val="auto"/>
                <w:kern w:val="2"/>
                <w:sz w:val="20"/>
                <w:szCs w:val="20"/>
                <w:highlight w:val="none"/>
              </w:rPr>
              <w:t>、工作电流：</w:t>
            </w:r>
            <w:r>
              <w:rPr>
                <w:rFonts w:cs="Times New Roman" w:asciiTheme="minorEastAsia" w:hAnsiTheme="minorEastAsia" w:eastAsiaTheme="minorEastAsia"/>
                <w:b w:val="0"/>
                <w:bCs w:val="0"/>
                <w:color w:val="auto"/>
                <w:kern w:val="2"/>
                <w:sz w:val="20"/>
                <w:szCs w:val="20"/>
                <w:highlight w:val="none"/>
              </w:rPr>
              <w:t>1.94A(</w:t>
            </w:r>
            <w:r>
              <w:rPr>
                <w:rFonts w:hint="eastAsia" w:cs="Times New Roman" w:asciiTheme="minorEastAsia" w:hAnsiTheme="minorEastAsia" w:eastAsiaTheme="minorEastAsia"/>
                <w:b w:val="0"/>
                <w:bCs w:val="0"/>
                <w:color w:val="auto"/>
                <w:kern w:val="2"/>
                <w:sz w:val="20"/>
                <w:szCs w:val="20"/>
                <w:highlight w:val="none"/>
              </w:rPr>
              <w:t>峰值</w:t>
            </w:r>
            <w:r>
              <w:rPr>
                <w:rFonts w:cs="Times New Roman" w:asciiTheme="minorEastAsia" w:hAnsiTheme="minorEastAsia" w:eastAsiaTheme="minorEastAsia"/>
                <w:b w:val="0"/>
                <w:bCs w:val="0"/>
                <w:color w:val="auto"/>
                <w:kern w:val="2"/>
                <w:sz w:val="20"/>
                <w:szCs w:val="20"/>
                <w:highlight w:val="none"/>
              </w:rPr>
              <w:t>)</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2</w:t>
            </w:r>
            <w:r>
              <w:rPr>
                <w:rFonts w:hint="eastAsia" w:cs="Times New Roman" w:asciiTheme="minorEastAsia" w:hAnsiTheme="minorEastAsia" w:eastAsiaTheme="minorEastAsia"/>
                <w:b w:val="0"/>
                <w:bCs w:val="0"/>
                <w:color w:val="auto"/>
                <w:kern w:val="2"/>
                <w:sz w:val="20"/>
                <w:szCs w:val="20"/>
                <w:highlight w:val="none"/>
              </w:rPr>
              <w:t>、开路电压：</w:t>
            </w:r>
            <w:r>
              <w:rPr>
                <w:rFonts w:cs="Times New Roman" w:asciiTheme="minorEastAsia" w:hAnsiTheme="minorEastAsia" w:eastAsiaTheme="minorEastAsia"/>
                <w:b w:val="0"/>
                <w:bCs w:val="0"/>
                <w:color w:val="auto"/>
                <w:kern w:val="2"/>
                <w:sz w:val="20"/>
                <w:szCs w:val="20"/>
                <w:highlight w:val="none"/>
              </w:rPr>
              <w:t>21.6V</w:t>
            </w:r>
            <w:r>
              <w:rPr>
                <w:rFonts w:hint="eastAsia" w:cs="Times New Roman" w:asciiTheme="minorEastAsia" w:hAnsiTheme="minorEastAsia" w:eastAsiaTheme="minorEastAsia"/>
                <w:b w:val="0"/>
                <w:bCs w:val="0"/>
                <w:color w:val="auto"/>
                <w:kern w:val="2"/>
                <w:sz w:val="20"/>
                <w:szCs w:val="20"/>
                <w:highlight w:val="none"/>
              </w:rPr>
              <w:t>；</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3</w:t>
            </w:r>
            <w:r>
              <w:rPr>
                <w:rFonts w:hint="eastAsia" w:cs="Times New Roman" w:asciiTheme="minorEastAsia" w:hAnsiTheme="minorEastAsia" w:eastAsiaTheme="minorEastAsia"/>
                <w:b w:val="0"/>
                <w:bCs w:val="0"/>
                <w:color w:val="auto"/>
                <w:kern w:val="2"/>
                <w:sz w:val="20"/>
                <w:szCs w:val="20"/>
                <w:highlight w:val="none"/>
              </w:rPr>
              <w:t>、短路电流：</w:t>
            </w:r>
            <w:r>
              <w:rPr>
                <w:rFonts w:cs="Times New Roman" w:asciiTheme="minorEastAsia" w:hAnsiTheme="minorEastAsia" w:eastAsiaTheme="minorEastAsia"/>
                <w:b w:val="0"/>
                <w:bCs w:val="0"/>
                <w:color w:val="auto"/>
                <w:kern w:val="2"/>
                <w:sz w:val="20"/>
                <w:szCs w:val="20"/>
                <w:highlight w:val="none"/>
              </w:rPr>
              <w:t>2.04A</w:t>
            </w:r>
            <w:r>
              <w:rPr>
                <w:rFonts w:hint="eastAsia" w:cs="Times New Roman" w:asciiTheme="minorEastAsia" w:hAnsiTheme="minorEastAsia" w:eastAsiaTheme="minorEastAsia"/>
                <w:b w:val="0"/>
                <w:bCs w:val="0"/>
                <w:color w:val="auto"/>
                <w:kern w:val="2"/>
                <w:sz w:val="20"/>
                <w:szCs w:val="20"/>
                <w:highlight w:val="none"/>
              </w:rPr>
              <w:t>；</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4</w:t>
            </w:r>
            <w:r>
              <w:rPr>
                <w:rFonts w:hint="eastAsia" w:cs="Times New Roman" w:asciiTheme="minorEastAsia" w:hAnsiTheme="minorEastAsia" w:eastAsiaTheme="minorEastAsia"/>
                <w:b w:val="0"/>
                <w:bCs w:val="0"/>
                <w:color w:val="auto"/>
                <w:kern w:val="2"/>
                <w:sz w:val="20"/>
                <w:szCs w:val="20"/>
                <w:highlight w:val="none"/>
              </w:rPr>
              <w:t>、功率</w:t>
            </w:r>
            <w:r>
              <w:rPr>
                <w:rFonts w:cs="Times New Roman" w:asciiTheme="minorEastAsia" w:hAnsiTheme="minorEastAsia" w:eastAsiaTheme="minorEastAsia"/>
                <w:b w:val="0"/>
                <w:bCs w:val="0"/>
                <w:color w:val="auto"/>
                <w:kern w:val="2"/>
                <w:sz w:val="20"/>
                <w:szCs w:val="20"/>
                <w:highlight w:val="none"/>
              </w:rPr>
              <w:t>:25W</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5</w:t>
            </w:r>
            <w:r>
              <w:rPr>
                <w:rFonts w:hint="eastAsia" w:cs="Times New Roman" w:asciiTheme="minorEastAsia" w:hAnsiTheme="minorEastAsia" w:eastAsiaTheme="minorEastAsia"/>
                <w:b w:val="0"/>
                <w:bCs w:val="0"/>
                <w:color w:val="auto"/>
                <w:kern w:val="2"/>
                <w:sz w:val="20"/>
                <w:szCs w:val="20"/>
                <w:highlight w:val="none"/>
              </w:rPr>
              <w:t>、标准测试条件：</w:t>
            </w:r>
            <w:r>
              <w:rPr>
                <w:rFonts w:cs="Times New Roman" w:asciiTheme="minorEastAsia" w:hAnsiTheme="minorEastAsia" w:eastAsiaTheme="minorEastAsia"/>
                <w:b w:val="0"/>
                <w:bCs w:val="0"/>
                <w:color w:val="auto"/>
                <w:kern w:val="2"/>
                <w:sz w:val="20"/>
                <w:szCs w:val="20"/>
                <w:highlight w:val="none"/>
              </w:rPr>
              <w:t>(AM1.5)</w:t>
            </w:r>
            <w:r>
              <w:rPr>
                <w:rFonts w:hint="eastAsia" w:cs="Times New Roman" w:asciiTheme="minorEastAsia" w:hAnsiTheme="minorEastAsia" w:eastAsiaTheme="minorEastAsia"/>
                <w:b w:val="0"/>
                <w:bCs w:val="0"/>
                <w:color w:val="auto"/>
                <w:kern w:val="2"/>
                <w:sz w:val="20"/>
                <w:szCs w:val="20"/>
                <w:highlight w:val="none"/>
              </w:rPr>
              <w:t>辐照度</w:t>
            </w:r>
            <w:r>
              <w:rPr>
                <w:rFonts w:cs="Times New Roman" w:asciiTheme="minorEastAsia" w:hAnsiTheme="minorEastAsia" w:eastAsiaTheme="minorEastAsia"/>
                <w:b w:val="0"/>
                <w:bCs w:val="0"/>
                <w:color w:val="auto"/>
                <w:kern w:val="2"/>
                <w:sz w:val="20"/>
                <w:szCs w:val="20"/>
                <w:highlight w:val="none"/>
              </w:rPr>
              <w:t>=1000W/m2,</w:t>
            </w:r>
            <w:r>
              <w:rPr>
                <w:rFonts w:hint="eastAsia" w:cs="Times New Roman" w:asciiTheme="minorEastAsia" w:hAnsiTheme="minorEastAsia" w:eastAsiaTheme="minorEastAsia"/>
                <w:b w:val="0"/>
                <w:bCs w:val="0"/>
                <w:color w:val="auto"/>
                <w:kern w:val="2"/>
                <w:sz w:val="20"/>
                <w:szCs w:val="20"/>
                <w:highlight w:val="none"/>
              </w:rPr>
              <w:t>电池温度</w:t>
            </w:r>
            <w:r>
              <w:rPr>
                <w:rFonts w:cs="Times New Roman" w:asciiTheme="minorEastAsia" w:hAnsiTheme="minorEastAsia" w:eastAsiaTheme="minorEastAsia"/>
                <w:b w:val="0"/>
                <w:bCs w:val="0"/>
                <w:color w:val="auto"/>
                <w:kern w:val="2"/>
                <w:sz w:val="20"/>
                <w:szCs w:val="20"/>
                <w:highlight w:val="none"/>
              </w:rPr>
              <w:t>=25</w:t>
            </w:r>
            <w:r>
              <w:rPr>
                <w:rFonts w:hint="eastAsia" w:cs="Times New Roman" w:asciiTheme="minorEastAsia" w:hAnsiTheme="minorEastAsia" w:eastAsiaTheme="minorEastAsia"/>
                <w:b w:val="0"/>
                <w:bCs w:val="0"/>
                <w:color w:val="auto"/>
                <w:kern w:val="2"/>
                <w:sz w:val="20"/>
                <w:szCs w:val="20"/>
                <w:highlight w:val="none"/>
              </w:rPr>
              <w:t>℃</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6</w:t>
            </w:r>
            <w:r>
              <w:rPr>
                <w:rFonts w:hint="eastAsia" w:cs="Times New Roman" w:asciiTheme="minorEastAsia" w:hAnsiTheme="minorEastAsia" w:eastAsiaTheme="minorEastAsia"/>
                <w:b w:val="0"/>
                <w:bCs w:val="0"/>
                <w:color w:val="auto"/>
                <w:kern w:val="2"/>
                <w:sz w:val="20"/>
                <w:szCs w:val="20"/>
                <w:highlight w:val="none"/>
              </w:rPr>
              <w:t>、绝缘电压</w:t>
            </w:r>
            <w:r>
              <w:rPr>
                <w:rFonts w:cs="Times New Roman" w:asciiTheme="minorEastAsia" w:hAnsiTheme="minorEastAsia" w:eastAsiaTheme="minorEastAsia"/>
                <w:b w:val="0"/>
                <w:bCs w:val="0"/>
                <w:color w:val="auto"/>
                <w:kern w:val="2"/>
                <w:sz w:val="20"/>
                <w:szCs w:val="20"/>
                <w:highlight w:val="none"/>
              </w:rPr>
              <w:t>:</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600V</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7</w:t>
            </w:r>
            <w:r>
              <w:rPr>
                <w:rFonts w:hint="eastAsia" w:cs="Times New Roman" w:asciiTheme="minorEastAsia" w:hAnsiTheme="minorEastAsia" w:eastAsiaTheme="minorEastAsia"/>
                <w:b w:val="0"/>
                <w:bCs w:val="0"/>
                <w:color w:val="auto"/>
                <w:kern w:val="2"/>
                <w:sz w:val="20"/>
                <w:szCs w:val="20"/>
                <w:highlight w:val="none"/>
              </w:rPr>
              <w:t>、边框接地电阻</w:t>
            </w:r>
            <w:r>
              <w:rPr>
                <w:rFonts w:cs="Times New Roman" w:asciiTheme="minorEastAsia" w:hAnsiTheme="minorEastAsia" w:eastAsiaTheme="minorEastAsia"/>
                <w:b w:val="0"/>
                <w:bCs w:val="0"/>
                <w:color w:val="auto"/>
                <w:kern w:val="2"/>
                <w:sz w:val="20"/>
                <w:szCs w:val="20"/>
                <w:highlight w:val="none"/>
              </w:rPr>
              <w:t>:</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10hm</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8</w:t>
            </w:r>
            <w:r>
              <w:rPr>
                <w:rFonts w:hint="eastAsia" w:cs="Times New Roman" w:asciiTheme="minorEastAsia" w:hAnsiTheme="minorEastAsia" w:eastAsiaTheme="minorEastAsia"/>
                <w:b w:val="0"/>
                <w:bCs w:val="0"/>
                <w:color w:val="auto"/>
                <w:kern w:val="2"/>
                <w:sz w:val="20"/>
                <w:szCs w:val="20"/>
                <w:highlight w:val="none"/>
              </w:rPr>
              <w:t>、迎风压强</w:t>
            </w:r>
            <w:r>
              <w:rPr>
                <w:rFonts w:cs="Times New Roman" w:asciiTheme="minorEastAsia" w:hAnsiTheme="minorEastAsia" w:eastAsiaTheme="minorEastAsia"/>
                <w:b w:val="0"/>
                <w:bCs w:val="0"/>
                <w:color w:val="auto"/>
                <w:kern w:val="2"/>
                <w:sz w:val="20"/>
                <w:szCs w:val="20"/>
                <w:highlight w:val="none"/>
              </w:rPr>
              <w:t>:2400Pa</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9</w:t>
            </w:r>
            <w:r>
              <w:rPr>
                <w:rFonts w:hint="eastAsia" w:cs="Times New Roman" w:asciiTheme="minorEastAsia" w:hAnsiTheme="minorEastAsia" w:eastAsiaTheme="minorEastAsia"/>
                <w:b w:val="0"/>
                <w:bCs w:val="0"/>
                <w:color w:val="auto"/>
                <w:kern w:val="2"/>
                <w:sz w:val="20"/>
                <w:szCs w:val="20"/>
                <w:highlight w:val="none"/>
              </w:rPr>
              <w:t>、填充因子</w:t>
            </w:r>
            <w:r>
              <w:rPr>
                <w:rFonts w:cs="Times New Roman" w:asciiTheme="minorEastAsia" w:hAnsiTheme="minorEastAsia" w:eastAsiaTheme="minorEastAsia"/>
                <w:b w:val="0"/>
                <w:bCs w:val="0"/>
                <w:color w:val="auto"/>
                <w:kern w:val="2"/>
                <w:sz w:val="20"/>
                <w:szCs w:val="20"/>
                <w:highlight w:val="none"/>
              </w:rPr>
              <w:t>:73%</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10</w:t>
            </w:r>
            <w:r>
              <w:rPr>
                <w:rFonts w:hint="eastAsia" w:cs="Times New Roman" w:asciiTheme="minorEastAsia" w:hAnsiTheme="minorEastAsia" w:eastAsiaTheme="minorEastAsia"/>
                <w:b w:val="0"/>
                <w:bCs w:val="0"/>
                <w:color w:val="auto"/>
                <w:kern w:val="2"/>
                <w:sz w:val="20"/>
                <w:szCs w:val="20"/>
                <w:highlight w:val="none"/>
              </w:rPr>
              <w:t>、短路电流温度系数：</w:t>
            </w:r>
            <w:r>
              <w:rPr>
                <w:rFonts w:cs="Times New Roman" w:asciiTheme="minorEastAsia" w:hAnsiTheme="minorEastAsia" w:eastAsiaTheme="minorEastAsia"/>
                <w:b w:val="0"/>
                <w:bCs w:val="0"/>
                <w:color w:val="auto"/>
                <w:kern w:val="2"/>
                <w:sz w:val="20"/>
                <w:szCs w:val="20"/>
                <w:highlight w:val="none"/>
              </w:rPr>
              <w:t>+0.4mA/</w:t>
            </w:r>
            <w:r>
              <w:rPr>
                <w:rFonts w:hint="eastAsia" w:cs="Times New Roman" w:asciiTheme="minorEastAsia" w:hAnsiTheme="minorEastAsia" w:eastAsiaTheme="minorEastAsia"/>
                <w:b w:val="0"/>
                <w:bCs w:val="0"/>
                <w:color w:val="auto"/>
                <w:kern w:val="2"/>
                <w:sz w:val="20"/>
                <w:szCs w:val="20"/>
                <w:highlight w:val="none"/>
              </w:rPr>
              <w:t>℃</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11</w:t>
            </w:r>
            <w:r>
              <w:rPr>
                <w:rFonts w:hint="eastAsia" w:cs="Times New Roman" w:asciiTheme="minorEastAsia" w:hAnsiTheme="minorEastAsia" w:eastAsiaTheme="minorEastAsia"/>
                <w:b w:val="0"/>
                <w:bCs w:val="0"/>
                <w:color w:val="auto"/>
                <w:kern w:val="2"/>
                <w:sz w:val="20"/>
                <w:szCs w:val="20"/>
                <w:highlight w:val="none"/>
              </w:rPr>
              <w:t>、开路电压温度系数</w:t>
            </w:r>
            <w:r>
              <w:rPr>
                <w:rFonts w:cs="Times New Roman" w:asciiTheme="minorEastAsia" w:hAnsiTheme="minorEastAsia" w:eastAsiaTheme="minorEastAsia"/>
                <w:b w:val="0"/>
                <w:bCs w:val="0"/>
                <w:color w:val="auto"/>
                <w:kern w:val="2"/>
                <w:sz w:val="20"/>
                <w:szCs w:val="20"/>
                <w:highlight w:val="none"/>
              </w:rPr>
              <w:t>:-60mV/</w:t>
            </w:r>
            <w:r>
              <w:rPr>
                <w:rFonts w:hint="eastAsia" w:cs="Times New Roman" w:asciiTheme="minorEastAsia" w:hAnsiTheme="minorEastAsia" w:eastAsiaTheme="minorEastAsia"/>
                <w:b w:val="0"/>
                <w:bCs w:val="0"/>
                <w:color w:val="auto"/>
                <w:kern w:val="2"/>
                <w:sz w:val="20"/>
                <w:szCs w:val="20"/>
                <w:highlight w:val="none"/>
              </w:rPr>
              <w:t>℃</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lang w:bidi="ar-SA"/>
              </w:rPr>
            </w:pPr>
            <w:r>
              <w:rPr>
                <w:rFonts w:cs="Times New Roman" w:asciiTheme="minorEastAsia" w:hAnsiTheme="minorEastAsia" w:eastAsiaTheme="minorEastAsia"/>
                <w:b w:val="0"/>
                <w:bCs w:val="0"/>
                <w:color w:val="auto"/>
                <w:kern w:val="2"/>
                <w:sz w:val="20"/>
                <w:szCs w:val="20"/>
                <w:highlight w:val="none"/>
              </w:rPr>
              <w:t>12</w:t>
            </w:r>
            <w:r>
              <w:rPr>
                <w:rFonts w:hint="eastAsia" w:cs="Times New Roman" w:asciiTheme="minorEastAsia" w:hAnsiTheme="minorEastAsia" w:eastAsiaTheme="minorEastAsia"/>
                <w:b w:val="0"/>
                <w:bCs w:val="0"/>
                <w:color w:val="auto"/>
                <w:kern w:val="2"/>
                <w:sz w:val="20"/>
                <w:szCs w:val="20"/>
                <w:highlight w:val="none"/>
              </w:rPr>
              <w:t>、工作温度：</w:t>
            </w:r>
            <w:r>
              <w:rPr>
                <w:rFonts w:cs="Times New Roman" w:asciiTheme="minorEastAsia" w:hAnsiTheme="minorEastAsia" w:eastAsiaTheme="minorEastAsia"/>
                <w:b w:val="0"/>
                <w:bCs w:val="0"/>
                <w:color w:val="auto"/>
                <w:kern w:val="2"/>
                <w:sz w:val="20"/>
                <w:szCs w:val="20"/>
                <w:highlight w:val="none"/>
              </w:rPr>
              <w:t>-40</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+90</w:t>
            </w:r>
            <w:r>
              <w:rPr>
                <w:rFonts w:hint="eastAsia" w:cs="Times New Roman" w:asciiTheme="minorEastAsia" w:hAnsiTheme="minorEastAsia" w:eastAsiaTheme="minorEastAsia"/>
                <w:b w:val="0"/>
                <w:bCs w:val="0"/>
                <w:color w:val="auto"/>
                <w:kern w:val="2"/>
                <w:sz w:val="20"/>
                <w:szCs w:val="20"/>
                <w:highlight w:val="none"/>
              </w:rPr>
              <w:t>℃</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7</w:t>
            </w:r>
            <w:r>
              <w:rPr>
                <w:rFonts w:hint="eastAsia" w:asciiTheme="majorEastAsia" w:hAnsiTheme="majorEastAsia" w:eastAsiaTheme="majorEastAsia" w:cstheme="majorEastAsia"/>
                <w:b w:val="0"/>
                <w:bCs w:val="0"/>
                <w:color w:val="auto"/>
                <w:sz w:val="20"/>
                <w:szCs w:val="20"/>
                <w:highlight w:val="none"/>
                <w:lang w:bidi="ar"/>
              </w:rPr>
              <w:t>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1100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4</w:t>
            </w:r>
          </w:p>
        </w:tc>
        <w:tc>
          <w:tcPr>
            <w:tcW w:w="0" w:type="auto"/>
            <w:gridSpan w:val="3"/>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hint="eastAsia" w:asciiTheme="majorEastAsia" w:hAnsiTheme="majorEastAsia" w:eastAsiaTheme="majorEastAsia" w:cstheme="majorEastAsia"/>
                <w:b w:val="0"/>
                <w:bCs w:val="0"/>
                <w:color w:val="auto"/>
                <w:sz w:val="20"/>
                <w:szCs w:val="20"/>
                <w:highlight w:val="none"/>
                <w:lang w:bidi="ar"/>
              </w:rPr>
              <w:t>太阳能充电控制器</w:t>
            </w:r>
          </w:p>
        </w:tc>
        <w:tc>
          <w:tcPr>
            <w:tcW w:w="0" w:type="auto"/>
            <w:vAlign w:val="center"/>
          </w:tcPr>
          <w:p>
            <w:pPr>
              <w:numPr>
                <w:ilvl w:val="0"/>
                <w:numId w:val="0"/>
              </w:num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w:t>
            </w:r>
            <w:r>
              <w:rPr>
                <w:rFonts w:hint="eastAsia" w:cs="Times New Roman" w:asciiTheme="minorEastAsia" w:hAnsiTheme="minorEastAsia" w:eastAsiaTheme="minorEastAsia"/>
                <w:b w:val="0"/>
                <w:bCs w:val="0"/>
                <w:color w:val="auto"/>
                <w:kern w:val="2"/>
                <w:sz w:val="20"/>
                <w:szCs w:val="20"/>
                <w:highlight w:val="none"/>
              </w:rPr>
              <w:t>额定充电电流</w:t>
            </w:r>
            <w:r>
              <w:rPr>
                <w:rFonts w:cs="Times New Roman" w:asciiTheme="minorEastAsia" w:hAnsiTheme="minorEastAsia" w:eastAsiaTheme="minorEastAsia"/>
                <w:b w:val="0"/>
                <w:bCs w:val="0"/>
                <w:color w:val="auto"/>
                <w:kern w:val="2"/>
                <w:sz w:val="20"/>
                <w:szCs w:val="20"/>
                <w:highlight w:val="none"/>
              </w:rPr>
              <w:t xml:space="preserve"> 5A 10A</w:t>
            </w:r>
          </w:p>
          <w:p>
            <w:pPr>
              <w:numPr>
                <w:ilvl w:val="0"/>
                <w:numId w:val="0"/>
              </w:num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2、</w:t>
            </w:r>
            <w:r>
              <w:rPr>
                <w:rFonts w:hint="eastAsia" w:cs="Times New Roman" w:asciiTheme="minorEastAsia" w:hAnsiTheme="minorEastAsia" w:eastAsiaTheme="minorEastAsia"/>
                <w:b w:val="0"/>
                <w:bCs w:val="0"/>
                <w:color w:val="auto"/>
                <w:kern w:val="2"/>
                <w:sz w:val="20"/>
                <w:szCs w:val="20"/>
                <w:highlight w:val="none"/>
              </w:rPr>
              <w:t>额定负载电流</w:t>
            </w:r>
            <w:r>
              <w:rPr>
                <w:rFonts w:cs="Times New Roman" w:asciiTheme="minorEastAsia" w:hAnsiTheme="minorEastAsia" w:eastAsiaTheme="minorEastAsia"/>
                <w:b w:val="0"/>
                <w:bCs w:val="0"/>
                <w:color w:val="auto"/>
                <w:kern w:val="2"/>
                <w:sz w:val="20"/>
                <w:szCs w:val="20"/>
                <w:highlight w:val="none"/>
              </w:rPr>
              <w:t xml:space="preserve"> 5A 10A</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3</w:t>
            </w:r>
            <w:r>
              <w:rPr>
                <w:rFonts w:hint="eastAsia" w:cs="Times New Roman" w:asciiTheme="minorEastAsia" w:hAnsiTheme="minorEastAsia" w:eastAsiaTheme="minorEastAsia"/>
                <w:b w:val="0"/>
                <w:bCs w:val="0"/>
                <w:color w:val="auto"/>
                <w:kern w:val="2"/>
                <w:sz w:val="20"/>
                <w:szCs w:val="20"/>
                <w:highlight w:val="none"/>
              </w:rPr>
              <w:t>、系统电压</w:t>
            </w:r>
            <w:r>
              <w:rPr>
                <w:rFonts w:cs="Times New Roman" w:asciiTheme="minorEastAsia" w:hAnsiTheme="minorEastAsia" w:eastAsiaTheme="minorEastAsia"/>
                <w:b w:val="0"/>
                <w:bCs w:val="0"/>
                <w:color w:val="auto"/>
                <w:kern w:val="2"/>
                <w:sz w:val="20"/>
                <w:szCs w:val="20"/>
                <w:highlight w:val="none"/>
              </w:rPr>
              <w:t xml:space="preserve"> </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 xml:space="preserve">12V; </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12V/24V AUTO</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过载、短路保护</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4</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 xml:space="preserve">1.25 </w:t>
            </w:r>
            <w:r>
              <w:rPr>
                <w:rFonts w:hint="eastAsia" w:cs="Times New Roman" w:asciiTheme="minorEastAsia" w:hAnsiTheme="minorEastAsia" w:eastAsiaTheme="minorEastAsia"/>
                <w:b w:val="0"/>
                <w:bCs w:val="0"/>
                <w:color w:val="auto"/>
                <w:kern w:val="2"/>
                <w:sz w:val="20"/>
                <w:szCs w:val="20"/>
                <w:highlight w:val="none"/>
              </w:rPr>
              <w:t>倍额定电流</w:t>
            </w:r>
            <w:r>
              <w:rPr>
                <w:rFonts w:cs="Times New Roman" w:asciiTheme="minorEastAsia" w:hAnsiTheme="minorEastAsia" w:eastAsiaTheme="minorEastAsia"/>
                <w:b w:val="0"/>
                <w:bCs w:val="0"/>
                <w:color w:val="auto"/>
                <w:kern w:val="2"/>
                <w:sz w:val="20"/>
                <w:szCs w:val="20"/>
                <w:highlight w:val="none"/>
              </w:rPr>
              <w:t xml:space="preserve"> 60 </w:t>
            </w:r>
            <w:r>
              <w:rPr>
                <w:rFonts w:hint="eastAsia" w:cs="Times New Roman" w:asciiTheme="minorEastAsia" w:hAnsiTheme="minorEastAsia" w:eastAsiaTheme="minorEastAsia"/>
                <w:b w:val="0"/>
                <w:bCs w:val="0"/>
                <w:color w:val="auto"/>
                <w:kern w:val="2"/>
                <w:sz w:val="20"/>
                <w:szCs w:val="20"/>
                <w:highlight w:val="none"/>
              </w:rPr>
              <w:t>秒</w:t>
            </w:r>
            <w:r>
              <w:rPr>
                <w:rFonts w:cs="Times New Roman" w:asciiTheme="minorEastAsia" w:hAnsiTheme="minorEastAsia" w:eastAsiaTheme="minorEastAsia"/>
                <w:b w:val="0"/>
                <w:bCs w:val="0"/>
                <w:color w:val="auto"/>
                <w:kern w:val="2"/>
                <w:sz w:val="20"/>
                <w:szCs w:val="20"/>
                <w:highlight w:val="none"/>
              </w:rPr>
              <w:t xml:space="preserve">;1.5 </w:t>
            </w:r>
            <w:r>
              <w:rPr>
                <w:rFonts w:hint="eastAsia" w:cs="Times New Roman" w:asciiTheme="minorEastAsia" w:hAnsiTheme="minorEastAsia" w:eastAsiaTheme="minorEastAsia"/>
                <w:b w:val="0"/>
                <w:bCs w:val="0"/>
                <w:color w:val="auto"/>
                <w:kern w:val="2"/>
                <w:sz w:val="20"/>
                <w:szCs w:val="20"/>
                <w:highlight w:val="none"/>
              </w:rPr>
              <w:t>倍额定电流</w:t>
            </w:r>
            <w:r>
              <w:rPr>
                <w:rFonts w:cs="Times New Roman" w:asciiTheme="minorEastAsia" w:hAnsiTheme="minorEastAsia" w:eastAsiaTheme="minorEastAsia"/>
                <w:b w:val="0"/>
                <w:bCs w:val="0"/>
                <w:color w:val="auto"/>
                <w:kern w:val="2"/>
                <w:sz w:val="20"/>
                <w:szCs w:val="20"/>
                <w:highlight w:val="none"/>
              </w:rPr>
              <w:t xml:space="preserve"> 5 </w:t>
            </w:r>
            <w:r>
              <w:rPr>
                <w:rFonts w:hint="eastAsia" w:cs="Times New Roman" w:asciiTheme="minorEastAsia" w:hAnsiTheme="minorEastAsia" w:eastAsiaTheme="minorEastAsia"/>
                <w:b w:val="0"/>
                <w:bCs w:val="0"/>
                <w:color w:val="auto"/>
                <w:kern w:val="2"/>
                <w:sz w:val="20"/>
                <w:szCs w:val="20"/>
                <w:highlight w:val="none"/>
              </w:rPr>
              <w:t>秒时过载保护动作</w:t>
            </w:r>
            <w:r>
              <w:rPr>
                <w:rFonts w:cs="Times New Roman" w:asciiTheme="minorEastAsia" w:hAnsiTheme="minorEastAsia" w:eastAsiaTheme="minorEastAsia"/>
                <w:b w:val="0"/>
                <w:bCs w:val="0"/>
                <w:color w:val="auto"/>
                <w:kern w:val="2"/>
                <w:sz w:val="20"/>
                <w:szCs w:val="20"/>
                <w:highlight w:val="none"/>
              </w:rPr>
              <w:t>;</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5</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 xml:space="preserve">3 </w:t>
            </w:r>
            <w:r>
              <w:rPr>
                <w:rFonts w:hint="eastAsia" w:cs="Times New Roman" w:asciiTheme="minorEastAsia" w:hAnsiTheme="minorEastAsia" w:eastAsiaTheme="minorEastAsia"/>
                <w:b w:val="0"/>
                <w:bCs w:val="0"/>
                <w:color w:val="auto"/>
                <w:kern w:val="2"/>
                <w:sz w:val="20"/>
                <w:szCs w:val="20"/>
                <w:highlight w:val="none"/>
              </w:rPr>
              <w:t>倍额定电流短路保护动作</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6</w:t>
            </w:r>
            <w:r>
              <w:rPr>
                <w:rFonts w:hint="eastAsia" w:cs="Times New Roman" w:asciiTheme="minorEastAsia" w:hAnsiTheme="minorEastAsia" w:eastAsiaTheme="minorEastAsia"/>
                <w:b w:val="0"/>
                <w:bCs w:val="0"/>
                <w:color w:val="auto"/>
                <w:kern w:val="2"/>
                <w:sz w:val="20"/>
                <w:szCs w:val="20"/>
                <w:highlight w:val="none"/>
              </w:rPr>
              <w:t>、空载损耗</w:t>
            </w:r>
            <w:r>
              <w:rPr>
                <w:rFonts w:cs="Times New Roman" w:asciiTheme="minorEastAsia" w:hAnsiTheme="minorEastAsia" w:eastAsiaTheme="minorEastAsia"/>
                <w:b w:val="0"/>
                <w:bCs w:val="0"/>
                <w:color w:val="auto"/>
                <w:kern w:val="2"/>
                <w:sz w:val="20"/>
                <w:szCs w:val="20"/>
                <w:highlight w:val="none"/>
              </w:rPr>
              <w:t xml:space="preserve"> </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6 mA</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7</w:t>
            </w:r>
            <w:r>
              <w:rPr>
                <w:rFonts w:hint="eastAsia" w:cs="Times New Roman" w:asciiTheme="minorEastAsia" w:hAnsiTheme="minorEastAsia" w:eastAsiaTheme="minorEastAsia"/>
                <w:b w:val="0"/>
                <w:bCs w:val="0"/>
                <w:color w:val="auto"/>
                <w:kern w:val="2"/>
                <w:sz w:val="20"/>
                <w:szCs w:val="20"/>
                <w:highlight w:val="none"/>
              </w:rPr>
              <w:t>、充电回路压降</w:t>
            </w:r>
            <w:r>
              <w:rPr>
                <w:rFonts w:cs="Times New Roman" w:asciiTheme="minorEastAsia" w:hAnsiTheme="minorEastAsia" w:eastAsiaTheme="minorEastAsia"/>
                <w:b w:val="0"/>
                <w:bCs w:val="0"/>
                <w:color w:val="auto"/>
                <w:kern w:val="2"/>
                <w:sz w:val="20"/>
                <w:szCs w:val="20"/>
                <w:highlight w:val="none"/>
              </w:rPr>
              <w:t xml:space="preserve"> </w:t>
            </w:r>
            <w:r>
              <w:rPr>
                <w:rFonts w:hint="eastAsia" w:cs="Times New Roman" w:asciiTheme="minorEastAsia" w:hAnsiTheme="minorEastAsia" w:eastAsiaTheme="minorEastAsia"/>
                <w:b w:val="0"/>
                <w:bCs w:val="0"/>
                <w:color w:val="auto"/>
                <w:kern w:val="2"/>
                <w:sz w:val="20"/>
                <w:szCs w:val="20"/>
                <w:highlight w:val="none"/>
              </w:rPr>
              <w:t>不大于</w:t>
            </w:r>
            <w:r>
              <w:rPr>
                <w:rFonts w:cs="Times New Roman" w:asciiTheme="minorEastAsia" w:hAnsiTheme="minorEastAsia" w:eastAsiaTheme="minorEastAsia"/>
                <w:b w:val="0"/>
                <w:bCs w:val="0"/>
                <w:color w:val="auto"/>
                <w:kern w:val="2"/>
                <w:sz w:val="20"/>
                <w:szCs w:val="20"/>
                <w:highlight w:val="none"/>
              </w:rPr>
              <w:t xml:space="preserve"> 0.26V</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8</w:t>
            </w:r>
            <w:r>
              <w:rPr>
                <w:rFonts w:hint="eastAsia" w:cs="Times New Roman" w:asciiTheme="minorEastAsia" w:hAnsiTheme="minorEastAsia" w:eastAsiaTheme="minorEastAsia"/>
                <w:b w:val="0"/>
                <w:bCs w:val="0"/>
                <w:color w:val="auto"/>
                <w:kern w:val="2"/>
                <w:sz w:val="20"/>
                <w:szCs w:val="20"/>
                <w:highlight w:val="none"/>
              </w:rPr>
              <w:t>、放电回路压降</w:t>
            </w:r>
            <w:r>
              <w:rPr>
                <w:rFonts w:cs="Times New Roman" w:asciiTheme="minorEastAsia" w:hAnsiTheme="minorEastAsia" w:eastAsiaTheme="minorEastAsia"/>
                <w:b w:val="0"/>
                <w:bCs w:val="0"/>
                <w:color w:val="auto"/>
                <w:kern w:val="2"/>
                <w:sz w:val="20"/>
                <w:szCs w:val="20"/>
                <w:highlight w:val="none"/>
              </w:rPr>
              <w:t xml:space="preserve"> </w:t>
            </w:r>
            <w:r>
              <w:rPr>
                <w:rFonts w:hint="eastAsia" w:cs="Times New Roman" w:asciiTheme="minorEastAsia" w:hAnsiTheme="minorEastAsia" w:eastAsiaTheme="minorEastAsia"/>
                <w:b w:val="0"/>
                <w:bCs w:val="0"/>
                <w:color w:val="auto"/>
                <w:kern w:val="2"/>
                <w:sz w:val="20"/>
                <w:szCs w:val="20"/>
                <w:highlight w:val="none"/>
              </w:rPr>
              <w:t>不大于</w:t>
            </w:r>
            <w:r>
              <w:rPr>
                <w:rFonts w:cs="Times New Roman" w:asciiTheme="minorEastAsia" w:hAnsiTheme="minorEastAsia" w:eastAsiaTheme="minorEastAsia"/>
                <w:b w:val="0"/>
                <w:bCs w:val="0"/>
                <w:color w:val="auto"/>
                <w:kern w:val="2"/>
                <w:sz w:val="20"/>
                <w:szCs w:val="20"/>
                <w:highlight w:val="none"/>
              </w:rPr>
              <w:t xml:space="preserve"> 0.15V</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9</w:t>
            </w:r>
            <w:r>
              <w:rPr>
                <w:rFonts w:hint="eastAsia" w:cs="Times New Roman" w:asciiTheme="minorEastAsia" w:hAnsiTheme="minorEastAsia" w:eastAsiaTheme="minorEastAsia"/>
                <w:b w:val="0"/>
                <w:bCs w:val="0"/>
                <w:color w:val="auto"/>
                <w:kern w:val="2"/>
                <w:sz w:val="20"/>
                <w:szCs w:val="20"/>
                <w:highlight w:val="none"/>
              </w:rPr>
              <w:t>、超压保护</w:t>
            </w:r>
            <w:r>
              <w:rPr>
                <w:rFonts w:cs="Times New Roman" w:asciiTheme="minorEastAsia" w:hAnsiTheme="minorEastAsia" w:eastAsiaTheme="minorEastAsia"/>
                <w:b w:val="0"/>
                <w:bCs w:val="0"/>
                <w:color w:val="auto"/>
                <w:kern w:val="2"/>
                <w:sz w:val="20"/>
                <w:szCs w:val="20"/>
                <w:highlight w:val="none"/>
              </w:rPr>
              <w:t xml:space="preserve"> 17V;</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2/24V</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10</w:t>
            </w:r>
            <w:r>
              <w:rPr>
                <w:rFonts w:hint="eastAsia" w:cs="Times New Roman" w:asciiTheme="minorEastAsia" w:hAnsiTheme="minorEastAsia" w:eastAsiaTheme="minorEastAsia"/>
                <w:b w:val="0"/>
                <w:bCs w:val="0"/>
                <w:color w:val="auto"/>
                <w:kern w:val="2"/>
                <w:sz w:val="20"/>
                <w:szCs w:val="20"/>
                <w:highlight w:val="none"/>
              </w:rPr>
              <w:t>、工作温度</w:t>
            </w:r>
            <w:r>
              <w:rPr>
                <w:rFonts w:cs="Times New Roman" w:asciiTheme="minorEastAsia" w:hAnsiTheme="minorEastAsia" w:eastAsiaTheme="minorEastAsia"/>
                <w:b w:val="0"/>
                <w:bCs w:val="0"/>
                <w:color w:val="auto"/>
                <w:kern w:val="2"/>
                <w:sz w:val="20"/>
                <w:szCs w:val="20"/>
                <w:highlight w:val="none"/>
              </w:rPr>
              <w:t xml:space="preserve"> </w:t>
            </w:r>
            <w:r>
              <w:rPr>
                <w:rFonts w:hint="eastAsia" w:cs="Times New Roman" w:asciiTheme="minorEastAsia" w:hAnsiTheme="minorEastAsia" w:eastAsiaTheme="minorEastAsia"/>
                <w:b w:val="0"/>
                <w:bCs w:val="0"/>
                <w:color w:val="auto"/>
                <w:kern w:val="2"/>
                <w:sz w:val="20"/>
                <w:szCs w:val="20"/>
                <w:highlight w:val="none"/>
              </w:rPr>
              <w:t>工业级：</w:t>
            </w:r>
            <w:r>
              <w:rPr>
                <w:rFonts w:cs="Times New Roman" w:asciiTheme="minorEastAsia" w:hAnsiTheme="minorEastAsia" w:eastAsiaTheme="minorEastAsia"/>
                <w:b w:val="0"/>
                <w:bCs w:val="0"/>
                <w:color w:val="auto"/>
                <w:kern w:val="2"/>
                <w:sz w:val="20"/>
                <w:szCs w:val="20"/>
                <w:highlight w:val="none"/>
              </w:rPr>
              <w:t>-35</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+55</w:t>
            </w:r>
            <w:r>
              <w:rPr>
                <w:rFonts w:hint="eastAsia" w:cs="Times New Roman" w:asciiTheme="minorEastAsia" w:hAnsiTheme="minorEastAsia" w:eastAsiaTheme="minorEastAsia"/>
                <w:b w:val="0"/>
                <w:bCs w:val="0"/>
                <w:color w:val="auto"/>
                <w:kern w:val="2"/>
                <w:sz w:val="20"/>
                <w:szCs w:val="20"/>
                <w:highlight w:val="none"/>
              </w:rPr>
              <w:t>℃</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11</w:t>
            </w:r>
            <w:r>
              <w:rPr>
                <w:rFonts w:hint="eastAsia" w:cs="Times New Roman" w:asciiTheme="minorEastAsia" w:hAnsiTheme="minorEastAsia" w:eastAsiaTheme="minorEastAsia"/>
                <w:b w:val="0"/>
                <w:bCs w:val="0"/>
                <w:color w:val="auto"/>
                <w:kern w:val="2"/>
                <w:sz w:val="20"/>
                <w:szCs w:val="20"/>
                <w:highlight w:val="none"/>
              </w:rPr>
              <w:t>、均衡充电电压</w:t>
            </w:r>
            <w:r>
              <w:rPr>
                <w:rFonts w:cs="Times New Roman" w:asciiTheme="minorEastAsia" w:hAnsiTheme="minorEastAsia" w:eastAsiaTheme="minorEastAsia"/>
                <w:b w:val="0"/>
                <w:bCs w:val="0"/>
                <w:color w:val="auto"/>
                <w:kern w:val="2"/>
                <w:sz w:val="20"/>
                <w:szCs w:val="20"/>
                <w:highlight w:val="none"/>
              </w:rPr>
              <w:t xml:space="preserve"> 14.8V;</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2/24V (</w:t>
            </w:r>
            <w:r>
              <w:rPr>
                <w:rFonts w:hint="eastAsia" w:cs="Times New Roman" w:asciiTheme="minorEastAsia" w:hAnsiTheme="minorEastAsia" w:eastAsiaTheme="minorEastAsia"/>
                <w:b w:val="0"/>
                <w:bCs w:val="0"/>
                <w:color w:val="auto"/>
                <w:kern w:val="2"/>
                <w:sz w:val="20"/>
                <w:szCs w:val="20"/>
                <w:highlight w:val="none"/>
              </w:rPr>
              <w:t>维持时间：</w:t>
            </w:r>
            <w:r>
              <w:rPr>
                <w:rFonts w:cs="Times New Roman" w:asciiTheme="minorEastAsia" w:hAnsiTheme="minorEastAsia" w:eastAsiaTheme="minorEastAsia"/>
                <w:b w:val="0"/>
                <w:bCs w:val="0"/>
                <w:color w:val="auto"/>
                <w:kern w:val="2"/>
                <w:sz w:val="20"/>
                <w:szCs w:val="20"/>
                <w:highlight w:val="none"/>
              </w:rPr>
              <w:t>60min)</w:t>
            </w:r>
            <w:r>
              <w:rPr>
                <w:rFonts w:hint="eastAsia" w:cs="Times New Roman" w:asciiTheme="minorEastAsia" w:hAnsiTheme="minorEastAsia" w:eastAsiaTheme="minorEastAsia"/>
                <w:b w:val="0"/>
                <w:bCs w:val="0"/>
                <w:color w:val="auto"/>
                <w:kern w:val="2"/>
                <w:sz w:val="20"/>
                <w:szCs w:val="20"/>
                <w:highlight w:val="none"/>
              </w:rPr>
              <w:t>（仅当出现过放电时调用）</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12</w:t>
            </w:r>
            <w:r>
              <w:rPr>
                <w:rFonts w:hint="eastAsia" w:cs="Times New Roman" w:asciiTheme="minorEastAsia" w:hAnsiTheme="minorEastAsia" w:eastAsiaTheme="minorEastAsia"/>
                <w:b w:val="0"/>
                <w:bCs w:val="0"/>
                <w:color w:val="auto"/>
                <w:kern w:val="2"/>
                <w:sz w:val="20"/>
                <w:szCs w:val="20"/>
                <w:highlight w:val="none"/>
              </w:rPr>
              <w:t>、提升充电电压</w:t>
            </w:r>
            <w:r>
              <w:rPr>
                <w:rFonts w:cs="Times New Roman" w:asciiTheme="minorEastAsia" w:hAnsiTheme="minorEastAsia" w:eastAsiaTheme="minorEastAsia"/>
                <w:b w:val="0"/>
                <w:bCs w:val="0"/>
                <w:color w:val="auto"/>
                <w:kern w:val="2"/>
                <w:sz w:val="20"/>
                <w:szCs w:val="20"/>
                <w:highlight w:val="none"/>
              </w:rPr>
              <w:t xml:space="preserve"> 14.4V; </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2/24V (</w:t>
            </w:r>
            <w:r>
              <w:rPr>
                <w:rFonts w:hint="eastAsia" w:cs="Times New Roman" w:asciiTheme="minorEastAsia" w:hAnsiTheme="minorEastAsia" w:eastAsiaTheme="minorEastAsia"/>
                <w:b w:val="0"/>
                <w:bCs w:val="0"/>
                <w:color w:val="auto"/>
                <w:kern w:val="2"/>
                <w:sz w:val="20"/>
                <w:szCs w:val="20"/>
                <w:highlight w:val="none"/>
              </w:rPr>
              <w:t>维持时间：</w:t>
            </w:r>
            <w:r>
              <w:rPr>
                <w:rFonts w:cs="Times New Roman" w:asciiTheme="minorEastAsia" w:hAnsiTheme="minorEastAsia" w:eastAsiaTheme="minorEastAsia"/>
                <w:b w:val="0"/>
                <w:bCs w:val="0"/>
                <w:color w:val="auto"/>
                <w:kern w:val="2"/>
                <w:sz w:val="20"/>
                <w:szCs w:val="20"/>
                <w:highlight w:val="none"/>
              </w:rPr>
              <w:t>60min)</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13</w:t>
            </w:r>
            <w:r>
              <w:rPr>
                <w:rFonts w:hint="eastAsia" w:cs="Times New Roman" w:asciiTheme="minorEastAsia" w:hAnsiTheme="minorEastAsia" w:eastAsiaTheme="minorEastAsia"/>
                <w:b w:val="0"/>
                <w:bCs w:val="0"/>
                <w:color w:val="auto"/>
                <w:kern w:val="2"/>
                <w:sz w:val="20"/>
                <w:szCs w:val="20"/>
                <w:highlight w:val="none"/>
              </w:rPr>
              <w:t>、浮充</w:t>
            </w:r>
            <w:r>
              <w:rPr>
                <w:rFonts w:cs="Times New Roman" w:asciiTheme="minorEastAsia" w:hAnsiTheme="minorEastAsia" w:eastAsiaTheme="minorEastAsia"/>
                <w:b w:val="0"/>
                <w:bCs w:val="0"/>
                <w:color w:val="auto"/>
                <w:kern w:val="2"/>
                <w:sz w:val="20"/>
                <w:szCs w:val="20"/>
                <w:highlight w:val="none"/>
              </w:rPr>
              <w:t xml:space="preserve"> 13.7V; </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2/24V(</w:t>
            </w:r>
            <w:r>
              <w:rPr>
                <w:rFonts w:hint="eastAsia" w:cs="Times New Roman" w:asciiTheme="minorEastAsia" w:hAnsiTheme="minorEastAsia" w:eastAsiaTheme="minorEastAsia"/>
                <w:b w:val="0"/>
                <w:bCs w:val="0"/>
                <w:color w:val="auto"/>
                <w:kern w:val="2"/>
                <w:sz w:val="20"/>
                <w:szCs w:val="20"/>
                <w:highlight w:val="none"/>
              </w:rPr>
              <w:t>维持时间：直至降到充电返回电压动作</w:t>
            </w:r>
            <w:r>
              <w:rPr>
                <w:rFonts w:cs="Times New Roman" w:asciiTheme="minorEastAsia" w:hAnsiTheme="minorEastAsia" w:eastAsiaTheme="minorEastAsia"/>
                <w:b w:val="0"/>
                <w:bCs w:val="0"/>
                <w:color w:val="auto"/>
                <w:kern w:val="2"/>
                <w:sz w:val="20"/>
                <w:szCs w:val="20"/>
                <w:highlight w:val="none"/>
              </w:rPr>
              <w:t>)</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14</w:t>
            </w:r>
            <w:r>
              <w:rPr>
                <w:rFonts w:hint="eastAsia" w:cs="Times New Roman" w:asciiTheme="minorEastAsia" w:hAnsiTheme="minorEastAsia" w:eastAsiaTheme="minorEastAsia"/>
                <w:b w:val="0"/>
                <w:bCs w:val="0"/>
                <w:color w:val="auto"/>
                <w:kern w:val="2"/>
                <w:sz w:val="20"/>
                <w:szCs w:val="20"/>
                <w:highlight w:val="none"/>
              </w:rPr>
              <w:t>、充电返回电压</w:t>
            </w:r>
            <w:r>
              <w:rPr>
                <w:rFonts w:cs="Times New Roman" w:asciiTheme="minorEastAsia" w:hAnsiTheme="minorEastAsia" w:eastAsiaTheme="minorEastAsia"/>
                <w:b w:val="0"/>
                <w:bCs w:val="0"/>
                <w:color w:val="auto"/>
                <w:kern w:val="2"/>
                <w:sz w:val="20"/>
                <w:szCs w:val="20"/>
                <w:highlight w:val="none"/>
              </w:rPr>
              <w:t xml:space="preserve"> 13.2V;</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2/24V</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15</w:t>
            </w:r>
            <w:r>
              <w:rPr>
                <w:rFonts w:hint="eastAsia" w:cs="Times New Roman" w:asciiTheme="minorEastAsia" w:hAnsiTheme="minorEastAsia" w:eastAsiaTheme="minorEastAsia"/>
                <w:b w:val="0"/>
                <w:bCs w:val="0"/>
                <w:color w:val="auto"/>
                <w:kern w:val="2"/>
                <w:sz w:val="20"/>
                <w:szCs w:val="20"/>
                <w:highlight w:val="none"/>
              </w:rPr>
              <w:t>、温度补偿</w:t>
            </w:r>
            <w:r>
              <w:rPr>
                <w:rFonts w:cs="Times New Roman" w:asciiTheme="minorEastAsia" w:hAnsiTheme="minorEastAsia" w:eastAsiaTheme="minorEastAsia"/>
                <w:b w:val="0"/>
                <w:bCs w:val="0"/>
                <w:color w:val="auto"/>
                <w:kern w:val="2"/>
                <w:sz w:val="20"/>
                <w:szCs w:val="20"/>
                <w:highlight w:val="none"/>
              </w:rPr>
              <w:t xml:space="preserve"> -5mv/</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/2V</w:t>
            </w:r>
            <w:r>
              <w:rPr>
                <w:rFonts w:hint="eastAsia" w:cs="Times New Roman" w:asciiTheme="minorEastAsia" w:hAnsiTheme="minorEastAsia" w:eastAsiaTheme="minorEastAsia"/>
                <w:b w:val="0"/>
                <w:bCs w:val="0"/>
                <w:color w:val="auto"/>
                <w:kern w:val="2"/>
                <w:sz w:val="20"/>
                <w:szCs w:val="20"/>
                <w:highlight w:val="none"/>
              </w:rPr>
              <w:t>（提升、直充、浮充、充电返回电压补偿）</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16</w:t>
            </w:r>
            <w:r>
              <w:rPr>
                <w:rFonts w:hint="eastAsia" w:cs="Times New Roman" w:asciiTheme="minorEastAsia" w:hAnsiTheme="minorEastAsia" w:eastAsiaTheme="minorEastAsia"/>
                <w:b w:val="0"/>
                <w:bCs w:val="0"/>
                <w:color w:val="auto"/>
                <w:kern w:val="2"/>
                <w:sz w:val="20"/>
                <w:szCs w:val="20"/>
                <w:highlight w:val="none"/>
              </w:rPr>
              <w:t>、欠压电压</w:t>
            </w:r>
            <w:r>
              <w:rPr>
                <w:rFonts w:cs="Times New Roman" w:asciiTheme="minorEastAsia" w:hAnsiTheme="minorEastAsia" w:eastAsiaTheme="minorEastAsia"/>
                <w:b w:val="0"/>
                <w:bCs w:val="0"/>
                <w:color w:val="auto"/>
                <w:kern w:val="2"/>
                <w:sz w:val="20"/>
                <w:szCs w:val="20"/>
                <w:highlight w:val="none"/>
              </w:rPr>
              <w:t xml:space="preserve"> 12.0V; </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2/24V</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17</w:t>
            </w:r>
            <w:r>
              <w:rPr>
                <w:rFonts w:hint="eastAsia" w:cs="Times New Roman" w:asciiTheme="minorEastAsia" w:hAnsiTheme="minorEastAsia" w:eastAsiaTheme="minorEastAsia"/>
                <w:b w:val="0"/>
                <w:bCs w:val="0"/>
                <w:color w:val="auto"/>
                <w:kern w:val="2"/>
                <w:sz w:val="20"/>
                <w:szCs w:val="20"/>
                <w:highlight w:val="none"/>
              </w:rPr>
              <w:t>、过放电压</w:t>
            </w:r>
            <w:r>
              <w:rPr>
                <w:rFonts w:cs="Times New Roman" w:asciiTheme="minorEastAsia" w:hAnsiTheme="minorEastAsia" w:eastAsiaTheme="minorEastAsia"/>
                <w:b w:val="0"/>
                <w:bCs w:val="0"/>
                <w:color w:val="auto"/>
                <w:kern w:val="2"/>
                <w:sz w:val="20"/>
                <w:szCs w:val="20"/>
                <w:highlight w:val="none"/>
              </w:rPr>
              <w:t xml:space="preserve"> 11.1V-</w:t>
            </w:r>
            <w:r>
              <w:rPr>
                <w:rFonts w:hint="eastAsia" w:cs="Times New Roman" w:asciiTheme="minorEastAsia" w:hAnsiTheme="minorEastAsia" w:eastAsiaTheme="minorEastAsia"/>
                <w:b w:val="0"/>
                <w:bCs w:val="0"/>
                <w:color w:val="auto"/>
                <w:kern w:val="2"/>
                <w:sz w:val="20"/>
                <w:szCs w:val="20"/>
                <w:highlight w:val="none"/>
              </w:rPr>
              <w:t>放电率补偿修正的初始过放电压（空载电压）</w:t>
            </w:r>
            <w:r>
              <w:rPr>
                <w:rFonts w:cs="Times New Roman" w:asciiTheme="minorEastAsia" w:hAnsiTheme="minorEastAsia" w:eastAsiaTheme="minorEastAsia"/>
                <w:b w:val="0"/>
                <w:bCs w:val="0"/>
                <w:color w:val="auto"/>
                <w:kern w:val="2"/>
                <w:sz w:val="20"/>
                <w:szCs w:val="20"/>
                <w:highlight w:val="none"/>
              </w:rPr>
              <w:t>;</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2/24V</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18</w:t>
            </w:r>
            <w:r>
              <w:rPr>
                <w:rFonts w:hint="eastAsia" w:cs="Times New Roman" w:asciiTheme="minorEastAsia" w:hAnsiTheme="minorEastAsia" w:eastAsiaTheme="minorEastAsia"/>
                <w:b w:val="0"/>
                <w:bCs w:val="0"/>
                <w:color w:val="auto"/>
                <w:kern w:val="2"/>
                <w:sz w:val="20"/>
                <w:szCs w:val="20"/>
                <w:highlight w:val="none"/>
              </w:rPr>
              <w:t>、过放返回电压</w:t>
            </w:r>
            <w:r>
              <w:rPr>
                <w:rFonts w:cs="Times New Roman" w:asciiTheme="minorEastAsia" w:hAnsiTheme="minorEastAsia" w:eastAsiaTheme="minorEastAsia"/>
                <w:b w:val="0"/>
                <w:bCs w:val="0"/>
                <w:color w:val="auto"/>
                <w:kern w:val="2"/>
                <w:sz w:val="20"/>
                <w:szCs w:val="20"/>
                <w:highlight w:val="none"/>
              </w:rPr>
              <w:t xml:space="preserve"> 12.6V;</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2/24V</w:t>
            </w:r>
          </w:p>
          <w:p>
            <w:pPr>
              <w:spacing w:after="0" w:afterLines="-2147483648" w:line="380" w:lineRule="exact"/>
              <w:rPr>
                <w:rFonts w:asciiTheme="majorEastAsia" w:hAnsiTheme="majorEastAsia" w:eastAsiaTheme="majorEastAsia" w:cstheme="majorEastAsia"/>
                <w:b w:val="0"/>
                <w:bCs w:val="0"/>
                <w:color w:val="auto"/>
                <w:sz w:val="20"/>
                <w:szCs w:val="20"/>
                <w:highlight w:val="none"/>
                <w:lang w:bidi="ar"/>
              </w:rPr>
            </w:pPr>
            <w:r>
              <w:rPr>
                <w:rFonts w:cs="Times New Roman" w:asciiTheme="minorEastAsia" w:hAnsiTheme="minorEastAsia" w:eastAsiaTheme="minorEastAsia"/>
                <w:b w:val="0"/>
                <w:bCs w:val="0"/>
                <w:color w:val="auto"/>
                <w:kern w:val="2"/>
                <w:sz w:val="20"/>
                <w:szCs w:val="20"/>
                <w:highlight w:val="none"/>
              </w:rPr>
              <w:t>19</w:t>
            </w:r>
            <w:r>
              <w:rPr>
                <w:rFonts w:hint="eastAsia" w:cs="Times New Roman" w:asciiTheme="minorEastAsia" w:hAnsiTheme="minorEastAsia" w:eastAsiaTheme="minorEastAsia"/>
                <w:b w:val="0"/>
                <w:bCs w:val="0"/>
                <w:color w:val="auto"/>
                <w:kern w:val="2"/>
                <w:sz w:val="20"/>
                <w:szCs w:val="20"/>
                <w:highlight w:val="none"/>
              </w:rPr>
              <w:t>、控制方式</w:t>
            </w:r>
            <w:r>
              <w:rPr>
                <w:rFonts w:cs="Times New Roman" w:asciiTheme="minorEastAsia" w:hAnsiTheme="minorEastAsia" w:eastAsiaTheme="minorEastAsia"/>
                <w:b w:val="0"/>
                <w:bCs w:val="0"/>
                <w:color w:val="auto"/>
                <w:kern w:val="2"/>
                <w:sz w:val="20"/>
                <w:szCs w:val="20"/>
                <w:highlight w:val="none"/>
              </w:rPr>
              <w:t xml:space="preserve"> </w:t>
            </w:r>
            <w:r>
              <w:rPr>
                <w:rFonts w:hint="eastAsia" w:cs="Times New Roman" w:asciiTheme="minorEastAsia" w:hAnsiTheme="minorEastAsia" w:eastAsiaTheme="minorEastAsia"/>
                <w:b w:val="0"/>
                <w:bCs w:val="0"/>
                <w:color w:val="auto"/>
                <w:kern w:val="2"/>
                <w:sz w:val="20"/>
                <w:szCs w:val="20"/>
                <w:highlight w:val="none"/>
              </w:rPr>
              <w:t>充电为</w:t>
            </w:r>
            <w:r>
              <w:rPr>
                <w:rFonts w:cs="Times New Roman" w:asciiTheme="minorEastAsia" w:hAnsiTheme="minorEastAsia" w:eastAsiaTheme="minorEastAsia"/>
                <w:b w:val="0"/>
                <w:bCs w:val="0"/>
                <w:color w:val="auto"/>
                <w:kern w:val="2"/>
                <w:sz w:val="20"/>
                <w:szCs w:val="20"/>
                <w:highlight w:val="none"/>
              </w:rPr>
              <w:t xml:space="preserve"> PWM </w:t>
            </w:r>
            <w:r>
              <w:rPr>
                <w:rFonts w:hint="eastAsia" w:cs="Times New Roman" w:asciiTheme="minorEastAsia" w:hAnsiTheme="minorEastAsia" w:eastAsiaTheme="minorEastAsia"/>
                <w:b w:val="0"/>
                <w:bCs w:val="0"/>
                <w:color w:val="auto"/>
                <w:kern w:val="2"/>
                <w:sz w:val="20"/>
                <w:szCs w:val="20"/>
                <w:highlight w:val="none"/>
              </w:rPr>
              <w:t>脉宽调制</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7</w:t>
            </w:r>
            <w:r>
              <w:rPr>
                <w:rFonts w:hint="eastAsia" w:asciiTheme="majorEastAsia" w:hAnsiTheme="majorEastAsia" w:eastAsiaTheme="majorEastAsia" w:cstheme="majorEastAsia"/>
                <w:b w:val="0"/>
                <w:bCs w:val="0"/>
                <w:color w:val="auto"/>
                <w:sz w:val="20"/>
                <w:szCs w:val="20"/>
                <w:highlight w:val="none"/>
                <w:lang w:bidi="ar"/>
              </w:rPr>
              <w:t>台</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400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5</w:t>
            </w:r>
          </w:p>
        </w:tc>
        <w:tc>
          <w:tcPr>
            <w:tcW w:w="0" w:type="auto"/>
            <w:gridSpan w:val="3"/>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hint="eastAsia" w:asciiTheme="majorEastAsia" w:hAnsiTheme="majorEastAsia" w:eastAsiaTheme="majorEastAsia" w:cstheme="majorEastAsia"/>
                <w:b w:val="0"/>
                <w:bCs w:val="0"/>
                <w:color w:val="auto"/>
                <w:sz w:val="20"/>
                <w:szCs w:val="20"/>
                <w:highlight w:val="none"/>
                <w:lang w:bidi="ar"/>
              </w:rPr>
              <w:t>免维护蓄电池组</w:t>
            </w:r>
          </w:p>
        </w:tc>
        <w:tc>
          <w:tcPr>
            <w:tcW w:w="0" w:type="auto"/>
            <w:vAlign w:val="center"/>
          </w:tcPr>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参数：电压</w:t>
            </w:r>
            <w:r>
              <w:rPr>
                <w:rFonts w:cs="Times New Roman" w:asciiTheme="minorEastAsia" w:hAnsiTheme="minorEastAsia" w:eastAsiaTheme="minorEastAsia"/>
                <w:b w:val="0"/>
                <w:bCs w:val="0"/>
                <w:color w:val="auto"/>
                <w:kern w:val="2"/>
                <w:sz w:val="20"/>
                <w:szCs w:val="20"/>
                <w:highlight w:val="none"/>
              </w:rPr>
              <w:t>12V</w:t>
            </w:r>
            <w:r>
              <w:rPr>
                <w:rFonts w:hint="eastAsia" w:cs="Times New Roman" w:asciiTheme="minorEastAsia" w:hAnsiTheme="minorEastAsia" w:eastAsiaTheme="minorEastAsia"/>
                <w:b w:val="0"/>
                <w:bCs w:val="0"/>
                <w:color w:val="auto"/>
                <w:kern w:val="2"/>
                <w:sz w:val="20"/>
                <w:szCs w:val="20"/>
                <w:highlight w:val="none"/>
              </w:rPr>
              <w:t>，容量</w:t>
            </w:r>
            <w:r>
              <w:rPr>
                <w:rFonts w:cs="Times New Roman" w:asciiTheme="minorEastAsia" w:hAnsiTheme="minorEastAsia" w:eastAsiaTheme="minorEastAsia"/>
                <w:b w:val="0"/>
                <w:bCs w:val="0"/>
                <w:color w:val="auto"/>
                <w:kern w:val="2"/>
                <w:sz w:val="20"/>
                <w:szCs w:val="20"/>
                <w:highlight w:val="none"/>
              </w:rPr>
              <w:t>38AH</w:t>
            </w:r>
            <w:r>
              <w:rPr>
                <w:rFonts w:hint="eastAsia" w:cs="Times New Roman" w:asciiTheme="minorEastAsia" w:hAnsiTheme="minorEastAsia" w:eastAsiaTheme="minorEastAsia"/>
                <w:b w:val="0"/>
                <w:bCs w:val="0"/>
                <w:color w:val="auto"/>
                <w:kern w:val="2"/>
                <w:sz w:val="20"/>
                <w:szCs w:val="20"/>
                <w:highlight w:val="none"/>
              </w:rPr>
              <w:t>，电池采用铅酸免维护可充电蓄电池。</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阳能蓄电池应该具备以下特性</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1</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 xml:space="preserve"> </w:t>
            </w:r>
            <w:r>
              <w:rPr>
                <w:rFonts w:hint="eastAsia" w:cs="Times New Roman" w:asciiTheme="minorEastAsia" w:hAnsiTheme="minorEastAsia" w:eastAsiaTheme="minorEastAsia"/>
                <w:b w:val="0"/>
                <w:bCs w:val="0"/>
                <w:color w:val="auto"/>
                <w:kern w:val="2"/>
                <w:sz w:val="20"/>
                <w:szCs w:val="20"/>
                <w:highlight w:val="none"/>
              </w:rPr>
              <w:t>比较好的深循环能力，有着很好的过充和过放能力。</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2</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 xml:space="preserve"> </w:t>
            </w:r>
            <w:r>
              <w:rPr>
                <w:rFonts w:hint="eastAsia" w:cs="Times New Roman" w:asciiTheme="minorEastAsia" w:hAnsiTheme="minorEastAsia" w:eastAsiaTheme="minorEastAsia"/>
                <w:b w:val="0"/>
                <w:bCs w:val="0"/>
                <w:color w:val="auto"/>
                <w:kern w:val="2"/>
                <w:sz w:val="20"/>
                <w:szCs w:val="20"/>
                <w:highlight w:val="none"/>
              </w:rPr>
              <w:t>长寿命，特殊的工艺设计和胶体电解质保证的长寿命电池。</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3</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 xml:space="preserve"> </w:t>
            </w:r>
            <w:r>
              <w:rPr>
                <w:rFonts w:hint="eastAsia" w:cs="Times New Roman" w:asciiTheme="minorEastAsia" w:hAnsiTheme="minorEastAsia" w:eastAsiaTheme="minorEastAsia"/>
                <w:b w:val="0"/>
                <w:bCs w:val="0"/>
                <w:color w:val="auto"/>
                <w:kern w:val="2"/>
                <w:sz w:val="20"/>
                <w:szCs w:val="20"/>
                <w:highlight w:val="none"/>
              </w:rPr>
              <w:t>适用不同的环境要求，如高海拔，高温，低温等不同的条件下都能正常使用的电池。</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太阳能蓄电池的工作原理：白天太阳光照射到太阳能组件上，使太阳能电池组件产生一定幅度的直流电压，把光能转换为电能，再传送给智能控制器，经过智能控制器的过充保护，将太阳能组件传来的电能输送给蓄电池进行储存；而储存就需要有蓄电池，所谓蓄电池即是贮存化学能量，于必要时放出电能的一种电气化学设备。</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构成铅蓄电池之主要成份如下：</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1</w:t>
            </w:r>
            <w:r>
              <w:rPr>
                <w:rFonts w:hint="eastAsia" w:cs="Times New Roman" w:asciiTheme="minorEastAsia" w:hAnsiTheme="minorEastAsia" w:eastAsiaTheme="minorEastAsia"/>
                <w:b w:val="0"/>
                <w:bCs w:val="0"/>
                <w:color w:val="auto"/>
                <w:kern w:val="2"/>
                <w:sz w:val="20"/>
                <w:szCs w:val="20"/>
                <w:highlight w:val="none"/>
              </w:rPr>
              <w:t>）阳极板</w:t>
            </w:r>
            <w:r>
              <w:rPr>
                <w:rFonts w:cs="Times New Roman" w:asciiTheme="minorEastAsia" w:hAnsiTheme="minorEastAsia" w:eastAsiaTheme="minorEastAsia"/>
                <w:b w:val="0"/>
                <w:bCs w:val="0"/>
                <w:color w:val="auto"/>
                <w:kern w:val="2"/>
                <w:sz w:val="20"/>
                <w:szCs w:val="20"/>
                <w:highlight w:val="none"/>
              </w:rPr>
              <w:t xml:space="preserve"> ( </w:t>
            </w:r>
            <w:r>
              <w:rPr>
                <w:rFonts w:hint="eastAsia" w:cs="Times New Roman" w:asciiTheme="minorEastAsia" w:hAnsiTheme="minorEastAsia" w:eastAsiaTheme="minorEastAsia"/>
                <w:b w:val="0"/>
                <w:bCs w:val="0"/>
                <w:color w:val="auto"/>
                <w:kern w:val="2"/>
                <w:sz w:val="20"/>
                <w:szCs w:val="20"/>
                <w:highlight w:val="none"/>
              </w:rPr>
              <w:t>过氧化铅</w:t>
            </w:r>
            <w:r>
              <w:rPr>
                <w:rFonts w:cs="Times New Roman" w:asciiTheme="minorEastAsia" w:hAnsiTheme="minorEastAsia" w:eastAsiaTheme="minorEastAsia"/>
                <w:b w:val="0"/>
                <w:bCs w:val="0"/>
                <w:color w:val="auto"/>
                <w:kern w:val="2"/>
                <w:sz w:val="20"/>
                <w:szCs w:val="20"/>
                <w:highlight w:val="none"/>
              </w:rPr>
              <w:t xml:space="preserve">. PbO2 )---&gt; </w:t>
            </w:r>
            <w:r>
              <w:rPr>
                <w:rFonts w:hint="eastAsia" w:cs="Times New Roman" w:asciiTheme="minorEastAsia" w:hAnsiTheme="minorEastAsia" w:eastAsiaTheme="minorEastAsia"/>
                <w:b w:val="0"/>
                <w:bCs w:val="0"/>
                <w:color w:val="auto"/>
                <w:kern w:val="2"/>
                <w:sz w:val="20"/>
                <w:szCs w:val="20"/>
                <w:highlight w:val="none"/>
              </w:rPr>
              <w:t>活性物质</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2</w:t>
            </w:r>
            <w:r>
              <w:rPr>
                <w:rFonts w:hint="eastAsia" w:cs="Times New Roman" w:asciiTheme="minorEastAsia" w:hAnsiTheme="minorEastAsia" w:eastAsiaTheme="minorEastAsia"/>
                <w:b w:val="0"/>
                <w:bCs w:val="0"/>
                <w:color w:val="auto"/>
                <w:kern w:val="2"/>
                <w:sz w:val="20"/>
                <w:szCs w:val="20"/>
                <w:highlight w:val="none"/>
              </w:rPr>
              <w:t>）阴极板</w:t>
            </w:r>
            <w:r>
              <w:rPr>
                <w:rFonts w:cs="Times New Roman" w:asciiTheme="minorEastAsia" w:hAnsiTheme="minorEastAsia" w:eastAsiaTheme="minorEastAsia"/>
                <w:b w:val="0"/>
                <w:bCs w:val="0"/>
                <w:color w:val="auto"/>
                <w:kern w:val="2"/>
                <w:sz w:val="20"/>
                <w:szCs w:val="20"/>
                <w:highlight w:val="none"/>
              </w:rPr>
              <w:t xml:space="preserve"> ( </w:t>
            </w:r>
            <w:r>
              <w:rPr>
                <w:rFonts w:hint="eastAsia" w:cs="Times New Roman" w:asciiTheme="minorEastAsia" w:hAnsiTheme="minorEastAsia" w:eastAsiaTheme="minorEastAsia"/>
                <w:b w:val="0"/>
                <w:bCs w:val="0"/>
                <w:color w:val="auto"/>
                <w:kern w:val="2"/>
                <w:sz w:val="20"/>
                <w:szCs w:val="20"/>
                <w:highlight w:val="none"/>
              </w:rPr>
              <w:t>海绵状铅</w:t>
            </w:r>
            <w:r>
              <w:rPr>
                <w:rFonts w:cs="Times New Roman" w:asciiTheme="minorEastAsia" w:hAnsiTheme="minorEastAsia" w:eastAsiaTheme="minorEastAsia"/>
                <w:b w:val="0"/>
                <w:bCs w:val="0"/>
                <w:color w:val="auto"/>
                <w:kern w:val="2"/>
                <w:sz w:val="20"/>
                <w:szCs w:val="20"/>
                <w:highlight w:val="none"/>
              </w:rPr>
              <w:t xml:space="preserve"> .Pb) ---&gt; </w:t>
            </w:r>
            <w:r>
              <w:rPr>
                <w:rFonts w:hint="eastAsia" w:cs="Times New Roman" w:asciiTheme="minorEastAsia" w:hAnsiTheme="minorEastAsia" w:eastAsiaTheme="minorEastAsia"/>
                <w:b w:val="0"/>
                <w:bCs w:val="0"/>
                <w:color w:val="auto"/>
                <w:kern w:val="2"/>
                <w:sz w:val="20"/>
                <w:szCs w:val="20"/>
                <w:highlight w:val="none"/>
              </w:rPr>
              <w:t>活性物质</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3</w:t>
            </w:r>
            <w:r>
              <w:rPr>
                <w:rFonts w:hint="eastAsia" w:cs="Times New Roman" w:asciiTheme="minorEastAsia" w:hAnsiTheme="minorEastAsia" w:eastAsiaTheme="minorEastAsia"/>
                <w:b w:val="0"/>
                <w:bCs w:val="0"/>
                <w:color w:val="auto"/>
                <w:kern w:val="2"/>
                <w:sz w:val="20"/>
                <w:szCs w:val="20"/>
                <w:highlight w:val="none"/>
              </w:rPr>
              <w:t>）电解液</w:t>
            </w:r>
            <w:r>
              <w:rPr>
                <w:rFonts w:cs="Times New Roman" w:asciiTheme="minorEastAsia" w:hAnsiTheme="minorEastAsia" w:eastAsiaTheme="minorEastAsia"/>
                <w:b w:val="0"/>
                <w:bCs w:val="0"/>
                <w:color w:val="auto"/>
                <w:kern w:val="2"/>
                <w:sz w:val="20"/>
                <w:szCs w:val="20"/>
                <w:highlight w:val="none"/>
              </w:rPr>
              <w:t>(</w:t>
            </w:r>
            <w:r>
              <w:rPr>
                <w:rFonts w:hint="eastAsia" w:cs="Times New Roman" w:asciiTheme="minorEastAsia" w:hAnsiTheme="minorEastAsia" w:eastAsiaTheme="minorEastAsia"/>
                <w:b w:val="0"/>
                <w:bCs w:val="0"/>
                <w:color w:val="auto"/>
                <w:kern w:val="2"/>
                <w:sz w:val="20"/>
                <w:szCs w:val="20"/>
                <w:highlight w:val="none"/>
              </w:rPr>
              <w:t>稀硫酸</w:t>
            </w:r>
            <w:r>
              <w:rPr>
                <w:rFonts w:cs="Times New Roman" w:asciiTheme="minorEastAsia" w:hAnsiTheme="minorEastAsia" w:eastAsiaTheme="minorEastAsia"/>
                <w:b w:val="0"/>
                <w:bCs w:val="0"/>
                <w:color w:val="auto"/>
                <w:kern w:val="2"/>
                <w:sz w:val="20"/>
                <w:szCs w:val="20"/>
                <w:highlight w:val="none"/>
              </w:rPr>
              <w:t xml:space="preserve">) ---&gt; </w:t>
            </w:r>
            <w:r>
              <w:rPr>
                <w:rFonts w:hint="eastAsia" w:cs="Times New Roman" w:asciiTheme="minorEastAsia" w:hAnsiTheme="minorEastAsia" w:eastAsiaTheme="minorEastAsia"/>
                <w:b w:val="0"/>
                <w:bCs w:val="0"/>
                <w:color w:val="auto"/>
                <w:kern w:val="2"/>
                <w:sz w:val="20"/>
                <w:szCs w:val="20"/>
                <w:highlight w:val="none"/>
              </w:rPr>
              <w:t>硫酸</w:t>
            </w:r>
            <w:r>
              <w:rPr>
                <w:rFonts w:cs="Times New Roman" w:asciiTheme="minorEastAsia" w:hAnsiTheme="minorEastAsia" w:eastAsiaTheme="minorEastAsia"/>
                <w:b w:val="0"/>
                <w:bCs w:val="0"/>
                <w:color w:val="auto"/>
                <w:kern w:val="2"/>
                <w:sz w:val="20"/>
                <w:szCs w:val="20"/>
                <w:highlight w:val="none"/>
              </w:rPr>
              <w:t xml:space="preserve"> ( H2SO4) + </w:t>
            </w:r>
            <w:r>
              <w:rPr>
                <w:rFonts w:hint="eastAsia" w:cs="Times New Roman" w:asciiTheme="minorEastAsia" w:hAnsiTheme="minorEastAsia" w:eastAsiaTheme="minorEastAsia"/>
                <w:b w:val="0"/>
                <w:bCs w:val="0"/>
                <w:color w:val="auto"/>
                <w:kern w:val="2"/>
                <w:sz w:val="20"/>
                <w:szCs w:val="20"/>
                <w:highlight w:val="none"/>
              </w:rPr>
              <w:t>水</w:t>
            </w:r>
            <w:r>
              <w:rPr>
                <w:rFonts w:cs="Times New Roman" w:asciiTheme="minorEastAsia" w:hAnsiTheme="minorEastAsia" w:eastAsiaTheme="minorEastAsia"/>
                <w:b w:val="0"/>
                <w:bCs w:val="0"/>
                <w:color w:val="auto"/>
                <w:kern w:val="2"/>
                <w:sz w:val="20"/>
                <w:szCs w:val="20"/>
                <w:highlight w:val="none"/>
              </w:rPr>
              <w:t xml:space="preserve"> ( H2O)</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4</w:t>
            </w:r>
            <w:r>
              <w:rPr>
                <w:rFonts w:hint="eastAsia" w:cs="Times New Roman" w:asciiTheme="minorEastAsia" w:hAnsiTheme="minorEastAsia" w:eastAsiaTheme="minorEastAsia"/>
                <w:b w:val="0"/>
                <w:bCs w:val="0"/>
                <w:color w:val="auto"/>
                <w:kern w:val="2"/>
                <w:sz w:val="20"/>
                <w:szCs w:val="20"/>
                <w:highlight w:val="none"/>
              </w:rPr>
              <w:t>）电池外壳</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5</w:t>
            </w:r>
            <w:r>
              <w:rPr>
                <w:rFonts w:hint="eastAsia" w:cs="Times New Roman" w:asciiTheme="minorEastAsia" w:hAnsiTheme="minorEastAsia" w:eastAsiaTheme="minorEastAsia"/>
                <w:b w:val="0"/>
                <w:bCs w:val="0"/>
                <w:color w:val="auto"/>
                <w:kern w:val="2"/>
                <w:sz w:val="20"/>
                <w:szCs w:val="20"/>
                <w:highlight w:val="none"/>
              </w:rPr>
              <w:t>）隔离板</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6</w:t>
            </w:r>
            <w:r>
              <w:rPr>
                <w:rFonts w:hint="eastAsia" w:cs="Times New Roman" w:asciiTheme="minorEastAsia" w:hAnsiTheme="minorEastAsia" w:eastAsiaTheme="minorEastAsia"/>
                <w:b w:val="0"/>
                <w:bCs w:val="0"/>
                <w:color w:val="auto"/>
                <w:kern w:val="2"/>
                <w:sz w:val="20"/>
                <w:szCs w:val="20"/>
                <w:highlight w:val="none"/>
              </w:rPr>
              <w:t>）其它</w:t>
            </w:r>
            <w:r>
              <w:rPr>
                <w:rFonts w:cs="Times New Roman" w:asciiTheme="minorEastAsia" w:hAnsiTheme="minorEastAsia" w:eastAsiaTheme="minorEastAsia"/>
                <w:b w:val="0"/>
                <w:bCs w:val="0"/>
                <w:color w:val="auto"/>
                <w:kern w:val="2"/>
                <w:sz w:val="20"/>
                <w:szCs w:val="20"/>
                <w:highlight w:val="none"/>
              </w:rPr>
              <w:t xml:space="preserve"> ( </w:t>
            </w:r>
            <w:r>
              <w:rPr>
                <w:rFonts w:hint="eastAsia" w:cs="Times New Roman" w:asciiTheme="minorEastAsia" w:hAnsiTheme="minorEastAsia" w:eastAsiaTheme="minorEastAsia"/>
                <w:b w:val="0"/>
                <w:bCs w:val="0"/>
                <w:color w:val="auto"/>
                <w:kern w:val="2"/>
                <w:sz w:val="20"/>
                <w:szCs w:val="20"/>
                <w:highlight w:val="none"/>
              </w:rPr>
              <w:t>液口栓</w:t>
            </w:r>
            <w:r>
              <w:rPr>
                <w:rFonts w:cs="Times New Roman" w:asciiTheme="minorEastAsia" w:hAnsiTheme="minorEastAsia" w:eastAsiaTheme="minorEastAsia"/>
                <w:b w:val="0"/>
                <w:bCs w:val="0"/>
                <w:color w:val="auto"/>
                <w:kern w:val="2"/>
                <w:sz w:val="20"/>
                <w:szCs w:val="20"/>
                <w:highlight w:val="none"/>
              </w:rPr>
              <w:t xml:space="preserve"> . </w:t>
            </w:r>
            <w:r>
              <w:rPr>
                <w:rFonts w:hint="eastAsia" w:cs="Times New Roman" w:asciiTheme="minorEastAsia" w:hAnsiTheme="minorEastAsia" w:eastAsiaTheme="minorEastAsia"/>
                <w:b w:val="0"/>
                <w:bCs w:val="0"/>
                <w:color w:val="auto"/>
                <w:kern w:val="2"/>
                <w:sz w:val="20"/>
                <w:szCs w:val="20"/>
                <w:highlight w:val="none"/>
              </w:rPr>
              <w:t>盖子等</w:t>
            </w:r>
            <w:r>
              <w:rPr>
                <w:rFonts w:cs="Times New Roman" w:asciiTheme="minorEastAsia" w:hAnsiTheme="minorEastAsia" w:eastAsiaTheme="minorEastAsia"/>
                <w:b w:val="0"/>
                <w:bCs w:val="0"/>
                <w:color w:val="auto"/>
                <w:kern w:val="2"/>
                <w:sz w:val="20"/>
                <w:szCs w:val="20"/>
                <w:highlight w:val="none"/>
              </w:rPr>
              <w:t xml:space="preserve"> )</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太阳能蓄电池的使用和维护</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1</w:t>
            </w:r>
            <w:r>
              <w:rPr>
                <w:rFonts w:hint="eastAsia" w:cs="Times New Roman" w:asciiTheme="minorEastAsia" w:hAnsiTheme="minorEastAsia" w:eastAsiaTheme="minorEastAsia"/>
                <w:b w:val="0"/>
                <w:bCs w:val="0"/>
                <w:color w:val="auto"/>
                <w:kern w:val="2"/>
                <w:sz w:val="20"/>
                <w:szCs w:val="20"/>
                <w:highlight w:val="none"/>
              </w:rPr>
              <w:t>）工作适宜温度</w:t>
            </w:r>
            <w:r>
              <w:rPr>
                <w:rFonts w:cs="Times New Roman" w:asciiTheme="minorEastAsia" w:hAnsiTheme="minorEastAsia" w:eastAsiaTheme="minorEastAsia"/>
                <w:b w:val="0"/>
                <w:bCs w:val="0"/>
                <w:color w:val="auto"/>
                <w:kern w:val="2"/>
                <w:sz w:val="20"/>
                <w:szCs w:val="20"/>
                <w:highlight w:val="none"/>
              </w:rPr>
              <w:t>15</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20</w:t>
            </w:r>
            <w:r>
              <w:rPr>
                <w:rFonts w:hint="eastAsia" w:cs="Times New Roman" w:asciiTheme="minorEastAsia" w:hAnsiTheme="minorEastAsia" w:eastAsiaTheme="minorEastAsia"/>
                <w:b w:val="0"/>
                <w:bCs w:val="0"/>
                <w:color w:val="auto"/>
                <w:kern w:val="2"/>
                <w:sz w:val="20"/>
                <w:szCs w:val="20"/>
                <w:highlight w:val="none"/>
              </w:rPr>
              <w:t>℃</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2</w:t>
            </w:r>
            <w:r>
              <w:rPr>
                <w:rFonts w:hint="eastAsia" w:cs="Times New Roman" w:asciiTheme="minorEastAsia" w:hAnsiTheme="minorEastAsia" w:eastAsiaTheme="minorEastAsia"/>
                <w:b w:val="0"/>
                <w:bCs w:val="0"/>
                <w:color w:val="auto"/>
                <w:kern w:val="2"/>
                <w:sz w:val="20"/>
                <w:szCs w:val="20"/>
                <w:highlight w:val="none"/>
              </w:rPr>
              <w:t>）太阳能蓄电池联接的方法为：将太阳能蓄电池的正极与正极、负极与负极联接。这样太阳能蓄电池的电量就会增加一倍，而电压与一块太阳能蓄电池的电压一样。太阳能蓄电池两极柱切不可短路（碰头）。</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3</w:t>
            </w:r>
            <w:r>
              <w:rPr>
                <w:rFonts w:hint="eastAsia" w:cs="Times New Roman" w:asciiTheme="minorEastAsia" w:hAnsiTheme="minorEastAsia" w:eastAsiaTheme="minorEastAsia"/>
                <w:b w:val="0"/>
                <w:bCs w:val="0"/>
                <w:color w:val="auto"/>
                <w:kern w:val="2"/>
                <w:sz w:val="20"/>
                <w:szCs w:val="20"/>
                <w:highlight w:val="none"/>
              </w:rPr>
              <w:t>）对于新安装或整修后次充电的太阳能蓄电池，进行一次较长时间的充电，为初充电，应按额定容量</w:t>
            </w:r>
            <w:r>
              <w:rPr>
                <w:rFonts w:cs="Times New Roman" w:asciiTheme="minorEastAsia" w:hAnsiTheme="minorEastAsia" w:eastAsiaTheme="minorEastAsia"/>
                <w:b w:val="0"/>
                <w:bCs w:val="0"/>
                <w:color w:val="auto"/>
                <w:kern w:val="2"/>
                <w:sz w:val="20"/>
                <w:szCs w:val="20"/>
                <w:highlight w:val="none"/>
              </w:rPr>
              <w:t>1/10</w:t>
            </w:r>
            <w:r>
              <w:rPr>
                <w:rFonts w:hint="eastAsia" w:cs="Times New Roman" w:asciiTheme="minorEastAsia" w:hAnsiTheme="minorEastAsia" w:eastAsiaTheme="minorEastAsia"/>
                <w:b w:val="0"/>
                <w:bCs w:val="0"/>
                <w:color w:val="auto"/>
                <w:kern w:val="2"/>
                <w:sz w:val="20"/>
                <w:szCs w:val="20"/>
                <w:highlight w:val="none"/>
              </w:rPr>
              <w:t>的电流来进行充电。安装前必须测量蓄电池是否充足，如电力不足，请在阳光充足的地方对蓄电池进行</w:t>
            </w:r>
            <w:r>
              <w:rPr>
                <w:rFonts w:cs="Times New Roman" w:asciiTheme="minorEastAsia" w:hAnsiTheme="minorEastAsia" w:eastAsiaTheme="minorEastAsia"/>
                <w:b w:val="0"/>
                <w:bCs w:val="0"/>
                <w:color w:val="auto"/>
                <w:kern w:val="2"/>
                <w:sz w:val="20"/>
                <w:szCs w:val="20"/>
                <w:highlight w:val="none"/>
              </w:rPr>
              <w:t>8</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16</w:t>
            </w:r>
            <w:r>
              <w:rPr>
                <w:rFonts w:hint="eastAsia" w:cs="Times New Roman" w:asciiTheme="minorEastAsia" w:hAnsiTheme="minorEastAsia" w:eastAsiaTheme="minorEastAsia"/>
                <w:b w:val="0"/>
                <w:bCs w:val="0"/>
                <w:color w:val="auto"/>
                <w:kern w:val="2"/>
                <w:sz w:val="20"/>
                <w:szCs w:val="20"/>
                <w:highlight w:val="none"/>
              </w:rPr>
              <w:t>小时以上充电或者用交流电先把电池充足，应严格避免过放充电。用交流电正常充电时，采用分级充电方式，即在充电初期用较大电流的恒流均充，充到均充电压并恒压一定时间后改用常规的恒压浮充方式。</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4</w:t>
            </w:r>
            <w:r>
              <w:rPr>
                <w:rFonts w:hint="eastAsia" w:cs="Times New Roman" w:asciiTheme="minorEastAsia" w:hAnsiTheme="minorEastAsia" w:eastAsiaTheme="minorEastAsia"/>
                <w:b w:val="0"/>
                <w:bCs w:val="0"/>
                <w:color w:val="auto"/>
                <w:kern w:val="2"/>
                <w:sz w:val="20"/>
                <w:szCs w:val="20"/>
                <w:highlight w:val="none"/>
              </w:rPr>
              <w:t>）保持蓄电池本身的清洁。安装好的太阳能蓄电池极柱应涂上凡士林，防止腐蚀极柱。</w:t>
            </w:r>
          </w:p>
          <w:p>
            <w:pPr>
              <w:spacing w:after="0" w:afterLines="-2147483648" w:line="380" w:lineRule="exact"/>
              <w:rPr>
                <w:rFonts w:asciiTheme="majorEastAsia" w:hAnsiTheme="majorEastAsia" w:eastAsiaTheme="majorEastAsia" w:cstheme="majorEastAsia"/>
                <w:b w:val="0"/>
                <w:bCs w:val="0"/>
                <w:color w:val="auto"/>
                <w:sz w:val="20"/>
                <w:szCs w:val="20"/>
                <w:highlight w:val="none"/>
                <w:lang w:bidi="ar"/>
              </w:rPr>
            </w:pP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5</w:t>
            </w:r>
            <w:r>
              <w:rPr>
                <w:rFonts w:hint="eastAsia" w:cs="Times New Roman" w:asciiTheme="minorEastAsia" w:hAnsiTheme="minorEastAsia" w:eastAsiaTheme="minorEastAsia"/>
                <w:b w:val="0"/>
                <w:bCs w:val="0"/>
                <w:color w:val="auto"/>
                <w:kern w:val="2"/>
                <w:sz w:val="20"/>
                <w:szCs w:val="20"/>
                <w:highlight w:val="none"/>
              </w:rPr>
              <w:t>）为太阳能蓄电池配置在线监测管理技术，对太阳能蓄电池进行内阻在线测量与分析，及时发现蓄电池的缺陷，及时进行维护。</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7</w:t>
            </w:r>
            <w:r>
              <w:rPr>
                <w:rFonts w:hint="eastAsia" w:asciiTheme="majorEastAsia" w:hAnsiTheme="majorEastAsia" w:eastAsiaTheme="majorEastAsia" w:cstheme="majorEastAsia"/>
                <w:b w:val="0"/>
                <w:bCs w:val="0"/>
                <w:color w:val="auto"/>
                <w:sz w:val="20"/>
                <w:szCs w:val="20"/>
                <w:highlight w:val="none"/>
                <w:lang w:bidi="ar"/>
              </w:rPr>
              <w:t>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1200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6</w:t>
            </w:r>
          </w:p>
        </w:tc>
        <w:tc>
          <w:tcPr>
            <w:tcW w:w="0" w:type="auto"/>
            <w:gridSpan w:val="3"/>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hint="eastAsia" w:asciiTheme="majorEastAsia" w:hAnsiTheme="majorEastAsia" w:eastAsiaTheme="majorEastAsia" w:cstheme="majorEastAsia"/>
                <w:b w:val="0"/>
                <w:bCs w:val="0"/>
                <w:color w:val="auto"/>
                <w:sz w:val="20"/>
                <w:szCs w:val="20"/>
                <w:highlight w:val="none"/>
                <w:lang w:bidi="ar"/>
              </w:rPr>
              <w:t>▲雷达水位计</w:t>
            </w:r>
          </w:p>
        </w:tc>
        <w:tc>
          <w:tcPr>
            <w:tcW w:w="0" w:type="auto"/>
            <w:vAlign w:val="center"/>
          </w:tcPr>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w:t>
            </w:r>
            <w:r>
              <w:rPr>
                <w:rFonts w:hint="eastAsia" w:cs="Times New Roman" w:asciiTheme="minorEastAsia" w:hAnsiTheme="minorEastAsia" w:eastAsiaTheme="minorEastAsia"/>
                <w:b w:val="0"/>
                <w:bCs w:val="0"/>
                <w:color w:val="auto"/>
                <w:kern w:val="2"/>
                <w:sz w:val="20"/>
                <w:szCs w:val="20"/>
                <w:highlight w:val="none"/>
              </w:rPr>
              <w:t>、量程：</w:t>
            </w:r>
            <w:r>
              <w:rPr>
                <w:rFonts w:cs="Times New Roman" w:asciiTheme="minorEastAsia" w:hAnsiTheme="minorEastAsia" w:eastAsiaTheme="minorEastAsia"/>
                <w:b w:val="0"/>
                <w:bCs w:val="0"/>
                <w:color w:val="auto"/>
                <w:kern w:val="2"/>
                <w:sz w:val="20"/>
                <w:szCs w:val="20"/>
                <w:highlight w:val="none"/>
              </w:rPr>
              <w:t>30</w:t>
            </w:r>
            <w:r>
              <w:rPr>
                <w:rFonts w:hint="eastAsia" w:cs="Times New Roman" w:asciiTheme="minorEastAsia" w:hAnsiTheme="minorEastAsia" w:eastAsiaTheme="minorEastAsia"/>
                <w:b w:val="0"/>
                <w:bCs w:val="0"/>
                <w:color w:val="auto"/>
                <w:kern w:val="2"/>
                <w:sz w:val="20"/>
                <w:szCs w:val="20"/>
                <w:highlight w:val="none"/>
              </w:rPr>
              <w:t>米；</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2</w:t>
            </w:r>
            <w:r>
              <w:rPr>
                <w:rFonts w:hint="eastAsia" w:cs="Times New Roman" w:asciiTheme="minorEastAsia" w:hAnsiTheme="minorEastAsia" w:eastAsiaTheme="minorEastAsia"/>
                <w:b w:val="0"/>
                <w:bCs w:val="0"/>
                <w:color w:val="auto"/>
                <w:kern w:val="2"/>
                <w:sz w:val="20"/>
                <w:szCs w:val="20"/>
                <w:highlight w:val="none"/>
              </w:rPr>
              <w:t>、工作频率：≥</w:t>
            </w:r>
            <w:r>
              <w:rPr>
                <w:rFonts w:cs="Times New Roman" w:asciiTheme="minorEastAsia" w:hAnsiTheme="minorEastAsia" w:eastAsiaTheme="minorEastAsia"/>
                <w:b w:val="0"/>
                <w:bCs w:val="0"/>
                <w:color w:val="auto"/>
                <w:kern w:val="2"/>
                <w:sz w:val="20"/>
                <w:szCs w:val="20"/>
                <w:highlight w:val="none"/>
              </w:rPr>
              <w:t>26GHz</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3</w:t>
            </w:r>
            <w:r>
              <w:rPr>
                <w:rFonts w:hint="eastAsia" w:cs="Times New Roman" w:asciiTheme="minorEastAsia" w:hAnsiTheme="minorEastAsia" w:eastAsiaTheme="minorEastAsia"/>
                <w:b w:val="0"/>
                <w:bCs w:val="0"/>
                <w:color w:val="auto"/>
                <w:kern w:val="2"/>
                <w:sz w:val="20"/>
                <w:szCs w:val="20"/>
                <w:highlight w:val="none"/>
              </w:rPr>
              <w:t>、测量精度：±</w:t>
            </w:r>
            <w:r>
              <w:rPr>
                <w:rFonts w:cs="Times New Roman" w:asciiTheme="minorEastAsia" w:hAnsiTheme="minorEastAsia" w:eastAsiaTheme="minorEastAsia"/>
                <w:b w:val="0"/>
                <w:bCs w:val="0"/>
                <w:color w:val="auto"/>
                <w:kern w:val="2"/>
                <w:sz w:val="20"/>
                <w:szCs w:val="20"/>
                <w:highlight w:val="none"/>
              </w:rPr>
              <w:t>0.03%</w:t>
            </w:r>
            <w:r>
              <w:rPr>
                <w:rFonts w:hint="eastAsia" w:cs="Times New Roman" w:asciiTheme="minorEastAsia" w:hAnsiTheme="minorEastAsia" w:eastAsiaTheme="minorEastAsia"/>
                <w:b w:val="0"/>
                <w:bCs w:val="0"/>
                <w:color w:val="auto"/>
                <w:kern w:val="2"/>
                <w:sz w:val="20"/>
                <w:szCs w:val="20"/>
                <w:highlight w:val="none"/>
              </w:rPr>
              <w:t>；</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4</w:t>
            </w:r>
            <w:r>
              <w:rPr>
                <w:rFonts w:hint="eastAsia" w:cs="Times New Roman" w:asciiTheme="minorEastAsia" w:hAnsiTheme="minorEastAsia" w:eastAsiaTheme="minorEastAsia"/>
                <w:b w:val="0"/>
                <w:bCs w:val="0"/>
                <w:color w:val="auto"/>
                <w:kern w:val="2"/>
                <w:sz w:val="20"/>
                <w:szCs w:val="20"/>
                <w:highlight w:val="none"/>
              </w:rPr>
              <w:t>、分辨率：±</w:t>
            </w:r>
            <w:r>
              <w:rPr>
                <w:rFonts w:cs="Times New Roman" w:asciiTheme="minorEastAsia" w:hAnsiTheme="minorEastAsia" w:eastAsiaTheme="minorEastAsia"/>
                <w:b w:val="0"/>
                <w:bCs w:val="0"/>
                <w:color w:val="auto"/>
                <w:kern w:val="2"/>
                <w:sz w:val="20"/>
                <w:szCs w:val="20"/>
                <w:highlight w:val="none"/>
              </w:rPr>
              <w:t>3mm</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5</w:t>
            </w:r>
            <w:r>
              <w:rPr>
                <w:rFonts w:hint="eastAsia" w:cs="Times New Roman" w:asciiTheme="minorEastAsia" w:hAnsiTheme="minorEastAsia" w:eastAsiaTheme="minorEastAsia"/>
                <w:b w:val="0"/>
                <w:bCs w:val="0"/>
                <w:color w:val="auto"/>
                <w:kern w:val="2"/>
                <w:sz w:val="20"/>
                <w:szCs w:val="20"/>
                <w:highlight w:val="none"/>
              </w:rPr>
              <w:t>、发射功率</w:t>
            </w:r>
            <w:r>
              <w:rPr>
                <w:rFonts w:cs="Times New Roman" w:asciiTheme="minorEastAsia" w:hAnsiTheme="minorEastAsia" w:eastAsiaTheme="minorEastAsia"/>
                <w:b w:val="0"/>
                <w:bCs w:val="0"/>
                <w:color w:val="auto"/>
                <w:kern w:val="2"/>
                <w:sz w:val="20"/>
                <w:szCs w:val="20"/>
                <w:highlight w:val="none"/>
              </w:rPr>
              <w:t xml:space="preserve">: </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70 uW</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6</w:t>
            </w:r>
            <w:r>
              <w:rPr>
                <w:rFonts w:hint="eastAsia" w:cs="Times New Roman" w:asciiTheme="minorEastAsia" w:hAnsiTheme="minorEastAsia" w:eastAsiaTheme="minorEastAsia"/>
                <w:b w:val="0"/>
                <w:bCs w:val="0"/>
                <w:color w:val="auto"/>
                <w:kern w:val="2"/>
                <w:sz w:val="20"/>
                <w:szCs w:val="20"/>
                <w:highlight w:val="none"/>
              </w:rPr>
              <w:t>、测量时间：</w:t>
            </w:r>
            <w:r>
              <w:rPr>
                <w:rFonts w:cs="Times New Roman" w:asciiTheme="minorEastAsia" w:hAnsiTheme="minorEastAsia" w:eastAsiaTheme="minorEastAsia"/>
                <w:b w:val="0"/>
                <w:bCs w:val="0"/>
                <w:color w:val="auto"/>
                <w:kern w:val="2"/>
                <w:sz w:val="20"/>
                <w:szCs w:val="20"/>
                <w:highlight w:val="none"/>
              </w:rPr>
              <w:t xml:space="preserve">20 </w:t>
            </w:r>
            <w:r>
              <w:rPr>
                <w:rFonts w:hint="eastAsia" w:cs="Times New Roman" w:asciiTheme="minorEastAsia" w:hAnsiTheme="minorEastAsia" w:eastAsiaTheme="minorEastAsia"/>
                <w:b w:val="0"/>
                <w:bCs w:val="0"/>
                <w:color w:val="auto"/>
                <w:kern w:val="2"/>
                <w:sz w:val="20"/>
                <w:szCs w:val="20"/>
                <w:highlight w:val="none"/>
              </w:rPr>
              <w:t>秒（</w:t>
            </w:r>
            <w:r>
              <w:rPr>
                <w:rFonts w:cs="Times New Roman" w:asciiTheme="minorEastAsia" w:hAnsiTheme="minorEastAsia" w:eastAsiaTheme="minorEastAsia"/>
                <w:b w:val="0"/>
                <w:bCs w:val="0"/>
                <w:color w:val="auto"/>
                <w:kern w:val="2"/>
                <w:sz w:val="20"/>
                <w:szCs w:val="20"/>
                <w:highlight w:val="none"/>
              </w:rPr>
              <w:t>SDI 12</w:t>
            </w:r>
            <w:r>
              <w:rPr>
                <w:rFonts w:hint="eastAsia" w:cs="Times New Roman" w:asciiTheme="minorEastAsia" w:hAnsiTheme="minorEastAsia" w:eastAsiaTheme="minorEastAsia"/>
                <w:b w:val="0"/>
                <w:bCs w:val="0"/>
                <w:color w:val="auto"/>
                <w:kern w:val="2"/>
                <w:sz w:val="20"/>
                <w:szCs w:val="20"/>
                <w:highlight w:val="none"/>
              </w:rPr>
              <w:t>）或</w:t>
            </w:r>
            <w:r>
              <w:rPr>
                <w:rFonts w:cs="Times New Roman" w:asciiTheme="minorEastAsia" w:hAnsiTheme="minorEastAsia" w:eastAsiaTheme="minorEastAsia"/>
                <w:b w:val="0"/>
                <w:bCs w:val="0"/>
                <w:color w:val="auto"/>
                <w:kern w:val="2"/>
                <w:sz w:val="20"/>
                <w:szCs w:val="20"/>
                <w:highlight w:val="none"/>
              </w:rPr>
              <w:t xml:space="preserve">30 </w:t>
            </w:r>
            <w:r>
              <w:rPr>
                <w:rFonts w:hint="eastAsia" w:cs="Times New Roman" w:asciiTheme="minorEastAsia" w:hAnsiTheme="minorEastAsia" w:eastAsiaTheme="minorEastAsia"/>
                <w:b w:val="0"/>
                <w:bCs w:val="0"/>
                <w:color w:val="auto"/>
                <w:kern w:val="2"/>
                <w:sz w:val="20"/>
                <w:szCs w:val="20"/>
                <w:highlight w:val="none"/>
              </w:rPr>
              <w:t>秒（</w:t>
            </w:r>
            <w:r>
              <w:rPr>
                <w:rFonts w:cs="Times New Roman" w:asciiTheme="minorEastAsia" w:hAnsiTheme="minorEastAsia" w:eastAsiaTheme="minorEastAsia"/>
                <w:b w:val="0"/>
                <w:bCs w:val="0"/>
                <w:color w:val="auto"/>
                <w:kern w:val="2"/>
                <w:sz w:val="20"/>
                <w:szCs w:val="20"/>
                <w:highlight w:val="none"/>
              </w:rPr>
              <w:t>4-20Ma</w:t>
            </w:r>
            <w:r>
              <w:rPr>
                <w:rFonts w:hint="eastAsia" w:cs="Times New Roman" w:asciiTheme="minorEastAsia" w:hAnsiTheme="minorEastAsia" w:eastAsiaTheme="minorEastAsia"/>
                <w:b w:val="0"/>
                <w:bCs w:val="0"/>
                <w:color w:val="auto"/>
                <w:kern w:val="2"/>
                <w:sz w:val="20"/>
                <w:szCs w:val="20"/>
                <w:highlight w:val="none"/>
              </w:rPr>
              <w:t>）；</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7</w:t>
            </w:r>
            <w:r>
              <w:rPr>
                <w:rFonts w:hint="eastAsia" w:cs="Times New Roman" w:asciiTheme="minorEastAsia" w:hAnsiTheme="minorEastAsia" w:eastAsiaTheme="minorEastAsia"/>
                <w:b w:val="0"/>
                <w:bCs w:val="0"/>
                <w:color w:val="auto"/>
                <w:kern w:val="2"/>
                <w:sz w:val="20"/>
                <w:szCs w:val="20"/>
                <w:highlight w:val="none"/>
              </w:rPr>
              <w:t>、天线波束角度（宽波）：≥</w:t>
            </w:r>
            <w:r>
              <w:rPr>
                <w:rFonts w:cs="Times New Roman" w:asciiTheme="minorEastAsia" w:hAnsiTheme="minorEastAsia" w:eastAsiaTheme="minorEastAsia"/>
                <w:b w:val="0"/>
                <w:bCs w:val="0"/>
                <w:color w:val="auto"/>
                <w:kern w:val="2"/>
                <w:sz w:val="20"/>
                <w:szCs w:val="20"/>
                <w:highlight w:val="none"/>
              </w:rPr>
              <w:t>10</w:t>
            </w:r>
            <w:r>
              <w:rPr>
                <w:rFonts w:hint="eastAsia" w:cs="Times New Roman" w:asciiTheme="minorEastAsia" w:hAnsiTheme="minorEastAsia" w:eastAsiaTheme="minorEastAsia"/>
                <w:b w:val="0"/>
                <w:bCs w:val="0"/>
                <w:color w:val="auto"/>
                <w:kern w:val="2"/>
                <w:sz w:val="20"/>
                <w:szCs w:val="20"/>
                <w:highlight w:val="none"/>
              </w:rPr>
              <w:t>°；</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8</w:t>
            </w:r>
            <w:r>
              <w:rPr>
                <w:rFonts w:hint="eastAsia" w:cs="Times New Roman" w:asciiTheme="minorEastAsia" w:hAnsiTheme="minorEastAsia" w:eastAsiaTheme="minorEastAsia"/>
                <w:b w:val="0"/>
                <w:bCs w:val="0"/>
                <w:color w:val="auto"/>
                <w:kern w:val="2"/>
                <w:sz w:val="20"/>
                <w:szCs w:val="20"/>
                <w:highlight w:val="none"/>
              </w:rPr>
              <w:t>、供电范围：</w:t>
            </w:r>
            <w:r>
              <w:rPr>
                <w:rFonts w:cs="Times New Roman" w:asciiTheme="minorEastAsia" w:hAnsiTheme="minorEastAsia" w:eastAsiaTheme="minorEastAsia"/>
                <w:b w:val="0"/>
                <w:bCs w:val="0"/>
                <w:color w:val="auto"/>
                <w:kern w:val="2"/>
                <w:sz w:val="20"/>
                <w:szCs w:val="20"/>
                <w:highlight w:val="none"/>
              </w:rPr>
              <w:t>12-24V DC</w:t>
            </w:r>
            <w:r>
              <w:rPr>
                <w:rFonts w:hint="eastAsia" w:cs="Times New Roman" w:asciiTheme="minorEastAsia" w:hAnsiTheme="minorEastAsia" w:eastAsiaTheme="minorEastAsia"/>
                <w:b w:val="0"/>
                <w:bCs w:val="0"/>
                <w:color w:val="auto"/>
                <w:kern w:val="2"/>
                <w:sz w:val="20"/>
                <w:szCs w:val="20"/>
                <w:highlight w:val="none"/>
              </w:rPr>
              <w:t>；</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9</w:t>
            </w:r>
            <w:r>
              <w:rPr>
                <w:rFonts w:hint="eastAsia" w:cs="Times New Roman" w:asciiTheme="minorEastAsia" w:hAnsiTheme="minorEastAsia" w:eastAsiaTheme="minorEastAsia"/>
                <w:b w:val="0"/>
                <w:bCs w:val="0"/>
                <w:color w:val="auto"/>
                <w:kern w:val="2"/>
                <w:sz w:val="20"/>
                <w:szCs w:val="20"/>
                <w:highlight w:val="none"/>
              </w:rPr>
              <w:t>、通讯接口：</w:t>
            </w:r>
            <w:r>
              <w:rPr>
                <w:rFonts w:cs="Times New Roman" w:asciiTheme="minorEastAsia" w:hAnsiTheme="minorEastAsia" w:eastAsiaTheme="minorEastAsia"/>
                <w:b w:val="0"/>
                <w:bCs w:val="0"/>
                <w:color w:val="auto"/>
                <w:kern w:val="2"/>
                <w:sz w:val="20"/>
                <w:szCs w:val="20"/>
                <w:highlight w:val="none"/>
              </w:rPr>
              <w:t>4-20mA</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SDI-12</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RS-485</w:t>
            </w:r>
            <w:r>
              <w:rPr>
                <w:rFonts w:hint="eastAsia" w:cs="Times New Roman" w:asciiTheme="minorEastAsia" w:hAnsiTheme="minorEastAsia" w:eastAsiaTheme="minorEastAsia"/>
                <w:b w:val="0"/>
                <w:bCs w:val="0"/>
                <w:color w:val="auto"/>
                <w:kern w:val="2"/>
                <w:sz w:val="20"/>
                <w:szCs w:val="20"/>
                <w:highlight w:val="none"/>
              </w:rPr>
              <w:t>、标准</w:t>
            </w:r>
            <w:r>
              <w:rPr>
                <w:rFonts w:cs="Times New Roman" w:asciiTheme="minorEastAsia" w:hAnsiTheme="minorEastAsia" w:eastAsiaTheme="minorEastAsia"/>
                <w:b w:val="0"/>
                <w:bCs w:val="0"/>
                <w:color w:val="auto"/>
                <w:kern w:val="2"/>
                <w:sz w:val="20"/>
                <w:szCs w:val="20"/>
                <w:highlight w:val="none"/>
              </w:rPr>
              <w:t>MODBUS-RTU</w:t>
            </w:r>
            <w:r>
              <w:rPr>
                <w:rFonts w:hint="eastAsia" w:cs="Times New Roman" w:asciiTheme="minorEastAsia" w:hAnsiTheme="minorEastAsia" w:eastAsiaTheme="minorEastAsia"/>
                <w:b w:val="0"/>
                <w:bCs w:val="0"/>
                <w:color w:val="auto"/>
                <w:kern w:val="2"/>
                <w:sz w:val="20"/>
                <w:szCs w:val="20"/>
                <w:highlight w:val="none"/>
              </w:rPr>
              <w:t>和两线制（</w:t>
            </w:r>
            <w:r>
              <w:rPr>
                <w:rFonts w:cs="Times New Roman" w:asciiTheme="minorEastAsia" w:hAnsiTheme="minorEastAsia" w:eastAsiaTheme="minorEastAsia"/>
                <w:b w:val="0"/>
                <w:bCs w:val="0"/>
                <w:color w:val="auto"/>
                <w:kern w:val="2"/>
                <w:sz w:val="20"/>
                <w:szCs w:val="20"/>
                <w:highlight w:val="none"/>
              </w:rPr>
              <w:t xml:space="preserve">SDI-12 </w:t>
            </w:r>
            <w:r>
              <w:rPr>
                <w:rFonts w:hint="eastAsia" w:cs="Times New Roman" w:asciiTheme="minorEastAsia" w:hAnsiTheme="minorEastAsia" w:eastAsiaTheme="minorEastAsia"/>
                <w:b w:val="0"/>
                <w:bCs w:val="0"/>
                <w:color w:val="auto"/>
                <w:kern w:val="2"/>
                <w:sz w:val="20"/>
                <w:szCs w:val="20"/>
                <w:highlight w:val="none"/>
              </w:rPr>
              <w:t>协议）等；</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10</w:t>
            </w:r>
            <w:r>
              <w:rPr>
                <w:rFonts w:hint="eastAsia" w:cs="Times New Roman" w:asciiTheme="minorEastAsia" w:hAnsiTheme="minorEastAsia" w:eastAsiaTheme="minorEastAsia"/>
                <w:b w:val="0"/>
                <w:bCs w:val="0"/>
                <w:color w:val="auto"/>
                <w:kern w:val="2"/>
                <w:sz w:val="20"/>
                <w:szCs w:val="20"/>
                <w:highlight w:val="none"/>
              </w:rPr>
              <w:t>、输出接口为模拟量</w:t>
            </w:r>
            <w:r>
              <w:rPr>
                <w:rFonts w:cs="Times New Roman" w:asciiTheme="minorEastAsia" w:hAnsiTheme="minorEastAsia" w:eastAsiaTheme="minorEastAsia"/>
                <w:b w:val="0"/>
                <w:bCs w:val="0"/>
                <w:color w:val="auto"/>
                <w:kern w:val="2"/>
                <w:sz w:val="20"/>
                <w:szCs w:val="20"/>
                <w:highlight w:val="none"/>
              </w:rPr>
              <w:t>4</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20Am</w:t>
            </w:r>
            <w:r>
              <w:rPr>
                <w:rFonts w:hint="eastAsia" w:cs="Times New Roman" w:asciiTheme="minorEastAsia" w:hAnsiTheme="minorEastAsia" w:eastAsiaTheme="minorEastAsia"/>
                <w:b w:val="0"/>
                <w:bCs w:val="0"/>
                <w:color w:val="auto"/>
                <w:kern w:val="2"/>
                <w:sz w:val="20"/>
                <w:szCs w:val="20"/>
                <w:highlight w:val="none"/>
              </w:rPr>
              <w:t>；</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11</w:t>
            </w:r>
            <w:r>
              <w:rPr>
                <w:rFonts w:hint="eastAsia" w:cs="Times New Roman" w:asciiTheme="minorEastAsia" w:hAnsiTheme="minorEastAsia" w:eastAsiaTheme="minorEastAsia"/>
                <w:b w:val="0"/>
                <w:bCs w:val="0"/>
                <w:color w:val="auto"/>
                <w:kern w:val="2"/>
                <w:sz w:val="20"/>
                <w:szCs w:val="20"/>
                <w:highlight w:val="none"/>
              </w:rPr>
              <w:t>、存放温度：</w:t>
            </w:r>
            <w:r>
              <w:rPr>
                <w:rFonts w:cs="Times New Roman" w:asciiTheme="minorEastAsia" w:hAnsiTheme="minorEastAsia" w:eastAsiaTheme="minorEastAsia"/>
                <w:b w:val="0"/>
                <w:bCs w:val="0"/>
                <w:color w:val="auto"/>
                <w:kern w:val="2"/>
                <w:sz w:val="20"/>
                <w:szCs w:val="20"/>
                <w:highlight w:val="none"/>
              </w:rPr>
              <w:t>-40</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+85</w:t>
            </w:r>
            <w:r>
              <w:rPr>
                <w:rFonts w:hint="eastAsia" w:cs="Times New Roman" w:asciiTheme="minorEastAsia" w:hAnsiTheme="minorEastAsia" w:eastAsiaTheme="minorEastAsia"/>
                <w:b w:val="0"/>
                <w:bCs w:val="0"/>
                <w:color w:val="auto"/>
                <w:kern w:val="2"/>
                <w:sz w:val="20"/>
                <w:szCs w:val="20"/>
                <w:highlight w:val="none"/>
              </w:rPr>
              <w:t>℃；</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12</w:t>
            </w:r>
            <w:r>
              <w:rPr>
                <w:rFonts w:hint="eastAsia" w:cs="Times New Roman" w:asciiTheme="minorEastAsia" w:hAnsiTheme="minorEastAsia" w:eastAsiaTheme="minorEastAsia"/>
                <w:b w:val="0"/>
                <w:bCs w:val="0"/>
                <w:color w:val="auto"/>
                <w:kern w:val="2"/>
                <w:sz w:val="20"/>
                <w:szCs w:val="20"/>
                <w:highlight w:val="none"/>
              </w:rPr>
              <w:t>、相对湿度：在</w:t>
            </w:r>
            <w:r>
              <w:rPr>
                <w:rFonts w:cs="Times New Roman" w:asciiTheme="minorEastAsia" w:hAnsiTheme="minorEastAsia" w:eastAsiaTheme="minorEastAsia"/>
                <w:b w:val="0"/>
                <w:bCs w:val="0"/>
                <w:color w:val="auto"/>
                <w:kern w:val="2"/>
                <w:sz w:val="20"/>
                <w:szCs w:val="20"/>
                <w:highlight w:val="none"/>
              </w:rPr>
              <w:t>35</w:t>
            </w:r>
            <w:r>
              <w:rPr>
                <w:rFonts w:hint="eastAsia" w:cs="Times New Roman" w:asciiTheme="minorEastAsia" w:hAnsiTheme="minorEastAsia" w:eastAsiaTheme="minorEastAsia"/>
                <w:b w:val="0"/>
                <w:bCs w:val="0"/>
                <w:color w:val="auto"/>
                <w:kern w:val="2"/>
                <w:sz w:val="20"/>
                <w:szCs w:val="20"/>
                <w:highlight w:val="none"/>
              </w:rPr>
              <w:t>℃时湿度为</w:t>
            </w:r>
            <w:r>
              <w:rPr>
                <w:rFonts w:cs="Times New Roman" w:asciiTheme="minorEastAsia" w:hAnsiTheme="minorEastAsia" w:eastAsiaTheme="minorEastAsia"/>
                <w:b w:val="0"/>
                <w:bCs w:val="0"/>
                <w:color w:val="auto"/>
                <w:kern w:val="2"/>
                <w:sz w:val="20"/>
                <w:szCs w:val="20"/>
                <w:highlight w:val="none"/>
              </w:rPr>
              <w:t>100%</w:t>
            </w:r>
            <w:r>
              <w:rPr>
                <w:rFonts w:hint="eastAsia" w:cs="Times New Roman" w:asciiTheme="minorEastAsia" w:hAnsiTheme="minorEastAsia" w:eastAsiaTheme="minorEastAsia"/>
                <w:b w:val="0"/>
                <w:bCs w:val="0"/>
                <w:color w:val="auto"/>
                <w:kern w:val="2"/>
                <w:sz w:val="20"/>
                <w:szCs w:val="20"/>
                <w:highlight w:val="none"/>
              </w:rPr>
              <w:t>；</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13</w:t>
            </w:r>
            <w:r>
              <w:rPr>
                <w:rFonts w:hint="eastAsia" w:cs="Times New Roman" w:asciiTheme="minorEastAsia" w:hAnsiTheme="minorEastAsia" w:eastAsiaTheme="minorEastAsia"/>
                <w:b w:val="0"/>
                <w:bCs w:val="0"/>
                <w:color w:val="auto"/>
                <w:kern w:val="2"/>
                <w:sz w:val="20"/>
                <w:szCs w:val="20"/>
                <w:highlight w:val="none"/>
              </w:rPr>
              <w:t>、保护等级：≥</w:t>
            </w:r>
            <w:r>
              <w:rPr>
                <w:rFonts w:cs="Times New Roman" w:asciiTheme="minorEastAsia" w:hAnsiTheme="minorEastAsia" w:eastAsiaTheme="minorEastAsia"/>
                <w:b w:val="0"/>
                <w:bCs w:val="0"/>
                <w:color w:val="auto"/>
                <w:kern w:val="2"/>
                <w:sz w:val="20"/>
                <w:szCs w:val="20"/>
                <w:highlight w:val="none"/>
              </w:rPr>
              <w:t>IP68</w:t>
            </w:r>
            <w:r>
              <w:rPr>
                <w:rFonts w:hint="eastAsia" w:cs="Times New Roman" w:asciiTheme="minorEastAsia" w:hAnsiTheme="minorEastAsia" w:eastAsiaTheme="minorEastAsia"/>
                <w:b w:val="0"/>
                <w:bCs w:val="0"/>
                <w:color w:val="auto"/>
                <w:kern w:val="2"/>
                <w:sz w:val="20"/>
                <w:szCs w:val="20"/>
                <w:highlight w:val="none"/>
              </w:rPr>
              <w:t>；</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14</w:t>
            </w:r>
            <w:r>
              <w:rPr>
                <w:rFonts w:hint="eastAsia" w:cs="Times New Roman" w:asciiTheme="minorEastAsia" w:hAnsiTheme="minorEastAsia" w:eastAsiaTheme="minorEastAsia"/>
                <w:b w:val="0"/>
                <w:bCs w:val="0"/>
                <w:color w:val="auto"/>
                <w:kern w:val="2"/>
                <w:sz w:val="20"/>
                <w:szCs w:val="20"/>
                <w:highlight w:val="none"/>
              </w:rPr>
              <w:t>、自带波动补偿，消除风力及桥梁振动影响；</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15</w:t>
            </w:r>
            <w:r>
              <w:rPr>
                <w:rFonts w:hint="eastAsia" w:cs="Times New Roman" w:asciiTheme="minorEastAsia" w:hAnsiTheme="minorEastAsia" w:eastAsiaTheme="minorEastAsia"/>
                <w:b w:val="0"/>
                <w:bCs w:val="0"/>
                <w:color w:val="auto"/>
                <w:kern w:val="2"/>
                <w:sz w:val="20"/>
                <w:szCs w:val="20"/>
                <w:highlight w:val="none"/>
              </w:rPr>
              <w:t>、外壳</w:t>
            </w:r>
            <w:r>
              <w:rPr>
                <w:rFonts w:cs="Times New Roman" w:asciiTheme="minorEastAsia" w:hAnsiTheme="minorEastAsia" w:eastAsiaTheme="minorEastAsia"/>
                <w:b w:val="0"/>
                <w:bCs w:val="0"/>
                <w:color w:val="auto"/>
                <w:kern w:val="2"/>
                <w:sz w:val="20"/>
                <w:szCs w:val="20"/>
                <w:highlight w:val="none"/>
              </w:rPr>
              <w:t>:</w:t>
            </w:r>
            <w:r>
              <w:rPr>
                <w:rFonts w:hint="eastAsia" w:cs="Times New Roman" w:asciiTheme="minorEastAsia" w:hAnsiTheme="minorEastAsia" w:eastAsiaTheme="minorEastAsia"/>
                <w:b w:val="0"/>
                <w:bCs w:val="0"/>
                <w:color w:val="auto"/>
                <w:kern w:val="2"/>
                <w:sz w:val="20"/>
                <w:szCs w:val="20"/>
                <w:highlight w:val="none"/>
              </w:rPr>
              <w:t>铝或</w:t>
            </w:r>
            <w:r>
              <w:rPr>
                <w:rFonts w:cs="Times New Roman" w:asciiTheme="minorEastAsia" w:hAnsiTheme="minorEastAsia" w:eastAsiaTheme="minorEastAsia"/>
                <w:b w:val="0"/>
                <w:bCs w:val="0"/>
                <w:color w:val="auto"/>
                <w:kern w:val="2"/>
                <w:sz w:val="20"/>
                <w:szCs w:val="20"/>
                <w:highlight w:val="none"/>
              </w:rPr>
              <w:t>316L</w:t>
            </w:r>
            <w:r>
              <w:rPr>
                <w:rFonts w:hint="eastAsia" w:cs="Times New Roman" w:asciiTheme="minorEastAsia" w:hAnsiTheme="minorEastAsia" w:eastAsiaTheme="minorEastAsia"/>
                <w:b w:val="0"/>
                <w:bCs w:val="0"/>
                <w:color w:val="auto"/>
                <w:kern w:val="2"/>
                <w:sz w:val="20"/>
                <w:szCs w:val="20"/>
                <w:highlight w:val="none"/>
              </w:rPr>
              <w:t>不锈钢</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16</w:t>
            </w:r>
            <w:r>
              <w:rPr>
                <w:rFonts w:hint="eastAsia" w:cs="Times New Roman" w:asciiTheme="minorEastAsia" w:hAnsiTheme="minorEastAsia" w:eastAsiaTheme="minorEastAsia"/>
                <w:b w:val="0"/>
                <w:bCs w:val="0"/>
                <w:color w:val="auto"/>
                <w:kern w:val="2"/>
                <w:sz w:val="20"/>
                <w:szCs w:val="20"/>
                <w:highlight w:val="none"/>
              </w:rPr>
              <w:t>、具有防雷设计；</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7</w:t>
            </w:r>
            <w:r>
              <w:rPr>
                <w:rFonts w:hint="eastAsia" w:asciiTheme="majorEastAsia" w:hAnsiTheme="majorEastAsia" w:eastAsiaTheme="majorEastAsia" w:cstheme="majorEastAsia"/>
                <w:b w:val="0"/>
                <w:bCs w:val="0"/>
                <w:color w:val="auto"/>
                <w:sz w:val="20"/>
                <w:szCs w:val="20"/>
                <w:highlight w:val="none"/>
                <w:lang w:bidi="ar"/>
              </w:rPr>
              <w:t>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7000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49000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7</w:t>
            </w:r>
          </w:p>
        </w:tc>
        <w:tc>
          <w:tcPr>
            <w:tcW w:w="0" w:type="auto"/>
            <w:gridSpan w:val="3"/>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hint="eastAsia" w:asciiTheme="majorEastAsia" w:hAnsiTheme="majorEastAsia" w:eastAsiaTheme="majorEastAsia" w:cstheme="majorEastAsia"/>
                <w:b w:val="0"/>
                <w:bCs w:val="0"/>
                <w:color w:val="auto"/>
                <w:sz w:val="20"/>
                <w:szCs w:val="20"/>
                <w:highlight w:val="none"/>
                <w:lang w:bidi="ar"/>
              </w:rPr>
              <w:t>数据传输线</w:t>
            </w:r>
          </w:p>
        </w:tc>
        <w:tc>
          <w:tcPr>
            <w:tcW w:w="0" w:type="auto"/>
            <w:vAlign w:val="center"/>
          </w:tcPr>
          <w:p>
            <w:pPr>
              <w:spacing w:after="0" w:afterLines="-2147483648" w:line="380" w:lineRule="exact"/>
              <w:rPr>
                <w:rFonts w:asciiTheme="majorEastAsia" w:hAnsiTheme="majorEastAsia" w:eastAsiaTheme="majorEastAsia" w:cstheme="majorEastAsia"/>
                <w:b w:val="0"/>
                <w:bCs w:val="0"/>
                <w:color w:val="auto"/>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超五类非屏蔽网线，线芯</w:t>
            </w:r>
            <w:r>
              <w:rPr>
                <w:rFonts w:cs="Times New Roman" w:asciiTheme="minorEastAsia" w:hAnsiTheme="minorEastAsia" w:eastAsiaTheme="minorEastAsia"/>
                <w:b w:val="0"/>
                <w:bCs w:val="0"/>
                <w:color w:val="auto"/>
                <w:kern w:val="2"/>
                <w:sz w:val="20"/>
                <w:szCs w:val="20"/>
                <w:highlight w:val="none"/>
              </w:rPr>
              <w:t>: 0.48mm</w:t>
            </w:r>
            <w:r>
              <w:rPr>
                <w:rFonts w:hint="eastAsia" w:cs="Times New Roman" w:asciiTheme="minorEastAsia" w:hAnsiTheme="minorEastAsia" w:eastAsiaTheme="minorEastAsia"/>
                <w:b w:val="0"/>
                <w:bCs w:val="0"/>
                <w:color w:val="auto"/>
                <w:kern w:val="2"/>
                <w:sz w:val="20"/>
                <w:szCs w:val="20"/>
                <w:highlight w:val="none"/>
              </w:rPr>
              <w:t>士</w:t>
            </w:r>
            <w:r>
              <w:rPr>
                <w:rFonts w:cs="Times New Roman" w:asciiTheme="minorEastAsia" w:hAnsiTheme="minorEastAsia" w:eastAsiaTheme="minorEastAsia"/>
                <w:b w:val="0"/>
                <w:bCs w:val="0"/>
                <w:color w:val="auto"/>
                <w:kern w:val="2"/>
                <w:sz w:val="20"/>
                <w:szCs w:val="20"/>
                <w:highlight w:val="none"/>
              </w:rPr>
              <w:t>0.02</w:t>
            </w:r>
            <w:r>
              <w:rPr>
                <w:rFonts w:hint="eastAsia" w:cs="Times New Roman" w:asciiTheme="minorEastAsia" w:hAnsiTheme="minorEastAsia" w:eastAsiaTheme="minorEastAsia"/>
                <w:b w:val="0"/>
                <w:bCs w:val="0"/>
                <w:color w:val="auto"/>
                <w:kern w:val="2"/>
                <w:sz w:val="20"/>
                <w:szCs w:val="20"/>
                <w:highlight w:val="none"/>
              </w:rPr>
              <w:t>高纯度无氧铜，外皮材质</w:t>
            </w:r>
            <w:r>
              <w:rPr>
                <w:rFonts w:cs="Times New Roman" w:asciiTheme="minorEastAsia" w:hAnsiTheme="minorEastAsia" w:eastAsiaTheme="minorEastAsia"/>
                <w:b w:val="0"/>
                <w:bCs w:val="0"/>
                <w:color w:val="auto"/>
                <w:kern w:val="2"/>
                <w:sz w:val="20"/>
                <w:szCs w:val="20"/>
                <w:highlight w:val="none"/>
              </w:rPr>
              <w:t>:</w:t>
            </w:r>
            <w:r>
              <w:rPr>
                <w:rFonts w:hint="eastAsia" w:cs="Times New Roman" w:asciiTheme="minorEastAsia" w:hAnsiTheme="minorEastAsia" w:eastAsiaTheme="minorEastAsia"/>
                <w:b w:val="0"/>
                <w:bCs w:val="0"/>
                <w:color w:val="auto"/>
                <w:kern w:val="2"/>
                <w:sz w:val="20"/>
                <w:szCs w:val="20"/>
                <w:highlight w:val="none"/>
              </w:rPr>
              <w:t>内护套</w:t>
            </w:r>
            <w:r>
              <w:rPr>
                <w:rFonts w:cs="Times New Roman" w:asciiTheme="minorEastAsia" w:hAnsiTheme="minorEastAsia" w:eastAsiaTheme="minorEastAsia"/>
                <w:b w:val="0"/>
                <w:bCs w:val="0"/>
                <w:color w:val="auto"/>
                <w:kern w:val="2"/>
                <w:sz w:val="20"/>
                <w:szCs w:val="20"/>
                <w:highlight w:val="none"/>
              </w:rPr>
              <w:t>HDPE,</w:t>
            </w:r>
            <w:r>
              <w:rPr>
                <w:rFonts w:hint="eastAsia" w:cs="Times New Roman" w:asciiTheme="minorEastAsia" w:hAnsiTheme="minorEastAsia" w:eastAsiaTheme="minorEastAsia"/>
                <w:b w:val="0"/>
                <w:bCs w:val="0"/>
                <w:color w:val="auto"/>
                <w:kern w:val="2"/>
                <w:sz w:val="20"/>
                <w:szCs w:val="20"/>
                <w:highlight w:val="none"/>
              </w:rPr>
              <w:t>外护套</w:t>
            </w:r>
            <w:r>
              <w:rPr>
                <w:rFonts w:cs="Times New Roman" w:asciiTheme="minorEastAsia" w:hAnsiTheme="minorEastAsia" w:eastAsiaTheme="minorEastAsia"/>
                <w:b w:val="0"/>
                <w:bCs w:val="0"/>
                <w:color w:val="auto"/>
                <w:kern w:val="2"/>
                <w:sz w:val="20"/>
                <w:szCs w:val="20"/>
                <w:highlight w:val="none"/>
              </w:rPr>
              <w:t>PVC</w:t>
            </w:r>
            <w:r>
              <w:rPr>
                <w:rFonts w:hint="eastAsia" w:cs="Times New Roman" w:asciiTheme="minorEastAsia" w:hAnsiTheme="minorEastAsia" w:eastAsiaTheme="minorEastAsia"/>
                <w:b w:val="0"/>
                <w:bCs w:val="0"/>
                <w:color w:val="auto"/>
                <w:kern w:val="2"/>
                <w:sz w:val="20"/>
                <w:szCs w:val="20"/>
                <w:highlight w:val="none"/>
              </w:rPr>
              <w:t>，线规</w:t>
            </w:r>
            <w:r>
              <w:rPr>
                <w:rFonts w:cs="Times New Roman" w:asciiTheme="minorEastAsia" w:hAnsiTheme="minorEastAsia" w:eastAsiaTheme="minorEastAsia"/>
                <w:b w:val="0"/>
                <w:bCs w:val="0"/>
                <w:color w:val="auto"/>
                <w:kern w:val="2"/>
                <w:sz w:val="20"/>
                <w:szCs w:val="20"/>
                <w:highlight w:val="none"/>
              </w:rPr>
              <w:t>: 24AWG</w:t>
            </w:r>
            <w:r>
              <w:rPr>
                <w:rFonts w:hint="eastAsia" w:cs="Times New Roman" w:asciiTheme="minorEastAsia" w:hAnsiTheme="minorEastAsia" w:eastAsiaTheme="minorEastAsia"/>
                <w:b w:val="0"/>
                <w:bCs w:val="0"/>
                <w:color w:val="auto"/>
                <w:kern w:val="2"/>
                <w:sz w:val="20"/>
                <w:szCs w:val="20"/>
                <w:highlight w:val="none"/>
              </w:rPr>
              <w:t>纯铜芯，速度</w:t>
            </w:r>
            <w:r>
              <w:rPr>
                <w:rFonts w:cs="Times New Roman" w:asciiTheme="minorEastAsia" w:hAnsiTheme="minorEastAsia" w:eastAsiaTheme="minorEastAsia"/>
                <w:b w:val="0"/>
                <w:bCs w:val="0"/>
                <w:color w:val="auto"/>
                <w:kern w:val="2"/>
                <w:sz w:val="20"/>
                <w:szCs w:val="20"/>
                <w:highlight w:val="none"/>
              </w:rPr>
              <w:t>: 100Mbps</w:t>
            </w:r>
            <w:r>
              <w:rPr>
                <w:rFonts w:hint="eastAsia" w:cs="Times New Roman" w:asciiTheme="minorEastAsia" w:hAnsiTheme="minorEastAsia" w:eastAsiaTheme="minorEastAsia"/>
                <w:b w:val="0"/>
                <w:bCs w:val="0"/>
                <w:color w:val="auto"/>
                <w:kern w:val="2"/>
                <w:sz w:val="20"/>
                <w:szCs w:val="20"/>
                <w:highlight w:val="none"/>
              </w:rPr>
              <w:t>，工作温度</w:t>
            </w:r>
            <w:r>
              <w:rPr>
                <w:rFonts w:cs="Times New Roman" w:asciiTheme="minorEastAsia" w:hAnsiTheme="minorEastAsia" w:eastAsiaTheme="minorEastAsia"/>
                <w:b w:val="0"/>
                <w:bCs w:val="0"/>
                <w:color w:val="auto"/>
                <w:kern w:val="2"/>
                <w:sz w:val="20"/>
                <w:szCs w:val="20"/>
                <w:highlight w:val="none"/>
              </w:rPr>
              <w:t>: -20</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C</w:t>
            </w:r>
            <w:r>
              <w:rPr>
                <w:rFonts w:hint="eastAsia" w:cs="Times New Roman" w:asciiTheme="minorEastAsia" w:hAnsiTheme="minorEastAsia" w:eastAsiaTheme="minorEastAsia"/>
                <w:b w:val="0"/>
                <w:bCs w:val="0"/>
                <w:color w:val="auto"/>
                <w:kern w:val="2"/>
                <w:sz w:val="20"/>
                <w:szCs w:val="20"/>
                <w:highlight w:val="none"/>
              </w:rPr>
              <w:t>至</w:t>
            </w:r>
            <w:r>
              <w:rPr>
                <w:rFonts w:cs="Times New Roman" w:asciiTheme="minorEastAsia" w:hAnsiTheme="minorEastAsia" w:eastAsiaTheme="minorEastAsia"/>
                <w:b w:val="0"/>
                <w:bCs w:val="0"/>
                <w:color w:val="auto"/>
                <w:kern w:val="2"/>
                <w:sz w:val="20"/>
                <w:szCs w:val="20"/>
                <w:highlight w:val="none"/>
              </w:rPr>
              <w:t>+60</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C</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7</w:t>
            </w:r>
            <w:r>
              <w:rPr>
                <w:rFonts w:hint="eastAsia" w:asciiTheme="majorEastAsia" w:hAnsiTheme="majorEastAsia" w:eastAsiaTheme="majorEastAsia" w:cstheme="majorEastAsia"/>
                <w:b w:val="0"/>
                <w:bCs w:val="0"/>
                <w:color w:val="auto"/>
                <w:sz w:val="20"/>
                <w:szCs w:val="20"/>
                <w:highlight w:val="none"/>
                <w:lang w:bidi="ar"/>
              </w:rPr>
              <w:t>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300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8</w:t>
            </w:r>
          </w:p>
        </w:tc>
        <w:tc>
          <w:tcPr>
            <w:tcW w:w="0" w:type="auto"/>
            <w:gridSpan w:val="3"/>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hint="eastAsia" w:asciiTheme="majorEastAsia" w:hAnsiTheme="majorEastAsia" w:eastAsiaTheme="majorEastAsia" w:cstheme="majorEastAsia"/>
                <w:b w:val="0"/>
                <w:bCs w:val="0"/>
                <w:color w:val="auto"/>
                <w:sz w:val="20"/>
                <w:szCs w:val="20"/>
                <w:highlight w:val="none"/>
                <w:lang w:bidi="ar"/>
              </w:rPr>
              <w:t>电源避雷模块</w:t>
            </w:r>
          </w:p>
        </w:tc>
        <w:tc>
          <w:tcPr>
            <w:tcW w:w="0" w:type="auto"/>
            <w:vAlign w:val="center"/>
          </w:tcPr>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无需考虑负载电流</w:t>
            </w:r>
            <w:r>
              <w:rPr>
                <w:rFonts w:cs="Times New Roman" w:asciiTheme="minorEastAsia" w:hAnsiTheme="minorEastAsia" w:eastAsiaTheme="minorEastAsia"/>
                <w:b w:val="0"/>
                <w:bCs w:val="0"/>
                <w:color w:val="auto"/>
                <w:kern w:val="2"/>
                <w:sz w:val="20"/>
                <w:szCs w:val="20"/>
                <w:highlight w:val="none"/>
              </w:rPr>
              <w:t>;</w:t>
            </w:r>
            <w:r>
              <w:rPr>
                <w:rFonts w:hint="eastAsia" w:cs="Times New Roman" w:asciiTheme="minorEastAsia" w:hAnsiTheme="minorEastAsia" w:eastAsiaTheme="minorEastAsia"/>
                <w:b w:val="0"/>
                <w:bCs w:val="0"/>
                <w:color w:val="auto"/>
                <w:kern w:val="2"/>
                <w:sz w:val="20"/>
                <w:szCs w:val="20"/>
                <w:highlight w:val="none"/>
              </w:rPr>
              <w:t>插拔设计，可以带电更换，易于维护</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内置温控断路技术，安全性能高</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指示窗口绿色表示正常，变红色表示故障</w:t>
            </w:r>
            <w:r>
              <w:rPr>
                <w:rFonts w:cs="Times New Roman" w:asciiTheme="minorEastAsia" w:hAnsiTheme="minorEastAsia" w:eastAsiaTheme="minorEastAsia"/>
                <w:b w:val="0"/>
                <w:bCs w:val="0"/>
                <w:color w:val="auto"/>
                <w:kern w:val="2"/>
                <w:sz w:val="20"/>
                <w:szCs w:val="20"/>
                <w:highlight w:val="none"/>
              </w:rPr>
              <w:t>,</w:t>
            </w:r>
            <w:r>
              <w:rPr>
                <w:rFonts w:hint="eastAsia" w:cs="Times New Roman" w:asciiTheme="minorEastAsia" w:hAnsiTheme="minorEastAsia" w:eastAsiaTheme="minorEastAsia"/>
                <w:b w:val="0"/>
                <w:bCs w:val="0"/>
                <w:color w:val="auto"/>
                <w:kern w:val="2"/>
                <w:sz w:val="20"/>
                <w:szCs w:val="20"/>
                <w:highlight w:val="none"/>
              </w:rPr>
              <w:t>提示更换，清晰易辩</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可选配遥信监测接口，能实现远程监控</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可组合构成</w:t>
            </w:r>
            <w:r>
              <w:rPr>
                <w:rFonts w:cs="Times New Roman" w:asciiTheme="minorEastAsia" w:hAnsiTheme="minorEastAsia" w:eastAsiaTheme="minorEastAsia"/>
                <w:b w:val="0"/>
                <w:bCs w:val="0"/>
                <w:color w:val="auto"/>
                <w:kern w:val="2"/>
                <w:sz w:val="20"/>
                <w:szCs w:val="20"/>
                <w:highlight w:val="none"/>
              </w:rPr>
              <w:t>2P</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3P</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4P</w:t>
            </w:r>
            <w:r>
              <w:rPr>
                <w:rFonts w:hint="eastAsia" w:cs="Times New Roman" w:asciiTheme="minorEastAsia" w:hAnsiTheme="minorEastAsia" w:eastAsiaTheme="minorEastAsia"/>
                <w:b w:val="0"/>
                <w:bCs w:val="0"/>
                <w:color w:val="auto"/>
                <w:kern w:val="2"/>
                <w:sz w:val="20"/>
                <w:szCs w:val="20"/>
                <w:highlight w:val="none"/>
              </w:rPr>
              <w:t>等模式，适合于各种电网制式，适用范围：</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LDY-20C</w:t>
            </w:r>
            <w:r>
              <w:rPr>
                <w:rFonts w:hint="eastAsia" w:cs="Times New Roman" w:asciiTheme="minorEastAsia" w:hAnsiTheme="minorEastAsia" w:eastAsiaTheme="minorEastAsia"/>
                <w:b w:val="0"/>
                <w:bCs w:val="0"/>
                <w:color w:val="auto"/>
                <w:kern w:val="2"/>
                <w:sz w:val="20"/>
                <w:szCs w:val="20"/>
                <w:highlight w:val="none"/>
              </w:rPr>
              <w:t>系列适用于建筑物低压分配电箱中的等电</w:t>
            </w:r>
            <w:r>
              <w:rPr>
                <w:rFonts w:cs="Times New Roman" w:asciiTheme="minorEastAsia" w:hAnsiTheme="minorEastAsia" w:eastAsiaTheme="minorEastAsia"/>
                <w:b w:val="0"/>
                <w:bCs w:val="0"/>
                <w:color w:val="auto"/>
                <w:kern w:val="2"/>
                <w:sz w:val="20"/>
                <w:szCs w:val="20"/>
                <w:highlight w:val="none"/>
              </w:rPr>
              <w:t xml:space="preserve"> </w:t>
            </w:r>
            <w:r>
              <w:rPr>
                <w:rFonts w:hint="eastAsia" w:cs="Times New Roman" w:asciiTheme="minorEastAsia" w:hAnsiTheme="minorEastAsia" w:eastAsiaTheme="minorEastAsia"/>
                <w:b w:val="0"/>
                <w:bCs w:val="0"/>
                <w:color w:val="auto"/>
                <w:kern w:val="2"/>
                <w:sz w:val="20"/>
                <w:szCs w:val="20"/>
                <w:highlight w:val="none"/>
              </w:rPr>
              <w:t>位连接，对电源第</w:t>
            </w:r>
            <w:r>
              <w:rPr>
                <w:rFonts w:cs="Times New Roman" w:asciiTheme="minorEastAsia" w:hAnsiTheme="minorEastAsia" w:eastAsiaTheme="minorEastAsia"/>
                <w:b w:val="0"/>
                <w:bCs w:val="0"/>
                <w:color w:val="auto"/>
                <w:kern w:val="2"/>
                <w:sz w:val="20"/>
                <w:szCs w:val="20"/>
                <w:highlight w:val="none"/>
              </w:rPr>
              <w:t>II</w:t>
            </w:r>
            <w:r>
              <w:rPr>
                <w:rFonts w:hint="eastAsia" w:cs="Times New Roman" w:asciiTheme="minorEastAsia" w:hAnsiTheme="minorEastAsia" w:eastAsiaTheme="minorEastAsia"/>
                <w:b w:val="0"/>
                <w:bCs w:val="0"/>
                <w:color w:val="auto"/>
                <w:kern w:val="2"/>
                <w:sz w:val="20"/>
                <w:szCs w:val="20"/>
                <w:highlight w:val="none"/>
              </w:rPr>
              <w:t>级的雷击或操作引起的过电压进行保护。</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产品符合标准：</w:t>
            </w:r>
            <w:r>
              <w:rPr>
                <w:rFonts w:cs="Times New Roman" w:asciiTheme="minorEastAsia" w:hAnsiTheme="minorEastAsia" w:eastAsiaTheme="minorEastAsia"/>
                <w:b w:val="0"/>
                <w:bCs w:val="0"/>
                <w:color w:val="auto"/>
                <w:kern w:val="2"/>
                <w:sz w:val="20"/>
                <w:szCs w:val="20"/>
                <w:highlight w:val="none"/>
              </w:rPr>
              <w:t>IEC61643-1</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GB18802.1</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7</w:t>
            </w:r>
            <w:r>
              <w:rPr>
                <w:rFonts w:hint="eastAsia" w:asciiTheme="majorEastAsia" w:hAnsiTheme="majorEastAsia" w:eastAsiaTheme="majorEastAsia" w:cstheme="majorEastAsia"/>
                <w:b w:val="0"/>
                <w:bCs w:val="0"/>
                <w:color w:val="auto"/>
                <w:sz w:val="20"/>
                <w:szCs w:val="20"/>
                <w:highlight w:val="none"/>
                <w:lang w:bidi="ar"/>
              </w:rPr>
              <w:t>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400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9</w:t>
            </w:r>
          </w:p>
        </w:tc>
        <w:tc>
          <w:tcPr>
            <w:tcW w:w="0" w:type="auto"/>
            <w:gridSpan w:val="3"/>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hint="eastAsia" w:asciiTheme="majorEastAsia" w:hAnsiTheme="majorEastAsia" w:eastAsiaTheme="majorEastAsia" w:cstheme="majorEastAsia"/>
                <w:b w:val="0"/>
                <w:bCs w:val="0"/>
                <w:color w:val="auto"/>
                <w:sz w:val="20"/>
                <w:szCs w:val="20"/>
                <w:highlight w:val="none"/>
                <w:lang w:bidi="ar"/>
              </w:rPr>
              <w:t>信号避雷模块</w:t>
            </w:r>
          </w:p>
        </w:tc>
        <w:tc>
          <w:tcPr>
            <w:tcW w:w="0" w:type="auto"/>
            <w:vAlign w:val="center"/>
          </w:tcPr>
          <w:p>
            <w:pPr>
              <w:numPr>
                <w:ilvl w:val="0"/>
                <w:numId w:val="0"/>
              </w:num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1、</w:t>
            </w:r>
            <w:r>
              <w:rPr>
                <w:rFonts w:hint="eastAsia" w:cs="Times New Roman" w:asciiTheme="minorEastAsia" w:hAnsiTheme="minorEastAsia" w:eastAsiaTheme="minorEastAsia"/>
                <w:b w:val="0"/>
                <w:bCs w:val="0"/>
                <w:color w:val="auto"/>
                <w:kern w:val="2"/>
                <w:sz w:val="20"/>
                <w:szCs w:val="20"/>
                <w:highlight w:val="none"/>
              </w:rPr>
              <w:t>输入电压范围</w:t>
            </w:r>
            <w:r>
              <w:rPr>
                <w:rFonts w:cs="Times New Roman" w:asciiTheme="minorEastAsia" w:hAnsiTheme="minorEastAsia" w:eastAsiaTheme="minorEastAsia"/>
                <w:b w:val="0"/>
                <w:bCs w:val="0"/>
                <w:color w:val="auto"/>
                <w:kern w:val="2"/>
                <w:sz w:val="20"/>
                <w:szCs w:val="20"/>
                <w:highlight w:val="none"/>
              </w:rPr>
              <w:t xml:space="preserve"> 85</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264VAC/120</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370VDC</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2</w:t>
            </w:r>
            <w:r>
              <w:rPr>
                <w:rFonts w:hint="eastAsia" w:cs="Times New Roman" w:asciiTheme="minorEastAsia" w:hAnsiTheme="minorEastAsia" w:eastAsiaTheme="minorEastAsia"/>
                <w:b w:val="0"/>
                <w:bCs w:val="0"/>
                <w:color w:val="auto"/>
                <w:kern w:val="2"/>
                <w:sz w:val="20"/>
                <w:szCs w:val="20"/>
                <w:highlight w:val="none"/>
              </w:rPr>
              <w:t>、输入浪涌电流</w:t>
            </w:r>
            <w:r>
              <w:rPr>
                <w:rFonts w:cs="Times New Roman" w:asciiTheme="minorEastAsia" w:hAnsiTheme="minorEastAsia" w:eastAsiaTheme="minorEastAsia"/>
                <w:b w:val="0"/>
                <w:bCs w:val="0"/>
                <w:color w:val="auto"/>
                <w:kern w:val="2"/>
                <w:sz w:val="20"/>
                <w:szCs w:val="20"/>
                <w:highlight w:val="none"/>
              </w:rPr>
              <w:t xml:space="preserve"> </w:t>
            </w:r>
            <w:r>
              <w:rPr>
                <w:rFonts w:hint="eastAsia" w:cs="Times New Roman" w:asciiTheme="minorEastAsia" w:hAnsiTheme="minorEastAsia" w:eastAsiaTheme="minorEastAsia"/>
                <w:b w:val="0"/>
                <w:bCs w:val="0"/>
                <w:color w:val="auto"/>
                <w:kern w:val="2"/>
                <w:sz w:val="20"/>
                <w:szCs w:val="20"/>
                <w:highlight w:val="none"/>
              </w:rPr>
              <w:t>冷启动</w:t>
            </w:r>
            <w:r>
              <w:rPr>
                <w:rFonts w:cs="Times New Roman" w:asciiTheme="minorEastAsia" w:hAnsiTheme="minorEastAsia" w:eastAsiaTheme="minorEastAsia"/>
                <w:b w:val="0"/>
                <w:bCs w:val="0"/>
                <w:color w:val="auto"/>
                <w:kern w:val="2"/>
                <w:sz w:val="20"/>
                <w:szCs w:val="20"/>
                <w:highlight w:val="none"/>
              </w:rPr>
              <w:t>, 115V</w:t>
            </w:r>
            <w:r>
              <w:rPr>
                <w:rFonts w:hint="eastAsia" w:cs="Times New Roman" w:asciiTheme="minorEastAsia" w:hAnsiTheme="minorEastAsia" w:eastAsiaTheme="minorEastAsia"/>
                <w:b w:val="0"/>
                <w:bCs w:val="0"/>
                <w:color w:val="auto"/>
                <w:kern w:val="2"/>
                <w:sz w:val="20"/>
                <w:szCs w:val="20"/>
                <w:highlight w:val="none"/>
              </w:rPr>
              <w:t>时为</w:t>
            </w:r>
            <w:r>
              <w:rPr>
                <w:rFonts w:cs="Times New Roman" w:asciiTheme="minorEastAsia" w:hAnsiTheme="minorEastAsia" w:eastAsiaTheme="minorEastAsia"/>
                <w:b w:val="0"/>
                <w:bCs w:val="0"/>
                <w:color w:val="auto"/>
                <w:kern w:val="2"/>
                <w:sz w:val="20"/>
                <w:szCs w:val="20"/>
                <w:highlight w:val="none"/>
              </w:rPr>
              <w:t>30A, 230V</w:t>
            </w:r>
            <w:r>
              <w:rPr>
                <w:rFonts w:hint="eastAsia" w:cs="Times New Roman" w:asciiTheme="minorEastAsia" w:hAnsiTheme="minorEastAsia" w:eastAsiaTheme="minorEastAsia"/>
                <w:b w:val="0"/>
                <w:bCs w:val="0"/>
                <w:color w:val="auto"/>
                <w:kern w:val="2"/>
                <w:sz w:val="20"/>
                <w:szCs w:val="20"/>
                <w:highlight w:val="none"/>
              </w:rPr>
              <w:t>时为</w:t>
            </w:r>
            <w:r>
              <w:rPr>
                <w:rFonts w:cs="Times New Roman" w:asciiTheme="minorEastAsia" w:hAnsiTheme="minorEastAsia" w:eastAsiaTheme="minorEastAsia"/>
                <w:b w:val="0"/>
                <w:bCs w:val="0"/>
                <w:color w:val="auto"/>
                <w:kern w:val="2"/>
                <w:sz w:val="20"/>
                <w:szCs w:val="20"/>
                <w:highlight w:val="none"/>
              </w:rPr>
              <w:t>60A</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3</w:t>
            </w:r>
            <w:r>
              <w:rPr>
                <w:rFonts w:hint="eastAsia" w:cs="Times New Roman" w:asciiTheme="minorEastAsia" w:hAnsiTheme="minorEastAsia" w:eastAsiaTheme="minorEastAsia"/>
                <w:b w:val="0"/>
                <w:bCs w:val="0"/>
                <w:color w:val="auto"/>
                <w:kern w:val="2"/>
                <w:sz w:val="20"/>
                <w:szCs w:val="20"/>
                <w:highlight w:val="none"/>
              </w:rPr>
              <w:t>、漏电流</w:t>
            </w:r>
            <w:r>
              <w:rPr>
                <w:rFonts w:cs="Times New Roman" w:asciiTheme="minorEastAsia" w:hAnsiTheme="minorEastAsia" w:eastAsiaTheme="minorEastAsia"/>
                <w:b w:val="0"/>
                <w:bCs w:val="0"/>
                <w:color w:val="auto"/>
                <w:kern w:val="2"/>
                <w:sz w:val="20"/>
                <w:szCs w:val="20"/>
                <w:highlight w:val="none"/>
              </w:rPr>
              <w:t xml:space="preserve"> &lt;0.25mA / 240VAC</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4</w:t>
            </w:r>
            <w:r>
              <w:rPr>
                <w:rFonts w:hint="eastAsia" w:cs="Times New Roman" w:asciiTheme="minorEastAsia" w:hAnsiTheme="minorEastAsia" w:eastAsiaTheme="minorEastAsia"/>
                <w:b w:val="0"/>
                <w:bCs w:val="0"/>
                <w:color w:val="auto"/>
                <w:kern w:val="2"/>
                <w:sz w:val="20"/>
                <w:szCs w:val="20"/>
                <w:highlight w:val="none"/>
              </w:rPr>
              <w:t>、过载保护过电流点在</w:t>
            </w:r>
            <w:r>
              <w:rPr>
                <w:rFonts w:cs="Times New Roman" w:asciiTheme="minorEastAsia" w:hAnsiTheme="minorEastAsia" w:eastAsiaTheme="minorEastAsia"/>
                <w:b w:val="0"/>
                <w:bCs w:val="0"/>
                <w:color w:val="auto"/>
                <w:kern w:val="2"/>
                <w:sz w:val="20"/>
                <w:szCs w:val="20"/>
                <w:highlight w:val="none"/>
              </w:rPr>
              <w:t>115%</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160%</w:t>
            </w:r>
            <w:r>
              <w:rPr>
                <w:rFonts w:hint="eastAsia" w:cs="Times New Roman" w:asciiTheme="minorEastAsia" w:hAnsiTheme="minorEastAsia" w:eastAsiaTheme="minorEastAsia"/>
                <w:b w:val="0"/>
                <w:bCs w:val="0"/>
                <w:color w:val="auto"/>
                <w:kern w:val="2"/>
                <w:sz w:val="20"/>
                <w:szCs w:val="20"/>
                <w:highlight w:val="none"/>
              </w:rPr>
              <w:t>，自动检测</w:t>
            </w:r>
            <w:r>
              <w:rPr>
                <w:rFonts w:cs="Times New Roman" w:asciiTheme="minorEastAsia" w:hAnsiTheme="minorEastAsia" w:eastAsiaTheme="minorEastAsia"/>
                <w:b w:val="0"/>
                <w:bCs w:val="0"/>
                <w:color w:val="auto"/>
                <w:kern w:val="2"/>
                <w:sz w:val="20"/>
                <w:szCs w:val="20"/>
                <w:highlight w:val="none"/>
              </w:rPr>
              <w:t>,</w:t>
            </w:r>
            <w:r>
              <w:rPr>
                <w:rFonts w:hint="eastAsia" w:cs="Times New Roman" w:asciiTheme="minorEastAsia" w:hAnsiTheme="minorEastAsia" w:eastAsiaTheme="minorEastAsia"/>
                <w:b w:val="0"/>
                <w:bCs w:val="0"/>
                <w:color w:val="auto"/>
                <w:kern w:val="2"/>
                <w:sz w:val="20"/>
                <w:szCs w:val="20"/>
                <w:highlight w:val="none"/>
              </w:rPr>
              <w:t>自动复原</w:t>
            </w:r>
          </w:p>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5</w:t>
            </w:r>
            <w:r>
              <w:rPr>
                <w:rFonts w:hint="eastAsia" w:cs="Times New Roman" w:asciiTheme="minorEastAsia" w:hAnsiTheme="minorEastAsia" w:eastAsiaTheme="minorEastAsia"/>
                <w:b w:val="0"/>
                <w:bCs w:val="0"/>
                <w:color w:val="auto"/>
                <w:kern w:val="2"/>
                <w:sz w:val="20"/>
                <w:szCs w:val="20"/>
                <w:highlight w:val="none"/>
              </w:rPr>
              <w:t>、过电压保护</w:t>
            </w:r>
            <w:r>
              <w:rPr>
                <w:rFonts w:cs="Times New Roman" w:asciiTheme="minorEastAsia" w:hAnsiTheme="minorEastAsia" w:eastAsiaTheme="minorEastAsia"/>
                <w:b w:val="0"/>
                <w:bCs w:val="0"/>
                <w:color w:val="auto"/>
                <w:kern w:val="2"/>
                <w:sz w:val="20"/>
                <w:szCs w:val="20"/>
                <w:highlight w:val="none"/>
              </w:rPr>
              <w:t xml:space="preserve"> 5.25</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6.75V</w:t>
            </w:r>
            <w:r>
              <w:rPr>
                <w:rFonts w:hint="eastAsia" w:cs="Times New Roman" w:asciiTheme="minorEastAsia" w:hAnsiTheme="minorEastAsia" w:eastAsiaTheme="minorEastAsia"/>
                <w:b w:val="0"/>
                <w:bCs w:val="0"/>
                <w:color w:val="auto"/>
                <w:kern w:val="2"/>
                <w:sz w:val="20"/>
                <w:szCs w:val="20"/>
                <w:highlight w:val="none"/>
              </w:rPr>
              <w:t>时关断输出电压</w:t>
            </w:r>
            <w:r>
              <w:rPr>
                <w:rFonts w:cs="Times New Roman" w:asciiTheme="minorEastAsia" w:hAnsiTheme="minorEastAsia" w:eastAsiaTheme="minorEastAsia"/>
                <w:b w:val="0"/>
                <w:bCs w:val="0"/>
                <w:color w:val="auto"/>
                <w:kern w:val="2"/>
                <w:sz w:val="20"/>
                <w:szCs w:val="20"/>
                <w:highlight w:val="none"/>
              </w:rPr>
              <w:t>,</w:t>
            </w:r>
            <w:r>
              <w:rPr>
                <w:rFonts w:hint="eastAsia" w:cs="Times New Roman" w:asciiTheme="minorEastAsia" w:hAnsiTheme="minorEastAsia" w:eastAsiaTheme="minorEastAsia"/>
                <w:b w:val="0"/>
                <w:bCs w:val="0"/>
                <w:color w:val="auto"/>
                <w:kern w:val="2"/>
                <w:sz w:val="20"/>
                <w:szCs w:val="20"/>
                <w:highlight w:val="none"/>
              </w:rPr>
              <w:t>二极管箝位</w:t>
            </w:r>
          </w:p>
          <w:p>
            <w:pPr>
              <w:spacing w:after="0" w:afterLines="-2147483648" w:line="380" w:lineRule="exact"/>
              <w:rPr>
                <w:rFonts w:asciiTheme="majorEastAsia" w:hAnsiTheme="majorEastAsia" w:eastAsiaTheme="majorEastAsia" w:cstheme="majorEastAsia"/>
                <w:b w:val="0"/>
                <w:bCs w:val="0"/>
                <w:color w:val="auto"/>
                <w:sz w:val="20"/>
                <w:szCs w:val="20"/>
                <w:highlight w:val="none"/>
              </w:rPr>
            </w:pPr>
            <w:r>
              <w:rPr>
                <w:rFonts w:cs="Times New Roman" w:asciiTheme="minorEastAsia" w:hAnsiTheme="minorEastAsia" w:eastAsiaTheme="minorEastAsia"/>
                <w:b w:val="0"/>
                <w:bCs w:val="0"/>
                <w:color w:val="auto"/>
                <w:kern w:val="2"/>
                <w:sz w:val="20"/>
                <w:szCs w:val="20"/>
                <w:highlight w:val="none"/>
              </w:rPr>
              <w:t>6</w:t>
            </w:r>
            <w:r>
              <w:rPr>
                <w:rFonts w:hint="eastAsia" w:cs="Times New Roman" w:asciiTheme="minorEastAsia" w:hAnsiTheme="minorEastAsia" w:eastAsiaTheme="minorEastAsia"/>
                <w:b w:val="0"/>
                <w:bCs w:val="0"/>
                <w:color w:val="auto"/>
                <w:kern w:val="2"/>
                <w:sz w:val="20"/>
                <w:szCs w:val="20"/>
                <w:highlight w:val="none"/>
              </w:rPr>
              <w:t>、启动</w:t>
            </w:r>
            <w:r>
              <w:rPr>
                <w:rFonts w:cs="Times New Roman" w:asciiTheme="minorEastAsia" w:hAnsiTheme="minorEastAsia" w:eastAsiaTheme="minorEastAsia"/>
                <w:b w:val="0"/>
                <w:bCs w:val="0"/>
                <w:color w:val="auto"/>
                <w:kern w:val="2"/>
                <w:sz w:val="20"/>
                <w:szCs w:val="20"/>
                <w:highlight w:val="none"/>
              </w:rPr>
              <w:t>,</w:t>
            </w:r>
            <w:r>
              <w:rPr>
                <w:rFonts w:hint="eastAsia" w:cs="Times New Roman" w:asciiTheme="minorEastAsia" w:hAnsiTheme="minorEastAsia" w:eastAsiaTheme="minorEastAsia"/>
                <w:b w:val="0"/>
                <w:bCs w:val="0"/>
                <w:color w:val="auto"/>
                <w:kern w:val="2"/>
                <w:sz w:val="20"/>
                <w:szCs w:val="20"/>
                <w:highlight w:val="none"/>
              </w:rPr>
              <w:t>上升保持时间</w:t>
            </w:r>
            <w:r>
              <w:rPr>
                <w:rFonts w:cs="Times New Roman" w:asciiTheme="minorEastAsia" w:hAnsiTheme="minorEastAsia" w:eastAsiaTheme="minorEastAsia"/>
                <w:b w:val="0"/>
                <w:bCs w:val="0"/>
                <w:color w:val="auto"/>
                <w:kern w:val="2"/>
                <w:sz w:val="20"/>
                <w:szCs w:val="20"/>
                <w:highlight w:val="none"/>
              </w:rPr>
              <w:t xml:space="preserve"> 230VAC</w:t>
            </w:r>
            <w:r>
              <w:rPr>
                <w:rFonts w:hint="eastAsia" w:cs="Times New Roman" w:asciiTheme="minorEastAsia" w:hAnsiTheme="minorEastAsia" w:eastAsiaTheme="minorEastAsia"/>
                <w:b w:val="0"/>
                <w:bCs w:val="0"/>
                <w:color w:val="auto"/>
                <w:kern w:val="2"/>
                <w:sz w:val="20"/>
                <w:szCs w:val="20"/>
                <w:highlight w:val="none"/>
              </w:rPr>
              <w:t>满载时</w:t>
            </w:r>
            <w:r>
              <w:rPr>
                <w:rFonts w:cs="Times New Roman" w:asciiTheme="minorEastAsia" w:hAnsiTheme="minorEastAsia" w:eastAsiaTheme="minorEastAsia"/>
                <w:b w:val="0"/>
                <w:bCs w:val="0"/>
                <w:color w:val="auto"/>
                <w:kern w:val="2"/>
                <w:sz w:val="20"/>
                <w:szCs w:val="20"/>
                <w:highlight w:val="none"/>
              </w:rPr>
              <w:t>1000ms,30ms,50ms,</w:t>
            </w:r>
            <w:r>
              <w:rPr>
                <w:rFonts w:hint="eastAsia" w:cs="Times New Roman" w:asciiTheme="minorEastAsia" w:hAnsiTheme="minorEastAsia" w:eastAsiaTheme="minorEastAsia"/>
                <w:b w:val="0"/>
                <w:bCs w:val="0"/>
                <w:color w:val="auto"/>
                <w:kern w:val="2"/>
                <w:sz w:val="20"/>
                <w:szCs w:val="20"/>
                <w:highlight w:val="none"/>
              </w:rPr>
              <w:t>防护等级</w:t>
            </w:r>
            <w:r>
              <w:rPr>
                <w:rFonts w:cs="Times New Roman" w:asciiTheme="minorEastAsia" w:hAnsiTheme="minorEastAsia" w:eastAsiaTheme="minorEastAsia"/>
                <w:b w:val="0"/>
                <w:bCs w:val="0"/>
                <w:color w:val="auto"/>
                <w:kern w:val="2"/>
                <w:sz w:val="20"/>
                <w:szCs w:val="20"/>
                <w:highlight w:val="none"/>
              </w:rPr>
              <w:t>IP30,</w:t>
            </w:r>
            <w:r>
              <w:rPr>
                <w:rFonts w:hint="eastAsia" w:cs="Times New Roman" w:asciiTheme="minorEastAsia" w:hAnsiTheme="minorEastAsia" w:eastAsiaTheme="minorEastAsia"/>
                <w:b w:val="0"/>
                <w:bCs w:val="0"/>
                <w:color w:val="auto"/>
                <w:kern w:val="2"/>
                <w:sz w:val="20"/>
                <w:szCs w:val="20"/>
                <w:highlight w:val="none"/>
              </w:rPr>
              <w:t>环境温度</w:t>
            </w:r>
            <w:r>
              <w:rPr>
                <w:rFonts w:cs="Times New Roman" w:asciiTheme="minorEastAsia" w:hAnsiTheme="minorEastAsia" w:eastAsiaTheme="minorEastAsia"/>
                <w:b w:val="0"/>
                <w:bCs w:val="0"/>
                <w:color w:val="auto"/>
                <w:kern w:val="2"/>
                <w:sz w:val="20"/>
                <w:szCs w:val="20"/>
                <w:highlight w:val="none"/>
              </w:rPr>
              <w:t>-40</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85</w:t>
            </w:r>
            <w:r>
              <w:rPr>
                <w:rFonts w:hint="eastAsia" w:cs="Times New Roman" w:asciiTheme="minorEastAsia" w:hAnsiTheme="minorEastAsia" w:eastAsiaTheme="minorEastAsia"/>
                <w:b w:val="0"/>
                <w:bCs w:val="0"/>
                <w:color w:val="auto"/>
                <w:kern w:val="2"/>
                <w:sz w:val="20"/>
                <w:szCs w:val="20"/>
                <w:highlight w:val="none"/>
              </w:rPr>
              <w:t>°，相对湿度＜</w:t>
            </w:r>
            <w:r>
              <w:rPr>
                <w:rFonts w:cs="Times New Roman" w:asciiTheme="minorEastAsia" w:hAnsiTheme="minorEastAsia" w:eastAsiaTheme="minorEastAsia"/>
                <w:b w:val="0"/>
                <w:bCs w:val="0"/>
                <w:color w:val="auto"/>
                <w:kern w:val="2"/>
                <w:sz w:val="20"/>
                <w:szCs w:val="20"/>
                <w:highlight w:val="none"/>
              </w:rPr>
              <w:t>95%</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7</w:t>
            </w:r>
            <w:r>
              <w:rPr>
                <w:rFonts w:hint="eastAsia" w:asciiTheme="majorEastAsia" w:hAnsiTheme="majorEastAsia" w:eastAsiaTheme="majorEastAsia" w:cstheme="majorEastAsia"/>
                <w:b w:val="0"/>
                <w:bCs w:val="0"/>
                <w:color w:val="auto"/>
                <w:sz w:val="20"/>
                <w:szCs w:val="20"/>
                <w:highlight w:val="none"/>
                <w:lang w:bidi="ar"/>
              </w:rPr>
              <w:t>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400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10</w:t>
            </w:r>
          </w:p>
        </w:tc>
        <w:tc>
          <w:tcPr>
            <w:tcW w:w="0" w:type="auto"/>
            <w:gridSpan w:val="3"/>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hint="eastAsia" w:asciiTheme="majorEastAsia" w:hAnsiTheme="majorEastAsia" w:eastAsiaTheme="majorEastAsia" w:cstheme="majorEastAsia"/>
                <w:b w:val="0"/>
                <w:bCs w:val="0"/>
                <w:color w:val="auto"/>
                <w:sz w:val="20"/>
                <w:szCs w:val="20"/>
                <w:highlight w:val="none"/>
                <w:lang w:bidi="ar"/>
              </w:rPr>
              <w:t>设备箱</w:t>
            </w:r>
          </w:p>
        </w:tc>
        <w:tc>
          <w:tcPr>
            <w:tcW w:w="0" w:type="auto"/>
            <w:vAlign w:val="center"/>
          </w:tcPr>
          <w:p>
            <w:pPr>
              <w:numPr>
                <w:ilvl w:val="0"/>
                <w:numId w:val="0"/>
              </w:numPr>
              <w:spacing w:after="0" w:afterLines="-2147483648" w:line="380" w:lineRule="exact"/>
              <w:jc w:val="lef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lang w:val="en-US" w:eastAsia="zh-CN"/>
              </w:rPr>
              <w:t>1、</w:t>
            </w:r>
            <w:r>
              <w:rPr>
                <w:rFonts w:hint="eastAsia" w:cs="Times New Roman" w:asciiTheme="minorEastAsia" w:hAnsiTheme="minorEastAsia" w:eastAsiaTheme="minorEastAsia"/>
                <w:b w:val="0"/>
                <w:bCs w:val="0"/>
                <w:color w:val="auto"/>
                <w:kern w:val="2"/>
                <w:sz w:val="20"/>
                <w:szCs w:val="20"/>
                <w:highlight w:val="none"/>
              </w:rPr>
              <w:t>不锈钢材质，表面喷塑处理；</w:t>
            </w:r>
            <w:r>
              <w:rPr>
                <w:rFonts w:cs="Times New Roman" w:asciiTheme="minorEastAsia" w:hAnsiTheme="minorEastAsia" w:eastAsiaTheme="minorEastAsia"/>
                <w:b w:val="0"/>
                <w:bCs w:val="0"/>
                <w:color w:val="auto"/>
                <w:kern w:val="2"/>
                <w:sz w:val="20"/>
                <w:szCs w:val="20"/>
                <w:highlight w:val="none"/>
              </w:rPr>
              <w:t xml:space="preserve"> </w:t>
            </w:r>
          </w:p>
          <w:p>
            <w:pPr>
              <w:spacing w:after="0" w:afterLines="-2147483648" w:line="380" w:lineRule="exact"/>
              <w:jc w:val="lef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2</w:t>
            </w:r>
            <w:r>
              <w:rPr>
                <w:rFonts w:hint="eastAsia" w:cs="Times New Roman" w:asciiTheme="minorEastAsia" w:hAnsiTheme="minorEastAsia" w:eastAsiaTheme="minorEastAsia"/>
                <w:b w:val="0"/>
                <w:bCs w:val="0"/>
                <w:color w:val="auto"/>
                <w:kern w:val="2"/>
                <w:sz w:val="20"/>
                <w:szCs w:val="20"/>
                <w:highlight w:val="none"/>
              </w:rPr>
              <w:t>、设置散热孔；</w:t>
            </w:r>
          </w:p>
          <w:p>
            <w:pPr>
              <w:spacing w:after="0" w:afterLines="-2147483648" w:line="380" w:lineRule="exact"/>
              <w:jc w:val="lef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3</w:t>
            </w:r>
            <w:r>
              <w:rPr>
                <w:rFonts w:hint="eastAsia" w:cs="Times New Roman" w:asciiTheme="minorEastAsia" w:hAnsiTheme="minorEastAsia" w:eastAsiaTheme="minorEastAsia"/>
                <w:b w:val="0"/>
                <w:bCs w:val="0"/>
                <w:color w:val="auto"/>
                <w:kern w:val="2"/>
                <w:sz w:val="20"/>
                <w:szCs w:val="20"/>
                <w:highlight w:val="none"/>
              </w:rPr>
              <w:t>、箱锁采用十字钥匙孔锁；</w:t>
            </w:r>
          </w:p>
          <w:p>
            <w:pPr>
              <w:spacing w:after="0" w:afterLines="-2147483648" w:line="380" w:lineRule="exact"/>
              <w:jc w:val="left"/>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rPr>
              <w:t>4</w:t>
            </w:r>
            <w:r>
              <w:rPr>
                <w:rFonts w:hint="eastAsia" w:cs="Times New Roman" w:asciiTheme="minorEastAsia" w:hAnsiTheme="minorEastAsia" w:eastAsiaTheme="minorEastAsia"/>
                <w:b w:val="0"/>
                <w:bCs w:val="0"/>
                <w:color w:val="auto"/>
                <w:kern w:val="2"/>
                <w:sz w:val="20"/>
                <w:szCs w:val="20"/>
                <w:highlight w:val="none"/>
              </w:rPr>
              <w:t>、整体防雨。不低于</w:t>
            </w:r>
            <w:r>
              <w:rPr>
                <w:rFonts w:cs="Times New Roman" w:asciiTheme="minorEastAsia" w:hAnsiTheme="minorEastAsia" w:eastAsiaTheme="minorEastAsia"/>
                <w:b w:val="0"/>
                <w:bCs w:val="0"/>
                <w:color w:val="auto"/>
                <w:kern w:val="2"/>
                <w:sz w:val="20"/>
                <w:szCs w:val="20"/>
                <w:highlight w:val="none"/>
              </w:rPr>
              <w:t>1mm</w:t>
            </w:r>
            <w:r>
              <w:rPr>
                <w:rFonts w:hint="eastAsia" w:cs="Times New Roman" w:asciiTheme="minorEastAsia" w:hAnsiTheme="minorEastAsia" w:eastAsiaTheme="minorEastAsia"/>
                <w:b w:val="0"/>
                <w:bCs w:val="0"/>
                <w:color w:val="auto"/>
                <w:kern w:val="2"/>
                <w:sz w:val="20"/>
                <w:szCs w:val="20"/>
                <w:highlight w:val="none"/>
              </w:rPr>
              <w:t>厚不锈钢设备箱（长</w:t>
            </w:r>
            <w:r>
              <w:rPr>
                <w:rFonts w:cs="Times New Roman" w:asciiTheme="minorEastAsia" w:hAnsiTheme="minorEastAsia" w:eastAsiaTheme="minorEastAsia"/>
                <w:b w:val="0"/>
                <w:bCs w:val="0"/>
                <w:color w:val="auto"/>
                <w:kern w:val="2"/>
                <w:sz w:val="20"/>
                <w:szCs w:val="20"/>
                <w:highlight w:val="none"/>
              </w:rPr>
              <w:t>*</w:t>
            </w:r>
            <w:r>
              <w:rPr>
                <w:rFonts w:hint="eastAsia" w:cs="Times New Roman" w:asciiTheme="minorEastAsia" w:hAnsiTheme="minorEastAsia" w:eastAsiaTheme="minorEastAsia"/>
                <w:b w:val="0"/>
                <w:bCs w:val="0"/>
                <w:color w:val="auto"/>
                <w:kern w:val="2"/>
                <w:sz w:val="20"/>
                <w:szCs w:val="20"/>
                <w:highlight w:val="none"/>
              </w:rPr>
              <w:t>宽</w:t>
            </w:r>
            <w:r>
              <w:rPr>
                <w:rFonts w:cs="Times New Roman" w:asciiTheme="minorEastAsia" w:hAnsiTheme="minorEastAsia" w:eastAsiaTheme="minorEastAsia"/>
                <w:b w:val="0"/>
                <w:bCs w:val="0"/>
                <w:color w:val="auto"/>
                <w:kern w:val="2"/>
                <w:sz w:val="20"/>
                <w:szCs w:val="20"/>
                <w:highlight w:val="none"/>
              </w:rPr>
              <w:t>*</w:t>
            </w:r>
            <w:r>
              <w:rPr>
                <w:rFonts w:hint="eastAsia" w:cs="Times New Roman" w:asciiTheme="minorEastAsia" w:hAnsiTheme="minorEastAsia" w:eastAsiaTheme="minorEastAsia"/>
                <w:b w:val="0"/>
                <w:bCs w:val="0"/>
                <w:color w:val="auto"/>
                <w:kern w:val="2"/>
                <w:sz w:val="20"/>
                <w:szCs w:val="20"/>
                <w:highlight w:val="none"/>
              </w:rPr>
              <w:t>深</w:t>
            </w:r>
            <w:r>
              <w:rPr>
                <w:rFonts w:cs="Times New Roman" w:asciiTheme="minorEastAsia" w:hAnsiTheme="minorEastAsia" w:eastAsiaTheme="minorEastAsia"/>
                <w:b w:val="0"/>
                <w:bCs w:val="0"/>
                <w:color w:val="auto"/>
                <w:kern w:val="2"/>
                <w:sz w:val="20"/>
                <w:szCs w:val="20"/>
                <w:highlight w:val="none"/>
              </w:rPr>
              <w:t>=450mm*450mm*320mm</w:t>
            </w:r>
            <w:r>
              <w:rPr>
                <w:rFonts w:hint="eastAsia" w:cs="Times New Roman" w:asciiTheme="minorEastAsia" w:hAnsiTheme="minorEastAsia" w:eastAsiaTheme="minorEastAsia"/>
                <w:b w:val="0"/>
                <w:bCs w:val="0"/>
                <w:color w:val="auto"/>
                <w:kern w:val="2"/>
                <w:sz w:val="20"/>
                <w:szCs w:val="20"/>
                <w:highlight w:val="none"/>
              </w:rPr>
              <w:t>）</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7</w:t>
            </w:r>
            <w:r>
              <w:rPr>
                <w:rFonts w:hint="eastAsia" w:asciiTheme="majorEastAsia" w:hAnsiTheme="majorEastAsia" w:eastAsiaTheme="majorEastAsia" w:cstheme="majorEastAsia"/>
                <w:b w:val="0"/>
                <w:bCs w:val="0"/>
                <w:color w:val="auto"/>
                <w:sz w:val="20"/>
                <w:szCs w:val="20"/>
                <w:highlight w:val="none"/>
                <w:lang w:bidi="ar"/>
              </w:rPr>
              <w:t>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1500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11</w:t>
            </w:r>
          </w:p>
        </w:tc>
        <w:tc>
          <w:tcPr>
            <w:tcW w:w="0" w:type="auto"/>
            <w:gridSpan w:val="3"/>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hint="eastAsia" w:asciiTheme="majorEastAsia" w:hAnsiTheme="majorEastAsia" w:eastAsiaTheme="majorEastAsia" w:cstheme="majorEastAsia"/>
                <w:b w:val="0"/>
                <w:bCs w:val="0"/>
                <w:color w:val="auto"/>
                <w:sz w:val="20"/>
                <w:szCs w:val="20"/>
                <w:highlight w:val="none"/>
                <w:lang w:bidi="ar"/>
              </w:rPr>
              <w:t>立杆及安装</w:t>
            </w:r>
          </w:p>
        </w:tc>
        <w:tc>
          <w:tcPr>
            <w:tcW w:w="0" w:type="auto"/>
            <w:vAlign w:val="center"/>
          </w:tcPr>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热镀锌钢管立杆（</w:t>
            </w:r>
            <w:r>
              <w:rPr>
                <w:rFonts w:cs="Times New Roman" w:asciiTheme="minorEastAsia" w:hAnsiTheme="minorEastAsia" w:eastAsiaTheme="minorEastAsia"/>
                <w:b w:val="0"/>
                <w:bCs w:val="0"/>
                <w:color w:val="auto"/>
                <w:kern w:val="2"/>
                <w:sz w:val="20"/>
                <w:szCs w:val="20"/>
                <w:highlight w:val="none"/>
              </w:rPr>
              <w:t>h=43500mm</w:t>
            </w:r>
            <w:r>
              <w:rPr>
                <w:rFonts w:hint="eastAsia" w:cs="Times New Roman" w:asciiTheme="minorEastAsia" w:hAnsiTheme="minorEastAsia" w:eastAsiaTheme="minorEastAsia"/>
                <w:b w:val="0"/>
                <w:bCs w:val="0"/>
                <w:color w:val="auto"/>
                <w:kern w:val="2"/>
                <w:sz w:val="20"/>
                <w:szCs w:val="20"/>
                <w:highlight w:val="none"/>
              </w:rPr>
              <w:t>，Φ</w:t>
            </w:r>
            <w:r>
              <w:rPr>
                <w:rFonts w:cs="Times New Roman" w:asciiTheme="minorEastAsia" w:hAnsiTheme="minorEastAsia" w:eastAsiaTheme="minorEastAsia"/>
                <w:b w:val="0"/>
                <w:bCs w:val="0"/>
                <w:color w:val="auto"/>
                <w:kern w:val="2"/>
                <w:sz w:val="20"/>
                <w:szCs w:val="20"/>
                <w:highlight w:val="none"/>
              </w:rPr>
              <w:t>=110mm),</w:t>
            </w:r>
            <w:r>
              <w:rPr>
                <w:rFonts w:hint="eastAsia" w:cs="Times New Roman" w:asciiTheme="minorEastAsia" w:hAnsiTheme="minorEastAsia" w:eastAsiaTheme="minorEastAsia"/>
                <w:b w:val="0"/>
                <w:bCs w:val="0"/>
                <w:color w:val="auto"/>
                <w:kern w:val="2"/>
                <w:sz w:val="20"/>
                <w:szCs w:val="20"/>
                <w:highlight w:val="none"/>
              </w:rPr>
              <w:t>视频支架、地笼。</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7</w:t>
            </w:r>
            <w:r>
              <w:rPr>
                <w:rFonts w:hint="eastAsia" w:asciiTheme="majorEastAsia" w:hAnsiTheme="majorEastAsia" w:eastAsiaTheme="majorEastAsia" w:cstheme="majorEastAsia"/>
                <w:b w:val="0"/>
                <w:bCs w:val="0"/>
                <w:color w:val="auto"/>
                <w:sz w:val="20"/>
                <w:szCs w:val="20"/>
                <w:highlight w:val="none"/>
                <w:lang w:bidi="ar"/>
              </w:rPr>
              <w:t>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4350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30450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12</w:t>
            </w:r>
          </w:p>
        </w:tc>
        <w:tc>
          <w:tcPr>
            <w:tcW w:w="0" w:type="auto"/>
            <w:gridSpan w:val="3"/>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3</w:t>
            </w:r>
            <w:r>
              <w:rPr>
                <w:rFonts w:hint="eastAsia" w:asciiTheme="majorEastAsia" w:hAnsiTheme="majorEastAsia" w:eastAsiaTheme="majorEastAsia" w:cstheme="majorEastAsia"/>
                <w:b w:val="0"/>
                <w:bCs w:val="0"/>
                <w:color w:val="auto"/>
                <w:sz w:val="20"/>
                <w:szCs w:val="20"/>
                <w:highlight w:val="none"/>
                <w:lang w:bidi="ar"/>
              </w:rPr>
              <w:t>年通讯费</w:t>
            </w:r>
          </w:p>
        </w:tc>
        <w:tc>
          <w:tcPr>
            <w:tcW w:w="0" w:type="auto"/>
            <w:vAlign w:val="center"/>
          </w:tcPr>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数据传输的网络通讯费。根据实地环境情况采用移动、电信、联通的无线</w:t>
            </w:r>
            <w:r>
              <w:rPr>
                <w:rFonts w:cs="Times New Roman" w:asciiTheme="minorEastAsia" w:hAnsiTheme="minorEastAsia" w:eastAsiaTheme="minorEastAsia"/>
                <w:b w:val="0"/>
                <w:bCs w:val="0"/>
                <w:color w:val="auto"/>
                <w:kern w:val="2"/>
                <w:sz w:val="20"/>
                <w:szCs w:val="20"/>
                <w:highlight w:val="none"/>
              </w:rPr>
              <w:t>4G/5G</w:t>
            </w:r>
            <w:r>
              <w:rPr>
                <w:rFonts w:hint="eastAsia" w:cs="Times New Roman" w:asciiTheme="minorEastAsia" w:hAnsiTheme="minorEastAsia" w:eastAsiaTheme="minorEastAsia"/>
                <w:b w:val="0"/>
                <w:bCs w:val="0"/>
                <w:color w:val="auto"/>
                <w:kern w:val="2"/>
                <w:sz w:val="20"/>
                <w:szCs w:val="20"/>
                <w:highlight w:val="none"/>
              </w:rPr>
              <w:t>网络</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7</w:t>
            </w:r>
            <w:r>
              <w:rPr>
                <w:rFonts w:hint="eastAsia" w:asciiTheme="majorEastAsia" w:hAnsiTheme="majorEastAsia" w:eastAsiaTheme="majorEastAsia" w:cstheme="majorEastAsia"/>
                <w:b w:val="0"/>
                <w:bCs w:val="0"/>
                <w:color w:val="auto"/>
                <w:sz w:val="20"/>
                <w:szCs w:val="20"/>
                <w:highlight w:val="none"/>
                <w:lang w:bidi="ar"/>
              </w:rPr>
              <w:t>项</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2000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13</w:t>
            </w:r>
          </w:p>
        </w:tc>
        <w:tc>
          <w:tcPr>
            <w:tcW w:w="0" w:type="auto"/>
            <w:gridSpan w:val="3"/>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hint="eastAsia" w:asciiTheme="majorEastAsia" w:hAnsiTheme="majorEastAsia" w:eastAsiaTheme="majorEastAsia" w:cstheme="majorEastAsia"/>
                <w:b w:val="0"/>
                <w:bCs w:val="0"/>
                <w:color w:val="auto"/>
                <w:sz w:val="20"/>
                <w:szCs w:val="20"/>
                <w:highlight w:val="none"/>
                <w:lang w:bidi="ar"/>
              </w:rPr>
              <w:t>辅材</w:t>
            </w:r>
          </w:p>
        </w:tc>
        <w:tc>
          <w:tcPr>
            <w:tcW w:w="0" w:type="auto"/>
            <w:vAlign w:val="center"/>
          </w:tcPr>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辅材（含空开、电表、插座、线缆、膨胀螺丝、胶布、扎带、网线、混凝土固定墩子等）</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w:t>
            </w:r>
            <w:r>
              <w:rPr>
                <w:rFonts w:hint="eastAsia" w:asciiTheme="majorEastAsia" w:hAnsiTheme="majorEastAsia" w:eastAsiaTheme="majorEastAsia" w:cstheme="majorEastAsia"/>
                <w:b w:val="0"/>
                <w:bCs w:val="0"/>
                <w:color w:val="auto"/>
                <w:sz w:val="20"/>
                <w:szCs w:val="20"/>
                <w:highlight w:val="none"/>
                <w:lang w:bidi="ar"/>
              </w:rPr>
              <w:t>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4000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14</w:t>
            </w:r>
          </w:p>
        </w:tc>
        <w:tc>
          <w:tcPr>
            <w:tcW w:w="0" w:type="auto"/>
            <w:gridSpan w:val="3"/>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hint="eastAsia" w:asciiTheme="majorEastAsia" w:hAnsiTheme="majorEastAsia" w:eastAsiaTheme="majorEastAsia" w:cstheme="majorEastAsia"/>
                <w:b w:val="0"/>
                <w:bCs w:val="0"/>
                <w:color w:val="auto"/>
                <w:sz w:val="20"/>
                <w:szCs w:val="20"/>
                <w:highlight w:val="none"/>
                <w:lang w:bidi="ar"/>
              </w:rPr>
              <w:t>水位流量关系率定</w:t>
            </w:r>
          </w:p>
        </w:tc>
        <w:tc>
          <w:tcPr>
            <w:tcW w:w="0" w:type="auto"/>
            <w:vAlign w:val="center"/>
          </w:tcPr>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符合水文相关规范要求。</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7</w:t>
            </w:r>
            <w:r>
              <w:rPr>
                <w:rFonts w:hint="eastAsia" w:asciiTheme="majorEastAsia" w:hAnsiTheme="majorEastAsia" w:eastAsiaTheme="majorEastAsia" w:cstheme="majorEastAsia"/>
                <w:b w:val="0"/>
                <w:bCs w:val="0"/>
                <w:color w:val="auto"/>
                <w:sz w:val="20"/>
                <w:szCs w:val="20"/>
                <w:highlight w:val="none"/>
                <w:lang w:bidi="ar"/>
              </w:rPr>
              <w:t>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20000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15</w:t>
            </w:r>
          </w:p>
        </w:tc>
        <w:tc>
          <w:tcPr>
            <w:tcW w:w="0" w:type="auto"/>
            <w:gridSpan w:val="3"/>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hint="eastAsia" w:asciiTheme="majorEastAsia" w:hAnsiTheme="majorEastAsia" w:eastAsiaTheme="majorEastAsia" w:cstheme="majorEastAsia"/>
                <w:b w:val="0"/>
                <w:bCs w:val="0"/>
                <w:color w:val="auto"/>
                <w:sz w:val="20"/>
                <w:szCs w:val="20"/>
                <w:highlight w:val="none"/>
                <w:lang w:bidi="ar"/>
              </w:rPr>
              <w:t>安装调试费</w:t>
            </w:r>
          </w:p>
        </w:tc>
        <w:tc>
          <w:tcPr>
            <w:tcW w:w="0" w:type="auto"/>
            <w:vAlign w:val="center"/>
          </w:tcPr>
          <w:p>
            <w:pPr>
              <w:spacing w:after="120" w:afterLines="50"/>
              <w:rPr>
                <w:rFonts w:asciiTheme="majorEastAsia" w:hAnsiTheme="majorEastAsia" w:eastAsiaTheme="majorEastAsia" w:cstheme="majorEastAsia"/>
                <w:b w:val="0"/>
                <w:bCs w:val="0"/>
                <w:color w:val="auto"/>
                <w:sz w:val="20"/>
                <w:szCs w:val="20"/>
                <w:highlight w:val="none"/>
              </w:rPr>
            </w:pP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7</w:t>
            </w:r>
            <w:r>
              <w:rPr>
                <w:rFonts w:hint="eastAsia" w:asciiTheme="majorEastAsia" w:hAnsiTheme="majorEastAsia" w:eastAsiaTheme="majorEastAsia" w:cstheme="majorEastAsia"/>
                <w:b w:val="0"/>
                <w:bCs w:val="0"/>
                <w:color w:val="auto"/>
                <w:sz w:val="20"/>
                <w:szCs w:val="20"/>
                <w:highlight w:val="none"/>
                <w:lang w:bidi="ar"/>
              </w:rPr>
              <w:t>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2000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0" w:type="auto"/>
            <w:gridSpan w:val="6"/>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hint="eastAsia" w:asciiTheme="majorEastAsia" w:hAnsiTheme="majorEastAsia" w:eastAsiaTheme="majorEastAsia" w:cstheme="majorEastAsia"/>
                <w:b w:val="0"/>
                <w:bCs w:val="0"/>
                <w:color w:val="auto"/>
                <w:sz w:val="20"/>
                <w:szCs w:val="20"/>
                <w:highlight w:val="none"/>
                <w:lang w:bidi="ar"/>
              </w:rPr>
              <w:t>合计</w:t>
            </w:r>
          </w:p>
        </w:tc>
        <w:tc>
          <w:tcPr>
            <w:tcW w:w="0" w:type="auto"/>
            <w:gridSpan w:val="2"/>
            <w:vAlign w:val="center"/>
          </w:tcPr>
          <w:p>
            <w:pPr>
              <w:spacing w:line="380" w:lineRule="exact"/>
              <w:jc w:val="center"/>
              <w:textAlignment w:val="center"/>
              <w:rPr>
                <w:rFonts w:hint="eastAsia" w:asciiTheme="majorEastAsia" w:hAnsiTheme="majorEastAsia" w:eastAsiaTheme="majorEastAsia" w:cstheme="majorEastAsia"/>
                <w:b w:val="0"/>
                <w:bCs w:val="0"/>
                <w:color w:val="auto"/>
                <w:sz w:val="20"/>
                <w:szCs w:val="20"/>
                <w:highlight w:val="none"/>
                <w:lang w:eastAsia="zh-CN" w:bidi="ar"/>
              </w:rPr>
            </w:pPr>
            <w:r>
              <w:rPr>
                <w:rFonts w:asciiTheme="majorEastAsia" w:hAnsiTheme="majorEastAsia" w:eastAsiaTheme="majorEastAsia" w:cstheme="majorEastAsia"/>
                <w:b w:val="0"/>
                <w:bCs w:val="0"/>
                <w:color w:val="auto"/>
                <w:sz w:val="20"/>
                <w:szCs w:val="20"/>
                <w:highlight w:val="none"/>
                <w:lang w:bidi="ar"/>
              </w:rPr>
              <w:t>352950</w:t>
            </w:r>
            <w:r>
              <w:rPr>
                <w:rFonts w:hint="eastAsia" w:asciiTheme="majorEastAsia" w:hAnsiTheme="majorEastAsia" w:eastAsiaTheme="majorEastAsia" w:cstheme="majorEastAsia"/>
                <w:b w:val="0"/>
                <w:bCs w:val="0"/>
                <w:color w:val="auto"/>
                <w:sz w:val="20"/>
                <w:szCs w:val="20"/>
                <w:highlight w:val="none"/>
                <w:lang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gridSpan w:val="8"/>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w:t>
            </w:r>
            <w:r>
              <w:rPr>
                <w:rFonts w:hint="eastAsia" w:asciiTheme="majorEastAsia" w:hAnsiTheme="majorEastAsia" w:eastAsiaTheme="majorEastAsia" w:cstheme="majorEastAsia"/>
                <w:b w:val="0"/>
                <w:bCs w:val="0"/>
                <w:color w:val="auto"/>
                <w:sz w:val="20"/>
                <w:szCs w:val="20"/>
                <w:highlight w:val="none"/>
                <w:lang w:bidi="ar"/>
              </w:rPr>
              <w:t>标（罗城仫佬族自治县</w:t>
            </w:r>
            <w:r>
              <w:rPr>
                <w:rFonts w:asciiTheme="majorEastAsia" w:hAnsiTheme="majorEastAsia" w:eastAsiaTheme="majorEastAsia" w:cstheme="majorEastAsia"/>
                <w:b w:val="0"/>
                <w:bCs w:val="0"/>
                <w:color w:val="auto"/>
                <w:sz w:val="20"/>
                <w:szCs w:val="20"/>
                <w:highlight w:val="none"/>
                <w:lang w:bidi="ar"/>
              </w:rPr>
              <w:t>11</w:t>
            </w:r>
            <w:r>
              <w:rPr>
                <w:rFonts w:hint="eastAsia" w:asciiTheme="majorEastAsia" w:hAnsiTheme="majorEastAsia" w:eastAsiaTheme="majorEastAsia" w:cstheme="majorEastAsia"/>
                <w:b w:val="0"/>
                <w:bCs w:val="0"/>
                <w:color w:val="auto"/>
                <w:sz w:val="20"/>
                <w:szCs w:val="20"/>
                <w:highlight w:val="none"/>
                <w:lang w:bidi="ar"/>
              </w:rPr>
              <w:t>个节水型公共机构建设）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w:t>
            </w:r>
          </w:p>
        </w:tc>
        <w:tc>
          <w:tcPr>
            <w:tcW w:w="0" w:type="auto"/>
            <w:gridSpan w:val="3"/>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水平衡测试</w:t>
            </w:r>
          </w:p>
        </w:tc>
        <w:tc>
          <w:tcPr>
            <w:tcW w:w="0" w:type="auto"/>
            <w:vAlign w:val="center"/>
          </w:tcPr>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增加计量器具，进行终端节水器具改造，实施完成后进行水平衡测试，参照《企业水平衡测试通则》（</w:t>
            </w:r>
            <w:r>
              <w:rPr>
                <w:rFonts w:cs="Times New Roman" w:asciiTheme="minorEastAsia" w:hAnsiTheme="minorEastAsia" w:eastAsiaTheme="minorEastAsia"/>
                <w:b w:val="0"/>
                <w:bCs w:val="0"/>
                <w:color w:val="auto"/>
                <w:kern w:val="2"/>
                <w:sz w:val="20"/>
                <w:szCs w:val="20"/>
                <w:highlight w:val="none"/>
              </w:rPr>
              <w:t>GB-T 12452-2008</w:t>
            </w:r>
            <w:r>
              <w:rPr>
                <w:rFonts w:hint="eastAsia" w:cs="Times New Roman" w:asciiTheme="minorEastAsia" w:hAnsiTheme="minorEastAsia" w:eastAsiaTheme="minorEastAsia"/>
                <w:b w:val="0"/>
                <w:bCs w:val="0"/>
                <w:color w:val="auto"/>
                <w:kern w:val="2"/>
                <w:sz w:val="20"/>
                <w:szCs w:val="20"/>
                <w:highlight w:val="none"/>
              </w:rPr>
              <w:t>）开展水平衡测试工作和编制水平衡报告。</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6</w:t>
            </w:r>
            <w:r>
              <w:rPr>
                <w:rFonts w:hint="eastAsia" w:asciiTheme="majorEastAsia" w:hAnsiTheme="majorEastAsia" w:eastAsiaTheme="majorEastAsia" w:cstheme="majorEastAsia"/>
                <w:b w:val="0"/>
                <w:bCs w:val="0"/>
                <w:color w:val="auto"/>
                <w:sz w:val="20"/>
                <w:szCs w:val="20"/>
                <w:highlight w:val="none"/>
                <w:lang w:bidi="ar"/>
              </w:rPr>
              <w:t>项</w:t>
            </w:r>
            <w:r>
              <w:rPr>
                <w:rFonts w:asciiTheme="majorEastAsia" w:hAnsiTheme="majorEastAsia" w:eastAsiaTheme="majorEastAsia" w:cstheme="majorEastAsia"/>
                <w:b w:val="0"/>
                <w:bCs w:val="0"/>
                <w:color w:val="auto"/>
                <w:sz w:val="20"/>
                <w:szCs w:val="20"/>
                <w:highlight w:val="none"/>
                <w:lang w:bidi="ar"/>
              </w:rPr>
              <w:t xml:space="preserve"> </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6000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w:t>
            </w:r>
          </w:p>
        </w:tc>
        <w:tc>
          <w:tcPr>
            <w:tcW w:w="0" w:type="auto"/>
            <w:gridSpan w:val="3"/>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管网图绘制</w:t>
            </w:r>
          </w:p>
        </w:tc>
        <w:tc>
          <w:tcPr>
            <w:tcW w:w="0" w:type="auto"/>
            <w:vAlign w:val="center"/>
          </w:tcPr>
          <w:p>
            <w:pPr>
              <w:spacing w:after="0" w:afterLines="-2147483648"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参照《建筑给水排水制图标准》绘制管网图，每个节水单位一套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11</w:t>
            </w:r>
            <w:r>
              <w:rPr>
                <w:rFonts w:hint="eastAsia" w:asciiTheme="majorEastAsia" w:hAnsiTheme="majorEastAsia" w:eastAsiaTheme="majorEastAsia" w:cstheme="majorEastAsia"/>
                <w:b w:val="0"/>
                <w:bCs w:val="0"/>
                <w:color w:val="auto"/>
                <w:sz w:val="20"/>
                <w:szCs w:val="20"/>
                <w:highlight w:val="none"/>
                <w:lang w:bidi="ar"/>
              </w:rPr>
              <w:t>项</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2000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3</w:t>
            </w:r>
          </w:p>
        </w:tc>
        <w:tc>
          <w:tcPr>
            <w:tcW w:w="0" w:type="auto"/>
            <w:gridSpan w:val="3"/>
            <w:vAlign w:val="center"/>
          </w:tcPr>
          <w:p>
            <w:pPr>
              <w:spacing w:after="0" w:line="380" w:lineRule="exact"/>
              <w:jc w:val="left"/>
              <w:textAlignment w:val="auto"/>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lang w:bidi="ar-SA"/>
              </w:rPr>
              <w:t>计量网络图</w:t>
            </w:r>
          </w:p>
        </w:tc>
        <w:tc>
          <w:tcPr>
            <w:tcW w:w="0" w:type="auto"/>
            <w:vAlign w:val="center"/>
          </w:tcPr>
          <w:p>
            <w:pPr>
              <w:spacing w:after="120" w:afterLines="50" w:line="380" w:lineRule="exact"/>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参照《建筑给水排水制图标准》绘制管网图，每个节水单位一套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11</w:t>
            </w:r>
            <w:r>
              <w:rPr>
                <w:rFonts w:hint="eastAsia" w:asciiTheme="majorEastAsia" w:hAnsiTheme="majorEastAsia" w:eastAsiaTheme="majorEastAsia" w:cstheme="majorEastAsia"/>
                <w:b w:val="0"/>
                <w:bCs w:val="0"/>
                <w:color w:val="auto"/>
                <w:sz w:val="20"/>
                <w:szCs w:val="20"/>
                <w:highlight w:val="none"/>
                <w:lang w:bidi="ar"/>
              </w:rPr>
              <w:t>项</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1000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4</w:t>
            </w:r>
          </w:p>
        </w:tc>
        <w:tc>
          <w:tcPr>
            <w:tcW w:w="0" w:type="auto"/>
            <w:gridSpan w:val="3"/>
            <w:vAlign w:val="center"/>
          </w:tcPr>
          <w:p>
            <w:pPr>
              <w:spacing w:after="0" w:line="380" w:lineRule="exact"/>
              <w:jc w:val="left"/>
              <w:textAlignment w:val="auto"/>
              <w:rPr>
                <w:rFonts w:asciiTheme="majorEastAsia" w:hAnsiTheme="majorEastAsia" w:eastAsiaTheme="majorEastAsia" w:cstheme="majorEastAsia"/>
                <w:b w:val="0"/>
                <w:bCs w:val="0"/>
                <w:color w:val="auto"/>
                <w:sz w:val="20"/>
                <w:szCs w:val="20"/>
                <w:highlight w:val="none"/>
                <w:lang w:bidi="ar"/>
              </w:rPr>
            </w:pPr>
            <w:r>
              <w:rPr>
                <w:rFonts w:hint="eastAsia" w:cs="Times New Roman" w:asciiTheme="minorEastAsia" w:hAnsiTheme="minorEastAsia" w:eastAsiaTheme="minorEastAsia"/>
                <w:b w:val="0"/>
                <w:bCs w:val="0"/>
                <w:color w:val="auto"/>
                <w:kern w:val="2"/>
                <w:sz w:val="20"/>
                <w:szCs w:val="20"/>
                <w:highlight w:val="none"/>
                <w:lang w:bidi="ar-SA"/>
              </w:rPr>
              <w:t>▲洗手盆非接触感应式高效节水龙头改造（含设备运输、安装及调试费）</w:t>
            </w:r>
          </w:p>
        </w:tc>
        <w:tc>
          <w:tcPr>
            <w:tcW w:w="0" w:type="auto"/>
            <w:vAlign w:val="center"/>
          </w:tcPr>
          <w:p>
            <w:pPr>
              <w:spacing w:after="0" w:afterLines="-2147483648" w:line="380" w:lineRule="exact"/>
              <w:rPr>
                <w:rFonts w:asciiTheme="majorEastAsia" w:hAnsiTheme="majorEastAsia" w:eastAsiaTheme="majorEastAsia" w:cstheme="majorEastAsia"/>
                <w:b w:val="0"/>
                <w:bCs w:val="0"/>
                <w:color w:val="auto"/>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针对疫情防控，采取非接触式高效节能的感应式带起泡器节水水龙头，非接触型供水器具，感应即开关，避免过程过多损耗浪费：静态功耗：≤</w:t>
            </w:r>
            <w:r>
              <w:rPr>
                <w:rFonts w:cs="Times New Roman" w:asciiTheme="minorEastAsia" w:hAnsiTheme="minorEastAsia" w:eastAsiaTheme="minorEastAsia"/>
                <w:b w:val="0"/>
                <w:bCs w:val="0"/>
                <w:color w:val="auto"/>
                <w:kern w:val="2"/>
                <w:sz w:val="20"/>
                <w:szCs w:val="20"/>
                <w:highlight w:val="none"/>
              </w:rPr>
              <w:t>0.5W(</w:t>
            </w:r>
            <w:r>
              <w:rPr>
                <w:rFonts w:hint="eastAsia" w:cs="Times New Roman" w:asciiTheme="minorEastAsia" w:hAnsiTheme="minorEastAsia" w:eastAsiaTheme="minorEastAsia"/>
                <w:b w:val="0"/>
                <w:bCs w:val="0"/>
                <w:color w:val="auto"/>
                <w:kern w:val="2"/>
                <w:sz w:val="20"/>
                <w:szCs w:val="20"/>
                <w:highlight w:val="none"/>
              </w:rPr>
              <w:t>待机</w:t>
            </w:r>
            <w:r>
              <w:rPr>
                <w:rFonts w:cs="Times New Roman" w:asciiTheme="minorEastAsia" w:hAnsiTheme="minorEastAsia" w:eastAsiaTheme="minorEastAsia"/>
                <w:b w:val="0"/>
                <w:bCs w:val="0"/>
                <w:color w:val="auto"/>
                <w:kern w:val="2"/>
                <w:sz w:val="20"/>
                <w:szCs w:val="20"/>
                <w:highlight w:val="none"/>
              </w:rPr>
              <w:t>)</w:t>
            </w:r>
            <w:r>
              <w:rPr>
                <w:rFonts w:hint="eastAsia" w:cs="Times New Roman" w:asciiTheme="minorEastAsia" w:hAnsiTheme="minorEastAsia" w:eastAsiaTheme="minorEastAsia"/>
                <w:b w:val="0"/>
                <w:bCs w:val="0"/>
                <w:color w:val="auto"/>
                <w:kern w:val="2"/>
                <w:sz w:val="20"/>
                <w:szCs w:val="20"/>
                <w:highlight w:val="none"/>
              </w:rPr>
              <w:t>，≤</w:t>
            </w:r>
            <w:r>
              <w:rPr>
                <w:rFonts w:cs="Times New Roman" w:asciiTheme="minorEastAsia" w:hAnsiTheme="minorEastAsia" w:eastAsiaTheme="minorEastAsia"/>
                <w:b w:val="0"/>
                <w:bCs w:val="0"/>
                <w:color w:val="auto"/>
                <w:kern w:val="2"/>
                <w:sz w:val="20"/>
                <w:szCs w:val="20"/>
                <w:highlight w:val="none"/>
              </w:rPr>
              <w:t>3W</w:t>
            </w:r>
            <w:r>
              <w:rPr>
                <w:rFonts w:hint="eastAsia" w:cs="Times New Roman" w:asciiTheme="minorEastAsia" w:hAnsiTheme="minorEastAsia" w:eastAsiaTheme="minorEastAsia"/>
                <w:b w:val="0"/>
                <w:bCs w:val="0"/>
                <w:color w:val="auto"/>
                <w:kern w:val="2"/>
                <w:sz w:val="20"/>
                <w:szCs w:val="20"/>
                <w:highlight w:val="none"/>
              </w:rPr>
              <w:t>（使用），供电方式：</w:t>
            </w:r>
            <w:r>
              <w:rPr>
                <w:rFonts w:cs="Times New Roman" w:asciiTheme="minorEastAsia" w:hAnsiTheme="minorEastAsia" w:eastAsiaTheme="minorEastAsia"/>
                <w:b w:val="0"/>
                <w:bCs w:val="0"/>
                <w:color w:val="auto"/>
                <w:kern w:val="2"/>
                <w:sz w:val="20"/>
                <w:szCs w:val="20"/>
                <w:highlight w:val="none"/>
              </w:rPr>
              <w:t>dc 6V</w:t>
            </w:r>
            <w:r>
              <w:rPr>
                <w:rFonts w:hint="eastAsia" w:cs="Times New Roman" w:asciiTheme="minorEastAsia" w:hAnsiTheme="minorEastAsia" w:eastAsiaTheme="minorEastAsia"/>
                <w:b w:val="0"/>
                <w:bCs w:val="0"/>
                <w:color w:val="auto"/>
                <w:kern w:val="2"/>
                <w:sz w:val="20"/>
                <w:szCs w:val="20"/>
                <w:highlight w:val="none"/>
              </w:rPr>
              <w:t>直流</w:t>
            </w:r>
            <w:r>
              <w:rPr>
                <w:rFonts w:cs="Times New Roman" w:asciiTheme="minorEastAsia" w:hAnsiTheme="minorEastAsia" w:eastAsiaTheme="minorEastAsia"/>
                <w:b w:val="0"/>
                <w:bCs w:val="0"/>
                <w:color w:val="auto"/>
                <w:kern w:val="2"/>
                <w:sz w:val="20"/>
                <w:szCs w:val="20"/>
                <w:highlight w:val="none"/>
              </w:rPr>
              <w:t>/Ac 220V</w:t>
            </w:r>
            <w:r>
              <w:rPr>
                <w:rFonts w:hint="eastAsia" w:cs="Times New Roman" w:asciiTheme="minorEastAsia" w:hAnsiTheme="minorEastAsia" w:eastAsiaTheme="minorEastAsia"/>
                <w:b w:val="0"/>
                <w:bCs w:val="0"/>
                <w:color w:val="auto"/>
                <w:kern w:val="2"/>
                <w:sz w:val="20"/>
                <w:szCs w:val="20"/>
                <w:highlight w:val="none"/>
              </w:rPr>
              <w:t>交流</w:t>
            </w:r>
            <w:r>
              <w:rPr>
                <w:rFonts w:cs="Times New Roman" w:asciiTheme="minorEastAsia" w:hAnsiTheme="minorEastAsia" w:eastAsiaTheme="minorEastAsia"/>
                <w:b w:val="0"/>
                <w:bCs w:val="0"/>
                <w:color w:val="auto"/>
                <w:kern w:val="2"/>
                <w:sz w:val="20"/>
                <w:szCs w:val="20"/>
                <w:highlight w:val="none"/>
              </w:rPr>
              <w:t>,</w:t>
            </w:r>
            <w:r>
              <w:rPr>
                <w:rFonts w:hint="eastAsia" w:cs="Times New Roman" w:asciiTheme="minorEastAsia" w:hAnsiTheme="minorEastAsia" w:eastAsiaTheme="minorEastAsia"/>
                <w:b w:val="0"/>
                <w:bCs w:val="0"/>
                <w:color w:val="auto"/>
                <w:kern w:val="2"/>
                <w:sz w:val="20"/>
                <w:szCs w:val="20"/>
                <w:highlight w:val="none"/>
              </w:rPr>
              <w:t>达到</w:t>
            </w:r>
            <w:r>
              <w:rPr>
                <w:rFonts w:cs="Times New Roman" w:asciiTheme="minorEastAsia" w:hAnsiTheme="minorEastAsia" w:eastAsiaTheme="minorEastAsia"/>
                <w:b w:val="0"/>
                <w:bCs w:val="0"/>
                <w:color w:val="auto"/>
                <w:kern w:val="2"/>
                <w:sz w:val="20"/>
                <w:szCs w:val="20"/>
                <w:highlight w:val="none"/>
              </w:rPr>
              <w:t>DB11/T 343-2018</w:t>
            </w:r>
            <w:r>
              <w:rPr>
                <w:rFonts w:hint="eastAsia" w:cs="Times New Roman" w:asciiTheme="minorEastAsia" w:hAnsiTheme="minorEastAsia" w:eastAsiaTheme="minorEastAsia"/>
                <w:b w:val="0"/>
                <w:bCs w:val="0"/>
                <w:color w:val="auto"/>
                <w:kern w:val="2"/>
                <w:sz w:val="20"/>
                <w:szCs w:val="20"/>
                <w:highlight w:val="none"/>
              </w:rPr>
              <w:t>节水器具应用技术标准</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39</w:t>
            </w:r>
            <w:r>
              <w:rPr>
                <w:rFonts w:hint="eastAsia" w:asciiTheme="majorEastAsia" w:hAnsiTheme="majorEastAsia" w:eastAsiaTheme="majorEastAsia" w:cstheme="majorEastAsia"/>
                <w:b w:val="0"/>
                <w:bCs w:val="0"/>
                <w:color w:val="auto"/>
                <w:sz w:val="20"/>
                <w:szCs w:val="20"/>
                <w:highlight w:val="none"/>
                <w:lang w:bidi="ar"/>
              </w:rPr>
              <w:t>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720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28080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5</w:t>
            </w:r>
          </w:p>
        </w:tc>
        <w:tc>
          <w:tcPr>
            <w:tcW w:w="0" w:type="auto"/>
            <w:gridSpan w:val="3"/>
            <w:vAlign w:val="center"/>
          </w:tcPr>
          <w:p>
            <w:pPr>
              <w:spacing w:after="0" w:line="380" w:lineRule="exact"/>
              <w:jc w:val="left"/>
              <w:textAlignment w:val="auto"/>
              <w:rPr>
                <w:rFonts w:asciiTheme="majorEastAsia" w:hAnsiTheme="majorEastAsia" w:eastAsiaTheme="majorEastAsia" w:cstheme="majorEastAsia"/>
                <w:b w:val="0"/>
                <w:bCs w:val="0"/>
                <w:color w:val="auto"/>
                <w:sz w:val="20"/>
                <w:szCs w:val="20"/>
                <w:highlight w:val="none"/>
                <w:lang w:bidi="ar"/>
              </w:rPr>
            </w:pPr>
            <w:r>
              <w:rPr>
                <w:rFonts w:hint="eastAsia" w:cs="Times New Roman" w:asciiTheme="minorEastAsia" w:hAnsiTheme="minorEastAsia" w:eastAsiaTheme="minorEastAsia"/>
                <w:b w:val="0"/>
                <w:bCs w:val="0"/>
                <w:color w:val="auto"/>
                <w:kern w:val="2"/>
                <w:sz w:val="20"/>
                <w:szCs w:val="20"/>
                <w:highlight w:val="none"/>
                <w:lang w:bidi="ar-SA"/>
              </w:rPr>
              <w:t>蹲便器可区分节水冲水水箱（含设备运输、安装及调试费）</w:t>
            </w:r>
          </w:p>
        </w:tc>
        <w:tc>
          <w:tcPr>
            <w:tcW w:w="0" w:type="auto"/>
            <w:vAlign w:val="center"/>
          </w:tcPr>
          <w:p>
            <w:pPr>
              <w:spacing w:after="0" w:afterLines="-2147483648" w:line="380" w:lineRule="exact"/>
              <w:rPr>
                <w:rFonts w:asciiTheme="majorEastAsia" w:hAnsiTheme="majorEastAsia" w:eastAsiaTheme="majorEastAsia" w:cstheme="majorEastAsia"/>
                <w:b w:val="0"/>
                <w:bCs w:val="0"/>
                <w:color w:val="auto"/>
                <w:sz w:val="20"/>
                <w:szCs w:val="20"/>
                <w:highlight w:val="none"/>
              </w:rPr>
            </w:pPr>
            <w:r>
              <w:rPr>
                <w:rFonts w:hint="eastAsia" w:cs="Times New Roman" w:asciiTheme="minorEastAsia" w:hAnsiTheme="minorEastAsia" w:eastAsiaTheme="minorEastAsia"/>
                <w:b w:val="0"/>
                <w:bCs w:val="0"/>
                <w:color w:val="auto"/>
                <w:kern w:val="2"/>
                <w:sz w:val="20"/>
                <w:szCs w:val="20"/>
                <w:highlight w:val="none"/>
              </w:rPr>
              <w:t>采用节水可区分功能蓄水冲水箱，有水效标识；单次冲洗平均用水量最多不超过</w:t>
            </w:r>
            <w:r>
              <w:rPr>
                <w:rFonts w:cs="Times New Roman" w:asciiTheme="minorEastAsia" w:hAnsiTheme="minorEastAsia" w:eastAsiaTheme="minorEastAsia"/>
                <w:b w:val="0"/>
                <w:bCs w:val="0"/>
                <w:color w:val="auto"/>
                <w:kern w:val="2"/>
                <w:sz w:val="20"/>
                <w:szCs w:val="20"/>
                <w:highlight w:val="none"/>
              </w:rPr>
              <w:t>7L,</w:t>
            </w:r>
            <w:r>
              <w:rPr>
                <w:rFonts w:hint="eastAsia" w:cs="Times New Roman" w:asciiTheme="minorEastAsia" w:hAnsiTheme="minorEastAsia" w:eastAsiaTheme="minorEastAsia"/>
                <w:b w:val="0"/>
                <w:bCs w:val="0"/>
                <w:color w:val="auto"/>
                <w:kern w:val="2"/>
                <w:sz w:val="20"/>
                <w:szCs w:val="20"/>
                <w:highlight w:val="none"/>
              </w:rPr>
              <w:t>达到</w:t>
            </w:r>
            <w:r>
              <w:rPr>
                <w:rFonts w:cs="Times New Roman" w:asciiTheme="minorEastAsia" w:hAnsiTheme="minorEastAsia" w:eastAsiaTheme="minorEastAsia"/>
                <w:b w:val="0"/>
                <w:bCs w:val="0"/>
                <w:color w:val="auto"/>
                <w:kern w:val="2"/>
                <w:sz w:val="20"/>
                <w:szCs w:val="20"/>
                <w:highlight w:val="none"/>
              </w:rPr>
              <w:t>DB11/T 343-2018</w:t>
            </w:r>
            <w:r>
              <w:rPr>
                <w:rFonts w:hint="eastAsia" w:cs="Times New Roman" w:asciiTheme="minorEastAsia" w:hAnsiTheme="minorEastAsia" w:eastAsiaTheme="minorEastAsia"/>
                <w:b w:val="0"/>
                <w:bCs w:val="0"/>
                <w:color w:val="auto"/>
                <w:kern w:val="2"/>
                <w:sz w:val="20"/>
                <w:szCs w:val="20"/>
                <w:highlight w:val="none"/>
              </w:rPr>
              <w:t>节水器具应用技术标准</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w:t>
            </w:r>
            <w:r>
              <w:rPr>
                <w:rFonts w:hint="eastAsia" w:asciiTheme="majorEastAsia" w:hAnsiTheme="majorEastAsia" w:eastAsiaTheme="majorEastAsia" w:cstheme="majorEastAsia"/>
                <w:b w:val="0"/>
                <w:bCs w:val="0"/>
                <w:color w:val="auto"/>
                <w:sz w:val="20"/>
                <w:szCs w:val="20"/>
                <w:highlight w:val="none"/>
                <w:lang w:bidi="ar"/>
              </w:rPr>
              <w:t>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600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6</w:t>
            </w:r>
          </w:p>
        </w:tc>
        <w:tc>
          <w:tcPr>
            <w:tcW w:w="0" w:type="auto"/>
            <w:gridSpan w:val="3"/>
            <w:vAlign w:val="center"/>
          </w:tcPr>
          <w:p>
            <w:pPr>
              <w:spacing w:after="0" w:line="380" w:lineRule="exact"/>
              <w:jc w:val="left"/>
              <w:textAlignment w:val="auto"/>
              <w:rPr>
                <w:rFonts w:asciiTheme="majorEastAsia" w:hAnsiTheme="majorEastAsia" w:eastAsiaTheme="majorEastAsia" w:cstheme="majorEastAsia"/>
                <w:b w:val="0"/>
                <w:bCs w:val="0"/>
                <w:color w:val="auto"/>
                <w:sz w:val="20"/>
                <w:szCs w:val="20"/>
                <w:highlight w:val="none"/>
              </w:rPr>
            </w:pPr>
            <w:r>
              <w:rPr>
                <w:rFonts w:hint="eastAsia" w:cs="Times New Roman" w:asciiTheme="minorEastAsia" w:hAnsiTheme="minorEastAsia" w:eastAsiaTheme="minorEastAsia"/>
                <w:b w:val="0"/>
                <w:bCs w:val="0"/>
                <w:color w:val="auto"/>
                <w:kern w:val="2"/>
                <w:sz w:val="20"/>
                <w:szCs w:val="20"/>
                <w:highlight w:val="none"/>
                <w:lang w:bidi="ar-SA"/>
              </w:rPr>
              <w:t>冲水箱高压软水管（含设备运输、安装及调试费）</w:t>
            </w:r>
          </w:p>
        </w:tc>
        <w:tc>
          <w:tcPr>
            <w:tcW w:w="0" w:type="auto"/>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不锈钢材质，配套节水冲水箱</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w:t>
            </w:r>
            <w:r>
              <w:rPr>
                <w:rFonts w:hint="eastAsia" w:asciiTheme="majorEastAsia" w:hAnsiTheme="majorEastAsia" w:eastAsiaTheme="majorEastAsia" w:cstheme="majorEastAsia"/>
                <w:b w:val="0"/>
                <w:bCs w:val="0"/>
                <w:color w:val="auto"/>
                <w:sz w:val="20"/>
                <w:szCs w:val="20"/>
                <w:highlight w:val="none"/>
                <w:lang w:bidi="ar"/>
              </w:rPr>
              <w:t>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65</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7</w:t>
            </w:r>
          </w:p>
        </w:tc>
        <w:tc>
          <w:tcPr>
            <w:tcW w:w="0" w:type="auto"/>
            <w:gridSpan w:val="3"/>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不锈钢机体铜芯角阀（含设备运输、安装及调试费）</w:t>
            </w:r>
          </w:p>
        </w:tc>
        <w:tc>
          <w:tcPr>
            <w:tcW w:w="0" w:type="auto"/>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不锈钢外管铜芯材质，配套节水冲水箱及其它</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29</w:t>
            </w:r>
            <w:r>
              <w:rPr>
                <w:rFonts w:hint="eastAsia" w:asciiTheme="majorEastAsia" w:hAnsiTheme="majorEastAsia" w:eastAsiaTheme="majorEastAsia" w:cstheme="majorEastAsia"/>
                <w:b w:val="0"/>
                <w:bCs w:val="0"/>
                <w:color w:val="auto"/>
                <w:sz w:val="20"/>
                <w:szCs w:val="20"/>
                <w:highlight w:val="none"/>
                <w:lang w:bidi="ar"/>
              </w:rPr>
              <w:t>个</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195</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5655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8</w:t>
            </w:r>
          </w:p>
        </w:tc>
        <w:tc>
          <w:tcPr>
            <w:tcW w:w="0" w:type="auto"/>
            <w:gridSpan w:val="3"/>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带起泡器功能节水水龙头（含设备运输、安装及调试费）</w:t>
            </w:r>
          </w:p>
        </w:tc>
        <w:tc>
          <w:tcPr>
            <w:tcW w:w="0" w:type="auto"/>
            <w:vAlign w:val="center"/>
          </w:tcPr>
          <w:p>
            <w:pPr>
              <w:spacing w:after="0" w:line="380" w:lineRule="exact"/>
              <w:jc w:val="left"/>
              <w:textAlignment w:val="auto"/>
              <w:rPr>
                <w:rFonts w:asciiTheme="majorEastAsia" w:hAnsiTheme="majorEastAsia" w:eastAsiaTheme="majorEastAsia" w:cstheme="majorEastAsia"/>
                <w:b w:val="0"/>
                <w:bCs w:val="0"/>
                <w:color w:val="auto"/>
                <w:sz w:val="20"/>
                <w:szCs w:val="20"/>
                <w:highlight w:val="none"/>
              </w:rPr>
            </w:pPr>
            <w:r>
              <w:rPr>
                <w:rFonts w:hint="eastAsia" w:cs="Times New Roman" w:asciiTheme="minorEastAsia" w:hAnsiTheme="minorEastAsia" w:eastAsiaTheme="minorEastAsia"/>
                <w:b w:val="0"/>
                <w:bCs w:val="0"/>
                <w:color w:val="auto"/>
                <w:kern w:val="2"/>
                <w:sz w:val="20"/>
                <w:szCs w:val="20"/>
                <w:highlight w:val="none"/>
                <w:lang w:bidi="ar-SA"/>
              </w:rPr>
              <w:t>不锈钢外管铜芯材质带起泡器节水龙头，内丝节水限流器：压力值</w:t>
            </w:r>
            <w:r>
              <w:rPr>
                <w:rFonts w:cs="Times New Roman" w:asciiTheme="minorEastAsia" w:hAnsiTheme="minorEastAsia" w:eastAsiaTheme="minorEastAsia"/>
                <w:b w:val="0"/>
                <w:bCs w:val="0"/>
                <w:color w:val="auto"/>
                <w:kern w:val="2"/>
                <w:sz w:val="20"/>
                <w:szCs w:val="20"/>
                <w:highlight w:val="none"/>
                <w:lang w:bidi="ar-SA"/>
              </w:rPr>
              <w:t>(0.10</w:t>
            </w:r>
            <w:r>
              <w:rPr>
                <w:rFonts w:hint="eastAsia" w:cs="Times New Roman" w:asciiTheme="minorEastAsia" w:hAnsiTheme="minorEastAsia" w:eastAsiaTheme="minorEastAsia"/>
                <w:b w:val="0"/>
                <w:bCs w:val="0"/>
                <w:color w:val="auto"/>
                <w:kern w:val="2"/>
                <w:sz w:val="20"/>
                <w:szCs w:val="20"/>
                <w:highlight w:val="none"/>
                <w:lang w:bidi="ar-SA"/>
              </w:rPr>
              <w:t>±</w:t>
            </w:r>
            <w:r>
              <w:rPr>
                <w:rFonts w:cs="Times New Roman" w:asciiTheme="minorEastAsia" w:hAnsiTheme="minorEastAsia" w:eastAsiaTheme="minorEastAsia"/>
                <w:b w:val="0"/>
                <w:bCs w:val="0"/>
                <w:color w:val="auto"/>
                <w:kern w:val="2"/>
                <w:sz w:val="20"/>
                <w:szCs w:val="20"/>
                <w:highlight w:val="none"/>
                <w:lang w:bidi="ar-SA"/>
              </w:rPr>
              <w:t>0.01)MPa</w:t>
            </w:r>
            <w:r>
              <w:rPr>
                <w:rFonts w:hint="eastAsia" w:cs="Times New Roman" w:asciiTheme="minorEastAsia" w:hAnsiTheme="minorEastAsia" w:eastAsiaTheme="minorEastAsia"/>
                <w:b w:val="0"/>
                <w:bCs w:val="0"/>
                <w:color w:val="auto"/>
                <w:kern w:val="2"/>
                <w:sz w:val="20"/>
                <w:szCs w:val="20"/>
                <w:highlight w:val="none"/>
                <w:lang w:bidi="ar-SA"/>
              </w:rPr>
              <w:t>流量：</w:t>
            </w:r>
            <w:r>
              <w:rPr>
                <w:rFonts w:cs="Times New Roman" w:asciiTheme="minorEastAsia" w:hAnsiTheme="minorEastAsia" w:eastAsiaTheme="minorEastAsia"/>
                <w:b w:val="0"/>
                <w:bCs w:val="0"/>
                <w:color w:val="auto"/>
                <w:kern w:val="2"/>
                <w:sz w:val="20"/>
                <w:szCs w:val="20"/>
                <w:highlight w:val="none"/>
                <w:lang w:bidi="ar-SA"/>
              </w:rPr>
              <w:t>0.050L/s</w:t>
            </w:r>
            <w:r>
              <w:rPr>
                <w:rFonts w:hint="eastAsia" w:cs="Times New Roman" w:asciiTheme="minorEastAsia" w:hAnsiTheme="minorEastAsia" w:eastAsiaTheme="minorEastAsia"/>
                <w:b w:val="0"/>
                <w:bCs w:val="0"/>
                <w:color w:val="auto"/>
                <w:kern w:val="2"/>
                <w:sz w:val="20"/>
                <w:szCs w:val="20"/>
                <w:highlight w:val="none"/>
                <w:lang w:bidi="ar-SA"/>
              </w:rPr>
              <w:t>，用水效率等级为</w:t>
            </w:r>
            <w:r>
              <w:rPr>
                <w:rFonts w:cs="Times New Roman" w:asciiTheme="minorEastAsia" w:hAnsiTheme="minorEastAsia" w:eastAsiaTheme="minorEastAsia"/>
                <w:b w:val="0"/>
                <w:bCs w:val="0"/>
                <w:color w:val="auto"/>
                <w:kern w:val="2"/>
                <w:sz w:val="20"/>
                <w:szCs w:val="20"/>
                <w:highlight w:val="none"/>
                <w:lang w:bidi="ar-SA"/>
              </w:rPr>
              <w:t>1</w:t>
            </w:r>
            <w:r>
              <w:rPr>
                <w:rFonts w:hint="eastAsia" w:cs="Times New Roman" w:asciiTheme="minorEastAsia" w:hAnsiTheme="minorEastAsia" w:eastAsiaTheme="minorEastAsia"/>
                <w:b w:val="0"/>
                <w:bCs w:val="0"/>
                <w:color w:val="auto"/>
                <w:kern w:val="2"/>
                <w:sz w:val="20"/>
                <w:szCs w:val="20"/>
                <w:highlight w:val="none"/>
                <w:lang w:bidi="ar-SA"/>
              </w:rPr>
              <w:t>级。达到</w:t>
            </w:r>
            <w:r>
              <w:rPr>
                <w:rFonts w:cs="Times New Roman" w:asciiTheme="minorEastAsia" w:hAnsiTheme="minorEastAsia" w:eastAsiaTheme="minorEastAsia"/>
                <w:b w:val="0"/>
                <w:bCs w:val="0"/>
                <w:color w:val="auto"/>
                <w:kern w:val="2"/>
                <w:sz w:val="20"/>
                <w:szCs w:val="20"/>
                <w:highlight w:val="none"/>
                <w:lang w:bidi="ar-SA"/>
              </w:rPr>
              <w:t>DB11/T 343-2018</w:t>
            </w:r>
            <w:r>
              <w:rPr>
                <w:rFonts w:hint="eastAsia" w:cs="Times New Roman" w:asciiTheme="minorEastAsia" w:hAnsiTheme="minorEastAsia" w:eastAsiaTheme="minorEastAsia"/>
                <w:b w:val="0"/>
                <w:bCs w:val="0"/>
                <w:color w:val="auto"/>
                <w:kern w:val="2"/>
                <w:sz w:val="20"/>
                <w:szCs w:val="20"/>
                <w:highlight w:val="none"/>
                <w:lang w:bidi="ar-SA"/>
              </w:rPr>
              <w:t>节水器具应用技术标准</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169</w:t>
            </w:r>
            <w:r>
              <w:rPr>
                <w:rFonts w:hint="eastAsia" w:asciiTheme="majorEastAsia" w:hAnsiTheme="majorEastAsia" w:eastAsiaTheme="majorEastAsia" w:cstheme="majorEastAsia"/>
                <w:b w:val="0"/>
                <w:bCs w:val="0"/>
                <w:color w:val="auto"/>
                <w:sz w:val="20"/>
                <w:szCs w:val="20"/>
                <w:highlight w:val="none"/>
                <w:lang w:bidi="ar"/>
              </w:rPr>
              <w:t>个</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135</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22815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9</w:t>
            </w:r>
          </w:p>
        </w:tc>
        <w:tc>
          <w:tcPr>
            <w:tcW w:w="0" w:type="auto"/>
            <w:gridSpan w:val="3"/>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中号高温陶瓷节水拖把池（含设备运输、安装及调试费）</w:t>
            </w:r>
          </w:p>
        </w:tc>
        <w:tc>
          <w:tcPr>
            <w:tcW w:w="0" w:type="auto"/>
            <w:vAlign w:val="center"/>
          </w:tcPr>
          <w:p>
            <w:pPr>
              <w:spacing w:after="0" w:line="380" w:lineRule="exact"/>
              <w:jc w:val="left"/>
              <w:textAlignment w:val="auto"/>
              <w:rPr>
                <w:rFonts w:asciiTheme="majorEastAsia" w:hAnsiTheme="majorEastAsia" w:eastAsiaTheme="majorEastAsia" w:cstheme="majorEastAsia"/>
                <w:b w:val="0"/>
                <w:bCs w:val="0"/>
                <w:color w:val="auto"/>
                <w:sz w:val="20"/>
                <w:szCs w:val="20"/>
                <w:highlight w:val="none"/>
              </w:rPr>
            </w:pPr>
            <w:r>
              <w:rPr>
                <w:rFonts w:hint="eastAsia" w:cs="Times New Roman" w:asciiTheme="minorEastAsia" w:hAnsiTheme="minorEastAsia" w:eastAsiaTheme="minorEastAsia"/>
                <w:b w:val="0"/>
                <w:bCs w:val="0"/>
                <w:color w:val="auto"/>
                <w:kern w:val="2"/>
                <w:sz w:val="20"/>
                <w:szCs w:val="20"/>
                <w:highlight w:val="none"/>
                <w:lang w:bidi="ar-SA"/>
              </w:rPr>
              <w:t>高效节水拖把池，带蓄水功能，冲水后可以多次使用</w:t>
            </w:r>
            <w:r>
              <w:rPr>
                <w:rFonts w:cs="Times New Roman" w:asciiTheme="minorEastAsia" w:hAnsiTheme="minorEastAsia" w:eastAsiaTheme="minorEastAsia"/>
                <w:b w:val="0"/>
                <w:bCs w:val="0"/>
                <w:color w:val="auto"/>
                <w:kern w:val="2"/>
                <w:sz w:val="20"/>
                <w:szCs w:val="20"/>
                <w:highlight w:val="none"/>
                <w:lang w:bidi="ar-SA"/>
              </w:rPr>
              <w:t>,</w:t>
            </w:r>
            <w:r>
              <w:rPr>
                <w:rFonts w:hint="eastAsia" w:cs="Times New Roman" w:asciiTheme="minorEastAsia" w:hAnsiTheme="minorEastAsia" w:eastAsiaTheme="minorEastAsia"/>
                <w:b w:val="0"/>
                <w:bCs w:val="0"/>
                <w:color w:val="auto"/>
                <w:kern w:val="2"/>
                <w:sz w:val="20"/>
                <w:szCs w:val="20"/>
                <w:highlight w:val="none"/>
                <w:lang w:bidi="ar-SA"/>
              </w:rPr>
              <w:t>达到</w:t>
            </w:r>
            <w:r>
              <w:rPr>
                <w:rFonts w:cs="Times New Roman" w:asciiTheme="minorEastAsia" w:hAnsiTheme="minorEastAsia" w:eastAsiaTheme="minorEastAsia"/>
                <w:b w:val="0"/>
                <w:bCs w:val="0"/>
                <w:color w:val="auto"/>
                <w:kern w:val="2"/>
                <w:sz w:val="20"/>
                <w:szCs w:val="20"/>
                <w:highlight w:val="none"/>
                <w:lang w:bidi="ar-SA"/>
              </w:rPr>
              <w:t>DB11/T 343-2018</w:t>
            </w:r>
            <w:r>
              <w:rPr>
                <w:rFonts w:hint="eastAsia" w:cs="Times New Roman" w:asciiTheme="minorEastAsia" w:hAnsiTheme="minorEastAsia" w:eastAsiaTheme="minorEastAsia"/>
                <w:b w:val="0"/>
                <w:bCs w:val="0"/>
                <w:color w:val="auto"/>
                <w:kern w:val="2"/>
                <w:sz w:val="20"/>
                <w:szCs w:val="20"/>
                <w:highlight w:val="none"/>
                <w:lang w:bidi="ar-SA"/>
              </w:rPr>
              <w:t>节水器具应用技术标准</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46</w:t>
            </w:r>
            <w:r>
              <w:rPr>
                <w:rFonts w:hint="eastAsia" w:asciiTheme="majorEastAsia" w:hAnsiTheme="majorEastAsia" w:eastAsiaTheme="majorEastAsia" w:cstheme="majorEastAsia"/>
                <w:b w:val="0"/>
                <w:bCs w:val="0"/>
                <w:color w:val="auto"/>
                <w:sz w:val="20"/>
                <w:szCs w:val="20"/>
                <w:highlight w:val="none"/>
                <w:lang w:bidi="ar"/>
              </w:rPr>
              <w:t>个</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600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10</w:t>
            </w:r>
          </w:p>
        </w:tc>
        <w:tc>
          <w:tcPr>
            <w:tcW w:w="0" w:type="auto"/>
            <w:gridSpan w:val="3"/>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空调水、雨水收集箱（带过滤装置）（含设备运输、安装及调试费）</w:t>
            </w:r>
          </w:p>
        </w:tc>
        <w:tc>
          <w:tcPr>
            <w:tcW w:w="0" w:type="auto"/>
            <w:vAlign w:val="center"/>
          </w:tcPr>
          <w:p>
            <w:pPr>
              <w:spacing w:after="0" w:line="380" w:lineRule="exact"/>
              <w:jc w:val="left"/>
              <w:textAlignment w:val="auto"/>
              <w:rPr>
                <w:rFonts w:asciiTheme="majorEastAsia" w:hAnsiTheme="majorEastAsia" w:eastAsiaTheme="majorEastAsia" w:cstheme="majorEastAsia"/>
                <w:b w:val="0"/>
                <w:bCs w:val="0"/>
                <w:color w:val="auto"/>
                <w:sz w:val="20"/>
                <w:szCs w:val="20"/>
                <w:highlight w:val="none"/>
              </w:rPr>
            </w:pPr>
            <w:r>
              <w:rPr>
                <w:rFonts w:hint="eastAsia" w:cs="Times New Roman" w:asciiTheme="minorEastAsia" w:hAnsiTheme="minorEastAsia" w:eastAsiaTheme="minorEastAsia"/>
                <w:b w:val="0"/>
                <w:bCs w:val="0"/>
                <w:color w:val="auto"/>
                <w:kern w:val="2"/>
                <w:sz w:val="20"/>
                <w:szCs w:val="20"/>
                <w:highlight w:val="none"/>
                <w:lang w:bidi="ar-SA"/>
              </w:rPr>
              <w:t>全不锈钢定制，带过滤防倒流装置，带用水计量，通过收集日常灰水（包括雨水、空调水、上层灰水），经过沉淀，过滤后用来进行绿化带滴灌、洗车、冲洗地板及厕所等</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21</w:t>
            </w:r>
            <w:r>
              <w:rPr>
                <w:rFonts w:hint="eastAsia" w:asciiTheme="majorEastAsia" w:hAnsiTheme="majorEastAsia" w:eastAsiaTheme="majorEastAsia" w:cstheme="majorEastAsia"/>
                <w:b w:val="0"/>
                <w:bCs w:val="0"/>
                <w:color w:val="auto"/>
                <w:sz w:val="20"/>
                <w:szCs w:val="20"/>
                <w:highlight w:val="none"/>
                <w:lang w:bidi="ar"/>
              </w:rPr>
              <w:t>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9500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199500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11</w:t>
            </w:r>
          </w:p>
        </w:tc>
        <w:tc>
          <w:tcPr>
            <w:tcW w:w="0" w:type="auto"/>
            <w:gridSpan w:val="3"/>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可回收利用箱（含设备运输、安装及调试费）</w:t>
            </w:r>
          </w:p>
        </w:tc>
        <w:tc>
          <w:tcPr>
            <w:tcW w:w="0" w:type="auto"/>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回收日常办公遗弃水存放箱</w:t>
            </w:r>
            <w:r>
              <w:rPr>
                <w:rFonts w:asciiTheme="majorEastAsia" w:hAnsiTheme="majorEastAsia" w:eastAsiaTheme="majorEastAsia" w:cstheme="majorEastAsia"/>
                <w:b w:val="0"/>
                <w:bCs w:val="0"/>
                <w:color w:val="auto"/>
                <w:sz w:val="20"/>
                <w:szCs w:val="20"/>
                <w:highlight w:val="none"/>
                <w:lang w:bidi="ar"/>
              </w:rPr>
              <w:t>,</w:t>
            </w:r>
            <w:r>
              <w:rPr>
                <w:rFonts w:hint="eastAsia" w:asciiTheme="majorEastAsia" w:hAnsiTheme="majorEastAsia" w:eastAsiaTheme="majorEastAsia" w:cstheme="majorEastAsia"/>
                <w:b w:val="0"/>
                <w:bCs w:val="0"/>
                <w:color w:val="auto"/>
                <w:sz w:val="20"/>
                <w:szCs w:val="20"/>
                <w:highlight w:val="none"/>
                <w:lang w:bidi="ar"/>
              </w:rPr>
              <w:t>环保材质，无污染</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49</w:t>
            </w:r>
            <w:r>
              <w:rPr>
                <w:rFonts w:hint="eastAsia" w:asciiTheme="majorEastAsia" w:hAnsiTheme="majorEastAsia" w:eastAsiaTheme="majorEastAsia" w:cstheme="majorEastAsia"/>
                <w:b w:val="0"/>
                <w:bCs w:val="0"/>
                <w:color w:val="auto"/>
                <w:sz w:val="20"/>
                <w:szCs w:val="20"/>
                <w:highlight w:val="none"/>
                <w:lang w:bidi="ar"/>
              </w:rPr>
              <w:t>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355</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17395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12</w:t>
            </w:r>
          </w:p>
        </w:tc>
        <w:tc>
          <w:tcPr>
            <w:tcW w:w="0" w:type="auto"/>
            <w:gridSpan w:val="3"/>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asciiTheme="majorEastAsia" w:hAnsiTheme="majorEastAsia" w:eastAsiaTheme="majorEastAsia" w:cstheme="majorEastAsia"/>
                <w:b w:val="0"/>
                <w:bCs w:val="0"/>
                <w:color w:val="auto"/>
                <w:sz w:val="20"/>
                <w:szCs w:val="20"/>
                <w:highlight w:val="none"/>
                <w:lang w:bidi="ar"/>
              </w:rPr>
              <w:t>100PPR</w:t>
            </w:r>
            <w:r>
              <w:rPr>
                <w:rFonts w:hint="eastAsia" w:asciiTheme="majorEastAsia" w:hAnsiTheme="majorEastAsia" w:eastAsiaTheme="majorEastAsia" w:cstheme="majorEastAsia"/>
                <w:b w:val="0"/>
                <w:bCs w:val="0"/>
                <w:color w:val="auto"/>
                <w:sz w:val="20"/>
                <w:szCs w:val="20"/>
                <w:highlight w:val="none"/>
                <w:lang w:bidi="ar"/>
              </w:rPr>
              <w:t>管（含设备运输、安装及调试费）</w:t>
            </w:r>
          </w:p>
        </w:tc>
        <w:tc>
          <w:tcPr>
            <w:tcW w:w="0" w:type="auto"/>
            <w:vAlign w:val="center"/>
          </w:tcPr>
          <w:p>
            <w:pPr>
              <w:spacing w:after="0" w:line="380" w:lineRule="exact"/>
              <w:textAlignment w:val="auto"/>
              <w:rPr>
                <w:rFonts w:cs="Times New Roman" w:asciiTheme="minorEastAsia" w:hAnsiTheme="minorEastAsia" w:eastAsiaTheme="minorEastAsia"/>
                <w:b w:val="0"/>
                <w:bCs w:val="0"/>
                <w:color w:val="auto"/>
                <w:kern w:val="2"/>
                <w:sz w:val="20"/>
                <w:szCs w:val="20"/>
                <w:highlight w:val="none"/>
              </w:rPr>
            </w:pPr>
            <w:r>
              <w:rPr>
                <w:rFonts w:cs="Times New Roman" w:asciiTheme="minorEastAsia" w:hAnsiTheme="minorEastAsia" w:eastAsiaTheme="minorEastAsia"/>
                <w:b w:val="0"/>
                <w:bCs w:val="0"/>
                <w:color w:val="auto"/>
                <w:kern w:val="2"/>
                <w:sz w:val="20"/>
                <w:szCs w:val="20"/>
                <w:highlight w:val="none"/>
                <w:lang w:bidi="ar-SA"/>
              </w:rPr>
              <w:t>20</w:t>
            </w:r>
            <w:r>
              <w:rPr>
                <w:rFonts w:hint="eastAsia" w:cs="Times New Roman" w:asciiTheme="minorEastAsia" w:hAnsiTheme="minorEastAsia" w:eastAsiaTheme="minorEastAsia"/>
                <w:b w:val="0"/>
                <w:bCs w:val="0"/>
                <w:color w:val="auto"/>
                <w:kern w:val="2"/>
                <w:sz w:val="20"/>
                <w:szCs w:val="20"/>
                <w:highlight w:val="none"/>
                <w:lang w:bidi="ar-SA"/>
              </w:rPr>
              <w:t>℃时密度为</w:t>
            </w:r>
            <w:r>
              <w:rPr>
                <w:rFonts w:cs="Times New Roman" w:asciiTheme="minorEastAsia" w:hAnsiTheme="minorEastAsia" w:eastAsiaTheme="minorEastAsia"/>
                <w:b w:val="0"/>
                <w:bCs w:val="0"/>
                <w:color w:val="auto"/>
                <w:kern w:val="2"/>
                <w:sz w:val="20"/>
                <w:szCs w:val="20"/>
                <w:highlight w:val="none"/>
                <w:lang w:bidi="ar-SA"/>
              </w:rPr>
              <w:t>0.90g/cm</w:t>
            </w:r>
            <w:r>
              <w:rPr>
                <w:rStyle w:val="40"/>
                <w:rFonts w:hint="default" w:cs="Times New Roman" w:asciiTheme="minorEastAsia" w:hAnsiTheme="minorEastAsia" w:eastAsiaTheme="minorEastAsia"/>
                <w:color w:val="auto"/>
                <w:kern w:val="2"/>
                <w:sz w:val="20"/>
                <w:szCs w:val="20"/>
                <w:highlight w:val="none"/>
                <w:lang w:bidi="ar"/>
              </w:rPr>
              <w:t>³</w:t>
            </w:r>
            <w:r>
              <w:rPr>
                <w:rFonts w:hint="eastAsia" w:cs="Times New Roman" w:asciiTheme="minorEastAsia" w:hAnsiTheme="minorEastAsia" w:eastAsiaTheme="minorEastAsia"/>
                <w:b w:val="0"/>
                <w:bCs w:val="0"/>
                <w:color w:val="auto"/>
                <w:kern w:val="2"/>
                <w:sz w:val="20"/>
                <w:szCs w:val="20"/>
                <w:highlight w:val="none"/>
                <w:lang w:bidi="ar-SA"/>
              </w:rPr>
              <w:t>、耐热性能好：瞬间使用温度为</w:t>
            </w:r>
            <w:r>
              <w:rPr>
                <w:rFonts w:cs="Times New Roman" w:asciiTheme="minorEastAsia" w:hAnsiTheme="minorEastAsia" w:eastAsiaTheme="minorEastAsia"/>
                <w:b w:val="0"/>
                <w:bCs w:val="0"/>
                <w:color w:val="auto"/>
                <w:kern w:val="2"/>
                <w:sz w:val="20"/>
                <w:szCs w:val="20"/>
                <w:highlight w:val="none"/>
                <w:lang w:bidi="ar-SA"/>
              </w:rPr>
              <w:t>95</w:t>
            </w:r>
            <w:r>
              <w:rPr>
                <w:rFonts w:hint="eastAsia" w:cs="Times New Roman" w:asciiTheme="minorEastAsia" w:hAnsiTheme="minorEastAsia" w:eastAsiaTheme="minorEastAsia"/>
                <w:b w:val="0"/>
                <w:bCs w:val="0"/>
                <w:color w:val="auto"/>
                <w:kern w:val="2"/>
                <w:sz w:val="20"/>
                <w:szCs w:val="20"/>
                <w:highlight w:val="none"/>
                <w:lang w:bidi="ar-SA"/>
              </w:rPr>
              <w:t>℃。耐腐蚀性能：非极性材料，对水中的所有离子和建筑物的化学物质均不起化学作用，不会生锈和腐蚀。能耗更低。具有良好的热熔性能，杜绝了漏水隐患。卫生、无毒对环境无污染，绿色建材。</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47</w:t>
            </w:r>
            <w:r>
              <w:rPr>
                <w:rFonts w:hint="eastAsia" w:asciiTheme="majorEastAsia" w:hAnsiTheme="majorEastAsia" w:eastAsiaTheme="majorEastAsia" w:cstheme="majorEastAsia"/>
                <w:b w:val="0"/>
                <w:bCs w:val="0"/>
                <w:color w:val="auto"/>
                <w:sz w:val="20"/>
                <w:szCs w:val="20"/>
                <w:highlight w:val="none"/>
                <w:lang w:bidi="ar"/>
              </w:rPr>
              <w:t>米</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55</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13</w:t>
            </w:r>
          </w:p>
        </w:tc>
        <w:tc>
          <w:tcPr>
            <w:tcW w:w="0" w:type="auto"/>
            <w:gridSpan w:val="3"/>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asciiTheme="majorEastAsia" w:hAnsiTheme="majorEastAsia" w:eastAsiaTheme="majorEastAsia" w:cstheme="majorEastAsia"/>
                <w:b w:val="0"/>
                <w:bCs w:val="0"/>
                <w:color w:val="auto"/>
                <w:sz w:val="20"/>
                <w:szCs w:val="20"/>
                <w:highlight w:val="none"/>
                <w:lang w:bidi="ar"/>
              </w:rPr>
              <w:t>50PPR</w:t>
            </w:r>
            <w:r>
              <w:rPr>
                <w:rFonts w:hint="eastAsia" w:asciiTheme="majorEastAsia" w:hAnsiTheme="majorEastAsia" w:eastAsiaTheme="majorEastAsia" w:cstheme="majorEastAsia"/>
                <w:b w:val="0"/>
                <w:bCs w:val="0"/>
                <w:color w:val="auto"/>
                <w:sz w:val="20"/>
                <w:szCs w:val="20"/>
                <w:highlight w:val="none"/>
                <w:lang w:bidi="ar"/>
              </w:rPr>
              <w:t>管（含设备运输、安装及调试费）</w:t>
            </w:r>
          </w:p>
        </w:tc>
        <w:tc>
          <w:tcPr>
            <w:tcW w:w="0" w:type="auto"/>
            <w:vAlign w:val="center"/>
          </w:tcPr>
          <w:p>
            <w:pPr>
              <w:spacing w:after="0" w:line="380" w:lineRule="exact"/>
              <w:textAlignment w:val="auto"/>
              <w:rPr>
                <w:rFonts w:asciiTheme="majorEastAsia" w:hAnsiTheme="majorEastAsia" w:eastAsiaTheme="majorEastAsia" w:cstheme="majorEastAsia"/>
                <w:b w:val="0"/>
                <w:bCs w:val="0"/>
                <w:color w:val="auto"/>
                <w:sz w:val="20"/>
                <w:szCs w:val="20"/>
                <w:highlight w:val="none"/>
              </w:rPr>
            </w:pPr>
            <w:r>
              <w:rPr>
                <w:rFonts w:cs="Times New Roman" w:asciiTheme="minorEastAsia" w:hAnsiTheme="minorEastAsia" w:eastAsiaTheme="minorEastAsia"/>
                <w:b w:val="0"/>
                <w:bCs w:val="0"/>
                <w:color w:val="auto"/>
                <w:kern w:val="2"/>
                <w:sz w:val="20"/>
                <w:szCs w:val="20"/>
                <w:highlight w:val="none"/>
                <w:lang w:bidi="ar-SA"/>
              </w:rPr>
              <w:t>20</w:t>
            </w:r>
            <w:r>
              <w:rPr>
                <w:rFonts w:hint="eastAsia" w:cs="Times New Roman" w:asciiTheme="minorEastAsia" w:hAnsiTheme="minorEastAsia" w:eastAsiaTheme="minorEastAsia"/>
                <w:b w:val="0"/>
                <w:bCs w:val="0"/>
                <w:color w:val="auto"/>
                <w:kern w:val="2"/>
                <w:sz w:val="20"/>
                <w:szCs w:val="20"/>
                <w:highlight w:val="none"/>
                <w:lang w:bidi="ar-SA"/>
              </w:rPr>
              <w:t>℃时密度为</w:t>
            </w:r>
            <w:r>
              <w:rPr>
                <w:rFonts w:cs="Times New Roman" w:asciiTheme="minorEastAsia" w:hAnsiTheme="minorEastAsia" w:eastAsiaTheme="minorEastAsia"/>
                <w:b w:val="0"/>
                <w:bCs w:val="0"/>
                <w:color w:val="auto"/>
                <w:kern w:val="2"/>
                <w:sz w:val="20"/>
                <w:szCs w:val="20"/>
                <w:highlight w:val="none"/>
                <w:lang w:bidi="ar-SA"/>
              </w:rPr>
              <w:t>0.90g/cm</w:t>
            </w:r>
            <w:r>
              <w:rPr>
                <w:rFonts w:hint="eastAsia" w:cs="Times New Roman" w:asciiTheme="minorEastAsia" w:hAnsiTheme="minorEastAsia" w:eastAsiaTheme="minorEastAsia"/>
                <w:b w:val="0"/>
                <w:bCs w:val="0"/>
                <w:color w:val="auto"/>
                <w:kern w:val="2"/>
                <w:sz w:val="20"/>
                <w:szCs w:val="20"/>
                <w:highlight w:val="none"/>
                <w:lang w:bidi="ar-SA"/>
              </w:rPr>
              <w:t>³、耐热性能好：瞬间使用温度为</w:t>
            </w:r>
            <w:r>
              <w:rPr>
                <w:rFonts w:cs="Times New Roman" w:asciiTheme="minorEastAsia" w:hAnsiTheme="minorEastAsia" w:eastAsiaTheme="minorEastAsia"/>
                <w:b w:val="0"/>
                <w:bCs w:val="0"/>
                <w:color w:val="auto"/>
                <w:kern w:val="2"/>
                <w:sz w:val="20"/>
                <w:szCs w:val="20"/>
                <w:highlight w:val="none"/>
                <w:lang w:bidi="ar-SA"/>
              </w:rPr>
              <w:t>95</w:t>
            </w:r>
            <w:r>
              <w:rPr>
                <w:rFonts w:hint="eastAsia" w:cs="Times New Roman" w:asciiTheme="minorEastAsia" w:hAnsiTheme="minorEastAsia" w:eastAsiaTheme="minorEastAsia"/>
                <w:b w:val="0"/>
                <w:bCs w:val="0"/>
                <w:color w:val="auto"/>
                <w:kern w:val="2"/>
                <w:sz w:val="20"/>
                <w:szCs w:val="20"/>
                <w:highlight w:val="none"/>
                <w:lang w:bidi="ar-SA"/>
              </w:rPr>
              <w:t>℃。耐腐蚀性能：非极性材料，对水中的所有离子和建筑物的化学物质均不起化学作用，不会生锈和腐蚀。能耗更低。具有良好的热熔性能，杜绝了漏水隐患。卫生、无毒对环境无污染，绿色建材。</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22</w:t>
            </w:r>
            <w:r>
              <w:rPr>
                <w:rFonts w:hint="eastAsia" w:asciiTheme="majorEastAsia" w:hAnsiTheme="majorEastAsia" w:eastAsiaTheme="majorEastAsia" w:cstheme="majorEastAsia"/>
                <w:b w:val="0"/>
                <w:bCs w:val="0"/>
                <w:color w:val="auto"/>
                <w:sz w:val="20"/>
                <w:szCs w:val="20"/>
                <w:highlight w:val="none"/>
                <w:lang w:bidi="ar"/>
              </w:rPr>
              <w:t>米</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50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14</w:t>
            </w:r>
          </w:p>
        </w:tc>
        <w:tc>
          <w:tcPr>
            <w:tcW w:w="0" w:type="auto"/>
            <w:gridSpan w:val="3"/>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asciiTheme="majorEastAsia" w:hAnsiTheme="majorEastAsia" w:eastAsiaTheme="majorEastAsia" w:cstheme="majorEastAsia"/>
                <w:b w:val="0"/>
                <w:bCs w:val="0"/>
                <w:color w:val="auto"/>
                <w:sz w:val="20"/>
                <w:szCs w:val="20"/>
                <w:highlight w:val="none"/>
                <w:lang w:bidi="ar"/>
              </w:rPr>
              <w:t>20PPR</w:t>
            </w:r>
            <w:r>
              <w:rPr>
                <w:rFonts w:hint="eastAsia" w:asciiTheme="majorEastAsia" w:hAnsiTheme="majorEastAsia" w:eastAsiaTheme="majorEastAsia" w:cstheme="majorEastAsia"/>
                <w:b w:val="0"/>
                <w:bCs w:val="0"/>
                <w:color w:val="auto"/>
                <w:sz w:val="20"/>
                <w:szCs w:val="20"/>
                <w:highlight w:val="none"/>
                <w:lang w:bidi="ar"/>
              </w:rPr>
              <w:t>管（含设备运输、安装及调试费）</w:t>
            </w:r>
          </w:p>
        </w:tc>
        <w:tc>
          <w:tcPr>
            <w:tcW w:w="0" w:type="auto"/>
            <w:vAlign w:val="center"/>
          </w:tcPr>
          <w:p>
            <w:pPr>
              <w:spacing w:after="0" w:line="380" w:lineRule="exact"/>
              <w:textAlignment w:val="auto"/>
              <w:rPr>
                <w:rFonts w:asciiTheme="majorEastAsia" w:hAnsiTheme="majorEastAsia" w:eastAsiaTheme="majorEastAsia" w:cstheme="majorEastAsia"/>
                <w:b w:val="0"/>
                <w:bCs w:val="0"/>
                <w:color w:val="auto"/>
                <w:sz w:val="20"/>
                <w:szCs w:val="20"/>
                <w:highlight w:val="none"/>
              </w:rPr>
            </w:pPr>
            <w:r>
              <w:rPr>
                <w:rFonts w:cs="Times New Roman" w:asciiTheme="minorEastAsia" w:hAnsiTheme="minorEastAsia" w:eastAsiaTheme="minorEastAsia"/>
                <w:b w:val="0"/>
                <w:bCs w:val="0"/>
                <w:color w:val="auto"/>
                <w:kern w:val="2"/>
                <w:sz w:val="20"/>
                <w:szCs w:val="20"/>
                <w:highlight w:val="none"/>
                <w:lang w:bidi="ar-SA"/>
              </w:rPr>
              <w:t>20</w:t>
            </w:r>
            <w:r>
              <w:rPr>
                <w:rFonts w:hint="eastAsia" w:cs="Times New Roman" w:asciiTheme="minorEastAsia" w:hAnsiTheme="minorEastAsia" w:eastAsiaTheme="minorEastAsia"/>
                <w:b w:val="0"/>
                <w:bCs w:val="0"/>
                <w:color w:val="auto"/>
                <w:kern w:val="2"/>
                <w:sz w:val="20"/>
                <w:szCs w:val="20"/>
                <w:highlight w:val="none"/>
                <w:lang w:bidi="ar-SA"/>
              </w:rPr>
              <w:t>℃时密度为</w:t>
            </w:r>
            <w:r>
              <w:rPr>
                <w:rFonts w:cs="Times New Roman" w:asciiTheme="minorEastAsia" w:hAnsiTheme="minorEastAsia" w:eastAsiaTheme="minorEastAsia"/>
                <w:b w:val="0"/>
                <w:bCs w:val="0"/>
                <w:color w:val="auto"/>
                <w:kern w:val="2"/>
                <w:sz w:val="20"/>
                <w:szCs w:val="20"/>
                <w:highlight w:val="none"/>
                <w:lang w:bidi="ar-SA"/>
              </w:rPr>
              <w:t>0.90g/cm</w:t>
            </w:r>
            <w:r>
              <w:rPr>
                <w:rFonts w:hint="eastAsia" w:cs="Times New Roman" w:asciiTheme="minorEastAsia" w:hAnsiTheme="minorEastAsia" w:eastAsiaTheme="minorEastAsia"/>
                <w:b w:val="0"/>
                <w:bCs w:val="0"/>
                <w:color w:val="auto"/>
                <w:kern w:val="2"/>
                <w:sz w:val="20"/>
                <w:szCs w:val="20"/>
                <w:highlight w:val="none"/>
                <w:lang w:bidi="ar-SA"/>
              </w:rPr>
              <w:t>³、耐热性能好：瞬间使用温度为</w:t>
            </w:r>
            <w:r>
              <w:rPr>
                <w:rFonts w:cs="Times New Roman" w:asciiTheme="minorEastAsia" w:hAnsiTheme="minorEastAsia" w:eastAsiaTheme="minorEastAsia"/>
                <w:b w:val="0"/>
                <w:bCs w:val="0"/>
                <w:color w:val="auto"/>
                <w:kern w:val="2"/>
                <w:sz w:val="20"/>
                <w:szCs w:val="20"/>
                <w:highlight w:val="none"/>
                <w:lang w:bidi="ar-SA"/>
              </w:rPr>
              <w:t>95</w:t>
            </w:r>
            <w:r>
              <w:rPr>
                <w:rFonts w:hint="eastAsia" w:cs="Times New Roman" w:asciiTheme="minorEastAsia" w:hAnsiTheme="minorEastAsia" w:eastAsiaTheme="minorEastAsia"/>
                <w:b w:val="0"/>
                <w:bCs w:val="0"/>
                <w:color w:val="auto"/>
                <w:kern w:val="2"/>
                <w:sz w:val="20"/>
                <w:szCs w:val="20"/>
                <w:highlight w:val="none"/>
                <w:lang w:bidi="ar-SA"/>
              </w:rPr>
              <w:t>℃。耐腐蚀性能：非极性材料，对水中的所有离子和建筑物的化学物质均不起化学作用，不会生锈和腐蚀。能耗更低。具有良好的热熔性能，杜绝了漏水隐患。卫生、无毒对环境无污染，绿色建材。</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49</w:t>
            </w:r>
            <w:r>
              <w:rPr>
                <w:rFonts w:hint="eastAsia" w:asciiTheme="majorEastAsia" w:hAnsiTheme="majorEastAsia" w:eastAsiaTheme="majorEastAsia" w:cstheme="majorEastAsia"/>
                <w:b w:val="0"/>
                <w:bCs w:val="0"/>
                <w:color w:val="auto"/>
                <w:sz w:val="20"/>
                <w:szCs w:val="20"/>
                <w:highlight w:val="none"/>
                <w:lang w:bidi="ar"/>
              </w:rPr>
              <w:t>米</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25</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15</w:t>
            </w:r>
          </w:p>
        </w:tc>
        <w:tc>
          <w:tcPr>
            <w:tcW w:w="0" w:type="auto"/>
            <w:gridSpan w:val="3"/>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asciiTheme="majorEastAsia" w:hAnsiTheme="majorEastAsia" w:eastAsiaTheme="majorEastAsia" w:cstheme="majorEastAsia"/>
                <w:b w:val="0"/>
                <w:bCs w:val="0"/>
                <w:color w:val="auto"/>
                <w:sz w:val="20"/>
                <w:szCs w:val="20"/>
                <w:highlight w:val="none"/>
                <w:lang w:bidi="ar"/>
              </w:rPr>
              <w:t>15PPR</w:t>
            </w:r>
            <w:r>
              <w:rPr>
                <w:rFonts w:hint="eastAsia" w:asciiTheme="majorEastAsia" w:hAnsiTheme="majorEastAsia" w:eastAsiaTheme="majorEastAsia" w:cstheme="majorEastAsia"/>
                <w:b w:val="0"/>
                <w:bCs w:val="0"/>
                <w:color w:val="auto"/>
                <w:sz w:val="20"/>
                <w:szCs w:val="20"/>
                <w:highlight w:val="none"/>
                <w:lang w:bidi="ar"/>
              </w:rPr>
              <w:t>管（含设备运输、安装及调试费）</w:t>
            </w:r>
          </w:p>
        </w:tc>
        <w:tc>
          <w:tcPr>
            <w:tcW w:w="0" w:type="auto"/>
            <w:vAlign w:val="center"/>
          </w:tcPr>
          <w:p>
            <w:pPr>
              <w:spacing w:after="0" w:line="380" w:lineRule="exact"/>
              <w:textAlignment w:val="auto"/>
              <w:rPr>
                <w:rFonts w:asciiTheme="majorEastAsia" w:hAnsiTheme="majorEastAsia" w:eastAsiaTheme="majorEastAsia" w:cstheme="majorEastAsia"/>
                <w:b w:val="0"/>
                <w:bCs w:val="0"/>
                <w:color w:val="auto"/>
                <w:sz w:val="20"/>
                <w:szCs w:val="20"/>
                <w:highlight w:val="none"/>
              </w:rPr>
            </w:pPr>
            <w:r>
              <w:rPr>
                <w:rFonts w:cs="Times New Roman" w:asciiTheme="minorEastAsia" w:hAnsiTheme="minorEastAsia" w:eastAsiaTheme="minorEastAsia"/>
                <w:b w:val="0"/>
                <w:bCs w:val="0"/>
                <w:color w:val="auto"/>
                <w:kern w:val="2"/>
                <w:sz w:val="20"/>
                <w:szCs w:val="20"/>
                <w:highlight w:val="none"/>
                <w:lang w:bidi="ar-SA"/>
              </w:rPr>
              <w:t>20</w:t>
            </w:r>
            <w:r>
              <w:rPr>
                <w:rFonts w:hint="eastAsia" w:cs="Times New Roman" w:asciiTheme="minorEastAsia" w:hAnsiTheme="minorEastAsia" w:eastAsiaTheme="minorEastAsia"/>
                <w:b w:val="0"/>
                <w:bCs w:val="0"/>
                <w:color w:val="auto"/>
                <w:kern w:val="2"/>
                <w:sz w:val="20"/>
                <w:szCs w:val="20"/>
                <w:highlight w:val="none"/>
                <w:lang w:bidi="ar-SA"/>
              </w:rPr>
              <w:t>℃时密度为</w:t>
            </w:r>
            <w:r>
              <w:rPr>
                <w:rFonts w:cs="Times New Roman" w:asciiTheme="minorEastAsia" w:hAnsiTheme="minorEastAsia" w:eastAsiaTheme="minorEastAsia"/>
                <w:b w:val="0"/>
                <w:bCs w:val="0"/>
                <w:color w:val="auto"/>
                <w:kern w:val="2"/>
                <w:sz w:val="20"/>
                <w:szCs w:val="20"/>
                <w:highlight w:val="none"/>
                <w:lang w:bidi="ar-SA"/>
              </w:rPr>
              <w:t>0.90g/cm</w:t>
            </w:r>
            <w:r>
              <w:rPr>
                <w:rFonts w:hint="eastAsia" w:cs="Times New Roman" w:asciiTheme="minorEastAsia" w:hAnsiTheme="minorEastAsia" w:eastAsiaTheme="minorEastAsia"/>
                <w:b w:val="0"/>
                <w:bCs w:val="0"/>
                <w:color w:val="auto"/>
                <w:kern w:val="2"/>
                <w:sz w:val="20"/>
                <w:szCs w:val="20"/>
                <w:highlight w:val="none"/>
                <w:lang w:bidi="ar-SA"/>
              </w:rPr>
              <w:t>³、耐热性能好：瞬间使用温度为</w:t>
            </w:r>
            <w:r>
              <w:rPr>
                <w:rFonts w:cs="Times New Roman" w:asciiTheme="minorEastAsia" w:hAnsiTheme="minorEastAsia" w:eastAsiaTheme="minorEastAsia"/>
                <w:b w:val="0"/>
                <w:bCs w:val="0"/>
                <w:color w:val="auto"/>
                <w:kern w:val="2"/>
                <w:sz w:val="20"/>
                <w:szCs w:val="20"/>
                <w:highlight w:val="none"/>
                <w:lang w:bidi="ar-SA"/>
              </w:rPr>
              <w:t>95</w:t>
            </w:r>
            <w:r>
              <w:rPr>
                <w:rFonts w:hint="eastAsia" w:cs="Times New Roman" w:asciiTheme="minorEastAsia" w:hAnsiTheme="minorEastAsia" w:eastAsiaTheme="minorEastAsia"/>
                <w:b w:val="0"/>
                <w:bCs w:val="0"/>
                <w:color w:val="auto"/>
                <w:kern w:val="2"/>
                <w:sz w:val="20"/>
                <w:szCs w:val="20"/>
                <w:highlight w:val="none"/>
                <w:lang w:bidi="ar-SA"/>
              </w:rPr>
              <w:t>℃。耐腐蚀性能：非极性材料，对水中的所有离子和建筑物的化学物质均不起化学作用，不会生锈和腐蚀。能耗更低。具有良好的热熔性能，杜绝了漏水隐患。卫生、无毒对环境无污染，绿色建材。</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5</w:t>
            </w:r>
            <w:r>
              <w:rPr>
                <w:rFonts w:hint="eastAsia" w:asciiTheme="majorEastAsia" w:hAnsiTheme="majorEastAsia" w:eastAsiaTheme="majorEastAsia" w:cstheme="majorEastAsia"/>
                <w:b w:val="0"/>
                <w:bCs w:val="0"/>
                <w:color w:val="auto"/>
                <w:sz w:val="20"/>
                <w:szCs w:val="20"/>
                <w:highlight w:val="none"/>
                <w:lang w:bidi="ar"/>
              </w:rPr>
              <w:t>米</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16</w:t>
            </w:r>
          </w:p>
        </w:tc>
        <w:tc>
          <w:tcPr>
            <w:tcW w:w="0" w:type="auto"/>
            <w:gridSpan w:val="3"/>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绿化带高效率滴灌带（含设备运输、安装及调试费）</w:t>
            </w:r>
          </w:p>
        </w:tc>
        <w:tc>
          <w:tcPr>
            <w:tcW w:w="0" w:type="auto"/>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配套雨水空调水收集箱使用</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21</w:t>
            </w:r>
            <w:r>
              <w:rPr>
                <w:rFonts w:hint="eastAsia" w:asciiTheme="majorEastAsia" w:hAnsiTheme="majorEastAsia" w:eastAsiaTheme="majorEastAsia" w:cstheme="majorEastAsia"/>
                <w:b w:val="0"/>
                <w:bCs w:val="0"/>
                <w:color w:val="auto"/>
                <w:sz w:val="20"/>
                <w:szCs w:val="20"/>
                <w:highlight w:val="none"/>
                <w:lang w:bidi="ar"/>
              </w:rPr>
              <w:t>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1200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17</w:t>
            </w:r>
          </w:p>
        </w:tc>
        <w:tc>
          <w:tcPr>
            <w:tcW w:w="0" w:type="auto"/>
            <w:gridSpan w:val="3"/>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阀门（含设备运输、安装及调试费）</w:t>
            </w:r>
          </w:p>
        </w:tc>
        <w:tc>
          <w:tcPr>
            <w:tcW w:w="0" w:type="auto"/>
            <w:vAlign w:val="center"/>
          </w:tcPr>
          <w:p>
            <w:pPr>
              <w:spacing w:after="0" w:line="380" w:lineRule="exact"/>
              <w:jc w:val="left"/>
              <w:textAlignment w:val="auto"/>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lang w:bidi="ar-SA"/>
              </w:rPr>
              <w:t>不锈钢外管铜芯材质，配套节水冲水箱，螺纹规范</w:t>
            </w:r>
            <w:r>
              <w:rPr>
                <w:rFonts w:cs="Times New Roman" w:asciiTheme="minorEastAsia" w:hAnsiTheme="minorEastAsia" w:eastAsiaTheme="minorEastAsia"/>
                <w:b w:val="0"/>
                <w:bCs w:val="0"/>
                <w:color w:val="auto"/>
                <w:kern w:val="2"/>
                <w:sz w:val="20"/>
                <w:szCs w:val="20"/>
                <w:highlight w:val="none"/>
                <w:lang w:bidi="ar-SA"/>
              </w:rPr>
              <w:t>G1/2,</w:t>
            </w:r>
            <w:r>
              <w:rPr>
                <w:rFonts w:hint="eastAsia" w:cs="Times New Roman" w:asciiTheme="minorEastAsia" w:hAnsiTheme="minorEastAsia" w:eastAsiaTheme="minorEastAsia"/>
                <w:b w:val="0"/>
                <w:bCs w:val="0"/>
                <w:color w:val="auto"/>
                <w:kern w:val="2"/>
                <w:sz w:val="20"/>
                <w:szCs w:val="20"/>
                <w:highlight w:val="none"/>
                <w:lang w:bidi="ar-SA"/>
              </w:rPr>
              <w:t>达到</w:t>
            </w:r>
            <w:r>
              <w:rPr>
                <w:rFonts w:cs="Times New Roman" w:asciiTheme="minorEastAsia" w:hAnsiTheme="minorEastAsia" w:eastAsiaTheme="minorEastAsia"/>
                <w:b w:val="0"/>
                <w:bCs w:val="0"/>
                <w:color w:val="auto"/>
                <w:kern w:val="2"/>
                <w:sz w:val="20"/>
                <w:szCs w:val="20"/>
                <w:highlight w:val="none"/>
                <w:lang w:bidi="ar-SA"/>
              </w:rPr>
              <w:t>DB11/T 343-2018</w:t>
            </w:r>
            <w:r>
              <w:rPr>
                <w:rFonts w:hint="eastAsia" w:cs="Times New Roman" w:asciiTheme="minorEastAsia" w:hAnsiTheme="minorEastAsia" w:eastAsiaTheme="minorEastAsia"/>
                <w:b w:val="0"/>
                <w:bCs w:val="0"/>
                <w:color w:val="auto"/>
                <w:kern w:val="2"/>
                <w:sz w:val="20"/>
                <w:szCs w:val="20"/>
                <w:highlight w:val="none"/>
                <w:lang w:bidi="ar-SA"/>
              </w:rPr>
              <w:t>节水器具应用技术标准</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21</w:t>
            </w:r>
            <w:r>
              <w:rPr>
                <w:rFonts w:hint="eastAsia" w:asciiTheme="majorEastAsia" w:hAnsiTheme="majorEastAsia" w:eastAsiaTheme="majorEastAsia" w:cstheme="majorEastAsia"/>
                <w:b w:val="0"/>
                <w:bCs w:val="0"/>
                <w:color w:val="auto"/>
                <w:sz w:val="20"/>
                <w:szCs w:val="20"/>
                <w:highlight w:val="none"/>
                <w:lang w:bidi="ar"/>
              </w:rPr>
              <w:t>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220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4620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18</w:t>
            </w:r>
          </w:p>
        </w:tc>
        <w:tc>
          <w:tcPr>
            <w:tcW w:w="0" w:type="auto"/>
            <w:gridSpan w:val="3"/>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管材配件（含设备运输、安装及调试费）</w:t>
            </w:r>
          </w:p>
        </w:tc>
        <w:tc>
          <w:tcPr>
            <w:tcW w:w="0" w:type="auto"/>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质保</w:t>
            </w:r>
            <w:r>
              <w:rPr>
                <w:rFonts w:hint="eastAsia" w:asciiTheme="majorEastAsia" w:hAnsiTheme="majorEastAsia" w:eastAsiaTheme="majorEastAsia" w:cstheme="majorEastAsia"/>
                <w:b w:val="0"/>
                <w:bCs w:val="0"/>
                <w:color w:val="auto"/>
                <w:sz w:val="20"/>
                <w:szCs w:val="20"/>
                <w:highlight w:val="none"/>
                <w:lang w:eastAsia="zh-CN" w:bidi="ar"/>
              </w:rPr>
              <w:t>二</w:t>
            </w:r>
            <w:r>
              <w:rPr>
                <w:rFonts w:hint="eastAsia" w:asciiTheme="majorEastAsia" w:hAnsiTheme="majorEastAsia" w:eastAsiaTheme="majorEastAsia" w:cstheme="majorEastAsia"/>
                <w:b w:val="0"/>
                <w:bCs w:val="0"/>
                <w:color w:val="auto"/>
                <w:sz w:val="20"/>
                <w:szCs w:val="20"/>
                <w:highlight w:val="none"/>
                <w:lang w:bidi="ar"/>
              </w:rPr>
              <w:t>年，符合国家标准（符合</w:t>
            </w:r>
            <w:r>
              <w:rPr>
                <w:rFonts w:asciiTheme="majorEastAsia" w:hAnsiTheme="majorEastAsia" w:eastAsiaTheme="majorEastAsia" w:cstheme="majorEastAsia"/>
                <w:b w:val="0"/>
                <w:bCs w:val="0"/>
                <w:color w:val="auto"/>
                <w:sz w:val="20"/>
                <w:szCs w:val="20"/>
                <w:highlight w:val="none"/>
                <w:lang w:bidi="ar"/>
              </w:rPr>
              <w:t>ISO12176-2</w:t>
            </w:r>
            <w:r>
              <w:rPr>
                <w:rFonts w:hint="eastAsia" w:asciiTheme="majorEastAsia" w:hAnsiTheme="majorEastAsia" w:eastAsiaTheme="majorEastAsia" w:cstheme="majorEastAsia"/>
                <w:b w:val="0"/>
                <w:bCs w:val="0"/>
                <w:color w:val="auto"/>
                <w:sz w:val="20"/>
                <w:szCs w:val="20"/>
                <w:highlight w:val="none"/>
                <w:lang w:bidi="ar"/>
              </w:rPr>
              <w:t>）</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11</w:t>
            </w:r>
            <w:r>
              <w:rPr>
                <w:rFonts w:hint="eastAsia" w:asciiTheme="majorEastAsia" w:hAnsiTheme="majorEastAsia" w:eastAsiaTheme="majorEastAsia" w:cstheme="majorEastAsia"/>
                <w:b w:val="0"/>
                <w:bCs w:val="0"/>
                <w:color w:val="auto"/>
                <w:sz w:val="20"/>
                <w:szCs w:val="20"/>
                <w:highlight w:val="none"/>
                <w:lang w:bidi="ar"/>
              </w:rPr>
              <w:t>项</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900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19</w:t>
            </w:r>
          </w:p>
        </w:tc>
        <w:tc>
          <w:tcPr>
            <w:tcW w:w="0" w:type="auto"/>
            <w:gridSpan w:val="3"/>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二级水表（经水厂调校高精度水表）</w:t>
            </w:r>
          </w:p>
        </w:tc>
        <w:tc>
          <w:tcPr>
            <w:tcW w:w="0" w:type="auto"/>
            <w:vAlign w:val="center"/>
          </w:tcPr>
          <w:p>
            <w:pPr>
              <w:spacing w:after="0" w:line="380" w:lineRule="exact"/>
              <w:jc w:val="left"/>
              <w:textAlignment w:val="auto"/>
              <w:rPr>
                <w:rFonts w:cs="Times New Roman" w:asciiTheme="minorEastAsia" w:hAnsiTheme="minorEastAsia" w:eastAsiaTheme="minorEastAsia"/>
                <w:b w:val="0"/>
                <w:bCs w:val="0"/>
                <w:color w:val="auto"/>
                <w:kern w:val="2"/>
                <w:sz w:val="20"/>
                <w:szCs w:val="20"/>
                <w:highlight w:val="none"/>
              </w:rPr>
            </w:pPr>
            <w:r>
              <w:rPr>
                <w:rFonts w:hint="eastAsia" w:cs="Times New Roman" w:asciiTheme="minorEastAsia" w:hAnsiTheme="minorEastAsia" w:eastAsiaTheme="minorEastAsia"/>
                <w:b w:val="0"/>
                <w:bCs w:val="0"/>
                <w:color w:val="auto"/>
                <w:kern w:val="2"/>
                <w:sz w:val="20"/>
                <w:szCs w:val="20"/>
                <w:highlight w:val="none"/>
                <w:lang w:bidi="ar-SA"/>
              </w:rPr>
              <w:t>经市级供水机构调校高精度水表，耐冻抗冻，水平旋翼，工作压力≤</w:t>
            </w:r>
            <w:r>
              <w:rPr>
                <w:rFonts w:cs="Times New Roman" w:asciiTheme="minorEastAsia" w:hAnsiTheme="minorEastAsia" w:eastAsiaTheme="minorEastAsia"/>
                <w:b w:val="0"/>
                <w:bCs w:val="0"/>
                <w:color w:val="auto"/>
                <w:kern w:val="2"/>
                <w:sz w:val="20"/>
                <w:szCs w:val="20"/>
                <w:highlight w:val="none"/>
                <w:lang w:bidi="ar-SA"/>
              </w:rPr>
              <w:t>1.0MPA</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39</w:t>
            </w:r>
            <w:r>
              <w:rPr>
                <w:rFonts w:hint="eastAsia" w:asciiTheme="majorEastAsia" w:hAnsiTheme="majorEastAsia" w:eastAsiaTheme="majorEastAsia" w:cstheme="majorEastAsia"/>
                <w:b w:val="0"/>
                <w:bCs w:val="0"/>
                <w:color w:val="auto"/>
                <w:sz w:val="20"/>
                <w:szCs w:val="20"/>
                <w:highlight w:val="none"/>
                <w:lang w:bidi="ar"/>
              </w:rPr>
              <w:t>块</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335</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20</w:t>
            </w:r>
          </w:p>
        </w:tc>
        <w:tc>
          <w:tcPr>
            <w:tcW w:w="0" w:type="auto"/>
            <w:gridSpan w:val="3"/>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土建费用</w:t>
            </w:r>
          </w:p>
        </w:tc>
        <w:tc>
          <w:tcPr>
            <w:tcW w:w="0" w:type="auto"/>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部分机关改造需要土建改造</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5</w:t>
            </w:r>
            <w:r>
              <w:rPr>
                <w:rFonts w:hint="eastAsia" w:asciiTheme="majorEastAsia" w:hAnsiTheme="majorEastAsia" w:eastAsiaTheme="majorEastAsia" w:cstheme="majorEastAsia"/>
                <w:b w:val="0"/>
                <w:bCs w:val="0"/>
                <w:color w:val="auto"/>
                <w:sz w:val="20"/>
                <w:szCs w:val="20"/>
                <w:highlight w:val="none"/>
                <w:lang w:bidi="ar"/>
              </w:rPr>
              <w:t>项</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1800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21</w:t>
            </w:r>
          </w:p>
        </w:tc>
        <w:tc>
          <w:tcPr>
            <w:tcW w:w="0" w:type="auto"/>
            <w:gridSpan w:val="3"/>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节水宣传教育费用汇总</w:t>
            </w:r>
          </w:p>
        </w:tc>
        <w:tc>
          <w:tcPr>
            <w:tcW w:w="0" w:type="auto"/>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节水宣传教育知识传播及节水会议宣教费用</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11</w:t>
            </w:r>
            <w:r>
              <w:rPr>
                <w:rFonts w:hint="eastAsia" w:asciiTheme="majorEastAsia" w:hAnsiTheme="majorEastAsia" w:eastAsiaTheme="majorEastAsia" w:cstheme="majorEastAsia"/>
                <w:b w:val="0"/>
                <w:bCs w:val="0"/>
                <w:color w:val="auto"/>
                <w:sz w:val="20"/>
                <w:szCs w:val="20"/>
                <w:highlight w:val="none"/>
                <w:lang w:bidi="ar"/>
              </w:rPr>
              <w:t>项</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1500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22</w:t>
            </w:r>
          </w:p>
        </w:tc>
        <w:tc>
          <w:tcPr>
            <w:tcW w:w="0" w:type="auto"/>
            <w:gridSpan w:val="3"/>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制度规范咨询及验收材料整理费用汇总</w:t>
            </w:r>
          </w:p>
        </w:tc>
        <w:tc>
          <w:tcPr>
            <w:tcW w:w="0" w:type="auto"/>
            <w:vAlign w:val="center"/>
          </w:tcPr>
          <w:p>
            <w:pPr>
              <w:jc w:val="center"/>
              <w:textAlignment w:val="center"/>
              <w:rPr>
                <w:rFonts w:asciiTheme="majorEastAsia" w:hAnsiTheme="majorEastAsia" w:eastAsiaTheme="majorEastAsia" w:cstheme="majorEastAsia"/>
                <w:b w:val="0"/>
                <w:bCs w:val="0"/>
                <w:color w:val="auto"/>
                <w:sz w:val="20"/>
                <w:szCs w:val="20"/>
                <w:highlight w:val="none"/>
              </w:rPr>
            </w:pPr>
            <w:r>
              <w:rPr>
                <w:rFonts w:hint="eastAsia" w:asciiTheme="majorEastAsia" w:hAnsiTheme="majorEastAsia" w:eastAsiaTheme="majorEastAsia" w:cstheme="majorEastAsia"/>
                <w:b w:val="0"/>
                <w:bCs w:val="0"/>
                <w:color w:val="auto"/>
                <w:sz w:val="20"/>
                <w:szCs w:val="20"/>
                <w:highlight w:val="none"/>
                <w:lang w:bidi="ar"/>
              </w:rPr>
              <w:t>节水制度建立归档咨询费用及自评报告等验收材料汇编整理</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11</w:t>
            </w:r>
            <w:r>
              <w:rPr>
                <w:rFonts w:hint="eastAsia" w:asciiTheme="majorEastAsia" w:hAnsiTheme="majorEastAsia" w:eastAsiaTheme="majorEastAsia" w:cstheme="majorEastAsia"/>
                <w:b w:val="0"/>
                <w:bCs w:val="0"/>
                <w:color w:val="auto"/>
                <w:sz w:val="20"/>
                <w:szCs w:val="20"/>
                <w:highlight w:val="none"/>
                <w:lang w:bidi="ar"/>
              </w:rPr>
              <w:t>项</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2500</w:t>
            </w:r>
          </w:p>
        </w:tc>
        <w:tc>
          <w:tcPr>
            <w:tcW w:w="0" w:type="auto"/>
            <w:vAlign w:val="center"/>
          </w:tcPr>
          <w:p>
            <w:pPr>
              <w:spacing w:line="380" w:lineRule="exact"/>
              <w:jc w:val="center"/>
              <w:textAlignment w:val="center"/>
              <w:rPr>
                <w:rFonts w:asciiTheme="majorEastAsia" w:hAnsiTheme="majorEastAsia" w:eastAsiaTheme="majorEastAsia" w:cstheme="majorEastAsia"/>
                <w:b w:val="0"/>
                <w:bCs w:val="0"/>
                <w:color w:val="auto"/>
                <w:sz w:val="20"/>
                <w:szCs w:val="20"/>
                <w:highlight w:val="none"/>
                <w:lang w:bidi="ar"/>
              </w:rPr>
            </w:pPr>
            <w:r>
              <w:rPr>
                <w:rFonts w:asciiTheme="majorEastAsia" w:hAnsiTheme="majorEastAsia" w:eastAsiaTheme="majorEastAsia" w:cstheme="majorEastAsia"/>
                <w:b w:val="0"/>
                <w:bCs w:val="0"/>
                <w:color w:val="auto"/>
                <w:sz w:val="20"/>
                <w:szCs w:val="20"/>
                <w:highlight w:val="none"/>
                <w:lang w:bidi="ar"/>
              </w:rPr>
              <w:t>27500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0" w:firstLineChars="200"/>
              <w:jc w:val="center"/>
              <w:rPr>
                <w:rFonts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合计</w:t>
            </w:r>
          </w:p>
        </w:tc>
        <w:tc>
          <w:tcPr>
            <w:tcW w:w="86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Theme="majorEastAsia" w:hAnsiTheme="majorEastAsia" w:eastAsiaTheme="majorEastAsia" w:cstheme="majorEastAsia"/>
                <w:b w:val="0"/>
                <w:bCs w:val="0"/>
                <w:color w:val="auto"/>
                <w:sz w:val="21"/>
                <w:szCs w:val="21"/>
                <w:highlight w:val="none"/>
                <w:lang w:eastAsia="zh-CN"/>
              </w:rPr>
            </w:pPr>
            <w:r>
              <w:rPr>
                <w:rFonts w:hint="eastAsia" w:asciiTheme="majorEastAsia" w:hAnsiTheme="majorEastAsia" w:eastAsiaTheme="majorEastAsia" w:cstheme="majorEastAsia"/>
                <w:b w:val="0"/>
                <w:bCs w:val="0"/>
                <w:color w:val="auto"/>
                <w:sz w:val="21"/>
                <w:szCs w:val="21"/>
                <w:highlight w:val="none"/>
                <w:lang w:bidi="ar"/>
              </w:rPr>
              <w:t>482170.00</w:t>
            </w:r>
            <w:r>
              <w:rPr>
                <w:rFonts w:hint="eastAsia" w:asciiTheme="majorEastAsia" w:hAnsiTheme="majorEastAsia" w:eastAsiaTheme="majorEastAsia" w:cstheme="majorEastAsia"/>
                <w:b w:val="0"/>
                <w:bCs w:val="0"/>
                <w:color w:val="auto"/>
                <w:sz w:val="21"/>
                <w:szCs w:val="21"/>
                <w:highlight w:val="none"/>
                <w:lang w:eastAsia="zh-CN" w:bidi="ar"/>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0" w:type="auto"/>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2" w:firstLineChars="200"/>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二、涉及项目的其他要求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采购上限控制价</w:t>
            </w:r>
          </w:p>
        </w:tc>
        <w:tc>
          <w:tcPr>
            <w:tcW w:w="0" w:type="auto"/>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人民币835120.00元；其中1标（罗城仫佬族自治县7个灌区计量设施建设）352950.00元；2标（罗城仫佬族自治县11个节水型公共机构建设）482170.00元；有效报价范围为小于或等于采购上限控制价及对应的单价，大于采购上限控制价及对应的单价的为无效竞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为落实政府采购政策需满足的要求</w:t>
            </w:r>
          </w:p>
        </w:tc>
        <w:tc>
          <w:tcPr>
            <w:tcW w:w="0" w:type="auto"/>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具体见本采购文件“供应商须知”。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规范标准</w:t>
            </w:r>
          </w:p>
        </w:tc>
        <w:tc>
          <w:tcPr>
            <w:tcW w:w="0" w:type="auto"/>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采购标的需执行的国家标准、行业标准、地方标准或者其他标准、规范。多项标准的，按最新标准或较高标准执行。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采购标的需满足的质量、安全、技术规格、物理特性等</w:t>
            </w:r>
          </w:p>
        </w:tc>
        <w:tc>
          <w:tcPr>
            <w:tcW w:w="0" w:type="auto"/>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见项目采购需求清单表“功能目标及技术指标”。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采购标的验收标准</w:t>
            </w:r>
          </w:p>
        </w:tc>
        <w:tc>
          <w:tcPr>
            <w:tcW w:w="0" w:type="auto"/>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货物到达现场后，成交人应在采购人单位人员在场情况下当面开箱，共同清点、检查外观，作出开箱记录，双方签字确认。成交人应保证货物到达采购人所在地完好无损，如有缺漏、损坏，由成交人负责调换、补齐或赔偿。验收过程中所产生的一切费用均由成交人承担，报价时应考虑相关费用。</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2、成交人提供的货物需全新、完好、无破损，应提供完备的技术或服务资料、装箱单和合格证等，并派遣专业人员进行现场安装调试。验收合格条件如下：</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（1）货物或服务技术参数与采购合同一致，性能或指标达到规定的标准。</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（2）技术或资料、装箱单、合格证等资料齐全。</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（3）在测试或试运行期间所出现的问题得到解决，并运行或工作正常。</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（4）在规定时间内完成交货及验收，并经采购人确认。</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3、项目验收应遵循国家及行业相关验收标准：成交人在安装调试完成后需提交全部图纸、配置资料、交验收报告、测试报告（如有）等。</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4、在安装调试并试运行符合要求后，才作最终验收。</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5、为保证《项目采购需求和说明》中带有“</w:t>
            </w:r>
            <w:r>
              <w:rPr>
                <w:rFonts w:hint="eastAsia" w:ascii="宋体" w:hAnsi="宋体" w:eastAsia="宋体" w:cs="宋体"/>
                <w:color w:val="auto"/>
                <w:sz w:val="21"/>
                <w:szCs w:val="21"/>
                <w:highlight w:val="none"/>
              </w:rPr>
              <w:t>▲</w:t>
            </w:r>
            <w:r>
              <w:rPr>
                <w:rFonts w:hint="eastAsia" w:asciiTheme="majorEastAsia" w:hAnsiTheme="majorEastAsia" w:eastAsiaTheme="majorEastAsia" w:cstheme="majorEastAsia"/>
                <w:color w:val="auto"/>
                <w:sz w:val="21"/>
                <w:szCs w:val="21"/>
                <w:highlight w:val="none"/>
              </w:rPr>
              <w:t>”号的技术指标和性能达到采购文件要求及与合同、响应文件相符，如采购人对成交人所竞标货物的技术指标有质疑，供货时须进行现场演示，以确认是否达到合同、采购文件、响应文件中所规定的技术功能要求；成交人未提供的或演示效果达不到合同、采购文件、响应文件中所规定的技术功能要求，则视为合同违约，所有损失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其他技术及服务要求</w:t>
            </w:r>
          </w:p>
        </w:tc>
        <w:tc>
          <w:tcPr>
            <w:tcW w:w="86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1、成交供应商接到采购人送货电话或传真，24 小时内送到业主指定地点。如供货商以数量太少、路途远等为由拒不送货或延迟送货的，由此造成的无法及时维修的实际损失由供应商负责。超过五次以上的，将中止双方合作，直至整改完成为止。</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2、采购人有权对供货商的销货及进货发票进行检查。</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供货商在协议有效期内发生转让、兼并、撤销等情况变化时，须提前一个月向采购人提交书面公函，在公函中须明确协议供货商有关权利和义务等继承的方法或终止供应商协议供货申请，采购人在收到公函之日起，在 7个工作日内以书面形式提交回复。</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4、在协议供货有效期内，供货商法人名称、经营场所、联系人等发生变更时，须以书面形式并附证明材料向采购提交变更备案。</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5、采购人可根据项目实际情况增加或减少采购数量，供应商成交单价不得调整，不得因此向采购人进行索赔。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2" w:firstLineChars="200"/>
              <w:jc w:val="center"/>
              <w:rPr>
                <w:rFonts w:asciiTheme="majorEastAsia" w:hAnsiTheme="majorEastAsia" w:eastAsiaTheme="majorEastAsia" w:cstheme="majorEastAsia"/>
                <w:b/>
                <w:color w:val="auto"/>
                <w:sz w:val="21"/>
                <w:szCs w:val="21"/>
                <w:highlight w:val="none"/>
              </w:rPr>
            </w:pPr>
            <w:r>
              <w:rPr>
                <w:rFonts w:hint="eastAsia" w:ascii="宋体" w:hAnsi="宋体" w:eastAsia="宋体" w:cs="宋体"/>
                <w:b/>
                <w:color w:val="auto"/>
                <w:sz w:val="21"/>
                <w:szCs w:val="21"/>
                <w:highlight w:val="none"/>
              </w:rPr>
              <w:t>▲</w:t>
            </w:r>
            <w:r>
              <w:rPr>
                <w:rFonts w:hint="eastAsia" w:asciiTheme="majorEastAsia" w:hAnsiTheme="majorEastAsia" w:eastAsiaTheme="majorEastAsia" w:cstheme="majorEastAsia"/>
                <w:b/>
                <w:color w:val="auto"/>
                <w:sz w:val="21"/>
                <w:szCs w:val="21"/>
                <w:highlight w:val="none"/>
              </w:rPr>
              <w:t>三、商务条款（不满足商务要求的竞标无效）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质保期</w:t>
            </w:r>
          </w:p>
        </w:tc>
        <w:tc>
          <w:tcPr>
            <w:tcW w:w="86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按国家“三包”规定执行“三包”。必须保证所有产品均为正牌厂家生产全新原装产品，并完全符合国家有关产品质量、服务和环保标准，非贴牌产品，非长期积压的污损货品；免费保修期不得低于 1 年（免费保修期从设备验收合格之日起计算）。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交货时间及地点</w:t>
            </w:r>
          </w:p>
        </w:tc>
        <w:tc>
          <w:tcPr>
            <w:tcW w:w="86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1.自签订合同之日起30天内交货并安装调试完毕。</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售后服务要求</w:t>
            </w:r>
          </w:p>
        </w:tc>
        <w:tc>
          <w:tcPr>
            <w:tcW w:w="86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质保期内负责维修、更换零部件，除另行特别注明外，服务内容如下：</w:t>
            </w:r>
          </w:p>
          <w:p>
            <w:pPr>
              <w:spacing w:after="0" w:line="38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（1）负责免费送货上门，负责免费安装调试合格。</w:t>
            </w:r>
          </w:p>
          <w:p>
            <w:pPr>
              <w:spacing w:after="0" w:line="38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（2）免费提供现场技术培训，保证使用人员正常操作设备的各种功能，终身提供免费技术支持。</w:t>
            </w:r>
          </w:p>
          <w:p>
            <w:pPr>
              <w:spacing w:after="0" w:line="38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（3）采购人预定的多余材料，供应商应无条件给予免费退货；</w:t>
            </w:r>
          </w:p>
          <w:p>
            <w:pPr>
              <w:spacing w:after="0" w:line="38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（4）报价所列清单以外的维修材料的采购（如特殊少用维修配件）， 价格由双方协商，由供货商参照市场售价供货，不得高于市场价；</w:t>
            </w:r>
          </w:p>
          <w:p>
            <w:pPr>
              <w:spacing w:after="0" w:line="38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（5）紧急维修所需的材料，无论时间、数量，供应商必须保证及时送达采购人指定地点。如营业点无相关材料的，供应商必须及时调货配送；</w:t>
            </w:r>
          </w:p>
          <w:p>
            <w:pPr>
              <w:spacing w:after="0" w:line="38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（6）因采购材料常用品牌停产或暂时无货，临时更换其他品牌的，其质量必须相当于或者优于原采购品牌的质量。</w:t>
            </w:r>
          </w:p>
          <w:p>
            <w:pPr>
              <w:spacing w:after="0" w:line="38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（7）提供固定送货和维修人员热线电话，接到质量问题通知，必须 1小时内到达现场；</w:t>
            </w:r>
          </w:p>
          <w:p>
            <w:pPr>
              <w:spacing w:after="0" w:line="38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（8）提供货物符合国家有关标准。若供货物出现质量问题，采购人有权要求供应商在 1 个工作日内整改，并发出书面警告通知，所供货物再次出现质量问题，采购人有权取消其定点供应商资格。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付款方式</w:t>
            </w:r>
          </w:p>
        </w:tc>
        <w:tc>
          <w:tcPr>
            <w:tcW w:w="86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r>
              <w:rPr>
                <w:rFonts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rPr>
              <w:t>）合同签订后5个工作日内，按成交价的3</w:t>
            </w:r>
            <w:r>
              <w:rPr>
                <w:rFonts w:asciiTheme="majorEastAsia" w:hAnsiTheme="majorEastAsia" w:eastAsiaTheme="majorEastAsia" w:cstheme="majorEastAsia"/>
                <w:color w:val="auto"/>
                <w:sz w:val="21"/>
                <w:szCs w:val="21"/>
                <w:highlight w:val="none"/>
              </w:rPr>
              <w:t>0</w:t>
            </w:r>
            <w:r>
              <w:rPr>
                <w:rFonts w:hint="eastAsia" w:asciiTheme="majorEastAsia" w:hAnsiTheme="majorEastAsia" w:eastAsiaTheme="majorEastAsia" w:cstheme="majorEastAsia"/>
                <w:color w:val="auto"/>
                <w:sz w:val="21"/>
                <w:szCs w:val="21"/>
                <w:highlight w:val="none"/>
              </w:rPr>
              <w:t>%支付第一笔预付款；</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在规定的交货期内将全部货物运到业主指定地点，验收并安装调试、培训合格后，供应商将该批设备的税发票、清单、质量检验合格证明、货运提单等材料提供给采购人，采购方验明无误后，向成交供应商支付合同款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竞标报价</w:t>
            </w:r>
          </w:p>
        </w:tc>
        <w:tc>
          <w:tcPr>
            <w:tcW w:w="86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供应商在谈判竞标报价中应包含货物、货物标准附件、备品备件、专用工具、设备安装辅材（线槽/线管及电源）、施工辅材、包装、运输、装卸、保险、货到就位的各种费用以及安装、调试、税金、售后服务、技术培训及其他所有成本费用；采购人不再支付任何费用。如出现参数不满足或由于成交人的原因造成品质不满足采购要求，采购人有权要求更换设备或变更方案，不增加任何费用。</w:t>
            </w:r>
          </w:p>
          <w:p>
            <w:pPr>
              <w:spacing w:after="0" w:line="38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2、供应商负责工人人身、设备安全责任，验收前，设备丢失自行负责。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2" w:firstLineChars="200"/>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color w:val="auto"/>
                <w:sz w:val="21"/>
                <w:szCs w:val="21"/>
                <w:highlight w:val="none"/>
              </w:rPr>
              <w:t>四、采购人对项目的特殊要求及说明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宋体" w:hAnsi="宋体" w:eastAsia="宋体" w:cs="宋体"/>
                <w:b/>
                <w:color w:val="auto"/>
                <w:sz w:val="21"/>
                <w:szCs w:val="21"/>
                <w:highlight w:val="none"/>
              </w:rPr>
            </w:pPr>
            <w:r>
              <w:rPr>
                <w:rFonts w:hint="eastAsia" w:asciiTheme="minorEastAsia" w:hAnsiTheme="minorEastAsia" w:eastAsiaTheme="minorEastAsia"/>
                <w:color w:val="auto"/>
                <w:highlight w:val="none"/>
              </w:rPr>
              <w:t>进口产品</w:t>
            </w:r>
          </w:p>
        </w:tc>
        <w:tc>
          <w:tcPr>
            <w:tcW w:w="86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是否接受进口产品：</w:t>
            </w:r>
          </w:p>
          <w:p>
            <w:pPr>
              <w:spacing w:after="0" w:line="380" w:lineRule="exact"/>
              <w:ind w:firstLine="440" w:firstLineChars="200"/>
              <w:rPr>
                <w:rFonts w:ascii="宋体" w:hAnsi="宋体" w:eastAsia="宋体" w:cs="宋体"/>
                <w:b/>
                <w:color w:val="auto"/>
                <w:sz w:val="21"/>
                <w:szCs w:val="21"/>
                <w:highlight w:val="none"/>
              </w:rPr>
            </w:pPr>
            <w:r>
              <w:rPr>
                <w:rFonts w:hint="eastAsia" w:asciiTheme="minorEastAsia" w:hAnsiTheme="minorEastAsia" w:eastAsiaTheme="minorEastAsia"/>
                <w:color w:val="auto"/>
                <w:highlight w:val="none"/>
              </w:rPr>
              <w:sym w:font="Wingdings" w:char="F0FE"/>
            </w:r>
            <w:r>
              <w:rPr>
                <w:rFonts w:hint="eastAsia" w:asciiTheme="minorEastAsia" w:hAnsiTheme="minorEastAsia" w:eastAsiaTheme="minorEastAsia"/>
                <w:color w:val="auto"/>
                <w:highlight w:val="none"/>
              </w:rPr>
              <w:t>否，本项目所有采购货物均不接受进口产品。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宋体" w:hAnsi="宋体" w:eastAsia="宋体" w:cs="宋体"/>
                <w:b/>
                <w:color w:val="auto"/>
                <w:sz w:val="21"/>
                <w:szCs w:val="21"/>
                <w:highlight w:val="none"/>
              </w:rPr>
            </w:pPr>
            <w:r>
              <w:rPr>
                <w:rFonts w:hint="eastAsia" w:asciiTheme="minorEastAsia" w:hAnsiTheme="minorEastAsia" w:eastAsiaTheme="minorEastAsia"/>
                <w:color w:val="auto"/>
                <w:highlight w:val="none"/>
              </w:rPr>
              <w:t>样品要求</w:t>
            </w:r>
          </w:p>
        </w:tc>
        <w:tc>
          <w:tcPr>
            <w:tcW w:w="86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40" w:firstLineChars="200"/>
              <w:rPr>
                <w:rFonts w:cs="Times New Roman" w:asciiTheme="minorEastAsia" w:hAnsiTheme="minorEastAsia" w:eastAsiaTheme="minorEastAsia"/>
                <w:color w:val="auto"/>
                <w:kern w:val="2"/>
                <w:highlight w:val="none"/>
              </w:rPr>
            </w:pPr>
            <w:r>
              <w:rPr>
                <w:rFonts w:hint="eastAsia" w:cs="Times New Roman" w:asciiTheme="minorEastAsia" w:hAnsiTheme="minorEastAsia" w:eastAsiaTheme="minorEastAsia"/>
                <w:color w:val="auto"/>
                <w:kern w:val="2"/>
                <w:highlight w:val="none"/>
              </w:rPr>
              <w:t>是否要求递交样品：</w:t>
            </w:r>
          </w:p>
          <w:p>
            <w:pPr>
              <w:spacing w:after="0" w:line="380" w:lineRule="exact"/>
              <w:ind w:firstLine="440" w:firstLineChars="200"/>
              <w:rPr>
                <w:rFonts w:ascii="宋体" w:hAnsi="宋体" w:eastAsia="宋体" w:cs="宋体"/>
                <w:b/>
                <w:color w:val="auto"/>
                <w:sz w:val="21"/>
                <w:szCs w:val="21"/>
                <w:highlight w:val="none"/>
              </w:rPr>
            </w:pPr>
            <w:r>
              <w:rPr>
                <w:rFonts w:hint="eastAsia" w:cs="Times New Roman" w:asciiTheme="minorEastAsia" w:hAnsiTheme="minorEastAsia" w:eastAsiaTheme="minorEastAsia"/>
                <w:color w:val="auto"/>
                <w:kern w:val="2"/>
                <w:highlight w:val="none"/>
              </w:rPr>
              <w:sym w:font="Wingdings" w:char="F0FE"/>
            </w:r>
            <w:r>
              <w:rPr>
                <w:rFonts w:hint="eastAsia" w:cs="Times New Roman" w:asciiTheme="minorEastAsia" w:hAnsiTheme="minorEastAsia" w:eastAsiaTheme="minorEastAsia"/>
                <w:color w:val="auto"/>
                <w:kern w:val="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宋体" w:hAnsi="宋体" w:eastAsia="宋体" w:cs="宋体"/>
                <w:b/>
                <w:color w:val="auto"/>
                <w:sz w:val="21"/>
                <w:szCs w:val="21"/>
                <w:highlight w:val="none"/>
              </w:rPr>
            </w:pPr>
            <w:r>
              <w:rPr>
                <w:rFonts w:hint="eastAsia" w:asciiTheme="minorEastAsia" w:hAnsiTheme="minorEastAsia" w:eastAsiaTheme="minorEastAsia"/>
                <w:color w:val="auto"/>
                <w:highlight w:val="none"/>
              </w:rPr>
              <w:t>产品演示要求</w:t>
            </w:r>
          </w:p>
        </w:tc>
        <w:tc>
          <w:tcPr>
            <w:tcW w:w="86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02"/>
              <w:spacing w:line="380" w:lineRule="exact"/>
              <w:jc w:val="both"/>
              <w:rPr>
                <w:rFonts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是否进行产品演示：</w:t>
            </w:r>
          </w:p>
          <w:p>
            <w:pPr>
              <w:pStyle w:val="102"/>
              <w:spacing w:line="380" w:lineRule="exact"/>
              <w:ind w:firstLine="440" w:firstLineChars="200"/>
              <w:jc w:val="both"/>
              <w:rPr>
                <w:rFonts w:hAnsi="宋体"/>
                <w:b/>
                <w:color w:val="auto"/>
                <w:sz w:val="21"/>
                <w:szCs w:val="21"/>
                <w:highlight w:val="none"/>
              </w:rPr>
            </w:pPr>
            <w:r>
              <w:rPr>
                <w:rFonts w:hint="eastAsia" w:asciiTheme="minorEastAsia" w:hAnsiTheme="minorEastAsia" w:eastAsiaTheme="minorEastAsia"/>
                <w:color w:val="auto"/>
                <w:sz w:val="22"/>
                <w:szCs w:val="22"/>
                <w:highlight w:val="none"/>
              </w:rPr>
              <w:sym w:font="Wingdings" w:char="F0FE"/>
            </w:r>
            <w:r>
              <w:rPr>
                <w:rFonts w:hint="eastAsia" w:asciiTheme="minorEastAsia" w:hAnsiTheme="minorEastAsia" w:eastAsiaTheme="minorEastAsia"/>
                <w:color w:val="auto"/>
                <w:sz w:val="22"/>
                <w:szCs w:val="22"/>
                <w:highlight w:val="none"/>
              </w:rPr>
              <w:t>否，本项目所有采购货物均不进行产品演示。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宋体" w:hAnsi="宋体" w:eastAsia="宋体" w:cs="宋体"/>
                <w:b/>
                <w:color w:val="auto"/>
                <w:sz w:val="21"/>
                <w:szCs w:val="21"/>
                <w:highlight w:val="none"/>
              </w:rPr>
            </w:pPr>
            <w:r>
              <w:rPr>
                <w:rFonts w:hint="eastAsia" w:asciiTheme="minorEastAsia" w:hAnsiTheme="minorEastAsia" w:eastAsiaTheme="minorEastAsia"/>
                <w:b/>
                <w:color w:val="auto"/>
                <w:highlight w:val="none"/>
              </w:rPr>
              <w:t>核心产品</w:t>
            </w:r>
          </w:p>
        </w:tc>
        <w:tc>
          <w:tcPr>
            <w:tcW w:w="86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2" w:firstLineChars="200"/>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 xml:space="preserve">本项目核心产品为： </w:t>
            </w:r>
            <w:r>
              <w:rPr>
                <w:rFonts w:hint="eastAsia" w:asciiTheme="majorEastAsia" w:hAnsiTheme="majorEastAsia" w:eastAsiaTheme="majorEastAsia" w:cstheme="majorEastAsia"/>
                <w:b/>
                <w:color w:val="auto"/>
                <w:sz w:val="21"/>
                <w:szCs w:val="21"/>
                <w:highlight w:val="none"/>
                <w:u w:val="single"/>
              </w:rPr>
              <w:t xml:space="preserve"> </w:t>
            </w:r>
            <w:r>
              <w:rPr>
                <w:rFonts w:hint="eastAsia" w:asciiTheme="majorEastAsia" w:hAnsiTheme="majorEastAsia" w:eastAsiaTheme="majorEastAsia" w:cstheme="majorEastAsia"/>
                <w:b/>
                <w:color w:val="auto"/>
                <w:sz w:val="21"/>
                <w:szCs w:val="21"/>
                <w:highlight w:val="none"/>
                <w:u w:val="single"/>
                <w:lang w:val="en-US" w:eastAsia="zh-CN"/>
              </w:rPr>
              <w:t>1标：</w:t>
            </w:r>
            <w:r>
              <w:rPr>
                <w:rFonts w:hint="eastAsia" w:asciiTheme="majorEastAsia" w:hAnsiTheme="majorEastAsia" w:eastAsiaTheme="majorEastAsia" w:cstheme="majorEastAsia"/>
                <w:b/>
                <w:color w:val="auto"/>
                <w:sz w:val="21"/>
                <w:szCs w:val="21"/>
                <w:highlight w:val="none"/>
                <w:u w:val="single"/>
              </w:rPr>
              <w:t>遥测终端</w:t>
            </w:r>
            <w:r>
              <w:rPr>
                <w:rFonts w:hint="eastAsia" w:asciiTheme="majorEastAsia" w:hAnsiTheme="majorEastAsia" w:eastAsiaTheme="majorEastAsia" w:cstheme="majorEastAsia"/>
                <w:b/>
                <w:color w:val="auto"/>
                <w:sz w:val="21"/>
                <w:szCs w:val="21"/>
                <w:highlight w:val="none"/>
                <w:u w:val="single"/>
                <w:lang w:eastAsia="zh-CN"/>
              </w:rPr>
              <w:t>、雷达水位计</w:t>
            </w:r>
            <w:r>
              <w:rPr>
                <w:rFonts w:hint="eastAsia" w:asciiTheme="majorEastAsia" w:hAnsiTheme="majorEastAsia" w:eastAsiaTheme="majorEastAsia" w:cstheme="majorEastAsia"/>
                <w:b/>
                <w:color w:val="auto"/>
                <w:sz w:val="21"/>
                <w:szCs w:val="21"/>
                <w:highlight w:val="none"/>
                <w:u w:val="single"/>
                <w:lang w:val="en-US" w:eastAsia="zh-CN"/>
              </w:rPr>
              <w:t>2标：</w:t>
            </w:r>
            <w:r>
              <w:rPr>
                <w:rFonts w:hint="eastAsia" w:asciiTheme="majorEastAsia" w:hAnsiTheme="majorEastAsia" w:eastAsiaTheme="majorEastAsia" w:cstheme="majorEastAsia"/>
                <w:b/>
                <w:color w:val="auto"/>
                <w:sz w:val="21"/>
                <w:szCs w:val="21"/>
                <w:highlight w:val="none"/>
                <w:u w:val="single"/>
              </w:rPr>
              <w:t>洗手盆非接触感应式高效节水龙头改造</w:t>
            </w:r>
            <w:r>
              <w:rPr>
                <w:rFonts w:hint="eastAsia" w:asciiTheme="majorEastAsia" w:hAnsiTheme="majorEastAsia" w:eastAsiaTheme="majorEastAsia" w:cstheme="majorEastAsia"/>
                <w:b/>
                <w:color w:val="auto"/>
                <w:sz w:val="21"/>
                <w:szCs w:val="21"/>
                <w:highlight w:val="none"/>
              </w:rPr>
              <w:t>。</w:t>
            </w:r>
          </w:p>
          <w:p>
            <w:pPr>
              <w:spacing w:after="0" w:line="380" w:lineRule="exact"/>
              <w:ind w:firstLine="422" w:firstLineChars="200"/>
              <w:rPr>
                <w:rFonts w:ascii="宋体" w:hAnsi="宋体" w:eastAsia="宋体" w:cs="宋体"/>
                <w:b/>
                <w:color w:val="auto"/>
                <w:sz w:val="21"/>
                <w:szCs w:val="21"/>
                <w:highlight w:val="none"/>
              </w:rPr>
            </w:pPr>
            <w:r>
              <w:rPr>
                <w:rFonts w:hint="eastAsia" w:asciiTheme="majorEastAsia" w:hAnsiTheme="majorEastAsia" w:eastAsiaTheme="majorEastAsia" w:cstheme="majorEastAsia"/>
                <w:b/>
                <w:color w:val="auto"/>
                <w:sz w:val="21"/>
                <w:szCs w:val="21"/>
                <w:highlight w:val="none"/>
              </w:rPr>
              <w:t>本项目货物提供相同品牌产品的不同供应商参加单一产品的同一合同项下的政府采购活动的（或非单一产品采购项目中，多家供应商提供的核心产品品牌相同的），取其中质量和服务均能满足谈判文件实质性响应要求且最后竞标总报价最低的供应商参加评审；最后报价相同时，则由采购人自主选择确定一家供应商参加评审，其他竞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jc w:val="center"/>
              <w:rPr>
                <w:rFonts w:ascii="宋体" w:hAnsi="宋体" w:eastAsia="宋体" w:cs="宋体"/>
                <w:b/>
                <w:color w:val="auto"/>
                <w:sz w:val="21"/>
                <w:szCs w:val="21"/>
                <w:highlight w:val="none"/>
              </w:rPr>
            </w:pPr>
            <w:r>
              <w:rPr>
                <w:rFonts w:hint="eastAsia" w:asciiTheme="minorEastAsia" w:hAnsiTheme="minorEastAsia" w:eastAsiaTheme="minorEastAsia"/>
                <w:color w:val="auto"/>
                <w:highlight w:val="none"/>
              </w:rPr>
              <w:t>备品备件及易损件</w:t>
            </w:r>
          </w:p>
        </w:tc>
        <w:tc>
          <w:tcPr>
            <w:tcW w:w="86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40" w:firstLineChars="200"/>
              <w:rPr>
                <w:rFonts w:ascii="宋体" w:hAnsi="宋体" w:eastAsia="宋体" w:cs="宋体"/>
                <w:b/>
                <w:color w:val="auto"/>
                <w:sz w:val="21"/>
                <w:szCs w:val="21"/>
                <w:highlight w:val="none"/>
              </w:rPr>
            </w:pPr>
            <w:r>
              <w:rPr>
                <w:rFonts w:hint="eastAsia" w:cs="Times New Roman" w:asciiTheme="minorEastAsia" w:hAnsiTheme="minorEastAsia" w:eastAsiaTheme="minorEastAsia"/>
                <w:color w:val="auto"/>
                <w:kern w:val="2"/>
                <w:highlight w:val="none"/>
              </w:rPr>
              <w:t>成交人售后服务中，维修使用的备品备件及易损件应为原厂配件，未经采购人同意不得使用非原厂配件，质保期内维修使用的备品备件及易损件的费用，由成交人承担。质量保证期过后，采购人需要继续由原成交人提供售后服务的，该成交人应以优惠价格提供售后服务，常用的、容易损坏的备品备件及易损件的优惠价格清单须在响应文件中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42" w:firstLineChars="200"/>
              <w:rPr>
                <w:rFonts w:ascii="宋体" w:hAnsi="宋体" w:eastAsia="宋体" w:cs="宋体"/>
                <w:b/>
                <w:color w:val="auto"/>
                <w:sz w:val="21"/>
                <w:szCs w:val="21"/>
                <w:highlight w:val="none"/>
              </w:rPr>
            </w:pPr>
            <w:r>
              <w:rPr>
                <w:rFonts w:hint="eastAsia" w:ascii="宋体" w:hAnsi="宋体" w:eastAsia="宋体" w:cs="宋体"/>
                <w:b/>
                <w:color w:val="auto"/>
                <w:highlight w:val="none"/>
              </w:rPr>
              <w:t>▲</w:t>
            </w:r>
            <w:r>
              <w:rPr>
                <w:rFonts w:hint="eastAsia" w:asciiTheme="minorEastAsia" w:hAnsiTheme="minorEastAsia" w:eastAsiaTheme="minorEastAsia"/>
                <w:b/>
                <w:color w:val="auto"/>
                <w:highlight w:val="none"/>
              </w:rPr>
              <w:t>其他</w:t>
            </w:r>
          </w:p>
        </w:tc>
        <w:tc>
          <w:tcPr>
            <w:tcW w:w="86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80" w:lineRule="exact"/>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供应商响应文件中必须提供供应产品的品牌和型号（注：如为定制、非标产品可不填写），如不填写视为不满足。</w:t>
            </w:r>
          </w:p>
        </w:tc>
      </w:tr>
    </w:tbl>
    <w:p>
      <w:pPr>
        <w:spacing w:after="0" w:line="400" w:lineRule="exact"/>
        <w:ind w:firstLine="440" w:firstLineChars="200"/>
        <w:rPr>
          <w:rFonts w:ascii="宋体" w:hAnsi="宋体" w:eastAsia="宋体"/>
          <w:color w:val="auto"/>
          <w:highlight w:val="none"/>
        </w:rPr>
      </w:pPr>
    </w:p>
    <w:p>
      <w:pPr>
        <w:pStyle w:val="3"/>
        <w:spacing w:line="380" w:lineRule="exact"/>
        <w:rPr>
          <w:rFonts w:ascii="宋体" w:hAnsi="宋体" w:eastAsia="宋体"/>
          <w:color w:val="auto"/>
          <w:highlight w:val="none"/>
        </w:rPr>
      </w:pPr>
      <w:bookmarkStart w:id="80" w:name="_Toc246094918"/>
      <w:bookmarkStart w:id="81" w:name="_Toc246095524"/>
      <w:bookmarkStart w:id="82" w:name="_Toc246095462"/>
    </w:p>
    <w:p>
      <w:pPr>
        <w:pStyle w:val="3"/>
        <w:spacing w:line="380" w:lineRule="exact"/>
        <w:rPr>
          <w:rFonts w:ascii="宋体" w:hAnsi="宋体" w:eastAsia="宋体"/>
          <w:color w:val="auto"/>
          <w:highlight w:val="none"/>
        </w:rPr>
      </w:pPr>
      <w:r>
        <w:rPr>
          <w:rFonts w:hint="eastAsia" w:ascii="宋体" w:hAnsi="宋体" w:eastAsia="宋体"/>
          <w:color w:val="auto"/>
          <w:highlight w:val="none"/>
        </w:rPr>
        <w:br w:type="page"/>
      </w:r>
    </w:p>
    <w:p>
      <w:pPr>
        <w:pStyle w:val="3"/>
        <w:spacing w:line="380" w:lineRule="exact"/>
        <w:rPr>
          <w:rFonts w:ascii="宋体" w:hAnsi="宋体" w:eastAsia="宋体"/>
          <w:color w:val="auto"/>
          <w:highlight w:val="none"/>
        </w:rPr>
      </w:pPr>
      <w:bookmarkStart w:id="83" w:name="_Toc11191"/>
      <w:r>
        <w:rPr>
          <w:rFonts w:hint="eastAsia" w:ascii="宋体" w:hAnsi="宋体" w:eastAsia="宋体"/>
          <w:color w:val="auto"/>
          <w:highlight w:val="none"/>
        </w:rPr>
        <w:t xml:space="preserve">第四章  </w:t>
      </w:r>
      <w:bookmarkEnd w:id="80"/>
      <w:bookmarkEnd w:id="81"/>
      <w:bookmarkEnd w:id="82"/>
      <w:r>
        <w:rPr>
          <w:rFonts w:hint="eastAsia" w:ascii="宋体" w:hAnsi="宋体" w:eastAsia="宋体"/>
          <w:color w:val="auto"/>
          <w:highlight w:val="none"/>
        </w:rPr>
        <w:t>评审方法及评审标准</w:t>
      </w:r>
      <w:bookmarkEnd w:id="83"/>
    </w:p>
    <w:p>
      <w:pPr>
        <w:spacing w:after="0" w:line="380" w:lineRule="exact"/>
        <w:ind w:firstLine="482" w:firstLineChars="200"/>
        <w:outlineLvl w:val="1"/>
        <w:rPr>
          <w:rFonts w:ascii="宋体" w:hAnsi="宋体" w:eastAsia="宋体" w:cs="Arial"/>
          <w:b/>
          <w:bCs/>
          <w:color w:val="auto"/>
          <w:sz w:val="24"/>
          <w:highlight w:val="none"/>
        </w:rPr>
      </w:pPr>
      <w:bookmarkStart w:id="84" w:name="_Toc8052"/>
      <w:r>
        <w:rPr>
          <w:rFonts w:hint="eastAsia" w:ascii="宋体" w:hAnsi="宋体" w:eastAsia="宋体" w:cs="Arial"/>
          <w:b/>
          <w:bCs/>
          <w:color w:val="auto"/>
          <w:sz w:val="24"/>
          <w:highlight w:val="none"/>
        </w:rPr>
        <w:t>一、评审原则</w:t>
      </w:r>
      <w:bookmarkEnd w:id="84"/>
    </w:p>
    <w:p>
      <w:pPr>
        <w:spacing w:after="0" w:line="380" w:lineRule="exact"/>
        <w:ind w:firstLine="480" w:firstLineChars="200"/>
        <w:rPr>
          <w:rFonts w:ascii="宋体" w:hAnsi="宋体" w:eastAsia="宋体" w:cs="Arial"/>
          <w:bCs/>
          <w:color w:val="auto"/>
          <w:sz w:val="24"/>
          <w:highlight w:val="none"/>
        </w:rPr>
      </w:pPr>
      <w:r>
        <w:rPr>
          <w:rFonts w:hint="eastAsia" w:ascii="宋体" w:hAnsi="宋体" w:eastAsia="宋体" w:cs="Arial"/>
          <w:color w:val="auto"/>
          <w:sz w:val="24"/>
          <w:highlight w:val="none"/>
        </w:rPr>
        <w:t>1．</w:t>
      </w:r>
      <w:r>
        <w:rPr>
          <w:rFonts w:hint="eastAsia" w:ascii="宋体" w:hAnsi="宋体" w:eastAsia="宋体" w:cs="Arial"/>
          <w:bCs/>
          <w:color w:val="auto"/>
          <w:sz w:val="24"/>
          <w:highlight w:val="none"/>
        </w:rPr>
        <w:t>谈判小组成员构成：本采购项目的谈判小组成员分别由依法抽取的政府采购评审专家、采购人代表共三人及以上单数构成，其中政府采购评审专家人数不少于谈判小组成员总数的三分之二。</w:t>
      </w:r>
    </w:p>
    <w:p>
      <w:pPr>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w:t>
      </w:r>
      <w:r>
        <w:rPr>
          <w:rFonts w:hint="eastAsia" w:ascii="宋体" w:hAnsi="宋体" w:eastAsia="宋体" w:cs="Arial"/>
          <w:bCs/>
          <w:color w:val="auto"/>
          <w:sz w:val="24"/>
          <w:highlight w:val="none"/>
        </w:rPr>
        <w:t>评审依据：谈判小组将以竞争性谈判文件为评标依据，对供应商的响应文件进行资格性及符合性审查，以确定其是否符合资格条件及满足采购文件的实质性要求。</w:t>
      </w:r>
    </w:p>
    <w:p>
      <w:pPr>
        <w:spacing w:after="0" w:line="380" w:lineRule="exact"/>
        <w:ind w:firstLine="480" w:firstLineChars="200"/>
        <w:rPr>
          <w:rFonts w:ascii="宋体" w:hAnsi="宋体" w:eastAsia="宋体" w:cs="Arial"/>
          <w:bCs/>
          <w:color w:val="auto"/>
          <w:sz w:val="24"/>
          <w:highlight w:val="none"/>
        </w:rPr>
      </w:pPr>
      <w:r>
        <w:rPr>
          <w:rFonts w:hint="eastAsia" w:ascii="宋体" w:hAnsi="宋体" w:eastAsia="宋体" w:cs="Arial"/>
          <w:color w:val="auto"/>
          <w:sz w:val="24"/>
          <w:highlight w:val="none"/>
        </w:rPr>
        <w:t>3．</w:t>
      </w:r>
      <w:r>
        <w:rPr>
          <w:rFonts w:hint="eastAsia" w:ascii="宋体" w:hAnsi="宋体" w:eastAsia="宋体" w:cs="Arial"/>
          <w:bCs/>
          <w:color w:val="auto"/>
          <w:sz w:val="24"/>
          <w:highlight w:val="none"/>
        </w:rPr>
        <w:t>评审方法：最低评标价法。</w:t>
      </w:r>
    </w:p>
    <w:p>
      <w:pPr>
        <w:spacing w:after="0" w:line="380" w:lineRule="exact"/>
        <w:ind w:firstLine="480" w:firstLineChars="200"/>
        <w:rPr>
          <w:rFonts w:ascii="宋体" w:hAnsi="宋体" w:eastAsia="宋体" w:cs="Arial"/>
          <w:bCs/>
          <w:color w:val="auto"/>
          <w:sz w:val="24"/>
          <w:highlight w:val="none"/>
        </w:rPr>
      </w:pPr>
      <w:r>
        <w:rPr>
          <w:rFonts w:hint="eastAsia" w:ascii="宋体" w:hAnsi="宋体" w:eastAsia="宋体" w:cs="Arial"/>
          <w:bCs/>
          <w:color w:val="auto"/>
          <w:sz w:val="24"/>
          <w:highlight w:val="none"/>
        </w:rPr>
        <w:t>4．评审程序</w:t>
      </w:r>
    </w:p>
    <w:p>
      <w:pPr>
        <w:widowControl w:val="0"/>
        <w:numPr>
          <w:ilvl w:val="0"/>
          <w:numId w:val="3"/>
        </w:numPr>
        <w:adjustRightInd/>
        <w:snapToGrid/>
        <w:spacing w:after="0" w:line="380" w:lineRule="exact"/>
        <w:ind w:left="0"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资格性检查；</w:t>
      </w:r>
    </w:p>
    <w:p>
      <w:pPr>
        <w:widowControl w:val="0"/>
        <w:numPr>
          <w:ilvl w:val="0"/>
          <w:numId w:val="3"/>
        </w:numPr>
        <w:adjustRightInd/>
        <w:snapToGrid/>
        <w:spacing w:after="0" w:line="380" w:lineRule="exact"/>
        <w:ind w:left="0"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符合性检查；</w:t>
      </w:r>
    </w:p>
    <w:p>
      <w:pPr>
        <w:widowControl w:val="0"/>
        <w:numPr>
          <w:ilvl w:val="0"/>
          <w:numId w:val="3"/>
        </w:numPr>
        <w:adjustRightInd/>
        <w:snapToGrid/>
        <w:spacing w:after="0" w:line="380" w:lineRule="exact"/>
        <w:ind w:left="0" w:firstLine="480" w:firstLineChars="200"/>
        <w:rPr>
          <w:rFonts w:ascii="宋体" w:hAnsi="宋体" w:eastAsia="宋体" w:cs="Arial"/>
          <w:color w:val="auto"/>
          <w:sz w:val="24"/>
          <w:highlight w:val="none"/>
        </w:rPr>
      </w:pPr>
      <w:r>
        <w:rPr>
          <w:rFonts w:hint="eastAsia" w:ascii="宋体" w:hAnsi="宋体" w:eastAsia="宋体" w:cs="Arial"/>
          <w:bCs/>
          <w:color w:val="auto"/>
          <w:sz w:val="24"/>
          <w:highlight w:val="none"/>
        </w:rPr>
        <w:t>谈判；</w:t>
      </w:r>
    </w:p>
    <w:p>
      <w:pPr>
        <w:widowControl w:val="0"/>
        <w:numPr>
          <w:ilvl w:val="0"/>
          <w:numId w:val="3"/>
        </w:numPr>
        <w:adjustRightInd/>
        <w:snapToGrid/>
        <w:spacing w:after="0" w:line="380" w:lineRule="exact"/>
        <w:ind w:left="0" w:firstLine="480" w:firstLineChars="200"/>
        <w:rPr>
          <w:rFonts w:ascii="宋体" w:hAnsi="宋体" w:eastAsia="宋体" w:cs="Arial"/>
          <w:color w:val="auto"/>
          <w:sz w:val="24"/>
          <w:highlight w:val="none"/>
        </w:rPr>
      </w:pPr>
      <w:r>
        <w:rPr>
          <w:rFonts w:hint="eastAsia" w:ascii="宋体" w:hAnsi="宋体" w:eastAsia="宋体" w:cs="Arial"/>
          <w:bCs/>
          <w:color w:val="auto"/>
          <w:sz w:val="24"/>
          <w:highlight w:val="none"/>
        </w:rPr>
        <w:t>重新提交响应文件（如谈判文件有实质性变动或谈判后确定最终设计解决方案）；</w:t>
      </w:r>
    </w:p>
    <w:p>
      <w:pPr>
        <w:widowControl w:val="0"/>
        <w:numPr>
          <w:ilvl w:val="0"/>
          <w:numId w:val="3"/>
        </w:numPr>
        <w:adjustRightInd/>
        <w:snapToGrid/>
        <w:spacing w:after="0" w:line="380" w:lineRule="exact"/>
        <w:ind w:left="0" w:firstLine="480" w:firstLineChars="200"/>
        <w:rPr>
          <w:rFonts w:ascii="宋体" w:hAnsi="宋体" w:eastAsia="宋体" w:cs="Arial"/>
          <w:color w:val="auto"/>
          <w:sz w:val="24"/>
          <w:highlight w:val="none"/>
        </w:rPr>
      </w:pPr>
      <w:r>
        <w:rPr>
          <w:rFonts w:hint="eastAsia" w:ascii="宋体" w:hAnsi="宋体" w:eastAsia="宋体" w:cs="Arial"/>
          <w:bCs/>
          <w:color w:val="auto"/>
          <w:sz w:val="24"/>
          <w:highlight w:val="none"/>
        </w:rPr>
        <w:t>最后报价；</w:t>
      </w:r>
    </w:p>
    <w:p>
      <w:pPr>
        <w:widowControl w:val="0"/>
        <w:numPr>
          <w:ilvl w:val="0"/>
          <w:numId w:val="3"/>
        </w:numPr>
        <w:adjustRightInd/>
        <w:snapToGrid/>
        <w:spacing w:after="0" w:line="380" w:lineRule="exact"/>
        <w:ind w:left="0" w:firstLine="480" w:firstLineChars="200"/>
        <w:rPr>
          <w:rFonts w:ascii="宋体" w:hAnsi="宋体" w:eastAsia="宋体" w:cs="Arial"/>
          <w:color w:val="auto"/>
          <w:sz w:val="24"/>
          <w:highlight w:val="none"/>
        </w:rPr>
      </w:pPr>
      <w:r>
        <w:rPr>
          <w:rFonts w:hint="eastAsia" w:ascii="宋体" w:hAnsi="宋体" w:eastAsia="宋体" w:cs="Arial"/>
          <w:bCs/>
          <w:color w:val="auto"/>
          <w:sz w:val="24"/>
          <w:highlight w:val="none"/>
        </w:rPr>
        <w:t>推荐成交候选供应商名单。</w:t>
      </w:r>
    </w:p>
    <w:p>
      <w:pPr>
        <w:spacing w:after="0" w:line="380" w:lineRule="exact"/>
        <w:ind w:firstLine="482" w:firstLineChars="200"/>
        <w:outlineLvl w:val="1"/>
        <w:rPr>
          <w:rFonts w:ascii="宋体" w:hAnsi="宋体" w:eastAsia="宋体" w:cs="Arial"/>
          <w:b/>
          <w:bCs/>
          <w:color w:val="auto"/>
          <w:sz w:val="24"/>
          <w:highlight w:val="none"/>
        </w:rPr>
      </w:pPr>
      <w:bookmarkStart w:id="85" w:name="_Toc17167"/>
      <w:r>
        <w:rPr>
          <w:rFonts w:hint="eastAsia" w:ascii="宋体" w:hAnsi="宋体" w:eastAsia="宋体" w:cs="Arial"/>
          <w:b/>
          <w:bCs/>
          <w:color w:val="auto"/>
          <w:sz w:val="24"/>
          <w:highlight w:val="none"/>
        </w:rPr>
        <w:t>二、评审标准</w:t>
      </w:r>
      <w:bookmarkEnd w:id="85"/>
    </w:p>
    <w:p>
      <w:pPr>
        <w:spacing w:after="0" w:line="380" w:lineRule="exact"/>
        <w:ind w:firstLine="482" w:firstLineChars="200"/>
        <w:rPr>
          <w:rFonts w:ascii="宋体" w:hAnsi="宋体" w:eastAsia="宋体" w:cs="Arial"/>
          <w:b/>
          <w:color w:val="auto"/>
          <w:sz w:val="24"/>
          <w:highlight w:val="none"/>
        </w:rPr>
      </w:pPr>
      <w:r>
        <w:rPr>
          <w:rFonts w:hint="eastAsia" w:ascii="宋体" w:hAnsi="宋体" w:eastAsia="宋体" w:cs="Arial"/>
          <w:b/>
          <w:color w:val="auto"/>
          <w:sz w:val="24"/>
          <w:highlight w:val="none"/>
        </w:rPr>
        <w:t>1、资格性检查</w:t>
      </w:r>
    </w:p>
    <w:p>
      <w:pPr>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由谈判小组对所有供应商的响应文件进行资格审查。以确定供应商是否具备竞标资格。资格性检查表如下，缺少任何一项或有任何一项不合格者，其资格性审查视为不合格。</w:t>
      </w:r>
    </w:p>
    <w:tbl>
      <w:tblPr>
        <w:tblStyle w:val="38"/>
        <w:tblW w:w="9721" w:type="dxa"/>
        <w:jc w:val="center"/>
        <w:tblLayout w:type="fixed"/>
        <w:tblCellMar>
          <w:top w:w="0" w:type="dxa"/>
          <w:left w:w="108" w:type="dxa"/>
          <w:bottom w:w="0" w:type="dxa"/>
          <w:right w:w="108" w:type="dxa"/>
        </w:tblCellMar>
      </w:tblPr>
      <w:tblGrid>
        <w:gridCol w:w="742"/>
        <w:gridCol w:w="1101"/>
        <w:gridCol w:w="1956"/>
        <w:gridCol w:w="5922"/>
      </w:tblGrid>
      <w:tr>
        <w:tblPrEx>
          <w:tblCellMar>
            <w:top w:w="0" w:type="dxa"/>
            <w:left w:w="108" w:type="dxa"/>
            <w:bottom w:w="0" w:type="dxa"/>
            <w:right w:w="108" w:type="dxa"/>
          </w:tblCellMar>
        </w:tblPrEx>
        <w:trPr>
          <w:trHeight w:val="90" w:hRule="atLeast"/>
          <w:tblHeade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57"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5922"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评审内容及评审标准</w:t>
            </w:r>
          </w:p>
        </w:tc>
      </w:tr>
      <w:tr>
        <w:tblPrEx>
          <w:tblCellMar>
            <w:top w:w="0" w:type="dxa"/>
            <w:left w:w="108" w:type="dxa"/>
            <w:bottom w:w="0" w:type="dxa"/>
            <w:right w:w="108" w:type="dxa"/>
          </w:tblCellMar>
        </w:tblPrEx>
        <w:trPr>
          <w:trHeight w:val="2241"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供应商应符合的基本资格条件</w:t>
            </w: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ind w:firstLine="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审查法人或者其他组织的营业执照等证明文件、自然人的身份证明。须按以下要求提供，材料须有效。</w:t>
            </w:r>
          </w:p>
          <w:p>
            <w:pPr>
              <w:adjustRightInd/>
              <w:snapToGrid/>
              <w:spacing w:after="0" w:line="360" w:lineRule="exact"/>
              <w:ind w:firstLine="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供应商是企业则审查营业执照 （副本） 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tblPrEx>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ind w:firstLine="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审查经第三方审计的2020年度的财务报表（账务报表至少包含资产负债表、利润表、现金流量表及其附注、审计报告）复印件（新成立的公司提供公司成立日之后次月起到响应文件递交截止前一个月的财务报表复印件）或供应商提交响应文件截止之日前三个月内其基本开户银行出具的银行资信证明（仅提供银行出具的存款证明不能作为其银行资信证明）复印件；</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审查“具备履行合同所必需的设备和专业技术服务能力的承诺书”。</w:t>
            </w:r>
          </w:p>
        </w:tc>
      </w:tr>
      <w:tr>
        <w:tblPrEx>
          <w:tblCellMar>
            <w:top w:w="0" w:type="dxa"/>
            <w:left w:w="108" w:type="dxa"/>
            <w:bottom w:w="0" w:type="dxa"/>
            <w:right w:w="108" w:type="dxa"/>
          </w:tblCellMar>
        </w:tblPrEx>
        <w:trPr>
          <w:trHeight w:val="220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①审查提交响应文件截止之日</w:t>
            </w:r>
            <w:r>
              <w:rPr>
                <w:rFonts w:hint="eastAsia" w:ascii="宋体" w:hAnsi="宋体" w:eastAsia="宋体" w:cs="宋体"/>
                <w:color w:val="auto"/>
                <w:sz w:val="24"/>
                <w:highlight w:val="none"/>
              </w:rPr>
              <w:t>前近半年以来连续三个月</w:t>
            </w:r>
            <w:r>
              <w:rPr>
                <w:rFonts w:hint="eastAsia" w:ascii="宋体" w:hAnsi="宋体" w:eastAsia="宋体" w:cs="宋体"/>
                <w:color w:val="auto"/>
                <w:sz w:val="24"/>
                <w:szCs w:val="24"/>
                <w:highlight w:val="none"/>
              </w:rPr>
              <w:t>依法缴纳税费证明复印件。</w:t>
            </w:r>
          </w:p>
          <w:p>
            <w:pPr>
              <w:adjustRightInd/>
              <w:snapToGrid/>
              <w:spacing w:after="0"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②审查提交响应文件截止之日前近半年以来连续三个月依法缴纳社会保险费证明记录复印件。</w:t>
            </w:r>
          </w:p>
          <w:p>
            <w:pPr>
              <w:adjustRightInd/>
              <w:snapToGrid/>
              <w:spacing w:after="0"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供应商成立不足3个月的，无须提供缴纳税费证明及社保缴费证明。依法免税的供应商，须提供相应文件证明其依法免税</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审查无重大违法记录声明，格式见第六章响应文件格式“参加政府采购活动前三年内在经营活动中没有重大违法记录的书面声明”。</w:t>
            </w:r>
          </w:p>
        </w:tc>
      </w:tr>
      <w:tr>
        <w:tblPrEx>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（6）诚信要求</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ind w:firstLine="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审核要求：供应商未被列入失信被执行人、重大税收违法案件当事人名单、政府采购严重违法失信行为记录名单。</w:t>
            </w:r>
          </w:p>
          <w:p>
            <w:pPr>
              <w:adjustRightInd/>
              <w:snapToGrid/>
              <w:spacing w:after="0" w:line="360" w:lineRule="exact"/>
              <w:ind w:firstLine="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B、审核内容：供应商在“信用中国”网站（www.creditchina.gov.cn）、中国政府采购网（www.ccgp.gov.cn）的主体信用记录</w:t>
            </w:r>
            <w:r>
              <w:rPr>
                <w:rFonts w:ascii="宋体" w:hAnsi="宋体" w:eastAsia="宋体" w:cs="宋体"/>
                <w:color w:val="auto"/>
                <w:sz w:val="24"/>
                <w:szCs w:val="24"/>
                <w:highlight w:val="none"/>
              </w:rPr>
              <w:t>查询结果或界面截图（</w:t>
            </w:r>
            <w:r>
              <w:rPr>
                <w:rFonts w:hint="eastAsia" w:ascii="宋体" w:hAnsi="宋体" w:eastAsia="宋体" w:cs="仿宋"/>
                <w:color w:val="auto"/>
                <w:sz w:val="24"/>
                <w:highlight w:val="none"/>
              </w:rPr>
              <w:t>由采购人或采购代理机构对供应商进行信用信息查询，并将查询结果提供给谈判小组</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w:t>
            </w:r>
          </w:p>
          <w:p>
            <w:pPr>
              <w:adjustRightInd/>
              <w:snapToGrid/>
              <w:spacing w:after="0" w:line="360" w:lineRule="exact"/>
              <w:ind w:firstLine="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①“信用中国”查询内容：失信被执行人、重大税收违法案件当事人名单、政府采购严重违法失信行为记录名单</w:t>
            </w:r>
            <w:r>
              <w:rPr>
                <w:rFonts w:ascii="宋体" w:hAnsi="宋体" w:eastAsia="宋体" w:cs="宋体"/>
                <w:color w:val="auto"/>
                <w:sz w:val="24"/>
                <w:szCs w:val="24"/>
                <w:highlight w:val="none"/>
              </w:rPr>
              <w:t>查询结果或界面截图</w:t>
            </w:r>
            <w:r>
              <w:rPr>
                <w:rFonts w:hint="eastAsia" w:ascii="宋体" w:hAnsi="宋体" w:eastAsia="宋体" w:cs="宋体"/>
                <w:color w:val="auto"/>
                <w:sz w:val="24"/>
                <w:szCs w:val="24"/>
                <w:highlight w:val="none"/>
              </w:rPr>
              <w:t>；查询或打印截止时点：</w:t>
            </w:r>
            <w:r>
              <w:rPr>
                <w:rFonts w:hint="eastAsia" w:ascii="宋体" w:hAnsi="宋体" w:eastAsia="宋体" w:cs="仿宋"/>
                <w:color w:val="auto"/>
                <w:sz w:val="24"/>
                <w:highlight w:val="none"/>
              </w:rPr>
              <w:t>递交响应文件截止时间</w:t>
            </w:r>
            <w:r>
              <w:rPr>
                <w:rFonts w:hint="eastAsia" w:ascii="宋体" w:hAnsi="宋体" w:eastAsia="宋体" w:cs="宋体"/>
                <w:color w:val="auto"/>
                <w:sz w:val="24"/>
                <w:szCs w:val="24"/>
                <w:highlight w:val="none"/>
              </w:rPr>
              <w:t>。</w:t>
            </w:r>
          </w:p>
          <w:p>
            <w:pPr>
              <w:adjustRightInd/>
              <w:snapToGrid/>
              <w:spacing w:after="0" w:line="360" w:lineRule="exact"/>
              <w:ind w:firstLine="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②“中国政府采购网”的查询内容：政府采购严重违法失信行为信息记录</w:t>
            </w:r>
            <w:r>
              <w:rPr>
                <w:rFonts w:ascii="宋体" w:hAnsi="宋体" w:eastAsia="宋体" w:cs="宋体"/>
                <w:color w:val="auto"/>
                <w:sz w:val="24"/>
                <w:szCs w:val="24"/>
                <w:highlight w:val="none"/>
              </w:rPr>
              <w:t>（查询界面截图须显示</w:t>
            </w:r>
            <w:r>
              <w:rPr>
                <w:rFonts w:hint="eastAsia" w:ascii="宋体" w:hAnsi="宋体" w:eastAsia="宋体" w:cs="宋体"/>
                <w:color w:val="auto"/>
                <w:sz w:val="24"/>
                <w:szCs w:val="24"/>
                <w:highlight w:val="none"/>
              </w:rPr>
              <w:t>竞标人</w:t>
            </w:r>
            <w:r>
              <w:rPr>
                <w:rFonts w:ascii="宋体" w:hAnsi="宋体" w:eastAsia="宋体" w:cs="宋体"/>
                <w:color w:val="auto"/>
                <w:sz w:val="24"/>
                <w:szCs w:val="24"/>
                <w:highlight w:val="none"/>
              </w:rPr>
              <w:t>名称以及查询结果）；查询时间：</w:t>
            </w:r>
            <w:r>
              <w:rPr>
                <w:rFonts w:hint="eastAsia" w:ascii="宋体" w:hAnsi="宋体" w:eastAsia="宋体" w:cs="仿宋"/>
                <w:color w:val="auto"/>
                <w:sz w:val="24"/>
                <w:highlight w:val="none"/>
              </w:rPr>
              <w:t>递交响应文件截止时间前</w:t>
            </w:r>
            <w:r>
              <w:rPr>
                <w:rFonts w:ascii="宋体" w:hAnsi="宋体" w:eastAsia="宋体" w:cs="仿宋"/>
                <w:color w:val="auto"/>
                <w:sz w:val="24"/>
                <w:highlight w:val="none"/>
              </w:rPr>
              <w:t>三年</w:t>
            </w:r>
            <w:r>
              <w:rPr>
                <w:rFonts w:hint="eastAsia" w:ascii="宋体" w:hAnsi="宋体" w:eastAsia="宋体" w:cs="仿宋"/>
                <w:color w:val="auto"/>
                <w:sz w:val="24"/>
                <w:highlight w:val="none"/>
              </w:rPr>
              <w:t>内</w:t>
            </w:r>
            <w:r>
              <w:rPr>
                <w:rFonts w:ascii="宋体" w:hAnsi="宋体" w:eastAsia="宋体" w:cs="宋体"/>
                <w:color w:val="auto"/>
                <w:sz w:val="24"/>
                <w:szCs w:val="24"/>
                <w:highlight w:val="none"/>
              </w:rPr>
              <w:t>。</w:t>
            </w:r>
          </w:p>
        </w:tc>
      </w:tr>
      <w:tr>
        <w:tblPrEx>
          <w:tblCellMar>
            <w:top w:w="0" w:type="dxa"/>
            <w:left w:w="108" w:type="dxa"/>
            <w:bottom w:w="0" w:type="dxa"/>
            <w:right w:w="108" w:type="dxa"/>
          </w:tblCellMar>
        </w:tblPrEx>
        <w:trPr>
          <w:trHeight w:val="9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（7）法律、行政法规规定的其他条件</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tblPrEx>
          <w:tblCellMar>
            <w:top w:w="0" w:type="dxa"/>
            <w:left w:w="108" w:type="dxa"/>
            <w:bottom w:w="0" w:type="dxa"/>
            <w:right w:w="108" w:type="dxa"/>
          </w:tblCellMar>
        </w:tblPrEx>
        <w:trPr>
          <w:trHeight w:val="1129"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5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供应商不得参加资格性审查的情形</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见第六章响应文件格式“供应商控股及管理关系情况申报表”</w:t>
            </w:r>
          </w:p>
        </w:tc>
      </w:tr>
      <w:tr>
        <w:tblPrEx>
          <w:tblCellMar>
            <w:top w:w="0" w:type="dxa"/>
            <w:left w:w="108" w:type="dxa"/>
            <w:bottom w:w="0" w:type="dxa"/>
            <w:right w:w="108" w:type="dxa"/>
          </w:tblCellMar>
        </w:tblPrEx>
        <w:trPr>
          <w:trHeight w:val="908"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3057"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（2）在财政部门禁止参加政府采购活动期限以内的。</w:t>
            </w:r>
          </w:p>
        </w:tc>
      </w:tr>
      <w:tr>
        <w:tblPrEx>
          <w:tblCellMar>
            <w:top w:w="0" w:type="dxa"/>
            <w:left w:w="108" w:type="dxa"/>
            <w:bottom w:w="0" w:type="dxa"/>
            <w:right w:w="108" w:type="dxa"/>
          </w:tblCellMar>
        </w:tblPrEx>
        <w:trPr>
          <w:trHeight w:val="631"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供应商应符合的供应商的特定要求</w:t>
            </w: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（1）资质条件</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须符合“供应商须知前附表”3.1的要求</w:t>
            </w:r>
          </w:p>
        </w:tc>
      </w:tr>
      <w:tr>
        <w:tblPrEx>
          <w:tblCellMar>
            <w:top w:w="0" w:type="dxa"/>
            <w:left w:w="108" w:type="dxa"/>
            <w:bottom w:w="0" w:type="dxa"/>
            <w:right w:w="108" w:type="dxa"/>
          </w:tblCellMar>
        </w:tblPrEx>
        <w:trPr>
          <w:trHeight w:val="45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line="360" w:lineRule="exact"/>
              <w:rPr>
                <w:rFonts w:ascii="宋体" w:hAnsi="宋体" w:eastAsia="宋体" w:cs="宋体"/>
                <w:color w:val="auto"/>
                <w:sz w:val="24"/>
                <w:szCs w:val="24"/>
                <w:highlight w:val="none"/>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）其他要求</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line="3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须符合“供应商须知前附表”3.1的要求</w:t>
            </w:r>
          </w:p>
        </w:tc>
      </w:tr>
    </w:tbl>
    <w:p>
      <w:pPr>
        <w:spacing w:after="0" w:line="380" w:lineRule="exact"/>
        <w:ind w:firstLine="480" w:firstLineChars="200"/>
        <w:rPr>
          <w:rFonts w:ascii="宋体" w:hAnsi="宋体" w:eastAsia="宋体" w:cs="Arial"/>
          <w:color w:val="auto"/>
          <w:sz w:val="24"/>
          <w:highlight w:val="none"/>
        </w:rPr>
      </w:pPr>
    </w:p>
    <w:p>
      <w:pPr>
        <w:spacing w:after="0" w:line="380" w:lineRule="exact"/>
        <w:ind w:firstLine="482" w:firstLineChars="200"/>
        <w:rPr>
          <w:rFonts w:ascii="宋体" w:hAnsi="宋体" w:eastAsia="宋体" w:cs="Arial"/>
          <w:b/>
          <w:color w:val="auto"/>
          <w:sz w:val="24"/>
          <w:highlight w:val="none"/>
        </w:rPr>
      </w:pPr>
      <w:r>
        <w:rPr>
          <w:rFonts w:hint="eastAsia" w:ascii="宋体" w:hAnsi="宋体" w:eastAsia="宋体" w:cs="Arial"/>
          <w:b/>
          <w:color w:val="auto"/>
          <w:sz w:val="24"/>
          <w:highlight w:val="none"/>
        </w:rPr>
        <w:t xml:space="preserve">2、符合性检查 </w:t>
      </w:r>
    </w:p>
    <w:p>
      <w:pPr>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资格性审查结束后，由谈判小组对通过资格性审查的供应商的响应文件进行符合性审查，以确定供应商是否满足采购文件的实质性要求。符合性检查资料表如下，缺少任何一项或有任何一项不合格者，其符合性审查视为不合格。</w:t>
      </w:r>
    </w:p>
    <w:tbl>
      <w:tblPr>
        <w:tblStyle w:val="38"/>
        <w:tblW w:w="9813" w:type="dxa"/>
        <w:jc w:val="center"/>
        <w:tblLayout w:type="fixed"/>
        <w:tblCellMar>
          <w:top w:w="0" w:type="dxa"/>
          <w:left w:w="108" w:type="dxa"/>
          <w:bottom w:w="0" w:type="dxa"/>
          <w:right w:w="108" w:type="dxa"/>
        </w:tblCellMar>
      </w:tblPr>
      <w:tblGrid>
        <w:gridCol w:w="574"/>
        <w:gridCol w:w="955"/>
        <w:gridCol w:w="2010"/>
        <w:gridCol w:w="6274"/>
      </w:tblGrid>
      <w:tr>
        <w:tblPrEx>
          <w:tblCellMar>
            <w:top w:w="0" w:type="dxa"/>
            <w:left w:w="108" w:type="dxa"/>
            <w:bottom w:w="0" w:type="dxa"/>
            <w:right w:w="108" w:type="dxa"/>
          </w:tblCellMar>
        </w:tblPrEx>
        <w:trPr>
          <w:trHeight w:val="495" w:hRule="atLeast"/>
          <w:tblHeader/>
          <w:jc w:val="center"/>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8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序号</w:t>
            </w:r>
          </w:p>
        </w:tc>
        <w:tc>
          <w:tcPr>
            <w:tcW w:w="2965"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8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评审因素</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8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评审内容及评审标准</w:t>
            </w:r>
          </w:p>
        </w:tc>
      </w:tr>
      <w:tr>
        <w:tblPrEx>
          <w:tblCellMar>
            <w:top w:w="0" w:type="dxa"/>
            <w:left w:w="108" w:type="dxa"/>
            <w:bottom w:w="0" w:type="dxa"/>
            <w:right w:w="108" w:type="dxa"/>
          </w:tblCellMar>
        </w:tblPrEx>
        <w:trPr>
          <w:trHeight w:val="540" w:hRule="atLeast"/>
          <w:jc w:val="center"/>
        </w:trPr>
        <w:tc>
          <w:tcPr>
            <w:tcW w:w="574"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8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1</w:t>
            </w:r>
          </w:p>
        </w:tc>
        <w:tc>
          <w:tcPr>
            <w:tcW w:w="955"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line="38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有效性审查</w:t>
            </w: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响应文件签署</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 xml:space="preserve">法定代表人或其授权代表人已按要求签字盖章。 </w:t>
            </w:r>
          </w:p>
        </w:tc>
      </w:tr>
      <w:tr>
        <w:tblPrEx>
          <w:tblCellMar>
            <w:top w:w="0" w:type="dxa"/>
            <w:left w:w="108" w:type="dxa"/>
            <w:bottom w:w="0" w:type="dxa"/>
            <w:right w:w="108" w:type="dxa"/>
          </w:tblCellMar>
        </w:tblPrEx>
        <w:trPr>
          <w:trHeight w:val="1072"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法定代表人身份证明及授权委托书</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ind w:firstLine="450"/>
              <w:rPr>
                <w:rFonts w:ascii="宋体" w:hAnsi="宋体" w:eastAsia="宋体" w:cs="Arial"/>
                <w:color w:val="auto"/>
                <w:sz w:val="24"/>
                <w:highlight w:val="none"/>
              </w:rPr>
            </w:pPr>
            <w:r>
              <w:rPr>
                <w:rFonts w:hint="eastAsia" w:ascii="宋体" w:hAnsi="宋体" w:eastAsia="宋体" w:cs="Arial"/>
                <w:color w:val="auto"/>
                <w:sz w:val="24"/>
                <w:highlight w:val="none"/>
              </w:rPr>
              <w:t>法定代表人身份证明及授权委托书须有效，符合采购文件规定的格式，签字或盖章齐全。</w:t>
            </w:r>
          </w:p>
        </w:tc>
      </w:tr>
      <w:tr>
        <w:tblPrEx>
          <w:tblCellMar>
            <w:top w:w="0" w:type="dxa"/>
            <w:left w:w="108" w:type="dxa"/>
            <w:bottom w:w="0" w:type="dxa"/>
            <w:right w:w="108" w:type="dxa"/>
          </w:tblCellMar>
        </w:tblPrEx>
        <w:trPr>
          <w:trHeight w:val="540"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响应文件或竞标报价唯一性</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同一供应商不得提交两个以上不同的响应文件或者竞标报价，但采购文件要求提交备选竞标的除外。</w:t>
            </w:r>
          </w:p>
        </w:tc>
      </w:tr>
      <w:tr>
        <w:tblPrEx>
          <w:tblCellMar>
            <w:top w:w="0" w:type="dxa"/>
            <w:left w:w="108" w:type="dxa"/>
            <w:bottom w:w="0" w:type="dxa"/>
            <w:right w:w="108" w:type="dxa"/>
          </w:tblCellMar>
        </w:tblPrEx>
        <w:trPr>
          <w:trHeight w:val="389"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附加条件</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响应文件不得含有招标不能接受的附加条件。</w:t>
            </w:r>
          </w:p>
        </w:tc>
      </w:tr>
      <w:tr>
        <w:tblPrEx>
          <w:tblCellMar>
            <w:top w:w="0" w:type="dxa"/>
            <w:left w:w="108" w:type="dxa"/>
            <w:bottom w:w="0" w:type="dxa"/>
            <w:right w:w="108" w:type="dxa"/>
          </w:tblCellMar>
        </w:tblPrEx>
        <w:trPr>
          <w:trHeight w:val="810"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竞标报价</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报价超出采购预算金额或最高限价（如有）的，竞标无效。提交选择性报价的，竞标无效。</w:t>
            </w:r>
          </w:p>
        </w:tc>
      </w:tr>
      <w:tr>
        <w:tblPrEx>
          <w:tblCellMar>
            <w:top w:w="0" w:type="dxa"/>
            <w:left w:w="108" w:type="dxa"/>
            <w:bottom w:w="0" w:type="dxa"/>
            <w:right w:w="108" w:type="dxa"/>
          </w:tblCellMar>
        </w:tblPrEx>
        <w:trPr>
          <w:trHeight w:val="540"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联合体供应商（如允许） </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提交联合体协议书，并明确联合体牵头人，并符合采购文件规定。</w:t>
            </w:r>
          </w:p>
        </w:tc>
      </w:tr>
      <w:tr>
        <w:tblPrEx>
          <w:tblCellMar>
            <w:top w:w="0" w:type="dxa"/>
            <w:left w:w="108" w:type="dxa"/>
            <w:bottom w:w="0" w:type="dxa"/>
            <w:right w:w="108" w:type="dxa"/>
          </w:tblCellMar>
        </w:tblPrEx>
        <w:trPr>
          <w:trHeight w:val="435" w:hRule="atLeast"/>
          <w:jc w:val="center"/>
        </w:trPr>
        <w:tc>
          <w:tcPr>
            <w:tcW w:w="574"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38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2</w:t>
            </w:r>
          </w:p>
        </w:tc>
        <w:tc>
          <w:tcPr>
            <w:tcW w:w="955"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line="38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完整性审查</w:t>
            </w: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响应文件份数</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响应文件正、副本数量符合采购文件要求。</w:t>
            </w:r>
          </w:p>
        </w:tc>
      </w:tr>
      <w:tr>
        <w:tblPrEx>
          <w:tblCellMar>
            <w:top w:w="0" w:type="dxa"/>
            <w:left w:w="108" w:type="dxa"/>
            <w:bottom w:w="0" w:type="dxa"/>
            <w:right w:w="108" w:type="dxa"/>
          </w:tblCellMar>
        </w:tblPrEx>
        <w:trPr>
          <w:trHeight w:val="435"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955" w:type="dxa"/>
            <w:vMerge w:val="continue"/>
            <w:tcBorders>
              <w:top w:val="nil"/>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响应文件内容</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响应文件内容齐全、无遗漏。</w:t>
            </w:r>
          </w:p>
        </w:tc>
      </w:tr>
      <w:tr>
        <w:tblPrEx>
          <w:tblCellMar>
            <w:top w:w="0" w:type="dxa"/>
            <w:left w:w="108" w:type="dxa"/>
            <w:bottom w:w="0" w:type="dxa"/>
            <w:right w:w="108" w:type="dxa"/>
          </w:tblCellMar>
        </w:tblPrEx>
        <w:trPr>
          <w:trHeight w:val="540" w:hRule="atLeast"/>
          <w:jc w:val="center"/>
        </w:trPr>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80" w:lineRule="exact"/>
              <w:jc w:val="center"/>
              <w:rPr>
                <w:rFonts w:ascii="宋体" w:hAnsi="宋体" w:eastAsia="宋体" w:cs="Arial"/>
                <w:color w:val="auto"/>
                <w:sz w:val="24"/>
                <w:highlight w:val="none"/>
              </w:rPr>
            </w:pPr>
            <w:r>
              <w:rPr>
                <w:rFonts w:hint="eastAsia" w:ascii="宋体" w:hAnsi="宋体" w:eastAsia="宋体" w:cs="Arial"/>
                <w:color w:val="auto"/>
                <w:sz w:val="24"/>
                <w:highlight w:val="none"/>
              </w:rPr>
              <w:t>3</w:t>
            </w:r>
          </w:p>
        </w:tc>
        <w:tc>
          <w:tcPr>
            <w:tcW w:w="9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对采购文件的响应程度审查 </w:t>
            </w: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实质性条款响应</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对采购文件中所有标注“</w:t>
            </w:r>
            <w:r>
              <w:rPr>
                <w:rFonts w:hint="eastAsia" w:ascii="宋体" w:hAnsi="宋体" w:eastAsia="宋体" w:cs="宋体"/>
                <w:color w:val="auto"/>
                <w:sz w:val="21"/>
                <w:szCs w:val="21"/>
                <w:highlight w:val="none"/>
              </w:rPr>
              <w:t>▲</w:t>
            </w:r>
            <w:r>
              <w:rPr>
                <w:rFonts w:hint="eastAsia" w:ascii="宋体" w:hAnsi="宋体" w:eastAsia="宋体" w:cs="Arial"/>
                <w:color w:val="auto"/>
                <w:sz w:val="24"/>
                <w:highlight w:val="none"/>
              </w:rPr>
              <w:t>”号的实质性条款要求响应均无负偏离。</w:t>
            </w:r>
          </w:p>
        </w:tc>
      </w:tr>
      <w:tr>
        <w:tblPrEx>
          <w:tblCellMar>
            <w:top w:w="0" w:type="dxa"/>
            <w:left w:w="108" w:type="dxa"/>
            <w:bottom w:w="0" w:type="dxa"/>
            <w:right w:w="108" w:type="dxa"/>
          </w:tblCellMar>
        </w:tblPrEx>
        <w:trPr>
          <w:trHeight w:val="55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第三章《项目采购需求和说明》允许负偏离项数</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非“</w:t>
            </w:r>
            <w:r>
              <w:rPr>
                <w:rFonts w:hint="eastAsia" w:ascii="宋体" w:hAnsi="宋体" w:eastAsia="宋体" w:cs="宋体"/>
                <w:color w:val="auto"/>
                <w:sz w:val="21"/>
                <w:szCs w:val="21"/>
                <w:highlight w:val="none"/>
              </w:rPr>
              <w:t>▲</w:t>
            </w:r>
            <w:r>
              <w:rPr>
                <w:rFonts w:hint="eastAsia" w:ascii="宋体" w:hAnsi="宋体" w:eastAsia="宋体" w:cs="Arial"/>
                <w:color w:val="auto"/>
                <w:sz w:val="24"/>
                <w:highlight w:val="none"/>
              </w:rPr>
              <w:t>”号要求或技术指标发生负偏离或不响应达到“项目采购需求和说明”规定的项数的，竞标无效。</w:t>
            </w:r>
          </w:p>
        </w:tc>
      </w:tr>
      <w:tr>
        <w:tblPrEx>
          <w:tblCellMar>
            <w:top w:w="0" w:type="dxa"/>
            <w:left w:w="108" w:type="dxa"/>
            <w:bottom w:w="0" w:type="dxa"/>
            <w:right w:w="108" w:type="dxa"/>
          </w:tblCellMar>
        </w:tblPrEx>
        <w:trPr>
          <w:trHeight w:val="54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响应文件格式</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80" w:lineRule="exact"/>
              <w:rPr>
                <w:rFonts w:ascii="宋体" w:hAnsi="宋体" w:eastAsia="宋体" w:cs="Arial"/>
                <w:color w:val="auto"/>
                <w:sz w:val="24"/>
                <w:highlight w:val="none"/>
              </w:rPr>
            </w:pPr>
            <w:r>
              <w:rPr>
                <w:rFonts w:hint="eastAsia" w:ascii="宋体" w:hAnsi="宋体" w:eastAsia="宋体" w:cs="Arial"/>
                <w:color w:val="auto"/>
                <w:sz w:val="24"/>
                <w:highlight w:val="none"/>
              </w:rPr>
              <w:t xml:space="preserve">    响应文件未按第二章第10.1项和第六章“响应文件格式”的规定编写和提供。</w:t>
            </w:r>
          </w:p>
        </w:tc>
      </w:tr>
      <w:tr>
        <w:tblPrEx>
          <w:tblCellMar>
            <w:top w:w="0" w:type="dxa"/>
            <w:left w:w="108" w:type="dxa"/>
            <w:bottom w:w="0" w:type="dxa"/>
            <w:right w:w="108"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380" w:lineRule="exact"/>
              <w:rPr>
                <w:rFonts w:ascii="宋体" w:hAnsi="宋体" w:eastAsia="宋体" w:cs="Arial"/>
                <w:color w:val="auto"/>
                <w:sz w:val="24"/>
                <w:highlight w:val="none"/>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80" w:lineRule="exact"/>
              <w:jc w:val="both"/>
              <w:rPr>
                <w:rFonts w:ascii="宋体" w:hAnsi="宋体" w:eastAsia="宋体" w:cs="Arial"/>
                <w:color w:val="auto"/>
                <w:sz w:val="24"/>
                <w:highlight w:val="none"/>
              </w:rPr>
            </w:pPr>
            <w:r>
              <w:rPr>
                <w:rFonts w:hint="eastAsia" w:ascii="宋体" w:hAnsi="宋体" w:eastAsia="宋体" w:cs="Arial"/>
                <w:color w:val="auto"/>
                <w:sz w:val="24"/>
                <w:highlight w:val="none"/>
              </w:rPr>
              <w:t xml:space="preserve">竞标有效期 </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380" w:lineRule="exact"/>
              <w:jc w:val="both"/>
              <w:rPr>
                <w:rFonts w:ascii="宋体" w:hAnsi="宋体" w:eastAsia="宋体" w:cs="Arial"/>
                <w:color w:val="auto"/>
                <w:sz w:val="24"/>
                <w:highlight w:val="none"/>
              </w:rPr>
            </w:pPr>
            <w:r>
              <w:rPr>
                <w:rFonts w:hint="eastAsia" w:ascii="宋体" w:hAnsi="宋体" w:eastAsia="宋体" w:cs="Arial"/>
                <w:color w:val="auto"/>
                <w:sz w:val="24"/>
                <w:highlight w:val="none"/>
              </w:rPr>
              <w:t xml:space="preserve">    满足采购文件规定并在第六章“响应文件格式”谈判书做出响应的。</w:t>
            </w:r>
          </w:p>
        </w:tc>
      </w:tr>
    </w:tbl>
    <w:p>
      <w:pPr>
        <w:spacing w:after="0" w:line="380" w:lineRule="exact"/>
        <w:ind w:firstLine="480" w:firstLineChars="200"/>
        <w:rPr>
          <w:rFonts w:ascii="宋体" w:hAnsi="宋体" w:eastAsia="宋体" w:cs="Arial"/>
          <w:color w:val="auto"/>
          <w:sz w:val="24"/>
          <w:highlight w:val="none"/>
        </w:rPr>
      </w:pPr>
    </w:p>
    <w:p>
      <w:pPr>
        <w:spacing w:after="0" w:line="380" w:lineRule="exact"/>
        <w:ind w:firstLine="482" w:firstLineChars="200"/>
        <w:rPr>
          <w:rFonts w:ascii="宋体" w:hAnsi="宋体" w:eastAsia="宋体" w:cs="Arial"/>
          <w:b/>
          <w:color w:val="auto"/>
          <w:sz w:val="24"/>
          <w:highlight w:val="none"/>
        </w:rPr>
      </w:pPr>
      <w:r>
        <w:rPr>
          <w:rFonts w:hint="eastAsia" w:ascii="宋体" w:hAnsi="宋体" w:eastAsia="宋体" w:cs="Arial"/>
          <w:b/>
          <w:color w:val="auto"/>
          <w:sz w:val="24"/>
          <w:highlight w:val="none"/>
        </w:rPr>
        <w:t>3、详细评审</w:t>
      </w:r>
    </w:p>
    <w:p>
      <w:pPr>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谈判小组按谈判文件规定的程序与供应商进行谈判。对实质性响应谈判文件的供应商最后报价进行评审。</w:t>
      </w:r>
    </w:p>
    <w:p>
      <w:pPr>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（1）谈判小组将依照本谈判文件相关规定对质量和服务均能满足竞争性谈判实质性要求的供应商所提交的最后报价进行政策性扣除，即</w:t>
      </w:r>
      <w:r>
        <w:rPr>
          <w:rFonts w:hint="eastAsia" w:ascii="宋体" w:hAnsi="宋体" w:eastAsia="宋体" w:cs="Arial"/>
          <w:color w:val="auto"/>
          <w:sz w:val="24"/>
          <w:highlight w:val="none"/>
          <w:u w:val="single"/>
        </w:rPr>
        <w:t>评标价=最后报价×（1—小型和微型企业政策性扣除）</w:t>
      </w:r>
      <w:r>
        <w:rPr>
          <w:rFonts w:hint="eastAsia" w:ascii="宋体" w:hAnsi="宋体" w:eastAsia="宋体" w:cs="Arial"/>
          <w:color w:val="auto"/>
          <w:sz w:val="24"/>
          <w:highlight w:val="none"/>
        </w:rPr>
        <w:t>。依据</w:t>
      </w:r>
      <w:r>
        <w:rPr>
          <w:rFonts w:hint="eastAsia" w:ascii="宋体" w:hAnsi="宋体" w:eastAsia="宋体" w:cs="Arial"/>
          <w:color w:val="auto"/>
          <w:sz w:val="24"/>
          <w:highlight w:val="none"/>
          <w:u w:val="single"/>
        </w:rPr>
        <w:t>评标价</w:t>
      </w:r>
      <w:r>
        <w:rPr>
          <w:rFonts w:hint="eastAsia" w:ascii="宋体" w:hAnsi="宋体" w:eastAsia="宋体" w:cs="Arial"/>
          <w:color w:val="auto"/>
          <w:sz w:val="24"/>
          <w:highlight w:val="none"/>
        </w:rPr>
        <w:t>按照由低到高的顺序提出3名以上成交候选人，并编写评审报告。</w:t>
      </w:r>
    </w:p>
    <w:p>
      <w:pPr>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（2）小型和微型企业最终报价扣除计算</w:t>
      </w:r>
    </w:p>
    <w:p>
      <w:pPr>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①按照《政府采购促进中小企业发展管理办法》（财库﹝2020﹞46 号），货物全部由符合政策要求的小</w:t>
      </w:r>
      <w:r>
        <w:rPr>
          <w:rFonts w:hint="eastAsia" w:ascii="宋体" w:hAnsi="宋体" w:eastAsia="宋体" w:cs="Arial"/>
          <w:color w:val="auto"/>
          <w:sz w:val="24"/>
          <w:highlight w:val="none"/>
          <w:lang w:eastAsia="zh-CN"/>
        </w:rPr>
        <w:t>微</w:t>
      </w:r>
      <w:r>
        <w:rPr>
          <w:rFonts w:hint="eastAsia" w:ascii="宋体" w:hAnsi="宋体" w:eastAsia="宋体" w:cs="Arial"/>
          <w:color w:val="auto"/>
          <w:sz w:val="24"/>
          <w:highlight w:val="none"/>
        </w:rPr>
        <w:t>企业制造，在其响应文件中提供《中小企业声明函》，对小型和微型企业产品的最后报价给予10%的扣除，扣除后的价格为评标报价，即评标报价=最终报价×（1-10%）。</w:t>
      </w:r>
    </w:p>
    <w:p>
      <w:pPr>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②按照《财政部、司法部关于政府采购支持监狱企业发展有关问题的通知》（财库〔2014〕68号）之规定，监狱企业视同小型、微型企业，享受预留份额、评审中价格扣除等政府采购政策。</w:t>
      </w:r>
    </w:p>
    <w:p>
      <w:pPr>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③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spacing w:after="0" w:line="38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除上述情况外，评标价=最后报价</w:t>
      </w:r>
    </w:p>
    <w:p>
      <w:pPr>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w:t>
      </w:r>
      <w:r>
        <w:rPr>
          <w:rFonts w:ascii="宋体" w:hAnsi="宋体" w:eastAsia="宋体" w:cs="Arial"/>
          <w:color w:val="auto"/>
          <w:sz w:val="24"/>
          <w:highlight w:val="none"/>
        </w:rPr>
        <w:t>3</w:t>
      </w:r>
      <w:r>
        <w:rPr>
          <w:rFonts w:hint="eastAsia" w:ascii="宋体" w:hAnsi="宋体" w:eastAsia="宋体" w:cs="Arial"/>
          <w:color w:val="auto"/>
          <w:sz w:val="24"/>
          <w:highlight w:val="none"/>
        </w:rPr>
        <w:t>）</w:t>
      </w:r>
      <w:r>
        <w:rPr>
          <w:rFonts w:ascii="宋体" w:hAnsi="宋体" w:eastAsia="宋体" w:cs="Arial"/>
          <w:color w:val="auto"/>
          <w:sz w:val="24"/>
          <w:highlight w:val="none"/>
        </w:rPr>
        <w:t>谈判小组从质量和服务均能满足</w:t>
      </w:r>
      <w:r>
        <w:rPr>
          <w:rFonts w:hint="eastAsia" w:ascii="宋体" w:hAnsi="宋体" w:eastAsia="宋体" w:cs="Arial"/>
          <w:color w:val="auto"/>
          <w:sz w:val="24"/>
          <w:highlight w:val="none"/>
        </w:rPr>
        <w:t>谈判</w:t>
      </w:r>
      <w:r>
        <w:rPr>
          <w:rFonts w:ascii="宋体" w:hAnsi="宋体" w:eastAsia="宋体" w:cs="Arial"/>
          <w:color w:val="auto"/>
          <w:sz w:val="24"/>
          <w:highlight w:val="none"/>
        </w:rPr>
        <w:t>文件实质性响应要求的</w:t>
      </w:r>
      <w:r>
        <w:rPr>
          <w:rFonts w:hint="eastAsia" w:ascii="宋体" w:hAnsi="宋体" w:eastAsia="宋体" w:cs="Arial"/>
          <w:color w:val="auto"/>
          <w:sz w:val="24"/>
          <w:highlight w:val="none"/>
        </w:rPr>
        <w:t>供应商</w:t>
      </w:r>
      <w:r>
        <w:rPr>
          <w:rFonts w:ascii="宋体" w:hAnsi="宋体" w:eastAsia="宋体" w:cs="Arial"/>
          <w:color w:val="auto"/>
          <w:sz w:val="24"/>
          <w:highlight w:val="none"/>
        </w:rPr>
        <w:t>中，按照</w:t>
      </w:r>
      <w:r>
        <w:rPr>
          <w:rFonts w:hint="eastAsia" w:ascii="宋体" w:hAnsi="宋体" w:eastAsia="宋体" w:cs="Arial"/>
          <w:color w:val="auto"/>
          <w:sz w:val="24"/>
          <w:highlight w:val="none"/>
        </w:rPr>
        <w:t>最后评标价</w:t>
      </w:r>
      <w:r>
        <w:rPr>
          <w:rFonts w:ascii="宋体" w:hAnsi="宋体" w:eastAsia="宋体" w:cs="Arial"/>
          <w:color w:val="auto"/>
          <w:sz w:val="24"/>
          <w:highlight w:val="none"/>
        </w:rPr>
        <w:t>由低到高的顺序提出3名以上成交候选人</w:t>
      </w:r>
      <w:r>
        <w:rPr>
          <w:rFonts w:hint="eastAsia" w:ascii="宋体" w:hAnsi="宋体" w:eastAsia="宋体" w:cs="Arial"/>
          <w:color w:val="auto"/>
          <w:sz w:val="24"/>
          <w:highlight w:val="none"/>
        </w:rPr>
        <w:t>（评标价相同时，依次按最后报价由低到高、节能环保产品优先、技术指标高优先、质量保证期长优先、交货期短优先的顺序排列；报价相同且前述指标均相同时，由谈判小组各成员对相关供应商当场投票表决，得票多者优先；按前述程序仍无法确定供应商排名顺序的，由谈判小组抽签决定）。</w:t>
      </w:r>
    </w:p>
    <w:p>
      <w:pPr>
        <w:spacing w:after="0" w:line="38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w:t>
      </w:r>
      <w:r>
        <w:rPr>
          <w:rFonts w:ascii="宋体" w:hAnsi="宋体" w:eastAsia="宋体" w:cs="Arial"/>
          <w:color w:val="auto"/>
          <w:sz w:val="24"/>
          <w:highlight w:val="none"/>
        </w:rPr>
        <w:t>4</w:t>
      </w:r>
      <w:r>
        <w:rPr>
          <w:rFonts w:hint="eastAsia" w:ascii="宋体" w:hAnsi="宋体" w:eastAsia="宋体" w:cs="Arial"/>
          <w:color w:val="auto"/>
          <w:sz w:val="24"/>
          <w:highlight w:val="none"/>
        </w:rPr>
        <w:t>）成交价格=成交供应商的最后报价。</w:t>
      </w:r>
    </w:p>
    <w:p>
      <w:pPr>
        <w:spacing w:after="0" w:line="38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w:t>
      </w:r>
      <w:r>
        <w:rPr>
          <w:rFonts w:hint="eastAsia" w:ascii="宋体" w:hAnsi="宋体" w:eastAsia="宋体"/>
          <w:color w:val="auto"/>
          <w:sz w:val="24"/>
          <w:highlight w:val="none"/>
        </w:rPr>
        <w:t>）谈判小组完成评标后，向采购人提交书面评审报告。</w:t>
      </w:r>
    </w:p>
    <w:p>
      <w:pPr>
        <w:spacing w:after="0" w:line="380" w:lineRule="exact"/>
        <w:ind w:firstLine="482" w:firstLineChars="200"/>
        <w:outlineLvl w:val="1"/>
        <w:rPr>
          <w:rFonts w:ascii="宋体" w:hAnsi="宋体" w:eastAsia="宋体" w:cs="Arial"/>
          <w:b/>
          <w:bCs/>
          <w:color w:val="auto"/>
          <w:sz w:val="24"/>
          <w:highlight w:val="none"/>
        </w:rPr>
      </w:pPr>
      <w:bookmarkStart w:id="86" w:name="_Toc23866"/>
      <w:r>
        <w:rPr>
          <w:rFonts w:hint="eastAsia" w:ascii="宋体" w:hAnsi="宋体" w:eastAsia="宋体" w:cs="Arial"/>
          <w:b/>
          <w:bCs/>
          <w:color w:val="auto"/>
          <w:sz w:val="24"/>
          <w:highlight w:val="none"/>
        </w:rPr>
        <w:t>三、确定成交供应商</w:t>
      </w:r>
      <w:bookmarkEnd w:id="86"/>
    </w:p>
    <w:p>
      <w:pPr>
        <w:pStyle w:val="19"/>
        <w:tabs>
          <w:tab w:val="left" w:pos="4214"/>
        </w:tabs>
        <w:spacing w:line="380" w:lineRule="exact"/>
        <w:ind w:firstLine="480" w:firstLineChars="200"/>
        <w:rPr>
          <w:rFonts w:hAnsi="宋体"/>
          <w:color w:val="auto"/>
          <w:sz w:val="24"/>
          <w:szCs w:val="24"/>
          <w:highlight w:val="none"/>
        </w:rPr>
      </w:pPr>
      <w:r>
        <w:rPr>
          <w:rFonts w:hint="eastAsia" w:hAnsi="宋体"/>
          <w:color w:val="auto"/>
          <w:sz w:val="24"/>
          <w:szCs w:val="24"/>
          <w:highlight w:val="none"/>
        </w:rPr>
        <w:t>1、采购人应当确定谈判小组推荐排名第一的供应商为成交供应商。</w:t>
      </w:r>
    </w:p>
    <w:p>
      <w:pPr>
        <w:pStyle w:val="19"/>
        <w:spacing w:line="380" w:lineRule="exact"/>
        <w:ind w:firstLine="480" w:firstLineChars="200"/>
        <w:rPr>
          <w:rFonts w:hAnsi="宋体"/>
          <w:color w:val="auto"/>
          <w:sz w:val="24"/>
          <w:szCs w:val="24"/>
          <w:highlight w:val="none"/>
        </w:rPr>
      </w:pPr>
      <w:r>
        <w:rPr>
          <w:rFonts w:hint="eastAsia" w:hAnsi="宋体"/>
          <w:color w:val="auto"/>
          <w:sz w:val="24"/>
          <w:szCs w:val="24"/>
          <w:highlight w:val="none"/>
        </w:rPr>
        <w:t>2、</w:t>
      </w:r>
      <w:bookmarkStart w:id="87" w:name="_Toc430011367"/>
      <w:r>
        <w:rPr>
          <w:rFonts w:hint="eastAsia" w:hAnsi="宋体"/>
          <w:color w:val="auto"/>
          <w:sz w:val="24"/>
          <w:szCs w:val="24"/>
          <w:highlight w:val="none"/>
        </w:rPr>
        <w:t>如排名第一的成交候选人拒绝与采购人签订合同的，采购人按“供应商须知”第31.3款处理。</w:t>
      </w:r>
    </w:p>
    <w:bookmarkEnd w:id="87"/>
    <w:p>
      <w:pPr>
        <w:rPr>
          <w:rFonts w:ascii="宋体" w:hAnsi="宋体" w:eastAsia="宋体"/>
          <w:color w:val="auto"/>
          <w:highlight w:val="none"/>
        </w:rPr>
        <w:sectPr>
          <w:pgSz w:w="11907" w:h="16840"/>
          <w:pgMar w:top="1077" w:right="1275" w:bottom="1418" w:left="1077" w:header="624" w:footer="737" w:gutter="0"/>
          <w:cols w:space="720" w:num="1"/>
          <w:docGrid w:linePitch="312" w:charSpace="0"/>
        </w:sectPr>
      </w:pPr>
      <w:bookmarkStart w:id="88" w:name="_Toc246095525"/>
      <w:bookmarkStart w:id="89" w:name="_Toc246094919"/>
      <w:bookmarkStart w:id="90" w:name="_Toc246095463"/>
    </w:p>
    <w:p>
      <w:pPr>
        <w:pStyle w:val="3"/>
        <w:spacing w:before="240" w:beforeLines="100" w:after="240" w:afterLines="100" w:line="580" w:lineRule="exact"/>
        <w:rPr>
          <w:rFonts w:ascii="宋体" w:hAnsi="宋体" w:eastAsia="宋体"/>
          <w:b/>
          <w:bCs/>
          <w:color w:val="auto"/>
          <w:highlight w:val="none"/>
        </w:rPr>
      </w:pPr>
      <w:bookmarkStart w:id="91" w:name="_Toc15224"/>
      <w:r>
        <w:rPr>
          <w:rFonts w:hint="eastAsia" w:ascii="宋体" w:hAnsi="宋体" w:eastAsia="宋体"/>
          <w:b/>
          <w:bCs/>
          <w:color w:val="auto"/>
          <w:highlight w:val="none"/>
        </w:rPr>
        <w:t>第五章  合同条款</w:t>
      </w:r>
      <w:bookmarkEnd w:id="88"/>
      <w:bookmarkEnd w:id="89"/>
      <w:bookmarkEnd w:id="90"/>
      <w:bookmarkEnd w:id="91"/>
    </w:p>
    <w:p>
      <w:pPr>
        <w:spacing w:line="500" w:lineRule="exact"/>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《广西壮族自治区政府采购合同》</w:t>
      </w:r>
    </w:p>
    <w:p>
      <w:pPr>
        <w:spacing w:line="500" w:lineRule="exact"/>
        <w:jc w:val="center"/>
        <w:rPr>
          <w:rFonts w:ascii="宋体" w:hAnsi="宋体" w:eastAsia="宋体"/>
          <w:bCs/>
          <w:color w:val="auto"/>
          <w:sz w:val="24"/>
          <w:highlight w:val="none"/>
          <w:u w:val="single"/>
        </w:rPr>
      </w:pPr>
      <w:r>
        <w:rPr>
          <w:rFonts w:hint="eastAsia" w:ascii="宋体" w:hAnsi="宋体" w:eastAsia="宋体"/>
          <w:bCs/>
          <w:color w:val="auto"/>
          <w:sz w:val="24"/>
          <w:highlight w:val="none"/>
        </w:rPr>
        <w:t>合同编号：</w:t>
      </w:r>
    </w:p>
    <w:p>
      <w:pPr>
        <w:spacing w:after="0" w:line="460" w:lineRule="exact"/>
        <w:rPr>
          <w:rFonts w:ascii="宋体" w:hAnsi="宋体" w:eastAsia="宋体"/>
          <w:color w:val="auto"/>
          <w:sz w:val="24"/>
          <w:highlight w:val="none"/>
          <w:u w:val="single"/>
        </w:rPr>
      </w:pPr>
      <w:r>
        <w:rPr>
          <w:rFonts w:hint="eastAsia" w:ascii="宋体" w:hAnsi="宋体" w:eastAsia="宋体"/>
          <w:color w:val="auto"/>
          <w:sz w:val="24"/>
          <w:highlight w:val="none"/>
        </w:rPr>
        <w:t>采购人（甲方）  采 购 计 划 号</w:t>
      </w:r>
    </w:p>
    <w:p>
      <w:pPr>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供 应 商（乙方）</w:t>
      </w:r>
    </w:p>
    <w:p>
      <w:pPr>
        <w:spacing w:after="0" w:line="460" w:lineRule="exact"/>
        <w:rPr>
          <w:rFonts w:ascii="宋体" w:hAnsi="宋体" w:eastAsia="宋体"/>
          <w:color w:val="auto"/>
          <w:sz w:val="24"/>
          <w:highlight w:val="none"/>
          <w:u w:val="single"/>
        </w:rPr>
      </w:pPr>
      <w:r>
        <w:rPr>
          <w:rFonts w:hint="eastAsia" w:ascii="宋体" w:hAnsi="宋体" w:eastAsia="宋体"/>
          <w:color w:val="auto"/>
          <w:sz w:val="24"/>
          <w:highlight w:val="none"/>
        </w:rPr>
        <w:t>项目名称：</w:t>
      </w:r>
    </w:p>
    <w:p>
      <w:pPr>
        <w:spacing w:after="0" w:line="460" w:lineRule="exact"/>
        <w:rPr>
          <w:rFonts w:ascii="宋体" w:hAnsi="宋体" w:eastAsia="宋体"/>
          <w:color w:val="auto"/>
          <w:sz w:val="24"/>
          <w:highlight w:val="none"/>
          <w:u w:val="single"/>
        </w:rPr>
      </w:pPr>
      <w:r>
        <w:rPr>
          <w:rFonts w:hint="eastAsia" w:ascii="宋体" w:hAnsi="宋体" w:eastAsia="宋体"/>
          <w:color w:val="auto"/>
          <w:sz w:val="24"/>
          <w:highlight w:val="none"/>
        </w:rPr>
        <w:t>采购编号：</w:t>
      </w:r>
    </w:p>
    <w:p>
      <w:pPr>
        <w:spacing w:after="0" w:line="460" w:lineRule="exact"/>
        <w:rPr>
          <w:rFonts w:ascii="宋体" w:hAnsi="宋体" w:eastAsia="宋体"/>
          <w:color w:val="auto"/>
          <w:sz w:val="24"/>
          <w:highlight w:val="none"/>
        </w:rPr>
      </w:pPr>
      <w:r>
        <w:rPr>
          <w:rFonts w:hint="eastAsia" w:ascii="宋体" w:hAnsi="宋体" w:eastAsia="宋体"/>
          <w:color w:val="auto"/>
          <w:sz w:val="24"/>
          <w:highlight w:val="none"/>
        </w:rPr>
        <w:t>签订地点：</w:t>
      </w:r>
    </w:p>
    <w:p>
      <w:pPr>
        <w:spacing w:after="0" w:line="460" w:lineRule="exact"/>
        <w:rPr>
          <w:rFonts w:ascii="宋体" w:hAnsi="宋体" w:eastAsia="宋体"/>
          <w:color w:val="auto"/>
          <w:sz w:val="24"/>
          <w:highlight w:val="none"/>
          <w:u w:val="single"/>
        </w:rPr>
      </w:pPr>
      <w:r>
        <w:rPr>
          <w:rFonts w:hint="eastAsia" w:ascii="宋体" w:hAnsi="宋体" w:eastAsia="宋体"/>
          <w:color w:val="auto"/>
          <w:sz w:val="24"/>
          <w:highlight w:val="none"/>
        </w:rPr>
        <w:t>签订时间：</w:t>
      </w:r>
    </w:p>
    <w:p>
      <w:pPr>
        <w:spacing w:line="500" w:lineRule="exact"/>
        <w:rPr>
          <w:rFonts w:ascii="宋体" w:hAnsi="宋体" w:eastAsia="宋体"/>
          <w:color w:val="auto"/>
          <w:sz w:val="24"/>
          <w:highlight w:val="none"/>
          <w:u w:val="single"/>
        </w:rPr>
      </w:pP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根据《中华人民共和国政府采购法》、《中华人民共和国</w:t>
      </w:r>
      <w:r>
        <w:rPr>
          <w:rFonts w:hint="eastAsia" w:ascii="宋体" w:hAnsi="宋体" w:eastAsia="宋体"/>
          <w:color w:val="auto"/>
          <w:sz w:val="24"/>
          <w:highlight w:val="none"/>
          <w:lang w:eastAsia="zh-CN"/>
        </w:rPr>
        <w:t>民法典</w:t>
      </w:r>
      <w:r>
        <w:rPr>
          <w:rFonts w:hint="eastAsia" w:ascii="宋体" w:hAnsi="宋体" w:eastAsia="宋体"/>
          <w:color w:val="auto"/>
          <w:sz w:val="24"/>
          <w:highlight w:val="none"/>
        </w:rPr>
        <w:t>》等法律、法规规定，按照采购文件的规定条款和中标（成交）供应商的响应文件及其承诺，甲乙双方签订本合同。</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第一条　合同标的</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1、供货一览表</w:t>
      </w:r>
    </w:p>
    <w:tbl>
      <w:tblPr>
        <w:tblStyle w:val="38"/>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233"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货物名称</w:t>
            </w:r>
          </w:p>
        </w:tc>
        <w:tc>
          <w:tcPr>
            <w:tcW w:w="1059"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商标品牌</w:t>
            </w:r>
          </w:p>
        </w:tc>
        <w:tc>
          <w:tcPr>
            <w:tcW w:w="1233"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规格型号、参数</w:t>
            </w:r>
          </w:p>
        </w:tc>
        <w:tc>
          <w:tcPr>
            <w:tcW w:w="1210"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生产厂家</w:t>
            </w:r>
          </w:p>
        </w:tc>
        <w:tc>
          <w:tcPr>
            <w:tcW w:w="908"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数量</w:t>
            </w:r>
          </w:p>
        </w:tc>
        <w:tc>
          <w:tcPr>
            <w:tcW w:w="668"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单位</w:t>
            </w:r>
          </w:p>
        </w:tc>
        <w:tc>
          <w:tcPr>
            <w:tcW w:w="947"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单价</w:t>
            </w:r>
          </w:p>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（元）</w:t>
            </w:r>
          </w:p>
        </w:tc>
        <w:tc>
          <w:tcPr>
            <w:tcW w:w="1573" w:type="dxa"/>
            <w:vAlign w:val="center"/>
          </w:tcPr>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金额</w:t>
            </w:r>
          </w:p>
          <w:p>
            <w:pPr>
              <w:spacing w:after="0" w:line="380" w:lineRule="exact"/>
              <w:jc w:val="center"/>
              <w:rPr>
                <w:rFonts w:ascii="宋体" w:hAnsi="宋体" w:eastAsia="宋体"/>
                <w:color w:val="auto"/>
                <w:sz w:val="24"/>
                <w:highlight w:val="none"/>
              </w:rPr>
            </w:pPr>
            <w:r>
              <w:rPr>
                <w:rFonts w:hint="eastAsia" w:ascii="宋体" w:hAnsi="宋体" w:eastAsia="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233" w:type="dxa"/>
            <w:vAlign w:val="center"/>
          </w:tcPr>
          <w:p>
            <w:pPr>
              <w:spacing w:line="500" w:lineRule="exact"/>
              <w:rPr>
                <w:rFonts w:ascii="宋体" w:hAnsi="宋体" w:eastAsia="宋体"/>
                <w:color w:val="auto"/>
                <w:sz w:val="24"/>
                <w:highlight w:val="none"/>
              </w:rPr>
            </w:pPr>
          </w:p>
        </w:tc>
        <w:tc>
          <w:tcPr>
            <w:tcW w:w="1059" w:type="dxa"/>
            <w:vAlign w:val="center"/>
          </w:tcPr>
          <w:p>
            <w:pPr>
              <w:spacing w:line="500" w:lineRule="exact"/>
              <w:rPr>
                <w:rFonts w:ascii="宋体" w:hAnsi="宋体" w:eastAsia="宋体"/>
                <w:color w:val="auto"/>
                <w:sz w:val="24"/>
                <w:highlight w:val="none"/>
              </w:rPr>
            </w:pPr>
          </w:p>
        </w:tc>
        <w:tc>
          <w:tcPr>
            <w:tcW w:w="1233" w:type="dxa"/>
            <w:vAlign w:val="center"/>
          </w:tcPr>
          <w:p>
            <w:pPr>
              <w:spacing w:line="500" w:lineRule="exact"/>
              <w:rPr>
                <w:rFonts w:ascii="宋体" w:hAnsi="宋体" w:eastAsia="宋体"/>
                <w:color w:val="auto"/>
                <w:sz w:val="24"/>
                <w:highlight w:val="none"/>
              </w:rPr>
            </w:pPr>
          </w:p>
        </w:tc>
        <w:tc>
          <w:tcPr>
            <w:tcW w:w="1210" w:type="dxa"/>
          </w:tcPr>
          <w:p>
            <w:pPr>
              <w:spacing w:line="500" w:lineRule="exact"/>
              <w:rPr>
                <w:rFonts w:ascii="宋体" w:hAnsi="宋体" w:eastAsia="宋体"/>
                <w:color w:val="auto"/>
                <w:sz w:val="24"/>
                <w:highlight w:val="none"/>
              </w:rPr>
            </w:pPr>
          </w:p>
        </w:tc>
        <w:tc>
          <w:tcPr>
            <w:tcW w:w="908" w:type="dxa"/>
          </w:tcPr>
          <w:p>
            <w:pPr>
              <w:spacing w:line="500" w:lineRule="exact"/>
              <w:rPr>
                <w:rFonts w:ascii="宋体" w:hAnsi="宋体" w:eastAsia="宋体"/>
                <w:color w:val="auto"/>
                <w:sz w:val="24"/>
                <w:highlight w:val="none"/>
              </w:rPr>
            </w:pPr>
          </w:p>
        </w:tc>
        <w:tc>
          <w:tcPr>
            <w:tcW w:w="668" w:type="dxa"/>
          </w:tcPr>
          <w:p>
            <w:pPr>
              <w:spacing w:line="500" w:lineRule="exact"/>
              <w:rPr>
                <w:rFonts w:ascii="宋体" w:hAnsi="宋体" w:eastAsia="宋体"/>
                <w:color w:val="auto"/>
                <w:sz w:val="24"/>
                <w:highlight w:val="none"/>
              </w:rPr>
            </w:pPr>
          </w:p>
        </w:tc>
        <w:tc>
          <w:tcPr>
            <w:tcW w:w="947" w:type="dxa"/>
            <w:vAlign w:val="center"/>
          </w:tcPr>
          <w:p>
            <w:pPr>
              <w:spacing w:line="500" w:lineRule="exact"/>
              <w:rPr>
                <w:rFonts w:ascii="宋体" w:hAnsi="宋体" w:eastAsia="宋体"/>
                <w:color w:val="auto"/>
                <w:sz w:val="24"/>
                <w:highlight w:val="none"/>
              </w:rPr>
            </w:pPr>
          </w:p>
        </w:tc>
        <w:tc>
          <w:tcPr>
            <w:tcW w:w="1573" w:type="dxa"/>
            <w:vAlign w:val="center"/>
          </w:tcPr>
          <w:p>
            <w:pPr>
              <w:spacing w:line="500" w:lineRule="exact"/>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233" w:type="dxa"/>
            <w:vAlign w:val="center"/>
          </w:tcPr>
          <w:p>
            <w:pPr>
              <w:spacing w:line="500" w:lineRule="exact"/>
              <w:rPr>
                <w:rFonts w:ascii="宋体" w:hAnsi="宋体" w:eastAsia="宋体"/>
                <w:color w:val="auto"/>
                <w:sz w:val="24"/>
                <w:highlight w:val="none"/>
              </w:rPr>
            </w:pPr>
          </w:p>
        </w:tc>
        <w:tc>
          <w:tcPr>
            <w:tcW w:w="1059" w:type="dxa"/>
            <w:vAlign w:val="center"/>
          </w:tcPr>
          <w:p>
            <w:pPr>
              <w:spacing w:line="500" w:lineRule="exact"/>
              <w:rPr>
                <w:rFonts w:ascii="宋体" w:hAnsi="宋体" w:eastAsia="宋体"/>
                <w:color w:val="auto"/>
                <w:sz w:val="24"/>
                <w:highlight w:val="none"/>
              </w:rPr>
            </w:pPr>
          </w:p>
        </w:tc>
        <w:tc>
          <w:tcPr>
            <w:tcW w:w="1233" w:type="dxa"/>
            <w:vAlign w:val="center"/>
          </w:tcPr>
          <w:p>
            <w:pPr>
              <w:spacing w:line="500" w:lineRule="exact"/>
              <w:rPr>
                <w:rFonts w:ascii="宋体" w:hAnsi="宋体" w:eastAsia="宋体"/>
                <w:color w:val="auto"/>
                <w:sz w:val="24"/>
                <w:highlight w:val="none"/>
              </w:rPr>
            </w:pPr>
          </w:p>
        </w:tc>
        <w:tc>
          <w:tcPr>
            <w:tcW w:w="1210" w:type="dxa"/>
          </w:tcPr>
          <w:p>
            <w:pPr>
              <w:spacing w:line="500" w:lineRule="exact"/>
              <w:rPr>
                <w:rFonts w:ascii="宋体" w:hAnsi="宋体" w:eastAsia="宋体"/>
                <w:color w:val="auto"/>
                <w:sz w:val="24"/>
                <w:highlight w:val="none"/>
              </w:rPr>
            </w:pPr>
          </w:p>
        </w:tc>
        <w:tc>
          <w:tcPr>
            <w:tcW w:w="908" w:type="dxa"/>
          </w:tcPr>
          <w:p>
            <w:pPr>
              <w:spacing w:line="500" w:lineRule="exact"/>
              <w:rPr>
                <w:rFonts w:ascii="宋体" w:hAnsi="宋体" w:eastAsia="宋体"/>
                <w:color w:val="auto"/>
                <w:sz w:val="24"/>
                <w:highlight w:val="none"/>
              </w:rPr>
            </w:pPr>
          </w:p>
        </w:tc>
        <w:tc>
          <w:tcPr>
            <w:tcW w:w="668" w:type="dxa"/>
          </w:tcPr>
          <w:p>
            <w:pPr>
              <w:spacing w:line="500" w:lineRule="exact"/>
              <w:rPr>
                <w:rFonts w:ascii="宋体" w:hAnsi="宋体" w:eastAsia="宋体"/>
                <w:color w:val="auto"/>
                <w:sz w:val="24"/>
                <w:highlight w:val="none"/>
              </w:rPr>
            </w:pPr>
          </w:p>
        </w:tc>
        <w:tc>
          <w:tcPr>
            <w:tcW w:w="947" w:type="dxa"/>
            <w:vAlign w:val="center"/>
          </w:tcPr>
          <w:p>
            <w:pPr>
              <w:spacing w:line="500" w:lineRule="exact"/>
              <w:rPr>
                <w:rFonts w:ascii="宋体" w:hAnsi="宋体" w:eastAsia="宋体"/>
                <w:color w:val="auto"/>
                <w:sz w:val="24"/>
                <w:highlight w:val="none"/>
              </w:rPr>
            </w:pPr>
          </w:p>
        </w:tc>
        <w:tc>
          <w:tcPr>
            <w:tcW w:w="1573" w:type="dxa"/>
            <w:vAlign w:val="center"/>
          </w:tcPr>
          <w:p>
            <w:pPr>
              <w:spacing w:line="500" w:lineRule="exact"/>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233" w:type="dxa"/>
            <w:vAlign w:val="center"/>
          </w:tcPr>
          <w:p>
            <w:pPr>
              <w:spacing w:line="500" w:lineRule="exact"/>
              <w:rPr>
                <w:rFonts w:ascii="宋体" w:hAnsi="宋体" w:eastAsia="宋体"/>
                <w:color w:val="auto"/>
                <w:sz w:val="24"/>
                <w:highlight w:val="none"/>
              </w:rPr>
            </w:pPr>
          </w:p>
        </w:tc>
        <w:tc>
          <w:tcPr>
            <w:tcW w:w="1059" w:type="dxa"/>
            <w:vAlign w:val="center"/>
          </w:tcPr>
          <w:p>
            <w:pPr>
              <w:spacing w:line="500" w:lineRule="exact"/>
              <w:rPr>
                <w:rFonts w:ascii="宋体" w:hAnsi="宋体" w:eastAsia="宋体"/>
                <w:color w:val="auto"/>
                <w:sz w:val="24"/>
                <w:highlight w:val="none"/>
              </w:rPr>
            </w:pPr>
          </w:p>
        </w:tc>
        <w:tc>
          <w:tcPr>
            <w:tcW w:w="1233" w:type="dxa"/>
            <w:vAlign w:val="center"/>
          </w:tcPr>
          <w:p>
            <w:pPr>
              <w:spacing w:line="500" w:lineRule="exact"/>
              <w:rPr>
                <w:rFonts w:ascii="宋体" w:hAnsi="宋体" w:eastAsia="宋体"/>
                <w:color w:val="auto"/>
                <w:sz w:val="24"/>
                <w:highlight w:val="none"/>
              </w:rPr>
            </w:pPr>
          </w:p>
        </w:tc>
        <w:tc>
          <w:tcPr>
            <w:tcW w:w="1210" w:type="dxa"/>
          </w:tcPr>
          <w:p>
            <w:pPr>
              <w:spacing w:line="500" w:lineRule="exact"/>
              <w:rPr>
                <w:rFonts w:ascii="宋体" w:hAnsi="宋体" w:eastAsia="宋体"/>
                <w:color w:val="auto"/>
                <w:sz w:val="24"/>
                <w:highlight w:val="none"/>
              </w:rPr>
            </w:pPr>
          </w:p>
        </w:tc>
        <w:tc>
          <w:tcPr>
            <w:tcW w:w="908" w:type="dxa"/>
          </w:tcPr>
          <w:p>
            <w:pPr>
              <w:spacing w:line="500" w:lineRule="exact"/>
              <w:rPr>
                <w:rFonts w:ascii="宋体" w:hAnsi="宋体" w:eastAsia="宋体"/>
                <w:color w:val="auto"/>
                <w:sz w:val="24"/>
                <w:highlight w:val="none"/>
              </w:rPr>
            </w:pPr>
          </w:p>
        </w:tc>
        <w:tc>
          <w:tcPr>
            <w:tcW w:w="668" w:type="dxa"/>
          </w:tcPr>
          <w:p>
            <w:pPr>
              <w:spacing w:line="500" w:lineRule="exact"/>
              <w:rPr>
                <w:rFonts w:ascii="宋体" w:hAnsi="宋体" w:eastAsia="宋体"/>
                <w:color w:val="auto"/>
                <w:sz w:val="24"/>
                <w:highlight w:val="none"/>
              </w:rPr>
            </w:pPr>
          </w:p>
        </w:tc>
        <w:tc>
          <w:tcPr>
            <w:tcW w:w="947" w:type="dxa"/>
            <w:vAlign w:val="center"/>
          </w:tcPr>
          <w:p>
            <w:pPr>
              <w:spacing w:line="500" w:lineRule="exact"/>
              <w:rPr>
                <w:rFonts w:ascii="宋体" w:hAnsi="宋体" w:eastAsia="宋体"/>
                <w:color w:val="auto"/>
                <w:sz w:val="24"/>
                <w:highlight w:val="none"/>
              </w:rPr>
            </w:pPr>
          </w:p>
        </w:tc>
        <w:tc>
          <w:tcPr>
            <w:tcW w:w="1573" w:type="dxa"/>
            <w:vAlign w:val="center"/>
          </w:tcPr>
          <w:p>
            <w:pPr>
              <w:spacing w:line="500" w:lineRule="exact"/>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人民币合计金额：</w:t>
            </w:r>
          </w:p>
        </w:tc>
      </w:tr>
    </w:tbl>
    <w:p>
      <w:pPr>
        <w:spacing w:after="0" w:line="40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2、合同合计金额包括</w:t>
      </w:r>
      <w:r>
        <w:rPr>
          <w:rFonts w:hint="eastAsia" w:ascii="宋体" w:hAnsi="宋体" w:eastAsia="宋体"/>
          <w:color w:val="auto"/>
          <w:highlight w:val="none"/>
        </w:rPr>
        <w:t>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w:t>
      </w:r>
      <w:r>
        <w:rPr>
          <w:rFonts w:hint="eastAsia" w:ascii="宋体" w:hAnsi="宋体" w:eastAsia="宋体"/>
          <w:color w:val="auto"/>
          <w:sz w:val="24"/>
          <w:highlight w:val="none"/>
        </w:rPr>
        <w:t>。如采购文件对其另有规定的，从其规定。</w:t>
      </w:r>
    </w:p>
    <w:p>
      <w:pPr>
        <w:spacing w:after="0" w:line="400" w:lineRule="exact"/>
        <w:ind w:firstLine="482" w:firstLineChars="200"/>
        <w:jc w:val="both"/>
        <w:rPr>
          <w:rFonts w:ascii="宋体" w:hAnsi="宋体" w:eastAsia="宋体"/>
          <w:b/>
          <w:color w:val="auto"/>
          <w:sz w:val="24"/>
          <w:highlight w:val="none"/>
        </w:rPr>
      </w:pPr>
      <w:r>
        <w:rPr>
          <w:rFonts w:hint="eastAsia" w:ascii="宋体" w:hAnsi="宋体" w:eastAsia="宋体"/>
          <w:b/>
          <w:color w:val="auto"/>
          <w:sz w:val="24"/>
          <w:highlight w:val="none"/>
        </w:rPr>
        <w:t>第二条　权利保证</w:t>
      </w:r>
    </w:p>
    <w:p>
      <w:pPr>
        <w:spacing w:after="0" w:line="400" w:lineRule="exact"/>
        <w:ind w:firstLine="480" w:firstLineChars="200"/>
        <w:jc w:val="both"/>
        <w:rPr>
          <w:rFonts w:ascii="宋体" w:hAnsi="宋体" w:eastAsia="宋体"/>
          <w:color w:val="auto"/>
          <w:sz w:val="24"/>
          <w:highlight w:val="none"/>
        </w:rPr>
      </w:pPr>
      <w:r>
        <w:rPr>
          <w:rFonts w:hint="eastAsia" w:ascii="宋体" w:hAnsi="宋体" w:eastAsia="宋体"/>
          <w:color w:val="auto"/>
          <w:sz w:val="24"/>
          <w:highlight w:val="none"/>
        </w:rPr>
        <w:t>1、乙方应保证所提供货物在使用时不会侵犯任何第三方的专利权、商标权、工业设计权或其他权利。</w:t>
      </w:r>
    </w:p>
    <w:p>
      <w:pPr>
        <w:spacing w:after="0" w:line="400" w:lineRule="exact"/>
        <w:ind w:firstLine="480" w:firstLineChars="200"/>
        <w:jc w:val="both"/>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、乙方应按采购文件规定的时间向甲方提供使用货物的有关技术资料。</w:t>
      </w:r>
    </w:p>
    <w:p>
      <w:pPr>
        <w:spacing w:after="0" w:line="400" w:lineRule="exact"/>
        <w:ind w:firstLine="480" w:firstLineChars="200"/>
        <w:jc w:val="both"/>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eastAsia="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after="0" w:line="400" w:lineRule="exact"/>
        <w:ind w:firstLine="480" w:firstLineChars="200"/>
        <w:jc w:val="both"/>
        <w:rPr>
          <w:rFonts w:ascii="宋体" w:hAnsi="宋体" w:eastAsia="宋体"/>
          <w:color w:val="auto"/>
          <w:sz w:val="24"/>
          <w:highlight w:val="none"/>
          <w:u w:val="single"/>
        </w:rPr>
      </w:pPr>
      <w:r>
        <w:rPr>
          <w:rFonts w:hint="eastAsia" w:ascii="宋体" w:hAnsi="宋体" w:eastAsia="宋体"/>
          <w:color w:val="auto"/>
          <w:sz w:val="24"/>
          <w:highlight w:val="none"/>
        </w:rPr>
        <w:t>4、乙方保证所交付的货物的所有权完全属于乙方且无任何抵押、质押、查封等产权瑕疵。</w:t>
      </w:r>
    </w:p>
    <w:p>
      <w:pPr>
        <w:spacing w:after="0" w:line="400" w:lineRule="exact"/>
        <w:ind w:firstLine="482" w:firstLineChars="200"/>
        <w:jc w:val="both"/>
        <w:rPr>
          <w:rFonts w:ascii="宋体" w:hAnsi="宋体" w:eastAsia="宋体"/>
          <w:b/>
          <w:color w:val="auto"/>
          <w:sz w:val="24"/>
          <w:highlight w:val="none"/>
        </w:rPr>
      </w:pPr>
      <w:r>
        <w:rPr>
          <w:rFonts w:hint="eastAsia" w:ascii="宋体" w:hAnsi="宋体" w:eastAsia="宋体"/>
          <w:b/>
          <w:color w:val="auto"/>
          <w:sz w:val="24"/>
          <w:highlight w:val="none"/>
        </w:rPr>
        <w:t>第三条　包装和运输</w:t>
      </w:r>
    </w:p>
    <w:p>
      <w:pPr>
        <w:spacing w:after="0" w:line="400" w:lineRule="exact"/>
        <w:ind w:firstLine="480" w:firstLineChars="200"/>
        <w:jc w:val="both"/>
        <w:rPr>
          <w:rFonts w:ascii="宋体" w:hAnsi="宋体" w:eastAsia="宋体"/>
          <w:color w:val="auto"/>
          <w:sz w:val="24"/>
          <w:highlight w:val="none"/>
        </w:rPr>
      </w:pPr>
      <w:r>
        <w:rPr>
          <w:rFonts w:hint="eastAsia" w:ascii="宋体" w:hAnsi="宋体" w:eastAsia="宋体"/>
          <w:color w:val="auto"/>
          <w:sz w:val="24"/>
          <w:highlight w:val="none"/>
        </w:rPr>
        <w:t>1.乙方提供的货物均应按采购文件要求及响应文件承诺的包装材料、包装标准、包装方式进行包装，每一包装单元内应附详细的装箱单和质量合格证。</w:t>
      </w:r>
    </w:p>
    <w:p>
      <w:pPr>
        <w:spacing w:after="0" w:line="400" w:lineRule="exact"/>
        <w:ind w:firstLine="480" w:firstLineChars="200"/>
        <w:jc w:val="both"/>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.乙方应在货物发运前对其进行满足运输距离、防潮、防震、防锈和防破损装卸等要求包装，以保证货物安全运达甲方指定地点。</w:t>
      </w:r>
    </w:p>
    <w:p>
      <w:pPr>
        <w:spacing w:after="0" w:line="400" w:lineRule="exact"/>
        <w:ind w:firstLine="480" w:firstLineChars="200"/>
        <w:jc w:val="both"/>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eastAsia="宋体"/>
          <w:color w:val="auto"/>
          <w:sz w:val="24"/>
          <w:highlight w:val="none"/>
        </w:rPr>
        <w:t>.使用说明书、质量检验证明书、随配附件和工具以及清单一并附于货物内。</w:t>
      </w:r>
    </w:p>
    <w:p>
      <w:pPr>
        <w:spacing w:after="0" w:line="400" w:lineRule="exact"/>
        <w:ind w:firstLine="480" w:firstLineChars="200"/>
        <w:jc w:val="both"/>
        <w:rPr>
          <w:rFonts w:ascii="宋体" w:hAnsi="宋体" w:eastAsia="宋体"/>
          <w:color w:val="auto"/>
          <w:sz w:val="24"/>
          <w:highlight w:val="none"/>
        </w:rPr>
      </w:pPr>
      <w:r>
        <w:rPr>
          <w:rFonts w:ascii="宋体" w:hAnsi="宋体" w:eastAsia="宋体"/>
          <w:color w:val="auto"/>
          <w:sz w:val="24"/>
          <w:highlight w:val="none"/>
        </w:rPr>
        <w:t>4</w:t>
      </w:r>
      <w:r>
        <w:rPr>
          <w:rFonts w:hint="eastAsia" w:ascii="宋体" w:hAnsi="宋体" w:eastAsia="宋体"/>
          <w:color w:val="auto"/>
          <w:sz w:val="24"/>
          <w:highlight w:val="none"/>
        </w:rPr>
        <w:t>.乙方在货物发运手续办理完毕后二十四小时内或货到甲方四十八小时前通知甲方，以准备接货。</w:t>
      </w:r>
    </w:p>
    <w:p>
      <w:pPr>
        <w:spacing w:after="0" w:line="400" w:lineRule="exact"/>
        <w:ind w:firstLine="480" w:firstLineChars="200"/>
        <w:jc w:val="both"/>
        <w:rPr>
          <w:rFonts w:ascii="宋体" w:hAnsi="宋体" w:eastAsia="宋体"/>
          <w:color w:val="auto"/>
          <w:sz w:val="24"/>
          <w:highlight w:val="none"/>
        </w:rPr>
      </w:pPr>
      <w:r>
        <w:rPr>
          <w:rFonts w:ascii="宋体" w:hAnsi="宋体" w:eastAsia="宋体"/>
          <w:color w:val="auto"/>
          <w:sz w:val="24"/>
          <w:highlight w:val="none"/>
        </w:rPr>
        <w:t>5</w:t>
      </w:r>
      <w:r>
        <w:rPr>
          <w:rFonts w:hint="eastAsia" w:ascii="宋体" w:hAnsi="宋体" w:eastAsia="宋体"/>
          <w:color w:val="auto"/>
          <w:sz w:val="24"/>
          <w:highlight w:val="none"/>
        </w:rPr>
        <w:t>.货物的运输方式：</w:t>
      </w:r>
      <w:r>
        <w:rPr>
          <w:rFonts w:hint="eastAsia" w:ascii="宋体" w:hAnsi="宋体" w:eastAsia="宋体"/>
          <w:color w:val="auto"/>
          <w:sz w:val="24"/>
          <w:highlight w:val="none"/>
          <w:u w:val="single"/>
        </w:rPr>
        <w:t xml:space="preserve"> 不限 。</w:t>
      </w:r>
    </w:p>
    <w:p>
      <w:pPr>
        <w:spacing w:after="0" w:line="400" w:lineRule="exact"/>
        <w:ind w:firstLine="480" w:firstLineChars="200"/>
        <w:jc w:val="both"/>
        <w:rPr>
          <w:rFonts w:ascii="宋体" w:hAnsi="宋体" w:eastAsia="宋体"/>
          <w:color w:val="auto"/>
          <w:sz w:val="24"/>
          <w:highlight w:val="none"/>
        </w:rPr>
      </w:pPr>
      <w:r>
        <w:rPr>
          <w:rFonts w:ascii="宋体" w:hAnsi="宋体" w:eastAsia="宋体"/>
          <w:color w:val="auto"/>
          <w:sz w:val="24"/>
          <w:highlight w:val="none"/>
        </w:rPr>
        <w:t>6</w:t>
      </w:r>
      <w:r>
        <w:rPr>
          <w:rFonts w:hint="eastAsia" w:ascii="宋体" w:hAnsi="宋体" w:eastAsia="宋体"/>
          <w:color w:val="auto"/>
          <w:sz w:val="24"/>
          <w:highlight w:val="none"/>
        </w:rPr>
        <w:t>.货物在规定的交付期限内由乙方送达甲方指定的地点视为交付，乙方同时需通知甲方货物已送达。</w:t>
      </w:r>
    </w:p>
    <w:p>
      <w:pPr>
        <w:spacing w:after="0" w:line="400" w:lineRule="exact"/>
        <w:ind w:firstLine="480" w:firstLineChars="200"/>
        <w:jc w:val="both"/>
        <w:rPr>
          <w:rFonts w:ascii="宋体" w:hAnsi="宋体" w:eastAsia="宋体"/>
          <w:color w:val="auto"/>
          <w:sz w:val="24"/>
          <w:highlight w:val="none"/>
        </w:rPr>
      </w:pPr>
      <w:r>
        <w:rPr>
          <w:rFonts w:ascii="宋体" w:hAnsi="宋体" w:eastAsia="宋体"/>
          <w:color w:val="auto"/>
          <w:sz w:val="24"/>
          <w:highlight w:val="none"/>
        </w:rPr>
        <w:t>7</w:t>
      </w:r>
      <w:r>
        <w:rPr>
          <w:rFonts w:hint="eastAsia" w:ascii="宋体" w:hAnsi="宋体" w:eastAsia="宋体"/>
          <w:color w:val="auto"/>
          <w:sz w:val="24"/>
          <w:highlight w:val="none"/>
        </w:rPr>
        <w:t>.乙方负责货物运输，货物运输合理损耗及计算方法：</w:t>
      </w:r>
      <w:r>
        <w:rPr>
          <w:rFonts w:hint="eastAsia" w:ascii="宋体" w:hAnsi="宋体" w:eastAsia="宋体"/>
          <w:color w:val="auto"/>
          <w:sz w:val="24"/>
          <w:highlight w:val="none"/>
          <w:u w:val="single"/>
        </w:rPr>
        <w:t xml:space="preserve"> 本合同交付货物不接受损耗，由乙方自行为其货物运输办理相关保险 。</w:t>
      </w:r>
    </w:p>
    <w:p>
      <w:pPr>
        <w:spacing w:after="0" w:line="400" w:lineRule="exact"/>
        <w:ind w:firstLine="480" w:firstLineChars="200"/>
        <w:jc w:val="both"/>
        <w:rPr>
          <w:rFonts w:ascii="宋体" w:hAnsi="宋体" w:eastAsia="宋体"/>
          <w:color w:val="auto"/>
          <w:sz w:val="24"/>
          <w:highlight w:val="none"/>
        </w:rPr>
      </w:pPr>
      <w:r>
        <w:rPr>
          <w:rFonts w:ascii="宋体" w:hAnsi="宋体" w:eastAsia="宋体"/>
          <w:color w:val="auto"/>
          <w:sz w:val="24"/>
          <w:highlight w:val="none"/>
        </w:rPr>
        <w:t>8</w:t>
      </w:r>
      <w:r>
        <w:rPr>
          <w:rFonts w:hint="eastAsia" w:ascii="宋体" w:hAnsi="宋体" w:eastAsia="宋体"/>
          <w:color w:val="auto"/>
          <w:sz w:val="24"/>
          <w:highlight w:val="none"/>
        </w:rPr>
        <w:t>.货物在交付甲方前发生的风险均由乙方负责。</w:t>
      </w:r>
    </w:p>
    <w:p>
      <w:pPr>
        <w:spacing w:after="0" w:line="400" w:lineRule="exact"/>
        <w:ind w:firstLine="482" w:firstLineChars="200"/>
        <w:jc w:val="both"/>
        <w:rPr>
          <w:rFonts w:ascii="宋体" w:hAnsi="宋体" w:eastAsia="宋体"/>
          <w:b/>
          <w:color w:val="auto"/>
          <w:sz w:val="24"/>
          <w:highlight w:val="none"/>
        </w:rPr>
      </w:pPr>
      <w:r>
        <w:rPr>
          <w:rFonts w:hint="eastAsia" w:ascii="宋体" w:hAnsi="宋体" w:eastAsia="宋体"/>
          <w:b/>
          <w:color w:val="auto"/>
          <w:sz w:val="24"/>
          <w:highlight w:val="none"/>
        </w:rPr>
        <w:t>第四条　交付和交付验收</w:t>
      </w:r>
    </w:p>
    <w:p>
      <w:pPr>
        <w:spacing w:after="0" w:line="400" w:lineRule="exact"/>
        <w:ind w:firstLine="480" w:firstLineChars="200"/>
        <w:jc w:val="both"/>
        <w:rPr>
          <w:rFonts w:ascii="宋体" w:hAnsi="宋体" w:eastAsia="宋体"/>
          <w:color w:val="auto"/>
          <w:sz w:val="24"/>
          <w:highlight w:val="none"/>
        </w:rPr>
      </w:pPr>
      <w:r>
        <w:rPr>
          <w:rFonts w:hint="eastAsia" w:ascii="宋体" w:hAnsi="宋体" w:eastAsia="宋体"/>
          <w:color w:val="auto"/>
          <w:sz w:val="24"/>
          <w:highlight w:val="none"/>
        </w:rPr>
        <w:t>1、交货时间：</w:t>
      </w:r>
      <w:r>
        <w:rPr>
          <w:rFonts w:hint="eastAsia" w:ascii="宋体" w:hAnsi="宋体" w:eastAsia="宋体"/>
          <w:color w:val="auto"/>
          <w:sz w:val="24"/>
          <w:highlight w:val="none"/>
          <w:u w:val="single"/>
        </w:rPr>
        <w:t>按乙方响应文件中承诺的不超过招标要求的时间 。</w:t>
      </w:r>
      <w:r>
        <w:rPr>
          <w:rFonts w:hint="eastAsia" w:ascii="宋体" w:hAnsi="宋体" w:eastAsia="宋体"/>
          <w:color w:val="auto"/>
          <w:sz w:val="24"/>
          <w:highlight w:val="none"/>
        </w:rPr>
        <w:t>地点：</w:t>
      </w:r>
      <w:r>
        <w:rPr>
          <w:rFonts w:hint="eastAsia" w:ascii="宋体" w:hAnsi="宋体" w:eastAsia="宋体"/>
          <w:color w:val="auto"/>
          <w:sz w:val="24"/>
          <w:highlight w:val="none"/>
          <w:u w:val="single"/>
        </w:rPr>
        <w:t xml:space="preserve">采购人指定地点 </w:t>
      </w:r>
      <w:r>
        <w:rPr>
          <w:rFonts w:hint="eastAsia" w:ascii="宋体" w:hAnsi="宋体" w:eastAsia="宋体"/>
          <w:color w:val="auto"/>
          <w:sz w:val="24"/>
          <w:highlight w:val="none"/>
        </w:rPr>
        <w:t>。</w:t>
      </w:r>
    </w:p>
    <w:p>
      <w:pPr>
        <w:spacing w:after="0" w:line="400" w:lineRule="exact"/>
        <w:ind w:firstLine="480" w:firstLineChars="200"/>
        <w:jc w:val="both"/>
        <w:rPr>
          <w:rFonts w:ascii="宋体" w:hAnsi="宋体" w:eastAsia="宋体"/>
          <w:color w:val="auto"/>
          <w:sz w:val="24"/>
          <w:highlight w:val="none"/>
        </w:rPr>
      </w:pPr>
      <w:r>
        <w:rPr>
          <w:rFonts w:hint="eastAsia" w:ascii="宋体" w:hAnsi="宋体" w:eastAsia="宋体"/>
          <w:color w:val="auto"/>
          <w:sz w:val="24"/>
          <w:highlight w:val="none"/>
        </w:rPr>
        <w:t>2、甲方对乙方提交的货物依据采购文件和乙方响应文件中承诺的技术规格要求和国家有关质量标准进行现场初步验收，外观、说明书符合采购文件技术要求的，给予签收，初步验收不合格的不予签收。</w:t>
      </w:r>
    </w:p>
    <w:p>
      <w:pPr>
        <w:spacing w:after="0" w:line="400" w:lineRule="exact"/>
        <w:ind w:firstLine="480" w:firstLineChars="200"/>
        <w:jc w:val="both"/>
        <w:rPr>
          <w:rFonts w:ascii="宋体" w:hAnsi="宋体" w:eastAsia="宋体"/>
          <w:color w:val="auto"/>
          <w:sz w:val="24"/>
          <w:highlight w:val="none"/>
        </w:rPr>
      </w:pPr>
      <w:r>
        <w:rPr>
          <w:rFonts w:hint="eastAsia" w:ascii="宋体" w:hAnsi="宋体" w:eastAsia="宋体"/>
          <w:color w:val="auto"/>
          <w:sz w:val="24"/>
          <w:highlight w:val="none"/>
        </w:rPr>
        <w:t>3、乙方交货前应对产品作出全面检查和对验收文件进行整理，并列出清单（如装箱清单、用户手册、原厂保修卡、随机资料、工具和备品、备件等），作为甲方收货验收和使用的技术条件依据，检验的结果应随货物交甲方。货物属于进口产品的，供货时应同时附上中文使用说明书，如有缺失应及时补齐，否则视为逾期交货。</w:t>
      </w:r>
    </w:p>
    <w:p>
      <w:pPr>
        <w:spacing w:after="0" w:line="400" w:lineRule="exact"/>
        <w:ind w:firstLine="480" w:firstLineChars="200"/>
        <w:jc w:val="both"/>
        <w:rPr>
          <w:rFonts w:ascii="宋体" w:hAnsi="宋体" w:eastAsia="宋体"/>
          <w:color w:val="auto"/>
          <w:sz w:val="24"/>
          <w:highlight w:val="none"/>
        </w:rPr>
      </w:pPr>
      <w:r>
        <w:rPr>
          <w:rFonts w:hint="eastAsia" w:ascii="宋体" w:hAnsi="宋体" w:eastAsia="宋体"/>
          <w:color w:val="auto"/>
          <w:sz w:val="24"/>
          <w:highlight w:val="none"/>
        </w:rPr>
        <w:t>4、甲方应当在到货后七个工作日内进行验收，逾期不验收的，乙方可视同验收合格。验收合格后由甲乙双方签署货物验收单并加盖采购人公章，甲乙双方各执一份。</w:t>
      </w:r>
    </w:p>
    <w:p>
      <w:pPr>
        <w:spacing w:after="0" w:line="400" w:lineRule="exact"/>
        <w:ind w:firstLine="480" w:firstLineChars="200"/>
        <w:jc w:val="both"/>
        <w:rPr>
          <w:rFonts w:ascii="宋体" w:hAnsi="宋体" w:eastAsia="宋体"/>
          <w:color w:val="auto"/>
          <w:sz w:val="24"/>
          <w:highlight w:val="none"/>
        </w:rPr>
      </w:pPr>
      <w:r>
        <w:rPr>
          <w:rFonts w:hint="eastAsia" w:ascii="宋体" w:hAnsi="宋体" w:eastAsia="宋体"/>
          <w:color w:val="auto"/>
          <w:sz w:val="24"/>
          <w:highlight w:val="none"/>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after="0" w:line="400" w:lineRule="exact"/>
        <w:ind w:firstLine="480" w:firstLineChars="200"/>
        <w:jc w:val="both"/>
        <w:rPr>
          <w:rFonts w:ascii="宋体" w:hAnsi="宋体" w:eastAsia="宋体"/>
          <w:color w:val="auto"/>
          <w:sz w:val="24"/>
          <w:highlight w:val="none"/>
        </w:rPr>
      </w:pPr>
      <w:r>
        <w:rPr>
          <w:rFonts w:hint="eastAsia" w:ascii="宋体" w:hAnsi="宋体" w:eastAsia="宋体"/>
          <w:color w:val="auto"/>
          <w:sz w:val="24"/>
          <w:highlight w:val="none"/>
        </w:rPr>
        <w:t>6、因产品或施工质量问题发生争议的，应邀请国家认可的质量检测机构对进行鉴定。符合标准的，鉴定费由甲方承担；不符合标准的，鉴定费由乙方承担。</w:t>
      </w:r>
    </w:p>
    <w:p>
      <w:pPr>
        <w:spacing w:after="0" w:line="400" w:lineRule="exact"/>
        <w:ind w:firstLine="480" w:firstLineChars="200"/>
        <w:jc w:val="both"/>
        <w:rPr>
          <w:rFonts w:ascii="宋体" w:hAnsi="宋体" w:eastAsia="宋体"/>
          <w:color w:val="auto"/>
          <w:sz w:val="24"/>
          <w:highlight w:val="none"/>
        </w:rPr>
      </w:pPr>
      <w:r>
        <w:rPr>
          <w:rFonts w:ascii="宋体" w:hAnsi="宋体" w:eastAsia="宋体"/>
          <w:color w:val="auto"/>
          <w:sz w:val="24"/>
          <w:highlight w:val="none"/>
        </w:rPr>
        <w:t>7</w:t>
      </w:r>
      <w:r>
        <w:rPr>
          <w:rFonts w:hint="eastAsia" w:ascii="宋体" w:hAnsi="宋体" w:eastAsia="宋体"/>
          <w:color w:val="auto"/>
          <w:sz w:val="24"/>
          <w:highlight w:val="none"/>
        </w:rPr>
        <w:t>、甲方对验收有异议的，在验收后五个工作日内以书面形式向乙方提出，乙方应自收到甲方书面异议后</w:t>
      </w:r>
      <w:r>
        <w:rPr>
          <w:rFonts w:hint="eastAsia" w:ascii="宋体" w:hAnsi="宋体" w:eastAsia="宋体"/>
          <w:color w:val="auto"/>
          <w:sz w:val="24"/>
          <w:highlight w:val="none"/>
          <w:u w:val="single"/>
        </w:rPr>
        <w:t xml:space="preserve"> 五 </w:t>
      </w:r>
      <w:r>
        <w:rPr>
          <w:rFonts w:hint="eastAsia" w:ascii="宋体" w:hAnsi="宋体" w:eastAsia="宋体"/>
          <w:color w:val="auto"/>
          <w:sz w:val="24"/>
          <w:highlight w:val="none"/>
        </w:rPr>
        <w:t>日内及时予以解决。</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第五条　安装和培训</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甲方应提供必要安装条件（如场地、电源、水源等）。</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乙方负责甲方有关人员的培训。培训时间、地点：</w:t>
      </w:r>
      <w:r>
        <w:rPr>
          <w:rFonts w:hint="eastAsia" w:ascii="宋体" w:hAnsi="宋体" w:eastAsia="宋体"/>
          <w:color w:val="auto"/>
          <w:sz w:val="24"/>
          <w:highlight w:val="none"/>
          <w:u w:val="single"/>
        </w:rPr>
        <w:t xml:space="preserve">  按乙方响应文件承诺  </w:t>
      </w:r>
      <w:r>
        <w:rPr>
          <w:rFonts w:hint="eastAsia" w:ascii="宋体" w:hAnsi="宋体" w:eastAsia="宋体"/>
          <w:color w:val="auto"/>
          <w:sz w:val="24"/>
          <w:highlight w:val="none"/>
        </w:rPr>
        <w:t>。</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 其他按乙方响应文件承诺执行。</w:t>
      </w:r>
    </w:p>
    <w:p>
      <w:pPr>
        <w:spacing w:after="0" w:line="440" w:lineRule="exact"/>
        <w:ind w:firstLine="482" w:firstLineChars="200"/>
        <w:rPr>
          <w:rFonts w:ascii="宋体" w:hAnsi="宋体" w:eastAsia="宋体"/>
          <w:color w:val="auto"/>
          <w:sz w:val="24"/>
          <w:highlight w:val="none"/>
        </w:rPr>
      </w:pPr>
      <w:r>
        <w:rPr>
          <w:rFonts w:hint="eastAsia" w:ascii="宋体" w:hAnsi="宋体" w:eastAsia="宋体"/>
          <w:b/>
          <w:color w:val="auto"/>
          <w:sz w:val="24"/>
          <w:highlight w:val="none"/>
        </w:rPr>
        <w:t>第六条　付款方式、保证金</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bCs/>
          <w:color w:val="auto"/>
          <w:sz w:val="24"/>
          <w:highlight w:val="none"/>
        </w:rPr>
        <w:t xml:space="preserve">1. </w:t>
      </w:r>
      <w:r>
        <w:rPr>
          <w:rFonts w:hint="eastAsia" w:ascii="宋体" w:hAnsi="宋体" w:eastAsia="宋体"/>
          <w:color w:val="auto"/>
          <w:sz w:val="24"/>
          <w:highlight w:val="none"/>
        </w:rPr>
        <w:t>当采购数量与实际使用数量不一致时，乙方应根据实际使用量供货，合同的最终结算金额按实际使用量乘以成交单价进行计算。</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资金性质：</w:t>
      </w:r>
      <w:r>
        <w:rPr>
          <w:rFonts w:hint="eastAsia" w:ascii="宋体" w:hAnsi="宋体" w:eastAsia="宋体"/>
          <w:color w:val="auto"/>
          <w:sz w:val="24"/>
          <w:highlight w:val="none"/>
          <w:u w:val="single"/>
        </w:rPr>
        <w:t xml:space="preserve">财政资金  </w:t>
      </w:r>
      <w:r>
        <w:rPr>
          <w:rFonts w:hint="eastAsia" w:ascii="宋体" w:hAnsi="宋体" w:eastAsia="宋体"/>
          <w:color w:val="auto"/>
          <w:sz w:val="24"/>
          <w:highlight w:val="none"/>
        </w:rPr>
        <w:t>。</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 付款方式：</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（1）合同签订后5个工作日内，按合同款的30%向成交供应商支付预付款；</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供应商在规定的交货期内将全部货物运到业主指定地点，验收并安装调试、培训合格后，供应商将该批设备的税发票、清单、质量检验合格证明、货运提单等材料提供给采购人，采购方验明无误后，向成交供应商支付合同款70%。</w:t>
      </w:r>
    </w:p>
    <w:p>
      <w:pPr>
        <w:spacing w:after="0" w:line="440" w:lineRule="exact"/>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4.履约保证金：履约保证金金额：按合同金额的</w:t>
      </w:r>
      <w:r>
        <w:rPr>
          <w:rFonts w:hint="eastAsia" w:ascii="宋体" w:hAnsi="宋体" w:eastAsia="宋体"/>
          <w:bCs/>
          <w:color w:val="auto"/>
          <w:sz w:val="24"/>
          <w:highlight w:val="none"/>
          <w:lang w:val="en-US" w:eastAsia="zh-CN"/>
        </w:rPr>
        <w:t>2</w:t>
      </w:r>
      <w:r>
        <w:rPr>
          <w:rFonts w:hint="eastAsia" w:ascii="宋体" w:hAnsi="宋体" w:eastAsia="宋体"/>
          <w:bCs/>
          <w:color w:val="auto"/>
          <w:sz w:val="24"/>
          <w:highlight w:val="none"/>
        </w:rPr>
        <w:t>%收取。</w:t>
      </w:r>
    </w:p>
    <w:p>
      <w:pPr>
        <w:spacing w:after="0" w:line="440" w:lineRule="exact"/>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履约保证金递交方式：银行转账、支票、汇票、本票、银行出具的保函或保险机构出具的保函、保险单等非现金形式。</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第七条  税费</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本合同执行中相关的一切税费均由乙方负担。</w:t>
      </w:r>
    </w:p>
    <w:p>
      <w:pPr>
        <w:spacing w:after="0" w:line="440" w:lineRule="exact"/>
        <w:ind w:firstLine="482" w:firstLineChars="200"/>
        <w:rPr>
          <w:rFonts w:ascii="宋体" w:hAnsi="宋体" w:eastAsia="宋体"/>
          <w:color w:val="auto"/>
          <w:sz w:val="24"/>
          <w:highlight w:val="none"/>
        </w:rPr>
      </w:pPr>
      <w:r>
        <w:rPr>
          <w:rFonts w:hint="eastAsia" w:ascii="宋体" w:hAnsi="宋体" w:eastAsia="宋体"/>
          <w:b/>
          <w:color w:val="auto"/>
          <w:sz w:val="24"/>
          <w:highlight w:val="none"/>
        </w:rPr>
        <w:t>第八条  质量保证及售后服务</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乙方应按采购文件规定的货物性能、技术要求、质量标准向甲方提供未经使用的全新产品。不符合要求的，根据实际情况，经双方协商，可按以下办法处理：</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（1）更换：由乙方承担所发生的全部费用。</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（2）贬值处理：由甲乙双方合议定价。</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（3）退货处理：乙方应退还甲方支付的合同款，同时应承担该货物的直接费用（运输、保险、检验、货款利息及银行手续费等）。</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2.如在使用过程中发生质量问题，乙方在接到甲方通知后在按乙方响应文件中承诺的不超过招标要求的响应时间小时内到达甲方现场处理。</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3.乙方应按照国家有关法律法规和“三包”规定以及采购文件、响应文件和本合同所附的《售后服务方案》，为甲方提供售后服务。</w:t>
      </w:r>
    </w:p>
    <w:p>
      <w:pPr>
        <w:spacing w:after="0" w:line="440" w:lineRule="exact"/>
        <w:ind w:firstLine="480" w:firstLineChars="200"/>
        <w:rPr>
          <w:rFonts w:ascii="宋体" w:hAnsi="宋体" w:eastAsia="宋体"/>
          <w:color w:val="auto"/>
          <w:sz w:val="24"/>
          <w:highlight w:val="none"/>
        </w:rPr>
      </w:pPr>
      <w:r>
        <w:rPr>
          <w:rFonts w:ascii="宋体" w:hAnsi="宋体" w:eastAsia="宋体"/>
          <w:color w:val="auto"/>
          <w:sz w:val="24"/>
          <w:highlight w:val="none"/>
        </w:rPr>
        <w:t>4</w:t>
      </w:r>
      <w:r>
        <w:rPr>
          <w:rFonts w:hint="eastAsia" w:ascii="宋体" w:hAnsi="宋体" w:eastAsia="宋体"/>
          <w:color w:val="auto"/>
          <w:sz w:val="24"/>
          <w:highlight w:val="none"/>
        </w:rPr>
        <w:t>.在质保期内，乙方应对货物出现的质量及安全问题负责处理解决并承担一切费用。</w:t>
      </w:r>
    </w:p>
    <w:p>
      <w:pPr>
        <w:spacing w:after="0" w:line="440" w:lineRule="exact"/>
        <w:ind w:firstLine="480" w:firstLineChars="200"/>
        <w:rPr>
          <w:rFonts w:ascii="宋体" w:hAnsi="宋体" w:eastAsia="宋体"/>
          <w:color w:val="auto"/>
          <w:sz w:val="24"/>
          <w:highlight w:val="none"/>
        </w:rPr>
      </w:pPr>
      <w:r>
        <w:rPr>
          <w:rFonts w:ascii="宋体" w:hAnsi="宋体" w:eastAsia="宋体"/>
          <w:color w:val="auto"/>
          <w:sz w:val="24"/>
          <w:highlight w:val="none"/>
        </w:rPr>
        <w:t>5</w:t>
      </w:r>
      <w:r>
        <w:rPr>
          <w:rFonts w:hint="eastAsia" w:ascii="宋体" w:hAnsi="宋体" w:eastAsia="宋体"/>
          <w:color w:val="auto"/>
          <w:sz w:val="24"/>
          <w:highlight w:val="none"/>
        </w:rPr>
        <w:t>.上述的货物免费保修期</w:t>
      </w:r>
      <w:r>
        <w:rPr>
          <w:rFonts w:hint="eastAsia" w:ascii="宋体" w:hAnsi="宋体" w:eastAsia="宋体"/>
          <w:color w:val="auto"/>
          <w:sz w:val="24"/>
          <w:highlight w:val="none"/>
          <w:u w:val="single"/>
        </w:rPr>
        <w:t>按乙方响应文件承诺</w:t>
      </w:r>
      <w:r>
        <w:rPr>
          <w:rFonts w:hint="eastAsia" w:ascii="宋体" w:hAnsi="宋体" w:eastAsia="宋体"/>
          <w:color w:val="auto"/>
          <w:sz w:val="24"/>
          <w:highlight w:val="none"/>
        </w:rPr>
        <w:t>，因人为因素出现的故障不在免费保修范围内。超过保修期的机器设备，终生维修，维修时只收部件成本费。</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6.乙方提供的服务承诺和售后服务及保修期责任等其它具体约定事项：</w:t>
      </w:r>
      <w:r>
        <w:rPr>
          <w:rFonts w:hint="eastAsia" w:ascii="宋体" w:hAnsi="宋体" w:eastAsia="宋体"/>
          <w:color w:val="auto"/>
          <w:sz w:val="24"/>
          <w:highlight w:val="none"/>
          <w:u w:val="single"/>
        </w:rPr>
        <w:t>（见合同附件）</w:t>
      </w:r>
      <w:r>
        <w:rPr>
          <w:rFonts w:hint="eastAsia" w:ascii="宋体" w:hAnsi="宋体" w:eastAsia="宋体"/>
          <w:color w:val="auto"/>
          <w:sz w:val="24"/>
          <w:highlight w:val="none"/>
        </w:rPr>
        <w:t>。</w:t>
      </w:r>
    </w:p>
    <w:p>
      <w:pPr>
        <w:spacing w:after="0" w:line="440" w:lineRule="exact"/>
        <w:ind w:firstLine="482" w:firstLineChars="200"/>
        <w:rPr>
          <w:rFonts w:ascii="宋体" w:hAnsi="宋体" w:eastAsia="宋体"/>
          <w:color w:val="auto"/>
          <w:sz w:val="24"/>
          <w:highlight w:val="none"/>
        </w:rPr>
      </w:pPr>
      <w:r>
        <w:rPr>
          <w:rFonts w:hint="eastAsia" w:ascii="宋体" w:hAnsi="宋体" w:eastAsia="宋体"/>
          <w:b/>
          <w:color w:val="auto"/>
          <w:sz w:val="24"/>
          <w:highlight w:val="none"/>
        </w:rPr>
        <w:t>第九条  调试和验收</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1.甲方对乙方提供的货物在使用前进行调试时，乙方需负责安装并培训甲方的使用操作人员，并协助甲方一起调试，直到符合技术要求，甲方才做最终验收。</w:t>
      </w:r>
    </w:p>
    <w:p>
      <w:pPr>
        <w:spacing w:after="0" w:line="440" w:lineRule="exact"/>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 </w:t>
      </w:r>
      <w:r>
        <w:rPr>
          <w:rFonts w:hint="eastAsia" w:ascii="宋体" w:hAnsi="宋体" w:eastAsia="宋体"/>
          <w:color w:val="auto"/>
          <w:sz w:val="24"/>
          <w:highlight w:val="none"/>
        </w:rPr>
        <w:t>验收由甲方组织，乙方配合进行。对技术复杂的货物，甲方应请国家认可的专业检测机构参与最终验收，并由其出具质量检测报告。</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w:t>
      </w:r>
      <w:r>
        <w:rPr>
          <w:rFonts w:hint="eastAsia" w:ascii="宋体" w:hAnsi="宋体" w:eastAsia="宋体"/>
          <w:color w:val="auto"/>
          <w:sz w:val="24"/>
          <w:highlight w:val="none"/>
        </w:rPr>
        <w:t>）货物在乙方通知安装调试完毕后七个工作日内验收。</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验收标准：按国家有关规定以及甲方采购文件的质量要求和技术指标、乙方的响应文件及承诺与本合同约定标准进行验收；甲乙双方如对质量要求和技术指标的约定标准有相互抵触或异议的事项，由甲方在招标与响应文件中按质量要求和技术指标比较优胜的原则确定该项的约定标准进行验收；</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w:t>
      </w:r>
      <w:r>
        <w:rPr>
          <w:rFonts w:hint="eastAsia" w:ascii="宋体" w:hAnsi="宋体" w:eastAsia="宋体"/>
          <w:color w:val="auto"/>
          <w:sz w:val="24"/>
          <w:highlight w:val="none"/>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4</w:t>
      </w:r>
      <w:r>
        <w:rPr>
          <w:rFonts w:hint="eastAsia" w:ascii="宋体" w:hAnsi="宋体" w:eastAsia="宋体"/>
          <w:color w:val="auto"/>
          <w:sz w:val="24"/>
          <w:highlight w:val="none"/>
        </w:rPr>
        <w:t>）如货物经乙方</w:t>
      </w:r>
      <w:r>
        <w:rPr>
          <w:rFonts w:ascii="宋体" w:hAnsi="宋体" w:eastAsia="宋体"/>
          <w:color w:val="auto"/>
          <w:sz w:val="24"/>
          <w:highlight w:val="none"/>
        </w:rPr>
        <w:t>1</w:t>
      </w:r>
      <w:r>
        <w:rPr>
          <w:rFonts w:hint="eastAsia" w:ascii="宋体" w:hAnsi="宋体" w:eastAsia="宋体"/>
          <w:color w:val="auto"/>
          <w:sz w:val="24"/>
          <w:highlight w:val="none"/>
        </w:rPr>
        <w:t>次维修仍不能达到合同约定的质量标准，甲方有权退货，并视作乙方不能交付货物而须支付违约赔偿金给甲方，甲方还可依法追究乙方的违约责任，并按虚假应标上报处理。</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w:t>
      </w:r>
      <w:r>
        <w:rPr>
          <w:rFonts w:hint="eastAsia" w:ascii="宋体" w:hAnsi="宋体" w:eastAsia="宋体"/>
          <w:color w:val="auto"/>
          <w:sz w:val="24"/>
          <w:highlight w:val="none"/>
        </w:rPr>
        <w:t>）验收结束后，应当出具验收书，列明各项标准的验收情况及项目总体评价，由验收双方共同签署。</w:t>
      </w:r>
    </w:p>
    <w:p>
      <w:pPr>
        <w:spacing w:after="0" w:line="440" w:lineRule="exact"/>
        <w:ind w:firstLine="480" w:firstLineChars="200"/>
        <w:rPr>
          <w:rFonts w:ascii="宋体" w:hAnsi="宋体" w:eastAsia="宋体"/>
          <w:color w:val="auto"/>
          <w:sz w:val="24"/>
          <w:highlight w:val="none"/>
        </w:rPr>
      </w:pPr>
      <w:r>
        <w:rPr>
          <w:rFonts w:ascii="宋体" w:hAnsi="宋体" w:eastAsia="宋体"/>
          <w:color w:val="auto"/>
          <w:sz w:val="24"/>
          <w:highlight w:val="none"/>
        </w:rPr>
        <w:t>3.</w:t>
      </w:r>
      <w:r>
        <w:rPr>
          <w:rFonts w:hint="eastAsia" w:ascii="宋体" w:hAnsi="宋体" w:eastAsia="宋体"/>
          <w:color w:val="auto"/>
          <w:sz w:val="24"/>
          <w:highlight w:val="none"/>
        </w:rPr>
        <w:t>货物安装完成后七个工作日内，甲方无故不进行验收工作并已使用货物的，视同已安装调试完成并验收合格。验收合格的项目，甲方在验收书签署之日后日内向乙方支付采购资金，在日内退还履约保证金（如有）。验收不合格的项目，将按本合同第十条违约责任处理，未作约定的，按照《合同法》规定处理。</w:t>
      </w:r>
    </w:p>
    <w:p>
      <w:pPr>
        <w:spacing w:after="0" w:line="440" w:lineRule="exact"/>
        <w:ind w:firstLine="480" w:firstLineChars="200"/>
        <w:rPr>
          <w:rFonts w:ascii="宋体" w:hAnsi="宋体" w:eastAsia="宋体"/>
          <w:color w:val="auto"/>
          <w:sz w:val="24"/>
          <w:highlight w:val="none"/>
        </w:rPr>
      </w:pPr>
      <w:r>
        <w:rPr>
          <w:rFonts w:ascii="宋体" w:hAnsi="宋体" w:eastAsia="宋体"/>
          <w:color w:val="auto"/>
          <w:sz w:val="24"/>
          <w:highlight w:val="none"/>
        </w:rPr>
        <w:t>4</w:t>
      </w:r>
      <w:r>
        <w:rPr>
          <w:rFonts w:hint="eastAsia" w:ascii="宋体" w:hAnsi="宋体" w:eastAsia="宋体"/>
          <w:color w:val="auto"/>
          <w:sz w:val="24"/>
          <w:highlight w:val="none"/>
        </w:rPr>
        <w:t>. 验收时乙方必须在现场，验收完毕后作出验收结果报告；验收费用由乙方负责。</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5. 其他未尽事宜应严格按照《关于印发广西壮族自治区政府采购项目履约验收管理办法的通知》</w:t>
      </w:r>
      <w:r>
        <w:rPr>
          <w:rFonts w:ascii="宋体" w:hAnsi="宋体" w:eastAsia="宋体"/>
          <w:color w:val="auto"/>
          <w:sz w:val="24"/>
          <w:highlight w:val="none"/>
        </w:rPr>
        <w:t>[</w:t>
      </w:r>
      <w:r>
        <w:rPr>
          <w:rFonts w:hint="eastAsia" w:ascii="宋体" w:hAnsi="宋体" w:eastAsia="宋体"/>
          <w:color w:val="auto"/>
          <w:sz w:val="24"/>
          <w:highlight w:val="none"/>
        </w:rPr>
        <w:t>桂财采〔</w:t>
      </w:r>
      <w:r>
        <w:rPr>
          <w:rFonts w:ascii="宋体" w:hAnsi="宋体" w:eastAsia="宋体"/>
          <w:color w:val="auto"/>
          <w:sz w:val="24"/>
          <w:highlight w:val="none"/>
        </w:rPr>
        <w:t>2015</w:t>
      </w:r>
      <w:r>
        <w:rPr>
          <w:rFonts w:hint="eastAsia" w:ascii="宋体" w:hAnsi="宋体" w:eastAsia="宋体"/>
          <w:color w:val="auto"/>
          <w:sz w:val="24"/>
          <w:highlight w:val="none"/>
        </w:rPr>
        <w:t>〕</w:t>
      </w:r>
      <w:r>
        <w:rPr>
          <w:rFonts w:ascii="宋体" w:hAnsi="宋体" w:eastAsia="宋体"/>
          <w:color w:val="auto"/>
          <w:sz w:val="24"/>
          <w:highlight w:val="none"/>
        </w:rPr>
        <w:t>22</w:t>
      </w:r>
      <w:r>
        <w:rPr>
          <w:rFonts w:hint="eastAsia" w:ascii="宋体" w:hAnsi="宋体" w:eastAsia="宋体"/>
          <w:color w:val="auto"/>
          <w:sz w:val="24"/>
          <w:highlight w:val="none"/>
        </w:rPr>
        <w:t>号</w:t>
      </w:r>
      <w:r>
        <w:rPr>
          <w:rFonts w:ascii="宋体" w:hAnsi="宋体" w:eastAsia="宋体"/>
          <w:color w:val="auto"/>
          <w:sz w:val="24"/>
          <w:highlight w:val="none"/>
        </w:rPr>
        <w:t>]</w:t>
      </w:r>
      <w:r>
        <w:rPr>
          <w:rFonts w:hint="eastAsia" w:ascii="宋体" w:hAnsi="宋体" w:eastAsia="宋体"/>
          <w:color w:val="auto"/>
          <w:sz w:val="24"/>
          <w:highlight w:val="none"/>
        </w:rPr>
        <w:t>以及《财政部关于进一步加强政府采购需求和履约验收管理的指导意见》</w:t>
      </w:r>
      <w:r>
        <w:rPr>
          <w:rFonts w:ascii="宋体" w:hAnsi="宋体" w:eastAsia="宋体"/>
          <w:color w:val="auto"/>
          <w:sz w:val="24"/>
          <w:highlight w:val="none"/>
        </w:rPr>
        <w:t>[</w:t>
      </w:r>
      <w:r>
        <w:rPr>
          <w:rFonts w:hint="eastAsia" w:ascii="宋体" w:hAnsi="宋体" w:eastAsia="宋体"/>
          <w:color w:val="auto"/>
          <w:sz w:val="24"/>
          <w:highlight w:val="none"/>
        </w:rPr>
        <w:t>财库〔</w:t>
      </w:r>
      <w:r>
        <w:rPr>
          <w:rFonts w:ascii="宋体" w:hAnsi="宋体" w:eastAsia="宋体"/>
          <w:color w:val="auto"/>
          <w:sz w:val="24"/>
          <w:highlight w:val="none"/>
        </w:rPr>
        <w:t>2016</w:t>
      </w:r>
      <w:r>
        <w:rPr>
          <w:rFonts w:hint="eastAsia" w:ascii="宋体" w:hAnsi="宋体" w:eastAsia="宋体"/>
          <w:color w:val="auto"/>
          <w:sz w:val="24"/>
          <w:highlight w:val="none"/>
        </w:rPr>
        <w:t>〕</w:t>
      </w:r>
      <w:r>
        <w:rPr>
          <w:rFonts w:ascii="宋体" w:hAnsi="宋体" w:eastAsia="宋体"/>
          <w:color w:val="auto"/>
          <w:sz w:val="24"/>
          <w:highlight w:val="none"/>
        </w:rPr>
        <w:t>205</w:t>
      </w:r>
      <w:r>
        <w:rPr>
          <w:rFonts w:hint="eastAsia" w:ascii="宋体" w:hAnsi="宋体" w:eastAsia="宋体"/>
          <w:color w:val="auto"/>
          <w:sz w:val="24"/>
          <w:highlight w:val="none"/>
        </w:rPr>
        <w:t>号</w:t>
      </w:r>
      <w:r>
        <w:rPr>
          <w:rFonts w:ascii="宋体" w:hAnsi="宋体" w:eastAsia="宋体"/>
          <w:color w:val="auto"/>
          <w:sz w:val="24"/>
          <w:highlight w:val="none"/>
        </w:rPr>
        <w:t>]</w:t>
      </w:r>
      <w:r>
        <w:rPr>
          <w:rFonts w:hint="eastAsia" w:ascii="宋体" w:hAnsi="宋体" w:eastAsia="宋体"/>
          <w:color w:val="auto"/>
          <w:sz w:val="24"/>
          <w:highlight w:val="none"/>
        </w:rPr>
        <w:t>规定执行。</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第十条　违约责任</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乙方所提供的货物规格、技术标准、材料等质量不合格的，应及时更换，更换不及时的按逾期交货处罚；因质量问题甲方不同意接收的或特殊情况甲方不同意接收的，乙方应向甲方支付违约货款额 5%违约金并赔偿甲方经济损失。</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乙方提供的货物如侵犯了第三方合法权益而引发的任何纠纷或诉讼，均由乙方负责交涉并承担全部责任。</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 因包装、运输引起的货物损坏，按质量不合格处罚。</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4. 甲方无故延期接收货物、乙方逾期交货的，每天向对方偿付违约货款额3‰违约金，但违约金累计不得超过违约货款额5%，超过7天对方有权解除合同，违约方承担因此给对方造成经济损失；甲方延期付货款的，每天向乙方偿付延期货款额3‰滞纳金，但滞纳金累计不得超过延期货款额5%。</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5. 乙方未按本合同和响应文件中规定的服务承诺提供售后服务的，乙方应按本合同合计金额 5%向甲方支付违约金。</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6. 乙方提供的货物在质量保证期内，因设计、工艺或材料的缺陷和其它质量原因造成的问题，由乙方负责，费用从质量保证金中扣除，不足另补。</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7. 其它违约行为按违约货款额5%收取违约金并赔偿经济损失。</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第十一条  不可抗力事件处理</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在合同有效期内，任何一方因不可抗力事件导致不能履行合同，则合同履行期可延长，其延长期与不可抗力影响期相同。</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不可抗力事件发生后，应立即通知对方，并寄送有关权威机构出具的证明。</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 不可抗力事件延续一百二十天以上，双方应通过友好协商，确定是否继续履行合同。</w:t>
      </w:r>
    </w:p>
    <w:p>
      <w:pPr>
        <w:spacing w:after="0" w:line="440" w:lineRule="exact"/>
        <w:ind w:firstLine="482" w:firstLineChars="200"/>
        <w:rPr>
          <w:rFonts w:ascii="宋体" w:hAnsi="宋体" w:eastAsia="宋体"/>
          <w:color w:val="auto"/>
          <w:sz w:val="24"/>
          <w:highlight w:val="none"/>
        </w:rPr>
      </w:pPr>
      <w:r>
        <w:rPr>
          <w:rFonts w:hint="eastAsia" w:ascii="宋体" w:hAnsi="宋体" w:eastAsia="宋体"/>
          <w:b/>
          <w:color w:val="auto"/>
          <w:sz w:val="24"/>
          <w:highlight w:val="none"/>
        </w:rPr>
        <w:t>第十二条  合同争议解决</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因货物质量问题发生争议的，应邀请国家认可的质量检测机构对货物质量进行鉴定。货物符合标准的，鉴定费由甲方承担；货物不符合标准的，鉴定费由乙方承担。</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因履行本合同引起的或与本合同有关的争议，甲乙双方应首先通过友好协商解决，如果协商不能解决，可向仲裁委员会申请仲裁或向人民法院提起诉讼。</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 诉讼期间，本合同继续履行。</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第十三条  合同生效及其它</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合同经双方法定代表人或被授权代表签字并加盖单位公章后生效。</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2.合同执行中涉及采购资金和采购内容修改或补充的，须经财政部门审批，并签书面补充协议报财政部门备案，方可作为主合同不可分割的一部分。</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3.本合同未尽事宜，遵照《合同法》有关条文执行。</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第十四条　合同的变更、终止与转让</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除《中华人民共和国政府采购法》第五十条规定的情形外，本合同一经签订，甲乙双方不得擅自变更、中止或终止。</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未经甲方书面同意，乙方不得擅自转让（无进口资格的供应商委托进口货物除外）其应履行的合同义务。</w:t>
      </w:r>
    </w:p>
    <w:p>
      <w:pPr>
        <w:spacing w:after="0" w:line="440" w:lineRule="exact"/>
        <w:ind w:firstLine="482" w:firstLineChars="200"/>
        <w:rPr>
          <w:rFonts w:ascii="宋体" w:hAnsi="宋体" w:eastAsia="宋体"/>
          <w:b/>
          <w:color w:val="auto"/>
          <w:sz w:val="24"/>
          <w:highlight w:val="none"/>
        </w:rPr>
      </w:pPr>
      <w:r>
        <w:rPr>
          <w:rFonts w:hint="eastAsia" w:ascii="宋体" w:hAnsi="宋体" w:eastAsia="宋体"/>
          <w:b/>
          <w:color w:val="auto"/>
          <w:sz w:val="24"/>
          <w:highlight w:val="none"/>
        </w:rPr>
        <w:t>第十五条　签订本合同依据</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采购文件；</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乙方提供的响应文件；</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 响应承诺书；</w:t>
      </w:r>
    </w:p>
    <w:p>
      <w:pPr>
        <w:spacing w:after="0" w:line="44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4. 中标通知书。</w:t>
      </w:r>
    </w:p>
    <w:p>
      <w:pPr>
        <w:spacing w:after="0" w:line="440" w:lineRule="exact"/>
        <w:ind w:firstLine="482" w:firstLineChars="200"/>
        <w:rPr>
          <w:rFonts w:ascii="宋体" w:hAnsi="宋体" w:eastAsia="宋体"/>
          <w:color w:val="auto"/>
          <w:sz w:val="24"/>
          <w:highlight w:val="none"/>
        </w:rPr>
      </w:pPr>
      <w:r>
        <w:rPr>
          <w:rFonts w:hint="eastAsia" w:ascii="宋体" w:hAnsi="宋体" w:eastAsia="宋体"/>
          <w:b/>
          <w:color w:val="auto"/>
          <w:sz w:val="24"/>
          <w:highlight w:val="none"/>
        </w:rPr>
        <w:t>第十六条　</w:t>
      </w:r>
      <w:r>
        <w:rPr>
          <w:rFonts w:hint="eastAsia" w:ascii="宋体" w:hAnsi="宋体" w:eastAsia="宋体"/>
          <w:color w:val="auto"/>
          <w:sz w:val="24"/>
          <w:highlight w:val="none"/>
        </w:rPr>
        <w:t>本合同一式份，具有同等法律效力，采购代理机构、政府采购监督管理处各一份，甲方份，乙方份（可根据需要另增加）。</w:t>
      </w:r>
    </w:p>
    <w:p>
      <w:pPr>
        <w:spacing w:after="0" w:line="440" w:lineRule="exact"/>
        <w:ind w:firstLine="480" w:firstLineChars="200"/>
        <w:rPr>
          <w:rFonts w:hint="eastAsia" w:ascii="宋体" w:hAnsi="宋体" w:eastAsia="宋体"/>
          <w:color w:val="auto"/>
          <w:sz w:val="24"/>
          <w:highlight w:val="none"/>
          <w:u w:val="single"/>
        </w:rPr>
      </w:pPr>
      <w:r>
        <w:rPr>
          <w:rFonts w:hint="eastAsia" w:ascii="宋体" w:hAnsi="宋体" w:eastAsia="宋体"/>
          <w:color w:val="auto"/>
          <w:sz w:val="24"/>
          <w:highlight w:val="none"/>
        </w:rPr>
        <w:t>本合同甲乙双方签字盖章后生效。</w:t>
      </w:r>
    </w:p>
    <w:tbl>
      <w:tblPr>
        <w:tblStyle w:val="38"/>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pacing w:line="500" w:lineRule="exact"/>
              <w:rPr>
                <w:rFonts w:hint="eastAsia" w:ascii="宋体" w:hAnsi="宋体" w:eastAsia="宋体"/>
                <w:color w:val="auto"/>
                <w:sz w:val="24"/>
                <w:highlight w:val="none"/>
              </w:rPr>
            </w:pPr>
            <w:r>
              <w:rPr>
                <w:rFonts w:hint="eastAsia" w:ascii="宋体" w:hAnsi="宋体" w:eastAsia="宋体"/>
                <w:color w:val="auto"/>
                <w:sz w:val="24"/>
                <w:highlight w:val="none"/>
              </w:rPr>
              <w:t xml:space="preserve">甲方（章）           </w:t>
            </w:r>
          </w:p>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年   月   日</w:t>
            </w:r>
          </w:p>
        </w:tc>
        <w:tc>
          <w:tcPr>
            <w:tcW w:w="4517" w:type="dxa"/>
            <w:vAlign w:val="center"/>
          </w:tcPr>
          <w:p>
            <w:pPr>
              <w:spacing w:line="500" w:lineRule="exact"/>
              <w:rPr>
                <w:rFonts w:hint="eastAsia" w:ascii="宋体" w:hAnsi="宋体" w:eastAsia="宋体"/>
                <w:color w:val="auto"/>
                <w:sz w:val="24"/>
                <w:highlight w:val="none"/>
              </w:rPr>
            </w:pPr>
            <w:r>
              <w:rPr>
                <w:rFonts w:hint="eastAsia" w:ascii="宋体" w:hAnsi="宋体" w:eastAsia="宋体"/>
                <w:color w:val="auto"/>
                <w:sz w:val="24"/>
                <w:highlight w:val="none"/>
              </w:rPr>
              <w:t xml:space="preserve">乙方（章）              </w:t>
            </w:r>
          </w:p>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单位地址：</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法定代表人：</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委托代理人：</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电话：</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电子邮箱：</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开户银行：</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账号：</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邮政编码：</w:t>
            </w:r>
          </w:p>
        </w:tc>
        <w:tc>
          <w:tcPr>
            <w:tcW w:w="4517" w:type="dxa"/>
            <w:vAlign w:val="center"/>
          </w:tcPr>
          <w:p>
            <w:pPr>
              <w:spacing w:line="500" w:lineRule="exact"/>
              <w:rPr>
                <w:rFonts w:ascii="宋体" w:hAnsi="宋体" w:eastAsia="宋体"/>
                <w:color w:val="auto"/>
                <w:sz w:val="24"/>
                <w:highlight w:val="none"/>
              </w:rPr>
            </w:pPr>
            <w:r>
              <w:rPr>
                <w:rFonts w:hint="eastAsia" w:ascii="宋体" w:hAnsi="宋体" w:eastAsia="宋体"/>
                <w:color w:val="auto"/>
                <w:sz w:val="24"/>
                <w:highlight w:val="none"/>
              </w:rPr>
              <w:t>邮政编码：</w:t>
            </w:r>
          </w:p>
        </w:tc>
      </w:tr>
    </w:tbl>
    <w:p>
      <w:pPr>
        <w:spacing w:line="500" w:lineRule="exact"/>
        <w:rPr>
          <w:rFonts w:hint="eastAsia"/>
          <w:color w:val="auto"/>
          <w:highlight w:val="none"/>
        </w:rPr>
      </w:pPr>
    </w:p>
    <w:p>
      <w:pPr>
        <w:pStyle w:val="102"/>
        <w:rPr>
          <w:rFonts w:hAnsi="宋体" w:cs="Times New Roman"/>
          <w:color w:val="auto"/>
          <w:kern w:val="2"/>
          <w:highlight w:val="none"/>
        </w:rPr>
      </w:pPr>
      <w:r>
        <w:rPr>
          <w:rFonts w:hint="eastAsia" w:hAnsi="宋体" w:cs="Times New Roman"/>
          <w:color w:val="auto"/>
          <w:kern w:val="2"/>
          <w:highlight w:val="none"/>
        </w:rPr>
        <w:t>合同附件</w:t>
      </w:r>
      <w:r>
        <w:rPr>
          <w:rFonts w:hAnsi="宋体" w:cs="Times New Roman"/>
          <w:color w:val="auto"/>
          <w:kern w:val="2"/>
          <w:highlight w:val="none"/>
        </w:rPr>
        <w:t xml:space="preserve">1 </w:t>
      </w:r>
    </w:p>
    <w:p>
      <w:pPr>
        <w:pStyle w:val="102"/>
        <w:jc w:val="center"/>
        <w:rPr>
          <w:rFonts w:hAnsi="宋体" w:cs="Times New Roman"/>
          <w:b/>
          <w:color w:val="auto"/>
          <w:kern w:val="2"/>
          <w:sz w:val="28"/>
          <w:szCs w:val="28"/>
          <w:highlight w:val="none"/>
        </w:rPr>
      </w:pPr>
      <w:r>
        <w:rPr>
          <w:rFonts w:hint="eastAsia" w:hAnsi="宋体" w:cs="Times New Roman"/>
          <w:b/>
          <w:color w:val="auto"/>
          <w:kern w:val="2"/>
          <w:sz w:val="28"/>
          <w:szCs w:val="28"/>
          <w:highlight w:val="none"/>
        </w:rPr>
        <w:t>响应承诺书</w:t>
      </w:r>
    </w:p>
    <w:p>
      <w:pPr>
        <w:pStyle w:val="102"/>
        <w:rPr>
          <w:rFonts w:hAnsi="宋体" w:cs="Times New Roman"/>
          <w:b/>
          <w:color w:val="auto"/>
          <w:kern w:val="2"/>
          <w:sz w:val="28"/>
          <w:szCs w:val="28"/>
          <w:highlight w:val="none"/>
        </w:rPr>
      </w:pPr>
      <w:r>
        <w:rPr>
          <w:rFonts w:hint="eastAsia" w:hAnsi="宋体" w:cs="Times New Roman"/>
          <w:color w:val="auto"/>
          <w:kern w:val="2"/>
          <w:highlight w:val="none"/>
        </w:rPr>
        <w:t>一般货物类</w:t>
      </w:r>
    </w:p>
    <w:tbl>
      <w:tblPr>
        <w:tblStyle w:val="3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897" w:type="dxa"/>
            <w:gridSpan w:val="2"/>
          </w:tcPr>
          <w:p>
            <w:pPr>
              <w:pStyle w:val="102"/>
              <w:rPr>
                <w:rFonts w:hAnsi="宋体" w:cs="Times New Roman"/>
                <w:color w:val="auto"/>
                <w:kern w:val="2"/>
                <w:highlight w:val="none"/>
              </w:rPr>
            </w:pPr>
            <w:r>
              <w:rPr>
                <w:rFonts w:hAnsi="宋体" w:cs="Times New Roman"/>
                <w:color w:val="auto"/>
                <w:kern w:val="2"/>
                <w:highlight w:val="none"/>
              </w:rPr>
              <w:t>1</w:t>
            </w:r>
            <w:r>
              <w:rPr>
                <w:rFonts w:hint="eastAsia" w:hAnsi="宋体" w:cs="Times New Roman"/>
                <w:color w:val="auto"/>
                <w:kern w:val="2"/>
                <w:highlight w:val="none"/>
              </w:rPr>
              <w:t>．乙方承诺具体事项：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897" w:type="dxa"/>
            <w:gridSpan w:val="2"/>
          </w:tcPr>
          <w:p>
            <w:pPr>
              <w:pStyle w:val="102"/>
              <w:rPr>
                <w:rFonts w:hAnsi="宋体" w:cs="Times New Roman"/>
                <w:color w:val="auto"/>
                <w:kern w:val="2"/>
                <w:highlight w:val="none"/>
              </w:rPr>
            </w:pPr>
            <w:r>
              <w:rPr>
                <w:rFonts w:hAnsi="宋体" w:cs="Times New Roman"/>
                <w:color w:val="auto"/>
                <w:kern w:val="2"/>
                <w:highlight w:val="none"/>
              </w:rPr>
              <w:t>2</w:t>
            </w:r>
            <w:r>
              <w:rPr>
                <w:rFonts w:hint="eastAsia" w:hAnsi="宋体" w:cs="Times New Roman"/>
                <w:color w:val="auto"/>
                <w:kern w:val="2"/>
                <w:highlight w:val="none"/>
              </w:rPr>
              <w:t>．售后服务具体事项：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897" w:type="dxa"/>
            <w:gridSpan w:val="2"/>
          </w:tcPr>
          <w:p>
            <w:pPr>
              <w:pStyle w:val="102"/>
              <w:rPr>
                <w:rFonts w:hAnsi="宋体" w:cs="Times New Roman"/>
                <w:color w:val="auto"/>
                <w:kern w:val="2"/>
                <w:highlight w:val="none"/>
              </w:rPr>
            </w:pPr>
            <w:r>
              <w:rPr>
                <w:rFonts w:hAnsi="宋体" w:cs="Times New Roman"/>
                <w:color w:val="auto"/>
                <w:kern w:val="2"/>
                <w:highlight w:val="none"/>
              </w:rPr>
              <w:t>3</w:t>
            </w:r>
            <w:r>
              <w:rPr>
                <w:rFonts w:hint="eastAsia" w:hAnsi="宋体" w:cs="Times New Roman"/>
                <w:color w:val="auto"/>
                <w:kern w:val="2"/>
                <w:highlight w:val="none"/>
              </w:rPr>
              <w:t>．质保期责任：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897" w:type="dxa"/>
            <w:gridSpan w:val="2"/>
          </w:tcPr>
          <w:p>
            <w:pPr>
              <w:pStyle w:val="102"/>
              <w:rPr>
                <w:rFonts w:hAnsi="宋体" w:cs="Times New Roman"/>
                <w:color w:val="auto"/>
                <w:kern w:val="2"/>
                <w:highlight w:val="none"/>
              </w:rPr>
            </w:pPr>
            <w:r>
              <w:rPr>
                <w:rFonts w:hAnsi="宋体" w:cs="Times New Roman"/>
                <w:color w:val="auto"/>
                <w:kern w:val="2"/>
                <w:highlight w:val="none"/>
              </w:rPr>
              <w:t>4</w:t>
            </w:r>
            <w:r>
              <w:rPr>
                <w:rFonts w:hint="eastAsia" w:hAnsi="宋体" w:cs="Times New Roman"/>
                <w:color w:val="auto"/>
                <w:kern w:val="2"/>
                <w:highlight w:val="none"/>
              </w:rPr>
              <w:t>．其他具体事项：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361" w:type="dxa"/>
          </w:tcPr>
          <w:p>
            <w:pPr>
              <w:pStyle w:val="102"/>
              <w:rPr>
                <w:rFonts w:hAnsi="宋体" w:cs="Times New Roman"/>
                <w:color w:val="auto"/>
                <w:kern w:val="2"/>
                <w:highlight w:val="none"/>
              </w:rPr>
            </w:pPr>
            <w:r>
              <w:rPr>
                <w:rFonts w:hint="eastAsia" w:hAnsi="宋体" w:cs="Times New Roman"/>
                <w:color w:val="auto"/>
                <w:kern w:val="2"/>
                <w:highlight w:val="none"/>
              </w:rPr>
              <w:t>甲方</w:t>
            </w:r>
            <w:r>
              <w:rPr>
                <w:rFonts w:hAnsi="宋体" w:cs="Times New Roman"/>
                <w:color w:val="auto"/>
                <w:kern w:val="2"/>
                <w:highlight w:val="none"/>
              </w:rPr>
              <w:t>(</w:t>
            </w:r>
            <w:r>
              <w:rPr>
                <w:rFonts w:hint="eastAsia" w:hAnsi="宋体" w:cs="Times New Roman"/>
                <w:color w:val="auto"/>
                <w:kern w:val="2"/>
                <w:highlight w:val="none"/>
              </w:rPr>
              <w:t>章</w:t>
            </w:r>
            <w:r>
              <w:rPr>
                <w:rFonts w:hAnsi="宋体" w:cs="Times New Roman"/>
                <w:color w:val="auto"/>
                <w:kern w:val="2"/>
                <w:highlight w:val="none"/>
              </w:rPr>
              <w:t>)</w:t>
            </w:r>
          </w:p>
          <w:p>
            <w:pPr>
              <w:pStyle w:val="102"/>
              <w:rPr>
                <w:rFonts w:hAnsi="宋体" w:cs="Times New Roman"/>
                <w:color w:val="auto"/>
                <w:kern w:val="2"/>
                <w:highlight w:val="none"/>
              </w:rPr>
            </w:pPr>
          </w:p>
          <w:p>
            <w:pPr>
              <w:pStyle w:val="102"/>
              <w:rPr>
                <w:rFonts w:hAnsi="宋体" w:cs="Times New Roman"/>
                <w:color w:val="auto"/>
                <w:kern w:val="2"/>
                <w:highlight w:val="none"/>
              </w:rPr>
            </w:pPr>
          </w:p>
          <w:p>
            <w:pPr>
              <w:pStyle w:val="102"/>
              <w:ind w:firstLine="2640" w:firstLineChars="1100"/>
              <w:rPr>
                <w:rFonts w:hAnsi="宋体" w:cs="Times New Roman"/>
                <w:color w:val="auto"/>
                <w:kern w:val="2"/>
                <w:highlight w:val="none"/>
              </w:rPr>
            </w:pPr>
            <w:r>
              <w:rPr>
                <w:rFonts w:hint="eastAsia" w:hAnsi="宋体" w:cs="Times New Roman"/>
                <w:color w:val="auto"/>
                <w:kern w:val="2"/>
                <w:highlight w:val="none"/>
              </w:rPr>
              <w:t>年 月 日</w:t>
            </w:r>
          </w:p>
        </w:tc>
        <w:tc>
          <w:tcPr>
            <w:tcW w:w="4536" w:type="dxa"/>
          </w:tcPr>
          <w:p>
            <w:pPr>
              <w:pStyle w:val="102"/>
              <w:rPr>
                <w:rFonts w:hAnsi="宋体" w:cs="Times New Roman"/>
                <w:color w:val="auto"/>
                <w:kern w:val="2"/>
                <w:highlight w:val="none"/>
              </w:rPr>
            </w:pPr>
            <w:r>
              <w:rPr>
                <w:rFonts w:hint="eastAsia" w:hAnsi="宋体" w:cs="Times New Roman"/>
                <w:color w:val="auto"/>
                <w:kern w:val="2"/>
                <w:highlight w:val="none"/>
              </w:rPr>
              <w:t>乙方</w:t>
            </w:r>
            <w:r>
              <w:rPr>
                <w:rFonts w:hAnsi="宋体" w:cs="Times New Roman"/>
                <w:color w:val="auto"/>
                <w:kern w:val="2"/>
                <w:highlight w:val="none"/>
              </w:rPr>
              <w:t>(</w:t>
            </w:r>
            <w:r>
              <w:rPr>
                <w:rFonts w:hint="eastAsia" w:hAnsi="宋体" w:cs="Times New Roman"/>
                <w:color w:val="auto"/>
                <w:kern w:val="2"/>
                <w:highlight w:val="none"/>
              </w:rPr>
              <w:t>章</w:t>
            </w:r>
            <w:r>
              <w:rPr>
                <w:rFonts w:hAnsi="宋体" w:cs="Times New Roman"/>
                <w:color w:val="auto"/>
                <w:kern w:val="2"/>
                <w:highlight w:val="none"/>
              </w:rPr>
              <w:t>)</w:t>
            </w:r>
          </w:p>
          <w:p>
            <w:pPr>
              <w:pStyle w:val="102"/>
              <w:rPr>
                <w:rFonts w:hAnsi="宋体" w:cs="Times New Roman"/>
                <w:color w:val="auto"/>
                <w:kern w:val="2"/>
                <w:highlight w:val="none"/>
              </w:rPr>
            </w:pPr>
          </w:p>
          <w:p>
            <w:pPr>
              <w:pStyle w:val="102"/>
              <w:rPr>
                <w:rFonts w:hAnsi="宋体" w:cs="Times New Roman"/>
                <w:color w:val="auto"/>
                <w:kern w:val="2"/>
                <w:highlight w:val="none"/>
              </w:rPr>
            </w:pPr>
          </w:p>
          <w:p>
            <w:pPr>
              <w:pStyle w:val="102"/>
              <w:ind w:firstLine="2880" w:firstLineChars="1200"/>
              <w:rPr>
                <w:rFonts w:hAnsi="宋体" w:cs="Times New Roman"/>
                <w:color w:val="auto"/>
                <w:kern w:val="2"/>
                <w:highlight w:val="none"/>
              </w:rPr>
            </w:pPr>
            <w:r>
              <w:rPr>
                <w:rFonts w:hint="eastAsia" w:hAnsi="宋体" w:cs="Times New Roman"/>
                <w:color w:val="auto"/>
                <w:kern w:val="2"/>
                <w:highlight w:val="none"/>
              </w:rPr>
              <w:t>年 月 日</w:t>
            </w:r>
          </w:p>
        </w:tc>
      </w:tr>
    </w:tbl>
    <w:p>
      <w:pPr>
        <w:ind w:left="440" w:hanging="440" w:hangingChars="200"/>
        <w:rPr>
          <w:rFonts w:ascii="宋体" w:hAnsi="宋体" w:eastAsia="宋体"/>
          <w:color w:val="auto"/>
          <w:sz w:val="24"/>
          <w:highlight w:val="none"/>
        </w:rPr>
      </w:pPr>
      <w:r>
        <w:rPr>
          <w:rFonts w:hint="eastAsia" w:ascii="宋体" w:hAnsi="宋体" w:eastAsia="宋体"/>
          <w:color w:val="auto"/>
          <w:szCs w:val="21"/>
          <w:highlight w:val="none"/>
        </w:rPr>
        <w:t>注：售后服务事项填不下时可另加附页</w:t>
      </w:r>
    </w:p>
    <w:p>
      <w:pPr>
        <w:ind w:left="440" w:hanging="440" w:hangingChars="200"/>
        <w:rPr>
          <w:rFonts w:ascii="宋体" w:hAnsi="宋体" w:eastAsia="宋体"/>
          <w:color w:val="auto"/>
          <w:szCs w:val="21"/>
          <w:highlight w:val="none"/>
        </w:rPr>
      </w:pPr>
    </w:p>
    <w:p>
      <w:pPr>
        <w:adjustRightInd/>
        <w:snapToGrid/>
        <w:spacing w:line="220" w:lineRule="atLeast"/>
        <w:rPr>
          <w:rFonts w:ascii="宋体" w:hAnsi="宋体" w:eastAsia="宋体"/>
          <w:color w:val="auto"/>
          <w:sz w:val="24"/>
          <w:highlight w:val="none"/>
        </w:rPr>
      </w:pPr>
    </w:p>
    <w:p>
      <w:pPr>
        <w:adjustRightInd/>
        <w:snapToGrid/>
        <w:spacing w:line="220" w:lineRule="atLeast"/>
        <w:rPr>
          <w:rFonts w:ascii="宋体" w:hAnsi="宋体" w:eastAsia="宋体"/>
          <w:color w:val="auto"/>
          <w:sz w:val="24"/>
          <w:highlight w:val="none"/>
        </w:rPr>
      </w:pPr>
      <w:r>
        <w:rPr>
          <w:rFonts w:ascii="宋体" w:hAnsi="宋体" w:eastAsia="宋体"/>
          <w:color w:val="auto"/>
          <w:sz w:val="24"/>
          <w:highlight w:val="none"/>
        </w:rPr>
        <w:br w:type="page"/>
      </w:r>
    </w:p>
    <w:p>
      <w:pPr>
        <w:rPr>
          <w:rFonts w:ascii="宋体" w:hAnsi="宋体" w:eastAsia="宋体"/>
          <w:color w:val="auto"/>
          <w:sz w:val="24"/>
          <w:highlight w:val="none"/>
        </w:rPr>
      </w:pPr>
      <w:r>
        <w:rPr>
          <w:rFonts w:hint="eastAsia" w:ascii="宋体" w:hAnsi="宋体" w:eastAsia="宋体"/>
          <w:color w:val="auto"/>
          <w:sz w:val="24"/>
          <w:highlight w:val="none"/>
        </w:rPr>
        <w:t>附件</w:t>
      </w:r>
      <w:r>
        <w:rPr>
          <w:rFonts w:ascii="宋体" w:hAnsi="宋体" w:eastAsia="宋体"/>
          <w:color w:val="auto"/>
          <w:sz w:val="24"/>
          <w:highlight w:val="none"/>
        </w:rPr>
        <w:t>2</w:t>
      </w:r>
      <w:r>
        <w:rPr>
          <w:rFonts w:hint="eastAsia" w:ascii="宋体" w:hAnsi="宋体" w:eastAsia="宋体"/>
          <w:color w:val="auto"/>
          <w:sz w:val="24"/>
          <w:highlight w:val="none"/>
        </w:rPr>
        <w:t>：</w:t>
      </w:r>
    </w:p>
    <w:p>
      <w:pPr>
        <w:shd w:val="clear" w:color="auto" w:fill="FFFFFF"/>
        <w:spacing w:line="580" w:lineRule="exact"/>
        <w:jc w:val="center"/>
        <w:rPr>
          <w:rFonts w:ascii="宋体" w:hAnsi="宋体" w:eastAsia="宋体" w:cs="宋体"/>
          <w:color w:val="auto"/>
          <w:sz w:val="32"/>
          <w:szCs w:val="32"/>
          <w:highlight w:val="none"/>
        </w:rPr>
      </w:pPr>
      <w:r>
        <w:rPr>
          <w:rFonts w:hint="eastAsia" w:ascii="宋体" w:hAnsi="宋体" w:eastAsia="宋体" w:cs="黑体"/>
          <w:color w:val="auto"/>
          <w:sz w:val="32"/>
          <w:szCs w:val="32"/>
          <w:highlight w:val="none"/>
        </w:rPr>
        <w:t>广西壮族自治区政府采购项目合同验收书</w:t>
      </w:r>
      <w:r>
        <w:rPr>
          <w:rFonts w:hint="eastAsia" w:ascii="宋体" w:hAnsi="宋体" w:eastAsia="宋体" w:cs="宋体"/>
          <w:color w:val="auto"/>
          <w:sz w:val="32"/>
          <w:szCs w:val="32"/>
          <w:highlight w:val="none"/>
        </w:rPr>
        <w:t>（格式）</w:t>
      </w:r>
    </w:p>
    <w:p>
      <w:pPr>
        <w:shd w:val="clear" w:color="auto" w:fill="FFFFFF"/>
        <w:spacing w:line="440" w:lineRule="exact"/>
        <w:ind w:firstLine="482"/>
        <w:rPr>
          <w:rFonts w:ascii="宋体" w:hAnsi="宋体" w:eastAsia="宋体" w:cs="宋体"/>
          <w:color w:val="auto"/>
          <w:sz w:val="24"/>
          <w:highlight w:val="none"/>
        </w:rPr>
      </w:pPr>
      <w:r>
        <w:rPr>
          <w:rFonts w:hint="eastAsia" w:ascii="宋体" w:hAnsi="宋体" w:eastAsia="宋体" w:cs="宋体"/>
          <w:color w:val="auto"/>
          <w:sz w:val="24"/>
          <w:highlight w:val="none"/>
        </w:rPr>
        <w:t>根据政府采购项目（</w:t>
      </w:r>
      <w:r>
        <w:rPr>
          <w:rFonts w:hint="eastAsia" w:ascii="宋体" w:hAnsi="宋体" w:eastAsia="宋体" w:cs="宋体"/>
          <w:color w:val="auto"/>
          <w:sz w:val="24"/>
          <w:highlight w:val="none"/>
          <w:u w:val="single"/>
        </w:rPr>
        <w:t>采购合同编号：</w:t>
      </w:r>
      <w:r>
        <w:rPr>
          <w:rFonts w:hint="eastAsia" w:ascii="宋体" w:hAnsi="宋体" w:eastAsia="宋体" w:cs="宋体"/>
          <w:color w:val="auto"/>
          <w:sz w:val="24"/>
          <w:highlight w:val="none"/>
          <w:u w:val="single"/>
        </w:rPr>
        <w:softHyphen/>
      </w:r>
      <w:r>
        <w:rPr>
          <w:rFonts w:hint="eastAsia" w:ascii="宋体" w:hAnsi="宋体" w:eastAsia="宋体" w:cs="宋体"/>
          <w:color w:val="auto"/>
          <w:sz w:val="24"/>
          <w:highlight w:val="none"/>
        </w:rPr>
        <w:t>）的约定，我单位对（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 政府采购项目成交供应商（</w:t>
      </w:r>
      <w:r>
        <w:rPr>
          <w:rFonts w:hint="eastAsia" w:ascii="宋体" w:hAnsi="宋体" w:eastAsia="宋体" w:cs="宋体"/>
          <w:color w:val="auto"/>
          <w:sz w:val="24"/>
          <w:highlight w:val="none"/>
          <w:u w:val="single"/>
        </w:rPr>
        <w:t xml:space="preserve"> 公司名称 </w:t>
      </w:r>
      <w:r>
        <w:rPr>
          <w:rFonts w:hint="eastAsia" w:ascii="宋体" w:hAnsi="宋体" w:eastAsia="宋体" w:cs="宋体"/>
          <w:color w:val="auto"/>
          <w:sz w:val="24"/>
          <w:highlight w:val="none"/>
        </w:rPr>
        <w:t>） 提供的货物（或工程、服务）进行了验收，验收情况如下：</w:t>
      </w:r>
    </w:p>
    <w:tbl>
      <w:tblPr>
        <w:tblStyle w:val="38"/>
        <w:tblW w:w="9177" w:type="dxa"/>
        <w:jc w:val="center"/>
        <w:tblLayout w:type="fixed"/>
        <w:tblCellMar>
          <w:top w:w="0" w:type="dxa"/>
          <w:left w:w="0" w:type="dxa"/>
          <w:bottom w:w="0" w:type="dxa"/>
          <w:right w:w="0" w:type="dxa"/>
        </w:tblCellMar>
      </w:tblPr>
      <w:tblGrid>
        <w:gridCol w:w="1159"/>
        <w:gridCol w:w="2093"/>
        <w:gridCol w:w="798"/>
        <w:gridCol w:w="102"/>
        <w:gridCol w:w="2002"/>
        <w:gridCol w:w="178"/>
        <w:gridCol w:w="685"/>
        <w:gridCol w:w="2160"/>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验收方式：</w:t>
            </w:r>
          </w:p>
        </w:tc>
        <w:tc>
          <w:tcPr>
            <w:tcW w:w="5925" w:type="dxa"/>
            <w:gridSpan w:val="6"/>
            <w:tcBorders>
              <w:top w:val="single" w:color="auto" w:sz="8" w:space="0"/>
              <w:left w:val="nil"/>
              <w:bottom w:val="single" w:color="auto" w:sz="8" w:space="0"/>
              <w:right w:val="single" w:color="auto" w:sz="8" w:space="0"/>
            </w:tcBorders>
            <w:vAlign w:val="center"/>
          </w:tcPr>
          <w:p>
            <w:pPr>
              <w:spacing w:before="100" w:beforeAutospacing="1" w:after="100" w:afterAutospacing="1" w:line="320" w:lineRule="atLeast"/>
              <w:ind w:firstLine="48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320" w:lineRule="atLeas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ascii="宋体" w:hAnsi="宋体" w:eastAsia="宋体" w:cs="宋体"/>
                <w:color w:val="auto"/>
                <w:szCs w:val="21"/>
                <w:highlight w:val="none"/>
              </w:rPr>
            </w:pPr>
            <w:r>
              <w:rPr>
                <w:rFonts w:hint="eastAsia" w:ascii="宋体" w:hAnsi="宋体" w:eastAsia="宋体" w:cs="宋体"/>
                <w:color w:val="auto"/>
                <w:szCs w:val="21"/>
                <w:highlight w:val="none"/>
              </w:rPr>
              <w:t>金 额</w:t>
            </w: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r>
      <w:tr>
        <w:tblPrEx>
          <w:tblCellMar>
            <w:top w:w="0" w:type="dxa"/>
            <w:left w:w="0" w:type="dxa"/>
            <w:bottom w:w="0" w:type="dxa"/>
            <w:right w:w="0" w:type="dxa"/>
          </w:tblCellMar>
        </w:tblPrEx>
        <w:trPr>
          <w:trHeight w:val="641" w:hRule="atLeast"/>
          <w:jc w:val="center"/>
        </w:trPr>
        <w:tc>
          <w:tcPr>
            <w:tcW w:w="9177" w:type="dxa"/>
            <w:gridSpan w:val="8"/>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rPr>
                <w:rFonts w:ascii="宋体" w:hAnsi="宋体" w:eastAsia="宋体" w:cs="宋体"/>
                <w:color w:val="auto"/>
                <w:szCs w:val="21"/>
                <w:highlight w:val="none"/>
              </w:rPr>
            </w:pPr>
            <w:r>
              <w:rPr>
                <w:rFonts w:hint="eastAsia" w:ascii="宋体" w:hAnsi="宋体" w:eastAsia="宋体" w:cs="宋体"/>
                <w:color w:val="auto"/>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实际供货日期</w:t>
            </w:r>
          </w:p>
        </w:tc>
        <w:tc>
          <w:tcPr>
            <w:tcW w:w="2891"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320" w:lineRule="atLeast"/>
              <w:ind w:firstLine="46"/>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合同交货验收日期</w:t>
            </w:r>
          </w:p>
        </w:tc>
        <w:tc>
          <w:tcPr>
            <w:tcW w:w="2845"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r>
      <w:tr>
        <w:tblPrEx>
          <w:tblCellMar>
            <w:top w:w="0" w:type="dxa"/>
            <w:left w:w="0" w:type="dxa"/>
            <w:bottom w:w="0" w:type="dxa"/>
            <w:right w:w="0" w:type="dxa"/>
          </w:tblCellMar>
        </w:tblPrEx>
        <w:trPr>
          <w:trHeight w:val="394"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891"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c>
          <w:tcPr>
            <w:tcW w:w="2845"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宋体" w:hAnsi="宋体" w:eastAsia="宋体" w:cs="宋体"/>
                <w:color w:val="auto"/>
                <w:szCs w:val="21"/>
                <w:highlight w:val="none"/>
              </w:rPr>
            </w:pPr>
          </w:p>
        </w:tc>
      </w:tr>
      <w:tr>
        <w:tblPrEx>
          <w:tblCellMar>
            <w:top w:w="0" w:type="dxa"/>
            <w:left w:w="0" w:type="dxa"/>
            <w:bottom w:w="0" w:type="dxa"/>
            <w:right w:w="0" w:type="dxa"/>
          </w:tblCellMar>
        </w:tblPrEx>
        <w:trPr>
          <w:trHeight w:val="693" w:hRule="atLeast"/>
          <w:jc w:val="center"/>
        </w:trPr>
        <w:tc>
          <w:tcPr>
            <w:tcW w:w="11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宋体" w:hAnsi="宋体" w:eastAsia="宋体" w:cs="宋体"/>
                <w:color w:val="auto"/>
                <w:szCs w:val="21"/>
                <w:highlight w:val="none"/>
              </w:rPr>
            </w:pPr>
            <w:r>
              <w:rPr>
                <w:rFonts w:hint="eastAsia" w:ascii="宋体" w:hAnsi="宋体" w:eastAsia="宋体" w:cs="宋体"/>
                <w:color w:val="auto"/>
                <w:szCs w:val="21"/>
                <w:highlight w:val="none"/>
              </w:rPr>
              <w:t>验收具体内容</w:t>
            </w:r>
          </w:p>
        </w:tc>
        <w:tc>
          <w:tcPr>
            <w:tcW w:w="8018"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宋体" w:hAnsi="宋体" w:eastAsia="宋体" w:cs="宋体"/>
                <w:color w:val="auto"/>
                <w:szCs w:val="21"/>
                <w:highlight w:val="none"/>
              </w:rPr>
            </w:pPr>
            <w:r>
              <w:rPr>
                <w:rFonts w:hint="eastAsia" w:ascii="宋体" w:hAnsi="宋体" w:eastAsia="宋体" w:cs="宋体"/>
                <w:color w:val="auto"/>
                <w:szCs w:val="21"/>
                <w:highlight w:val="none"/>
              </w:rPr>
              <w:t>（应按采购合同、采购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850" w:hRule="atLeast"/>
          <w:jc w:val="center"/>
        </w:trPr>
        <w:tc>
          <w:tcPr>
            <w:tcW w:w="115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宋体" w:hAnsi="宋体" w:eastAsia="宋体" w:cs="宋体"/>
                <w:color w:val="auto"/>
                <w:szCs w:val="21"/>
                <w:highlight w:val="none"/>
              </w:rPr>
            </w:pPr>
            <w:r>
              <w:rPr>
                <w:rFonts w:hint="eastAsia" w:ascii="宋体" w:hAnsi="宋体" w:eastAsia="宋体" w:cs="宋体"/>
                <w:color w:val="auto"/>
                <w:szCs w:val="21"/>
                <w:highlight w:val="none"/>
              </w:rPr>
              <w:t>验收小组意见</w:t>
            </w:r>
          </w:p>
        </w:tc>
        <w:tc>
          <w:tcPr>
            <w:tcW w:w="8018"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rPr>
                <w:rFonts w:ascii="宋体" w:hAnsi="宋体" w:eastAsia="宋体" w:cs="宋体"/>
                <w:color w:val="auto"/>
                <w:szCs w:val="21"/>
                <w:highlight w:val="none"/>
              </w:rPr>
            </w:pPr>
            <w:r>
              <w:rPr>
                <w:rFonts w:hint="eastAsia" w:ascii="宋体" w:hAnsi="宋体" w:eastAsia="宋体" w:cs="宋体"/>
                <w:color w:val="auto"/>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159" w:type="dxa"/>
            <w:vMerge w:val="continue"/>
            <w:tcBorders>
              <w:top w:val="nil"/>
              <w:left w:val="single" w:color="auto" w:sz="8" w:space="0"/>
              <w:bottom w:val="single" w:color="auto" w:sz="8" w:space="0"/>
              <w:right w:val="single" w:color="auto" w:sz="8" w:space="0"/>
            </w:tcBorders>
            <w:vAlign w:val="center"/>
          </w:tcPr>
          <w:p>
            <w:pPr>
              <w:rPr>
                <w:rFonts w:ascii="宋体" w:hAnsi="宋体" w:eastAsia="宋体" w:cs="宋体"/>
                <w:color w:val="auto"/>
                <w:szCs w:val="21"/>
                <w:highlight w:val="none"/>
              </w:rPr>
            </w:pPr>
          </w:p>
        </w:tc>
        <w:tc>
          <w:tcPr>
            <w:tcW w:w="8018"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rPr>
                <w:rFonts w:ascii="宋体" w:hAnsi="宋体" w:eastAsia="宋体" w:cs="宋体"/>
                <w:color w:val="auto"/>
                <w:szCs w:val="21"/>
                <w:highlight w:val="none"/>
              </w:rPr>
            </w:pPr>
            <w:r>
              <w:rPr>
                <w:rFonts w:hint="eastAsia" w:ascii="宋体" w:hAnsi="宋体" w:eastAsia="宋体" w:cs="宋体"/>
                <w:color w:val="auto"/>
                <w:szCs w:val="21"/>
                <w:highlight w:val="none"/>
              </w:rPr>
              <w:t>有异议的意见和说明理由：</w:t>
            </w:r>
          </w:p>
          <w:p>
            <w:pPr>
              <w:spacing w:before="100" w:beforeAutospacing="1" w:after="100" w:afterAutospacing="1" w:line="320" w:lineRule="atLeast"/>
              <w:rPr>
                <w:rFonts w:ascii="宋体" w:hAnsi="宋体" w:eastAsia="宋体" w:cs="宋体"/>
                <w:color w:val="auto"/>
                <w:szCs w:val="21"/>
                <w:highlight w:val="none"/>
              </w:rPr>
            </w:pPr>
            <w:r>
              <w:rPr>
                <w:rFonts w:hint="eastAsia" w:ascii="宋体" w:hAnsi="宋体" w:eastAsia="宋体" w:cs="宋体"/>
                <w:color w:val="auto"/>
                <w:szCs w:val="21"/>
                <w:highlight w:val="none"/>
              </w:rPr>
              <w:t>签字：</w:t>
            </w:r>
          </w:p>
        </w:tc>
      </w:tr>
      <w:tr>
        <w:tblPrEx>
          <w:tblCellMar>
            <w:top w:w="0" w:type="dxa"/>
            <w:left w:w="0" w:type="dxa"/>
            <w:bottom w:w="0" w:type="dxa"/>
            <w:right w:w="0" w:type="dxa"/>
          </w:tblCellMar>
        </w:tblPrEx>
        <w:trPr>
          <w:trHeight w:val="507" w:hRule="atLeast"/>
          <w:jc w:val="center"/>
        </w:trPr>
        <w:tc>
          <w:tcPr>
            <w:tcW w:w="9177"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宋体" w:hAnsi="宋体" w:eastAsia="宋体" w:cs="宋体"/>
                <w:color w:val="auto"/>
                <w:szCs w:val="21"/>
                <w:highlight w:val="none"/>
              </w:rPr>
            </w:pPr>
            <w:r>
              <w:rPr>
                <w:rFonts w:hint="eastAsia" w:ascii="宋体" w:hAnsi="宋体" w:eastAsia="宋体" w:cs="宋体"/>
                <w:color w:val="auto"/>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177"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宋体" w:hAnsi="宋体" w:eastAsia="宋体" w:cs="宋体"/>
                <w:color w:val="auto"/>
                <w:szCs w:val="21"/>
                <w:highlight w:val="none"/>
              </w:rPr>
            </w:pPr>
            <w:r>
              <w:rPr>
                <w:rFonts w:hint="eastAsia" w:ascii="宋体" w:hAnsi="宋体" w:eastAsia="宋体" w:cs="宋体"/>
                <w:color w:val="auto"/>
                <w:szCs w:val="21"/>
                <w:highlight w:val="none"/>
              </w:rPr>
              <w:t>监督人员或其他相关人员签字：</w:t>
            </w:r>
          </w:p>
          <w:p>
            <w:pPr>
              <w:spacing w:before="100" w:beforeAutospacing="1" w:after="100" w:afterAutospacing="1" w:line="320" w:lineRule="atLeast"/>
              <w:ind w:firstLine="74"/>
              <w:rPr>
                <w:rFonts w:ascii="宋体" w:hAnsi="宋体" w:eastAsia="宋体" w:cs="宋体"/>
                <w:color w:val="auto"/>
                <w:szCs w:val="21"/>
                <w:highlight w:val="none"/>
              </w:rPr>
            </w:pPr>
            <w:r>
              <w:rPr>
                <w:rFonts w:hint="eastAsia" w:ascii="宋体" w:hAnsi="宋体" w:eastAsia="宋体" w:cs="宋体"/>
                <w:color w:val="auto"/>
                <w:szCs w:val="21"/>
                <w:highlight w:val="none"/>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rPr>
                <w:rFonts w:ascii="宋体" w:hAnsi="宋体" w:eastAsia="宋体" w:cs="宋体"/>
                <w:color w:val="auto"/>
                <w:szCs w:val="21"/>
                <w:highlight w:val="none"/>
              </w:rPr>
            </w:pPr>
            <w:r>
              <w:rPr>
                <w:rFonts w:hint="eastAsia" w:ascii="宋体" w:hAnsi="宋体" w:eastAsia="宋体" w:cs="宋体"/>
                <w:color w:val="auto"/>
                <w:szCs w:val="21"/>
                <w:highlight w:val="none"/>
              </w:rPr>
              <w:t>中标或者成交供应商负责人签字或盖章：</w:t>
            </w:r>
          </w:p>
          <w:p>
            <w:pPr>
              <w:spacing w:before="100" w:beforeAutospacing="1" w:after="100" w:afterAutospacing="1" w:line="320" w:lineRule="atLeast"/>
              <w:rPr>
                <w:rFonts w:ascii="宋体" w:hAnsi="宋体" w:eastAsia="宋体" w:cs="宋体"/>
                <w:color w:val="auto"/>
                <w:szCs w:val="21"/>
                <w:highlight w:val="none"/>
              </w:rPr>
            </w:pPr>
            <w:r>
              <w:rPr>
                <w:rFonts w:hint="eastAsia" w:ascii="宋体" w:hAnsi="宋体" w:eastAsia="宋体" w:cs="宋体"/>
                <w:color w:val="auto"/>
                <w:szCs w:val="21"/>
                <w:highlight w:val="none"/>
              </w:rPr>
              <w:t>联系电话： 年 月 日</w:t>
            </w:r>
          </w:p>
        </w:tc>
        <w:tc>
          <w:tcPr>
            <w:tcW w:w="5025"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ind w:firstLine="44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采购人或受托机构的意见（盖章）：</w:t>
            </w:r>
          </w:p>
          <w:p>
            <w:pPr>
              <w:spacing w:before="100" w:beforeAutospacing="1" w:after="100" w:afterAutospacing="1" w:line="320" w:lineRule="atLeast"/>
              <w:ind w:firstLine="44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联系电话： 年 月 日</w:t>
            </w:r>
          </w:p>
        </w:tc>
      </w:tr>
    </w:tbl>
    <w:p>
      <w:pPr>
        <w:rPr>
          <w:rFonts w:ascii="宋体" w:hAnsi="宋体" w:eastAsia="宋体"/>
          <w:color w:val="auto"/>
          <w:sz w:val="28"/>
          <w:szCs w:val="28"/>
          <w:highlight w:val="none"/>
        </w:rPr>
      </w:pPr>
      <w:r>
        <w:rPr>
          <w:rFonts w:hint="eastAsia" w:ascii="宋体" w:hAnsi="宋体" w:eastAsia="宋体"/>
          <w:color w:val="auto"/>
          <w:highlight w:val="none"/>
        </w:rPr>
        <w:br w:type="page"/>
      </w:r>
      <w:r>
        <w:rPr>
          <w:rFonts w:hint="eastAsia" w:ascii="宋体" w:hAnsi="宋体" w:eastAsia="宋体"/>
          <w:color w:val="auto"/>
          <w:sz w:val="28"/>
          <w:szCs w:val="28"/>
          <w:highlight w:val="none"/>
        </w:rPr>
        <w:t>附件</w:t>
      </w:r>
      <w:r>
        <w:rPr>
          <w:rFonts w:ascii="宋体" w:hAnsi="宋体" w:eastAsia="宋体"/>
          <w:color w:val="auto"/>
          <w:sz w:val="28"/>
          <w:szCs w:val="28"/>
          <w:highlight w:val="none"/>
        </w:rPr>
        <w:t>3</w:t>
      </w:r>
      <w:r>
        <w:rPr>
          <w:rFonts w:hint="eastAsia" w:ascii="宋体" w:hAnsi="宋体" w:eastAsia="宋体"/>
          <w:color w:val="auto"/>
          <w:sz w:val="28"/>
          <w:szCs w:val="28"/>
          <w:highlight w:val="none"/>
        </w:rPr>
        <w:t>：</w:t>
      </w:r>
    </w:p>
    <w:p>
      <w:pPr>
        <w:jc w:val="center"/>
        <w:rPr>
          <w:rFonts w:ascii="宋体" w:hAnsi="宋体" w:eastAsia="宋体"/>
          <w:color w:val="auto"/>
          <w:sz w:val="32"/>
          <w:szCs w:val="32"/>
          <w:highlight w:val="none"/>
        </w:rPr>
      </w:pPr>
      <w:r>
        <w:rPr>
          <w:rFonts w:hint="eastAsia" w:ascii="宋体" w:hAnsi="宋体" w:eastAsia="宋体"/>
          <w:color w:val="auto"/>
          <w:sz w:val="32"/>
          <w:szCs w:val="32"/>
          <w:highlight w:val="none"/>
        </w:rPr>
        <w:t>政府采购项目履约保证金退付意见书</w:t>
      </w:r>
    </w:p>
    <w:tbl>
      <w:tblPr>
        <w:tblStyle w:val="38"/>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供</w:t>
            </w:r>
          </w:p>
          <w:p>
            <w:pPr>
              <w:jc w:val="center"/>
              <w:rPr>
                <w:rFonts w:ascii="宋体" w:hAnsi="宋体" w:eastAsia="宋体"/>
                <w:color w:val="auto"/>
                <w:szCs w:val="21"/>
                <w:highlight w:val="none"/>
              </w:rPr>
            </w:pPr>
            <w:r>
              <w:rPr>
                <w:rFonts w:hint="eastAsia" w:ascii="宋体" w:hAnsi="宋体" w:eastAsia="宋体"/>
                <w:color w:val="auto"/>
                <w:szCs w:val="21"/>
                <w:highlight w:val="none"/>
              </w:rPr>
              <w:t>应</w:t>
            </w:r>
          </w:p>
          <w:p>
            <w:pPr>
              <w:jc w:val="center"/>
              <w:rPr>
                <w:rFonts w:ascii="宋体" w:hAnsi="宋体" w:eastAsia="宋体"/>
                <w:color w:val="auto"/>
                <w:szCs w:val="21"/>
                <w:highlight w:val="none"/>
              </w:rPr>
            </w:pPr>
            <w:r>
              <w:rPr>
                <w:rFonts w:hint="eastAsia" w:ascii="宋体" w:hAnsi="宋体" w:eastAsia="宋体"/>
                <w:color w:val="auto"/>
                <w:szCs w:val="21"/>
                <w:highlight w:val="none"/>
              </w:rPr>
              <w:t>商</w:t>
            </w:r>
          </w:p>
          <w:p>
            <w:pPr>
              <w:jc w:val="center"/>
              <w:rPr>
                <w:rFonts w:ascii="宋体" w:hAnsi="宋体" w:eastAsia="宋体"/>
                <w:color w:val="auto"/>
                <w:szCs w:val="21"/>
                <w:highlight w:val="none"/>
              </w:rPr>
            </w:pPr>
            <w:r>
              <w:rPr>
                <w:rFonts w:hint="eastAsia" w:ascii="宋体" w:hAnsi="宋体" w:eastAsia="宋体"/>
                <w:color w:val="auto"/>
                <w:szCs w:val="21"/>
                <w:highlight w:val="none"/>
              </w:rPr>
              <w:t>申</w:t>
            </w:r>
          </w:p>
          <w:p>
            <w:pPr>
              <w:jc w:val="center"/>
              <w:rPr>
                <w:rFonts w:ascii="宋体" w:hAnsi="宋体" w:eastAsia="宋体"/>
                <w:color w:val="auto"/>
                <w:szCs w:val="21"/>
                <w:highlight w:val="none"/>
              </w:rPr>
            </w:pPr>
            <w:r>
              <w:rPr>
                <w:rFonts w:hint="eastAsia" w:ascii="宋体" w:hAnsi="宋体" w:eastAsia="宋体"/>
                <w:color w:val="auto"/>
                <w:szCs w:val="21"/>
                <w:highlight w:val="none"/>
              </w:rPr>
              <w:t>请</w:t>
            </w:r>
          </w:p>
        </w:tc>
        <w:tc>
          <w:tcPr>
            <w:tcW w:w="86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highlight w:val="none"/>
              </w:rPr>
            </w:pPr>
            <w:r>
              <w:rPr>
                <w:rFonts w:hint="eastAsia" w:ascii="宋体" w:hAnsi="宋体" w:eastAsia="宋体"/>
                <w:color w:val="auto"/>
                <w:szCs w:val="21"/>
                <w:highlight w:val="none"/>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highlight w:val="none"/>
              </w:rPr>
            </w:pPr>
          </w:p>
        </w:tc>
        <w:tc>
          <w:tcPr>
            <w:tcW w:w="86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highlight w:val="none"/>
              </w:rPr>
            </w:pPr>
            <w:r>
              <w:rPr>
                <w:rFonts w:hint="eastAsia" w:ascii="宋体" w:hAnsi="宋体" w:eastAsia="宋体"/>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0"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auto"/>
                <w:szCs w:val="21"/>
                <w:highlight w:val="none"/>
              </w:rPr>
            </w:pPr>
          </w:p>
        </w:tc>
        <w:tc>
          <w:tcPr>
            <w:tcW w:w="8655" w:type="dxa"/>
            <w:tcBorders>
              <w:top w:val="single" w:color="auto" w:sz="4" w:space="0"/>
              <w:left w:val="single" w:color="auto" w:sz="4" w:space="0"/>
              <w:bottom w:val="single" w:color="auto" w:sz="4" w:space="0"/>
              <w:right w:val="single" w:color="auto" w:sz="4" w:space="0"/>
            </w:tcBorders>
          </w:tcPr>
          <w:p>
            <w:pPr>
              <w:spacing w:after="0"/>
              <w:rPr>
                <w:rFonts w:ascii="宋体" w:hAnsi="宋体" w:eastAsia="宋体"/>
                <w:color w:val="auto"/>
                <w:szCs w:val="21"/>
                <w:highlight w:val="none"/>
              </w:rPr>
            </w:pPr>
            <w:r>
              <w:rPr>
                <w:rFonts w:hint="eastAsia" w:ascii="宋体" w:hAnsi="宋体" w:eastAsia="宋体"/>
                <w:color w:val="auto"/>
                <w:szCs w:val="21"/>
                <w:highlight w:val="none"/>
              </w:rPr>
              <w:t xml:space="preserve">  该项目已于年月日验收并交付使用。根据合同规定，该项目的履约保证金期限于年月日已满，请将履约保证金（大写）￥（小写）退付到达以下账户。</w:t>
            </w:r>
          </w:p>
          <w:p>
            <w:pPr>
              <w:spacing w:after="0" w:line="400" w:lineRule="exact"/>
              <w:ind w:firstLine="705"/>
              <w:rPr>
                <w:rFonts w:ascii="宋体" w:hAnsi="宋体" w:eastAsia="宋体"/>
                <w:color w:val="auto"/>
                <w:szCs w:val="21"/>
                <w:highlight w:val="none"/>
              </w:rPr>
            </w:pPr>
            <w:r>
              <w:rPr>
                <w:rFonts w:hint="eastAsia" w:ascii="宋体" w:hAnsi="宋体" w:eastAsia="宋体"/>
                <w:color w:val="auto"/>
                <w:szCs w:val="21"/>
                <w:highlight w:val="none"/>
              </w:rPr>
              <w:t>单位名称：</w:t>
            </w:r>
          </w:p>
          <w:p>
            <w:pPr>
              <w:spacing w:after="0" w:line="400" w:lineRule="exact"/>
              <w:ind w:firstLine="705"/>
              <w:rPr>
                <w:rFonts w:ascii="宋体" w:hAnsi="宋体" w:eastAsia="宋体"/>
                <w:color w:val="auto"/>
                <w:szCs w:val="21"/>
                <w:highlight w:val="none"/>
              </w:rPr>
            </w:pPr>
            <w:r>
              <w:rPr>
                <w:rFonts w:hint="eastAsia" w:ascii="宋体" w:hAnsi="宋体" w:eastAsia="宋体"/>
                <w:color w:val="auto"/>
                <w:szCs w:val="21"/>
                <w:highlight w:val="none"/>
              </w:rPr>
              <w:t>开户银行：</w:t>
            </w:r>
          </w:p>
          <w:p>
            <w:pPr>
              <w:spacing w:after="0" w:line="400" w:lineRule="exact"/>
              <w:ind w:firstLine="705"/>
              <w:rPr>
                <w:rFonts w:ascii="宋体" w:hAnsi="宋体" w:eastAsia="宋体"/>
                <w:color w:val="auto"/>
                <w:szCs w:val="21"/>
                <w:highlight w:val="none"/>
              </w:rPr>
            </w:pPr>
            <w:r>
              <w:rPr>
                <w:rFonts w:hint="eastAsia" w:ascii="宋体" w:hAnsi="宋体" w:eastAsia="宋体"/>
                <w:color w:val="auto"/>
                <w:szCs w:val="21"/>
                <w:highlight w:val="none"/>
              </w:rPr>
              <w:t>账   号：</w:t>
            </w:r>
          </w:p>
          <w:p>
            <w:pPr>
              <w:spacing w:after="0" w:line="400" w:lineRule="exact"/>
              <w:ind w:firstLine="660" w:firstLineChars="300"/>
              <w:rPr>
                <w:rFonts w:ascii="宋体" w:hAnsi="宋体" w:eastAsia="宋体"/>
                <w:color w:val="auto"/>
                <w:szCs w:val="21"/>
                <w:highlight w:val="none"/>
              </w:rPr>
            </w:pPr>
            <w:r>
              <w:rPr>
                <w:rFonts w:hint="eastAsia" w:ascii="宋体" w:hAnsi="宋体" w:eastAsia="宋体"/>
                <w:color w:val="auto"/>
                <w:szCs w:val="21"/>
                <w:highlight w:val="none"/>
              </w:rPr>
              <w:t>联系人及电话：</w:t>
            </w:r>
          </w:p>
          <w:p>
            <w:pPr>
              <w:spacing w:after="0" w:line="520" w:lineRule="exact"/>
              <w:jc w:val="center"/>
              <w:rPr>
                <w:rFonts w:ascii="宋体" w:hAnsi="宋体" w:eastAsia="宋体"/>
                <w:color w:val="auto"/>
                <w:szCs w:val="21"/>
                <w:highlight w:val="none"/>
              </w:rPr>
            </w:pPr>
            <w:r>
              <w:rPr>
                <w:rFonts w:hint="eastAsia" w:ascii="宋体" w:hAnsi="宋体" w:eastAsia="宋体"/>
                <w:color w:val="auto"/>
                <w:szCs w:val="21"/>
                <w:highlight w:val="none"/>
              </w:rPr>
              <w:t xml:space="preserve">                                     供应商签章：</w:t>
            </w:r>
          </w:p>
          <w:p>
            <w:pPr>
              <w:spacing w:after="0" w:line="520" w:lineRule="exact"/>
              <w:jc w:val="center"/>
              <w:rPr>
                <w:rFonts w:ascii="宋体" w:hAnsi="宋体" w:eastAsia="宋体"/>
                <w:color w:val="auto"/>
                <w:szCs w:val="21"/>
                <w:highlight w:val="none"/>
              </w:rPr>
            </w:pPr>
            <w:r>
              <w:rPr>
                <w:rFonts w:hint="eastAsia" w:ascii="宋体" w:hAnsi="宋体" w:eastAsia="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宋体" w:hAnsi="宋体" w:eastAsia="宋体"/>
                <w:color w:val="auto"/>
                <w:szCs w:val="21"/>
                <w:highlight w:val="none"/>
              </w:rPr>
            </w:pPr>
            <w:r>
              <w:rPr>
                <w:rFonts w:hint="eastAsia" w:ascii="宋体" w:hAnsi="宋体" w:eastAsia="宋体"/>
                <w:color w:val="auto"/>
                <w:szCs w:val="21"/>
                <w:highlight w:val="none"/>
              </w:rPr>
              <w:t>采</w:t>
            </w:r>
          </w:p>
          <w:p>
            <w:pPr>
              <w:spacing w:after="120"/>
              <w:jc w:val="center"/>
              <w:rPr>
                <w:rFonts w:ascii="宋体" w:hAnsi="宋体" w:eastAsia="宋体"/>
                <w:color w:val="auto"/>
                <w:szCs w:val="21"/>
                <w:highlight w:val="none"/>
              </w:rPr>
            </w:pPr>
            <w:r>
              <w:rPr>
                <w:rFonts w:hint="eastAsia" w:ascii="宋体" w:hAnsi="宋体" w:eastAsia="宋体"/>
                <w:color w:val="auto"/>
                <w:szCs w:val="21"/>
                <w:highlight w:val="none"/>
              </w:rPr>
              <w:t>购</w:t>
            </w:r>
          </w:p>
          <w:p>
            <w:pPr>
              <w:spacing w:after="120"/>
              <w:jc w:val="center"/>
              <w:rPr>
                <w:rFonts w:ascii="宋体" w:hAnsi="宋体" w:eastAsia="宋体"/>
                <w:color w:val="auto"/>
                <w:szCs w:val="21"/>
                <w:highlight w:val="none"/>
              </w:rPr>
            </w:pPr>
            <w:r>
              <w:rPr>
                <w:rFonts w:hint="eastAsia" w:ascii="宋体" w:hAnsi="宋体" w:eastAsia="宋体"/>
                <w:color w:val="auto"/>
                <w:szCs w:val="21"/>
                <w:highlight w:val="none"/>
              </w:rPr>
              <w:t>人</w:t>
            </w:r>
          </w:p>
          <w:p>
            <w:pPr>
              <w:spacing w:after="120"/>
              <w:jc w:val="center"/>
              <w:rPr>
                <w:rFonts w:ascii="宋体" w:hAnsi="宋体" w:eastAsia="宋体"/>
                <w:color w:val="auto"/>
                <w:szCs w:val="21"/>
                <w:highlight w:val="none"/>
              </w:rPr>
            </w:pPr>
            <w:r>
              <w:rPr>
                <w:rFonts w:hint="eastAsia" w:ascii="宋体" w:hAnsi="宋体" w:eastAsia="宋体"/>
                <w:color w:val="auto"/>
                <w:szCs w:val="21"/>
                <w:highlight w:val="none"/>
              </w:rPr>
              <w:t>意</w:t>
            </w:r>
          </w:p>
          <w:p>
            <w:pPr>
              <w:spacing w:after="120"/>
              <w:jc w:val="center"/>
              <w:rPr>
                <w:rFonts w:ascii="宋体" w:hAnsi="宋体" w:eastAsia="宋体"/>
                <w:color w:val="auto"/>
                <w:szCs w:val="21"/>
                <w:highlight w:val="none"/>
              </w:rPr>
            </w:pPr>
            <w:r>
              <w:rPr>
                <w:rFonts w:hint="eastAsia" w:ascii="宋体" w:hAnsi="宋体" w:eastAsia="宋体"/>
                <w:color w:val="auto"/>
                <w:szCs w:val="21"/>
                <w:highlight w:val="none"/>
              </w:rPr>
              <w:t>见</w:t>
            </w:r>
          </w:p>
        </w:tc>
        <w:tc>
          <w:tcPr>
            <w:tcW w:w="8655" w:type="dxa"/>
            <w:tcBorders>
              <w:top w:val="single" w:color="auto" w:sz="4" w:space="0"/>
              <w:left w:val="single" w:color="auto" w:sz="4" w:space="0"/>
              <w:bottom w:val="single" w:color="auto" w:sz="4" w:space="0"/>
              <w:right w:val="single" w:color="auto" w:sz="4" w:space="0"/>
            </w:tcBorders>
          </w:tcPr>
          <w:p>
            <w:pPr>
              <w:spacing w:after="120"/>
              <w:rPr>
                <w:rFonts w:ascii="宋体" w:hAnsi="宋体" w:eastAsia="宋体"/>
                <w:color w:val="auto"/>
                <w:szCs w:val="21"/>
                <w:highlight w:val="none"/>
              </w:rPr>
            </w:pPr>
            <w:r>
              <w:rPr>
                <w:rFonts w:hint="eastAsia" w:ascii="宋体" w:hAnsi="宋体" w:eastAsia="宋体"/>
                <w:color w:val="auto"/>
                <w:szCs w:val="21"/>
                <w:highlight w:val="none"/>
              </w:rPr>
              <w:t>退付意见：是否同意退付履约保证金及退付金额：</w:t>
            </w:r>
          </w:p>
          <w:p>
            <w:pPr>
              <w:spacing w:after="120"/>
              <w:rPr>
                <w:rFonts w:ascii="宋体" w:hAnsi="宋体" w:eastAsia="宋体"/>
                <w:color w:val="auto"/>
                <w:szCs w:val="21"/>
                <w:highlight w:val="none"/>
              </w:rPr>
            </w:pPr>
          </w:p>
          <w:p>
            <w:pPr>
              <w:spacing w:after="120" w:line="520" w:lineRule="exact"/>
              <w:rPr>
                <w:rFonts w:ascii="宋体" w:hAnsi="宋体" w:eastAsia="宋体"/>
                <w:color w:val="auto"/>
                <w:szCs w:val="21"/>
                <w:highlight w:val="none"/>
              </w:rPr>
            </w:pPr>
            <w:r>
              <w:rPr>
                <w:rFonts w:hint="eastAsia" w:ascii="宋体" w:hAnsi="宋体" w:eastAsia="宋体"/>
                <w:color w:val="auto"/>
                <w:szCs w:val="21"/>
                <w:highlight w:val="none"/>
              </w:rPr>
              <w:t>联系人及电话：                                 采购人签章</w:t>
            </w:r>
          </w:p>
          <w:p>
            <w:pPr>
              <w:spacing w:after="120" w:line="520" w:lineRule="exact"/>
              <w:jc w:val="center"/>
              <w:rPr>
                <w:rFonts w:ascii="宋体" w:hAnsi="宋体" w:eastAsia="宋体"/>
                <w:color w:val="auto"/>
                <w:szCs w:val="21"/>
                <w:highlight w:val="none"/>
              </w:rPr>
            </w:pPr>
            <w:r>
              <w:rPr>
                <w:rFonts w:hint="eastAsia" w:ascii="宋体" w:hAnsi="宋体" w:eastAsia="宋体"/>
                <w:color w:val="auto"/>
                <w:szCs w:val="21"/>
                <w:highlight w:val="none"/>
              </w:rPr>
              <w:t xml:space="preserve">                                        年    月     日</w:t>
            </w:r>
          </w:p>
        </w:tc>
      </w:tr>
    </w:tbl>
    <w:p>
      <w:pPr>
        <w:spacing w:line="500" w:lineRule="exact"/>
        <w:rPr>
          <w:rFonts w:ascii="宋体" w:hAnsi="宋体" w:eastAsia="宋体"/>
          <w:color w:val="auto"/>
          <w:highlight w:val="none"/>
        </w:rPr>
      </w:pPr>
      <w:r>
        <w:rPr>
          <w:rFonts w:hint="eastAsia" w:ascii="宋体" w:hAnsi="宋体" w:eastAsia="宋体"/>
          <w:b/>
          <w:bCs/>
          <w:color w:val="auto"/>
          <w:szCs w:val="21"/>
          <w:highlight w:val="none"/>
        </w:rPr>
        <w:t>注：供应商凭经采购人审批的退付意见书到保证金收取单位办理履约保证金退付事宜。</w:t>
      </w:r>
    </w:p>
    <w:p>
      <w:pPr>
        <w:adjustRightInd/>
        <w:snapToGrid/>
        <w:spacing w:line="220" w:lineRule="atLeast"/>
        <w:rPr>
          <w:rFonts w:ascii="宋体" w:hAnsi="宋体" w:eastAsia="宋体" w:cs="Times New Roman"/>
          <w:color w:val="auto"/>
          <w:sz w:val="36"/>
          <w:szCs w:val="20"/>
          <w:highlight w:val="none"/>
        </w:rPr>
      </w:pPr>
      <w:bookmarkStart w:id="92" w:name="_Toc246095475"/>
      <w:bookmarkStart w:id="93" w:name="_Toc246095537"/>
      <w:bookmarkStart w:id="94" w:name="_Toc246094931"/>
      <w:r>
        <w:rPr>
          <w:rFonts w:ascii="宋体" w:hAnsi="宋体" w:eastAsia="宋体"/>
          <w:color w:val="auto"/>
          <w:highlight w:val="none"/>
        </w:rPr>
        <w:br w:type="page"/>
      </w:r>
    </w:p>
    <w:p>
      <w:pPr>
        <w:pStyle w:val="3"/>
        <w:rPr>
          <w:rFonts w:ascii="宋体" w:hAnsi="宋体" w:eastAsia="宋体"/>
          <w:color w:val="auto"/>
          <w:highlight w:val="none"/>
        </w:rPr>
      </w:pPr>
    </w:p>
    <w:p>
      <w:pPr>
        <w:pStyle w:val="3"/>
        <w:rPr>
          <w:rFonts w:ascii="宋体" w:hAnsi="宋体" w:eastAsia="宋体"/>
          <w:color w:val="auto"/>
          <w:highlight w:val="none"/>
        </w:rPr>
      </w:pPr>
      <w:bookmarkStart w:id="95" w:name="_Toc10098"/>
      <w:r>
        <w:rPr>
          <w:rFonts w:hint="eastAsia" w:ascii="宋体" w:hAnsi="宋体" w:eastAsia="宋体"/>
          <w:color w:val="auto"/>
          <w:highlight w:val="none"/>
        </w:rPr>
        <w:t>第六章  响应文件格式</w:t>
      </w:r>
      <w:bookmarkEnd w:id="92"/>
      <w:bookmarkEnd w:id="93"/>
      <w:bookmarkEnd w:id="94"/>
      <w:bookmarkEnd w:id="95"/>
    </w:p>
    <w:p>
      <w:pPr>
        <w:rPr>
          <w:rFonts w:ascii="宋体" w:hAnsi="宋体" w:eastAsia="宋体"/>
          <w:color w:val="auto"/>
          <w:highlight w:val="none"/>
        </w:rPr>
      </w:pPr>
    </w:p>
    <w:p>
      <w:pPr>
        <w:rPr>
          <w:rFonts w:ascii="宋体" w:hAnsi="宋体" w:eastAsia="宋体"/>
          <w:color w:val="auto"/>
          <w:highlight w:val="none"/>
        </w:rPr>
      </w:pPr>
    </w:p>
    <w:p>
      <w:pPr>
        <w:jc w:val="center"/>
        <w:rPr>
          <w:rFonts w:ascii="宋体" w:hAnsi="宋体" w:eastAsia="宋体"/>
          <w:color w:val="auto"/>
          <w:highlight w:val="none"/>
        </w:rPr>
      </w:pPr>
      <w:r>
        <w:rPr>
          <w:rFonts w:hint="eastAsia" w:ascii="宋体" w:hAnsi="宋体" w:eastAsia="宋体"/>
          <w:color w:val="auto"/>
          <w:highlight w:val="none"/>
        </w:rPr>
        <w:t>（用于响应文件封面）</w:t>
      </w:r>
    </w:p>
    <w:p>
      <w:pPr>
        <w:rPr>
          <w:rFonts w:ascii="宋体" w:hAnsi="宋体" w:eastAsia="宋体"/>
          <w:color w:val="auto"/>
          <w:highlight w:val="none"/>
        </w:rPr>
      </w:pPr>
    </w:p>
    <w:p>
      <w:pPr>
        <w:jc w:val="center"/>
        <w:rPr>
          <w:rFonts w:ascii="宋体" w:hAnsi="宋体" w:eastAsia="宋体"/>
          <w:color w:val="auto"/>
          <w:sz w:val="84"/>
          <w:szCs w:val="84"/>
          <w:highlight w:val="none"/>
        </w:rPr>
      </w:pPr>
      <w:r>
        <w:rPr>
          <w:rFonts w:hint="eastAsia" w:ascii="宋体" w:hAnsi="宋体" w:eastAsia="宋体"/>
          <w:color w:val="auto"/>
          <w:sz w:val="84"/>
          <w:szCs w:val="84"/>
          <w:highlight w:val="none"/>
        </w:rPr>
        <w:t>响应文件</w:t>
      </w:r>
    </w:p>
    <w:p>
      <w:pPr>
        <w:rPr>
          <w:rFonts w:ascii="宋体" w:hAnsi="宋体" w:eastAsia="宋体"/>
          <w:color w:val="auto"/>
          <w:highlight w:val="none"/>
        </w:rPr>
      </w:pPr>
    </w:p>
    <w:p>
      <w:pPr>
        <w:jc w:val="center"/>
        <w:rPr>
          <w:rFonts w:ascii="宋体" w:hAnsi="宋体" w:eastAsia="宋体"/>
          <w:color w:val="auto"/>
          <w:sz w:val="30"/>
          <w:szCs w:val="30"/>
          <w:highlight w:val="none"/>
        </w:rPr>
      </w:pPr>
      <w:r>
        <w:rPr>
          <w:rFonts w:hint="eastAsia" w:ascii="宋体" w:hAnsi="宋体" w:eastAsia="宋体"/>
          <w:color w:val="auto"/>
          <w:sz w:val="30"/>
          <w:szCs w:val="30"/>
          <w:highlight w:val="none"/>
        </w:rPr>
        <w:t>（正/副本）</w:t>
      </w:r>
    </w:p>
    <w:p>
      <w:pPr>
        <w:rPr>
          <w:rFonts w:ascii="宋体" w:hAnsi="宋体" w:eastAsia="宋体"/>
          <w:color w:val="auto"/>
          <w:highlight w:val="none"/>
        </w:rPr>
      </w:pPr>
    </w:p>
    <w:p>
      <w:pPr>
        <w:rPr>
          <w:rFonts w:ascii="宋体" w:hAnsi="宋体" w:eastAsia="宋体"/>
          <w:color w:val="auto"/>
          <w:sz w:val="28"/>
          <w:szCs w:val="28"/>
          <w:highlight w:val="none"/>
        </w:rPr>
      </w:pPr>
    </w:p>
    <w:p>
      <w:pPr>
        <w:spacing w:line="600" w:lineRule="exact"/>
        <w:ind w:firstLine="1400" w:firstLineChars="500"/>
        <w:rPr>
          <w:rFonts w:ascii="宋体" w:hAnsi="宋体" w:eastAsia="宋体"/>
          <w:color w:val="auto"/>
          <w:sz w:val="28"/>
          <w:szCs w:val="28"/>
          <w:highlight w:val="none"/>
          <w:u w:val="single"/>
        </w:rPr>
      </w:pPr>
      <w:r>
        <w:rPr>
          <w:rFonts w:hint="eastAsia" w:ascii="宋体" w:hAnsi="宋体" w:eastAsia="宋体"/>
          <w:color w:val="auto"/>
          <w:sz w:val="28"/>
          <w:szCs w:val="28"/>
          <w:highlight w:val="none"/>
        </w:rPr>
        <w:t>项目名称：</w:t>
      </w:r>
      <w:r>
        <w:rPr>
          <w:rFonts w:hint="eastAsia" w:ascii="宋体" w:hAnsi="宋体" w:eastAsia="宋体"/>
          <w:color w:val="auto"/>
          <w:sz w:val="28"/>
          <w:szCs w:val="28"/>
          <w:highlight w:val="none"/>
          <w:u w:val="single"/>
        </w:rPr>
        <w:t xml:space="preserve">    （项目名称）   </w:t>
      </w:r>
    </w:p>
    <w:p>
      <w:pPr>
        <w:spacing w:line="600" w:lineRule="exact"/>
        <w:ind w:firstLine="1400" w:firstLineChars="500"/>
        <w:rPr>
          <w:rFonts w:ascii="宋体" w:hAnsi="宋体" w:eastAsia="宋体"/>
          <w:color w:val="auto"/>
          <w:sz w:val="28"/>
          <w:szCs w:val="28"/>
          <w:highlight w:val="none"/>
          <w:u w:val="single"/>
        </w:rPr>
      </w:pPr>
      <w:r>
        <w:rPr>
          <w:rFonts w:hint="eastAsia" w:ascii="宋体" w:hAnsi="宋体" w:eastAsia="宋体"/>
          <w:color w:val="auto"/>
          <w:sz w:val="28"/>
          <w:szCs w:val="28"/>
          <w:highlight w:val="none"/>
        </w:rPr>
        <w:t>采购编号：</w:t>
      </w:r>
    </w:p>
    <w:p>
      <w:pPr>
        <w:spacing w:line="600" w:lineRule="exact"/>
        <w:ind w:firstLine="1400" w:firstLineChars="500"/>
        <w:rPr>
          <w:rFonts w:ascii="宋体" w:hAnsi="宋体" w:eastAsia="宋体"/>
          <w:color w:val="auto"/>
          <w:sz w:val="28"/>
          <w:szCs w:val="28"/>
          <w:highlight w:val="none"/>
        </w:rPr>
      </w:pPr>
      <w:r>
        <w:rPr>
          <w:rFonts w:hint="eastAsia" w:ascii="宋体" w:hAnsi="宋体" w:eastAsia="宋体"/>
          <w:color w:val="auto"/>
          <w:sz w:val="28"/>
          <w:szCs w:val="28"/>
          <w:highlight w:val="none"/>
        </w:rPr>
        <w:t>响应文件内容：</w:t>
      </w:r>
      <w:r>
        <w:rPr>
          <w:rFonts w:hint="eastAsia" w:ascii="宋体" w:hAnsi="宋体" w:eastAsia="宋体"/>
          <w:color w:val="auto"/>
          <w:sz w:val="28"/>
          <w:szCs w:val="28"/>
          <w:highlight w:val="none"/>
          <w:u w:val="single"/>
        </w:rPr>
        <w:t xml:space="preserve">        价格文件/商务技术文件    </w:t>
      </w:r>
    </w:p>
    <w:p>
      <w:pPr>
        <w:spacing w:line="600" w:lineRule="exact"/>
        <w:ind w:firstLine="1400" w:firstLineChars="500"/>
        <w:rPr>
          <w:rFonts w:ascii="宋体" w:hAnsi="宋体" w:eastAsia="宋体"/>
          <w:color w:val="auto"/>
          <w:sz w:val="28"/>
          <w:szCs w:val="28"/>
          <w:highlight w:val="none"/>
        </w:rPr>
      </w:pPr>
      <w:r>
        <w:rPr>
          <w:rFonts w:hint="eastAsia" w:ascii="宋体" w:hAnsi="宋体" w:eastAsia="宋体"/>
          <w:color w:val="auto"/>
          <w:sz w:val="28"/>
          <w:szCs w:val="28"/>
          <w:highlight w:val="none"/>
        </w:rPr>
        <w:t>供应商名称：</w:t>
      </w:r>
      <w:r>
        <w:rPr>
          <w:rFonts w:hint="eastAsia" w:ascii="宋体" w:hAnsi="宋体" w:eastAsia="宋体"/>
          <w:color w:val="auto"/>
          <w:sz w:val="28"/>
          <w:szCs w:val="28"/>
          <w:highlight w:val="none"/>
          <w:u w:val="single"/>
        </w:rPr>
        <w:t xml:space="preserve">        （盖单位公章）           </w:t>
      </w:r>
    </w:p>
    <w:p>
      <w:pPr>
        <w:spacing w:line="600" w:lineRule="exact"/>
        <w:ind w:firstLine="1400" w:firstLineChars="500"/>
        <w:rPr>
          <w:rFonts w:ascii="宋体" w:hAnsi="宋体" w:eastAsia="宋体"/>
          <w:color w:val="auto"/>
          <w:sz w:val="28"/>
          <w:szCs w:val="28"/>
          <w:highlight w:val="none"/>
        </w:rPr>
      </w:pPr>
      <w:r>
        <w:rPr>
          <w:rFonts w:hint="eastAsia" w:ascii="宋体" w:hAnsi="宋体" w:eastAsia="宋体"/>
          <w:color w:val="auto"/>
          <w:sz w:val="28"/>
          <w:szCs w:val="28"/>
          <w:highlight w:val="none"/>
        </w:rPr>
        <w:t>法定代表人或其委托代理人：</w:t>
      </w:r>
      <w:r>
        <w:rPr>
          <w:rFonts w:hint="eastAsia" w:ascii="宋体" w:hAnsi="宋体" w:eastAsia="宋体"/>
          <w:color w:val="auto"/>
          <w:sz w:val="28"/>
          <w:szCs w:val="28"/>
          <w:highlight w:val="none"/>
          <w:u w:val="single"/>
        </w:rPr>
        <w:t xml:space="preserve">      （签字）     </w:t>
      </w:r>
    </w:p>
    <w:p>
      <w:pPr>
        <w:spacing w:line="600" w:lineRule="exact"/>
        <w:ind w:firstLine="1400" w:firstLineChars="500"/>
        <w:rPr>
          <w:rFonts w:ascii="宋体" w:hAnsi="宋体" w:eastAsia="宋体"/>
          <w:color w:val="auto"/>
          <w:sz w:val="28"/>
          <w:szCs w:val="28"/>
          <w:highlight w:val="none"/>
        </w:rPr>
      </w:pPr>
      <w:r>
        <w:rPr>
          <w:rFonts w:hint="eastAsia" w:ascii="宋体" w:hAnsi="宋体" w:eastAsia="宋体"/>
          <w:color w:val="auto"/>
          <w:sz w:val="28"/>
          <w:szCs w:val="28"/>
          <w:highlight w:val="none"/>
        </w:rPr>
        <w:t>日    期：  年 月  日</w:t>
      </w:r>
    </w:p>
    <w:p>
      <w:pPr>
        <w:rPr>
          <w:rFonts w:ascii="宋体" w:hAnsi="宋体" w:eastAsia="宋体"/>
          <w:color w:val="auto"/>
          <w:highlight w:val="none"/>
        </w:rPr>
      </w:pPr>
      <w:r>
        <w:rPr>
          <w:rFonts w:ascii="宋体" w:hAnsi="宋体" w:eastAsia="宋体"/>
          <w:color w:val="auto"/>
          <w:highlight w:val="none"/>
        </w:rPr>
        <w:br w:type="page"/>
      </w:r>
    </w:p>
    <w:p>
      <w:pPr>
        <w:spacing w:line="30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rPr>
        <w:t>附件一：</w:t>
      </w:r>
    </w:p>
    <w:p>
      <w:pPr>
        <w:spacing w:line="300" w:lineRule="auto"/>
        <w:jc w:val="center"/>
        <w:rPr>
          <w:rFonts w:ascii="宋体" w:hAnsi="宋体" w:eastAsia="宋体"/>
          <w:b/>
          <w:color w:val="auto"/>
          <w:sz w:val="44"/>
          <w:szCs w:val="44"/>
          <w:highlight w:val="none"/>
        </w:rPr>
      </w:pPr>
      <w:r>
        <w:rPr>
          <w:rFonts w:hint="eastAsia" w:ascii="宋体" w:hAnsi="宋体" w:eastAsia="宋体"/>
          <w:b/>
          <w:color w:val="auto"/>
          <w:sz w:val="44"/>
          <w:szCs w:val="44"/>
          <w:highlight w:val="none"/>
        </w:rPr>
        <w:t>谈判报价表</w:t>
      </w:r>
    </w:p>
    <w:p>
      <w:pPr>
        <w:rPr>
          <w:rFonts w:ascii="宋体" w:hAnsi="宋体" w:eastAsia="宋体"/>
          <w:color w:val="auto"/>
          <w:sz w:val="24"/>
          <w:highlight w:val="none"/>
          <w:u w:val="single"/>
        </w:rPr>
      </w:pPr>
      <w:r>
        <w:rPr>
          <w:rFonts w:hint="eastAsia" w:ascii="宋体" w:hAnsi="宋体" w:eastAsia="宋体"/>
          <w:color w:val="auto"/>
          <w:sz w:val="24"/>
          <w:highlight w:val="none"/>
        </w:rPr>
        <w:t>采购编号:</w:t>
      </w:r>
    </w:p>
    <w:p>
      <w:pPr>
        <w:rPr>
          <w:rFonts w:ascii="宋体" w:hAnsi="宋体" w:eastAsia="宋体"/>
          <w:color w:val="auto"/>
          <w:sz w:val="24"/>
          <w:highlight w:val="none"/>
          <w:u w:val="single"/>
        </w:rPr>
      </w:pPr>
      <w:r>
        <w:rPr>
          <w:rFonts w:hint="eastAsia" w:ascii="宋体" w:hAnsi="宋体" w:eastAsia="宋体"/>
          <w:color w:val="auto"/>
          <w:sz w:val="24"/>
          <w:highlight w:val="none"/>
        </w:rPr>
        <w:t>项目名称:</w:t>
      </w:r>
    </w:p>
    <w:p>
      <w:pPr>
        <w:rPr>
          <w:rFonts w:ascii="宋体" w:hAnsi="宋体" w:eastAsia="宋体"/>
          <w:color w:val="auto"/>
          <w:sz w:val="24"/>
          <w:highlight w:val="none"/>
        </w:rPr>
      </w:pPr>
      <w:r>
        <w:rPr>
          <w:rFonts w:hint="eastAsia" w:ascii="宋体" w:hAnsi="宋体" w:eastAsia="宋体"/>
          <w:color w:val="auto"/>
          <w:sz w:val="24"/>
          <w:highlight w:val="none"/>
          <w:u w:val="single"/>
        </w:rPr>
        <w:t>　　</w:t>
      </w:r>
      <w:r>
        <w:rPr>
          <w:rFonts w:hint="eastAsia" w:ascii="宋体" w:hAnsi="宋体" w:eastAsia="宋体"/>
          <w:color w:val="auto"/>
          <w:sz w:val="24"/>
          <w:highlight w:val="none"/>
        </w:rPr>
        <w:t>分标（有分标时填写）</w:t>
      </w:r>
    </w:p>
    <w:tbl>
      <w:tblPr>
        <w:tblStyle w:val="38"/>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610"/>
        <w:gridCol w:w="534"/>
        <w:gridCol w:w="1422"/>
        <w:gridCol w:w="1689"/>
        <w:gridCol w:w="141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1"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610"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货物名称</w:t>
            </w:r>
          </w:p>
        </w:tc>
        <w:tc>
          <w:tcPr>
            <w:tcW w:w="534"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数量①</w:t>
            </w:r>
          </w:p>
        </w:tc>
        <w:tc>
          <w:tcPr>
            <w:tcW w:w="1422"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品牌及规格型号、生产厂家及国别</w:t>
            </w:r>
          </w:p>
        </w:tc>
        <w:tc>
          <w:tcPr>
            <w:tcW w:w="1689"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技术参数及性能配置</w:t>
            </w:r>
          </w:p>
        </w:tc>
        <w:tc>
          <w:tcPr>
            <w:tcW w:w="1413"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单价（元）</w:t>
            </w:r>
          </w:p>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②</w:t>
            </w:r>
          </w:p>
        </w:tc>
        <w:tc>
          <w:tcPr>
            <w:tcW w:w="1864" w:type="dxa"/>
            <w:vAlign w:val="center"/>
          </w:tcPr>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单项合价（元）</w:t>
            </w:r>
          </w:p>
          <w:p>
            <w:pPr>
              <w:spacing w:after="0" w:line="320" w:lineRule="exact"/>
              <w:jc w:val="center"/>
              <w:rPr>
                <w:rFonts w:ascii="宋体" w:hAnsi="宋体" w:eastAsia="宋体"/>
                <w:color w:val="auto"/>
                <w:sz w:val="24"/>
                <w:highlight w:val="none"/>
              </w:rPr>
            </w:pPr>
            <w:r>
              <w:rPr>
                <w:rFonts w:hint="eastAsia" w:ascii="宋体" w:hAnsi="宋体" w:eastAsia="宋体"/>
                <w:color w:val="auto"/>
                <w:sz w:val="24"/>
                <w:highlight w:val="none"/>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1" w:type="dxa"/>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610" w:type="dxa"/>
            <w:vAlign w:val="center"/>
          </w:tcPr>
          <w:p>
            <w:pPr>
              <w:rPr>
                <w:rFonts w:ascii="宋体" w:hAnsi="宋体" w:eastAsia="宋体"/>
                <w:color w:val="auto"/>
                <w:sz w:val="24"/>
                <w:highlight w:val="none"/>
              </w:rPr>
            </w:pPr>
          </w:p>
        </w:tc>
        <w:tc>
          <w:tcPr>
            <w:tcW w:w="534" w:type="dxa"/>
            <w:vAlign w:val="center"/>
          </w:tcPr>
          <w:p>
            <w:pPr>
              <w:rPr>
                <w:rFonts w:ascii="宋体" w:hAnsi="宋体" w:eastAsia="宋体"/>
                <w:color w:val="auto"/>
                <w:sz w:val="24"/>
                <w:highlight w:val="none"/>
              </w:rPr>
            </w:pPr>
          </w:p>
        </w:tc>
        <w:tc>
          <w:tcPr>
            <w:tcW w:w="1422" w:type="dxa"/>
            <w:vAlign w:val="center"/>
          </w:tcPr>
          <w:p>
            <w:pPr>
              <w:rPr>
                <w:rFonts w:ascii="宋体" w:hAnsi="宋体" w:eastAsia="宋体"/>
                <w:color w:val="auto"/>
                <w:sz w:val="24"/>
                <w:highlight w:val="none"/>
              </w:rPr>
            </w:pPr>
          </w:p>
        </w:tc>
        <w:tc>
          <w:tcPr>
            <w:tcW w:w="1689" w:type="dxa"/>
            <w:vAlign w:val="center"/>
          </w:tcPr>
          <w:p>
            <w:pPr>
              <w:rPr>
                <w:rFonts w:ascii="宋体" w:hAnsi="宋体" w:eastAsia="宋体"/>
                <w:color w:val="auto"/>
                <w:sz w:val="24"/>
                <w:highlight w:val="none"/>
              </w:rPr>
            </w:pPr>
          </w:p>
        </w:tc>
        <w:tc>
          <w:tcPr>
            <w:tcW w:w="1413" w:type="dxa"/>
            <w:vAlign w:val="center"/>
          </w:tcPr>
          <w:p>
            <w:pPr>
              <w:rPr>
                <w:rFonts w:ascii="宋体" w:hAnsi="宋体" w:eastAsia="宋体"/>
                <w:color w:val="auto"/>
                <w:sz w:val="24"/>
                <w:highlight w:val="none"/>
              </w:rPr>
            </w:pPr>
          </w:p>
        </w:tc>
        <w:tc>
          <w:tcPr>
            <w:tcW w:w="1864" w:type="dxa"/>
            <w:vAlign w:val="center"/>
          </w:tcPr>
          <w:p>
            <w:pP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51" w:type="dxa"/>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610" w:type="dxa"/>
            <w:vAlign w:val="center"/>
          </w:tcPr>
          <w:p>
            <w:pPr>
              <w:rPr>
                <w:rFonts w:ascii="宋体" w:hAnsi="宋体" w:eastAsia="宋体"/>
                <w:color w:val="auto"/>
                <w:sz w:val="24"/>
                <w:highlight w:val="none"/>
              </w:rPr>
            </w:pPr>
          </w:p>
        </w:tc>
        <w:tc>
          <w:tcPr>
            <w:tcW w:w="534" w:type="dxa"/>
            <w:vAlign w:val="center"/>
          </w:tcPr>
          <w:p>
            <w:pPr>
              <w:rPr>
                <w:rFonts w:ascii="宋体" w:hAnsi="宋体" w:eastAsia="宋体"/>
                <w:color w:val="auto"/>
                <w:sz w:val="24"/>
                <w:highlight w:val="none"/>
              </w:rPr>
            </w:pPr>
          </w:p>
        </w:tc>
        <w:tc>
          <w:tcPr>
            <w:tcW w:w="1422" w:type="dxa"/>
            <w:vAlign w:val="center"/>
          </w:tcPr>
          <w:p>
            <w:pPr>
              <w:rPr>
                <w:rFonts w:ascii="宋体" w:hAnsi="宋体" w:eastAsia="宋体"/>
                <w:color w:val="auto"/>
                <w:sz w:val="24"/>
                <w:highlight w:val="none"/>
              </w:rPr>
            </w:pPr>
          </w:p>
        </w:tc>
        <w:tc>
          <w:tcPr>
            <w:tcW w:w="1689" w:type="dxa"/>
            <w:vAlign w:val="center"/>
          </w:tcPr>
          <w:p>
            <w:pPr>
              <w:rPr>
                <w:rFonts w:ascii="宋体" w:hAnsi="宋体" w:eastAsia="宋体"/>
                <w:color w:val="auto"/>
                <w:sz w:val="24"/>
                <w:highlight w:val="none"/>
              </w:rPr>
            </w:pPr>
          </w:p>
        </w:tc>
        <w:tc>
          <w:tcPr>
            <w:tcW w:w="1413" w:type="dxa"/>
            <w:vAlign w:val="center"/>
          </w:tcPr>
          <w:p>
            <w:pPr>
              <w:rPr>
                <w:rFonts w:ascii="宋体" w:hAnsi="宋体" w:eastAsia="宋体"/>
                <w:color w:val="auto"/>
                <w:sz w:val="24"/>
                <w:highlight w:val="none"/>
              </w:rPr>
            </w:pPr>
          </w:p>
        </w:tc>
        <w:tc>
          <w:tcPr>
            <w:tcW w:w="1864" w:type="dxa"/>
            <w:vAlign w:val="center"/>
          </w:tcPr>
          <w:p>
            <w:pP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51" w:type="dxa"/>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1610" w:type="dxa"/>
            <w:vAlign w:val="center"/>
          </w:tcPr>
          <w:p>
            <w:pPr>
              <w:rPr>
                <w:rFonts w:ascii="宋体" w:hAnsi="宋体" w:eastAsia="宋体"/>
                <w:color w:val="auto"/>
                <w:sz w:val="24"/>
                <w:highlight w:val="none"/>
              </w:rPr>
            </w:pPr>
          </w:p>
        </w:tc>
        <w:tc>
          <w:tcPr>
            <w:tcW w:w="534" w:type="dxa"/>
            <w:vAlign w:val="center"/>
          </w:tcPr>
          <w:p>
            <w:pPr>
              <w:rPr>
                <w:rFonts w:ascii="宋体" w:hAnsi="宋体" w:eastAsia="宋体"/>
                <w:color w:val="auto"/>
                <w:sz w:val="24"/>
                <w:highlight w:val="none"/>
              </w:rPr>
            </w:pPr>
          </w:p>
        </w:tc>
        <w:tc>
          <w:tcPr>
            <w:tcW w:w="1422" w:type="dxa"/>
            <w:vAlign w:val="center"/>
          </w:tcPr>
          <w:p>
            <w:pPr>
              <w:rPr>
                <w:rFonts w:ascii="宋体" w:hAnsi="宋体" w:eastAsia="宋体"/>
                <w:color w:val="auto"/>
                <w:sz w:val="24"/>
                <w:highlight w:val="none"/>
              </w:rPr>
            </w:pPr>
          </w:p>
        </w:tc>
        <w:tc>
          <w:tcPr>
            <w:tcW w:w="1689" w:type="dxa"/>
            <w:vAlign w:val="center"/>
          </w:tcPr>
          <w:p>
            <w:pPr>
              <w:rPr>
                <w:rFonts w:ascii="宋体" w:hAnsi="宋体" w:eastAsia="宋体"/>
                <w:color w:val="auto"/>
                <w:sz w:val="24"/>
                <w:highlight w:val="none"/>
              </w:rPr>
            </w:pPr>
          </w:p>
        </w:tc>
        <w:tc>
          <w:tcPr>
            <w:tcW w:w="1413" w:type="dxa"/>
            <w:vAlign w:val="center"/>
          </w:tcPr>
          <w:p>
            <w:pPr>
              <w:rPr>
                <w:rFonts w:ascii="宋体" w:hAnsi="宋体" w:eastAsia="宋体"/>
                <w:color w:val="auto"/>
                <w:sz w:val="24"/>
                <w:highlight w:val="none"/>
              </w:rPr>
            </w:pPr>
          </w:p>
        </w:tc>
        <w:tc>
          <w:tcPr>
            <w:tcW w:w="1864" w:type="dxa"/>
            <w:vAlign w:val="center"/>
          </w:tcPr>
          <w:p>
            <w:pP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51" w:type="dxa"/>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N</w:t>
            </w:r>
          </w:p>
        </w:tc>
        <w:tc>
          <w:tcPr>
            <w:tcW w:w="1610" w:type="dxa"/>
            <w:vAlign w:val="center"/>
          </w:tcPr>
          <w:p>
            <w:pPr>
              <w:rPr>
                <w:rFonts w:ascii="宋体" w:hAnsi="宋体" w:eastAsia="宋体"/>
                <w:color w:val="auto"/>
                <w:sz w:val="24"/>
                <w:highlight w:val="none"/>
              </w:rPr>
            </w:pPr>
          </w:p>
        </w:tc>
        <w:tc>
          <w:tcPr>
            <w:tcW w:w="534" w:type="dxa"/>
            <w:vAlign w:val="center"/>
          </w:tcPr>
          <w:p>
            <w:pPr>
              <w:rPr>
                <w:rFonts w:ascii="宋体" w:hAnsi="宋体" w:eastAsia="宋体"/>
                <w:color w:val="auto"/>
                <w:sz w:val="24"/>
                <w:highlight w:val="none"/>
              </w:rPr>
            </w:pPr>
          </w:p>
        </w:tc>
        <w:tc>
          <w:tcPr>
            <w:tcW w:w="1422" w:type="dxa"/>
            <w:vAlign w:val="center"/>
          </w:tcPr>
          <w:p>
            <w:pPr>
              <w:rPr>
                <w:rFonts w:ascii="宋体" w:hAnsi="宋体" w:eastAsia="宋体"/>
                <w:color w:val="auto"/>
                <w:sz w:val="24"/>
                <w:highlight w:val="none"/>
              </w:rPr>
            </w:pPr>
          </w:p>
        </w:tc>
        <w:tc>
          <w:tcPr>
            <w:tcW w:w="1689" w:type="dxa"/>
            <w:vAlign w:val="center"/>
          </w:tcPr>
          <w:p>
            <w:pPr>
              <w:rPr>
                <w:rFonts w:ascii="宋体" w:hAnsi="宋体" w:eastAsia="宋体"/>
                <w:color w:val="auto"/>
                <w:sz w:val="24"/>
                <w:highlight w:val="none"/>
              </w:rPr>
            </w:pPr>
          </w:p>
        </w:tc>
        <w:tc>
          <w:tcPr>
            <w:tcW w:w="1413" w:type="dxa"/>
            <w:vAlign w:val="center"/>
          </w:tcPr>
          <w:p>
            <w:pPr>
              <w:rPr>
                <w:rFonts w:ascii="宋体" w:hAnsi="宋体" w:eastAsia="宋体"/>
                <w:color w:val="auto"/>
                <w:sz w:val="24"/>
                <w:highlight w:val="none"/>
              </w:rPr>
            </w:pPr>
          </w:p>
        </w:tc>
        <w:tc>
          <w:tcPr>
            <w:tcW w:w="1864" w:type="dxa"/>
            <w:vAlign w:val="center"/>
          </w:tcPr>
          <w:p>
            <w:pP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宋体" w:hAnsi="宋体" w:eastAsia="宋体"/>
                <w:color w:val="auto"/>
                <w:sz w:val="24"/>
                <w:highlight w:val="none"/>
              </w:rPr>
            </w:pPr>
            <w:r>
              <w:rPr>
                <w:rFonts w:hint="eastAsia" w:ascii="宋体" w:hAnsi="宋体" w:eastAsia="宋体"/>
                <w:color w:val="auto"/>
                <w:sz w:val="24"/>
                <w:highlight w:val="none"/>
              </w:rPr>
              <w:t>总报价：人民币</w:t>
            </w:r>
            <w:r>
              <w:rPr>
                <w:rFonts w:hint="eastAsia" w:ascii="宋体" w:hAnsi="宋体" w:eastAsia="宋体"/>
                <w:color w:val="auto"/>
                <w:sz w:val="24"/>
                <w:highlight w:val="none"/>
                <w:u w:val="single"/>
              </w:rPr>
              <w:t xml:space="preserve">              （￥                 </w:t>
            </w:r>
            <w:r>
              <w:rPr>
                <w:rFonts w:hint="eastAsia" w:ascii="宋体" w:hAnsi="宋体" w:eastAsia="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宋体" w:hAnsi="宋体" w:eastAsia="宋体"/>
                <w:color w:val="auto"/>
                <w:sz w:val="24"/>
                <w:highlight w:val="none"/>
              </w:rPr>
            </w:pPr>
            <w:r>
              <w:rPr>
                <w:rFonts w:hint="eastAsia" w:ascii="宋体" w:hAnsi="宋体" w:eastAsia="宋体"/>
                <w:color w:val="auto"/>
                <w:sz w:val="24"/>
                <w:highlight w:val="none"/>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宋体" w:hAnsi="宋体" w:eastAsia="宋体"/>
                <w:color w:val="auto"/>
                <w:sz w:val="24"/>
                <w:highlight w:val="none"/>
              </w:rPr>
            </w:pPr>
            <w:r>
              <w:rPr>
                <w:rFonts w:hint="eastAsia" w:ascii="宋体" w:hAnsi="宋体" w:eastAsia="宋体"/>
                <w:color w:val="auto"/>
                <w:sz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宋体" w:hAnsi="宋体" w:eastAsia="宋体"/>
                <w:color w:val="auto"/>
                <w:sz w:val="24"/>
                <w:highlight w:val="none"/>
              </w:rPr>
            </w:pPr>
            <w:r>
              <w:rPr>
                <w:rFonts w:hint="eastAsia" w:ascii="宋体" w:hAnsi="宋体" w:eastAsia="宋体"/>
                <w:color w:val="auto"/>
                <w:sz w:val="24"/>
                <w:highlight w:val="none"/>
              </w:rPr>
              <w:t>质保期：</w:t>
            </w:r>
          </w:p>
        </w:tc>
      </w:tr>
    </w:tbl>
    <w:p>
      <w:pPr>
        <w:spacing w:after="0" w:line="360" w:lineRule="exact"/>
        <w:jc w:val="both"/>
        <w:rPr>
          <w:rFonts w:ascii="宋体" w:hAnsi="宋体" w:eastAsia="宋体"/>
          <w:color w:val="auto"/>
          <w:highlight w:val="none"/>
        </w:rPr>
      </w:pPr>
      <w:r>
        <w:rPr>
          <w:rFonts w:hint="eastAsia" w:ascii="宋体" w:hAnsi="宋体" w:eastAsia="宋体"/>
          <w:color w:val="auto"/>
          <w:highlight w:val="none"/>
        </w:rPr>
        <w:t>注：1.所有价格均用人民币表示，单位为元，精确到小数点后两位数。</w:t>
      </w:r>
    </w:p>
    <w:p>
      <w:pPr>
        <w:spacing w:after="0" w:line="360" w:lineRule="exact"/>
        <w:ind w:firstLine="440" w:firstLineChars="200"/>
        <w:jc w:val="both"/>
        <w:rPr>
          <w:rFonts w:ascii="宋体" w:hAnsi="宋体" w:eastAsia="宋体"/>
          <w:color w:val="auto"/>
          <w:highlight w:val="none"/>
        </w:rPr>
      </w:pPr>
      <w:r>
        <w:rPr>
          <w:rFonts w:hint="eastAsia" w:ascii="宋体" w:hAnsi="宋体" w:eastAsia="宋体"/>
          <w:bCs/>
          <w:color w:val="auto"/>
          <w:highlight w:val="none"/>
        </w:rPr>
        <w:t>2.各供应商</w:t>
      </w:r>
      <w:r>
        <w:rPr>
          <w:rFonts w:hint="eastAsia" w:ascii="宋体" w:hAnsi="宋体" w:eastAsia="宋体"/>
          <w:color w:val="auto"/>
          <w:highlight w:val="none"/>
        </w:rPr>
        <w:t>必须就“项目采购需求和说明”中所有内容作完整唯一报价，否则，其响应文件无效。</w:t>
      </w:r>
    </w:p>
    <w:p>
      <w:pPr>
        <w:spacing w:after="0" w:line="360" w:lineRule="exact"/>
        <w:ind w:firstLine="440" w:firstLineChars="200"/>
        <w:jc w:val="both"/>
        <w:rPr>
          <w:rFonts w:ascii="宋体" w:hAnsi="宋体" w:eastAsia="宋体"/>
          <w:color w:val="auto"/>
          <w:highlight w:val="none"/>
        </w:rPr>
      </w:pPr>
      <w:r>
        <w:rPr>
          <w:rFonts w:ascii="宋体" w:hAnsi="宋体" w:eastAsia="宋体"/>
          <w:color w:val="auto"/>
          <w:highlight w:val="none"/>
        </w:rPr>
        <w:t>3.</w:t>
      </w:r>
      <w:r>
        <w:rPr>
          <w:rFonts w:hint="eastAsia" w:ascii="宋体" w:hAnsi="宋体" w:eastAsia="宋体"/>
          <w:color w:val="auto"/>
          <w:highlight w:val="none"/>
        </w:rPr>
        <w:t>此表的总报价是所有需采购方支付的本次采购标的金额总数，即竞标总价。竞标总价须包含完成用户需求要求所有内容的全部费用。</w:t>
      </w:r>
      <w:r>
        <w:rPr>
          <w:rFonts w:ascii="宋体" w:hAnsi="宋体" w:eastAsia="宋体"/>
          <w:color w:val="auto"/>
          <w:highlight w:val="none"/>
        </w:rPr>
        <w:tab/>
      </w:r>
    </w:p>
    <w:p>
      <w:pPr>
        <w:spacing w:after="0" w:line="360" w:lineRule="exact"/>
        <w:ind w:firstLine="440" w:firstLineChars="200"/>
        <w:jc w:val="both"/>
        <w:rPr>
          <w:rFonts w:ascii="宋体" w:hAnsi="宋体" w:eastAsia="宋体"/>
          <w:color w:val="auto"/>
          <w:highlight w:val="none"/>
        </w:rPr>
      </w:pPr>
      <w:r>
        <w:rPr>
          <w:rFonts w:ascii="宋体" w:hAnsi="宋体" w:eastAsia="宋体"/>
          <w:color w:val="auto"/>
          <w:highlight w:val="none"/>
        </w:rPr>
        <w:t>4.</w:t>
      </w:r>
      <w:r>
        <w:rPr>
          <w:rFonts w:hint="eastAsia" w:ascii="宋体" w:hAnsi="宋体" w:eastAsia="宋体"/>
          <w:color w:val="auto"/>
          <w:highlight w:val="none"/>
        </w:rPr>
        <w:t>若此表由多页构成的，需逐页加盖供应商公章。</w:t>
      </w:r>
    </w:p>
    <w:p>
      <w:pPr>
        <w:spacing w:after="120"/>
        <w:rPr>
          <w:rFonts w:ascii="宋体" w:hAnsi="宋体" w:eastAsia="宋体"/>
          <w:color w:val="auto"/>
          <w:highlight w:val="none"/>
        </w:rPr>
      </w:pPr>
    </w:p>
    <w:p>
      <w:pPr>
        <w:spacing w:after="120"/>
        <w:rPr>
          <w:rFonts w:ascii="宋体" w:hAnsi="宋体" w:eastAsia="宋体"/>
          <w:color w:val="auto"/>
          <w:highlight w:val="none"/>
        </w:rPr>
      </w:pPr>
    </w:p>
    <w:p>
      <w:pPr>
        <w:spacing w:after="120" w:line="360" w:lineRule="auto"/>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after="120" w:line="360" w:lineRule="auto"/>
        <w:ind w:left="1320" w:leftChars="600"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 xml:space="preserve">地址：      </w:t>
      </w:r>
      <w:r>
        <w:rPr>
          <w:rFonts w:hint="eastAsia" w:ascii="宋体" w:hAnsi="宋体" w:eastAsia="宋体" w:cs="宋体"/>
          <w:color w:val="auto"/>
          <w:sz w:val="24"/>
          <w:highlight w:val="none"/>
        </w:rPr>
        <w:t>邮编</w:t>
      </w:r>
      <w:r>
        <w:rPr>
          <w:rFonts w:hint="eastAsia" w:ascii="宋体" w:hAnsi="宋体" w:eastAsia="宋体"/>
          <w:color w:val="auto"/>
          <w:sz w:val="24"/>
          <w:highlight w:val="none"/>
        </w:rPr>
        <w:t>：</w:t>
      </w:r>
    </w:p>
    <w:p>
      <w:pPr>
        <w:spacing w:after="120" w:line="360" w:lineRule="auto"/>
        <w:ind w:left="1320" w:leftChars="600" w:firstLine="480" w:firstLineChars="200"/>
        <w:rPr>
          <w:rFonts w:ascii="宋体" w:hAnsi="宋体" w:eastAsia="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olor w:val="auto"/>
          <w:sz w:val="24"/>
          <w:highlight w:val="none"/>
        </w:rPr>
        <w:t xml:space="preserve">：      </w:t>
      </w:r>
      <w:r>
        <w:rPr>
          <w:rFonts w:hint="eastAsia" w:ascii="宋体" w:hAnsi="宋体" w:eastAsia="宋体" w:cs="宋体"/>
          <w:color w:val="auto"/>
          <w:sz w:val="24"/>
          <w:highlight w:val="none"/>
        </w:rPr>
        <w:t>传</w:t>
      </w:r>
      <w:r>
        <w:rPr>
          <w:rFonts w:hint="eastAsia" w:ascii="宋体" w:hAnsi="宋体" w:eastAsia="宋体"/>
          <w:color w:val="auto"/>
          <w:sz w:val="24"/>
          <w:highlight w:val="none"/>
        </w:rPr>
        <w:t>真：</w:t>
      </w:r>
    </w:p>
    <w:p>
      <w:pPr>
        <w:spacing w:after="120" w:line="360" w:lineRule="auto"/>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spacing w:after="120" w:line="360" w:lineRule="auto"/>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日期：  年  月  日</w:t>
      </w:r>
    </w:p>
    <w:p>
      <w:pPr>
        <w:spacing w:line="300" w:lineRule="auto"/>
        <w:rPr>
          <w:rFonts w:ascii="宋体" w:hAnsi="宋体" w:eastAsia="宋体"/>
          <w:b/>
          <w:bCs/>
          <w:color w:val="auto"/>
          <w:sz w:val="24"/>
          <w:highlight w:val="none"/>
        </w:rPr>
      </w:pPr>
      <w:r>
        <w:rPr>
          <w:rFonts w:ascii="宋体" w:hAnsi="宋体" w:eastAsia="宋体"/>
          <w:color w:val="auto"/>
          <w:szCs w:val="21"/>
          <w:highlight w:val="none"/>
        </w:rPr>
        <w:br w:type="page"/>
      </w:r>
      <w:r>
        <w:rPr>
          <w:rFonts w:hint="eastAsia" w:ascii="宋体" w:hAnsi="宋体" w:eastAsia="宋体"/>
          <w:b/>
          <w:bCs/>
          <w:color w:val="auto"/>
          <w:sz w:val="24"/>
          <w:highlight w:val="none"/>
        </w:rPr>
        <w:t>附件二：</w:t>
      </w:r>
    </w:p>
    <w:p>
      <w:pPr>
        <w:spacing w:before="120" w:beforeLines="50" w:after="120" w:afterLines="50" w:line="600" w:lineRule="exact"/>
        <w:jc w:val="center"/>
        <w:rPr>
          <w:rFonts w:ascii="宋体" w:hAnsi="宋体" w:eastAsia="宋体"/>
          <w:b/>
          <w:bCs/>
          <w:color w:val="auto"/>
          <w:sz w:val="32"/>
          <w:szCs w:val="32"/>
          <w:highlight w:val="none"/>
        </w:rPr>
      </w:pPr>
      <w:bookmarkStart w:id="96" w:name="_Toc246095538"/>
      <w:bookmarkStart w:id="97" w:name="_Toc246095476"/>
      <w:bookmarkStart w:id="98" w:name="_Toc246094932"/>
      <w:r>
        <w:rPr>
          <w:rFonts w:hint="eastAsia" w:ascii="宋体" w:hAnsi="宋体" w:eastAsia="宋体"/>
          <w:b/>
          <w:bCs/>
          <w:color w:val="auto"/>
          <w:sz w:val="32"/>
          <w:szCs w:val="32"/>
          <w:highlight w:val="none"/>
        </w:rPr>
        <w:t>谈判书</w:t>
      </w:r>
      <w:bookmarkEnd w:id="96"/>
      <w:bookmarkEnd w:id="97"/>
      <w:bookmarkEnd w:id="98"/>
    </w:p>
    <w:p>
      <w:pPr>
        <w:spacing w:after="0" w:line="420" w:lineRule="exact"/>
        <w:rPr>
          <w:rFonts w:ascii="宋体" w:hAnsi="宋体" w:eastAsia="宋体"/>
          <w:color w:val="auto"/>
          <w:sz w:val="24"/>
          <w:highlight w:val="none"/>
          <w:u w:val="single"/>
        </w:rPr>
      </w:pPr>
      <w:r>
        <w:rPr>
          <w:rFonts w:hint="eastAsia" w:ascii="宋体" w:hAnsi="宋体" w:eastAsia="宋体"/>
          <w:color w:val="auto"/>
          <w:sz w:val="24"/>
          <w:highlight w:val="none"/>
        </w:rPr>
        <w:t>致：(采购代理机构)</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根据贵方的</w:t>
      </w:r>
      <w:r>
        <w:rPr>
          <w:rFonts w:hint="eastAsia" w:ascii="宋体" w:hAnsi="宋体" w:eastAsia="宋体" w:cs="Arial"/>
          <w:color w:val="auto"/>
          <w:sz w:val="24"/>
          <w:highlight w:val="none"/>
          <w:u w:val="single"/>
        </w:rPr>
        <w:t xml:space="preserve">   （项目名称） （采购编号：     ）  </w:t>
      </w:r>
      <w:r>
        <w:rPr>
          <w:rFonts w:hint="eastAsia" w:ascii="宋体" w:hAnsi="宋体" w:eastAsia="宋体" w:cs="Arial"/>
          <w:color w:val="auto"/>
          <w:sz w:val="24"/>
          <w:highlight w:val="none"/>
        </w:rPr>
        <w:t>项目政府采购的谈判邀请，我方授权代表</w:t>
      </w:r>
      <w:r>
        <w:rPr>
          <w:rFonts w:hint="eastAsia" w:ascii="宋体" w:hAnsi="宋体" w:eastAsia="宋体" w:cs="Arial"/>
          <w:color w:val="auto"/>
          <w:sz w:val="24"/>
          <w:highlight w:val="none"/>
          <w:u w:val="single"/>
        </w:rPr>
        <w:t xml:space="preserve">         （姓名和职务）</w:t>
      </w:r>
      <w:r>
        <w:rPr>
          <w:rFonts w:hint="eastAsia" w:ascii="宋体" w:hAnsi="宋体" w:eastAsia="宋体" w:cs="Arial"/>
          <w:color w:val="auto"/>
          <w:sz w:val="24"/>
          <w:highlight w:val="none"/>
        </w:rPr>
        <w:t>经正式授权并代表供应商</w:t>
      </w:r>
      <w:r>
        <w:rPr>
          <w:rFonts w:hint="eastAsia" w:ascii="宋体" w:hAnsi="宋体" w:eastAsia="宋体" w:cs="Arial"/>
          <w:color w:val="auto"/>
          <w:sz w:val="24"/>
          <w:highlight w:val="none"/>
          <w:u w:val="single"/>
        </w:rPr>
        <w:t xml:space="preserve">    （供应商名称）   </w:t>
      </w:r>
      <w:r>
        <w:rPr>
          <w:rFonts w:hint="eastAsia" w:ascii="宋体" w:hAnsi="宋体" w:eastAsia="宋体" w:cs="Arial"/>
          <w:color w:val="auto"/>
          <w:sz w:val="24"/>
          <w:highlight w:val="none"/>
        </w:rPr>
        <w:t>提交响应文件正本一份、副本</w:t>
      </w:r>
      <w:r>
        <w:rPr>
          <w:rFonts w:hint="eastAsia" w:ascii="宋体" w:hAnsi="宋体" w:eastAsia="宋体" w:cs="Arial"/>
          <w:color w:val="auto"/>
          <w:sz w:val="24"/>
          <w:highlight w:val="none"/>
          <w:lang w:eastAsia="zh-CN"/>
        </w:rPr>
        <w:t>二</w:t>
      </w:r>
      <w:r>
        <w:rPr>
          <w:rFonts w:hint="eastAsia" w:ascii="宋体" w:hAnsi="宋体" w:eastAsia="宋体" w:cs="Arial"/>
          <w:color w:val="auto"/>
          <w:sz w:val="24"/>
          <w:highlight w:val="none"/>
        </w:rPr>
        <w:t>份。</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在此，授权代表宣布同意如下：</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1．供应商已详细审查全部“竞争性谈判文件”，包括修改文件（如有的话）以及全部参考资料和有关附件，已经了解我方对于谈判文件、采购过程、采购结果有依法进行询问、质疑、投诉的权利及相关渠道和要求。</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2．供应商在谈判之前已经与贵方进行了充分的沟通，完全理解并接受谈判文件的各项规定和要求，对谈判文件的合理性、合法性不再有异议。</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3．本次响应文件有效期</w:t>
      </w:r>
      <w:r>
        <w:rPr>
          <w:rFonts w:hint="eastAsia" w:ascii="宋体" w:hAnsi="宋体" w:eastAsia="宋体" w:cs="宋体"/>
          <w:color w:val="auto"/>
          <w:sz w:val="24"/>
          <w:highlight w:val="none"/>
        </w:rPr>
        <w:t>自响应文件提交截止之日起天（日历天）</w:t>
      </w:r>
      <w:r>
        <w:rPr>
          <w:rFonts w:hint="eastAsia" w:ascii="宋体" w:hAnsi="宋体" w:eastAsia="宋体" w:cs="Arial"/>
          <w:color w:val="auto"/>
          <w:sz w:val="24"/>
          <w:highlight w:val="none"/>
        </w:rPr>
        <w:t>内。</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4．如成交，供应商将按“竞争性谈判文件”及政府采购法律、法规的规定履行合同责任和义务。</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5．供应商同意按照贵方要求提供与谈判有关的一切数据或资料。</w:t>
      </w:r>
    </w:p>
    <w:p>
      <w:pPr>
        <w:spacing w:after="0" w:line="42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lang w:val="en-US" w:eastAsia="zh-CN"/>
        </w:rPr>
        <w:t>6</w:t>
      </w:r>
      <w:r>
        <w:rPr>
          <w:rFonts w:hint="eastAsia" w:ascii="宋体" w:hAnsi="宋体" w:eastAsia="宋体" w:cs="Arial"/>
          <w:color w:val="auto"/>
          <w:sz w:val="24"/>
          <w:highlight w:val="none"/>
        </w:rPr>
        <w:t>．与本次谈判有关的一切正式往来信函请寄：</w:t>
      </w:r>
    </w:p>
    <w:p>
      <w:pPr>
        <w:spacing w:after="0" w:line="420" w:lineRule="exact"/>
        <w:ind w:left="1320" w:leftChars="600" w:firstLine="480" w:firstLineChars="200"/>
        <w:rPr>
          <w:rFonts w:ascii="宋体" w:hAnsi="宋体" w:eastAsia="宋体"/>
          <w:color w:val="auto"/>
          <w:sz w:val="24"/>
          <w:highlight w:val="none"/>
        </w:rPr>
      </w:pPr>
    </w:p>
    <w:p>
      <w:pPr>
        <w:spacing w:after="0" w:line="420" w:lineRule="exact"/>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after="0" w:line="420" w:lineRule="exact"/>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地址：       邮编：          </w:t>
      </w:r>
    </w:p>
    <w:p>
      <w:pPr>
        <w:spacing w:after="0" w:line="420" w:lineRule="exact"/>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电话：       传真：</w:t>
      </w:r>
    </w:p>
    <w:p>
      <w:pPr>
        <w:spacing w:after="0" w:line="420" w:lineRule="exact"/>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spacing w:after="0" w:line="420" w:lineRule="exact"/>
        <w:ind w:left="1320" w:leftChars="600" w:firstLine="480" w:firstLineChars="200"/>
        <w:rPr>
          <w:rFonts w:ascii="宋体" w:hAnsi="宋体" w:eastAsia="宋体"/>
          <w:color w:val="auto"/>
          <w:sz w:val="24"/>
          <w:highlight w:val="none"/>
        </w:rPr>
      </w:pPr>
      <w:r>
        <w:rPr>
          <w:rFonts w:hint="eastAsia" w:ascii="宋体" w:hAnsi="宋体" w:eastAsia="宋体"/>
          <w:color w:val="auto"/>
          <w:sz w:val="24"/>
          <w:highlight w:val="none"/>
        </w:rPr>
        <w:t>日期：  年  月  日</w:t>
      </w:r>
    </w:p>
    <w:p>
      <w:pPr>
        <w:spacing w:after="0" w:line="420" w:lineRule="exact"/>
        <w:ind w:left="1320" w:leftChars="600" w:firstLine="480" w:firstLineChars="200"/>
        <w:rPr>
          <w:rFonts w:ascii="宋体" w:hAnsi="宋体" w:eastAsia="宋体"/>
          <w:color w:val="auto"/>
          <w:sz w:val="24"/>
          <w:highlight w:val="none"/>
        </w:rPr>
      </w:pPr>
    </w:p>
    <w:p>
      <w:pPr>
        <w:spacing w:after="0" w:line="420" w:lineRule="exact"/>
        <w:rPr>
          <w:rFonts w:ascii="宋体" w:hAnsi="宋体" w:eastAsia="宋体"/>
          <w:b/>
          <w:color w:val="auto"/>
          <w:sz w:val="24"/>
          <w:highlight w:val="none"/>
        </w:rPr>
      </w:pPr>
      <w:bookmarkStart w:id="99" w:name="_Toc405196519"/>
      <w:r>
        <w:rPr>
          <w:rFonts w:hint="eastAsia" w:ascii="宋体" w:hAnsi="宋体" w:eastAsia="宋体"/>
          <w:color w:val="auto"/>
          <w:highlight w:val="none"/>
        </w:rPr>
        <w:br w:type="page"/>
      </w:r>
      <w:r>
        <w:rPr>
          <w:rFonts w:hint="eastAsia" w:ascii="宋体" w:hAnsi="宋体" w:eastAsia="宋体"/>
          <w:b/>
          <w:color w:val="auto"/>
          <w:sz w:val="24"/>
          <w:highlight w:val="none"/>
        </w:rPr>
        <w:t>附件三：</w:t>
      </w:r>
    </w:p>
    <w:bookmarkEnd w:id="99"/>
    <w:p>
      <w:pPr>
        <w:spacing w:before="120" w:beforeLines="50" w:after="120" w:afterLines="50" w:line="600" w:lineRule="exact"/>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竞标声明书</w:t>
      </w:r>
    </w:p>
    <w:p>
      <w:pPr>
        <w:spacing w:after="0" w:line="400" w:lineRule="exact"/>
        <w:rPr>
          <w:rFonts w:ascii="宋体" w:hAnsi="宋体" w:eastAsia="宋体"/>
          <w:color w:val="auto"/>
          <w:sz w:val="24"/>
          <w:highlight w:val="none"/>
        </w:rPr>
      </w:pPr>
    </w:p>
    <w:p>
      <w:pPr>
        <w:spacing w:after="0" w:line="400" w:lineRule="exact"/>
        <w:rPr>
          <w:rFonts w:ascii="宋体" w:hAnsi="宋体" w:eastAsia="宋体"/>
          <w:color w:val="auto"/>
          <w:sz w:val="24"/>
          <w:szCs w:val="20"/>
          <w:highlight w:val="none"/>
        </w:rPr>
      </w:pPr>
      <w:r>
        <w:rPr>
          <w:rFonts w:hint="eastAsia" w:ascii="宋体" w:hAnsi="宋体" w:eastAsia="宋体"/>
          <w:color w:val="auto"/>
          <w:sz w:val="24"/>
          <w:highlight w:val="none"/>
        </w:rPr>
        <w:t>致：(采购代理机构)</w:t>
      </w:r>
    </w:p>
    <w:p>
      <w:pPr>
        <w:spacing w:after="0" w:line="400" w:lineRule="exact"/>
        <w:ind w:firstLine="720" w:firstLineChars="300"/>
        <w:rPr>
          <w:rFonts w:ascii="宋体" w:hAnsi="宋体" w:eastAsia="宋体"/>
          <w:color w:val="auto"/>
          <w:sz w:val="24"/>
          <w:szCs w:val="20"/>
          <w:highlight w:val="none"/>
        </w:rPr>
      </w:pPr>
      <w:r>
        <w:rPr>
          <w:rFonts w:hint="eastAsia" w:ascii="宋体" w:hAnsi="宋体" w:eastAsia="宋体"/>
          <w:color w:val="auto"/>
          <w:sz w:val="24"/>
          <w:highlight w:val="none"/>
          <w:u w:val="single"/>
        </w:rPr>
        <w:t>（供应商名称）</w:t>
      </w:r>
      <w:r>
        <w:rPr>
          <w:rFonts w:hint="eastAsia" w:ascii="宋体" w:hAnsi="宋体" w:eastAsia="宋体"/>
          <w:color w:val="auto"/>
          <w:sz w:val="24"/>
          <w:highlight w:val="none"/>
        </w:rPr>
        <w:t>系中华人民共和国合法企业，经营地址：。</w:t>
      </w:r>
    </w:p>
    <w:p>
      <w:pPr>
        <w:spacing w:after="0" w:line="400" w:lineRule="exact"/>
        <w:ind w:firstLine="480" w:firstLineChars="200"/>
        <w:rPr>
          <w:rFonts w:ascii="宋体" w:hAnsi="宋体" w:eastAsia="宋体"/>
          <w:color w:val="auto"/>
          <w:sz w:val="24"/>
          <w:szCs w:val="20"/>
          <w:highlight w:val="none"/>
        </w:rPr>
      </w:pPr>
      <w:r>
        <w:rPr>
          <w:rFonts w:hint="eastAsia" w:ascii="宋体" w:hAnsi="宋体" w:eastAsia="宋体"/>
          <w:color w:val="auto"/>
          <w:sz w:val="24"/>
          <w:highlight w:val="none"/>
        </w:rPr>
        <w:t>我</w:t>
      </w:r>
      <w:r>
        <w:rPr>
          <w:rFonts w:hint="eastAsia" w:ascii="宋体" w:hAnsi="宋体" w:eastAsia="宋体"/>
          <w:color w:val="auto"/>
          <w:sz w:val="24"/>
          <w:highlight w:val="none"/>
          <w:u w:val="single"/>
        </w:rPr>
        <w:t>（姓名）</w:t>
      </w:r>
      <w:r>
        <w:rPr>
          <w:rFonts w:hint="eastAsia" w:ascii="宋体" w:hAnsi="宋体" w:eastAsia="宋体"/>
          <w:color w:val="auto"/>
          <w:sz w:val="24"/>
          <w:highlight w:val="none"/>
        </w:rPr>
        <w:t>系</w:t>
      </w:r>
      <w:r>
        <w:rPr>
          <w:rFonts w:hint="eastAsia" w:ascii="宋体" w:hAnsi="宋体" w:eastAsia="宋体"/>
          <w:color w:val="auto"/>
          <w:sz w:val="24"/>
          <w:highlight w:val="none"/>
          <w:u w:val="single"/>
        </w:rPr>
        <w:t>（供应商名称）</w:t>
      </w:r>
      <w:r>
        <w:rPr>
          <w:rFonts w:hint="eastAsia" w:ascii="宋体" w:hAnsi="宋体" w:eastAsia="宋体"/>
          <w:color w:val="auto"/>
          <w:sz w:val="24"/>
          <w:highlight w:val="none"/>
        </w:rPr>
        <w:t>的法定代表人，我方愿意参加贵方组织的</w:t>
      </w:r>
      <w:r>
        <w:rPr>
          <w:rFonts w:hint="eastAsia" w:ascii="宋体" w:hAnsi="宋体" w:eastAsia="宋体"/>
          <w:color w:val="auto"/>
          <w:sz w:val="24"/>
          <w:highlight w:val="none"/>
          <w:u w:val="single"/>
        </w:rPr>
        <w:t xml:space="preserve">（项目名称）（采购编号：      </w:t>
      </w:r>
      <w:r>
        <w:rPr>
          <w:rFonts w:hint="eastAsia" w:ascii="宋体" w:hAnsi="宋体" w:eastAsia="宋体"/>
          <w:color w:val="auto"/>
          <w:sz w:val="24"/>
          <w:highlight w:val="none"/>
        </w:rPr>
        <w:t>）的竞标，为便于贵方公正、择优地确定成交人及其服务，我方就本次竞标有关事项郑重声明如下：</w:t>
      </w:r>
    </w:p>
    <w:p>
      <w:pPr>
        <w:spacing w:after="0" w:line="400" w:lineRule="exact"/>
        <w:ind w:firstLine="480" w:firstLineChars="200"/>
        <w:rPr>
          <w:rFonts w:ascii="宋体" w:hAnsi="宋体" w:eastAsia="宋体"/>
          <w:color w:val="auto"/>
          <w:sz w:val="24"/>
          <w:szCs w:val="20"/>
          <w:highlight w:val="none"/>
        </w:rPr>
      </w:pPr>
      <w:r>
        <w:rPr>
          <w:rFonts w:hint="eastAsia" w:ascii="宋体" w:hAnsi="宋体" w:eastAsia="宋体"/>
          <w:color w:val="auto"/>
          <w:sz w:val="24"/>
          <w:highlight w:val="none"/>
        </w:rPr>
        <w:t>1.我方向贵方提交的所有响应文件、资料都是准确的和真实的。</w:t>
      </w:r>
    </w:p>
    <w:p>
      <w:pPr>
        <w:spacing w:after="0" w:line="400" w:lineRule="exact"/>
        <w:ind w:firstLine="480" w:firstLineChars="200"/>
        <w:rPr>
          <w:rFonts w:ascii="宋体" w:hAnsi="宋体" w:eastAsia="宋体"/>
          <w:color w:val="auto"/>
          <w:sz w:val="24"/>
          <w:szCs w:val="20"/>
          <w:highlight w:val="none"/>
        </w:rPr>
      </w:pPr>
      <w:r>
        <w:rPr>
          <w:rFonts w:hint="eastAsia" w:ascii="宋体" w:hAnsi="宋体" w:eastAsia="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after="0" w:line="400" w:lineRule="exact"/>
        <w:ind w:firstLine="480" w:firstLineChars="200"/>
        <w:rPr>
          <w:rFonts w:ascii="宋体" w:hAnsi="宋体" w:eastAsia="宋体"/>
          <w:color w:val="auto"/>
          <w:sz w:val="24"/>
          <w:szCs w:val="20"/>
          <w:highlight w:val="none"/>
        </w:rPr>
      </w:pPr>
      <w:r>
        <w:rPr>
          <w:rFonts w:ascii="宋体" w:hAnsi="宋体" w:eastAsia="宋体"/>
          <w:color w:val="auto"/>
          <w:sz w:val="24"/>
          <w:szCs w:val="20"/>
          <w:highlight w:val="none"/>
        </w:rPr>
        <w:t>3</w:t>
      </w:r>
      <w:r>
        <w:rPr>
          <w:rFonts w:hint="eastAsia" w:ascii="宋体" w:hAnsi="宋体" w:eastAsia="宋体"/>
          <w:color w:val="auto"/>
          <w:sz w:val="24"/>
          <w:szCs w:val="20"/>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after="0" w:line="400" w:lineRule="exact"/>
        <w:ind w:firstLine="480" w:firstLineChars="200"/>
        <w:rPr>
          <w:rFonts w:ascii="宋体" w:hAnsi="宋体" w:eastAsia="宋体"/>
          <w:color w:val="auto"/>
          <w:sz w:val="24"/>
          <w:szCs w:val="20"/>
          <w:highlight w:val="none"/>
        </w:rPr>
      </w:pPr>
      <w:r>
        <w:rPr>
          <w:rFonts w:hint="eastAsia" w:ascii="宋体" w:hAnsi="宋体" w:eastAsia="宋体"/>
          <w:color w:val="auto"/>
          <w:sz w:val="24"/>
          <w:szCs w:val="20"/>
          <w:highlight w:val="none"/>
        </w:rPr>
        <w:t>□我方本次响应文件</w:t>
      </w:r>
      <w:r>
        <w:rPr>
          <w:rFonts w:hint="eastAsia" w:ascii="宋体" w:hAnsi="宋体" w:eastAsia="宋体" w:cs="宋体"/>
          <w:color w:val="auto"/>
          <w:sz w:val="24"/>
          <w:highlight w:val="none"/>
        </w:rPr>
        <w:t>内容中</w:t>
      </w:r>
      <w:r>
        <w:rPr>
          <w:rFonts w:hint="eastAsia" w:ascii="宋体" w:hAnsi="宋体" w:eastAsia="宋体"/>
          <w:color w:val="auto"/>
          <w:sz w:val="24"/>
          <w:szCs w:val="20"/>
          <w:highlight w:val="none"/>
        </w:rPr>
        <w:t>未</w:t>
      </w:r>
      <w:r>
        <w:rPr>
          <w:rFonts w:hint="eastAsia" w:ascii="宋体" w:hAnsi="宋体" w:eastAsia="宋体" w:cs="宋体"/>
          <w:color w:val="auto"/>
          <w:sz w:val="24"/>
          <w:highlight w:val="none"/>
        </w:rPr>
        <w:t>涉及商业秘密；</w:t>
      </w:r>
    </w:p>
    <w:p>
      <w:pPr>
        <w:spacing w:after="0" w:line="400" w:lineRule="exact"/>
        <w:ind w:firstLine="480" w:firstLineChars="200"/>
        <w:rPr>
          <w:rFonts w:ascii="宋体" w:hAnsi="宋体" w:eastAsia="宋体"/>
          <w:color w:val="auto"/>
          <w:sz w:val="24"/>
          <w:szCs w:val="20"/>
          <w:highlight w:val="none"/>
          <w:u w:val="single"/>
        </w:rPr>
      </w:pPr>
      <w:r>
        <w:rPr>
          <w:rFonts w:hint="eastAsia" w:ascii="宋体" w:hAnsi="宋体" w:eastAsia="宋体"/>
          <w:color w:val="auto"/>
          <w:sz w:val="24"/>
          <w:szCs w:val="20"/>
          <w:highlight w:val="none"/>
        </w:rPr>
        <w:t>□我方本次响应文件</w:t>
      </w:r>
      <w:r>
        <w:rPr>
          <w:rFonts w:hint="eastAsia" w:ascii="宋体" w:hAnsi="宋体" w:eastAsia="宋体" w:cs="宋体"/>
          <w:color w:val="auto"/>
          <w:sz w:val="24"/>
          <w:highlight w:val="none"/>
        </w:rPr>
        <w:t>涉及商业秘密的内容有：；</w:t>
      </w:r>
    </w:p>
    <w:p>
      <w:pPr>
        <w:spacing w:after="0" w:line="400" w:lineRule="exact"/>
        <w:ind w:firstLine="480" w:firstLineChars="200"/>
        <w:rPr>
          <w:rFonts w:ascii="宋体" w:hAnsi="宋体" w:eastAsia="宋体"/>
          <w:color w:val="auto"/>
          <w:sz w:val="24"/>
          <w:highlight w:val="none"/>
        </w:rPr>
      </w:pPr>
      <w:r>
        <w:rPr>
          <w:rFonts w:ascii="宋体" w:hAnsi="宋体" w:eastAsia="宋体"/>
          <w:color w:val="auto"/>
          <w:sz w:val="24"/>
          <w:highlight w:val="none"/>
        </w:rPr>
        <w:t>4</w:t>
      </w:r>
      <w:r>
        <w:rPr>
          <w:rFonts w:hint="eastAsia" w:ascii="宋体" w:hAnsi="宋体" w:eastAsia="宋体"/>
          <w:color w:val="auto"/>
          <w:sz w:val="24"/>
          <w:highlight w:val="none"/>
        </w:rPr>
        <w:t>.我方在此声明，完全符合《中华人民共和国政府采购法》第二十二条规定的供应商资格条件，我方对此声明负全部法律责任。</w:t>
      </w:r>
    </w:p>
    <w:p>
      <w:pPr>
        <w:spacing w:after="0" w:line="400" w:lineRule="exact"/>
        <w:ind w:firstLine="480" w:firstLineChars="200"/>
        <w:rPr>
          <w:rFonts w:ascii="宋体" w:hAnsi="宋体" w:eastAsia="宋体"/>
          <w:color w:val="auto"/>
          <w:sz w:val="24"/>
          <w:szCs w:val="20"/>
          <w:highlight w:val="none"/>
          <w:u w:val="single"/>
        </w:rPr>
      </w:pPr>
      <w:r>
        <w:rPr>
          <w:rFonts w:hint="eastAsia" w:ascii="宋体" w:hAnsi="宋体" w:eastAsia="宋体"/>
          <w:color w:val="auto"/>
          <w:sz w:val="24"/>
          <w:highlight w:val="none"/>
          <w:lang w:val="zh-CN"/>
        </w:rPr>
        <w:t>5.以上事项如有虚假或隐瞒，我方愿意承担一切后果，并不再寻求任何旨在减轻或免除法律责任的辩解。</w:t>
      </w:r>
    </w:p>
    <w:p>
      <w:pPr>
        <w:spacing w:after="0" w:line="400" w:lineRule="exact"/>
        <w:ind w:firstLine="480" w:firstLineChars="200"/>
        <w:rPr>
          <w:rFonts w:ascii="宋体" w:hAnsi="宋体" w:eastAsia="宋体"/>
          <w:color w:val="auto"/>
          <w:sz w:val="24"/>
          <w:szCs w:val="20"/>
          <w:highlight w:val="none"/>
          <w:u w:val="single"/>
        </w:rPr>
      </w:pPr>
    </w:p>
    <w:p>
      <w:pPr>
        <w:spacing w:line="400" w:lineRule="exact"/>
        <w:ind w:firstLine="5476" w:firstLineChars="2282"/>
        <w:rPr>
          <w:rFonts w:ascii="宋体" w:hAnsi="宋体" w:eastAsia="宋体"/>
          <w:color w:val="auto"/>
          <w:sz w:val="24"/>
          <w:highlight w:val="none"/>
        </w:rPr>
      </w:pPr>
    </w:p>
    <w:p>
      <w:pPr>
        <w:spacing w:line="4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line="400" w:lineRule="exact"/>
        <w:ind w:firstLine="3720" w:firstLineChars="1550"/>
        <w:rPr>
          <w:rFonts w:ascii="宋体" w:hAnsi="宋体" w:eastAsia="宋体"/>
          <w:color w:val="auto"/>
          <w:sz w:val="24"/>
          <w:highlight w:val="none"/>
          <w:u w:val="single"/>
        </w:rPr>
      </w:pPr>
      <w:r>
        <w:rPr>
          <w:rFonts w:hint="eastAsia" w:ascii="宋体" w:hAnsi="宋体" w:eastAsia="宋体"/>
          <w:color w:val="auto"/>
          <w:sz w:val="24"/>
          <w:highlight w:val="none"/>
        </w:rPr>
        <w:t>法定代表人或授权委托代理人签字：</w:t>
      </w:r>
    </w:p>
    <w:p>
      <w:pPr>
        <w:spacing w:line="4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日期：  年  月  日</w:t>
      </w:r>
    </w:p>
    <w:p>
      <w:pPr>
        <w:adjustRightInd/>
        <w:snapToGrid/>
        <w:spacing w:line="220" w:lineRule="atLeast"/>
        <w:rPr>
          <w:rFonts w:ascii="宋体" w:hAnsi="宋体" w:eastAsia="宋体" w:cs="宋体"/>
          <w:b/>
          <w:color w:val="auto"/>
          <w:sz w:val="21"/>
          <w:szCs w:val="21"/>
          <w:highlight w:val="none"/>
        </w:rPr>
      </w:pPr>
      <w:r>
        <w:rPr>
          <w:rFonts w:ascii="宋体" w:hAnsi="宋体" w:eastAsia="宋体"/>
          <w:b/>
          <w:color w:val="auto"/>
          <w:sz w:val="24"/>
          <w:highlight w:val="none"/>
        </w:rPr>
        <w:br w:type="page"/>
      </w:r>
    </w:p>
    <w:p>
      <w:pPr>
        <w:pStyle w:val="19"/>
        <w:spacing w:line="440" w:lineRule="exact"/>
        <w:rPr>
          <w:rFonts w:hAnsi="宋体"/>
          <w:b/>
          <w:color w:val="auto"/>
          <w:sz w:val="24"/>
          <w:szCs w:val="24"/>
          <w:highlight w:val="none"/>
        </w:rPr>
      </w:pPr>
    </w:p>
    <w:p>
      <w:pPr>
        <w:pStyle w:val="19"/>
        <w:spacing w:line="440" w:lineRule="exact"/>
        <w:rPr>
          <w:rFonts w:hAnsi="宋体"/>
          <w:b/>
          <w:color w:val="auto"/>
          <w:sz w:val="24"/>
          <w:szCs w:val="24"/>
          <w:highlight w:val="none"/>
        </w:rPr>
      </w:pPr>
    </w:p>
    <w:p>
      <w:pPr>
        <w:pStyle w:val="19"/>
        <w:spacing w:line="440" w:lineRule="exact"/>
        <w:rPr>
          <w:rFonts w:hAnsi="宋体"/>
          <w:b/>
          <w:color w:val="auto"/>
          <w:sz w:val="24"/>
          <w:szCs w:val="24"/>
          <w:highlight w:val="none"/>
        </w:rPr>
      </w:pPr>
      <w:r>
        <w:rPr>
          <w:rFonts w:hint="eastAsia" w:hAnsi="宋体"/>
          <w:b/>
          <w:color w:val="auto"/>
          <w:sz w:val="24"/>
          <w:szCs w:val="24"/>
          <w:highlight w:val="none"/>
        </w:rPr>
        <w:t>附件四：</w:t>
      </w:r>
    </w:p>
    <w:p>
      <w:pPr>
        <w:pStyle w:val="19"/>
        <w:spacing w:line="440" w:lineRule="exact"/>
        <w:ind w:firstLine="2570" w:firstLineChars="800"/>
        <w:rPr>
          <w:rFonts w:hAnsi="宋体"/>
          <w:b/>
          <w:color w:val="auto"/>
          <w:sz w:val="32"/>
          <w:szCs w:val="32"/>
          <w:highlight w:val="none"/>
        </w:rPr>
      </w:pPr>
    </w:p>
    <w:p>
      <w:pPr>
        <w:pStyle w:val="19"/>
        <w:spacing w:line="440" w:lineRule="exact"/>
        <w:ind w:firstLine="2570" w:firstLineChars="800"/>
        <w:rPr>
          <w:rFonts w:hAnsi="宋体"/>
          <w:b/>
          <w:color w:val="auto"/>
          <w:sz w:val="32"/>
          <w:szCs w:val="32"/>
          <w:highlight w:val="none"/>
        </w:rPr>
      </w:pPr>
    </w:p>
    <w:p>
      <w:pPr>
        <w:pStyle w:val="19"/>
        <w:spacing w:line="440" w:lineRule="exact"/>
        <w:rPr>
          <w:rFonts w:hAnsi="宋体"/>
          <w:b/>
          <w:color w:val="auto"/>
          <w:sz w:val="32"/>
          <w:szCs w:val="32"/>
          <w:highlight w:val="none"/>
        </w:rPr>
      </w:pPr>
      <w:r>
        <w:rPr>
          <w:rFonts w:hint="eastAsia" w:hAnsi="宋体"/>
          <w:b/>
          <w:color w:val="auto"/>
          <w:sz w:val="32"/>
          <w:szCs w:val="32"/>
          <w:highlight w:val="none"/>
        </w:rPr>
        <w:t>技术响应、偏离情况说明表</w:t>
      </w:r>
    </w:p>
    <w:p>
      <w:pPr>
        <w:spacing w:line="300" w:lineRule="auto"/>
        <w:rPr>
          <w:rFonts w:ascii="宋体" w:hAnsi="宋体" w:eastAsia="宋体"/>
          <w:color w:val="auto"/>
          <w:szCs w:val="21"/>
          <w:highlight w:val="none"/>
        </w:rPr>
      </w:pPr>
    </w:p>
    <w:p>
      <w:pPr>
        <w:spacing w:line="300" w:lineRule="auto"/>
        <w:rPr>
          <w:rFonts w:ascii="宋体" w:hAnsi="宋体" w:eastAsia="宋体"/>
          <w:color w:val="auto"/>
          <w:szCs w:val="21"/>
          <w:highlight w:val="none"/>
          <w:u w:val="single"/>
        </w:rPr>
      </w:pPr>
      <w:r>
        <w:rPr>
          <w:rFonts w:hint="eastAsia" w:ascii="宋体" w:hAnsi="宋体" w:eastAsia="宋体"/>
          <w:color w:val="auto"/>
          <w:szCs w:val="21"/>
          <w:highlight w:val="none"/>
        </w:rPr>
        <w:t>采购编号：</w:t>
      </w:r>
    </w:p>
    <w:p>
      <w:pPr>
        <w:spacing w:line="300" w:lineRule="auto"/>
        <w:rPr>
          <w:rFonts w:ascii="宋体" w:hAnsi="宋体" w:eastAsia="宋体"/>
          <w:b/>
          <w:color w:val="auto"/>
          <w:szCs w:val="21"/>
          <w:highlight w:val="none"/>
        </w:rPr>
      </w:pPr>
      <w:r>
        <w:rPr>
          <w:rFonts w:hint="eastAsia" w:ascii="宋体" w:hAnsi="宋体" w:eastAsia="宋体"/>
          <w:color w:val="auto"/>
          <w:szCs w:val="21"/>
          <w:highlight w:val="none"/>
        </w:rPr>
        <w:t>项目名称：</w:t>
      </w:r>
    </w:p>
    <w:tbl>
      <w:tblPr>
        <w:tblStyle w:val="38"/>
        <w:tblW w:w="929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774"/>
        <w:gridCol w:w="2720"/>
        <w:gridCol w:w="1633"/>
        <w:gridCol w:w="13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3" w:hRule="atLeast"/>
        </w:trPr>
        <w:tc>
          <w:tcPr>
            <w:tcW w:w="828" w:type="dxa"/>
            <w:vAlign w:val="center"/>
          </w:tcPr>
          <w:p>
            <w:pPr>
              <w:spacing w:line="300" w:lineRule="auto"/>
              <w:jc w:val="center"/>
              <w:rPr>
                <w:rFonts w:ascii="宋体" w:hAnsi="宋体" w:eastAsia="宋体"/>
                <w:color w:val="auto"/>
                <w:szCs w:val="21"/>
                <w:highlight w:val="none"/>
              </w:rPr>
            </w:pPr>
            <w:bookmarkStart w:id="100" w:name="_Toc437203424"/>
            <w:bookmarkStart w:id="101" w:name="_Toc173211900"/>
            <w:bookmarkStart w:id="102" w:name="_Toc392056928"/>
            <w:bookmarkStart w:id="103" w:name="_Toc254970588"/>
            <w:bookmarkStart w:id="104" w:name="_Toc173066401"/>
            <w:bookmarkStart w:id="105" w:name="_Toc254970729"/>
            <w:r>
              <w:rPr>
                <w:rFonts w:hint="eastAsia" w:ascii="宋体" w:hAnsi="宋体" w:eastAsia="宋体"/>
                <w:color w:val="auto"/>
                <w:szCs w:val="21"/>
                <w:highlight w:val="none"/>
              </w:rPr>
              <w:t>序号</w:t>
            </w:r>
            <w:bookmarkEnd w:id="100"/>
            <w:bookmarkEnd w:id="101"/>
            <w:bookmarkEnd w:id="102"/>
            <w:bookmarkEnd w:id="103"/>
            <w:bookmarkEnd w:id="104"/>
            <w:bookmarkEnd w:id="105"/>
          </w:p>
        </w:tc>
        <w:tc>
          <w:tcPr>
            <w:tcW w:w="2774" w:type="dxa"/>
            <w:vAlign w:val="center"/>
          </w:tcPr>
          <w:p>
            <w:pPr>
              <w:spacing w:line="300" w:lineRule="auto"/>
              <w:jc w:val="center"/>
              <w:rPr>
                <w:rFonts w:ascii="宋体" w:hAnsi="宋体" w:eastAsia="宋体"/>
                <w:color w:val="auto"/>
                <w:szCs w:val="21"/>
                <w:highlight w:val="none"/>
              </w:rPr>
            </w:pPr>
            <w:bookmarkStart w:id="106" w:name="_Toc254970589"/>
            <w:bookmarkStart w:id="107" w:name="_Toc437203425"/>
            <w:bookmarkStart w:id="108" w:name="_Toc254970730"/>
            <w:bookmarkStart w:id="109" w:name="_Toc173066402"/>
            <w:bookmarkStart w:id="110" w:name="_Toc392056929"/>
            <w:bookmarkStart w:id="111" w:name="_Toc173211901"/>
            <w:r>
              <w:rPr>
                <w:rFonts w:hint="eastAsia" w:ascii="宋体" w:hAnsi="宋体" w:eastAsia="宋体"/>
                <w:color w:val="auto"/>
                <w:szCs w:val="21"/>
                <w:highlight w:val="none"/>
              </w:rPr>
              <w:t>竞争性谈判文件要求</w:t>
            </w:r>
            <w:bookmarkEnd w:id="106"/>
            <w:bookmarkEnd w:id="107"/>
            <w:bookmarkEnd w:id="108"/>
            <w:bookmarkEnd w:id="109"/>
            <w:bookmarkEnd w:id="110"/>
            <w:bookmarkEnd w:id="111"/>
          </w:p>
        </w:tc>
        <w:tc>
          <w:tcPr>
            <w:tcW w:w="2720" w:type="dxa"/>
            <w:vAlign w:val="center"/>
          </w:tcPr>
          <w:p>
            <w:pPr>
              <w:spacing w:line="300" w:lineRule="auto"/>
              <w:jc w:val="center"/>
              <w:rPr>
                <w:rFonts w:ascii="宋体" w:hAnsi="宋体" w:eastAsia="宋体"/>
                <w:color w:val="auto"/>
                <w:szCs w:val="21"/>
                <w:highlight w:val="none"/>
              </w:rPr>
            </w:pPr>
            <w:bookmarkStart w:id="112" w:name="_Toc173066403"/>
            <w:bookmarkStart w:id="113" w:name="_Toc254970590"/>
            <w:bookmarkStart w:id="114" w:name="_Toc173211902"/>
            <w:bookmarkStart w:id="115" w:name="_Toc437203426"/>
            <w:bookmarkStart w:id="116" w:name="_Toc392056930"/>
            <w:bookmarkStart w:id="117" w:name="_Toc254970731"/>
            <w:r>
              <w:rPr>
                <w:rFonts w:hint="eastAsia" w:ascii="宋体" w:hAnsi="宋体" w:eastAsia="宋体"/>
                <w:color w:val="auto"/>
                <w:szCs w:val="21"/>
                <w:highlight w:val="none"/>
              </w:rPr>
              <w:t>谈判响应文件具体响应</w:t>
            </w:r>
            <w:bookmarkEnd w:id="112"/>
            <w:bookmarkEnd w:id="113"/>
            <w:bookmarkEnd w:id="114"/>
            <w:bookmarkEnd w:id="115"/>
            <w:bookmarkEnd w:id="116"/>
            <w:bookmarkEnd w:id="117"/>
          </w:p>
        </w:tc>
        <w:tc>
          <w:tcPr>
            <w:tcW w:w="1633" w:type="dxa"/>
            <w:vAlign w:val="center"/>
          </w:tcPr>
          <w:p>
            <w:pPr>
              <w:spacing w:line="300" w:lineRule="auto"/>
              <w:jc w:val="center"/>
              <w:rPr>
                <w:rFonts w:ascii="宋体" w:hAnsi="宋体" w:eastAsia="宋体"/>
                <w:color w:val="auto"/>
                <w:szCs w:val="21"/>
                <w:highlight w:val="none"/>
              </w:rPr>
            </w:pPr>
            <w:bookmarkStart w:id="118" w:name="_Toc392056931"/>
            <w:bookmarkStart w:id="119" w:name="_Toc254970732"/>
            <w:bookmarkStart w:id="120" w:name="_Toc173211903"/>
            <w:bookmarkStart w:id="121" w:name="_Toc173066404"/>
            <w:bookmarkStart w:id="122" w:name="_Toc254970591"/>
            <w:bookmarkStart w:id="123" w:name="_Toc437203427"/>
            <w:r>
              <w:rPr>
                <w:rFonts w:hint="eastAsia" w:ascii="宋体" w:hAnsi="宋体" w:eastAsia="宋体"/>
                <w:color w:val="auto"/>
                <w:szCs w:val="21"/>
                <w:highlight w:val="none"/>
              </w:rPr>
              <w:t>响应/偏离</w:t>
            </w:r>
            <w:bookmarkEnd w:id="118"/>
            <w:bookmarkEnd w:id="119"/>
            <w:bookmarkEnd w:id="120"/>
            <w:bookmarkEnd w:id="121"/>
            <w:bookmarkEnd w:id="122"/>
            <w:bookmarkEnd w:id="123"/>
          </w:p>
        </w:tc>
        <w:tc>
          <w:tcPr>
            <w:tcW w:w="1342" w:type="dxa"/>
            <w:vAlign w:val="center"/>
          </w:tcPr>
          <w:p>
            <w:pPr>
              <w:spacing w:line="300" w:lineRule="auto"/>
              <w:jc w:val="center"/>
              <w:rPr>
                <w:rFonts w:ascii="宋体" w:hAnsi="宋体" w:eastAsia="宋体"/>
                <w:color w:val="auto"/>
                <w:szCs w:val="21"/>
                <w:highlight w:val="none"/>
              </w:rPr>
            </w:pPr>
            <w:bookmarkStart w:id="124" w:name="_Toc254970733"/>
            <w:bookmarkStart w:id="125" w:name="_Toc437203428"/>
            <w:bookmarkStart w:id="126" w:name="_Toc173066405"/>
            <w:bookmarkStart w:id="127" w:name="_Toc392056932"/>
            <w:bookmarkStart w:id="128" w:name="_Toc254970592"/>
            <w:bookmarkStart w:id="129" w:name="_Toc173211904"/>
            <w:r>
              <w:rPr>
                <w:rFonts w:hint="eastAsia" w:ascii="宋体" w:hAnsi="宋体" w:eastAsia="宋体"/>
                <w:color w:val="auto"/>
                <w:szCs w:val="21"/>
                <w:highlight w:val="none"/>
              </w:rPr>
              <w:t>说明</w:t>
            </w:r>
            <w:bookmarkEnd w:id="124"/>
            <w:bookmarkEnd w:id="125"/>
            <w:bookmarkEnd w:id="126"/>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28" w:type="dxa"/>
            <w:vAlign w:val="center"/>
          </w:tcPr>
          <w:p>
            <w:pPr>
              <w:spacing w:line="300" w:lineRule="auto"/>
              <w:jc w:val="center"/>
              <w:rPr>
                <w:rFonts w:ascii="宋体" w:hAnsi="宋体" w:eastAsia="宋体"/>
                <w:color w:val="auto"/>
                <w:szCs w:val="21"/>
                <w:highlight w:val="none"/>
              </w:rPr>
            </w:pPr>
            <w:bookmarkStart w:id="130" w:name="_Toc392056933"/>
            <w:bookmarkStart w:id="131" w:name="_Toc173211905"/>
            <w:bookmarkStart w:id="132" w:name="_Toc254970734"/>
            <w:bookmarkStart w:id="133" w:name="_Toc254970593"/>
            <w:bookmarkStart w:id="134" w:name="_Toc173066406"/>
            <w:bookmarkStart w:id="135" w:name="_Toc437203429"/>
            <w:r>
              <w:rPr>
                <w:rFonts w:hint="eastAsia" w:ascii="宋体" w:hAnsi="宋体" w:eastAsia="宋体"/>
                <w:color w:val="auto"/>
                <w:szCs w:val="21"/>
                <w:highlight w:val="none"/>
              </w:rPr>
              <w:t>1</w:t>
            </w:r>
            <w:bookmarkEnd w:id="130"/>
            <w:bookmarkEnd w:id="131"/>
            <w:bookmarkEnd w:id="132"/>
            <w:bookmarkEnd w:id="133"/>
            <w:bookmarkEnd w:id="134"/>
            <w:bookmarkEnd w:id="135"/>
          </w:p>
        </w:tc>
        <w:tc>
          <w:tcPr>
            <w:tcW w:w="2774" w:type="dxa"/>
            <w:vAlign w:val="center"/>
          </w:tcPr>
          <w:p>
            <w:pPr>
              <w:spacing w:line="300" w:lineRule="auto"/>
              <w:jc w:val="center"/>
              <w:rPr>
                <w:rFonts w:ascii="宋体" w:hAnsi="宋体" w:eastAsia="宋体"/>
                <w:color w:val="auto"/>
                <w:szCs w:val="21"/>
                <w:highlight w:val="none"/>
              </w:rPr>
            </w:pPr>
          </w:p>
        </w:tc>
        <w:tc>
          <w:tcPr>
            <w:tcW w:w="2720" w:type="dxa"/>
            <w:vAlign w:val="center"/>
          </w:tcPr>
          <w:p>
            <w:pPr>
              <w:spacing w:line="300" w:lineRule="auto"/>
              <w:jc w:val="center"/>
              <w:rPr>
                <w:rFonts w:ascii="宋体" w:hAnsi="宋体" w:eastAsia="宋体"/>
                <w:color w:val="auto"/>
                <w:szCs w:val="21"/>
                <w:highlight w:val="none"/>
              </w:rPr>
            </w:pPr>
          </w:p>
        </w:tc>
        <w:tc>
          <w:tcPr>
            <w:tcW w:w="1633" w:type="dxa"/>
            <w:vAlign w:val="center"/>
          </w:tcPr>
          <w:p>
            <w:pPr>
              <w:spacing w:line="300" w:lineRule="auto"/>
              <w:jc w:val="center"/>
              <w:rPr>
                <w:rFonts w:ascii="宋体" w:hAnsi="宋体" w:eastAsia="宋体"/>
                <w:color w:val="auto"/>
                <w:szCs w:val="21"/>
                <w:highlight w:val="none"/>
              </w:rPr>
            </w:pPr>
          </w:p>
        </w:tc>
        <w:tc>
          <w:tcPr>
            <w:tcW w:w="1342" w:type="dxa"/>
            <w:vAlign w:val="center"/>
          </w:tcPr>
          <w:p>
            <w:pPr>
              <w:spacing w:line="300" w:lineRule="auto"/>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28" w:type="dxa"/>
            <w:vAlign w:val="center"/>
          </w:tcPr>
          <w:p>
            <w:pPr>
              <w:spacing w:line="300" w:lineRule="auto"/>
              <w:jc w:val="center"/>
              <w:rPr>
                <w:rFonts w:ascii="宋体" w:hAnsi="宋体" w:eastAsia="宋体"/>
                <w:color w:val="auto"/>
                <w:szCs w:val="21"/>
                <w:highlight w:val="none"/>
              </w:rPr>
            </w:pPr>
            <w:bookmarkStart w:id="136" w:name="_Toc254970735"/>
            <w:bookmarkStart w:id="137" w:name="_Toc392056934"/>
            <w:bookmarkStart w:id="138" w:name="_Toc437203430"/>
            <w:bookmarkStart w:id="139" w:name="_Toc173066407"/>
            <w:bookmarkStart w:id="140" w:name="_Toc173211906"/>
            <w:bookmarkStart w:id="141" w:name="_Toc254970594"/>
            <w:r>
              <w:rPr>
                <w:rFonts w:hint="eastAsia" w:ascii="宋体" w:hAnsi="宋体" w:eastAsia="宋体"/>
                <w:color w:val="auto"/>
                <w:szCs w:val="21"/>
                <w:highlight w:val="none"/>
              </w:rPr>
              <w:t>2</w:t>
            </w:r>
            <w:bookmarkEnd w:id="136"/>
            <w:bookmarkEnd w:id="137"/>
            <w:bookmarkEnd w:id="138"/>
            <w:bookmarkEnd w:id="139"/>
            <w:bookmarkEnd w:id="140"/>
            <w:bookmarkEnd w:id="141"/>
          </w:p>
        </w:tc>
        <w:tc>
          <w:tcPr>
            <w:tcW w:w="2774" w:type="dxa"/>
            <w:vAlign w:val="center"/>
          </w:tcPr>
          <w:p>
            <w:pPr>
              <w:spacing w:line="300" w:lineRule="auto"/>
              <w:jc w:val="center"/>
              <w:rPr>
                <w:rFonts w:ascii="宋体" w:hAnsi="宋体" w:eastAsia="宋体"/>
                <w:color w:val="auto"/>
                <w:szCs w:val="21"/>
                <w:highlight w:val="none"/>
              </w:rPr>
            </w:pPr>
          </w:p>
        </w:tc>
        <w:tc>
          <w:tcPr>
            <w:tcW w:w="2720" w:type="dxa"/>
            <w:vAlign w:val="center"/>
          </w:tcPr>
          <w:p>
            <w:pPr>
              <w:spacing w:line="300" w:lineRule="auto"/>
              <w:jc w:val="center"/>
              <w:rPr>
                <w:rFonts w:ascii="宋体" w:hAnsi="宋体" w:eastAsia="宋体"/>
                <w:color w:val="auto"/>
                <w:szCs w:val="21"/>
                <w:highlight w:val="none"/>
              </w:rPr>
            </w:pPr>
          </w:p>
        </w:tc>
        <w:tc>
          <w:tcPr>
            <w:tcW w:w="1633" w:type="dxa"/>
            <w:vAlign w:val="center"/>
          </w:tcPr>
          <w:p>
            <w:pPr>
              <w:spacing w:line="300" w:lineRule="auto"/>
              <w:jc w:val="center"/>
              <w:rPr>
                <w:rFonts w:ascii="宋体" w:hAnsi="宋体" w:eastAsia="宋体"/>
                <w:color w:val="auto"/>
                <w:szCs w:val="21"/>
                <w:highlight w:val="none"/>
              </w:rPr>
            </w:pPr>
          </w:p>
        </w:tc>
        <w:tc>
          <w:tcPr>
            <w:tcW w:w="1342" w:type="dxa"/>
            <w:vAlign w:val="center"/>
          </w:tcPr>
          <w:p>
            <w:pPr>
              <w:spacing w:line="300" w:lineRule="auto"/>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28" w:type="dxa"/>
            <w:vAlign w:val="center"/>
          </w:tcPr>
          <w:p>
            <w:pPr>
              <w:spacing w:line="300" w:lineRule="auto"/>
              <w:jc w:val="center"/>
              <w:rPr>
                <w:rFonts w:ascii="宋体" w:hAnsi="宋体" w:eastAsia="宋体"/>
                <w:color w:val="auto"/>
                <w:szCs w:val="21"/>
                <w:highlight w:val="none"/>
              </w:rPr>
            </w:pPr>
            <w:bookmarkStart w:id="142" w:name="_Toc173066408"/>
            <w:bookmarkStart w:id="143" w:name="_Toc437203431"/>
            <w:bookmarkStart w:id="144" w:name="_Toc392056935"/>
            <w:bookmarkStart w:id="145" w:name="_Toc254970736"/>
            <w:bookmarkStart w:id="146" w:name="_Toc254970595"/>
            <w:bookmarkStart w:id="147" w:name="_Toc173211907"/>
            <w:r>
              <w:rPr>
                <w:rFonts w:hint="eastAsia" w:ascii="宋体" w:hAnsi="宋体" w:eastAsia="宋体"/>
                <w:color w:val="auto"/>
                <w:szCs w:val="21"/>
                <w:highlight w:val="none"/>
              </w:rPr>
              <w:t>3</w:t>
            </w:r>
            <w:bookmarkEnd w:id="142"/>
            <w:bookmarkEnd w:id="143"/>
            <w:bookmarkEnd w:id="144"/>
            <w:bookmarkEnd w:id="145"/>
            <w:bookmarkEnd w:id="146"/>
            <w:bookmarkEnd w:id="147"/>
          </w:p>
        </w:tc>
        <w:tc>
          <w:tcPr>
            <w:tcW w:w="2774" w:type="dxa"/>
            <w:vAlign w:val="center"/>
          </w:tcPr>
          <w:p>
            <w:pPr>
              <w:spacing w:line="300" w:lineRule="auto"/>
              <w:jc w:val="center"/>
              <w:rPr>
                <w:rFonts w:ascii="宋体" w:hAnsi="宋体" w:eastAsia="宋体"/>
                <w:color w:val="auto"/>
                <w:szCs w:val="21"/>
                <w:highlight w:val="none"/>
              </w:rPr>
            </w:pPr>
          </w:p>
        </w:tc>
        <w:tc>
          <w:tcPr>
            <w:tcW w:w="2720" w:type="dxa"/>
            <w:vAlign w:val="center"/>
          </w:tcPr>
          <w:p>
            <w:pPr>
              <w:spacing w:line="300" w:lineRule="auto"/>
              <w:jc w:val="center"/>
              <w:rPr>
                <w:rFonts w:ascii="宋体" w:hAnsi="宋体" w:eastAsia="宋体"/>
                <w:color w:val="auto"/>
                <w:szCs w:val="21"/>
                <w:highlight w:val="none"/>
              </w:rPr>
            </w:pPr>
          </w:p>
        </w:tc>
        <w:tc>
          <w:tcPr>
            <w:tcW w:w="1633" w:type="dxa"/>
            <w:vAlign w:val="center"/>
          </w:tcPr>
          <w:p>
            <w:pPr>
              <w:spacing w:line="300" w:lineRule="auto"/>
              <w:jc w:val="center"/>
              <w:rPr>
                <w:rFonts w:ascii="宋体" w:hAnsi="宋体" w:eastAsia="宋体"/>
                <w:color w:val="auto"/>
                <w:szCs w:val="21"/>
                <w:highlight w:val="none"/>
              </w:rPr>
            </w:pPr>
          </w:p>
        </w:tc>
        <w:tc>
          <w:tcPr>
            <w:tcW w:w="1342" w:type="dxa"/>
            <w:vAlign w:val="center"/>
          </w:tcPr>
          <w:p>
            <w:pPr>
              <w:spacing w:line="300" w:lineRule="auto"/>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28" w:type="dxa"/>
            <w:vAlign w:val="center"/>
          </w:tcPr>
          <w:p>
            <w:pPr>
              <w:spacing w:line="300" w:lineRule="auto"/>
              <w:jc w:val="center"/>
              <w:rPr>
                <w:rFonts w:ascii="宋体" w:hAnsi="宋体" w:eastAsia="宋体"/>
                <w:color w:val="auto"/>
                <w:szCs w:val="21"/>
                <w:highlight w:val="none"/>
              </w:rPr>
            </w:pPr>
            <w:bookmarkStart w:id="148" w:name="_Toc392056936"/>
            <w:bookmarkStart w:id="149" w:name="_Toc173211908"/>
            <w:bookmarkStart w:id="150" w:name="_Toc254970596"/>
            <w:bookmarkStart w:id="151" w:name="_Toc173066409"/>
            <w:bookmarkStart w:id="152" w:name="_Toc437203432"/>
            <w:bookmarkStart w:id="153" w:name="_Toc254970737"/>
            <w:r>
              <w:rPr>
                <w:rFonts w:hint="eastAsia" w:ascii="宋体" w:hAnsi="宋体" w:eastAsia="宋体"/>
                <w:color w:val="auto"/>
                <w:szCs w:val="21"/>
                <w:highlight w:val="none"/>
              </w:rPr>
              <w:t>4</w:t>
            </w:r>
            <w:bookmarkEnd w:id="148"/>
            <w:bookmarkEnd w:id="149"/>
            <w:bookmarkEnd w:id="150"/>
            <w:bookmarkEnd w:id="151"/>
            <w:bookmarkEnd w:id="152"/>
            <w:bookmarkEnd w:id="153"/>
          </w:p>
        </w:tc>
        <w:tc>
          <w:tcPr>
            <w:tcW w:w="2774" w:type="dxa"/>
            <w:vAlign w:val="center"/>
          </w:tcPr>
          <w:p>
            <w:pPr>
              <w:spacing w:line="300" w:lineRule="auto"/>
              <w:jc w:val="center"/>
              <w:rPr>
                <w:rFonts w:ascii="宋体" w:hAnsi="宋体" w:eastAsia="宋体"/>
                <w:color w:val="auto"/>
                <w:szCs w:val="21"/>
                <w:highlight w:val="none"/>
              </w:rPr>
            </w:pPr>
          </w:p>
        </w:tc>
        <w:tc>
          <w:tcPr>
            <w:tcW w:w="2720" w:type="dxa"/>
            <w:vAlign w:val="center"/>
          </w:tcPr>
          <w:p>
            <w:pPr>
              <w:spacing w:line="300" w:lineRule="auto"/>
              <w:jc w:val="center"/>
              <w:rPr>
                <w:rFonts w:ascii="宋体" w:hAnsi="宋体" w:eastAsia="宋体"/>
                <w:color w:val="auto"/>
                <w:szCs w:val="21"/>
                <w:highlight w:val="none"/>
              </w:rPr>
            </w:pPr>
          </w:p>
        </w:tc>
        <w:tc>
          <w:tcPr>
            <w:tcW w:w="1633" w:type="dxa"/>
            <w:vAlign w:val="center"/>
          </w:tcPr>
          <w:p>
            <w:pPr>
              <w:spacing w:line="300" w:lineRule="auto"/>
              <w:jc w:val="center"/>
              <w:rPr>
                <w:rFonts w:ascii="宋体" w:hAnsi="宋体" w:eastAsia="宋体"/>
                <w:color w:val="auto"/>
                <w:szCs w:val="21"/>
                <w:highlight w:val="none"/>
              </w:rPr>
            </w:pPr>
          </w:p>
        </w:tc>
        <w:tc>
          <w:tcPr>
            <w:tcW w:w="1342" w:type="dxa"/>
            <w:vAlign w:val="center"/>
          </w:tcPr>
          <w:p>
            <w:pPr>
              <w:spacing w:line="300" w:lineRule="auto"/>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828" w:type="dxa"/>
            <w:vAlign w:val="center"/>
          </w:tcPr>
          <w:p>
            <w:pPr>
              <w:spacing w:line="300" w:lineRule="auto"/>
              <w:jc w:val="center"/>
              <w:rPr>
                <w:rFonts w:ascii="宋体" w:hAnsi="宋体" w:eastAsia="宋体"/>
                <w:color w:val="auto"/>
                <w:szCs w:val="21"/>
                <w:highlight w:val="none"/>
              </w:rPr>
            </w:pPr>
            <w:bookmarkStart w:id="154" w:name="_Toc392056937"/>
            <w:bookmarkStart w:id="155" w:name="_Toc254970597"/>
            <w:bookmarkStart w:id="156" w:name="_Toc173066410"/>
            <w:bookmarkStart w:id="157" w:name="_Toc254970738"/>
            <w:bookmarkStart w:id="158" w:name="_Toc437203433"/>
            <w:bookmarkStart w:id="159" w:name="_Toc173211909"/>
            <w:r>
              <w:rPr>
                <w:rFonts w:hint="eastAsia" w:ascii="宋体" w:hAnsi="宋体" w:eastAsia="宋体"/>
                <w:color w:val="auto"/>
                <w:szCs w:val="21"/>
                <w:highlight w:val="none"/>
              </w:rPr>
              <w:t>5</w:t>
            </w:r>
            <w:bookmarkEnd w:id="154"/>
            <w:bookmarkEnd w:id="155"/>
            <w:bookmarkEnd w:id="156"/>
            <w:bookmarkEnd w:id="157"/>
            <w:bookmarkEnd w:id="158"/>
            <w:bookmarkEnd w:id="159"/>
          </w:p>
        </w:tc>
        <w:tc>
          <w:tcPr>
            <w:tcW w:w="2774" w:type="dxa"/>
            <w:vAlign w:val="center"/>
          </w:tcPr>
          <w:p>
            <w:pPr>
              <w:spacing w:line="300" w:lineRule="auto"/>
              <w:jc w:val="center"/>
              <w:rPr>
                <w:rFonts w:ascii="宋体" w:hAnsi="宋体" w:eastAsia="宋体"/>
                <w:color w:val="auto"/>
                <w:szCs w:val="21"/>
                <w:highlight w:val="none"/>
              </w:rPr>
            </w:pPr>
          </w:p>
        </w:tc>
        <w:tc>
          <w:tcPr>
            <w:tcW w:w="2720" w:type="dxa"/>
            <w:vAlign w:val="center"/>
          </w:tcPr>
          <w:p>
            <w:pPr>
              <w:spacing w:line="300" w:lineRule="auto"/>
              <w:jc w:val="center"/>
              <w:rPr>
                <w:rFonts w:ascii="宋体" w:hAnsi="宋体" w:eastAsia="宋体"/>
                <w:color w:val="auto"/>
                <w:szCs w:val="21"/>
                <w:highlight w:val="none"/>
              </w:rPr>
            </w:pPr>
          </w:p>
        </w:tc>
        <w:tc>
          <w:tcPr>
            <w:tcW w:w="1633" w:type="dxa"/>
            <w:vAlign w:val="center"/>
          </w:tcPr>
          <w:p>
            <w:pPr>
              <w:spacing w:line="300" w:lineRule="auto"/>
              <w:jc w:val="center"/>
              <w:rPr>
                <w:rFonts w:ascii="宋体" w:hAnsi="宋体" w:eastAsia="宋体"/>
                <w:color w:val="auto"/>
                <w:szCs w:val="21"/>
                <w:highlight w:val="none"/>
              </w:rPr>
            </w:pPr>
          </w:p>
        </w:tc>
        <w:tc>
          <w:tcPr>
            <w:tcW w:w="1342" w:type="dxa"/>
            <w:vAlign w:val="center"/>
          </w:tcPr>
          <w:p>
            <w:pPr>
              <w:spacing w:line="300" w:lineRule="auto"/>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828" w:type="dxa"/>
            <w:vAlign w:val="center"/>
          </w:tcPr>
          <w:p>
            <w:pPr>
              <w:spacing w:line="300" w:lineRule="auto"/>
              <w:jc w:val="center"/>
              <w:rPr>
                <w:rFonts w:ascii="宋体" w:hAnsi="宋体" w:eastAsia="宋体"/>
                <w:color w:val="auto"/>
                <w:szCs w:val="21"/>
                <w:highlight w:val="none"/>
              </w:rPr>
            </w:pPr>
            <w:bookmarkStart w:id="160" w:name="_Toc254970602"/>
            <w:bookmarkStart w:id="161" w:name="_Toc173211914"/>
            <w:bookmarkStart w:id="162" w:name="_Toc173066415"/>
            <w:bookmarkStart w:id="163" w:name="_Toc437203434"/>
            <w:bookmarkStart w:id="164" w:name="_Toc254970743"/>
            <w:bookmarkStart w:id="165" w:name="_Toc392056938"/>
            <w:r>
              <w:rPr>
                <w:rFonts w:hint="eastAsia" w:ascii="宋体" w:hAnsi="宋体" w:eastAsia="宋体"/>
                <w:color w:val="auto"/>
                <w:szCs w:val="21"/>
                <w:highlight w:val="none"/>
              </w:rPr>
              <w:t>…</w:t>
            </w:r>
            <w:bookmarkEnd w:id="160"/>
            <w:bookmarkEnd w:id="161"/>
            <w:bookmarkEnd w:id="162"/>
            <w:bookmarkEnd w:id="163"/>
            <w:bookmarkEnd w:id="164"/>
            <w:bookmarkEnd w:id="165"/>
          </w:p>
        </w:tc>
        <w:tc>
          <w:tcPr>
            <w:tcW w:w="2774" w:type="dxa"/>
            <w:vAlign w:val="center"/>
          </w:tcPr>
          <w:p>
            <w:pPr>
              <w:spacing w:line="300" w:lineRule="auto"/>
              <w:jc w:val="center"/>
              <w:rPr>
                <w:rFonts w:ascii="宋体" w:hAnsi="宋体" w:eastAsia="宋体"/>
                <w:color w:val="auto"/>
                <w:szCs w:val="21"/>
                <w:highlight w:val="none"/>
              </w:rPr>
            </w:pPr>
          </w:p>
        </w:tc>
        <w:tc>
          <w:tcPr>
            <w:tcW w:w="2720" w:type="dxa"/>
            <w:vAlign w:val="center"/>
          </w:tcPr>
          <w:p>
            <w:pPr>
              <w:spacing w:line="300" w:lineRule="auto"/>
              <w:jc w:val="center"/>
              <w:rPr>
                <w:rFonts w:ascii="宋体" w:hAnsi="宋体" w:eastAsia="宋体"/>
                <w:color w:val="auto"/>
                <w:szCs w:val="21"/>
                <w:highlight w:val="none"/>
              </w:rPr>
            </w:pPr>
          </w:p>
        </w:tc>
        <w:tc>
          <w:tcPr>
            <w:tcW w:w="1633" w:type="dxa"/>
            <w:tcBorders>
              <w:right w:val="single" w:color="auto" w:sz="4" w:space="0"/>
            </w:tcBorders>
            <w:vAlign w:val="center"/>
          </w:tcPr>
          <w:p>
            <w:pPr>
              <w:spacing w:line="300" w:lineRule="auto"/>
              <w:jc w:val="center"/>
              <w:rPr>
                <w:rFonts w:ascii="宋体" w:hAnsi="宋体" w:eastAsia="宋体"/>
                <w:color w:val="auto"/>
                <w:szCs w:val="21"/>
                <w:highlight w:val="none"/>
              </w:rPr>
            </w:pPr>
          </w:p>
        </w:tc>
        <w:tc>
          <w:tcPr>
            <w:tcW w:w="1342" w:type="dxa"/>
            <w:tcBorders>
              <w:left w:val="single" w:color="auto" w:sz="4" w:space="0"/>
            </w:tcBorders>
            <w:vAlign w:val="center"/>
          </w:tcPr>
          <w:p>
            <w:pPr>
              <w:spacing w:line="300" w:lineRule="auto"/>
              <w:jc w:val="center"/>
              <w:rPr>
                <w:rFonts w:ascii="宋体" w:hAnsi="宋体" w:eastAsia="宋体"/>
                <w:color w:val="auto"/>
                <w:szCs w:val="21"/>
                <w:highlight w:val="none"/>
              </w:rPr>
            </w:pPr>
          </w:p>
        </w:tc>
      </w:tr>
    </w:tbl>
    <w:p>
      <w:pPr>
        <w:spacing w:line="300" w:lineRule="auto"/>
        <w:rPr>
          <w:rFonts w:ascii="宋体" w:hAnsi="宋体" w:eastAsia="宋体"/>
          <w:color w:val="auto"/>
          <w:szCs w:val="21"/>
          <w:highlight w:val="none"/>
        </w:rPr>
      </w:pPr>
    </w:p>
    <w:p>
      <w:pPr>
        <w:pStyle w:val="16"/>
        <w:spacing w:line="300" w:lineRule="auto"/>
        <w:ind w:firstLine="0" w:firstLineChars="0"/>
        <w:rPr>
          <w:color w:val="auto"/>
          <w:szCs w:val="21"/>
          <w:highlight w:val="none"/>
        </w:rPr>
      </w:pPr>
      <w:r>
        <w:rPr>
          <w:rFonts w:hint="eastAsia"/>
          <w:color w:val="auto"/>
          <w:szCs w:val="21"/>
          <w:highlight w:val="none"/>
        </w:rPr>
        <w:t>说明：应对照竞争性谈判文件“第三章 谈判采购技术规格、参数及要求”，逐条说明所提供货物和服务已对竞争性谈判文件的技术规格做出了实质性的响应并且满足</w:t>
      </w:r>
      <w:r>
        <w:rPr>
          <w:rFonts w:hint="eastAsia"/>
          <w:b/>
          <w:bCs/>
          <w:color w:val="auto"/>
          <w:szCs w:val="21"/>
          <w:highlight w:val="none"/>
        </w:rPr>
        <w:t>设备性能要求</w:t>
      </w:r>
      <w:r>
        <w:rPr>
          <w:rFonts w:hint="eastAsia"/>
          <w:color w:val="auto"/>
          <w:szCs w:val="21"/>
          <w:highlight w:val="none"/>
        </w:rPr>
        <w:t>，并申明与技术规格条文的响应和偏离。特别对有具体参数要求的指标，谈判供应商必须提供所供设备的具体参数值。如果仅注明“符合”、“满足”或简单复制竞争性谈判文件要求，将导致谈判被拒绝。</w:t>
      </w:r>
    </w:p>
    <w:p>
      <w:pPr>
        <w:pStyle w:val="19"/>
        <w:spacing w:line="300" w:lineRule="auto"/>
        <w:rPr>
          <w:rFonts w:hAnsi="宋体"/>
          <w:color w:val="auto"/>
          <w:highlight w:val="none"/>
        </w:rPr>
      </w:pPr>
    </w:p>
    <w:p>
      <w:pPr>
        <w:spacing w:line="500" w:lineRule="exact"/>
        <w:ind w:firstLine="218" w:firstLineChars="91"/>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line="500" w:lineRule="exact"/>
        <w:ind w:firstLine="218" w:firstLineChars="91"/>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pStyle w:val="19"/>
        <w:spacing w:line="500" w:lineRule="exact"/>
        <w:ind w:firstLine="218" w:firstLineChars="91"/>
        <w:rPr>
          <w:rFonts w:hAnsi="宋体"/>
          <w:color w:val="auto"/>
          <w:sz w:val="24"/>
          <w:highlight w:val="none"/>
        </w:rPr>
      </w:pPr>
      <w:r>
        <w:rPr>
          <w:rFonts w:hint="eastAsia" w:hAnsi="宋体"/>
          <w:color w:val="auto"/>
          <w:sz w:val="24"/>
          <w:highlight w:val="none"/>
        </w:rPr>
        <w:t>日期：  年  月  日</w:t>
      </w:r>
    </w:p>
    <w:p>
      <w:pPr>
        <w:spacing w:line="300" w:lineRule="auto"/>
        <w:rPr>
          <w:rFonts w:ascii="宋体" w:hAnsi="宋体" w:eastAsia="宋体"/>
          <w:color w:val="auto"/>
          <w:szCs w:val="21"/>
          <w:highlight w:val="none"/>
        </w:rPr>
      </w:pPr>
    </w:p>
    <w:p>
      <w:pPr>
        <w:spacing w:line="300" w:lineRule="auto"/>
        <w:rPr>
          <w:rFonts w:ascii="宋体" w:hAnsi="宋体" w:eastAsia="宋体"/>
          <w:color w:val="auto"/>
          <w:szCs w:val="21"/>
          <w:highlight w:val="none"/>
        </w:rPr>
      </w:pPr>
    </w:p>
    <w:p>
      <w:pPr>
        <w:spacing w:line="300" w:lineRule="auto"/>
        <w:rPr>
          <w:rFonts w:ascii="宋体" w:hAnsi="宋体" w:eastAsia="宋体"/>
          <w:color w:val="auto"/>
          <w:szCs w:val="21"/>
          <w:highlight w:val="none"/>
        </w:rPr>
      </w:pPr>
    </w:p>
    <w:p>
      <w:pPr>
        <w:spacing w:line="300" w:lineRule="auto"/>
        <w:rPr>
          <w:rFonts w:ascii="宋体" w:hAnsi="宋体" w:eastAsia="宋体"/>
          <w:color w:val="auto"/>
          <w:szCs w:val="21"/>
          <w:highlight w:val="none"/>
        </w:rPr>
      </w:pPr>
    </w:p>
    <w:p>
      <w:pPr>
        <w:spacing w:line="300" w:lineRule="auto"/>
        <w:rPr>
          <w:rFonts w:ascii="宋体" w:hAnsi="宋体" w:eastAsia="宋体"/>
          <w:color w:val="auto"/>
          <w:szCs w:val="21"/>
          <w:highlight w:val="none"/>
        </w:rPr>
      </w:pPr>
    </w:p>
    <w:p>
      <w:pPr>
        <w:ind w:firstLine="4321" w:firstLineChars="1345"/>
        <w:rPr>
          <w:rFonts w:ascii="宋体" w:hAnsi="宋体" w:eastAsia="宋体"/>
          <w:b/>
          <w:color w:val="auto"/>
          <w:sz w:val="32"/>
          <w:szCs w:val="32"/>
          <w:highlight w:val="none"/>
        </w:rPr>
      </w:pPr>
      <w:r>
        <w:rPr>
          <w:rFonts w:hint="eastAsia" w:ascii="宋体" w:hAnsi="宋体" w:eastAsia="宋体"/>
          <w:b/>
          <w:color w:val="auto"/>
          <w:sz w:val="32"/>
          <w:szCs w:val="32"/>
          <w:highlight w:val="none"/>
        </w:rPr>
        <w:t>商务偏离表</w:t>
      </w:r>
    </w:p>
    <w:p>
      <w:pPr>
        <w:ind w:firstLine="562" w:firstLineChars="200"/>
        <w:rPr>
          <w:rFonts w:ascii="宋体" w:hAnsi="宋体" w:eastAsia="宋体"/>
          <w:b/>
          <w:color w:val="auto"/>
          <w:sz w:val="28"/>
          <w:szCs w:val="28"/>
          <w:highlight w:val="none"/>
        </w:rPr>
      </w:pPr>
    </w:p>
    <w:p>
      <w:pPr>
        <w:spacing w:after="120" w:afterLines="50" w:line="420" w:lineRule="exact"/>
        <w:ind w:firstLine="44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采购编号：</w:t>
      </w:r>
    </w:p>
    <w:p>
      <w:pPr>
        <w:pStyle w:val="19"/>
        <w:spacing w:after="120" w:afterLines="50" w:line="420" w:lineRule="exact"/>
        <w:ind w:firstLine="420" w:firstLineChars="200"/>
        <w:rPr>
          <w:rFonts w:hAnsi="宋体"/>
          <w:b/>
          <w:color w:val="auto"/>
          <w:sz w:val="24"/>
          <w:szCs w:val="24"/>
          <w:highlight w:val="none"/>
          <w:u w:val="single"/>
        </w:rPr>
      </w:pPr>
      <w:r>
        <w:rPr>
          <w:rFonts w:hint="eastAsia" w:hAnsi="宋体"/>
          <w:color w:val="auto"/>
          <w:szCs w:val="21"/>
          <w:highlight w:val="none"/>
        </w:rPr>
        <w:t>项目名称：</w:t>
      </w:r>
    </w:p>
    <w:tbl>
      <w:tblPr>
        <w:tblStyle w:val="38"/>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188"/>
        <w:gridCol w:w="2694"/>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30" w:type="dxa"/>
            <w:vAlign w:val="center"/>
          </w:tcPr>
          <w:p>
            <w:pPr>
              <w:pStyle w:val="19"/>
              <w:ind w:left="-574" w:leftChars="-261" w:firstLine="548" w:firstLineChars="260"/>
              <w:jc w:val="center"/>
              <w:rPr>
                <w:rFonts w:hAnsi="宋体" w:cs="Courier New"/>
                <w:b/>
                <w:color w:val="auto"/>
                <w:highlight w:val="none"/>
              </w:rPr>
            </w:pPr>
            <w:r>
              <w:rPr>
                <w:rFonts w:hint="eastAsia" w:hAnsi="宋体" w:cs="Courier New"/>
                <w:b/>
                <w:color w:val="auto"/>
                <w:highlight w:val="none"/>
              </w:rPr>
              <w:t>序号</w:t>
            </w:r>
          </w:p>
        </w:tc>
        <w:tc>
          <w:tcPr>
            <w:tcW w:w="3188" w:type="dxa"/>
            <w:vAlign w:val="center"/>
          </w:tcPr>
          <w:p>
            <w:pPr>
              <w:pStyle w:val="19"/>
              <w:jc w:val="center"/>
              <w:rPr>
                <w:rFonts w:hAnsi="宋体" w:cs="Courier New"/>
                <w:b/>
                <w:color w:val="auto"/>
                <w:highlight w:val="none"/>
              </w:rPr>
            </w:pPr>
            <w:r>
              <w:rPr>
                <w:rFonts w:hint="eastAsia" w:hAnsi="宋体" w:cs="Courier New"/>
                <w:b/>
                <w:color w:val="auto"/>
                <w:highlight w:val="none"/>
              </w:rPr>
              <w:t>竞争性谈判文件的商务条款</w:t>
            </w:r>
          </w:p>
        </w:tc>
        <w:tc>
          <w:tcPr>
            <w:tcW w:w="2694" w:type="dxa"/>
            <w:vAlign w:val="center"/>
          </w:tcPr>
          <w:p>
            <w:pPr>
              <w:pStyle w:val="19"/>
              <w:jc w:val="center"/>
              <w:rPr>
                <w:rFonts w:hAnsi="宋体" w:cs="Courier New"/>
                <w:b/>
                <w:color w:val="auto"/>
                <w:highlight w:val="none"/>
              </w:rPr>
            </w:pPr>
            <w:r>
              <w:rPr>
                <w:rFonts w:hint="eastAsia" w:hAnsi="宋体" w:cs="Courier New"/>
                <w:b/>
                <w:color w:val="auto"/>
                <w:highlight w:val="none"/>
              </w:rPr>
              <w:t>响应文件响应内容</w:t>
            </w:r>
          </w:p>
        </w:tc>
        <w:tc>
          <w:tcPr>
            <w:tcW w:w="1798" w:type="dxa"/>
            <w:vAlign w:val="center"/>
          </w:tcPr>
          <w:p>
            <w:pPr>
              <w:pStyle w:val="19"/>
              <w:jc w:val="center"/>
              <w:rPr>
                <w:rFonts w:hAnsi="宋体" w:cs="Courier New"/>
                <w:b/>
                <w:color w:val="auto"/>
                <w:highlight w:val="none"/>
              </w:rPr>
            </w:pPr>
            <w:r>
              <w:rPr>
                <w:rFonts w:hint="eastAsia" w:hAnsi="宋体" w:cs="Courier New"/>
                <w:b/>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0" w:type="dxa"/>
          </w:tcPr>
          <w:p>
            <w:pPr>
              <w:pStyle w:val="19"/>
              <w:rPr>
                <w:rFonts w:hAnsi="宋体" w:cs="Courier New"/>
                <w:color w:val="auto"/>
                <w:highlight w:val="none"/>
              </w:rPr>
            </w:pPr>
          </w:p>
        </w:tc>
        <w:tc>
          <w:tcPr>
            <w:tcW w:w="3188" w:type="dxa"/>
          </w:tcPr>
          <w:p>
            <w:pPr>
              <w:pStyle w:val="19"/>
              <w:rPr>
                <w:rFonts w:hAnsi="宋体" w:cs="Courier New"/>
                <w:color w:val="auto"/>
                <w:highlight w:val="none"/>
              </w:rPr>
            </w:pPr>
          </w:p>
        </w:tc>
        <w:tc>
          <w:tcPr>
            <w:tcW w:w="2694" w:type="dxa"/>
          </w:tcPr>
          <w:p>
            <w:pPr>
              <w:pStyle w:val="19"/>
              <w:rPr>
                <w:rFonts w:hAnsi="宋体" w:cs="Courier New"/>
                <w:color w:val="auto"/>
                <w:highlight w:val="none"/>
              </w:rPr>
            </w:pPr>
          </w:p>
        </w:tc>
        <w:tc>
          <w:tcPr>
            <w:tcW w:w="1798" w:type="dxa"/>
          </w:tcPr>
          <w:p>
            <w:pPr>
              <w:pStyle w:val="19"/>
              <w:jc w:val="center"/>
              <w:rPr>
                <w:rFonts w:hAnsi="宋体" w:cs="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0" w:type="dxa"/>
          </w:tcPr>
          <w:p>
            <w:pPr>
              <w:pStyle w:val="19"/>
              <w:rPr>
                <w:rFonts w:hAnsi="宋体" w:cs="Courier New"/>
                <w:color w:val="auto"/>
                <w:highlight w:val="none"/>
              </w:rPr>
            </w:pPr>
          </w:p>
        </w:tc>
        <w:tc>
          <w:tcPr>
            <w:tcW w:w="3188" w:type="dxa"/>
          </w:tcPr>
          <w:p>
            <w:pPr>
              <w:pStyle w:val="19"/>
              <w:rPr>
                <w:rFonts w:hAnsi="宋体" w:cs="Courier New"/>
                <w:color w:val="auto"/>
                <w:highlight w:val="none"/>
              </w:rPr>
            </w:pPr>
          </w:p>
        </w:tc>
        <w:tc>
          <w:tcPr>
            <w:tcW w:w="2694" w:type="dxa"/>
          </w:tcPr>
          <w:p>
            <w:pPr>
              <w:pStyle w:val="19"/>
              <w:rPr>
                <w:rFonts w:hAnsi="宋体" w:cs="Courier New"/>
                <w:color w:val="auto"/>
                <w:highlight w:val="none"/>
              </w:rPr>
            </w:pPr>
          </w:p>
        </w:tc>
        <w:tc>
          <w:tcPr>
            <w:tcW w:w="1798" w:type="dxa"/>
          </w:tcPr>
          <w:p>
            <w:pPr>
              <w:pStyle w:val="19"/>
              <w:jc w:val="center"/>
              <w:rPr>
                <w:rFonts w:hAnsi="宋体" w:cs="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0" w:type="dxa"/>
          </w:tcPr>
          <w:p>
            <w:pPr>
              <w:pStyle w:val="19"/>
              <w:rPr>
                <w:rFonts w:hAnsi="宋体" w:cs="Courier New"/>
                <w:color w:val="auto"/>
                <w:highlight w:val="none"/>
              </w:rPr>
            </w:pPr>
          </w:p>
        </w:tc>
        <w:tc>
          <w:tcPr>
            <w:tcW w:w="3188" w:type="dxa"/>
          </w:tcPr>
          <w:p>
            <w:pPr>
              <w:pStyle w:val="19"/>
              <w:rPr>
                <w:rFonts w:hAnsi="宋体" w:cs="Courier New"/>
                <w:color w:val="auto"/>
                <w:highlight w:val="none"/>
              </w:rPr>
            </w:pPr>
          </w:p>
        </w:tc>
        <w:tc>
          <w:tcPr>
            <w:tcW w:w="2694" w:type="dxa"/>
          </w:tcPr>
          <w:p>
            <w:pPr>
              <w:pStyle w:val="19"/>
              <w:rPr>
                <w:rFonts w:hAnsi="宋体" w:cs="Courier New"/>
                <w:color w:val="auto"/>
                <w:highlight w:val="none"/>
              </w:rPr>
            </w:pPr>
          </w:p>
        </w:tc>
        <w:tc>
          <w:tcPr>
            <w:tcW w:w="1798" w:type="dxa"/>
          </w:tcPr>
          <w:p>
            <w:pPr>
              <w:pStyle w:val="19"/>
              <w:jc w:val="center"/>
              <w:rPr>
                <w:rFonts w:hAnsi="宋体" w:cs="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0" w:type="dxa"/>
          </w:tcPr>
          <w:p>
            <w:pPr>
              <w:pStyle w:val="19"/>
              <w:rPr>
                <w:rFonts w:hAnsi="宋体" w:cs="Courier New"/>
                <w:color w:val="auto"/>
                <w:highlight w:val="none"/>
              </w:rPr>
            </w:pPr>
          </w:p>
        </w:tc>
        <w:tc>
          <w:tcPr>
            <w:tcW w:w="3188" w:type="dxa"/>
          </w:tcPr>
          <w:p>
            <w:pPr>
              <w:pStyle w:val="19"/>
              <w:rPr>
                <w:rFonts w:hAnsi="宋体" w:cs="Courier New"/>
                <w:color w:val="auto"/>
                <w:highlight w:val="none"/>
              </w:rPr>
            </w:pPr>
          </w:p>
        </w:tc>
        <w:tc>
          <w:tcPr>
            <w:tcW w:w="2694" w:type="dxa"/>
          </w:tcPr>
          <w:p>
            <w:pPr>
              <w:pStyle w:val="19"/>
              <w:rPr>
                <w:rFonts w:hAnsi="宋体" w:cs="Courier New"/>
                <w:color w:val="auto"/>
                <w:highlight w:val="none"/>
              </w:rPr>
            </w:pPr>
          </w:p>
        </w:tc>
        <w:tc>
          <w:tcPr>
            <w:tcW w:w="1798" w:type="dxa"/>
          </w:tcPr>
          <w:p>
            <w:pPr>
              <w:pStyle w:val="19"/>
              <w:jc w:val="center"/>
              <w:rPr>
                <w:rFonts w:hAnsi="宋体" w:cs="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0" w:type="dxa"/>
          </w:tcPr>
          <w:p>
            <w:pPr>
              <w:pStyle w:val="19"/>
              <w:rPr>
                <w:rFonts w:hAnsi="宋体" w:cs="Courier New"/>
                <w:color w:val="auto"/>
                <w:highlight w:val="none"/>
              </w:rPr>
            </w:pPr>
          </w:p>
        </w:tc>
        <w:tc>
          <w:tcPr>
            <w:tcW w:w="3188" w:type="dxa"/>
          </w:tcPr>
          <w:p>
            <w:pPr>
              <w:pStyle w:val="19"/>
              <w:rPr>
                <w:rFonts w:hAnsi="宋体" w:cs="Courier New"/>
                <w:color w:val="auto"/>
                <w:highlight w:val="none"/>
              </w:rPr>
            </w:pPr>
          </w:p>
        </w:tc>
        <w:tc>
          <w:tcPr>
            <w:tcW w:w="2694" w:type="dxa"/>
          </w:tcPr>
          <w:p>
            <w:pPr>
              <w:pStyle w:val="19"/>
              <w:rPr>
                <w:rFonts w:hAnsi="宋体" w:cs="Courier New"/>
                <w:color w:val="auto"/>
                <w:highlight w:val="none"/>
              </w:rPr>
            </w:pPr>
          </w:p>
        </w:tc>
        <w:tc>
          <w:tcPr>
            <w:tcW w:w="1798" w:type="dxa"/>
          </w:tcPr>
          <w:p>
            <w:pPr>
              <w:pStyle w:val="19"/>
              <w:jc w:val="center"/>
              <w:rPr>
                <w:rFonts w:hAnsi="宋体" w:cs="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0" w:type="dxa"/>
          </w:tcPr>
          <w:p>
            <w:pPr>
              <w:pStyle w:val="19"/>
              <w:rPr>
                <w:rFonts w:hAnsi="宋体" w:cs="Courier New"/>
                <w:color w:val="auto"/>
                <w:highlight w:val="none"/>
              </w:rPr>
            </w:pPr>
          </w:p>
        </w:tc>
        <w:tc>
          <w:tcPr>
            <w:tcW w:w="3188" w:type="dxa"/>
          </w:tcPr>
          <w:p>
            <w:pPr>
              <w:pStyle w:val="19"/>
              <w:rPr>
                <w:rFonts w:hAnsi="宋体" w:cs="Courier New"/>
                <w:color w:val="auto"/>
                <w:highlight w:val="none"/>
              </w:rPr>
            </w:pPr>
          </w:p>
        </w:tc>
        <w:tc>
          <w:tcPr>
            <w:tcW w:w="2694" w:type="dxa"/>
          </w:tcPr>
          <w:p>
            <w:pPr>
              <w:pStyle w:val="19"/>
              <w:rPr>
                <w:rFonts w:hAnsi="宋体" w:cs="Courier New"/>
                <w:color w:val="auto"/>
                <w:highlight w:val="none"/>
              </w:rPr>
            </w:pPr>
          </w:p>
        </w:tc>
        <w:tc>
          <w:tcPr>
            <w:tcW w:w="1798" w:type="dxa"/>
          </w:tcPr>
          <w:p>
            <w:pPr>
              <w:pStyle w:val="19"/>
              <w:jc w:val="center"/>
              <w:rPr>
                <w:rFonts w:hAnsi="宋体" w:cs="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30" w:type="dxa"/>
          </w:tcPr>
          <w:p>
            <w:pPr>
              <w:pStyle w:val="19"/>
              <w:rPr>
                <w:rFonts w:hAnsi="宋体" w:cs="Courier New"/>
                <w:color w:val="auto"/>
                <w:highlight w:val="none"/>
              </w:rPr>
            </w:pPr>
          </w:p>
        </w:tc>
        <w:tc>
          <w:tcPr>
            <w:tcW w:w="3188" w:type="dxa"/>
          </w:tcPr>
          <w:p>
            <w:pPr>
              <w:pStyle w:val="19"/>
              <w:rPr>
                <w:rFonts w:hAnsi="宋体" w:cs="Courier New"/>
                <w:color w:val="auto"/>
                <w:highlight w:val="none"/>
              </w:rPr>
            </w:pPr>
          </w:p>
        </w:tc>
        <w:tc>
          <w:tcPr>
            <w:tcW w:w="2694" w:type="dxa"/>
          </w:tcPr>
          <w:p>
            <w:pPr>
              <w:pStyle w:val="19"/>
              <w:rPr>
                <w:rFonts w:hAnsi="宋体" w:cs="Courier New"/>
                <w:color w:val="auto"/>
                <w:highlight w:val="none"/>
              </w:rPr>
            </w:pPr>
          </w:p>
        </w:tc>
        <w:tc>
          <w:tcPr>
            <w:tcW w:w="1798" w:type="dxa"/>
          </w:tcPr>
          <w:p>
            <w:pPr>
              <w:pStyle w:val="19"/>
              <w:rPr>
                <w:rFonts w:hAnsi="宋体" w:cs="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30" w:type="dxa"/>
          </w:tcPr>
          <w:p>
            <w:pPr>
              <w:pStyle w:val="19"/>
              <w:rPr>
                <w:rFonts w:hAnsi="宋体" w:cs="Courier New"/>
                <w:color w:val="auto"/>
                <w:highlight w:val="none"/>
              </w:rPr>
            </w:pPr>
          </w:p>
        </w:tc>
        <w:tc>
          <w:tcPr>
            <w:tcW w:w="3188" w:type="dxa"/>
          </w:tcPr>
          <w:p>
            <w:pPr>
              <w:pStyle w:val="19"/>
              <w:rPr>
                <w:rFonts w:hAnsi="宋体" w:cs="Courier New"/>
                <w:color w:val="auto"/>
                <w:highlight w:val="none"/>
              </w:rPr>
            </w:pPr>
          </w:p>
        </w:tc>
        <w:tc>
          <w:tcPr>
            <w:tcW w:w="2694" w:type="dxa"/>
          </w:tcPr>
          <w:p>
            <w:pPr>
              <w:pStyle w:val="19"/>
              <w:rPr>
                <w:rFonts w:hAnsi="宋体" w:cs="Courier New"/>
                <w:color w:val="auto"/>
                <w:highlight w:val="none"/>
              </w:rPr>
            </w:pPr>
          </w:p>
        </w:tc>
        <w:tc>
          <w:tcPr>
            <w:tcW w:w="1798" w:type="dxa"/>
          </w:tcPr>
          <w:p>
            <w:pPr>
              <w:pStyle w:val="19"/>
              <w:rPr>
                <w:rFonts w:hAnsi="宋体" w:cs="Courier New"/>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30" w:type="dxa"/>
          </w:tcPr>
          <w:p>
            <w:pPr>
              <w:pStyle w:val="19"/>
              <w:rPr>
                <w:rFonts w:hAnsi="宋体" w:cs="Courier New"/>
                <w:color w:val="auto"/>
                <w:highlight w:val="none"/>
              </w:rPr>
            </w:pPr>
          </w:p>
        </w:tc>
        <w:tc>
          <w:tcPr>
            <w:tcW w:w="3188" w:type="dxa"/>
          </w:tcPr>
          <w:p>
            <w:pPr>
              <w:pStyle w:val="19"/>
              <w:rPr>
                <w:rFonts w:hAnsi="宋体" w:cs="Courier New"/>
                <w:color w:val="auto"/>
                <w:highlight w:val="none"/>
              </w:rPr>
            </w:pPr>
          </w:p>
        </w:tc>
        <w:tc>
          <w:tcPr>
            <w:tcW w:w="2694" w:type="dxa"/>
          </w:tcPr>
          <w:p>
            <w:pPr>
              <w:pStyle w:val="19"/>
              <w:rPr>
                <w:rFonts w:hAnsi="宋体" w:cs="Courier New"/>
                <w:color w:val="auto"/>
                <w:highlight w:val="none"/>
              </w:rPr>
            </w:pPr>
          </w:p>
        </w:tc>
        <w:tc>
          <w:tcPr>
            <w:tcW w:w="1798" w:type="dxa"/>
          </w:tcPr>
          <w:p>
            <w:pPr>
              <w:pStyle w:val="19"/>
              <w:rPr>
                <w:rFonts w:hAnsi="宋体" w:cs="Courier New"/>
                <w:color w:val="auto"/>
                <w:highlight w:val="none"/>
              </w:rPr>
            </w:pPr>
          </w:p>
        </w:tc>
      </w:tr>
    </w:tbl>
    <w:p>
      <w:pPr>
        <w:pStyle w:val="19"/>
        <w:spacing w:line="360" w:lineRule="exact"/>
        <w:ind w:firstLine="360" w:firstLineChars="150"/>
        <w:rPr>
          <w:rFonts w:hAnsi="宋体"/>
          <w:color w:val="auto"/>
          <w:sz w:val="24"/>
          <w:szCs w:val="24"/>
          <w:highlight w:val="none"/>
        </w:rPr>
      </w:pPr>
      <w:r>
        <w:rPr>
          <w:rFonts w:hint="eastAsia" w:hAnsi="宋体"/>
          <w:color w:val="auto"/>
          <w:sz w:val="24"/>
          <w:szCs w:val="24"/>
          <w:highlight w:val="none"/>
        </w:rPr>
        <w:t>注：“偏离”系指“正偏离”、“负偏离”或“无偏离”。</w:t>
      </w:r>
    </w:p>
    <w:p>
      <w:pPr>
        <w:pStyle w:val="19"/>
        <w:spacing w:line="360" w:lineRule="exact"/>
        <w:ind w:firstLine="360" w:firstLineChars="150"/>
        <w:rPr>
          <w:rFonts w:hAnsi="宋体"/>
          <w:color w:val="auto"/>
          <w:sz w:val="24"/>
          <w:szCs w:val="24"/>
          <w:highlight w:val="none"/>
        </w:rPr>
      </w:pPr>
      <w:r>
        <w:rPr>
          <w:rFonts w:hint="eastAsia" w:hAnsi="宋体"/>
          <w:color w:val="auto"/>
          <w:sz w:val="24"/>
          <w:szCs w:val="24"/>
          <w:highlight w:val="none"/>
        </w:rPr>
        <w:t>请逐条对应竞争性谈判文件的第三章“项目需求”中要求的“商务条款”，认真填写该表。</w:t>
      </w:r>
    </w:p>
    <w:p>
      <w:pPr>
        <w:pStyle w:val="19"/>
        <w:spacing w:line="600" w:lineRule="exact"/>
        <w:rPr>
          <w:rFonts w:hAnsi="宋体"/>
          <w:color w:val="auto"/>
          <w:sz w:val="24"/>
          <w:szCs w:val="24"/>
          <w:highlight w:val="none"/>
        </w:rPr>
      </w:pPr>
    </w:p>
    <w:p>
      <w:pPr>
        <w:pStyle w:val="19"/>
        <w:spacing w:line="600" w:lineRule="exact"/>
        <w:ind w:firstLine="480" w:firstLineChars="200"/>
        <w:rPr>
          <w:rFonts w:hAnsi="宋体"/>
          <w:color w:val="auto"/>
          <w:sz w:val="24"/>
          <w:szCs w:val="24"/>
          <w:highlight w:val="none"/>
        </w:rPr>
      </w:pPr>
      <w:r>
        <w:rPr>
          <w:rFonts w:hint="eastAsia" w:hAnsi="宋体"/>
          <w:color w:val="auto"/>
          <w:sz w:val="24"/>
          <w:szCs w:val="24"/>
          <w:highlight w:val="none"/>
        </w:rPr>
        <w:t>法定代表人或法定代表人授权代表：</w:t>
      </w:r>
      <w:r>
        <w:rPr>
          <w:rFonts w:hint="eastAsia" w:hAnsi="宋体"/>
          <w:color w:val="auto"/>
          <w:sz w:val="24"/>
          <w:highlight w:val="none"/>
          <w:u w:val="single"/>
        </w:rPr>
        <w:t xml:space="preserve">（签字）  </w:t>
      </w:r>
    </w:p>
    <w:p>
      <w:pPr>
        <w:pStyle w:val="19"/>
        <w:spacing w:line="600" w:lineRule="exact"/>
        <w:ind w:firstLine="480" w:firstLineChars="200"/>
        <w:rPr>
          <w:rFonts w:hAnsi="宋体"/>
          <w:color w:val="auto"/>
          <w:sz w:val="24"/>
          <w:szCs w:val="24"/>
          <w:highlight w:val="none"/>
          <w:u w:val="single"/>
        </w:rPr>
      </w:pPr>
      <w:r>
        <w:rPr>
          <w:rFonts w:hint="eastAsia" w:hAnsi="宋体"/>
          <w:color w:val="auto"/>
          <w:sz w:val="24"/>
          <w:szCs w:val="24"/>
          <w:highlight w:val="none"/>
        </w:rPr>
        <w:t>供应商：</w:t>
      </w:r>
      <w:r>
        <w:rPr>
          <w:rFonts w:hint="eastAsia" w:hAnsi="宋体"/>
          <w:color w:val="auto"/>
          <w:sz w:val="24"/>
          <w:szCs w:val="24"/>
          <w:highlight w:val="none"/>
          <w:u w:val="single"/>
        </w:rPr>
        <w:t xml:space="preserve">（单位名称并盖公章）      </w:t>
      </w:r>
    </w:p>
    <w:p>
      <w:pPr>
        <w:spacing w:line="300" w:lineRule="auto"/>
        <w:rPr>
          <w:rFonts w:ascii="宋体" w:hAnsi="宋体" w:eastAsia="宋体"/>
          <w:color w:val="auto"/>
          <w:szCs w:val="21"/>
          <w:highlight w:val="none"/>
        </w:rPr>
      </w:pPr>
      <w:r>
        <w:rPr>
          <w:rFonts w:hint="eastAsia" w:ascii="宋体" w:hAnsi="宋体" w:eastAsia="宋体"/>
          <w:color w:val="auto"/>
          <w:sz w:val="24"/>
          <w:highlight w:val="none"/>
        </w:rPr>
        <w:t xml:space="preserve">                      年    月    日</w:t>
      </w:r>
    </w:p>
    <w:p>
      <w:pPr>
        <w:spacing w:line="300" w:lineRule="auto"/>
        <w:rPr>
          <w:rFonts w:ascii="宋体" w:hAnsi="宋体" w:eastAsia="宋体"/>
          <w:b/>
          <w:color w:val="auto"/>
          <w:szCs w:val="21"/>
          <w:highlight w:val="none"/>
        </w:rPr>
      </w:pPr>
    </w:p>
    <w:p>
      <w:pPr>
        <w:spacing w:before="120" w:beforeLines="50" w:after="50"/>
        <w:rPr>
          <w:rFonts w:ascii="宋体" w:hAnsi="宋体" w:eastAsia="宋体"/>
          <w:b/>
          <w:color w:val="auto"/>
          <w:kern w:val="2"/>
          <w:sz w:val="24"/>
          <w:szCs w:val="24"/>
          <w:highlight w:val="none"/>
        </w:rPr>
      </w:pPr>
    </w:p>
    <w:p>
      <w:pPr>
        <w:spacing w:before="120" w:beforeLines="50" w:after="50"/>
        <w:rPr>
          <w:rFonts w:ascii="宋体" w:hAnsi="宋体" w:eastAsia="宋体"/>
          <w:b/>
          <w:color w:val="auto"/>
          <w:kern w:val="2"/>
          <w:sz w:val="24"/>
          <w:szCs w:val="24"/>
          <w:highlight w:val="none"/>
        </w:rPr>
      </w:pPr>
    </w:p>
    <w:p>
      <w:pPr>
        <w:spacing w:before="120" w:beforeLines="50" w:after="50"/>
        <w:rPr>
          <w:rFonts w:ascii="宋体" w:hAnsi="宋体" w:eastAsia="宋体"/>
          <w:b/>
          <w:color w:val="auto"/>
          <w:kern w:val="2"/>
          <w:sz w:val="24"/>
          <w:szCs w:val="24"/>
          <w:highlight w:val="none"/>
        </w:rPr>
      </w:pPr>
    </w:p>
    <w:p>
      <w:pPr>
        <w:adjustRightInd/>
        <w:snapToGrid/>
        <w:spacing w:line="220" w:lineRule="atLeast"/>
        <w:rPr>
          <w:rFonts w:ascii="宋体" w:hAnsi="宋体" w:eastAsia="宋体" w:cs="宋体"/>
          <w:color w:val="auto"/>
          <w:szCs w:val="21"/>
          <w:highlight w:val="none"/>
        </w:rPr>
      </w:pPr>
      <w:r>
        <w:rPr>
          <w:rFonts w:hint="eastAsia" w:ascii="宋体" w:hAnsi="宋体" w:eastAsia="宋体"/>
          <w:b/>
          <w:color w:val="auto"/>
          <w:sz w:val="24"/>
          <w:szCs w:val="24"/>
          <w:highlight w:val="none"/>
        </w:rPr>
        <w:t>附件五：</w:t>
      </w:r>
    </w:p>
    <w:p>
      <w:pPr>
        <w:spacing w:before="120" w:beforeLines="50" w:after="5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具备履行合同所必需的设备和专业技术服务能力的承诺书</w:t>
      </w:r>
    </w:p>
    <w:p>
      <w:pPr>
        <w:spacing w:after="0" w:line="400" w:lineRule="exact"/>
        <w:rPr>
          <w:rFonts w:ascii="宋体" w:hAnsi="宋体" w:eastAsia="宋体" w:cs="宋体"/>
          <w:b/>
          <w:bCs/>
          <w:color w:val="auto"/>
          <w:sz w:val="24"/>
          <w:szCs w:val="24"/>
          <w:highlight w:val="none"/>
        </w:rPr>
      </w:pPr>
    </w:p>
    <w:p>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（采购人或代理机构）     </w:t>
      </w:r>
    </w:p>
    <w:p>
      <w:pPr>
        <w:spacing w:after="0"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我单位参加贵公司组织的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编号：）政府采购活动。我单位在此郑重承诺:我单位具有履行合同所必需的设备和专业技术服务能力，完全符合《中华人民共和国政府采购法》第二十二条规定的供应商资格条件，按照采购文件的要求提交响应文件（响应文件），并对所提供的全部资料的真实性承担法律责任。</w:t>
      </w:r>
    </w:p>
    <w:p>
      <w:pPr>
        <w:spacing w:after="0"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pacing w:after="0" w:line="400" w:lineRule="exact"/>
        <w:ind w:firstLine="480" w:firstLineChars="200"/>
        <w:rPr>
          <w:rFonts w:ascii="宋体" w:hAnsi="宋体" w:eastAsia="宋体" w:cs="宋体"/>
          <w:color w:val="auto"/>
          <w:sz w:val="24"/>
          <w:szCs w:val="24"/>
          <w:highlight w:val="none"/>
        </w:rPr>
      </w:pP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pStyle w:val="19"/>
        <w:spacing w:line="500" w:lineRule="exact"/>
        <w:ind w:firstLine="3720" w:firstLineChars="1550"/>
        <w:rPr>
          <w:rFonts w:hAnsi="宋体"/>
          <w:color w:val="auto"/>
          <w:sz w:val="24"/>
          <w:highlight w:val="none"/>
        </w:rPr>
      </w:pPr>
      <w:r>
        <w:rPr>
          <w:rFonts w:hint="eastAsia" w:hAnsi="宋体"/>
          <w:color w:val="auto"/>
          <w:sz w:val="24"/>
          <w:highlight w:val="none"/>
        </w:rPr>
        <w:t>日期：  年  月  日</w:t>
      </w:r>
    </w:p>
    <w:p>
      <w:pPr>
        <w:spacing w:before="120" w:beforeLines="50" w:after="50" w:line="360" w:lineRule="auto"/>
        <w:rPr>
          <w:rFonts w:ascii="宋体" w:hAnsi="宋体" w:eastAsia="宋体" w:cs="宋体"/>
          <w:color w:val="auto"/>
          <w:szCs w:val="21"/>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p>
    <w:p>
      <w:pPr>
        <w:adjustRightInd/>
        <w:snapToGrid/>
        <w:spacing w:line="220" w:lineRule="atLeast"/>
        <w:rPr>
          <w:rFonts w:ascii="宋体" w:hAnsi="宋体" w:eastAsia="宋体"/>
          <w:b/>
          <w:color w:val="auto"/>
          <w:sz w:val="24"/>
          <w:szCs w:val="24"/>
          <w:highlight w:val="none"/>
        </w:rPr>
      </w:pPr>
      <w:r>
        <w:rPr>
          <w:rFonts w:hint="eastAsia" w:ascii="宋体" w:hAnsi="宋体" w:eastAsia="宋体"/>
          <w:b/>
          <w:color w:val="auto"/>
          <w:sz w:val="24"/>
          <w:szCs w:val="24"/>
          <w:highlight w:val="none"/>
        </w:rPr>
        <w:t>附件六：</w:t>
      </w:r>
    </w:p>
    <w:p>
      <w:pPr>
        <w:pStyle w:val="19"/>
        <w:spacing w:line="400" w:lineRule="exact"/>
        <w:rPr>
          <w:rFonts w:hAnsi="宋体"/>
          <w:b/>
          <w:color w:val="auto"/>
          <w:szCs w:val="21"/>
          <w:highlight w:val="none"/>
        </w:rPr>
      </w:pPr>
    </w:p>
    <w:p>
      <w:pPr>
        <w:pStyle w:val="19"/>
        <w:spacing w:line="400" w:lineRule="exact"/>
        <w:jc w:val="center"/>
        <w:rPr>
          <w:rFonts w:hAnsi="宋体"/>
          <w:b/>
          <w:color w:val="auto"/>
          <w:sz w:val="28"/>
          <w:szCs w:val="28"/>
          <w:highlight w:val="none"/>
        </w:rPr>
      </w:pPr>
      <w:r>
        <w:rPr>
          <w:rFonts w:hint="eastAsia" w:hAnsi="宋体"/>
          <w:b/>
          <w:color w:val="auto"/>
          <w:sz w:val="28"/>
          <w:szCs w:val="28"/>
          <w:highlight w:val="none"/>
        </w:rPr>
        <w:t>参加政府采购活动前三年内在经营活动中没有重大违法记录的书面声明</w:t>
      </w:r>
    </w:p>
    <w:p>
      <w:pPr>
        <w:pStyle w:val="19"/>
        <w:spacing w:line="400" w:lineRule="exact"/>
        <w:rPr>
          <w:rFonts w:hAnsi="宋体"/>
          <w:color w:val="auto"/>
          <w:szCs w:val="21"/>
          <w:highlight w:val="none"/>
        </w:rPr>
      </w:pPr>
    </w:p>
    <w:p>
      <w:pPr>
        <w:pStyle w:val="19"/>
        <w:spacing w:line="400" w:lineRule="exact"/>
        <w:rPr>
          <w:rFonts w:hAnsi="宋体"/>
          <w:color w:val="auto"/>
          <w:szCs w:val="21"/>
          <w:highlight w:val="none"/>
        </w:rPr>
      </w:pPr>
    </w:p>
    <w:p>
      <w:pPr>
        <w:pStyle w:val="19"/>
        <w:spacing w:line="500" w:lineRule="exact"/>
        <w:rPr>
          <w:rFonts w:hAnsi="宋体"/>
          <w:color w:val="auto"/>
          <w:sz w:val="24"/>
          <w:szCs w:val="24"/>
          <w:highlight w:val="none"/>
        </w:rPr>
      </w:pPr>
      <w:r>
        <w:rPr>
          <w:rFonts w:hint="eastAsia" w:hAnsi="宋体"/>
          <w:color w:val="auto"/>
          <w:sz w:val="24"/>
          <w:szCs w:val="24"/>
          <w:highlight w:val="none"/>
        </w:rPr>
        <w:t>致：________(采购代理机构)</w:t>
      </w:r>
    </w:p>
    <w:p>
      <w:pPr>
        <w:pStyle w:val="19"/>
        <w:spacing w:line="500" w:lineRule="exact"/>
        <w:ind w:firstLine="480" w:firstLineChars="200"/>
        <w:rPr>
          <w:rFonts w:hAnsi="宋体"/>
          <w:color w:val="auto"/>
          <w:sz w:val="24"/>
          <w:szCs w:val="24"/>
          <w:highlight w:val="none"/>
        </w:rPr>
      </w:pPr>
      <w:r>
        <w:rPr>
          <w:rFonts w:hint="eastAsia" w:hAnsi="宋体"/>
          <w:color w:val="auto"/>
          <w:sz w:val="24"/>
          <w:szCs w:val="24"/>
          <w:highlight w:val="none"/>
        </w:rPr>
        <w:t>我单位参加贵公司组织的</w:t>
      </w:r>
      <w:r>
        <w:rPr>
          <w:rFonts w:hint="eastAsia" w:hAnsi="宋体"/>
          <w:color w:val="auto"/>
          <w:sz w:val="24"/>
          <w:szCs w:val="24"/>
          <w:highlight w:val="none"/>
          <w:u w:val="single"/>
        </w:rPr>
        <w:t>（项目名称）</w:t>
      </w:r>
      <w:r>
        <w:rPr>
          <w:rFonts w:hint="eastAsia" w:hAnsi="宋体"/>
          <w:color w:val="auto"/>
          <w:sz w:val="24"/>
          <w:szCs w:val="24"/>
          <w:highlight w:val="none"/>
        </w:rPr>
        <w:t>（采购编号：）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19"/>
        <w:spacing w:line="500" w:lineRule="exact"/>
        <w:ind w:firstLine="480" w:firstLineChars="200"/>
        <w:rPr>
          <w:rFonts w:hAnsi="宋体"/>
          <w:color w:val="auto"/>
          <w:sz w:val="24"/>
          <w:szCs w:val="24"/>
          <w:highlight w:val="none"/>
        </w:rPr>
      </w:pPr>
      <w:r>
        <w:rPr>
          <w:rFonts w:hint="eastAsia" w:hAnsi="宋体"/>
          <w:color w:val="auto"/>
          <w:sz w:val="24"/>
          <w:szCs w:val="24"/>
          <w:highlight w:val="none"/>
        </w:rPr>
        <w:t>特此承诺。</w:t>
      </w:r>
    </w:p>
    <w:p>
      <w:pPr>
        <w:pStyle w:val="19"/>
        <w:spacing w:line="400" w:lineRule="exact"/>
        <w:rPr>
          <w:rFonts w:hAnsi="宋体"/>
          <w:color w:val="auto"/>
          <w:szCs w:val="21"/>
          <w:highlight w:val="none"/>
        </w:rPr>
      </w:pPr>
    </w:p>
    <w:p>
      <w:pPr>
        <w:pStyle w:val="19"/>
        <w:spacing w:line="300" w:lineRule="auto"/>
        <w:ind w:firstLine="1680" w:firstLineChars="700"/>
        <w:rPr>
          <w:rFonts w:hAnsi="宋体"/>
          <w:color w:val="auto"/>
          <w:sz w:val="24"/>
          <w:szCs w:val="24"/>
          <w:highlight w:val="none"/>
        </w:rPr>
      </w:pPr>
    </w:p>
    <w:p>
      <w:pPr>
        <w:pStyle w:val="19"/>
        <w:spacing w:line="300" w:lineRule="auto"/>
        <w:ind w:firstLine="1680" w:firstLineChars="700"/>
        <w:rPr>
          <w:rFonts w:hAnsi="宋体"/>
          <w:color w:val="auto"/>
          <w:sz w:val="24"/>
          <w:szCs w:val="24"/>
          <w:highlight w:val="none"/>
        </w:rPr>
      </w:pPr>
    </w:p>
    <w:p>
      <w:pPr>
        <w:pStyle w:val="19"/>
        <w:spacing w:line="300" w:lineRule="auto"/>
        <w:ind w:firstLine="1680" w:firstLineChars="700"/>
        <w:rPr>
          <w:rFonts w:hAnsi="宋体"/>
          <w:color w:val="auto"/>
          <w:sz w:val="24"/>
          <w:szCs w:val="24"/>
          <w:highlight w:val="none"/>
        </w:rPr>
      </w:pP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pStyle w:val="19"/>
        <w:spacing w:line="500" w:lineRule="exact"/>
        <w:ind w:firstLine="3720" w:firstLineChars="1550"/>
        <w:rPr>
          <w:rFonts w:hAnsi="宋体"/>
          <w:color w:val="auto"/>
          <w:sz w:val="24"/>
          <w:highlight w:val="none"/>
        </w:rPr>
      </w:pPr>
      <w:r>
        <w:rPr>
          <w:rFonts w:hint="eastAsia" w:hAnsi="宋体"/>
          <w:color w:val="auto"/>
          <w:sz w:val="24"/>
          <w:highlight w:val="none"/>
        </w:rPr>
        <w:t>日期：  年  月  日</w:t>
      </w:r>
    </w:p>
    <w:p>
      <w:pPr>
        <w:pStyle w:val="19"/>
        <w:spacing w:line="400" w:lineRule="exact"/>
        <w:rPr>
          <w:rFonts w:hAnsi="宋体"/>
          <w:color w:val="auto"/>
          <w:szCs w:val="21"/>
          <w:highlight w:val="none"/>
        </w:rPr>
      </w:pPr>
    </w:p>
    <w:p>
      <w:pPr>
        <w:spacing w:before="120" w:beforeLines="50" w:after="50"/>
        <w:rPr>
          <w:rFonts w:ascii="宋体" w:hAnsi="宋体" w:eastAsia="宋体"/>
          <w:color w:val="auto"/>
          <w:szCs w:val="21"/>
          <w:highlight w:val="none"/>
        </w:rPr>
      </w:pPr>
      <w:r>
        <w:rPr>
          <w:rFonts w:ascii="宋体" w:hAnsi="宋体" w:eastAsia="宋体"/>
          <w:color w:val="auto"/>
          <w:szCs w:val="21"/>
          <w:highlight w:val="none"/>
        </w:rPr>
        <w:br w:type="page"/>
      </w:r>
    </w:p>
    <w:p>
      <w:pPr>
        <w:pStyle w:val="19"/>
        <w:spacing w:line="440" w:lineRule="exact"/>
        <w:rPr>
          <w:rFonts w:hAnsi="宋体"/>
          <w:b/>
          <w:color w:val="auto"/>
          <w:sz w:val="24"/>
          <w:szCs w:val="24"/>
          <w:highlight w:val="none"/>
        </w:rPr>
      </w:pPr>
      <w:r>
        <w:rPr>
          <w:rFonts w:hint="eastAsia" w:hAnsi="宋体"/>
          <w:b/>
          <w:color w:val="auto"/>
          <w:sz w:val="24"/>
          <w:szCs w:val="24"/>
          <w:highlight w:val="none"/>
        </w:rPr>
        <w:t>附件七：</w:t>
      </w:r>
    </w:p>
    <w:p>
      <w:pPr>
        <w:pStyle w:val="19"/>
        <w:spacing w:line="400" w:lineRule="exact"/>
        <w:rPr>
          <w:rFonts w:hAnsi="宋体"/>
          <w:color w:val="auto"/>
          <w:szCs w:val="21"/>
          <w:highlight w:val="none"/>
        </w:rPr>
      </w:pPr>
    </w:p>
    <w:p>
      <w:pPr>
        <w:pStyle w:val="101"/>
        <w:ind w:firstLine="0" w:firstLineChars="0"/>
        <w:jc w:val="center"/>
        <w:rPr>
          <w:rFonts w:ascii="宋体" w:hAnsi="宋体"/>
          <w:b/>
          <w:color w:val="auto"/>
          <w:sz w:val="30"/>
          <w:szCs w:val="30"/>
          <w:highlight w:val="none"/>
        </w:rPr>
      </w:pPr>
      <w:r>
        <w:rPr>
          <w:rFonts w:hint="eastAsia" w:ascii="宋体" w:hAnsi="宋体"/>
          <w:b/>
          <w:color w:val="auto"/>
          <w:sz w:val="30"/>
          <w:szCs w:val="30"/>
          <w:highlight w:val="none"/>
        </w:rPr>
        <w:t>供应商控股及管理关系情况申报表</w:t>
      </w:r>
    </w:p>
    <w:p>
      <w:pPr>
        <w:spacing w:line="440" w:lineRule="exact"/>
        <w:rPr>
          <w:rFonts w:ascii="宋体" w:hAnsi="宋体" w:eastAsia="宋体"/>
          <w:color w:val="auto"/>
          <w:sz w:val="24"/>
          <w:szCs w:val="24"/>
          <w:highlight w:val="none"/>
        </w:rPr>
      </w:pPr>
    </w:p>
    <w:p>
      <w:pPr>
        <w:spacing w:line="440" w:lineRule="exact"/>
        <w:rPr>
          <w:rFonts w:ascii="宋体" w:hAnsi="宋体" w:eastAsia="宋体"/>
          <w:color w:val="auto"/>
          <w:kern w:val="2"/>
          <w:sz w:val="24"/>
          <w:szCs w:val="24"/>
          <w:highlight w:val="none"/>
        </w:rPr>
      </w:pPr>
      <w:r>
        <w:rPr>
          <w:rFonts w:hint="eastAsia" w:ascii="宋体" w:hAnsi="宋体" w:eastAsia="宋体"/>
          <w:color w:val="auto"/>
          <w:sz w:val="24"/>
          <w:szCs w:val="24"/>
          <w:highlight w:val="none"/>
        </w:rPr>
        <w:t>致：________(采购代理机构)</w:t>
      </w:r>
    </w:p>
    <w:p>
      <w:pPr>
        <w:spacing w:line="440" w:lineRule="exact"/>
        <w:ind w:firstLine="480" w:firstLineChars="200"/>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我单位参加</w:t>
      </w:r>
      <w:r>
        <w:rPr>
          <w:rFonts w:hint="eastAsia" w:ascii="宋体" w:hAnsi="宋体" w:eastAsia="宋体"/>
          <w:color w:val="auto"/>
          <w:kern w:val="2"/>
          <w:sz w:val="24"/>
          <w:szCs w:val="24"/>
          <w:highlight w:val="none"/>
          <w:u w:val="single"/>
        </w:rPr>
        <w:t xml:space="preserve">   （项目名称）      </w:t>
      </w:r>
      <w:r>
        <w:rPr>
          <w:rFonts w:hint="eastAsia" w:ascii="宋体" w:hAnsi="宋体" w:eastAsia="宋体"/>
          <w:color w:val="auto"/>
          <w:kern w:val="2"/>
          <w:sz w:val="24"/>
          <w:szCs w:val="24"/>
          <w:highlight w:val="none"/>
        </w:rPr>
        <w:t>的竞标，根据《中华人民共和国政府采购法》及相关规定，特就本单位控股及管理关系情况申报如下，并承担申报不实的责任。</w:t>
      </w:r>
    </w:p>
    <w:tbl>
      <w:tblPr>
        <w:tblStyle w:val="38"/>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2627"/>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9" w:type="dxa"/>
            <w:vAlign w:val="center"/>
          </w:tcPr>
          <w:p>
            <w:pPr>
              <w:spacing w:line="44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供应商名称</w:t>
            </w:r>
          </w:p>
        </w:tc>
        <w:tc>
          <w:tcPr>
            <w:tcW w:w="6455" w:type="dxa"/>
            <w:gridSpan w:val="2"/>
            <w:vAlign w:val="center"/>
          </w:tcPr>
          <w:p>
            <w:pPr>
              <w:spacing w:line="44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restart"/>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法定代表人</w:t>
            </w:r>
            <w:r>
              <w:rPr>
                <w:rFonts w:ascii="宋体" w:hAnsi="宋体" w:eastAsia="宋体"/>
                <w:color w:val="auto"/>
                <w:kern w:val="2"/>
                <w:sz w:val="24"/>
                <w:szCs w:val="24"/>
                <w:highlight w:val="none"/>
              </w:rPr>
              <w:t>/</w:t>
            </w:r>
            <w:r>
              <w:rPr>
                <w:rFonts w:hint="eastAsia" w:ascii="宋体" w:hAnsi="宋体" w:eastAsia="宋体"/>
                <w:color w:val="auto"/>
                <w:kern w:val="2"/>
                <w:sz w:val="24"/>
                <w:szCs w:val="24"/>
                <w:highlight w:val="none"/>
              </w:rPr>
              <w:t>单位负责人</w:t>
            </w:r>
          </w:p>
        </w:tc>
        <w:tc>
          <w:tcPr>
            <w:tcW w:w="2627"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姓名</w:t>
            </w:r>
          </w:p>
        </w:tc>
        <w:tc>
          <w:tcPr>
            <w:tcW w:w="3828" w:type="dxa"/>
            <w:vAlign w:val="center"/>
          </w:tcPr>
          <w:p>
            <w:pPr>
              <w:spacing w:line="44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continue"/>
            <w:vAlign w:val="center"/>
          </w:tcPr>
          <w:p>
            <w:pPr>
              <w:spacing w:after="0" w:line="360" w:lineRule="exact"/>
              <w:rPr>
                <w:rFonts w:ascii="宋体" w:hAnsi="宋体" w:eastAsia="宋体"/>
                <w:color w:val="auto"/>
                <w:kern w:val="2"/>
                <w:sz w:val="24"/>
                <w:szCs w:val="24"/>
                <w:highlight w:val="none"/>
              </w:rPr>
            </w:pPr>
          </w:p>
        </w:tc>
        <w:tc>
          <w:tcPr>
            <w:tcW w:w="2627"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身份证号</w:t>
            </w:r>
          </w:p>
        </w:tc>
        <w:tc>
          <w:tcPr>
            <w:tcW w:w="3828" w:type="dxa"/>
            <w:vAlign w:val="center"/>
          </w:tcPr>
          <w:p>
            <w:pPr>
              <w:spacing w:line="44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449"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控股股东</w:t>
            </w:r>
            <w:r>
              <w:rPr>
                <w:rFonts w:ascii="宋体" w:hAnsi="宋体" w:eastAsia="宋体"/>
                <w:color w:val="auto"/>
                <w:kern w:val="2"/>
                <w:sz w:val="24"/>
                <w:szCs w:val="24"/>
                <w:highlight w:val="none"/>
              </w:rPr>
              <w:t>/</w:t>
            </w:r>
            <w:r>
              <w:rPr>
                <w:rFonts w:hint="eastAsia" w:ascii="宋体" w:hAnsi="宋体" w:eastAsia="宋体"/>
                <w:color w:val="auto"/>
                <w:kern w:val="2"/>
                <w:sz w:val="24"/>
                <w:szCs w:val="24"/>
                <w:highlight w:val="none"/>
              </w:rPr>
              <w:t>投资人名称及出资比例</w:t>
            </w:r>
          </w:p>
        </w:tc>
        <w:tc>
          <w:tcPr>
            <w:tcW w:w="6455" w:type="dxa"/>
            <w:gridSpan w:val="2"/>
            <w:vAlign w:val="center"/>
          </w:tcPr>
          <w:p>
            <w:pPr>
              <w:spacing w:after="0" w:line="36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449"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非控股股东</w:t>
            </w:r>
            <w:r>
              <w:rPr>
                <w:rFonts w:ascii="宋体" w:hAnsi="宋体" w:eastAsia="宋体"/>
                <w:color w:val="auto"/>
                <w:kern w:val="2"/>
                <w:sz w:val="24"/>
                <w:szCs w:val="24"/>
                <w:highlight w:val="none"/>
              </w:rPr>
              <w:t>/</w:t>
            </w:r>
            <w:r>
              <w:rPr>
                <w:rFonts w:hint="eastAsia" w:ascii="宋体" w:hAnsi="宋体" w:eastAsia="宋体"/>
                <w:color w:val="auto"/>
                <w:kern w:val="2"/>
                <w:sz w:val="24"/>
                <w:szCs w:val="24"/>
                <w:highlight w:val="none"/>
              </w:rPr>
              <w:t>投资人名称及出资比例</w:t>
            </w:r>
          </w:p>
        </w:tc>
        <w:tc>
          <w:tcPr>
            <w:tcW w:w="6455" w:type="dxa"/>
            <w:gridSpan w:val="2"/>
            <w:vAlign w:val="center"/>
          </w:tcPr>
          <w:p>
            <w:pPr>
              <w:spacing w:after="0" w:line="36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restart"/>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管理关系单位名称</w:t>
            </w:r>
          </w:p>
        </w:tc>
        <w:tc>
          <w:tcPr>
            <w:tcW w:w="2627"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管理关系单位名称</w:t>
            </w:r>
          </w:p>
        </w:tc>
        <w:tc>
          <w:tcPr>
            <w:tcW w:w="3828" w:type="dxa"/>
            <w:vAlign w:val="center"/>
          </w:tcPr>
          <w:p>
            <w:pPr>
              <w:spacing w:line="44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continue"/>
            <w:vAlign w:val="center"/>
          </w:tcPr>
          <w:p>
            <w:pPr>
              <w:spacing w:after="0" w:line="360" w:lineRule="exact"/>
              <w:rPr>
                <w:rFonts w:ascii="宋体" w:hAnsi="宋体" w:eastAsia="宋体"/>
                <w:color w:val="auto"/>
                <w:kern w:val="2"/>
                <w:sz w:val="24"/>
                <w:szCs w:val="24"/>
                <w:highlight w:val="none"/>
              </w:rPr>
            </w:pPr>
          </w:p>
        </w:tc>
        <w:tc>
          <w:tcPr>
            <w:tcW w:w="2627" w:type="dxa"/>
            <w:vAlign w:val="center"/>
          </w:tcPr>
          <w:p>
            <w:pPr>
              <w:spacing w:after="0" w:line="36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被管理关系单位名称</w:t>
            </w:r>
          </w:p>
        </w:tc>
        <w:tc>
          <w:tcPr>
            <w:tcW w:w="3828" w:type="dxa"/>
            <w:vAlign w:val="center"/>
          </w:tcPr>
          <w:p>
            <w:pPr>
              <w:spacing w:line="440" w:lineRule="exact"/>
              <w:rPr>
                <w:rFonts w:ascii="宋体" w:hAnsi="宋体" w:eastAsia="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904" w:type="dxa"/>
            <w:gridSpan w:val="3"/>
            <w:vAlign w:val="center"/>
          </w:tcPr>
          <w:p>
            <w:pPr>
              <w:spacing w:line="44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备注：</w:t>
            </w:r>
          </w:p>
        </w:tc>
      </w:tr>
    </w:tbl>
    <w:p>
      <w:pPr>
        <w:spacing w:after="0" w:line="340" w:lineRule="exact"/>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注：</w:t>
      </w:r>
    </w:p>
    <w:p>
      <w:pPr>
        <w:pStyle w:val="101"/>
        <w:numPr>
          <w:ilvl w:val="3"/>
          <w:numId w:val="4"/>
        </w:numPr>
        <w:adjustRightInd w:val="0"/>
        <w:snapToGrid w:val="0"/>
        <w:spacing w:line="340" w:lineRule="exact"/>
        <w:ind w:left="0" w:firstLine="480"/>
        <w:rPr>
          <w:rFonts w:ascii="宋体" w:hAnsi="宋体" w:cstheme="minorBidi"/>
          <w:color w:val="auto"/>
          <w:sz w:val="24"/>
          <w:highlight w:val="none"/>
        </w:rPr>
      </w:pPr>
      <w:r>
        <w:rPr>
          <w:rFonts w:hint="eastAsia" w:ascii="宋体" w:hAnsi="宋体" w:cstheme="minorBidi"/>
          <w:color w:val="auto"/>
          <w:sz w:val="24"/>
          <w:highlight w:val="none"/>
        </w:rPr>
        <w:t>控股股东</w:t>
      </w:r>
      <w:r>
        <w:rPr>
          <w:rFonts w:ascii="宋体" w:hAnsi="宋体" w:cstheme="minorBidi"/>
          <w:color w:val="auto"/>
          <w:sz w:val="24"/>
          <w:highlight w:val="none"/>
        </w:rPr>
        <w:t>/</w:t>
      </w:r>
      <w:r>
        <w:rPr>
          <w:rFonts w:hint="eastAsia" w:ascii="宋体" w:hAnsi="宋体" w:cstheme="minorBidi"/>
          <w:color w:val="auto"/>
          <w:sz w:val="24"/>
          <w:highlight w:val="none"/>
        </w:rPr>
        <w:t>投资人是指出资比例在</w:t>
      </w:r>
      <w:r>
        <w:rPr>
          <w:rFonts w:ascii="宋体" w:hAnsi="宋体" w:cstheme="minorBidi"/>
          <w:color w:val="auto"/>
          <w:sz w:val="24"/>
          <w:highlight w:val="none"/>
        </w:rPr>
        <w:t>50%</w:t>
      </w:r>
      <w:r>
        <w:rPr>
          <w:rFonts w:hint="eastAsia" w:ascii="宋体" w:hAnsi="宋体" w:cstheme="minorBidi"/>
          <w:color w:val="auto"/>
          <w:sz w:val="24"/>
          <w:highlight w:val="none"/>
        </w:rPr>
        <w:t>以上，或者出资比例不足</w:t>
      </w:r>
      <w:r>
        <w:rPr>
          <w:rFonts w:ascii="宋体" w:hAnsi="宋体" w:cstheme="minorBidi"/>
          <w:color w:val="auto"/>
          <w:sz w:val="24"/>
          <w:highlight w:val="none"/>
        </w:rPr>
        <w:t>50%</w:t>
      </w:r>
      <w:r>
        <w:rPr>
          <w:rFonts w:hint="eastAsia" w:ascii="宋体" w:hAnsi="宋体" w:cstheme="minorBidi"/>
          <w:color w:val="auto"/>
          <w:sz w:val="24"/>
          <w:highlight w:val="none"/>
        </w:rPr>
        <w:t>，但享有公司股东会</w:t>
      </w:r>
      <w:r>
        <w:rPr>
          <w:rFonts w:ascii="宋体" w:hAnsi="宋体" w:cstheme="minorBidi"/>
          <w:color w:val="auto"/>
          <w:sz w:val="24"/>
          <w:highlight w:val="none"/>
        </w:rPr>
        <w:t>/</w:t>
      </w:r>
      <w:r>
        <w:rPr>
          <w:rFonts w:hint="eastAsia" w:ascii="宋体" w:hAnsi="宋体" w:cstheme="minorBidi"/>
          <w:color w:val="auto"/>
          <w:sz w:val="24"/>
          <w:highlight w:val="none"/>
        </w:rPr>
        <w:t>董事会控制权的投资方（含单位或者个人）；</w:t>
      </w:r>
    </w:p>
    <w:p>
      <w:pPr>
        <w:pStyle w:val="101"/>
        <w:numPr>
          <w:ilvl w:val="3"/>
          <w:numId w:val="4"/>
        </w:numPr>
        <w:adjustRightInd w:val="0"/>
        <w:snapToGrid w:val="0"/>
        <w:spacing w:line="340" w:lineRule="exact"/>
        <w:ind w:left="0" w:firstLine="480"/>
        <w:rPr>
          <w:rFonts w:ascii="宋体" w:hAnsi="宋体" w:cstheme="minorBidi"/>
          <w:color w:val="auto"/>
          <w:sz w:val="24"/>
          <w:highlight w:val="none"/>
        </w:rPr>
      </w:pPr>
      <w:r>
        <w:rPr>
          <w:rFonts w:hint="eastAsia" w:ascii="宋体" w:hAnsi="宋体" w:cstheme="minorBidi"/>
          <w:color w:val="auto"/>
          <w:sz w:val="24"/>
          <w:highlight w:val="none"/>
        </w:rPr>
        <w:t>管理关系单位是指与不具有出资持股关系的其他单位之间存在管理与被管理关系的单位；</w:t>
      </w:r>
    </w:p>
    <w:p>
      <w:pPr>
        <w:pStyle w:val="101"/>
        <w:numPr>
          <w:ilvl w:val="3"/>
          <w:numId w:val="4"/>
        </w:numPr>
        <w:adjustRightInd w:val="0"/>
        <w:snapToGrid w:val="0"/>
        <w:spacing w:line="340" w:lineRule="exact"/>
        <w:ind w:left="0" w:firstLine="480"/>
        <w:rPr>
          <w:rFonts w:ascii="宋体" w:hAnsi="宋体"/>
          <w:color w:val="auto"/>
          <w:sz w:val="24"/>
          <w:highlight w:val="none"/>
        </w:rPr>
      </w:pPr>
      <w:r>
        <w:rPr>
          <w:rFonts w:hint="eastAsia" w:ascii="宋体" w:hAnsi="宋体" w:cstheme="minorBidi"/>
          <w:color w:val="auto"/>
          <w:sz w:val="24"/>
          <w:highlight w:val="none"/>
        </w:rPr>
        <w:t>如未有相关情况，请在相应栏填写“无”。</w:t>
      </w:r>
    </w:p>
    <w:p>
      <w:pPr>
        <w:pStyle w:val="19"/>
        <w:spacing w:line="300" w:lineRule="auto"/>
        <w:ind w:firstLine="1680" w:firstLineChars="700"/>
        <w:rPr>
          <w:rFonts w:hAnsi="宋体"/>
          <w:color w:val="auto"/>
          <w:sz w:val="24"/>
          <w:szCs w:val="24"/>
          <w:highlight w:val="none"/>
        </w:rPr>
      </w:pP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spacing w:line="500" w:lineRule="exact"/>
        <w:ind w:firstLine="3720" w:firstLineChars="1550"/>
        <w:rPr>
          <w:rFonts w:ascii="宋体" w:hAnsi="宋体" w:eastAsia="宋体"/>
          <w:color w:val="auto"/>
          <w:sz w:val="24"/>
          <w:highlight w:val="none"/>
        </w:rPr>
      </w:pPr>
      <w:r>
        <w:rPr>
          <w:rFonts w:hint="eastAsia" w:ascii="宋体" w:hAnsi="宋体" w:eastAsia="宋体"/>
          <w:color w:val="auto"/>
          <w:sz w:val="24"/>
          <w:highlight w:val="none"/>
        </w:rPr>
        <w:t>法定代表人或委托代理人：</w:t>
      </w:r>
      <w:r>
        <w:rPr>
          <w:rFonts w:hint="eastAsia" w:ascii="宋体" w:hAnsi="宋体" w:eastAsia="宋体"/>
          <w:color w:val="auto"/>
          <w:sz w:val="24"/>
          <w:highlight w:val="none"/>
          <w:u w:val="single"/>
        </w:rPr>
        <w:t xml:space="preserve">     （签字）   </w:t>
      </w:r>
    </w:p>
    <w:p>
      <w:pPr>
        <w:pStyle w:val="19"/>
        <w:spacing w:line="500" w:lineRule="exact"/>
        <w:ind w:firstLine="3720" w:firstLineChars="1550"/>
        <w:rPr>
          <w:rFonts w:hAnsi="宋体"/>
          <w:color w:val="auto"/>
          <w:szCs w:val="21"/>
          <w:highlight w:val="none"/>
        </w:rPr>
      </w:pPr>
      <w:r>
        <w:rPr>
          <w:rFonts w:hint="eastAsia" w:hAnsi="宋体"/>
          <w:color w:val="auto"/>
          <w:sz w:val="24"/>
          <w:highlight w:val="none"/>
        </w:rPr>
        <w:t>日期：  年  月  日</w:t>
      </w:r>
    </w:p>
    <w:p>
      <w:pPr>
        <w:pStyle w:val="19"/>
        <w:spacing w:line="440" w:lineRule="exact"/>
        <w:rPr>
          <w:rFonts w:hAnsi="宋体"/>
          <w:color w:val="auto"/>
          <w:sz w:val="24"/>
          <w:highlight w:val="none"/>
        </w:rPr>
      </w:pPr>
      <w:r>
        <w:rPr>
          <w:rFonts w:hAnsi="宋体"/>
          <w:color w:val="auto"/>
          <w:sz w:val="24"/>
          <w:highlight w:val="none"/>
        </w:rPr>
        <w:br w:type="page"/>
      </w:r>
      <w:r>
        <w:rPr>
          <w:rFonts w:hint="eastAsia" w:hAnsi="宋体"/>
          <w:b/>
          <w:color w:val="auto"/>
          <w:sz w:val="24"/>
          <w:szCs w:val="24"/>
          <w:highlight w:val="none"/>
        </w:rPr>
        <w:t>附件八：</w:t>
      </w:r>
    </w:p>
    <w:p>
      <w:pPr>
        <w:pStyle w:val="19"/>
        <w:spacing w:line="440" w:lineRule="exact"/>
        <w:jc w:val="center"/>
        <w:rPr>
          <w:rFonts w:hAnsi="宋体"/>
          <w:b/>
          <w:color w:val="auto"/>
          <w:sz w:val="32"/>
          <w:szCs w:val="32"/>
          <w:highlight w:val="none"/>
        </w:rPr>
      </w:pPr>
    </w:p>
    <w:p>
      <w:pPr>
        <w:spacing w:before="120" w:beforeLines="50" w:after="120" w:afterLines="50" w:line="600" w:lineRule="exact"/>
        <w:jc w:val="center"/>
        <w:rPr>
          <w:rFonts w:ascii="宋体" w:hAnsi="宋体" w:eastAsia="宋体"/>
          <w:color w:val="auto"/>
          <w:sz w:val="32"/>
          <w:szCs w:val="32"/>
          <w:highlight w:val="none"/>
        </w:rPr>
      </w:pPr>
      <w:r>
        <w:rPr>
          <w:rFonts w:hint="eastAsia" w:ascii="宋体" w:hAnsi="宋体" w:eastAsia="宋体"/>
          <w:color w:val="auto"/>
          <w:sz w:val="32"/>
          <w:szCs w:val="32"/>
          <w:highlight w:val="none"/>
        </w:rPr>
        <w:t>法定代表人身份证明</w:t>
      </w:r>
    </w:p>
    <w:p>
      <w:pPr>
        <w:pStyle w:val="19"/>
        <w:spacing w:line="460" w:lineRule="exact"/>
        <w:ind w:firstLine="616" w:firstLineChars="257"/>
        <w:rPr>
          <w:rFonts w:hAnsi="宋体"/>
          <w:color w:val="auto"/>
          <w:sz w:val="24"/>
          <w:highlight w:val="none"/>
          <w:u w:val="single"/>
        </w:rPr>
      </w:pPr>
      <w:r>
        <w:rPr>
          <w:rFonts w:hint="eastAsia" w:hAnsi="宋体"/>
          <w:color w:val="auto"/>
          <w:sz w:val="24"/>
          <w:highlight w:val="none"/>
        </w:rPr>
        <w:t>供应商：</w:t>
      </w:r>
    </w:p>
    <w:p>
      <w:pPr>
        <w:pStyle w:val="19"/>
        <w:spacing w:line="460" w:lineRule="exact"/>
        <w:ind w:firstLine="616" w:firstLineChars="257"/>
        <w:rPr>
          <w:rFonts w:hAnsi="宋体"/>
          <w:color w:val="auto"/>
          <w:sz w:val="24"/>
          <w:highlight w:val="none"/>
        </w:rPr>
      </w:pPr>
      <w:r>
        <w:rPr>
          <w:rFonts w:hint="eastAsia" w:hAnsi="宋体"/>
          <w:color w:val="auto"/>
          <w:sz w:val="24"/>
          <w:highlight w:val="none"/>
        </w:rPr>
        <w:t>单位性质：</w:t>
      </w:r>
    </w:p>
    <w:p>
      <w:pPr>
        <w:pStyle w:val="19"/>
        <w:spacing w:line="460" w:lineRule="exact"/>
        <w:ind w:firstLine="616" w:firstLineChars="257"/>
        <w:rPr>
          <w:rFonts w:hAnsi="宋体"/>
          <w:color w:val="auto"/>
          <w:sz w:val="24"/>
          <w:highlight w:val="none"/>
        </w:rPr>
      </w:pPr>
      <w:r>
        <w:rPr>
          <w:rFonts w:hint="eastAsia" w:hAnsi="宋体"/>
          <w:color w:val="auto"/>
          <w:sz w:val="24"/>
          <w:highlight w:val="none"/>
        </w:rPr>
        <w:t>地    址：</w:t>
      </w:r>
    </w:p>
    <w:p>
      <w:pPr>
        <w:pStyle w:val="19"/>
        <w:spacing w:line="460" w:lineRule="exact"/>
        <w:ind w:firstLine="616" w:firstLineChars="257"/>
        <w:rPr>
          <w:rFonts w:hAnsi="宋体"/>
          <w:color w:val="auto"/>
          <w:sz w:val="24"/>
          <w:highlight w:val="none"/>
        </w:rPr>
      </w:pPr>
      <w:r>
        <w:rPr>
          <w:rFonts w:hint="eastAsia" w:hAnsi="宋体"/>
          <w:color w:val="auto"/>
          <w:sz w:val="24"/>
          <w:highlight w:val="none"/>
        </w:rPr>
        <w:t>成立时间：年月日</w:t>
      </w:r>
    </w:p>
    <w:p>
      <w:pPr>
        <w:pStyle w:val="19"/>
        <w:spacing w:line="460" w:lineRule="exact"/>
        <w:ind w:firstLine="616" w:firstLineChars="257"/>
        <w:rPr>
          <w:rFonts w:hAnsi="宋体"/>
          <w:color w:val="auto"/>
          <w:sz w:val="24"/>
          <w:highlight w:val="none"/>
        </w:rPr>
      </w:pPr>
      <w:r>
        <w:rPr>
          <w:rFonts w:hint="eastAsia" w:hAnsi="宋体"/>
          <w:color w:val="auto"/>
          <w:sz w:val="24"/>
          <w:highlight w:val="none"/>
        </w:rPr>
        <w:t>经营期限：</w:t>
      </w:r>
    </w:p>
    <w:p>
      <w:pPr>
        <w:pStyle w:val="19"/>
        <w:spacing w:line="460" w:lineRule="exact"/>
        <w:ind w:firstLine="616" w:firstLineChars="257"/>
        <w:rPr>
          <w:rFonts w:hAnsi="宋体"/>
          <w:color w:val="auto"/>
          <w:sz w:val="24"/>
          <w:highlight w:val="none"/>
        </w:rPr>
      </w:pPr>
      <w:r>
        <w:rPr>
          <w:rFonts w:hint="eastAsia" w:hAnsi="宋体"/>
          <w:color w:val="auto"/>
          <w:sz w:val="24"/>
          <w:highlight w:val="none"/>
        </w:rPr>
        <w:t>姓    名：性      别：</w:t>
      </w:r>
    </w:p>
    <w:p>
      <w:pPr>
        <w:pStyle w:val="19"/>
        <w:spacing w:line="460" w:lineRule="exact"/>
        <w:ind w:firstLine="616" w:firstLineChars="257"/>
        <w:rPr>
          <w:rFonts w:hAnsi="宋体"/>
          <w:color w:val="auto"/>
          <w:sz w:val="24"/>
          <w:highlight w:val="none"/>
          <w:u w:val="single"/>
        </w:rPr>
      </w:pPr>
      <w:r>
        <w:rPr>
          <w:rFonts w:hint="eastAsia" w:hAnsi="宋体"/>
          <w:color w:val="auto"/>
          <w:sz w:val="24"/>
          <w:highlight w:val="none"/>
        </w:rPr>
        <w:t>年    龄：职      务：</w:t>
      </w:r>
    </w:p>
    <w:p>
      <w:pPr>
        <w:pStyle w:val="19"/>
        <w:spacing w:line="460" w:lineRule="exact"/>
        <w:ind w:firstLine="616" w:firstLineChars="257"/>
        <w:rPr>
          <w:rFonts w:hAnsi="宋体"/>
          <w:color w:val="auto"/>
          <w:sz w:val="24"/>
          <w:highlight w:val="none"/>
        </w:rPr>
      </w:pPr>
      <w:r>
        <w:rPr>
          <w:rFonts w:hint="eastAsia" w:hAnsi="宋体"/>
          <w:color w:val="auto"/>
          <w:sz w:val="24"/>
          <w:highlight w:val="none"/>
        </w:rPr>
        <w:t>身份证号码：</w:t>
      </w:r>
    </w:p>
    <w:p>
      <w:pPr>
        <w:pStyle w:val="19"/>
        <w:spacing w:line="460" w:lineRule="exact"/>
        <w:ind w:firstLine="616" w:firstLineChars="257"/>
        <w:rPr>
          <w:rFonts w:hAnsi="宋体"/>
          <w:color w:val="auto"/>
          <w:sz w:val="24"/>
          <w:highlight w:val="none"/>
        </w:rPr>
      </w:pPr>
      <w:r>
        <w:rPr>
          <w:rFonts w:hint="eastAsia" w:hAnsi="宋体"/>
          <w:color w:val="auto"/>
          <w:sz w:val="24"/>
          <w:highlight w:val="none"/>
        </w:rPr>
        <w:t>系</w:t>
      </w:r>
      <w:r>
        <w:rPr>
          <w:rFonts w:hint="eastAsia" w:hAnsi="宋体"/>
          <w:color w:val="auto"/>
          <w:sz w:val="24"/>
          <w:highlight w:val="none"/>
          <w:u w:val="single"/>
        </w:rPr>
        <w:t xml:space="preserve">（供应商名称）               </w:t>
      </w:r>
      <w:r>
        <w:rPr>
          <w:rFonts w:hint="eastAsia" w:hAnsi="宋体"/>
          <w:color w:val="auto"/>
          <w:sz w:val="24"/>
          <w:highlight w:val="none"/>
        </w:rPr>
        <w:t>的法定代表人。</w:t>
      </w:r>
    </w:p>
    <w:p>
      <w:pPr>
        <w:pStyle w:val="19"/>
        <w:spacing w:line="460" w:lineRule="exact"/>
        <w:ind w:firstLine="616" w:firstLineChars="257"/>
        <w:rPr>
          <w:rFonts w:hAnsi="宋体"/>
          <w:color w:val="auto"/>
          <w:sz w:val="24"/>
          <w:highlight w:val="none"/>
        </w:rPr>
      </w:pPr>
      <w:r>
        <w:rPr>
          <w:rFonts w:hint="eastAsia" w:hAnsi="宋体"/>
          <w:color w:val="auto"/>
          <w:sz w:val="24"/>
          <w:highlight w:val="none"/>
        </w:rPr>
        <w:t>特此证明。</w:t>
      </w:r>
    </w:p>
    <w:p>
      <w:pPr>
        <w:pStyle w:val="19"/>
        <w:spacing w:line="460" w:lineRule="exact"/>
        <w:ind w:firstLine="616" w:firstLineChars="257"/>
        <w:rPr>
          <w:rFonts w:hAnsi="宋体"/>
          <w:color w:val="auto"/>
          <w:sz w:val="24"/>
          <w:szCs w:val="24"/>
          <w:highlight w:val="none"/>
        </w:rPr>
      </w:pPr>
      <w:r>
        <w:rPr>
          <w:rFonts w:hint="eastAsia" w:hAnsi="宋体"/>
          <w:color w:val="auto"/>
          <w:kern w:val="0"/>
          <w:sz w:val="24"/>
          <w:highlight w:val="none"/>
        </w:rPr>
        <w:t>附：法定代表人有效的身份证正反面复印件，并加盖公章。</w:t>
      </w:r>
    </w:p>
    <w:p>
      <w:pPr>
        <w:pStyle w:val="19"/>
        <w:spacing w:line="460" w:lineRule="exact"/>
        <w:ind w:firstLine="616" w:firstLineChars="257"/>
        <w:rPr>
          <w:rFonts w:hAnsi="宋体"/>
          <w:color w:val="auto"/>
          <w:sz w:val="24"/>
          <w:szCs w:val="24"/>
          <w:highlight w:val="none"/>
        </w:rPr>
      </w:pPr>
    </w:p>
    <w:p>
      <w:pPr>
        <w:pStyle w:val="19"/>
        <w:spacing w:line="460" w:lineRule="exact"/>
        <w:ind w:firstLine="616" w:firstLineChars="257"/>
        <w:rPr>
          <w:rFonts w:hAnsi="宋体"/>
          <w:color w:val="auto"/>
          <w:sz w:val="24"/>
          <w:szCs w:val="24"/>
          <w:highlight w:val="none"/>
        </w:rPr>
      </w:pPr>
    </w:p>
    <w:p>
      <w:pPr>
        <w:pStyle w:val="19"/>
        <w:spacing w:line="460" w:lineRule="exact"/>
        <w:ind w:firstLine="616" w:firstLineChars="257"/>
        <w:rPr>
          <w:rFonts w:hAnsi="宋体"/>
          <w:color w:val="auto"/>
          <w:sz w:val="24"/>
          <w:szCs w:val="24"/>
          <w:highlight w:val="none"/>
        </w:rPr>
      </w:pPr>
    </w:p>
    <w:p>
      <w:pPr>
        <w:pStyle w:val="19"/>
        <w:spacing w:line="460" w:lineRule="exact"/>
        <w:ind w:firstLine="616" w:firstLineChars="257"/>
        <w:rPr>
          <w:rFonts w:hAnsi="宋体"/>
          <w:color w:val="auto"/>
          <w:sz w:val="24"/>
          <w:szCs w:val="24"/>
          <w:highlight w:val="none"/>
        </w:rPr>
      </w:pPr>
    </w:p>
    <w:p>
      <w:pPr>
        <w:spacing w:after="0" w:line="500" w:lineRule="exact"/>
        <w:ind w:firstLine="3840" w:firstLineChars="16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 </w:t>
      </w:r>
    </w:p>
    <w:p>
      <w:pPr>
        <w:pStyle w:val="19"/>
        <w:spacing w:line="460" w:lineRule="exact"/>
        <w:ind w:firstLine="3840" w:firstLineChars="1600"/>
        <w:rPr>
          <w:rFonts w:hAnsi="宋体"/>
          <w:color w:val="auto"/>
          <w:sz w:val="24"/>
          <w:szCs w:val="24"/>
          <w:highlight w:val="none"/>
        </w:rPr>
      </w:pPr>
      <w:r>
        <w:rPr>
          <w:rFonts w:hint="eastAsia" w:hAnsi="宋体"/>
          <w:color w:val="auto"/>
          <w:sz w:val="24"/>
          <w:highlight w:val="none"/>
        </w:rPr>
        <w:t>日期：  年  月  日</w:t>
      </w:r>
    </w:p>
    <w:p>
      <w:pPr>
        <w:adjustRightInd/>
        <w:snapToGrid/>
        <w:spacing w:line="220" w:lineRule="atLeast"/>
        <w:rPr>
          <w:rFonts w:ascii="宋体" w:hAnsi="宋体" w:eastAsia="宋体"/>
          <w:color w:val="auto"/>
          <w:sz w:val="24"/>
          <w:highlight w:val="none"/>
        </w:rPr>
      </w:pPr>
      <w:r>
        <w:rPr>
          <w:rFonts w:ascii="宋体" w:hAnsi="宋体" w:eastAsia="宋体"/>
          <w:color w:val="auto"/>
          <w:sz w:val="24"/>
          <w:highlight w:val="none"/>
        </w:rPr>
        <w:br w:type="page"/>
      </w:r>
    </w:p>
    <w:p>
      <w:pPr>
        <w:spacing w:line="400" w:lineRule="exact"/>
        <w:rPr>
          <w:rFonts w:ascii="宋体" w:hAnsi="宋体" w:eastAsia="宋体"/>
          <w:b/>
          <w:color w:val="auto"/>
          <w:sz w:val="24"/>
          <w:highlight w:val="none"/>
        </w:rPr>
      </w:pPr>
    </w:p>
    <w:p>
      <w:pPr>
        <w:spacing w:line="400" w:lineRule="exact"/>
        <w:rPr>
          <w:rFonts w:ascii="宋体" w:hAnsi="宋体" w:eastAsia="宋体"/>
          <w:color w:val="auto"/>
          <w:sz w:val="24"/>
          <w:highlight w:val="none"/>
        </w:rPr>
      </w:pPr>
      <w:r>
        <w:rPr>
          <w:rFonts w:hint="eastAsia" w:ascii="宋体" w:hAnsi="宋体" w:eastAsia="宋体"/>
          <w:b/>
          <w:color w:val="auto"/>
          <w:sz w:val="24"/>
          <w:highlight w:val="none"/>
        </w:rPr>
        <w:t>附件九：</w:t>
      </w:r>
    </w:p>
    <w:p>
      <w:pPr>
        <w:spacing w:before="120" w:beforeLines="50" w:after="120" w:afterLines="50" w:line="600" w:lineRule="exact"/>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法定代表人授权委托书</w:t>
      </w:r>
    </w:p>
    <w:p>
      <w:pPr>
        <w:autoSpaceDE w:val="0"/>
        <w:rPr>
          <w:rFonts w:ascii="宋体" w:hAnsi="宋体" w:eastAsia="宋体" w:cs="Arial"/>
          <w:b/>
          <w:color w:val="auto"/>
          <w:szCs w:val="21"/>
          <w:highlight w:val="none"/>
        </w:rPr>
      </w:pPr>
    </w:p>
    <w:p>
      <w:pPr>
        <w:spacing w:after="0" w:line="440" w:lineRule="exact"/>
        <w:rPr>
          <w:rFonts w:ascii="宋体" w:hAnsi="宋体" w:eastAsia="宋体" w:cs="Arial"/>
          <w:b/>
          <w:bCs/>
          <w:color w:val="auto"/>
          <w:sz w:val="24"/>
          <w:highlight w:val="none"/>
        </w:rPr>
      </w:pPr>
      <w:r>
        <w:rPr>
          <w:rFonts w:hint="eastAsia" w:ascii="宋体" w:hAnsi="宋体" w:eastAsia="宋体" w:cs="Arial"/>
          <w:bCs/>
          <w:color w:val="auto"/>
          <w:sz w:val="24"/>
          <w:highlight w:val="none"/>
        </w:rPr>
        <w:t>致</w:t>
      </w:r>
      <w:r>
        <w:rPr>
          <w:rFonts w:hint="eastAsia" w:ascii="宋体" w:hAnsi="宋体" w:eastAsia="宋体" w:cs="Arial"/>
          <w:color w:val="auto"/>
          <w:sz w:val="24"/>
          <w:highlight w:val="none"/>
        </w:rPr>
        <w:t>：（采购代理机构）</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我</w:t>
      </w:r>
      <w:r>
        <w:rPr>
          <w:rFonts w:hint="eastAsia" w:ascii="宋体" w:hAnsi="宋体" w:eastAsia="宋体" w:cs="Arial"/>
          <w:color w:val="auto"/>
          <w:sz w:val="24"/>
          <w:highlight w:val="none"/>
          <w:u w:val="single"/>
        </w:rPr>
        <w:t>（姓名）</w:t>
      </w:r>
      <w:r>
        <w:rPr>
          <w:rFonts w:hint="eastAsia" w:ascii="宋体" w:hAnsi="宋体" w:eastAsia="宋体" w:cs="Arial"/>
          <w:color w:val="auto"/>
          <w:sz w:val="24"/>
          <w:highlight w:val="none"/>
        </w:rPr>
        <w:t>系</w:t>
      </w:r>
      <w:r>
        <w:rPr>
          <w:rFonts w:hint="eastAsia" w:ascii="宋体" w:hAnsi="宋体" w:eastAsia="宋体" w:cs="Arial"/>
          <w:color w:val="auto"/>
          <w:sz w:val="24"/>
          <w:highlight w:val="none"/>
          <w:u w:val="single"/>
        </w:rPr>
        <w:t>（供应商名称）</w:t>
      </w:r>
      <w:r>
        <w:rPr>
          <w:rFonts w:hint="eastAsia" w:ascii="宋体" w:hAnsi="宋体" w:eastAsia="宋体" w:cs="Arial"/>
          <w:color w:val="auto"/>
          <w:sz w:val="24"/>
          <w:highlight w:val="none"/>
        </w:rPr>
        <w:t>的法定代表人，现授权委托本单位在职职工</w:t>
      </w:r>
      <w:r>
        <w:rPr>
          <w:rFonts w:hint="eastAsia" w:ascii="宋体" w:hAnsi="宋体" w:eastAsia="宋体" w:cs="Arial"/>
          <w:color w:val="auto"/>
          <w:sz w:val="24"/>
          <w:highlight w:val="none"/>
          <w:u w:val="single"/>
        </w:rPr>
        <w:t xml:space="preserve"> （姓名）</w:t>
      </w:r>
      <w:r>
        <w:rPr>
          <w:rFonts w:hint="eastAsia" w:ascii="宋体" w:hAnsi="宋体" w:eastAsia="宋体" w:cs="Arial"/>
          <w:color w:val="auto"/>
          <w:sz w:val="24"/>
          <w:highlight w:val="none"/>
        </w:rPr>
        <w:t>以我方的名义参加</w:t>
      </w:r>
      <w:r>
        <w:rPr>
          <w:rFonts w:hint="eastAsia" w:ascii="宋体" w:hAnsi="宋体" w:eastAsia="宋体"/>
          <w:color w:val="auto"/>
          <w:sz w:val="24"/>
          <w:highlight w:val="none"/>
          <w:u w:val="single"/>
        </w:rPr>
        <w:t xml:space="preserve">（项目名称）（采购编号：      </w:t>
      </w:r>
      <w:r>
        <w:rPr>
          <w:rFonts w:hint="eastAsia" w:ascii="宋体" w:hAnsi="宋体" w:eastAsia="宋体"/>
          <w:color w:val="auto"/>
          <w:sz w:val="24"/>
          <w:highlight w:val="none"/>
        </w:rPr>
        <w:t>）</w:t>
      </w:r>
      <w:r>
        <w:rPr>
          <w:rFonts w:hint="eastAsia" w:ascii="宋体" w:hAnsi="宋体" w:eastAsia="宋体" w:cs="Arial"/>
          <w:color w:val="auto"/>
          <w:sz w:val="24"/>
          <w:highlight w:val="none"/>
        </w:rPr>
        <w:t>项目的竞标活动，并代表我方全权办理针对上述项目的响应文件签署、响应文件提交、谈判、签订合同和处理一切有关事宜等。</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我方对被授权人的签名事项负全部责任。</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授权委托期限：年月日至年月日。被授权人在授权书有效期内签署的所有文件均有效。</w:t>
      </w: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被授权人无转委托权，特此委托。</w:t>
      </w:r>
    </w:p>
    <w:p>
      <w:pPr>
        <w:spacing w:after="0" w:line="440" w:lineRule="exact"/>
        <w:ind w:firstLine="480" w:firstLineChars="200"/>
        <w:rPr>
          <w:rFonts w:ascii="宋体" w:hAnsi="宋体" w:eastAsia="宋体" w:cs="Arial"/>
          <w:color w:val="auto"/>
          <w:sz w:val="24"/>
          <w:highlight w:val="none"/>
        </w:rPr>
      </w:pPr>
    </w:p>
    <w:p>
      <w:pPr>
        <w:spacing w:after="0" w:line="440" w:lineRule="exact"/>
        <w:ind w:firstLine="480" w:firstLineChars="200"/>
        <w:rPr>
          <w:rFonts w:ascii="宋体" w:hAnsi="宋体" w:eastAsia="宋体" w:cs="Arial"/>
          <w:color w:val="auto"/>
          <w:sz w:val="24"/>
          <w:highlight w:val="none"/>
        </w:rPr>
      </w:pPr>
      <w:r>
        <w:rPr>
          <w:rFonts w:hint="eastAsia" w:ascii="宋体" w:hAnsi="宋体" w:eastAsia="宋体" w:cs="Arial"/>
          <w:color w:val="auto"/>
          <w:sz w:val="24"/>
          <w:highlight w:val="none"/>
        </w:rPr>
        <w:t>附：被授权人有效的身份证正反面复印件，并加盖公章。</w:t>
      </w:r>
    </w:p>
    <w:p>
      <w:pPr>
        <w:spacing w:line="440" w:lineRule="exact"/>
        <w:ind w:firstLine="480" w:firstLineChars="200"/>
        <w:rPr>
          <w:rFonts w:ascii="宋体" w:hAnsi="宋体" w:eastAsia="宋体" w:cs="Arial"/>
          <w:color w:val="auto"/>
          <w:sz w:val="24"/>
          <w:highlight w:val="none"/>
        </w:rPr>
      </w:pPr>
    </w:p>
    <w:p>
      <w:pPr>
        <w:spacing w:line="440" w:lineRule="exact"/>
        <w:ind w:firstLine="2760" w:firstLineChars="1150"/>
        <w:rPr>
          <w:rFonts w:ascii="宋体" w:hAnsi="宋体" w:eastAsia="宋体" w:cs="Arial"/>
          <w:color w:val="auto"/>
          <w:sz w:val="24"/>
          <w:highlight w:val="none"/>
          <w:u w:val="single"/>
        </w:rPr>
      </w:pPr>
      <w:r>
        <w:rPr>
          <w:rFonts w:hint="eastAsia" w:ascii="宋体" w:hAnsi="宋体" w:eastAsia="宋体"/>
          <w:color w:val="auto"/>
          <w:sz w:val="24"/>
          <w:highlight w:val="none"/>
        </w:rPr>
        <w:t>供应商：</w:t>
      </w:r>
      <w:r>
        <w:rPr>
          <w:rFonts w:hint="eastAsia" w:ascii="宋体" w:hAnsi="宋体" w:eastAsia="宋体"/>
          <w:color w:val="auto"/>
          <w:sz w:val="24"/>
          <w:highlight w:val="none"/>
          <w:u w:val="single"/>
        </w:rPr>
        <w:t xml:space="preserve">  （单位名称并盖公章）</w:t>
      </w:r>
    </w:p>
    <w:p>
      <w:pPr>
        <w:spacing w:line="440" w:lineRule="exact"/>
        <w:ind w:firstLine="2760" w:firstLineChars="1150"/>
        <w:rPr>
          <w:rFonts w:ascii="宋体" w:hAnsi="宋体" w:eastAsia="宋体" w:cs="Arial"/>
          <w:color w:val="auto"/>
          <w:sz w:val="24"/>
          <w:highlight w:val="none"/>
          <w:u w:val="single"/>
        </w:rPr>
      </w:pPr>
      <w:r>
        <w:rPr>
          <w:rFonts w:hint="eastAsia" w:ascii="宋体" w:hAnsi="宋体" w:eastAsia="宋体" w:cs="Arial"/>
          <w:color w:val="auto"/>
          <w:sz w:val="24"/>
          <w:highlight w:val="none"/>
        </w:rPr>
        <w:t>法定代表人（签字）：</w:t>
      </w:r>
    </w:p>
    <w:p>
      <w:pPr>
        <w:spacing w:line="440" w:lineRule="exact"/>
        <w:ind w:firstLine="2760" w:firstLineChars="1150"/>
        <w:rPr>
          <w:rFonts w:ascii="宋体" w:hAnsi="宋体" w:eastAsia="宋体" w:cs="Arial"/>
          <w:color w:val="auto"/>
          <w:sz w:val="24"/>
          <w:highlight w:val="none"/>
          <w:u w:val="single"/>
        </w:rPr>
      </w:pPr>
      <w:r>
        <w:rPr>
          <w:rFonts w:hint="eastAsia" w:ascii="宋体" w:hAnsi="宋体" w:eastAsia="宋体" w:cs="Arial"/>
          <w:color w:val="auto"/>
          <w:sz w:val="24"/>
          <w:highlight w:val="none"/>
        </w:rPr>
        <w:t>法定代表人身份证号码：</w:t>
      </w:r>
    </w:p>
    <w:p>
      <w:pPr>
        <w:spacing w:line="440" w:lineRule="exact"/>
        <w:ind w:firstLine="2760" w:firstLineChars="1150"/>
        <w:rPr>
          <w:rFonts w:ascii="宋体" w:hAnsi="宋体" w:eastAsia="宋体" w:cs="Arial"/>
          <w:color w:val="auto"/>
          <w:sz w:val="24"/>
          <w:highlight w:val="none"/>
          <w:u w:val="single"/>
        </w:rPr>
      </w:pPr>
      <w:r>
        <w:rPr>
          <w:rFonts w:hint="eastAsia" w:ascii="宋体" w:hAnsi="宋体" w:eastAsia="宋体" w:cs="Arial"/>
          <w:color w:val="auto"/>
          <w:sz w:val="24"/>
          <w:highlight w:val="none"/>
        </w:rPr>
        <w:t>委托代理人（签字）：</w:t>
      </w:r>
    </w:p>
    <w:p>
      <w:pPr>
        <w:spacing w:line="440" w:lineRule="exact"/>
        <w:ind w:firstLine="2760" w:firstLineChars="1150"/>
        <w:rPr>
          <w:rFonts w:ascii="宋体" w:hAnsi="宋体" w:eastAsia="宋体" w:cs="Arial"/>
          <w:color w:val="auto"/>
          <w:sz w:val="24"/>
          <w:highlight w:val="none"/>
          <w:u w:val="single"/>
        </w:rPr>
      </w:pPr>
      <w:r>
        <w:rPr>
          <w:rFonts w:hint="eastAsia" w:ascii="宋体" w:hAnsi="宋体" w:eastAsia="宋体" w:cs="Arial"/>
          <w:color w:val="auto"/>
          <w:sz w:val="24"/>
          <w:highlight w:val="none"/>
        </w:rPr>
        <w:t>委托代理人身份证号码：</w:t>
      </w:r>
    </w:p>
    <w:p>
      <w:pPr>
        <w:spacing w:line="440" w:lineRule="exact"/>
        <w:ind w:firstLine="2880" w:firstLineChars="1200"/>
        <w:rPr>
          <w:rFonts w:ascii="宋体" w:hAnsi="宋体" w:eastAsia="宋体" w:cs="Arial"/>
          <w:color w:val="auto"/>
          <w:sz w:val="24"/>
          <w:highlight w:val="none"/>
        </w:rPr>
      </w:pPr>
      <w:r>
        <w:rPr>
          <w:rFonts w:hint="eastAsia" w:ascii="宋体" w:hAnsi="宋体" w:eastAsia="宋体"/>
          <w:color w:val="auto"/>
          <w:sz w:val="24"/>
          <w:highlight w:val="none"/>
        </w:rPr>
        <w:t>日期：  年  月  日</w:t>
      </w:r>
    </w:p>
    <w:p>
      <w:pPr>
        <w:spacing w:line="440" w:lineRule="exact"/>
        <w:ind w:firstLine="480" w:firstLineChars="200"/>
        <w:rPr>
          <w:rFonts w:ascii="宋体" w:hAnsi="宋体" w:eastAsia="宋体" w:cs="Arial"/>
          <w:color w:val="auto"/>
          <w:sz w:val="24"/>
          <w:highlight w:val="none"/>
        </w:rPr>
      </w:pPr>
    </w:p>
    <w:p>
      <w:pPr>
        <w:adjustRightInd/>
        <w:snapToGrid/>
        <w:spacing w:line="220" w:lineRule="atLeast"/>
        <w:rPr>
          <w:rFonts w:ascii="宋体" w:hAnsi="宋体" w:eastAsia="宋体" w:cs="Arial"/>
          <w:color w:val="auto"/>
          <w:kern w:val="2"/>
          <w:sz w:val="24"/>
          <w:szCs w:val="24"/>
          <w:highlight w:val="none"/>
        </w:rPr>
      </w:pPr>
      <w:r>
        <w:rPr>
          <w:rFonts w:ascii="宋体" w:hAnsi="宋体" w:eastAsia="宋体" w:cs="Arial"/>
          <w:color w:val="auto"/>
          <w:sz w:val="24"/>
          <w:szCs w:val="24"/>
          <w:highlight w:val="none"/>
        </w:rPr>
        <w:br w:type="page"/>
      </w:r>
    </w:p>
    <w:p>
      <w:pPr>
        <w:pStyle w:val="12"/>
        <w:overflowPunct w:val="0"/>
        <w:ind w:firstLine="0"/>
        <w:rPr>
          <w:rFonts w:ascii="宋体" w:hAnsi="宋体"/>
          <w:color w:val="auto"/>
          <w:sz w:val="24"/>
          <w:highlight w:val="none"/>
        </w:rPr>
      </w:pPr>
    </w:p>
    <w:p>
      <w:pPr>
        <w:spacing w:line="300" w:lineRule="auto"/>
        <w:rPr>
          <w:rFonts w:ascii="宋体" w:hAnsi="宋体" w:eastAsia="宋体" w:cs="Arial"/>
          <w:b/>
          <w:color w:val="auto"/>
          <w:sz w:val="24"/>
          <w:highlight w:val="none"/>
        </w:rPr>
      </w:pPr>
      <w:r>
        <w:rPr>
          <w:rFonts w:hint="eastAsia" w:ascii="宋体" w:hAnsi="宋体" w:eastAsia="宋体" w:cs="Arial"/>
          <w:b/>
          <w:color w:val="auto"/>
          <w:sz w:val="24"/>
          <w:highlight w:val="none"/>
        </w:rPr>
        <w:t>附件十：</w:t>
      </w:r>
    </w:p>
    <w:p>
      <w:pPr>
        <w:ind w:firstLine="2891" w:firstLineChars="800"/>
        <w:rPr>
          <w:color w:val="auto"/>
          <w:highlight w:val="none"/>
        </w:rPr>
      </w:pPr>
      <w:r>
        <w:rPr>
          <w:rFonts w:hint="eastAsia" w:ascii="宋体" w:hAnsi="宋体" w:eastAsia="宋体" w:cs="宋体"/>
          <w:b/>
          <w:color w:val="auto"/>
          <w:sz w:val="36"/>
          <w:szCs w:val="36"/>
          <w:highlight w:val="none"/>
          <w:lang w:bidi="ar"/>
        </w:rPr>
        <w:t xml:space="preserve">中小企业声明函（货物） </w:t>
      </w:r>
    </w:p>
    <w:p>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lang w:bidi="ar"/>
        </w:rPr>
        <w:t>（单位名称）</w:t>
      </w:r>
      <w:r>
        <w:rPr>
          <w:rFonts w:hint="eastAsia" w:ascii="宋体" w:hAnsi="宋体" w:eastAsia="宋体" w:cs="宋体"/>
          <w:color w:val="auto"/>
          <w:sz w:val="24"/>
          <w:szCs w:val="24"/>
          <w:highlight w:val="none"/>
          <w:lang w:bidi="ar"/>
        </w:rPr>
        <w:t>的</w:t>
      </w:r>
      <w:r>
        <w:rPr>
          <w:rFonts w:hint="eastAsia" w:ascii="宋体" w:hAnsi="宋体" w:eastAsia="宋体" w:cs="宋体"/>
          <w:color w:val="auto"/>
          <w:sz w:val="24"/>
          <w:szCs w:val="24"/>
          <w:highlight w:val="none"/>
          <w:u w:val="single"/>
          <w:lang w:bidi="ar"/>
        </w:rPr>
        <w:t>（项目名称）</w:t>
      </w:r>
      <w:r>
        <w:rPr>
          <w:rFonts w:hint="eastAsia" w:ascii="宋体" w:hAnsi="宋体" w:eastAsia="宋体" w:cs="宋体"/>
          <w:color w:val="auto"/>
          <w:sz w:val="24"/>
          <w:szCs w:val="24"/>
          <w:highlight w:val="none"/>
          <w:lang w:bidi="ar"/>
        </w:rPr>
        <w:t xml:space="preserve">采购活动，提供的货物全部由符合政策要求的中小企业制造。相关企业（含联合体中的中小企业、签订分包意向协议的中小企业）的具体情况如下： </w:t>
      </w:r>
    </w:p>
    <w:p>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1. </w:t>
      </w:r>
      <w:r>
        <w:rPr>
          <w:rFonts w:hint="eastAsia" w:ascii="宋体" w:hAnsi="宋体" w:eastAsia="宋体" w:cs="宋体"/>
          <w:color w:val="auto"/>
          <w:sz w:val="24"/>
          <w:szCs w:val="24"/>
          <w:highlight w:val="none"/>
          <w:u w:val="single"/>
          <w:lang w:bidi="ar"/>
        </w:rPr>
        <w:t>（标的名称）</w:t>
      </w:r>
      <w:r>
        <w:rPr>
          <w:rFonts w:hint="eastAsia" w:ascii="宋体" w:hAnsi="宋体" w:eastAsia="宋体" w:cs="宋体"/>
          <w:color w:val="auto"/>
          <w:sz w:val="24"/>
          <w:szCs w:val="24"/>
          <w:highlight w:val="none"/>
          <w:lang w:bidi="ar"/>
        </w:rPr>
        <w:t xml:space="preserve"> ，属于</w:t>
      </w:r>
      <w:r>
        <w:rPr>
          <w:rFonts w:hint="eastAsia" w:ascii="宋体" w:hAnsi="宋体" w:eastAsia="宋体" w:cs="宋体"/>
          <w:color w:val="auto"/>
          <w:sz w:val="24"/>
          <w:szCs w:val="24"/>
          <w:highlight w:val="none"/>
          <w:u w:val="single"/>
          <w:lang w:bidi="ar"/>
        </w:rPr>
        <w:t>（采购文件中明确的所属行业）</w:t>
      </w:r>
      <w:r>
        <w:rPr>
          <w:rFonts w:hint="eastAsia" w:ascii="宋体" w:hAnsi="宋体" w:eastAsia="宋体" w:cs="宋体"/>
          <w:color w:val="auto"/>
          <w:sz w:val="24"/>
          <w:szCs w:val="24"/>
          <w:highlight w:val="none"/>
          <w:lang w:bidi="ar"/>
        </w:rPr>
        <w:t xml:space="preserve"> 行业；制造商为</w:t>
      </w:r>
      <w:r>
        <w:rPr>
          <w:rFonts w:hint="eastAsia" w:ascii="宋体" w:hAnsi="宋体" w:eastAsia="宋体" w:cs="宋体"/>
          <w:color w:val="auto"/>
          <w:sz w:val="24"/>
          <w:szCs w:val="24"/>
          <w:highlight w:val="none"/>
          <w:u w:val="single"/>
          <w:lang w:bidi="ar"/>
        </w:rPr>
        <w:t>（企业名称）</w:t>
      </w:r>
      <w:r>
        <w:rPr>
          <w:rFonts w:hint="eastAsia" w:ascii="宋体" w:hAnsi="宋体" w:eastAsia="宋体" w:cs="宋体"/>
          <w:color w:val="auto"/>
          <w:sz w:val="24"/>
          <w:szCs w:val="24"/>
          <w:highlight w:val="none"/>
          <w:lang w:bidi="ar"/>
        </w:rPr>
        <w:t>，从业人员</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人，营业收入为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万元，资产总额为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万元，属于</w:t>
      </w:r>
      <w:r>
        <w:rPr>
          <w:rFonts w:hint="eastAsia" w:ascii="宋体" w:hAnsi="宋体" w:eastAsia="宋体" w:cs="宋体"/>
          <w:color w:val="auto"/>
          <w:sz w:val="24"/>
          <w:szCs w:val="24"/>
          <w:highlight w:val="none"/>
          <w:u w:val="single"/>
          <w:lang w:bidi="ar"/>
        </w:rPr>
        <w:t>（中型企业、小型企业、微型企业）</w:t>
      </w:r>
      <w:r>
        <w:rPr>
          <w:rFonts w:hint="eastAsia" w:ascii="宋体" w:hAnsi="宋体" w:eastAsia="宋体" w:cs="宋体"/>
          <w:color w:val="auto"/>
          <w:sz w:val="24"/>
          <w:szCs w:val="24"/>
          <w:highlight w:val="none"/>
          <w:lang w:bidi="ar"/>
        </w:rPr>
        <w:t xml:space="preserve">； </w:t>
      </w:r>
    </w:p>
    <w:p>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2. </w:t>
      </w:r>
      <w:r>
        <w:rPr>
          <w:rFonts w:hint="eastAsia" w:ascii="宋体" w:hAnsi="宋体" w:eastAsia="宋体" w:cs="宋体"/>
          <w:color w:val="auto"/>
          <w:sz w:val="24"/>
          <w:szCs w:val="24"/>
          <w:highlight w:val="none"/>
          <w:u w:val="single"/>
          <w:lang w:bidi="ar"/>
        </w:rPr>
        <w:t>（标的名称）</w:t>
      </w:r>
      <w:r>
        <w:rPr>
          <w:rFonts w:hint="eastAsia" w:ascii="宋体" w:hAnsi="宋体" w:eastAsia="宋体" w:cs="宋体"/>
          <w:color w:val="auto"/>
          <w:sz w:val="24"/>
          <w:szCs w:val="24"/>
          <w:highlight w:val="none"/>
          <w:lang w:bidi="ar"/>
        </w:rPr>
        <w:t xml:space="preserve"> ，属于</w:t>
      </w:r>
      <w:r>
        <w:rPr>
          <w:rFonts w:hint="eastAsia" w:ascii="宋体" w:hAnsi="宋体" w:eastAsia="宋体" w:cs="宋体"/>
          <w:color w:val="auto"/>
          <w:sz w:val="24"/>
          <w:szCs w:val="24"/>
          <w:highlight w:val="none"/>
          <w:u w:val="single"/>
          <w:lang w:bidi="ar"/>
        </w:rPr>
        <w:t>（采购文件中明确的所属行业）</w:t>
      </w:r>
      <w:r>
        <w:rPr>
          <w:rFonts w:hint="eastAsia" w:ascii="宋体" w:hAnsi="宋体" w:eastAsia="宋体" w:cs="宋体"/>
          <w:color w:val="auto"/>
          <w:sz w:val="24"/>
          <w:szCs w:val="24"/>
          <w:highlight w:val="none"/>
          <w:lang w:bidi="ar"/>
        </w:rPr>
        <w:t xml:space="preserve"> 行业；制造商为</w:t>
      </w:r>
      <w:r>
        <w:rPr>
          <w:rFonts w:hint="eastAsia" w:ascii="宋体" w:hAnsi="宋体" w:eastAsia="宋体" w:cs="宋体"/>
          <w:color w:val="auto"/>
          <w:sz w:val="24"/>
          <w:szCs w:val="24"/>
          <w:highlight w:val="none"/>
          <w:u w:val="single"/>
          <w:lang w:bidi="ar"/>
        </w:rPr>
        <w:t>（企业名称）</w:t>
      </w:r>
      <w:r>
        <w:rPr>
          <w:rFonts w:hint="eastAsia" w:ascii="宋体" w:hAnsi="宋体" w:eastAsia="宋体" w:cs="宋体"/>
          <w:color w:val="auto"/>
          <w:sz w:val="24"/>
          <w:szCs w:val="24"/>
          <w:highlight w:val="none"/>
          <w:lang w:bidi="ar"/>
        </w:rPr>
        <w:t>，从业人员</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人，营业收入为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万元，资产总额为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万元，属于</w:t>
      </w:r>
      <w:r>
        <w:rPr>
          <w:rFonts w:hint="eastAsia" w:ascii="宋体" w:hAnsi="宋体" w:eastAsia="宋体" w:cs="宋体"/>
          <w:color w:val="auto"/>
          <w:sz w:val="24"/>
          <w:szCs w:val="24"/>
          <w:highlight w:val="none"/>
          <w:u w:val="single"/>
          <w:lang w:bidi="ar"/>
        </w:rPr>
        <w:t>（中型企业、小型 企业、微型企业）</w:t>
      </w:r>
      <w:r>
        <w:rPr>
          <w:rFonts w:hint="eastAsia" w:ascii="宋体" w:hAnsi="宋体" w:eastAsia="宋体" w:cs="宋体"/>
          <w:color w:val="auto"/>
          <w:sz w:val="24"/>
          <w:szCs w:val="24"/>
          <w:highlight w:val="none"/>
          <w:lang w:bidi="ar"/>
        </w:rPr>
        <w:t xml:space="preserve">； </w:t>
      </w:r>
    </w:p>
    <w:p>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w:t>
      </w:r>
    </w:p>
    <w:p>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以上企业，不属于大企业的分支机构，不存在控股股东为大企业的情形，也不存在与大企业的负责人为同一人的情形。</w:t>
      </w:r>
    </w:p>
    <w:p>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本企业对上述声明内容的真实性负责。如有虚假，将依法承担相应责任。 </w:t>
      </w:r>
    </w:p>
    <w:p>
      <w:pPr>
        <w:ind w:firstLine="3840" w:firstLineChars="1600"/>
        <w:rPr>
          <w:rFonts w:ascii="宋体" w:hAnsi="宋体" w:eastAsia="宋体" w:cs="宋体"/>
          <w:color w:val="auto"/>
          <w:sz w:val="24"/>
          <w:szCs w:val="24"/>
          <w:highlight w:val="none"/>
          <w:lang w:bidi="ar"/>
        </w:rPr>
      </w:pPr>
    </w:p>
    <w:p>
      <w:pPr>
        <w:ind w:firstLine="3840" w:firstLineChars="16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企业名称（盖章）： </w:t>
      </w:r>
    </w:p>
    <w:p>
      <w:pPr>
        <w:ind w:firstLine="5040" w:firstLineChars="2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日 期： </w:t>
      </w:r>
    </w:p>
    <w:p>
      <w:pPr>
        <w:rPr>
          <w:color w:val="auto"/>
          <w:highlight w:val="none"/>
        </w:rPr>
      </w:pPr>
      <w:r>
        <w:rPr>
          <w:rFonts w:ascii="Times New Roman" w:hAnsi="Times New Roman" w:eastAsia="宋体" w:cs="Times New Roman"/>
          <w:color w:val="auto"/>
          <w:sz w:val="11"/>
          <w:szCs w:val="11"/>
          <w:highlight w:val="none"/>
          <w:lang w:bidi="ar"/>
        </w:rPr>
        <w:t>1</w:t>
      </w:r>
      <w:r>
        <w:rPr>
          <w:rFonts w:hint="eastAsia" w:ascii="宋体" w:hAnsi="宋体" w:eastAsia="宋体" w:cs="宋体"/>
          <w:color w:val="auto"/>
          <w:sz w:val="18"/>
          <w:szCs w:val="18"/>
          <w:highlight w:val="none"/>
          <w:lang w:bidi="ar"/>
        </w:rPr>
        <w:t>从业人员、营业收入、资产总额填报上一年度数据，无上一年度数据的新成立企业可不填报。</w:t>
      </w:r>
    </w:p>
    <w:p>
      <w:pPr>
        <w:rPr>
          <w:rFonts w:ascii="宋体" w:hAnsi="宋体" w:eastAsia="宋体"/>
          <w:b/>
          <w:color w:val="auto"/>
          <w:sz w:val="24"/>
          <w:szCs w:val="24"/>
          <w:highlight w:val="none"/>
        </w:rPr>
      </w:pPr>
    </w:p>
    <w:p>
      <w:pPr>
        <w:rPr>
          <w:rFonts w:ascii="宋体" w:hAnsi="宋体" w:eastAsia="宋体"/>
          <w:b/>
          <w:color w:val="auto"/>
          <w:sz w:val="24"/>
          <w:szCs w:val="24"/>
          <w:highlight w:val="none"/>
        </w:rPr>
      </w:pPr>
    </w:p>
    <w:p>
      <w:pPr>
        <w:pStyle w:val="15"/>
        <w:rPr>
          <w:rFonts w:ascii="宋体" w:hAnsi="宋体"/>
          <w:b/>
          <w:color w:val="auto"/>
          <w:sz w:val="24"/>
          <w:highlight w:val="none"/>
        </w:rPr>
      </w:pPr>
    </w:p>
    <w:p>
      <w:pPr>
        <w:rPr>
          <w:rFonts w:ascii="宋体" w:hAnsi="宋体" w:eastAsia="宋体"/>
          <w:b/>
          <w:color w:val="auto"/>
          <w:sz w:val="24"/>
          <w:szCs w:val="24"/>
          <w:highlight w:val="none"/>
        </w:rPr>
      </w:pPr>
    </w:p>
    <w:p>
      <w:pPr>
        <w:pStyle w:val="15"/>
        <w:rPr>
          <w:rFonts w:ascii="宋体" w:hAnsi="宋体"/>
          <w:b/>
          <w:color w:val="auto"/>
          <w:sz w:val="24"/>
          <w:highlight w:val="none"/>
        </w:rPr>
      </w:pPr>
    </w:p>
    <w:p>
      <w:pPr>
        <w:rPr>
          <w:rFonts w:ascii="宋体" w:hAnsi="宋体" w:eastAsia="宋体"/>
          <w:b/>
          <w:color w:val="auto"/>
          <w:sz w:val="24"/>
          <w:szCs w:val="24"/>
          <w:highlight w:val="none"/>
        </w:rPr>
      </w:pPr>
    </w:p>
    <w:p>
      <w:pPr>
        <w:pStyle w:val="15"/>
        <w:rPr>
          <w:rFonts w:ascii="宋体" w:hAnsi="宋体"/>
          <w:b/>
          <w:color w:val="auto"/>
          <w:sz w:val="24"/>
          <w:highlight w:val="none"/>
        </w:rPr>
      </w:pPr>
    </w:p>
    <w:p>
      <w:pPr>
        <w:rPr>
          <w:rFonts w:ascii="宋体" w:hAnsi="宋体" w:eastAsia="宋体"/>
          <w:b/>
          <w:color w:val="auto"/>
          <w:sz w:val="24"/>
          <w:szCs w:val="24"/>
          <w:highlight w:val="none"/>
        </w:rPr>
      </w:pPr>
    </w:p>
    <w:p>
      <w:pPr>
        <w:pStyle w:val="15"/>
        <w:rPr>
          <w:rFonts w:ascii="宋体" w:hAnsi="宋体"/>
          <w:b/>
          <w:color w:val="auto"/>
          <w:sz w:val="24"/>
          <w:highlight w:val="none"/>
        </w:rPr>
      </w:pPr>
    </w:p>
    <w:p>
      <w:pPr>
        <w:rPr>
          <w:rFonts w:ascii="宋体" w:hAnsi="宋体" w:eastAsia="宋体"/>
          <w:b/>
          <w:color w:val="auto"/>
          <w:sz w:val="24"/>
          <w:szCs w:val="24"/>
          <w:highlight w:val="none"/>
        </w:rPr>
      </w:pPr>
    </w:p>
    <w:p>
      <w:pPr>
        <w:pStyle w:val="15"/>
        <w:rPr>
          <w:color w:val="auto"/>
          <w:highlight w:val="none"/>
        </w:rPr>
      </w:pPr>
    </w:p>
    <w:p>
      <w:pPr>
        <w:rPr>
          <w:rFonts w:ascii="宋体" w:hAnsi="宋体" w:eastAsia="宋体" w:cs="仿宋"/>
          <w:b/>
          <w:color w:val="auto"/>
          <w:sz w:val="32"/>
          <w:szCs w:val="32"/>
          <w:highlight w:val="none"/>
        </w:rPr>
      </w:pPr>
      <w:r>
        <w:rPr>
          <w:rFonts w:hint="eastAsia" w:ascii="宋体" w:hAnsi="宋体" w:eastAsia="宋体"/>
          <w:b/>
          <w:color w:val="auto"/>
          <w:sz w:val="24"/>
          <w:szCs w:val="24"/>
          <w:highlight w:val="none"/>
        </w:rPr>
        <w:t>附件十</w:t>
      </w:r>
      <w:r>
        <w:rPr>
          <w:rFonts w:hint="eastAsia" w:ascii="宋体" w:hAnsi="宋体" w:eastAsia="宋体"/>
          <w:b/>
          <w:color w:val="auto"/>
          <w:sz w:val="24"/>
          <w:szCs w:val="24"/>
          <w:highlight w:val="none"/>
          <w:lang w:eastAsia="zh-CN"/>
        </w:rPr>
        <w:t>一</w:t>
      </w:r>
      <w:r>
        <w:rPr>
          <w:rFonts w:hint="eastAsia" w:ascii="宋体" w:hAnsi="宋体" w:eastAsia="宋体"/>
          <w:b/>
          <w:color w:val="auto"/>
          <w:sz w:val="24"/>
          <w:szCs w:val="24"/>
          <w:highlight w:val="none"/>
        </w:rPr>
        <w:t>：</w:t>
      </w:r>
    </w:p>
    <w:p>
      <w:pPr>
        <w:jc w:val="center"/>
        <w:rPr>
          <w:rFonts w:ascii="宋体" w:hAnsi="宋体" w:eastAsia="宋体" w:cs="仿宋"/>
          <w:b/>
          <w:color w:val="auto"/>
          <w:sz w:val="32"/>
          <w:szCs w:val="32"/>
          <w:highlight w:val="none"/>
        </w:rPr>
      </w:pPr>
    </w:p>
    <w:p>
      <w:pPr>
        <w:spacing w:line="588" w:lineRule="exact"/>
        <w:jc w:val="center"/>
        <w:rPr>
          <w:rFonts w:ascii="宋体" w:hAnsi="宋体" w:eastAsia="宋体"/>
          <w:b/>
          <w:color w:val="auto"/>
          <w:spacing w:val="6"/>
          <w:sz w:val="32"/>
          <w:szCs w:val="32"/>
          <w:highlight w:val="none"/>
        </w:rPr>
      </w:pPr>
      <w:bookmarkStart w:id="166" w:name="OLE_LINK13"/>
      <w:bookmarkStart w:id="167" w:name="OLE_LINK14"/>
      <w:r>
        <w:rPr>
          <w:rFonts w:hint="eastAsia" w:ascii="宋体" w:hAnsi="宋体" w:eastAsia="宋体"/>
          <w:b/>
          <w:color w:val="auto"/>
          <w:spacing w:val="6"/>
          <w:sz w:val="32"/>
          <w:szCs w:val="32"/>
          <w:highlight w:val="none"/>
        </w:rPr>
        <w:t>残疾人福利性单位声明函</w:t>
      </w:r>
    </w:p>
    <w:bookmarkEnd w:id="166"/>
    <w:bookmarkEnd w:id="167"/>
    <w:p>
      <w:pPr>
        <w:spacing w:line="588" w:lineRule="exact"/>
        <w:ind w:firstLine="504" w:firstLineChars="200"/>
        <w:rPr>
          <w:rFonts w:ascii="宋体" w:hAnsi="宋体" w:eastAsia="宋体" w:cs="仿宋"/>
          <w:color w:val="auto"/>
          <w:spacing w:val="6"/>
          <w:sz w:val="24"/>
          <w:szCs w:val="24"/>
          <w:highlight w:val="none"/>
        </w:rPr>
      </w:pPr>
      <w:r>
        <w:rPr>
          <w:rFonts w:hint="eastAsia" w:ascii="宋体" w:hAnsi="宋体" w:eastAsia="宋体" w:cs="仿宋"/>
          <w:color w:val="auto"/>
          <w:spacing w:val="6"/>
          <w:sz w:val="24"/>
          <w:szCs w:val="24"/>
          <w:highlight w:val="none"/>
        </w:rPr>
        <w:t>本单位郑重声明，根据《财政部、民政部、中国残疾人联合会关于促进残疾人就业政府采购政策的通知》（财库</w:t>
      </w:r>
      <w:r>
        <w:rPr>
          <w:rFonts w:hint="eastAsia" w:ascii="宋体" w:hAnsi="宋体" w:eastAsia="宋体" w:cs="仿宋"/>
          <w:color w:val="auto"/>
          <w:sz w:val="24"/>
          <w:szCs w:val="24"/>
          <w:highlight w:val="none"/>
        </w:rPr>
        <w:t>〔2017〕 141</w:t>
      </w:r>
      <w:r>
        <w:rPr>
          <w:rFonts w:hint="eastAsia" w:ascii="宋体" w:hAnsi="宋体" w:eastAsia="宋体" w:cs="仿宋"/>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eastAsia="宋体" w:cs="仿宋"/>
          <w:color w:val="auto"/>
          <w:spacing w:val="6"/>
          <w:sz w:val="24"/>
          <w:szCs w:val="24"/>
          <w:highlight w:val="none"/>
        </w:rPr>
      </w:pPr>
      <w:r>
        <w:rPr>
          <w:rFonts w:hint="eastAsia" w:ascii="宋体" w:hAnsi="宋体" w:eastAsia="宋体" w:cs="仿宋"/>
          <w:color w:val="auto"/>
          <w:spacing w:val="6"/>
          <w:sz w:val="24"/>
          <w:szCs w:val="24"/>
          <w:highlight w:val="none"/>
        </w:rPr>
        <w:t>本单位对上述声明的真实性负责。如有虚假，将依法承担相应责任。</w:t>
      </w:r>
    </w:p>
    <w:p>
      <w:pPr>
        <w:spacing w:line="588" w:lineRule="exact"/>
        <w:ind w:firstLine="504" w:firstLineChars="200"/>
        <w:rPr>
          <w:rFonts w:ascii="宋体" w:hAnsi="宋体" w:eastAsia="宋体" w:cs="仿宋"/>
          <w:color w:val="auto"/>
          <w:spacing w:val="6"/>
          <w:sz w:val="24"/>
          <w:szCs w:val="24"/>
          <w:highlight w:val="none"/>
        </w:rPr>
      </w:pPr>
    </w:p>
    <w:p>
      <w:pPr>
        <w:spacing w:line="588" w:lineRule="exact"/>
        <w:ind w:firstLine="504" w:firstLineChars="200"/>
        <w:rPr>
          <w:rFonts w:ascii="宋体" w:hAnsi="宋体" w:eastAsia="宋体" w:cs="仿宋"/>
          <w:color w:val="auto"/>
          <w:spacing w:val="6"/>
          <w:sz w:val="24"/>
          <w:szCs w:val="24"/>
          <w:highlight w:val="none"/>
        </w:rPr>
      </w:pPr>
    </w:p>
    <w:p>
      <w:pPr>
        <w:tabs>
          <w:tab w:val="left" w:pos="4860"/>
        </w:tabs>
        <w:spacing w:line="588" w:lineRule="exact"/>
        <w:ind w:right="1560" w:firstLine="504" w:firstLineChars="200"/>
        <w:jc w:val="center"/>
        <w:rPr>
          <w:rFonts w:ascii="宋体" w:hAnsi="宋体" w:eastAsia="宋体" w:cs="仿宋"/>
          <w:color w:val="auto"/>
          <w:spacing w:val="6"/>
          <w:sz w:val="24"/>
          <w:szCs w:val="24"/>
          <w:highlight w:val="none"/>
        </w:rPr>
      </w:pPr>
      <w:r>
        <w:rPr>
          <w:rFonts w:hint="eastAsia" w:ascii="宋体" w:hAnsi="宋体" w:eastAsia="宋体" w:cs="仿宋"/>
          <w:color w:val="auto"/>
          <w:spacing w:val="6"/>
          <w:sz w:val="24"/>
          <w:szCs w:val="24"/>
          <w:highlight w:val="none"/>
        </w:rPr>
        <w:t xml:space="preserve">                        单位名称（盖章）：</w:t>
      </w:r>
    </w:p>
    <w:p>
      <w:pPr>
        <w:tabs>
          <w:tab w:val="left" w:pos="4860"/>
        </w:tabs>
        <w:spacing w:line="588" w:lineRule="exact"/>
        <w:ind w:right="1560" w:firstLine="504" w:firstLineChars="200"/>
        <w:jc w:val="center"/>
        <w:rPr>
          <w:rFonts w:ascii="宋体" w:hAnsi="宋体" w:eastAsia="宋体" w:cs="仿宋"/>
          <w:color w:val="auto"/>
          <w:spacing w:val="6"/>
          <w:sz w:val="24"/>
          <w:szCs w:val="24"/>
          <w:highlight w:val="none"/>
        </w:rPr>
      </w:pPr>
      <w:r>
        <w:rPr>
          <w:rFonts w:hint="eastAsia" w:ascii="宋体" w:hAnsi="宋体" w:eastAsia="宋体" w:cs="仿宋"/>
          <w:color w:val="auto"/>
          <w:spacing w:val="6"/>
          <w:sz w:val="24"/>
          <w:szCs w:val="24"/>
          <w:highlight w:val="none"/>
        </w:rPr>
        <w:t xml:space="preserve">              日  期：</w:t>
      </w:r>
    </w:p>
    <w:p>
      <w:pPr>
        <w:pStyle w:val="19"/>
        <w:ind w:firstLine="281" w:firstLineChars="100"/>
        <w:outlineLvl w:val="2"/>
        <w:rPr>
          <w:rFonts w:hAnsi="宋体" w:cs="仿宋"/>
          <w:b/>
          <w:bCs/>
          <w:color w:val="auto"/>
          <w:sz w:val="28"/>
          <w:szCs w:val="28"/>
          <w:highlight w:val="none"/>
        </w:rPr>
      </w:pPr>
    </w:p>
    <w:p>
      <w:pPr>
        <w:pStyle w:val="19"/>
        <w:ind w:firstLine="281" w:firstLineChars="100"/>
        <w:outlineLvl w:val="2"/>
        <w:rPr>
          <w:rFonts w:hAnsi="宋体" w:cs="仿宋"/>
          <w:b/>
          <w:bCs/>
          <w:color w:val="auto"/>
          <w:sz w:val="28"/>
          <w:szCs w:val="28"/>
          <w:highlight w:val="none"/>
        </w:rPr>
      </w:pPr>
    </w:p>
    <w:p>
      <w:pPr>
        <w:pStyle w:val="19"/>
        <w:ind w:firstLine="281" w:firstLineChars="100"/>
        <w:outlineLvl w:val="2"/>
        <w:rPr>
          <w:rFonts w:hAnsi="宋体" w:cs="仿宋"/>
          <w:b/>
          <w:bCs/>
          <w:color w:val="auto"/>
          <w:sz w:val="28"/>
          <w:szCs w:val="28"/>
          <w:highlight w:val="none"/>
        </w:rPr>
      </w:pPr>
    </w:p>
    <w:p>
      <w:pPr>
        <w:pStyle w:val="19"/>
        <w:ind w:firstLine="281" w:firstLineChars="100"/>
        <w:outlineLvl w:val="2"/>
        <w:rPr>
          <w:rFonts w:hAnsi="宋体" w:cs="仿宋"/>
          <w:b/>
          <w:bCs/>
          <w:color w:val="auto"/>
          <w:sz w:val="28"/>
          <w:szCs w:val="28"/>
          <w:highlight w:val="none"/>
        </w:rPr>
      </w:pPr>
    </w:p>
    <w:p>
      <w:pPr>
        <w:pStyle w:val="19"/>
        <w:ind w:firstLine="281" w:firstLineChars="100"/>
        <w:outlineLvl w:val="2"/>
        <w:rPr>
          <w:rFonts w:hAnsi="宋体" w:cs="仿宋"/>
          <w:b/>
          <w:bCs/>
          <w:color w:val="auto"/>
          <w:sz w:val="28"/>
          <w:szCs w:val="28"/>
          <w:highlight w:val="none"/>
        </w:rPr>
      </w:pPr>
    </w:p>
    <w:p>
      <w:pPr>
        <w:pStyle w:val="19"/>
        <w:ind w:firstLine="281" w:firstLineChars="100"/>
        <w:outlineLvl w:val="2"/>
        <w:rPr>
          <w:rFonts w:hAnsi="宋体" w:cs="仿宋"/>
          <w:b/>
          <w:bCs/>
          <w:color w:val="auto"/>
          <w:sz w:val="28"/>
          <w:szCs w:val="28"/>
          <w:highlight w:val="none"/>
        </w:rPr>
      </w:pPr>
    </w:p>
    <w:p>
      <w:pPr>
        <w:pStyle w:val="19"/>
        <w:ind w:firstLine="281" w:firstLineChars="100"/>
        <w:outlineLvl w:val="2"/>
        <w:rPr>
          <w:rFonts w:hAnsi="宋体" w:cs="仿宋"/>
          <w:b/>
          <w:bCs/>
          <w:color w:val="auto"/>
          <w:sz w:val="28"/>
          <w:szCs w:val="28"/>
          <w:highlight w:val="none"/>
        </w:rPr>
      </w:pPr>
    </w:p>
    <w:p>
      <w:pPr>
        <w:pStyle w:val="19"/>
        <w:ind w:firstLine="281" w:firstLineChars="100"/>
        <w:outlineLvl w:val="2"/>
        <w:rPr>
          <w:rFonts w:hAnsi="宋体" w:cs="仿宋"/>
          <w:b/>
          <w:bCs/>
          <w:color w:val="auto"/>
          <w:sz w:val="28"/>
          <w:szCs w:val="28"/>
          <w:highlight w:val="none"/>
        </w:rPr>
      </w:pPr>
    </w:p>
    <w:p>
      <w:pPr>
        <w:spacing w:after="0" w:line="360" w:lineRule="exact"/>
        <w:ind w:firstLine="446" w:firstLineChars="200"/>
        <w:rPr>
          <w:rFonts w:ascii="宋体" w:hAnsi="宋体" w:eastAsia="宋体"/>
          <w:b/>
          <w:color w:val="auto"/>
          <w:spacing w:val="6"/>
          <w:sz w:val="21"/>
          <w:szCs w:val="21"/>
          <w:highlight w:val="none"/>
        </w:rPr>
      </w:pPr>
      <w:r>
        <w:rPr>
          <w:rFonts w:hint="eastAsia" w:ascii="宋体" w:hAnsi="宋体" w:eastAsia="宋体"/>
          <w:b/>
          <w:color w:val="auto"/>
          <w:spacing w:val="6"/>
          <w:sz w:val="21"/>
          <w:szCs w:val="21"/>
          <w:highlight w:val="none"/>
        </w:rPr>
        <w:t>注：1、</w:t>
      </w:r>
      <w:r>
        <w:rPr>
          <w:rFonts w:hint="eastAsia" w:ascii="宋体" w:hAnsi="宋体" w:eastAsia="宋体"/>
          <w:b/>
          <w:color w:val="auto"/>
          <w:spacing w:val="6"/>
          <w:sz w:val="21"/>
          <w:szCs w:val="21"/>
          <w:highlight w:val="none"/>
          <w:u w:val="single"/>
        </w:rPr>
        <w:t>成交供应商为残疾人福利性单位的，成交结果将同时公告其《残疾人福利性单位声明函》，接受社会监督</w:t>
      </w:r>
      <w:r>
        <w:rPr>
          <w:rFonts w:hint="eastAsia" w:ascii="宋体" w:hAnsi="宋体" w:eastAsia="宋体"/>
          <w:b/>
          <w:color w:val="auto"/>
          <w:spacing w:val="6"/>
          <w:sz w:val="21"/>
          <w:szCs w:val="21"/>
          <w:highlight w:val="none"/>
        </w:rPr>
        <w:t>。</w:t>
      </w:r>
    </w:p>
    <w:p>
      <w:pPr>
        <w:spacing w:after="0" w:line="360" w:lineRule="exact"/>
        <w:ind w:firstLine="446" w:firstLineChars="200"/>
        <w:rPr>
          <w:rFonts w:ascii="宋体" w:hAnsi="宋体" w:eastAsia="宋体"/>
          <w:b/>
          <w:color w:val="auto"/>
          <w:spacing w:val="6"/>
          <w:sz w:val="21"/>
          <w:szCs w:val="21"/>
          <w:highlight w:val="none"/>
        </w:rPr>
      </w:pPr>
      <w:r>
        <w:rPr>
          <w:rFonts w:hint="eastAsia" w:ascii="宋体" w:hAnsi="宋体" w:eastAsia="宋体"/>
          <w:b/>
          <w:color w:val="auto"/>
          <w:spacing w:val="6"/>
          <w:sz w:val="21"/>
          <w:szCs w:val="21"/>
          <w:highlight w:val="none"/>
        </w:rPr>
        <w:t>2、</w:t>
      </w:r>
      <w:r>
        <w:rPr>
          <w:rFonts w:hint="eastAsia" w:ascii="宋体" w:hAnsi="宋体" w:eastAsia="宋体"/>
          <w:b/>
          <w:color w:val="auto"/>
          <w:spacing w:val="6"/>
          <w:sz w:val="21"/>
          <w:szCs w:val="21"/>
          <w:highlight w:val="none"/>
          <w:u w:val="single"/>
        </w:rPr>
        <w:t>供应商提供的《残疾人福利性单位声明函》与事实不符的，依照《政府采购法》第七十七条第一款的规定追究法律责任</w:t>
      </w:r>
      <w:r>
        <w:rPr>
          <w:rFonts w:hint="eastAsia" w:ascii="宋体" w:hAnsi="宋体" w:eastAsia="宋体"/>
          <w:b/>
          <w:color w:val="auto"/>
          <w:spacing w:val="6"/>
          <w:sz w:val="21"/>
          <w:szCs w:val="21"/>
          <w:highlight w:val="none"/>
        </w:rPr>
        <w:t>。</w:t>
      </w:r>
    </w:p>
    <w:p>
      <w:pPr>
        <w:adjustRightInd/>
        <w:snapToGrid/>
        <w:spacing w:after="0"/>
        <w:rPr>
          <w:rFonts w:ascii="宋体" w:hAnsi="宋体" w:eastAsia="宋体"/>
          <w:b/>
          <w:color w:val="auto"/>
          <w:spacing w:val="6"/>
          <w:sz w:val="21"/>
          <w:szCs w:val="21"/>
          <w:highlight w:val="none"/>
        </w:rPr>
      </w:pPr>
    </w:p>
    <w:sectPr>
      <w:pgSz w:w="11907" w:h="16840"/>
      <w:pgMar w:top="1077" w:right="1275" w:bottom="1418" w:left="1077" w:header="624"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2"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50</w:t>
    </w:r>
    <w:r>
      <w:fldChar w:fldCharType="end"/>
    </w:r>
  </w:p>
  <w:p>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rPr>
        <w:rFonts w:hint="eastAsia"/>
      </w:rPr>
      <w:t>广西桂水工程咨询有限公司编制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3</w:t>
    </w:r>
    <w:r>
      <w:fldChar w:fldCharType="end"/>
    </w:r>
  </w:p>
  <w:p>
    <w:pPr>
      <w:pStyle w:val="24"/>
      <w:rPr>
        <w:u w:val="singl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50</w:t>
    </w:r>
    <w:r>
      <w:fldChar w:fldCharType="end"/>
    </w:r>
  </w:p>
  <w:p>
    <w:pPr>
      <w:pStyle w:val="2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double" w:color="auto" w:sz="4" w:space="1"/>
      </w:pBdr>
      <w:rPr>
        <w:rFonts w:ascii="宋体" w:hAnsi="宋体"/>
      </w:rPr>
    </w:pPr>
    <w:r>
      <w:rPr>
        <w:rFonts w:hint="eastAsia"/>
      </w:rPr>
      <w:t>项目名称：罗城仫佬族自治县节水型社会达标建设项目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ascii="宋体" w:hAnsi="宋体"/>
        <w:color w:val="000000"/>
        <w:szCs w:val="21"/>
      </w:rPr>
      <w:t>田东县平马镇东区小学项目地质勘察服务</w:t>
    </w:r>
    <w:r>
      <w:rPr>
        <w:rFonts w:hint="eastAsia" w:ascii="宋体" w:hAnsi="宋体"/>
      </w:rPr>
      <w:t>GXZC2019-J1-0016-GS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616CC"/>
    <w:multiLevelType w:val="multilevel"/>
    <w:tmpl w:val="2E2616CC"/>
    <w:lvl w:ilvl="0" w:tentative="0">
      <w:start w:val="1"/>
      <w:numFmt w:val="decimal"/>
      <w:lvlText w:val="（%1）"/>
      <w:lvlJc w:val="left"/>
      <w:pPr>
        <w:tabs>
          <w:tab w:val="left" w:pos="1140"/>
        </w:tabs>
        <w:ind w:left="1140" w:hanging="720"/>
      </w:pPr>
      <w:rPr>
        <w:rFonts w:hint="default"/>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4B456007"/>
    <w:multiLevelType w:val="multilevel"/>
    <w:tmpl w:val="4B45600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CBF751F"/>
    <w:multiLevelType w:val="multilevel"/>
    <w:tmpl w:val="4CBF751F"/>
    <w:lvl w:ilvl="0" w:tentative="0">
      <w:start w:val="1"/>
      <w:numFmt w:val="decimal"/>
      <w:lvlText w:val="%1."/>
      <w:lvlJc w:val="left"/>
      <w:pPr>
        <w:ind w:left="420" w:hanging="420"/>
      </w:pPr>
      <w:rPr>
        <w:rFonts w:hint="eastAsia" w:eastAsia="仿宋_GB2312" w:cs="Times New Roman"/>
        <w:color w:val="auto"/>
        <w:sz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76C94796"/>
    <w:multiLevelType w:val="multilevel"/>
    <w:tmpl w:val="76C94796"/>
    <w:lvl w:ilvl="0" w:tentative="0">
      <w:start w:val="1"/>
      <w:numFmt w:val="decimal"/>
      <w:lvlText w:val="%1)"/>
      <w:lvlJc w:val="left"/>
      <w:pPr>
        <w:ind w:left="92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dit="forms" w:enforcement="1" w:cryptProviderType="rsaFull" w:cryptAlgorithmClass="hash" w:cryptAlgorithmType="typeAny" w:cryptAlgorithmSid="4" w:cryptSpinCount="0" w:hash="mGSyam/FRVcga5Aq6pS1/gaVBZ4=" w:salt="xdk7BiGiUlPE7Pm2cCeEeA=="/>
  <w:defaultTabStop w:val="0"/>
  <w:noPunctuationKerning w:val="1"/>
  <w:characterSpacingControl w:val="compressPunctuation"/>
  <w:footnotePr>
    <w:footnote w:id="0"/>
    <w:footnote w:id="1"/>
  </w:footnotePr>
  <w:compat>
    <w:ulTrailSpace/>
    <w:doNotExpandShiftReturn/>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442D"/>
    <w:rsid w:val="0000582E"/>
    <w:rsid w:val="00006497"/>
    <w:rsid w:val="00010EBE"/>
    <w:rsid w:val="00011BD1"/>
    <w:rsid w:val="00012F29"/>
    <w:rsid w:val="00014271"/>
    <w:rsid w:val="00014CFD"/>
    <w:rsid w:val="00025E43"/>
    <w:rsid w:val="00027B3D"/>
    <w:rsid w:val="0003115D"/>
    <w:rsid w:val="0003228F"/>
    <w:rsid w:val="000434C2"/>
    <w:rsid w:val="00044165"/>
    <w:rsid w:val="00047131"/>
    <w:rsid w:val="000476A1"/>
    <w:rsid w:val="00052612"/>
    <w:rsid w:val="0006081F"/>
    <w:rsid w:val="0006381C"/>
    <w:rsid w:val="00063996"/>
    <w:rsid w:val="000661B9"/>
    <w:rsid w:val="00066D2D"/>
    <w:rsid w:val="00072A41"/>
    <w:rsid w:val="00072E71"/>
    <w:rsid w:val="00082304"/>
    <w:rsid w:val="00084BC7"/>
    <w:rsid w:val="000874EE"/>
    <w:rsid w:val="0009116B"/>
    <w:rsid w:val="000A5CEB"/>
    <w:rsid w:val="000B108F"/>
    <w:rsid w:val="000C7966"/>
    <w:rsid w:val="000D6913"/>
    <w:rsid w:val="000D6DB4"/>
    <w:rsid w:val="000D7F91"/>
    <w:rsid w:val="000E6841"/>
    <w:rsid w:val="0010330F"/>
    <w:rsid w:val="001048D0"/>
    <w:rsid w:val="00116902"/>
    <w:rsid w:val="00120BD6"/>
    <w:rsid w:val="0012341F"/>
    <w:rsid w:val="00127D2F"/>
    <w:rsid w:val="0013462E"/>
    <w:rsid w:val="001374B9"/>
    <w:rsid w:val="001400BE"/>
    <w:rsid w:val="001437AA"/>
    <w:rsid w:val="001507C2"/>
    <w:rsid w:val="00157D15"/>
    <w:rsid w:val="00161DA4"/>
    <w:rsid w:val="001621C3"/>
    <w:rsid w:val="001629DF"/>
    <w:rsid w:val="00163CFE"/>
    <w:rsid w:val="001666AB"/>
    <w:rsid w:val="0016748D"/>
    <w:rsid w:val="001778E6"/>
    <w:rsid w:val="001806D3"/>
    <w:rsid w:val="00180C61"/>
    <w:rsid w:val="00181027"/>
    <w:rsid w:val="00187741"/>
    <w:rsid w:val="00191ABE"/>
    <w:rsid w:val="001A2331"/>
    <w:rsid w:val="001B2444"/>
    <w:rsid w:val="001B3046"/>
    <w:rsid w:val="001B3834"/>
    <w:rsid w:val="001B4468"/>
    <w:rsid w:val="001B7744"/>
    <w:rsid w:val="001C6A83"/>
    <w:rsid w:val="001D01E1"/>
    <w:rsid w:val="001D5599"/>
    <w:rsid w:val="001E2141"/>
    <w:rsid w:val="001E6B61"/>
    <w:rsid w:val="001E7AC8"/>
    <w:rsid w:val="001F2213"/>
    <w:rsid w:val="001F629E"/>
    <w:rsid w:val="001F7C0B"/>
    <w:rsid w:val="0020543F"/>
    <w:rsid w:val="00206998"/>
    <w:rsid w:val="002136A2"/>
    <w:rsid w:val="002144A7"/>
    <w:rsid w:val="00224DC6"/>
    <w:rsid w:val="00226066"/>
    <w:rsid w:val="00227779"/>
    <w:rsid w:val="00227DFE"/>
    <w:rsid w:val="00231D59"/>
    <w:rsid w:val="002320C7"/>
    <w:rsid w:val="00240B85"/>
    <w:rsid w:val="00251D3F"/>
    <w:rsid w:val="00253524"/>
    <w:rsid w:val="00260A04"/>
    <w:rsid w:val="00263902"/>
    <w:rsid w:val="002646FC"/>
    <w:rsid w:val="00266240"/>
    <w:rsid w:val="002711FB"/>
    <w:rsid w:val="002770A6"/>
    <w:rsid w:val="002772CF"/>
    <w:rsid w:val="00280F6B"/>
    <w:rsid w:val="0028604F"/>
    <w:rsid w:val="002965D3"/>
    <w:rsid w:val="002A07F2"/>
    <w:rsid w:val="002D59E1"/>
    <w:rsid w:val="002D6B72"/>
    <w:rsid w:val="002E1E4B"/>
    <w:rsid w:val="002E4844"/>
    <w:rsid w:val="002E5953"/>
    <w:rsid w:val="002E5EFB"/>
    <w:rsid w:val="002F4F85"/>
    <w:rsid w:val="003050DF"/>
    <w:rsid w:val="003072BA"/>
    <w:rsid w:val="00312326"/>
    <w:rsid w:val="0031468E"/>
    <w:rsid w:val="00317F98"/>
    <w:rsid w:val="00321947"/>
    <w:rsid w:val="00323B43"/>
    <w:rsid w:val="003401E1"/>
    <w:rsid w:val="00346D8D"/>
    <w:rsid w:val="00346E52"/>
    <w:rsid w:val="00355F98"/>
    <w:rsid w:val="00356975"/>
    <w:rsid w:val="00357D0F"/>
    <w:rsid w:val="00365BCA"/>
    <w:rsid w:val="00380E67"/>
    <w:rsid w:val="00382B59"/>
    <w:rsid w:val="0038475E"/>
    <w:rsid w:val="00385707"/>
    <w:rsid w:val="0039158A"/>
    <w:rsid w:val="003A2E59"/>
    <w:rsid w:val="003A3794"/>
    <w:rsid w:val="003A475A"/>
    <w:rsid w:val="003A569D"/>
    <w:rsid w:val="003A6221"/>
    <w:rsid w:val="003C2530"/>
    <w:rsid w:val="003C4770"/>
    <w:rsid w:val="003C548A"/>
    <w:rsid w:val="003C74DD"/>
    <w:rsid w:val="003D088B"/>
    <w:rsid w:val="003D1FAF"/>
    <w:rsid w:val="003D37D8"/>
    <w:rsid w:val="003E1940"/>
    <w:rsid w:val="003E4C5A"/>
    <w:rsid w:val="003E56B7"/>
    <w:rsid w:val="003E660B"/>
    <w:rsid w:val="003E6750"/>
    <w:rsid w:val="003F7A8C"/>
    <w:rsid w:val="004029B5"/>
    <w:rsid w:val="00402CFE"/>
    <w:rsid w:val="00404E91"/>
    <w:rsid w:val="00407742"/>
    <w:rsid w:val="004102BE"/>
    <w:rsid w:val="004104E3"/>
    <w:rsid w:val="00411286"/>
    <w:rsid w:val="00426133"/>
    <w:rsid w:val="00430375"/>
    <w:rsid w:val="00432317"/>
    <w:rsid w:val="004358AB"/>
    <w:rsid w:val="004430DB"/>
    <w:rsid w:val="004473D9"/>
    <w:rsid w:val="004477C5"/>
    <w:rsid w:val="0045378D"/>
    <w:rsid w:val="00453CA5"/>
    <w:rsid w:val="00456967"/>
    <w:rsid w:val="00463A95"/>
    <w:rsid w:val="00465AFC"/>
    <w:rsid w:val="00470522"/>
    <w:rsid w:val="00472365"/>
    <w:rsid w:val="00476834"/>
    <w:rsid w:val="00486A5B"/>
    <w:rsid w:val="004A1AAF"/>
    <w:rsid w:val="004A3DE7"/>
    <w:rsid w:val="004B7674"/>
    <w:rsid w:val="004D0110"/>
    <w:rsid w:val="004D2CFC"/>
    <w:rsid w:val="004E02F7"/>
    <w:rsid w:val="004E5913"/>
    <w:rsid w:val="004E7B57"/>
    <w:rsid w:val="004F14CF"/>
    <w:rsid w:val="004F4588"/>
    <w:rsid w:val="004F50D2"/>
    <w:rsid w:val="004F7961"/>
    <w:rsid w:val="00511335"/>
    <w:rsid w:val="00514CED"/>
    <w:rsid w:val="00515724"/>
    <w:rsid w:val="0051714C"/>
    <w:rsid w:val="00517A92"/>
    <w:rsid w:val="005200CC"/>
    <w:rsid w:val="00523BE9"/>
    <w:rsid w:val="005278F2"/>
    <w:rsid w:val="005318C5"/>
    <w:rsid w:val="00534937"/>
    <w:rsid w:val="0053757D"/>
    <w:rsid w:val="0054143E"/>
    <w:rsid w:val="00541BC8"/>
    <w:rsid w:val="00543DD7"/>
    <w:rsid w:val="00544657"/>
    <w:rsid w:val="00544BB9"/>
    <w:rsid w:val="00547052"/>
    <w:rsid w:val="00556798"/>
    <w:rsid w:val="0056210E"/>
    <w:rsid w:val="0056288F"/>
    <w:rsid w:val="00570D3C"/>
    <w:rsid w:val="005721D0"/>
    <w:rsid w:val="00573113"/>
    <w:rsid w:val="00586769"/>
    <w:rsid w:val="0058710C"/>
    <w:rsid w:val="00591382"/>
    <w:rsid w:val="005A57FB"/>
    <w:rsid w:val="005A64F3"/>
    <w:rsid w:val="005A6C96"/>
    <w:rsid w:val="005B0581"/>
    <w:rsid w:val="005B0C14"/>
    <w:rsid w:val="005B2EA3"/>
    <w:rsid w:val="005B68FA"/>
    <w:rsid w:val="005C56F2"/>
    <w:rsid w:val="005D4031"/>
    <w:rsid w:val="005D4B96"/>
    <w:rsid w:val="005E1E6C"/>
    <w:rsid w:val="005F001B"/>
    <w:rsid w:val="005F25BA"/>
    <w:rsid w:val="006013A4"/>
    <w:rsid w:val="00601BE5"/>
    <w:rsid w:val="0060404C"/>
    <w:rsid w:val="00606E45"/>
    <w:rsid w:val="00610990"/>
    <w:rsid w:val="00611CB2"/>
    <w:rsid w:val="00613B9E"/>
    <w:rsid w:val="00614096"/>
    <w:rsid w:val="00617327"/>
    <w:rsid w:val="00634741"/>
    <w:rsid w:val="00634868"/>
    <w:rsid w:val="006369C1"/>
    <w:rsid w:val="00637A8A"/>
    <w:rsid w:val="006415BD"/>
    <w:rsid w:val="00641D6E"/>
    <w:rsid w:val="00642C6C"/>
    <w:rsid w:val="00643D21"/>
    <w:rsid w:val="00644EE8"/>
    <w:rsid w:val="006451F3"/>
    <w:rsid w:val="00645D9B"/>
    <w:rsid w:val="00647694"/>
    <w:rsid w:val="0064790C"/>
    <w:rsid w:val="00651EAF"/>
    <w:rsid w:val="00651EFC"/>
    <w:rsid w:val="00656AD0"/>
    <w:rsid w:val="00663D0B"/>
    <w:rsid w:val="00664961"/>
    <w:rsid w:val="00664F84"/>
    <w:rsid w:val="00667D2D"/>
    <w:rsid w:val="006726C0"/>
    <w:rsid w:val="00673589"/>
    <w:rsid w:val="006743EF"/>
    <w:rsid w:val="0067697C"/>
    <w:rsid w:val="006804FC"/>
    <w:rsid w:val="00691C59"/>
    <w:rsid w:val="00697BF1"/>
    <w:rsid w:val="006A109A"/>
    <w:rsid w:val="006A4319"/>
    <w:rsid w:val="006B0788"/>
    <w:rsid w:val="006B1AF6"/>
    <w:rsid w:val="006C1AEA"/>
    <w:rsid w:val="006C665A"/>
    <w:rsid w:val="006D4EC7"/>
    <w:rsid w:val="006D4FA3"/>
    <w:rsid w:val="006D60C4"/>
    <w:rsid w:val="006E0736"/>
    <w:rsid w:val="006E11BE"/>
    <w:rsid w:val="006E4679"/>
    <w:rsid w:val="006F1C37"/>
    <w:rsid w:val="006F2607"/>
    <w:rsid w:val="006F6263"/>
    <w:rsid w:val="0070306B"/>
    <w:rsid w:val="00705D39"/>
    <w:rsid w:val="00711817"/>
    <w:rsid w:val="0071222A"/>
    <w:rsid w:val="00723532"/>
    <w:rsid w:val="00735F4F"/>
    <w:rsid w:val="007407ED"/>
    <w:rsid w:val="0074108A"/>
    <w:rsid w:val="00743365"/>
    <w:rsid w:val="00747D6F"/>
    <w:rsid w:val="00754BAC"/>
    <w:rsid w:val="00754D03"/>
    <w:rsid w:val="00761FAD"/>
    <w:rsid w:val="00764728"/>
    <w:rsid w:val="007654A4"/>
    <w:rsid w:val="007705EE"/>
    <w:rsid w:val="00770879"/>
    <w:rsid w:val="00782386"/>
    <w:rsid w:val="00785F49"/>
    <w:rsid w:val="00790DEF"/>
    <w:rsid w:val="00795F52"/>
    <w:rsid w:val="007A0CAF"/>
    <w:rsid w:val="007B2C90"/>
    <w:rsid w:val="007B33D0"/>
    <w:rsid w:val="007B691C"/>
    <w:rsid w:val="007B7D96"/>
    <w:rsid w:val="007C64AA"/>
    <w:rsid w:val="007E6605"/>
    <w:rsid w:val="007F3EE4"/>
    <w:rsid w:val="007F4FA4"/>
    <w:rsid w:val="007F7FCB"/>
    <w:rsid w:val="00802B9A"/>
    <w:rsid w:val="00803360"/>
    <w:rsid w:val="008042EE"/>
    <w:rsid w:val="00812CFB"/>
    <w:rsid w:val="00813D10"/>
    <w:rsid w:val="00816147"/>
    <w:rsid w:val="008170E3"/>
    <w:rsid w:val="008216FE"/>
    <w:rsid w:val="008227AF"/>
    <w:rsid w:val="008233FF"/>
    <w:rsid w:val="0082344F"/>
    <w:rsid w:val="00831269"/>
    <w:rsid w:val="00833C8B"/>
    <w:rsid w:val="00833FDC"/>
    <w:rsid w:val="00842401"/>
    <w:rsid w:val="00844F3A"/>
    <w:rsid w:val="00846E83"/>
    <w:rsid w:val="008609A7"/>
    <w:rsid w:val="00871A16"/>
    <w:rsid w:val="00871DA8"/>
    <w:rsid w:val="00871E9A"/>
    <w:rsid w:val="00872578"/>
    <w:rsid w:val="00875111"/>
    <w:rsid w:val="00877871"/>
    <w:rsid w:val="00877A75"/>
    <w:rsid w:val="00882920"/>
    <w:rsid w:val="00891DF6"/>
    <w:rsid w:val="00896825"/>
    <w:rsid w:val="008969C5"/>
    <w:rsid w:val="008A338C"/>
    <w:rsid w:val="008A7344"/>
    <w:rsid w:val="008A7FF3"/>
    <w:rsid w:val="008B6095"/>
    <w:rsid w:val="008B7726"/>
    <w:rsid w:val="008C4FD8"/>
    <w:rsid w:val="008C5AB5"/>
    <w:rsid w:val="008C6005"/>
    <w:rsid w:val="008C7B90"/>
    <w:rsid w:val="008D4A71"/>
    <w:rsid w:val="008E05CC"/>
    <w:rsid w:val="008E56A2"/>
    <w:rsid w:val="008E5E66"/>
    <w:rsid w:val="008F25C3"/>
    <w:rsid w:val="008F37B0"/>
    <w:rsid w:val="00900D3C"/>
    <w:rsid w:val="00903E45"/>
    <w:rsid w:val="009071F4"/>
    <w:rsid w:val="00910BAD"/>
    <w:rsid w:val="009111BB"/>
    <w:rsid w:val="009123BF"/>
    <w:rsid w:val="00912DBC"/>
    <w:rsid w:val="00912EEF"/>
    <w:rsid w:val="00914C06"/>
    <w:rsid w:val="00916285"/>
    <w:rsid w:val="00916B70"/>
    <w:rsid w:val="00920CC8"/>
    <w:rsid w:val="00921430"/>
    <w:rsid w:val="009353B0"/>
    <w:rsid w:val="009359CA"/>
    <w:rsid w:val="00936118"/>
    <w:rsid w:val="00937A6D"/>
    <w:rsid w:val="0094392D"/>
    <w:rsid w:val="00943C65"/>
    <w:rsid w:val="00950E3C"/>
    <w:rsid w:val="00952674"/>
    <w:rsid w:val="00957F62"/>
    <w:rsid w:val="009617FC"/>
    <w:rsid w:val="00961D5F"/>
    <w:rsid w:val="00964E44"/>
    <w:rsid w:val="00973C11"/>
    <w:rsid w:val="009750E8"/>
    <w:rsid w:val="00985035"/>
    <w:rsid w:val="009901F5"/>
    <w:rsid w:val="009903D9"/>
    <w:rsid w:val="009920BA"/>
    <w:rsid w:val="009958C6"/>
    <w:rsid w:val="009A0891"/>
    <w:rsid w:val="009A206B"/>
    <w:rsid w:val="009A3BF6"/>
    <w:rsid w:val="009A4747"/>
    <w:rsid w:val="009B245A"/>
    <w:rsid w:val="009B5AFE"/>
    <w:rsid w:val="009B6493"/>
    <w:rsid w:val="009D19FD"/>
    <w:rsid w:val="009D2B7D"/>
    <w:rsid w:val="009D2F55"/>
    <w:rsid w:val="009D402F"/>
    <w:rsid w:val="009D46C5"/>
    <w:rsid w:val="009D779F"/>
    <w:rsid w:val="009E3FD4"/>
    <w:rsid w:val="009E4EEB"/>
    <w:rsid w:val="009F067F"/>
    <w:rsid w:val="009F1863"/>
    <w:rsid w:val="009F2E07"/>
    <w:rsid w:val="009F7F5F"/>
    <w:rsid w:val="00A30543"/>
    <w:rsid w:val="00A34005"/>
    <w:rsid w:val="00A3684E"/>
    <w:rsid w:val="00A4059B"/>
    <w:rsid w:val="00A432FF"/>
    <w:rsid w:val="00A436B9"/>
    <w:rsid w:val="00A43840"/>
    <w:rsid w:val="00A44999"/>
    <w:rsid w:val="00A550BA"/>
    <w:rsid w:val="00A732A6"/>
    <w:rsid w:val="00A737DC"/>
    <w:rsid w:val="00A74EEE"/>
    <w:rsid w:val="00A764E7"/>
    <w:rsid w:val="00A7685F"/>
    <w:rsid w:val="00A843E9"/>
    <w:rsid w:val="00A87EB2"/>
    <w:rsid w:val="00A93C09"/>
    <w:rsid w:val="00A9417D"/>
    <w:rsid w:val="00A949C2"/>
    <w:rsid w:val="00A95F2F"/>
    <w:rsid w:val="00AC758B"/>
    <w:rsid w:val="00AD4F15"/>
    <w:rsid w:val="00AE0A6E"/>
    <w:rsid w:val="00AF37E6"/>
    <w:rsid w:val="00AF4847"/>
    <w:rsid w:val="00B01CA8"/>
    <w:rsid w:val="00B03356"/>
    <w:rsid w:val="00B03D30"/>
    <w:rsid w:val="00B0602F"/>
    <w:rsid w:val="00B141D5"/>
    <w:rsid w:val="00B17B59"/>
    <w:rsid w:val="00B20C57"/>
    <w:rsid w:val="00B23E19"/>
    <w:rsid w:val="00B244B5"/>
    <w:rsid w:val="00B32B68"/>
    <w:rsid w:val="00B378AA"/>
    <w:rsid w:val="00B40E79"/>
    <w:rsid w:val="00B41008"/>
    <w:rsid w:val="00B4198E"/>
    <w:rsid w:val="00B4441A"/>
    <w:rsid w:val="00B44C9C"/>
    <w:rsid w:val="00B51CAE"/>
    <w:rsid w:val="00B6039E"/>
    <w:rsid w:val="00B620AB"/>
    <w:rsid w:val="00B64C7F"/>
    <w:rsid w:val="00B7257B"/>
    <w:rsid w:val="00B75025"/>
    <w:rsid w:val="00B759D4"/>
    <w:rsid w:val="00B812C5"/>
    <w:rsid w:val="00B81932"/>
    <w:rsid w:val="00B81DC2"/>
    <w:rsid w:val="00B86EFB"/>
    <w:rsid w:val="00B92840"/>
    <w:rsid w:val="00B93178"/>
    <w:rsid w:val="00B979AF"/>
    <w:rsid w:val="00BA3E69"/>
    <w:rsid w:val="00BA6E86"/>
    <w:rsid w:val="00BB4C08"/>
    <w:rsid w:val="00BB7092"/>
    <w:rsid w:val="00BC2C98"/>
    <w:rsid w:val="00BC65A1"/>
    <w:rsid w:val="00BD1FF1"/>
    <w:rsid w:val="00BD50EC"/>
    <w:rsid w:val="00BE3423"/>
    <w:rsid w:val="00BE6A3E"/>
    <w:rsid w:val="00BF1857"/>
    <w:rsid w:val="00BF234B"/>
    <w:rsid w:val="00BF6D7F"/>
    <w:rsid w:val="00C05221"/>
    <w:rsid w:val="00C052F8"/>
    <w:rsid w:val="00C14CAC"/>
    <w:rsid w:val="00C21DE7"/>
    <w:rsid w:val="00C22AB5"/>
    <w:rsid w:val="00C308C7"/>
    <w:rsid w:val="00C32396"/>
    <w:rsid w:val="00C3500F"/>
    <w:rsid w:val="00C43870"/>
    <w:rsid w:val="00C439EE"/>
    <w:rsid w:val="00C43C2A"/>
    <w:rsid w:val="00C53AF2"/>
    <w:rsid w:val="00C55031"/>
    <w:rsid w:val="00C57964"/>
    <w:rsid w:val="00C60A34"/>
    <w:rsid w:val="00C6358A"/>
    <w:rsid w:val="00C6472A"/>
    <w:rsid w:val="00C7158A"/>
    <w:rsid w:val="00C74193"/>
    <w:rsid w:val="00C903B4"/>
    <w:rsid w:val="00C93A97"/>
    <w:rsid w:val="00C964EF"/>
    <w:rsid w:val="00CA0471"/>
    <w:rsid w:val="00CA0D37"/>
    <w:rsid w:val="00CA72C6"/>
    <w:rsid w:val="00CB1135"/>
    <w:rsid w:val="00CB2A90"/>
    <w:rsid w:val="00CB34E6"/>
    <w:rsid w:val="00CB5579"/>
    <w:rsid w:val="00CC37BD"/>
    <w:rsid w:val="00CC5F65"/>
    <w:rsid w:val="00CC74C3"/>
    <w:rsid w:val="00CE08E0"/>
    <w:rsid w:val="00CF06A8"/>
    <w:rsid w:val="00CF74F9"/>
    <w:rsid w:val="00D005C7"/>
    <w:rsid w:val="00D063A0"/>
    <w:rsid w:val="00D10CEE"/>
    <w:rsid w:val="00D167B2"/>
    <w:rsid w:val="00D220A6"/>
    <w:rsid w:val="00D24EA1"/>
    <w:rsid w:val="00D26D4D"/>
    <w:rsid w:val="00D31D50"/>
    <w:rsid w:val="00D32522"/>
    <w:rsid w:val="00D369D5"/>
    <w:rsid w:val="00D4554C"/>
    <w:rsid w:val="00D55E0D"/>
    <w:rsid w:val="00D56B0D"/>
    <w:rsid w:val="00D609AD"/>
    <w:rsid w:val="00D635E9"/>
    <w:rsid w:val="00D63737"/>
    <w:rsid w:val="00D63D9E"/>
    <w:rsid w:val="00D754A3"/>
    <w:rsid w:val="00D76A20"/>
    <w:rsid w:val="00D83388"/>
    <w:rsid w:val="00D905AF"/>
    <w:rsid w:val="00D943AE"/>
    <w:rsid w:val="00D952EB"/>
    <w:rsid w:val="00D97E25"/>
    <w:rsid w:val="00D97F1B"/>
    <w:rsid w:val="00DA7311"/>
    <w:rsid w:val="00DB08A0"/>
    <w:rsid w:val="00DB2463"/>
    <w:rsid w:val="00DB7C29"/>
    <w:rsid w:val="00DC2423"/>
    <w:rsid w:val="00DC3409"/>
    <w:rsid w:val="00DC441E"/>
    <w:rsid w:val="00DC4E36"/>
    <w:rsid w:val="00DC5868"/>
    <w:rsid w:val="00DD3BD9"/>
    <w:rsid w:val="00DD54C1"/>
    <w:rsid w:val="00DD5776"/>
    <w:rsid w:val="00DE1F54"/>
    <w:rsid w:val="00DE2A89"/>
    <w:rsid w:val="00DF7CB5"/>
    <w:rsid w:val="00E00207"/>
    <w:rsid w:val="00E07BF1"/>
    <w:rsid w:val="00E12FEC"/>
    <w:rsid w:val="00E16682"/>
    <w:rsid w:val="00E16BEE"/>
    <w:rsid w:val="00E172C2"/>
    <w:rsid w:val="00E22940"/>
    <w:rsid w:val="00E25130"/>
    <w:rsid w:val="00E26CD6"/>
    <w:rsid w:val="00E30355"/>
    <w:rsid w:val="00E335A7"/>
    <w:rsid w:val="00E406AA"/>
    <w:rsid w:val="00E443B0"/>
    <w:rsid w:val="00E44911"/>
    <w:rsid w:val="00E47518"/>
    <w:rsid w:val="00E47E16"/>
    <w:rsid w:val="00E54ED4"/>
    <w:rsid w:val="00E6613B"/>
    <w:rsid w:val="00E70138"/>
    <w:rsid w:val="00E73C5E"/>
    <w:rsid w:val="00E76C89"/>
    <w:rsid w:val="00E81436"/>
    <w:rsid w:val="00E823FB"/>
    <w:rsid w:val="00E84F3B"/>
    <w:rsid w:val="00E87CFC"/>
    <w:rsid w:val="00E93D95"/>
    <w:rsid w:val="00E94A42"/>
    <w:rsid w:val="00E95A2C"/>
    <w:rsid w:val="00E95A95"/>
    <w:rsid w:val="00E97DC9"/>
    <w:rsid w:val="00EA6A66"/>
    <w:rsid w:val="00EA7A3F"/>
    <w:rsid w:val="00EA7D96"/>
    <w:rsid w:val="00EB029A"/>
    <w:rsid w:val="00EB0942"/>
    <w:rsid w:val="00EB30FD"/>
    <w:rsid w:val="00EB3D1F"/>
    <w:rsid w:val="00EB6BBB"/>
    <w:rsid w:val="00EB77CF"/>
    <w:rsid w:val="00EC3B4B"/>
    <w:rsid w:val="00EC4C02"/>
    <w:rsid w:val="00ED1A6D"/>
    <w:rsid w:val="00ED4171"/>
    <w:rsid w:val="00ED761F"/>
    <w:rsid w:val="00EE16C8"/>
    <w:rsid w:val="00EE4031"/>
    <w:rsid w:val="00EE5366"/>
    <w:rsid w:val="00EF1593"/>
    <w:rsid w:val="00EF1A5F"/>
    <w:rsid w:val="00EF4BDE"/>
    <w:rsid w:val="00EF52C1"/>
    <w:rsid w:val="00EF792F"/>
    <w:rsid w:val="00F02718"/>
    <w:rsid w:val="00F03791"/>
    <w:rsid w:val="00F07C5A"/>
    <w:rsid w:val="00F110AE"/>
    <w:rsid w:val="00F12ECC"/>
    <w:rsid w:val="00F133DD"/>
    <w:rsid w:val="00F13538"/>
    <w:rsid w:val="00F1499B"/>
    <w:rsid w:val="00F32DB4"/>
    <w:rsid w:val="00F3663D"/>
    <w:rsid w:val="00F41F4A"/>
    <w:rsid w:val="00F42B01"/>
    <w:rsid w:val="00F53E19"/>
    <w:rsid w:val="00F60605"/>
    <w:rsid w:val="00F63395"/>
    <w:rsid w:val="00F64E98"/>
    <w:rsid w:val="00F65734"/>
    <w:rsid w:val="00F67A39"/>
    <w:rsid w:val="00F70D82"/>
    <w:rsid w:val="00F70D94"/>
    <w:rsid w:val="00F73847"/>
    <w:rsid w:val="00F86BE9"/>
    <w:rsid w:val="00F872A5"/>
    <w:rsid w:val="00F9160E"/>
    <w:rsid w:val="00F941EA"/>
    <w:rsid w:val="00F9499D"/>
    <w:rsid w:val="00F9740E"/>
    <w:rsid w:val="00F977E6"/>
    <w:rsid w:val="00FB1D71"/>
    <w:rsid w:val="00FB362C"/>
    <w:rsid w:val="00FB429A"/>
    <w:rsid w:val="00FC0085"/>
    <w:rsid w:val="00FC0265"/>
    <w:rsid w:val="00FC0821"/>
    <w:rsid w:val="00FC2CB8"/>
    <w:rsid w:val="00FC70D5"/>
    <w:rsid w:val="00FE4D30"/>
    <w:rsid w:val="00FE6C0D"/>
    <w:rsid w:val="00FF1190"/>
    <w:rsid w:val="019B7305"/>
    <w:rsid w:val="03B152F2"/>
    <w:rsid w:val="04184AAA"/>
    <w:rsid w:val="074362FB"/>
    <w:rsid w:val="09156800"/>
    <w:rsid w:val="09AD0A90"/>
    <w:rsid w:val="0A0D163A"/>
    <w:rsid w:val="0BEA73A8"/>
    <w:rsid w:val="0DFC6666"/>
    <w:rsid w:val="0E2606E6"/>
    <w:rsid w:val="0E4B7F27"/>
    <w:rsid w:val="0FE94625"/>
    <w:rsid w:val="101510AD"/>
    <w:rsid w:val="10D876AE"/>
    <w:rsid w:val="11F31941"/>
    <w:rsid w:val="123A431F"/>
    <w:rsid w:val="130D1AF3"/>
    <w:rsid w:val="155F3889"/>
    <w:rsid w:val="169E0446"/>
    <w:rsid w:val="18A669BD"/>
    <w:rsid w:val="19A73917"/>
    <w:rsid w:val="19D10298"/>
    <w:rsid w:val="1A5E31E5"/>
    <w:rsid w:val="20BD69FE"/>
    <w:rsid w:val="22565AA0"/>
    <w:rsid w:val="251A7FEC"/>
    <w:rsid w:val="255965B5"/>
    <w:rsid w:val="256650ED"/>
    <w:rsid w:val="26133CB3"/>
    <w:rsid w:val="27576C68"/>
    <w:rsid w:val="28313A5A"/>
    <w:rsid w:val="28420338"/>
    <w:rsid w:val="2842597A"/>
    <w:rsid w:val="2942525C"/>
    <w:rsid w:val="2A08568F"/>
    <w:rsid w:val="2A805FFA"/>
    <w:rsid w:val="2B5A0980"/>
    <w:rsid w:val="2C990C31"/>
    <w:rsid w:val="2DB343F5"/>
    <w:rsid w:val="2F47170C"/>
    <w:rsid w:val="308A7881"/>
    <w:rsid w:val="31AF4F80"/>
    <w:rsid w:val="31D401D7"/>
    <w:rsid w:val="338E763F"/>
    <w:rsid w:val="350E52C3"/>
    <w:rsid w:val="35756478"/>
    <w:rsid w:val="35CF3B6F"/>
    <w:rsid w:val="360B1A7D"/>
    <w:rsid w:val="39F13E7D"/>
    <w:rsid w:val="39F810DA"/>
    <w:rsid w:val="3A18020A"/>
    <w:rsid w:val="3ACE29AA"/>
    <w:rsid w:val="3C2133A2"/>
    <w:rsid w:val="3C2C6631"/>
    <w:rsid w:val="3D0E565A"/>
    <w:rsid w:val="3D66218D"/>
    <w:rsid w:val="3F792CAE"/>
    <w:rsid w:val="41A91664"/>
    <w:rsid w:val="424375F7"/>
    <w:rsid w:val="44653393"/>
    <w:rsid w:val="45F4723C"/>
    <w:rsid w:val="45F9534F"/>
    <w:rsid w:val="47AB7EE0"/>
    <w:rsid w:val="49C91570"/>
    <w:rsid w:val="4CC76F8A"/>
    <w:rsid w:val="4E1B6D05"/>
    <w:rsid w:val="4E89072B"/>
    <w:rsid w:val="4EB63D2C"/>
    <w:rsid w:val="4F346424"/>
    <w:rsid w:val="50C614E1"/>
    <w:rsid w:val="50DB1D2D"/>
    <w:rsid w:val="518F4806"/>
    <w:rsid w:val="52993E9A"/>
    <w:rsid w:val="540F4141"/>
    <w:rsid w:val="55824716"/>
    <w:rsid w:val="565E1294"/>
    <w:rsid w:val="573A052C"/>
    <w:rsid w:val="5AFF435C"/>
    <w:rsid w:val="5E3A1CF6"/>
    <w:rsid w:val="5F003168"/>
    <w:rsid w:val="604014A7"/>
    <w:rsid w:val="60770C80"/>
    <w:rsid w:val="62865373"/>
    <w:rsid w:val="62CC4F49"/>
    <w:rsid w:val="64A934DD"/>
    <w:rsid w:val="64DF0F9F"/>
    <w:rsid w:val="664A2C8B"/>
    <w:rsid w:val="681515E0"/>
    <w:rsid w:val="6CBA4629"/>
    <w:rsid w:val="6D390EA5"/>
    <w:rsid w:val="6DD50194"/>
    <w:rsid w:val="6DEC5A34"/>
    <w:rsid w:val="6E1C0440"/>
    <w:rsid w:val="6F525CA1"/>
    <w:rsid w:val="710E62CA"/>
    <w:rsid w:val="725C1ADF"/>
    <w:rsid w:val="725E0D77"/>
    <w:rsid w:val="76D338D9"/>
    <w:rsid w:val="773B1FFE"/>
    <w:rsid w:val="77AA52FB"/>
    <w:rsid w:val="780303AD"/>
    <w:rsid w:val="7942201C"/>
    <w:rsid w:val="798C013C"/>
    <w:rsid w:val="7B504DF9"/>
    <w:rsid w:val="7CDB498C"/>
    <w:rsid w:val="7DF314F2"/>
    <w:rsid w:val="7E3C5606"/>
    <w:rsid w:val="7F0D2694"/>
    <w:rsid w:val="7F5860AB"/>
    <w:rsid w:val="7FAB58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48"/>
    <w:qFormat/>
    <w:uiPriority w:val="0"/>
    <w:pPr>
      <w:keepNext/>
      <w:adjustRightInd/>
      <w:snapToGrid/>
      <w:spacing w:after="0" w:line="400" w:lineRule="exact"/>
      <w:jc w:val="center"/>
      <w:outlineLvl w:val="0"/>
    </w:pPr>
    <w:rPr>
      <w:rFonts w:ascii="黑体" w:hAnsi="Times New Roman" w:eastAsia="黑体" w:cs="Times New Roman"/>
      <w:sz w:val="36"/>
      <w:szCs w:val="20"/>
    </w:rPr>
  </w:style>
  <w:style w:type="paragraph" w:styleId="4">
    <w:name w:val="heading 2"/>
    <w:basedOn w:val="1"/>
    <w:next w:val="1"/>
    <w:link w:val="57"/>
    <w:qFormat/>
    <w:uiPriority w:val="0"/>
    <w:pPr>
      <w:keepNext/>
      <w:keepLines/>
      <w:widowControl w:val="0"/>
      <w:adjustRightInd/>
      <w:snapToGrid/>
      <w:spacing w:after="0" w:line="380" w:lineRule="atLeast"/>
      <w:jc w:val="center"/>
      <w:outlineLvl w:val="1"/>
    </w:pPr>
    <w:rPr>
      <w:rFonts w:ascii="Arial" w:hAnsi="Arial" w:eastAsia="黑体" w:cs="Times New Roman"/>
      <w:bCs/>
      <w:sz w:val="32"/>
      <w:szCs w:val="32"/>
    </w:rPr>
  </w:style>
  <w:style w:type="paragraph" w:styleId="5">
    <w:name w:val="heading 3"/>
    <w:basedOn w:val="1"/>
    <w:next w:val="1"/>
    <w:link w:val="50"/>
    <w:qFormat/>
    <w:uiPriority w:val="0"/>
    <w:pPr>
      <w:keepNext/>
      <w:keepLines/>
      <w:widowControl w:val="0"/>
      <w:adjustRightInd/>
      <w:snapToGrid/>
      <w:spacing w:after="0" w:line="380" w:lineRule="exact"/>
      <w:jc w:val="center"/>
      <w:outlineLvl w:val="2"/>
    </w:pPr>
    <w:rPr>
      <w:rFonts w:hint="eastAsia" w:ascii="宋体" w:hAnsi="宋体" w:eastAsia="宋体" w:cs="Times New Roman"/>
      <w:bCs/>
      <w:sz w:val="30"/>
      <w:szCs w:val="32"/>
    </w:rPr>
  </w:style>
  <w:style w:type="paragraph" w:styleId="6">
    <w:name w:val="heading 4"/>
    <w:basedOn w:val="1"/>
    <w:next w:val="1"/>
    <w:link w:val="51"/>
    <w:qFormat/>
    <w:uiPriority w:val="0"/>
    <w:pPr>
      <w:keepNext/>
      <w:keepLines/>
      <w:widowControl w:val="0"/>
      <w:adjustRightInd/>
      <w:snapToGrid/>
      <w:spacing w:before="280" w:after="290" w:line="376" w:lineRule="auto"/>
      <w:jc w:val="both"/>
      <w:outlineLvl w:val="3"/>
    </w:pPr>
    <w:rPr>
      <w:rFonts w:ascii="Cambria" w:hAnsi="Cambria" w:eastAsia="宋体" w:cs="Times New Roman"/>
      <w:b/>
      <w:bCs/>
      <w:kern w:val="2"/>
      <w:sz w:val="28"/>
      <w:szCs w:val="28"/>
    </w:rPr>
  </w:style>
  <w:style w:type="paragraph" w:styleId="7">
    <w:name w:val="heading 5"/>
    <w:basedOn w:val="1"/>
    <w:next w:val="1"/>
    <w:link w:val="52"/>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2">
    <w:name w:val="heading 6"/>
    <w:basedOn w:val="1"/>
    <w:next w:val="1"/>
    <w:link w:val="53"/>
    <w:qFormat/>
    <w:uiPriority w:val="0"/>
    <w:pPr>
      <w:keepNext/>
      <w:keepLines/>
      <w:adjustRightInd/>
      <w:snapToGrid/>
      <w:spacing w:before="240" w:after="64" w:line="319" w:lineRule="auto"/>
      <w:outlineLvl w:val="5"/>
    </w:pPr>
    <w:rPr>
      <w:rFonts w:ascii="Arial" w:hAnsi="Arial" w:eastAsia="黑体" w:cs="Times New Roman"/>
      <w:b/>
      <w:bCs/>
      <w:sz w:val="24"/>
      <w:szCs w:val="24"/>
    </w:rPr>
  </w:style>
  <w:style w:type="paragraph" w:styleId="8">
    <w:name w:val="heading 7"/>
    <w:basedOn w:val="1"/>
    <w:next w:val="1"/>
    <w:link w:val="54"/>
    <w:qFormat/>
    <w:uiPriority w:val="0"/>
    <w:pPr>
      <w:keepNext/>
      <w:keepLines/>
      <w:adjustRightInd/>
      <w:snapToGrid/>
      <w:spacing w:before="240" w:after="64" w:line="319" w:lineRule="auto"/>
      <w:outlineLvl w:val="6"/>
    </w:pPr>
    <w:rPr>
      <w:rFonts w:ascii="Times New Roman" w:hAnsi="Times New Roman" w:eastAsia="宋体" w:cs="Times New Roman"/>
      <w:b/>
      <w:bCs/>
      <w:sz w:val="24"/>
      <w:szCs w:val="24"/>
    </w:rPr>
  </w:style>
  <w:style w:type="paragraph" w:styleId="9">
    <w:name w:val="heading 8"/>
    <w:basedOn w:val="1"/>
    <w:next w:val="1"/>
    <w:link w:val="55"/>
    <w:qFormat/>
    <w:uiPriority w:val="0"/>
    <w:pPr>
      <w:keepNext/>
      <w:keepLines/>
      <w:adjustRightInd/>
      <w:snapToGrid/>
      <w:spacing w:before="240" w:after="64" w:line="319" w:lineRule="auto"/>
      <w:outlineLvl w:val="7"/>
    </w:pPr>
    <w:rPr>
      <w:rFonts w:ascii="Arial" w:hAnsi="Arial" w:eastAsia="黑体" w:cs="Times New Roman"/>
      <w:sz w:val="24"/>
      <w:szCs w:val="24"/>
    </w:rPr>
  </w:style>
  <w:style w:type="paragraph" w:styleId="10">
    <w:name w:val="heading 9"/>
    <w:basedOn w:val="1"/>
    <w:next w:val="1"/>
    <w:link w:val="56"/>
    <w:qFormat/>
    <w:uiPriority w:val="0"/>
    <w:pPr>
      <w:keepNext/>
      <w:keepLines/>
      <w:adjustRightInd/>
      <w:snapToGrid/>
      <w:spacing w:before="240" w:after="64" w:line="319" w:lineRule="auto"/>
      <w:outlineLvl w:val="8"/>
    </w:pPr>
    <w:rPr>
      <w:rFonts w:ascii="Arial" w:hAnsi="Arial" w:eastAsia="黑体" w:cs="Times New Roman"/>
      <w:sz w:val="21"/>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adjustRightInd/>
      <w:snapToGrid/>
      <w:spacing w:after="0"/>
      <w:ind w:left="1260"/>
    </w:pPr>
    <w:rPr>
      <w:rFonts w:ascii="Times New Roman" w:hAnsi="Times New Roman" w:eastAsia="宋体" w:cs="Times New Roman"/>
      <w:kern w:val="2"/>
      <w:sz w:val="18"/>
      <w:szCs w:val="18"/>
    </w:rPr>
  </w:style>
  <w:style w:type="paragraph" w:styleId="12">
    <w:name w:val="Normal Indent"/>
    <w:basedOn w:val="1"/>
    <w:link w:val="98"/>
    <w:qFormat/>
    <w:uiPriority w:val="0"/>
    <w:pPr>
      <w:widowControl w:val="0"/>
      <w:snapToGrid/>
      <w:spacing w:after="0" w:line="360" w:lineRule="atLeast"/>
      <w:ind w:firstLine="420"/>
      <w:jc w:val="both"/>
      <w:textAlignment w:val="baseline"/>
    </w:pPr>
    <w:rPr>
      <w:rFonts w:ascii="Times New Roman" w:hAnsi="Times New Roman" w:eastAsia="宋体" w:cs="Times New Roman"/>
      <w:kern w:val="2"/>
      <w:sz w:val="21"/>
      <w:szCs w:val="20"/>
    </w:rPr>
  </w:style>
  <w:style w:type="paragraph" w:styleId="13">
    <w:name w:val="Document Map"/>
    <w:basedOn w:val="1"/>
    <w:link w:val="75"/>
    <w:semiHidden/>
    <w:qFormat/>
    <w:uiPriority w:val="0"/>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14">
    <w:name w:val="annotation text"/>
    <w:basedOn w:val="1"/>
    <w:link w:val="65"/>
    <w:qFormat/>
    <w:uiPriority w:val="0"/>
    <w:pPr>
      <w:widowControl w:val="0"/>
      <w:adjustRightInd/>
      <w:snapToGrid/>
      <w:spacing w:after="0"/>
    </w:pPr>
    <w:rPr>
      <w:rFonts w:ascii="Times New Roman" w:hAnsi="Times New Roman" w:eastAsia="宋体" w:cs="Times New Roman"/>
      <w:kern w:val="2"/>
      <w:sz w:val="21"/>
      <w:szCs w:val="24"/>
    </w:rPr>
  </w:style>
  <w:style w:type="paragraph" w:styleId="15">
    <w:name w:val="Body Text"/>
    <w:basedOn w:val="1"/>
    <w:next w:val="1"/>
    <w:link w:val="74"/>
    <w:qFormat/>
    <w:uiPriority w:val="0"/>
    <w:pPr>
      <w:widowControl w:val="0"/>
      <w:adjustRightInd/>
      <w:snapToGrid/>
      <w:spacing w:after="0"/>
      <w:jc w:val="center"/>
    </w:pPr>
    <w:rPr>
      <w:rFonts w:ascii="Times New Roman" w:hAnsi="Times New Roman" w:eastAsia="宋体" w:cs="Times New Roman"/>
      <w:kern w:val="2"/>
      <w:sz w:val="52"/>
      <w:szCs w:val="24"/>
    </w:rPr>
  </w:style>
  <w:style w:type="paragraph" w:styleId="16">
    <w:name w:val="Body Text Indent"/>
    <w:basedOn w:val="1"/>
    <w:link w:val="66"/>
    <w:qFormat/>
    <w:uiPriority w:val="0"/>
    <w:pPr>
      <w:widowControl w:val="0"/>
      <w:adjustRightInd/>
      <w:snapToGrid/>
      <w:spacing w:after="0" w:line="440" w:lineRule="exact"/>
      <w:ind w:firstLine="419" w:firstLineChars="196"/>
      <w:jc w:val="both"/>
    </w:pPr>
    <w:rPr>
      <w:rFonts w:ascii="宋体" w:hAnsi="宋体" w:eastAsia="宋体" w:cs="Courier New"/>
      <w:spacing w:val="2"/>
      <w:kern w:val="2"/>
      <w:sz w:val="21"/>
      <w:szCs w:val="24"/>
    </w:rPr>
  </w:style>
  <w:style w:type="paragraph" w:styleId="17">
    <w:name w:val="toc 5"/>
    <w:basedOn w:val="1"/>
    <w:next w:val="1"/>
    <w:qFormat/>
    <w:uiPriority w:val="0"/>
    <w:pPr>
      <w:widowControl w:val="0"/>
      <w:adjustRightInd/>
      <w:snapToGrid/>
      <w:spacing w:after="0"/>
      <w:ind w:left="840"/>
    </w:pPr>
    <w:rPr>
      <w:rFonts w:ascii="Times New Roman" w:hAnsi="Times New Roman" w:eastAsia="宋体" w:cs="Times New Roman"/>
      <w:kern w:val="2"/>
      <w:sz w:val="18"/>
      <w:szCs w:val="18"/>
    </w:rPr>
  </w:style>
  <w:style w:type="paragraph" w:styleId="18">
    <w:name w:val="toc 3"/>
    <w:basedOn w:val="1"/>
    <w:next w:val="1"/>
    <w:qFormat/>
    <w:uiPriority w:val="39"/>
    <w:pPr>
      <w:widowControl w:val="0"/>
      <w:adjustRightInd/>
      <w:snapToGrid/>
      <w:spacing w:after="0"/>
      <w:ind w:left="420"/>
    </w:pPr>
    <w:rPr>
      <w:rFonts w:ascii="Times New Roman" w:hAnsi="Times New Roman" w:eastAsia="宋体" w:cs="Times New Roman"/>
      <w:i/>
      <w:iCs/>
      <w:kern w:val="2"/>
      <w:sz w:val="20"/>
      <w:szCs w:val="20"/>
    </w:rPr>
  </w:style>
  <w:style w:type="paragraph" w:styleId="19">
    <w:name w:val="Plain Text"/>
    <w:basedOn w:val="1"/>
    <w:link w:val="61"/>
    <w:qFormat/>
    <w:uiPriority w:val="0"/>
    <w:pPr>
      <w:widowControl w:val="0"/>
      <w:adjustRightInd/>
      <w:snapToGrid/>
      <w:spacing w:after="0"/>
      <w:jc w:val="both"/>
    </w:pPr>
    <w:rPr>
      <w:rFonts w:ascii="宋体" w:hAnsi="Courier New" w:eastAsia="宋体"/>
      <w:kern w:val="2"/>
      <w:sz w:val="21"/>
    </w:rPr>
  </w:style>
  <w:style w:type="paragraph" w:styleId="20">
    <w:name w:val="toc 8"/>
    <w:basedOn w:val="1"/>
    <w:next w:val="1"/>
    <w:qFormat/>
    <w:uiPriority w:val="0"/>
    <w:pPr>
      <w:widowControl w:val="0"/>
      <w:adjustRightInd/>
      <w:snapToGrid/>
      <w:spacing w:after="0"/>
      <w:ind w:left="1470"/>
    </w:pPr>
    <w:rPr>
      <w:rFonts w:ascii="Times New Roman" w:hAnsi="Times New Roman" w:eastAsia="宋体" w:cs="Times New Roman"/>
      <w:kern w:val="2"/>
      <w:sz w:val="18"/>
      <w:szCs w:val="18"/>
    </w:rPr>
  </w:style>
  <w:style w:type="paragraph" w:styleId="21">
    <w:name w:val="Date"/>
    <w:basedOn w:val="1"/>
    <w:next w:val="1"/>
    <w:link w:val="76"/>
    <w:qFormat/>
    <w:uiPriority w:val="0"/>
    <w:pPr>
      <w:widowControl w:val="0"/>
      <w:adjustRightInd/>
      <w:snapToGrid/>
      <w:spacing w:after="0"/>
      <w:ind w:left="100" w:leftChars="2500"/>
      <w:jc w:val="both"/>
    </w:pPr>
    <w:rPr>
      <w:rFonts w:ascii="Times New Roman" w:hAnsi="Times New Roman" w:eastAsia="宋体" w:cs="Times New Roman"/>
      <w:kern w:val="2"/>
      <w:sz w:val="21"/>
      <w:szCs w:val="24"/>
    </w:rPr>
  </w:style>
  <w:style w:type="paragraph" w:styleId="22">
    <w:name w:val="Body Text Indent 2"/>
    <w:basedOn w:val="1"/>
    <w:link w:val="70"/>
    <w:qFormat/>
    <w:uiPriority w:val="0"/>
    <w:pPr>
      <w:widowControl w:val="0"/>
      <w:adjustRightInd/>
      <w:snapToGrid/>
      <w:spacing w:after="0" w:line="420" w:lineRule="exact"/>
      <w:ind w:firstLine="409" w:firstLineChars="195"/>
      <w:jc w:val="both"/>
    </w:pPr>
    <w:rPr>
      <w:rFonts w:ascii="Times New Roman" w:hAnsi="Times New Roman" w:eastAsia="宋体" w:cs="Times New Roman"/>
      <w:kern w:val="2"/>
      <w:sz w:val="21"/>
      <w:szCs w:val="24"/>
    </w:rPr>
  </w:style>
  <w:style w:type="paragraph" w:styleId="23">
    <w:name w:val="Balloon Text"/>
    <w:basedOn w:val="1"/>
    <w:link w:val="71"/>
    <w:qFormat/>
    <w:uiPriority w:val="0"/>
    <w:pPr>
      <w:widowControl w:val="0"/>
      <w:adjustRightInd/>
      <w:snapToGrid/>
      <w:spacing w:after="0"/>
      <w:jc w:val="both"/>
    </w:pPr>
    <w:rPr>
      <w:rFonts w:ascii="Times New Roman" w:hAnsi="Times New Roman" w:eastAsia="宋体" w:cs="Times New Roman"/>
      <w:kern w:val="2"/>
      <w:sz w:val="18"/>
      <w:szCs w:val="18"/>
    </w:rPr>
  </w:style>
  <w:style w:type="paragraph" w:styleId="24">
    <w:name w:val="footer"/>
    <w:basedOn w:val="1"/>
    <w:link w:val="47"/>
    <w:unhideWhenUsed/>
    <w:qFormat/>
    <w:uiPriority w:val="0"/>
    <w:pPr>
      <w:tabs>
        <w:tab w:val="center" w:pos="4153"/>
        <w:tab w:val="right" w:pos="8306"/>
      </w:tabs>
    </w:pPr>
    <w:rPr>
      <w:sz w:val="18"/>
      <w:szCs w:val="18"/>
    </w:rPr>
  </w:style>
  <w:style w:type="paragraph" w:styleId="25">
    <w:name w:val="header"/>
    <w:basedOn w:val="1"/>
    <w:link w:val="46"/>
    <w:unhideWhenUsed/>
    <w:qFormat/>
    <w:uiPriority w:val="0"/>
    <w:pPr>
      <w:pBdr>
        <w:bottom w:val="single" w:color="auto" w:sz="6" w:space="1"/>
      </w:pBdr>
      <w:tabs>
        <w:tab w:val="center" w:pos="4153"/>
        <w:tab w:val="right" w:pos="8306"/>
      </w:tabs>
      <w:jc w:val="center"/>
    </w:pPr>
    <w:rPr>
      <w:sz w:val="18"/>
      <w:szCs w:val="18"/>
    </w:rPr>
  </w:style>
  <w:style w:type="paragraph" w:styleId="26">
    <w:name w:val="toc 1"/>
    <w:basedOn w:val="1"/>
    <w:next w:val="1"/>
    <w:qFormat/>
    <w:uiPriority w:val="39"/>
    <w:pPr>
      <w:widowControl w:val="0"/>
      <w:adjustRightInd/>
      <w:snapToGrid/>
      <w:spacing w:before="120" w:after="120"/>
    </w:pPr>
    <w:rPr>
      <w:rFonts w:ascii="Times New Roman" w:hAnsi="Times New Roman" w:eastAsia="宋体" w:cs="Times New Roman"/>
      <w:b/>
      <w:bCs/>
      <w:caps/>
      <w:kern w:val="2"/>
      <w:sz w:val="20"/>
      <w:szCs w:val="20"/>
    </w:rPr>
  </w:style>
  <w:style w:type="paragraph" w:styleId="27">
    <w:name w:val="toc 4"/>
    <w:basedOn w:val="1"/>
    <w:next w:val="1"/>
    <w:qFormat/>
    <w:uiPriority w:val="0"/>
    <w:pPr>
      <w:widowControl w:val="0"/>
      <w:adjustRightInd/>
      <w:snapToGrid/>
      <w:spacing w:after="0"/>
      <w:ind w:left="630"/>
    </w:pPr>
    <w:rPr>
      <w:rFonts w:ascii="Times New Roman" w:hAnsi="Times New Roman" w:eastAsia="宋体" w:cs="Times New Roman"/>
      <w:kern w:val="2"/>
      <w:sz w:val="18"/>
      <w:szCs w:val="18"/>
    </w:rPr>
  </w:style>
  <w:style w:type="paragraph" w:styleId="28">
    <w:name w:val="List"/>
    <w:basedOn w:val="1"/>
    <w:qFormat/>
    <w:uiPriority w:val="0"/>
    <w:pPr>
      <w:widowControl w:val="0"/>
      <w:adjustRightInd/>
      <w:snapToGrid/>
      <w:spacing w:after="0" w:line="340" w:lineRule="exact"/>
      <w:jc w:val="both"/>
    </w:pPr>
    <w:rPr>
      <w:rFonts w:ascii="Times New Roman" w:hAnsi="Times New Roman" w:eastAsia="楷体_GB2312" w:cs="Times New Roman"/>
      <w:kern w:val="2"/>
      <w:sz w:val="24"/>
      <w:szCs w:val="20"/>
    </w:rPr>
  </w:style>
  <w:style w:type="paragraph" w:styleId="29">
    <w:name w:val="toc 6"/>
    <w:basedOn w:val="1"/>
    <w:next w:val="1"/>
    <w:qFormat/>
    <w:uiPriority w:val="0"/>
    <w:pPr>
      <w:widowControl w:val="0"/>
      <w:adjustRightInd/>
      <w:snapToGrid/>
      <w:spacing w:after="0"/>
      <w:ind w:left="1050"/>
    </w:pPr>
    <w:rPr>
      <w:rFonts w:ascii="Times New Roman" w:hAnsi="Times New Roman" w:eastAsia="宋体" w:cs="Times New Roman"/>
      <w:kern w:val="2"/>
      <w:sz w:val="18"/>
      <w:szCs w:val="18"/>
    </w:rPr>
  </w:style>
  <w:style w:type="paragraph" w:styleId="30">
    <w:name w:val="Body Text Indent 3"/>
    <w:basedOn w:val="1"/>
    <w:link w:val="73"/>
    <w:qFormat/>
    <w:uiPriority w:val="0"/>
    <w:pPr>
      <w:widowControl w:val="0"/>
      <w:adjustRightInd/>
      <w:snapToGrid/>
      <w:spacing w:after="0" w:line="480" w:lineRule="exact"/>
      <w:ind w:firstLine="420" w:firstLineChars="200"/>
      <w:jc w:val="both"/>
    </w:pPr>
    <w:rPr>
      <w:rFonts w:ascii="宋体" w:hAnsi="Courier New" w:eastAsia="宋体" w:cs="Courier New"/>
      <w:kern w:val="2"/>
      <w:sz w:val="21"/>
      <w:szCs w:val="24"/>
    </w:rPr>
  </w:style>
  <w:style w:type="paragraph" w:styleId="31">
    <w:name w:val="toc 2"/>
    <w:basedOn w:val="1"/>
    <w:next w:val="1"/>
    <w:qFormat/>
    <w:uiPriority w:val="39"/>
    <w:pPr>
      <w:widowControl w:val="0"/>
      <w:adjustRightInd/>
      <w:snapToGrid/>
      <w:spacing w:after="0"/>
      <w:ind w:left="210"/>
    </w:pPr>
    <w:rPr>
      <w:rFonts w:ascii="Times New Roman" w:hAnsi="Times New Roman" w:eastAsia="宋体" w:cs="Times New Roman"/>
      <w:smallCaps/>
      <w:kern w:val="2"/>
      <w:sz w:val="20"/>
      <w:szCs w:val="20"/>
    </w:rPr>
  </w:style>
  <w:style w:type="paragraph" w:styleId="32">
    <w:name w:val="toc 9"/>
    <w:basedOn w:val="1"/>
    <w:next w:val="1"/>
    <w:qFormat/>
    <w:uiPriority w:val="0"/>
    <w:pPr>
      <w:widowControl w:val="0"/>
      <w:adjustRightInd/>
      <w:snapToGrid/>
      <w:spacing w:after="0"/>
      <w:ind w:left="1680"/>
    </w:pPr>
    <w:rPr>
      <w:rFonts w:ascii="Times New Roman" w:hAnsi="Times New Roman" w:eastAsia="宋体" w:cs="Times New Roman"/>
      <w:kern w:val="2"/>
      <w:sz w:val="18"/>
      <w:szCs w:val="18"/>
    </w:rPr>
  </w:style>
  <w:style w:type="paragraph" w:styleId="33">
    <w:name w:val="Body Text 2"/>
    <w:basedOn w:val="1"/>
    <w:link w:val="64"/>
    <w:qFormat/>
    <w:uiPriority w:val="0"/>
    <w:pPr>
      <w:widowControl w:val="0"/>
      <w:adjustRightInd/>
      <w:snapToGrid/>
      <w:spacing w:after="0" w:line="280" w:lineRule="exact"/>
      <w:jc w:val="center"/>
    </w:pPr>
    <w:rPr>
      <w:rFonts w:ascii="Times New Roman" w:hAnsi="Times New Roman" w:eastAsia="宋体" w:cs="Times New Roman"/>
      <w:kern w:val="2"/>
      <w:sz w:val="21"/>
      <w:szCs w:val="24"/>
    </w:rPr>
  </w:style>
  <w:style w:type="paragraph" w:styleId="34">
    <w:name w:val="Normal (Web)"/>
    <w:basedOn w:val="1"/>
    <w:qFormat/>
    <w:uiPriority w:val="0"/>
    <w:pPr>
      <w:adjustRightInd/>
      <w:snapToGrid/>
      <w:spacing w:before="100" w:beforeAutospacing="1" w:after="100" w:afterAutospacing="1"/>
    </w:pPr>
    <w:rPr>
      <w:rFonts w:ascii="宋体" w:hAnsi="宋体" w:eastAsia="宋体" w:cs="Times New Roman"/>
      <w:sz w:val="24"/>
      <w:szCs w:val="24"/>
    </w:rPr>
  </w:style>
  <w:style w:type="paragraph" w:styleId="35">
    <w:name w:val="annotation subject"/>
    <w:basedOn w:val="14"/>
    <w:next w:val="14"/>
    <w:link w:val="72"/>
    <w:semiHidden/>
    <w:qFormat/>
    <w:uiPriority w:val="0"/>
    <w:rPr>
      <w:b/>
      <w:bCs/>
    </w:rPr>
  </w:style>
  <w:style w:type="paragraph" w:styleId="36">
    <w:name w:val="Body Text First Indent 2"/>
    <w:basedOn w:val="16"/>
    <w:next w:val="37"/>
    <w:unhideWhenUsed/>
    <w:qFormat/>
    <w:uiPriority w:val="99"/>
    <w:pPr>
      <w:spacing w:after="120" w:line="240" w:lineRule="auto"/>
      <w:ind w:left="420" w:leftChars="200" w:firstLine="420"/>
    </w:pPr>
    <w:rPr>
      <w:rFonts w:ascii="Times New Roman"/>
      <w:sz w:val="28"/>
    </w:rPr>
  </w:style>
  <w:style w:type="paragraph" w:styleId="37">
    <w:name w:val="Intense Quote"/>
    <w:basedOn w:val="1"/>
    <w:next w:val="1"/>
    <w:qFormat/>
    <w:uiPriority w:val="0"/>
    <w:pPr>
      <w:pBdr>
        <w:bottom w:val="single" w:color="4F81BD" w:sz="4" w:space="4"/>
      </w:pBdr>
      <w:spacing w:before="200" w:after="280"/>
      <w:ind w:left="936" w:right="936"/>
    </w:pPr>
    <w:rPr>
      <w:rFonts w:ascii="Calibri" w:hAnsi="Calibri" w:eastAsia="宋体" w:cs="Times New Roman"/>
      <w:b/>
      <w:i/>
      <w:color w:val="4F81BD"/>
    </w:r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Hyperlink"/>
    <w:basedOn w:val="40"/>
    <w:qFormat/>
    <w:uiPriority w:val="99"/>
    <w:rPr>
      <w:color w:val="0000FF"/>
      <w:u w:val="single"/>
    </w:rPr>
  </w:style>
  <w:style w:type="character" w:styleId="45">
    <w:name w:val="annotation reference"/>
    <w:qFormat/>
    <w:uiPriority w:val="0"/>
    <w:rPr>
      <w:sz w:val="21"/>
      <w:szCs w:val="21"/>
    </w:rPr>
  </w:style>
  <w:style w:type="character" w:customStyle="1" w:styleId="46">
    <w:name w:val="页眉 字符"/>
    <w:basedOn w:val="40"/>
    <w:link w:val="25"/>
    <w:semiHidden/>
    <w:qFormat/>
    <w:uiPriority w:val="99"/>
    <w:rPr>
      <w:rFonts w:ascii="Tahoma" w:hAnsi="Tahoma"/>
      <w:sz w:val="18"/>
      <w:szCs w:val="18"/>
    </w:rPr>
  </w:style>
  <w:style w:type="character" w:customStyle="1" w:styleId="47">
    <w:name w:val="页脚 字符"/>
    <w:basedOn w:val="40"/>
    <w:link w:val="24"/>
    <w:semiHidden/>
    <w:qFormat/>
    <w:uiPriority w:val="99"/>
    <w:rPr>
      <w:rFonts w:ascii="Tahoma" w:hAnsi="Tahoma"/>
      <w:sz w:val="18"/>
      <w:szCs w:val="18"/>
    </w:rPr>
  </w:style>
  <w:style w:type="character" w:customStyle="1" w:styleId="48">
    <w:name w:val="标题 1 字符"/>
    <w:basedOn w:val="40"/>
    <w:link w:val="3"/>
    <w:qFormat/>
    <w:uiPriority w:val="0"/>
    <w:rPr>
      <w:rFonts w:ascii="黑体" w:hAnsi="Times New Roman" w:eastAsia="黑体" w:cs="Times New Roman"/>
      <w:sz w:val="36"/>
      <w:szCs w:val="20"/>
    </w:rPr>
  </w:style>
  <w:style w:type="character" w:customStyle="1" w:styleId="49">
    <w:name w:val="标题 2 Char"/>
    <w:basedOn w:val="40"/>
    <w:qFormat/>
    <w:uiPriority w:val="0"/>
    <w:rPr>
      <w:rFonts w:asciiTheme="majorHAnsi" w:hAnsiTheme="majorHAnsi" w:eastAsiaTheme="majorEastAsia" w:cstheme="majorBidi"/>
      <w:b/>
      <w:bCs/>
      <w:sz w:val="32"/>
      <w:szCs w:val="32"/>
    </w:rPr>
  </w:style>
  <w:style w:type="character" w:customStyle="1" w:styleId="50">
    <w:name w:val="标题 3 字符"/>
    <w:basedOn w:val="40"/>
    <w:link w:val="5"/>
    <w:qFormat/>
    <w:uiPriority w:val="0"/>
    <w:rPr>
      <w:rFonts w:ascii="宋体" w:hAnsi="宋体" w:eastAsia="宋体" w:cs="Times New Roman"/>
      <w:bCs/>
      <w:sz w:val="30"/>
      <w:szCs w:val="32"/>
    </w:rPr>
  </w:style>
  <w:style w:type="character" w:customStyle="1" w:styleId="51">
    <w:name w:val="标题 4 字符"/>
    <w:basedOn w:val="40"/>
    <w:link w:val="6"/>
    <w:qFormat/>
    <w:uiPriority w:val="0"/>
    <w:rPr>
      <w:rFonts w:ascii="Cambria" w:hAnsi="Cambria" w:eastAsia="宋体" w:cs="Times New Roman"/>
      <w:b/>
      <w:bCs/>
      <w:kern w:val="2"/>
      <w:sz w:val="28"/>
      <w:szCs w:val="28"/>
    </w:rPr>
  </w:style>
  <w:style w:type="character" w:customStyle="1" w:styleId="52">
    <w:name w:val="标题 5 字符"/>
    <w:basedOn w:val="40"/>
    <w:link w:val="7"/>
    <w:qFormat/>
    <w:uiPriority w:val="0"/>
    <w:rPr>
      <w:rFonts w:ascii="Times New Roman" w:hAnsi="Times New Roman" w:eastAsia="宋体" w:cs="Times New Roman"/>
      <w:b/>
      <w:bCs/>
      <w:kern w:val="2"/>
      <w:sz w:val="28"/>
      <w:szCs w:val="28"/>
    </w:rPr>
  </w:style>
  <w:style w:type="character" w:customStyle="1" w:styleId="53">
    <w:name w:val="标题 6 字符"/>
    <w:basedOn w:val="40"/>
    <w:link w:val="2"/>
    <w:qFormat/>
    <w:uiPriority w:val="0"/>
    <w:rPr>
      <w:rFonts w:ascii="Arial" w:hAnsi="Arial" w:eastAsia="黑体" w:cs="Times New Roman"/>
      <w:b/>
      <w:bCs/>
      <w:sz w:val="24"/>
      <w:szCs w:val="24"/>
    </w:rPr>
  </w:style>
  <w:style w:type="character" w:customStyle="1" w:styleId="54">
    <w:name w:val="标题 7 字符"/>
    <w:basedOn w:val="40"/>
    <w:link w:val="8"/>
    <w:qFormat/>
    <w:uiPriority w:val="0"/>
    <w:rPr>
      <w:rFonts w:ascii="Times New Roman" w:hAnsi="Times New Roman" w:eastAsia="宋体" w:cs="Times New Roman"/>
      <w:b/>
      <w:bCs/>
      <w:sz w:val="24"/>
      <w:szCs w:val="24"/>
    </w:rPr>
  </w:style>
  <w:style w:type="character" w:customStyle="1" w:styleId="55">
    <w:name w:val="标题 8 字符"/>
    <w:basedOn w:val="40"/>
    <w:link w:val="9"/>
    <w:qFormat/>
    <w:uiPriority w:val="0"/>
    <w:rPr>
      <w:rFonts w:ascii="Arial" w:hAnsi="Arial" w:eastAsia="黑体" w:cs="Times New Roman"/>
      <w:sz w:val="24"/>
      <w:szCs w:val="24"/>
    </w:rPr>
  </w:style>
  <w:style w:type="character" w:customStyle="1" w:styleId="56">
    <w:name w:val="标题 9 字符"/>
    <w:basedOn w:val="40"/>
    <w:link w:val="10"/>
    <w:qFormat/>
    <w:uiPriority w:val="0"/>
    <w:rPr>
      <w:rFonts w:ascii="Arial" w:hAnsi="Arial" w:eastAsia="黑体" w:cs="Times New Roman"/>
      <w:sz w:val="21"/>
      <w:szCs w:val="21"/>
    </w:rPr>
  </w:style>
  <w:style w:type="character" w:customStyle="1" w:styleId="57">
    <w:name w:val="标题 2 字符"/>
    <w:link w:val="4"/>
    <w:qFormat/>
    <w:uiPriority w:val="0"/>
    <w:rPr>
      <w:rFonts w:ascii="Arial" w:hAnsi="Arial" w:eastAsia="黑体" w:cs="Times New Roman"/>
      <w:bCs/>
      <w:sz w:val="32"/>
      <w:szCs w:val="32"/>
    </w:rPr>
  </w:style>
  <w:style w:type="character" w:customStyle="1" w:styleId="58">
    <w:name w:val="样式 标题 3 + 五号 黑色 Char"/>
    <w:link w:val="59"/>
    <w:qFormat/>
    <w:uiPriority w:val="0"/>
    <w:rPr>
      <w:rFonts w:ascii="宋体" w:hAnsi="宋体"/>
      <w:bCs/>
      <w:color w:val="000000"/>
      <w:sz w:val="28"/>
      <w:szCs w:val="32"/>
    </w:rPr>
  </w:style>
  <w:style w:type="paragraph" w:customStyle="1" w:styleId="59">
    <w:name w:val="样式 标题 3 + 五号 黑色"/>
    <w:basedOn w:val="5"/>
    <w:link w:val="58"/>
    <w:qFormat/>
    <w:uiPriority w:val="0"/>
    <w:rPr>
      <w:rFonts w:hint="default" w:eastAsia="微软雅黑" w:cstheme="minorBidi"/>
      <w:color w:val="000000"/>
      <w:sz w:val="28"/>
    </w:rPr>
  </w:style>
  <w:style w:type="character" w:customStyle="1" w:styleId="60">
    <w:name w:val="标题 2 Char Char"/>
    <w:qFormat/>
    <w:uiPriority w:val="0"/>
    <w:rPr>
      <w:rFonts w:ascii="Arial" w:hAnsi="Arial" w:eastAsia="黑体"/>
      <w:bCs/>
      <w:sz w:val="32"/>
      <w:szCs w:val="32"/>
      <w:lang w:val="en-US" w:eastAsia="zh-CN" w:bidi="ar-SA"/>
    </w:rPr>
  </w:style>
  <w:style w:type="character" w:customStyle="1" w:styleId="61">
    <w:name w:val="纯文本 字符"/>
    <w:link w:val="19"/>
    <w:qFormat/>
    <w:uiPriority w:val="0"/>
    <w:rPr>
      <w:rFonts w:ascii="宋体" w:hAnsi="Courier New" w:eastAsia="宋体"/>
      <w:kern w:val="2"/>
      <w:sz w:val="21"/>
    </w:rPr>
  </w:style>
  <w:style w:type="character" w:customStyle="1" w:styleId="62">
    <w:name w:val="样式 标题 2 Char"/>
    <w:basedOn w:val="57"/>
    <w:link w:val="63"/>
    <w:qFormat/>
    <w:uiPriority w:val="0"/>
    <w:rPr>
      <w:rFonts w:ascii="Arial" w:hAnsi="Arial" w:eastAsia="黑体" w:cs="Times New Roman"/>
      <w:sz w:val="32"/>
      <w:szCs w:val="32"/>
    </w:rPr>
  </w:style>
  <w:style w:type="paragraph" w:customStyle="1" w:styleId="63">
    <w:name w:val="样式 标题 2"/>
    <w:basedOn w:val="4"/>
    <w:link w:val="62"/>
    <w:qFormat/>
    <w:uiPriority w:val="0"/>
  </w:style>
  <w:style w:type="character" w:customStyle="1" w:styleId="64">
    <w:name w:val="正文文本 2 字符"/>
    <w:basedOn w:val="40"/>
    <w:link w:val="33"/>
    <w:qFormat/>
    <w:uiPriority w:val="0"/>
    <w:rPr>
      <w:rFonts w:ascii="Times New Roman" w:hAnsi="Times New Roman" w:eastAsia="宋体" w:cs="Times New Roman"/>
      <w:kern w:val="2"/>
      <w:sz w:val="21"/>
      <w:szCs w:val="24"/>
    </w:rPr>
  </w:style>
  <w:style w:type="character" w:customStyle="1" w:styleId="65">
    <w:name w:val="批注文字 字符"/>
    <w:basedOn w:val="40"/>
    <w:link w:val="14"/>
    <w:qFormat/>
    <w:uiPriority w:val="0"/>
    <w:rPr>
      <w:rFonts w:ascii="Times New Roman" w:hAnsi="Times New Roman" w:eastAsia="宋体" w:cs="Times New Roman"/>
      <w:kern w:val="2"/>
      <w:sz w:val="21"/>
      <w:szCs w:val="24"/>
    </w:rPr>
  </w:style>
  <w:style w:type="character" w:customStyle="1" w:styleId="66">
    <w:name w:val="正文文本缩进 字符"/>
    <w:basedOn w:val="40"/>
    <w:link w:val="16"/>
    <w:qFormat/>
    <w:uiPriority w:val="0"/>
    <w:rPr>
      <w:rFonts w:ascii="宋体" w:hAnsi="宋体" w:eastAsia="宋体" w:cs="Courier New"/>
      <w:spacing w:val="2"/>
      <w:kern w:val="2"/>
      <w:sz w:val="21"/>
      <w:szCs w:val="24"/>
    </w:rPr>
  </w:style>
  <w:style w:type="paragraph" w:customStyle="1" w:styleId="67">
    <w:name w:val="样式 样式16 + 首行缩进:  2 字符"/>
    <w:basedOn w:val="1"/>
    <w:qFormat/>
    <w:uiPriority w:val="0"/>
    <w:pPr>
      <w:widowControl w:val="0"/>
      <w:adjustRightInd/>
      <w:snapToGrid/>
      <w:spacing w:after="0" w:line="400" w:lineRule="exact"/>
      <w:ind w:firstLine="200" w:firstLineChars="200"/>
      <w:jc w:val="both"/>
    </w:pPr>
    <w:rPr>
      <w:rFonts w:ascii="汉仪中宋简" w:hAnsi="宋体" w:eastAsia="汉仪字典宋简" w:cs="Times New Roman"/>
      <w:b/>
      <w:bCs/>
      <w:spacing w:val="2"/>
      <w:kern w:val="2"/>
      <w:sz w:val="24"/>
      <w:szCs w:val="20"/>
    </w:rPr>
  </w:style>
  <w:style w:type="paragraph" w:customStyle="1" w:styleId="68">
    <w:name w:val="图"/>
    <w:basedOn w:val="1"/>
    <w:qFormat/>
    <w:uiPriority w:val="0"/>
    <w:pPr>
      <w:keepNext/>
      <w:widowControl w:val="0"/>
      <w:spacing w:before="60" w:after="60" w:line="300" w:lineRule="auto"/>
      <w:jc w:val="center"/>
    </w:pPr>
    <w:rPr>
      <w:rFonts w:ascii="Times New Roman" w:hAnsi="Times New Roman" w:eastAsia="宋体" w:cs="Times New Roman"/>
      <w:spacing w:val="20"/>
      <w:sz w:val="24"/>
      <w:szCs w:val="20"/>
    </w:rPr>
  </w:style>
  <w:style w:type="paragraph" w:customStyle="1" w:styleId="69">
    <w:name w:val="_Style 32"/>
    <w:basedOn w:val="1"/>
    <w:qFormat/>
    <w:uiPriority w:val="0"/>
    <w:pPr>
      <w:widowControl w:val="0"/>
      <w:adjustRightInd/>
      <w:snapToGrid/>
      <w:spacing w:after="0"/>
      <w:jc w:val="both"/>
    </w:pPr>
    <w:rPr>
      <w:rFonts w:ascii="Times New Roman" w:hAnsi="Times New Roman" w:eastAsia="宋体" w:cs="Times New Roman"/>
      <w:sz w:val="24"/>
      <w:szCs w:val="20"/>
    </w:rPr>
  </w:style>
  <w:style w:type="character" w:customStyle="1" w:styleId="70">
    <w:name w:val="正文文本缩进 2 字符"/>
    <w:basedOn w:val="40"/>
    <w:link w:val="22"/>
    <w:qFormat/>
    <w:uiPriority w:val="0"/>
    <w:rPr>
      <w:rFonts w:ascii="Times New Roman" w:hAnsi="Times New Roman" w:eastAsia="宋体" w:cs="Times New Roman"/>
      <w:kern w:val="2"/>
      <w:sz w:val="21"/>
      <w:szCs w:val="24"/>
    </w:rPr>
  </w:style>
  <w:style w:type="character" w:customStyle="1" w:styleId="71">
    <w:name w:val="批注框文本 字符"/>
    <w:basedOn w:val="40"/>
    <w:link w:val="23"/>
    <w:qFormat/>
    <w:uiPriority w:val="0"/>
    <w:rPr>
      <w:rFonts w:ascii="Times New Roman" w:hAnsi="Times New Roman" w:eastAsia="宋体" w:cs="Times New Roman"/>
      <w:kern w:val="2"/>
      <w:sz w:val="18"/>
      <w:szCs w:val="18"/>
    </w:rPr>
  </w:style>
  <w:style w:type="character" w:customStyle="1" w:styleId="72">
    <w:name w:val="批注主题 字符"/>
    <w:basedOn w:val="65"/>
    <w:link w:val="35"/>
    <w:semiHidden/>
    <w:qFormat/>
    <w:uiPriority w:val="0"/>
    <w:rPr>
      <w:rFonts w:ascii="Times New Roman" w:hAnsi="Times New Roman" w:eastAsia="宋体" w:cs="Times New Roman"/>
      <w:b/>
      <w:bCs/>
      <w:kern w:val="2"/>
      <w:sz w:val="21"/>
      <w:szCs w:val="24"/>
    </w:rPr>
  </w:style>
  <w:style w:type="character" w:customStyle="1" w:styleId="73">
    <w:name w:val="正文文本缩进 3 字符"/>
    <w:basedOn w:val="40"/>
    <w:link w:val="30"/>
    <w:qFormat/>
    <w:uiPriority w:val="0"/>
    <w:rPr>
      <w:rFonts w:ascii="宋体" w:hAnsi="Courier New" w:eastAsia="宋体" w:cs="Courier New"/>
      <w:kern w:val="2"/>
      <w:sz w:val="21"/>
      <w:szCs w:val="24"/>
    </w:rPr>
  </w:style>
  <w:style w:type="character" w:customStyle="1" w:styleId="74">
    <w:name w:val="正文文本 字符"/>
    <w:basedOn w:val="40"/>
    <w:link w:val="15"/>
    <w:qFormat/>
    <w:uiPriority w:val="0"/>
    <w:rPr>
      <w:rFonts w:ascii="Times New Roman" w:hAnsi="Times New Roman" w:eastAsia="宋体" w:cs="Times New Roman"/>
      <w:kern w:val="2"/>
      <w:sz w:val="52"/>
      <w:szCs w:val="24"/>
    </w:rPr>
  </w:style>
  <w:style w:type="character" w:customStyle="1" w:styleId="75">
    <w:name w:val="文档结构图 字符"/>
    <w:basedOn w:val="40"/>
    <w:link w:val="13"/>
    <w:semiHidden/>
    <w:qFormat/>
    <w:uiPriority w:val="0"/>
    <w:rPr>
      <w:rFonts w:ascii="Times New Roman" w:hAnsi="Times New Roman" w:eastAsia="宋体" w:cs="Times New Roman"/>
      <w:kern w:val="2"/>
      <w:sz w:val="21"/>
      <w:szCs w:val="24"/>
      <w:shd w:val="clear" w:color="auto" w:fill="000080"/>
    </w:rPr>
  </w:style>
  <w:style w:type="character" w:customStyle="1" w:styleId="76">
    <w:name w:val="日期 字符"/>
    <w:basedOn w:val="40"/>
    <w:link w:val="21"/>
    <w:qFormat/>
    <w:uiPriority w:val="0"/>
    <w:rPr>
      <w:rFonts w:ascii="Times New Roman" w:hAnsi="Times New Roman" w:eastAsia="宋体" w:cs="Times New Roman"/>
      <w:kern w:val="2"/>
      <w:sz w:val="21"/>
      <w:szCs w:val="24"/>
    </w:rPr>
  </w:style>
  <w:style w:type="character" w:customStyle="1" w:styleId="77">
    <w:name w:val="纯文本 Char"/>
    <w:basedOn w:val="40"/>
    <w:qFormat/>
    <w:uiPriority w:val="0"/>
    <w:rPr>
      <w:rFonts w:ascii="宋体" w:hAnsi="Courier New" w:eastAsia="宋体" w:cs="Courier New"/>
      <w:sz w:val="21"/>
      <w:szCs w:val="21"/>
    </w:rPr>
  </w:style>
  <w:style w:type="paragraph" w:customStyle="1" w:styleId="78">
    <w:name w:val="Char"/>
    <w:basedOn w:val="1"/>
    <w:qFormat/>
    <w:uiPriority w:val="0"/>
    <w:pPr>
      <w:adjustRightInd/>
      <w:snapToGrid/>
      <w:spacing w:after="0" w:line="500" w:lineRule="exact"/>
      <w:jc w:val="both"/>
      <w:outlineLvl w:val="2"/>
    </w:pPr>
    <w:rPr>
      <w:rFonts w:ascii="黑体" w:hAnsi="Verdana" w:eastAsia="黑体" w:cs="黑体"/>
      <w:sz w:val="28"/>
      <w:szCs w:val="28"/>
      <w:lang w:eastAsia="en-US"/>
    </w:rPr>
  </w:style>
  <w:style w:type="paragraph" w:customStyle="1" w:styleId="79">
    <w:name w:val="Char Char Char Char Char Char2 Char"/>
    <w:basedOn w:val="1"/>
    <w:qFormat/>
    <w:uiPriority w:val="0"/>
    <w:pPr>
      <w:widowControl w:val="0"/>
      <w:adjustRightInd/>
      <w:snapToGrid/>
      <w:spacing w:after="0" w:line="360" w:lineRule="auto"/>
      <w:ind w:firstLine="200" w:firstLineChars="200"/>
      <w:jc w:val="both"/>
    </w:pPr>
    <w:rPr>
      <w:rFonts w:ascii="宋体" w:hAnsi="宋体" w:eastAsia="宋体" w:cs="宋体"/>
      <w:kern w:val="2"/>
      <w:sz w:val="24"/>
      <w:szCs w:val="24"/>
    </w:rPr>
  </w:style>
  <w:style w:type="paragraph" w:customStyle="1" w:styleId="80">
    <w:name w:val="Char Char Char Char Char Char Char Char Char Char Char Char Char Char Char Char"/>
    <w:basedOn w:val="1"/>
    <w:qFormat/>
    <w:uiPriority w:val="0"/>
    <w:pPr>
      <w:widowControl w:val="0"/>
      <w:tabs>
        <w:tab w:val="left" w:pos="360"/>
      </w:tabs>
      <w:adjustRightInd/>
      <w:snapToGrid/>
      <w:spacing w:after="0"/>
      <w:jc w:val="both"/>
    </w:pPr>
    <w:rPr>
      <w:rFonts w:ascii="Times New Roman" w:hAnsi="Times New Roman" w:eastAsia="宋体" w:cs="Times New Roman"/>
      <w:kern w:val="2"/>
      <w:sz w:val="24"/>
      <w:szCs w:val="24"/>
    </w:rPr>
  </w:style>
  <w:style w:type="paragraph" w:customStyle="1" w:styleId="81">
    <w:name w:val="样式17"/>
    <w:basedOn w:val="1"/>
    <w:qFormat/>
    <w:uiPriority w:val="0"/>
    <w:pPr>
      <w:widowControl w:val="0"/>
      <w:adjustRightInd/>
      <w:snapToGrid/>
      <w:spacing w:after="0" w:line="500" w:lineRule="exact"/>
      <w:ind w:firstLine="200" w:firstLineChars="200"/>
      <w:jc w:val="both"/>
    </w:pPr>
    <w:rPr>
      <w:rFonts w:ascii="汉仪中宋简" w:hAnsi="宋体" w:eastAsia="汉仪字典宋简" w:cs="Times New Roman"/>
      <w:b/>
      <w:spacing w:val="2"/>
      <w:kern w:val="2"/>
      <w:sz w:val="24"/>
      <w:szCs w:val="20"/>
    </w:rPr>
  </w:style>
  <w:style w:type="paragraph" w:customStyle="1" w:styleId="82">
    <w:name w:val="1"/>
    <w:basedOn w:val="1"/>
    <w:next w:val="19"/>
    <w:qFormat/>
    <w:uiPriority w:val="0"/>
    <w:pPr>
      <w:widowControl w:val="0"/>
      <w:adjustRightInd/>
      <w:snapToGrid/>
      <w:spacing w:after="0"/>
      <w:jc w:val="both"/>
    </w:pPr>
    <w:rPr>
      <w:rFonts w:ascii="宋体" w:hAnsi="Courier New" w:eastAsia="宋体" w:cs="Times New Roman"/>
      <w:kern w:val="2"/>
      <w:sz w:val="21"/>
      <w:szCs w:val="20"/>
    </w:rPr>
  </w:style>
  <w:style w:type="paragraph" w:customStyle="1" w:styleId="83">
    <w:name w:val="Char1 Char Char Char"/>
    <w:basedOn w:val="1"/>
    <w:qFormat/>
    <w:uiPriority w:val="0"/>
    <w:pPr>
      <w:widowControl w:val="0"/>
      <w:adjustRightInd/>
      <w:snapToGrid/>
      <w:spacing w:after="0"/>
      <w:ind w:left="420" w:hanging="420"/>
      <w:jc w:val="both"/>
    </w:pPr>
    <w:rPr>
      <w:rFonts w:ascii="Times New Roman" w:hAnsi="Times New Roman" w:eastAsia="宋体" w:cs="Times New Roman"/>
      <w:kern w:val="2"/>
      <w:sz w:val="24"/>
      <w:szCs w:val="24"/>
    </w:rPr>
  </w:style>
  <w:style w:type="paragraph" w:customStyle="1" w:styleId="84">
    <w:name w:val="样式5"/>
    <w:basedOn w:val="1"/>
    <w:qFormat/>
    <w:uiPriority w:val="0"/>
    <w:pPr>
      <w:widowControl w:val="0"/>
      <w:adjustRightInd/>
      <w:snapToGrid/>
      <w:spacing w:after="0" w:line="440" w:lineRule="exact"/>
      <w:jc w:val="both"/>
    </w:pPr>
    <w:rPr>
      <w:rFonts w:ascii="汉仪中宋简" w:hAnsi="宋体" w:eastAsia="黑体" w:cs="Times New Roman"/>
      <w:kern w:val="2"/>
      <w:sz w:val="28"/>
      <w:szCs w:val="21"/>
    </w:rPr>
  </w:style>
  <w:style w:type="paragraph" w:customStyle="1" w:styleId="85">
    <w:name w:val="样式 样式 样式 样式 汉仪中宋简 (符号) 宋体 首行缩进:  2 字符 + 首行缩进:  2 字符 + 首行缩进:  2 字..."/>
    <w:basedOn w:val="1"/>
    <w:qFormat/>
    <w:uiPriority w:val="0"/>
    <w:pPr>
      <w:widowControl w:val="0"/>
      <w:adjustRightInd/>
      <w:snapToGrid/>
      <w:spacing w:after="0" w:line="440" w:lineRule="exact"/>
      <w:ind w:firstLine="488" w:firstLineChars="200"/>
      <w:jc w:val="both"/>
    </w:pPr>
    <w:rPr>
      <w:rFonts w:ascii="汉仪中宋简" w:hAnsi="宋体" w:eastAsia="汉仪字典宋简" w:cs="Times New Roman"/>
      <w:b/>
      <w:spacing w:val="2"/>
      <w:kern w:val="2"/>
      <w:sz w:val="24"/>
      <w:szCs w:val="20"/>
    </w:rPr>
  </w:style>
  <w:style w:type="paragraph" w:customStyle="1" w:styleId="86">
    <w:name w:val="Char Char Char Char"/>
    <w:basedOn w:val="13"/>
    <w:qFormat/>
    <w:uiPriority w:val="0"/>
    <w:rPr>
      <w:rFonts w:ascii="宋体" w:hAnsi="Courier New"/>
      <w:szCs w:val="20"/>
    </w:rPr>
  </w:style>
  <w:style w:type="paragraph" w:customStyle="1" w:styleId="87">
    <w:name w:val="样式3"/>
    <w:basedOn w:val="19"/>
    <w:qFormat/>
    <w:uiPriority w:val="0"/>
    <w:pPr>
      <w:adjustRightInd w:val="0"/>
      <w:spacing w:line="0" w:lineRule="atLeast"/>
      <w:textAlignment w:val="baseline"/>
      <w:outlineLvl w:val="0"/>
    </w:pPr>
    <w:rPr>
      <w:sz w:val="28"/>
    </w:rPr>
  </w:style>
  <w:style w:type="paragraph" w:customStyle="1" w:styleId="88">
    <w:name w:val="Char Char1 Char Char Char"/>
    <w:basedOn w:val="1"/>
    <w:qFormat/>
    <w:uiPriority w:val="0"/>
    <w:pPr>
      <w:widowControl w:val="0"/>
      <w:adjustRightInd/>
      <w:snapToGrid/>
      <w:spacing w:after="0"/>
      <w:jc w:val="both"/>
    </w:pPr>
    <w:rPr>
      <w:rFonts w:ascii="Times New Roman" w:hAnsi="Times New Roman" w:eastAsia="宋体" w:cs="Times New Roman"/>
      <w:sz w:val="20"/>
      <w:szCs w:val="20"/>
    </w:rPr>
  </w:style>
  <w:style w:type="paragraph" w:customStyle="1" w:styleId="89">
    <w:name w:val="Char1"/>
    <w:basedOn w:val="1"/>
    <w:qFormat/>
    <w:uiPriority w:val="0"/>
    <w:pPr>
      <w:adjustRightInd/>
      <w:snapToGrid/>
      <w:spacing w:after="160" w:line="240" w:lineRule="exact"/>
    </w:pPr>
    <w:rPr>
      <w:rFonts w:ascii="Verdana" w:hAnsi="Verdana" w:eastAsia="宋体" w:cs="Times New Roman"/>
      <w:sz w:val="21"/>
      <w:szCs w:val="20"/>
      <w:lang w:eastAsia="en-US"/>
    </w:rPr>
  </w:style>
  <w:style w:type="paragraph" w:customStyle="1" w:styleId="90">
    <w:name w:val="Char Char2 Char Char Char Char Char Char Char Char Char Char Char Char"/>
    <w:basedOn w:val="1"/>
    <w:qFormat/>
    <w:uiPriority w:val="0"/>
    <w:pPr>
      <w:widowControl w:val="0"/>
      <w:adjustRightInd/>
      <w:snapToGrid/>
      <w:spacing w:after="0"/>
      <w:jc w:val="both"/>
    </w:pPr>
    <w:rPr>
      <w:rFonts w:eastAsia="宋体" w:cs="Times New Roman"/>
      <w:kern w:val="2"/>
      <w:sz w:val="24"/>
      <w:szCs w:val="20"/>
    </w:rPr>
  </w:style>
  <w:style w:type="paragraph" w:customStyle="1" w:styleId="91">
    <w:name w:val="Char Char Char2 Char"/>
    <w:basedOn w:val="1"/>
    <w:qFormat/>
    <w:uiPriority w:val="0"/>
    <w:pPr>
      <w:widowControl w:val="0"/>
      <w:tabs>
        <w:tab w:val="left" w:pos="815"/>
      </w:tabs>
      <w:adjustRightInd/>
      <w:snapToGrid/>
      <w:spacing w:after="0"/>
      <w:ind w:left="815" w:hanging="360"/>
      <w:jc w:val="both"/>
    </w:pPr>
    <w:rPr>
      <w:rFonts w:ascii="Times New Roman" w:hAnsi="Times New Roman" w:eastAsia="宋体" w:cs="Times New Roman"/>
      <w:kern w:val="2"/>
      <w:sz w:val="21"/>
      <w:szCs w:val="24"/>
    </w:rPr>
  </w:style>
  <w:style w:type="paragraph" w:customStyle="1" w:styleId="92">
    <w:name w:val="默认段落字体 Para Char Char Char Char Char Char Char Char Char1 Char"/>
    <w:basedOn w:val="13"/>
    <w:qFormat/>
    <w:uiPriority w:val="0"/>
    <w:pPr>
      <w:adjustRightInd w:val="0"/>
      <w:spacing w:line="436" w:lineRule="exact"/>
      <w:ind w:left="357"/>
      <w:jc w:val="left"/>
      <w:outlineLvl w:val="3"/>
    </w:pPr>
    <w:rPr>
      <w:shd w:val="clear" w:color="auto" w:fill="000080"/>
    </w:rPr>
  </w:style>
  <w:style w:type="character" w:customStyle="1" w:styleId="93">
    <w:name w:val="Char Char2"/>
    <w:qFormat/>
    <w:uiPriority w:val="0"/>
    <w:rPr>
      <w:rFonts w:ascii="宋体" w:hAnsi="Courier New" w:eastAsia="宋体" w:cs="Courier New"/>
      <w:szCs w:val="21"/>
    </w:rPr>
  </w:style>
  <w:style w:type="character" w:customStyle="1" w:styleId="94">
    <w:name w:val="普通文字 Char Char2"/>
    <w:qFormat/>
    <w:uiPriority w:val="0"/>
    <w:rPr>
      <w:rFonts w:ascii="宋体" w:hAnsi="宋体"/>
      <w:kern w:val="1"/>
      <w:sz w:val="21"/>
      <w:lang w:eastAsia="ar-SA"/>
    </w:rPr>
  </w:style>
  <w:style w:type="paragraph" w:styleId="95">
    <w:name w:val="List Paragraph"/>
    <w:basedOn w:val="1"/>
    <w:qFormat/>
    <w:uiPriority w:val="34"/>
    <w:pPr>
      <w:ind w:firstLine="420" w:firstLineChars="200"/>
    </w:pPr>
  </w:style>
  <w:style w:type="paragraph" w:customStyle="1" w:styleId="96">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97">
    <w:name w:val="纯文本 Char1"/>
    <w:qFormat/>
    <w:uiPriority w:val="0"/>
    <w:rPr>
      <w:rFonts w:ascii="宋体" w:hAnsi="Courier New" w:eastAsia="宋体" w:cs="Courier New"/>
      <w:szCs w:val="21"/>
    </w:rPr>
  </w:style>
  <w:style w:type="character" w:customStyle="1" w:styleId="98">
    <w:name w:val="正文缩进 字符"/>
    <w:link w:val="12"/>
    <w:qFormat/>
    <w:uiPriority w:val="0"/>
    <w:rPr>
      <w:rFonts w:ascii="Times New Roman" w:hAnsi="Times New Roman" w:eastAsia="宋体" w:cs="Times New Roman"/>
      <w:kern w:val="2"/>
      <w:sz w:val="21"/>
      <w:szCs w:val="20"/>
    </w:rPr>
  </w:style>
  <w:style w:type="character" w:customStyle="1" w:styleId="99">
    <w:name w:val="Char Char10"/>
    <w:qFormat/>
    <w:uiPriority w:val="0"/>
    <w:rPr>
      <w:rFonts w:ascii="宋体" w:hAnsi="Courier New" w:eastAsia="宋体" w:cs="Courier New"/>
      <w:kern w:val="2"/>
      <w:sz w:val="21"/>
      <w:szCs w:val="21"/>
      <w:lang w:val="en-US" w:eastAsia="zh-CN" w:bidi="ar-SA"/>
    </w:rPr>
  </w:style>
  <w:style w:type="character" w:customStyle="1" w:styleId="100">
    <w:name w:val="日期 Char1"/>
    <w:qFormat/>
    <w:uiPriority w:val="0"/>
    <w:rPr>
      <w:kern w:val="2"/>
      <w:sz w:val="21"/>
      <w:szCs w:val="24"/>
    </w:rPr>
  </w:style>
  <w:style w:type="paragraph" w:customStyle="1" w:styleId="101">
    <w:name w:val="列出段落2"/>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10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3">
    <w:name w:val="未处理的提及1"/>
    <w:basedOn w:val="40"/>
    <w:semiHidden/>
    <w:unhideWhenUsed/>
    <w:qFormat/>
    <w:uiPriority w:val="99"/>
    <w:rPr>
      <w:color w:val="605E5C"/>
      <w:shd w:val="clear" w:color="auto" w:fill="E1DFDD"/>
    </w:rPr>
  </w:style>
  <w:style w:type="character" w:customStyle="1" w:styleId="104">
    <w:name w:val="font11"/>
    <w:basedOn w:val="40"/>
    <w:qFormat/>
    <w:uiPriority w:val="0"/>
    <w:rPr>
      <w:rFonts w:hint="eastAsia" w:ascii="宋体" w:hAnsi="宋体" w:eastAsia="宋体" w:cs="宋体"/>
      <w:color w:val="000000"/>
      <w:sz w:val="24"/>
      <w:szCs w:val="24"/>
      <w:u w:val="none"/>
    </w:rPr>
  </w:style>
  <w:style w:type="character" w:customStyle="1" w:styleId="105">
    <w:name w:val="font51"/>
    <w:basedOn w:val="40"/>
    <w:qFormat/>
    <w:uiPriority w:val="0"/>
    <w:rPr>
      <w:rFonts w:hint="eastAsia" w:ascii="宋体" w:hAnsi="宋体" w:eastAsia="宋体" w:cs="宋体"/>
      <w:color w:val="000000"/>
      <w:sz w:val="22"/>
      <w:szCs w:val="22"/>
      <w:u w:val="none"/>
    </w:rPr>
  </w:style>
  <w:style w:type="character" w:customStyle="1" w:styleId="106">
    <w:name w:val="font01"/>
    <w:basedOn w:val="40"/>
    <w:qFormat/>
    <w:uiPriority w:val="0"/>
    <w:rPr>
      <w:rFonts w:hint="eastAsia" w:ascii="宋体" w:hAnsi="宋体" w:eastAsia="宋体" w:cs="宋体"/>
      <w:color w:val="000000"/>
      <w:sz w:val="22"/>
      <w:szCs w:val="22"/>
      <w:u w:val="none"/>
    </w:rPr>
  </w:style>
  <w:style w:type="paragraph" w:customStyle="1" w:styleId="107">
    <w:name w:val="缺省文本"/>
    <w:basedOn w:val="1"/>
    <w:qFormat/>
    <w:uiPriority w:val="0"/>
    <w:pPr>
      <w:autoSpaceDE w:val="0"/>
      <w:autoSpaceDN w:val="0"/>
    </w:pPr>
    <w:rPr>
      <w:sz w:val="24"/>
    </w:rPr>
  </w:style>
  <w:style w:type="character" w:customStyle="1" w:styleId="108">
    <w:name w:val="font21"/>
    <w:basedOn w:val="4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89629-2AF2-4C39-9138-A132D7B99BA8}">
  <ds:schemaRefs/>
</ds:datastoreItem>
</file>

<file path=docProps/app.xml><?xml version="1.0" encoding="utf-8"?>
<Properties xmlns="http://schemas.openxmlformats.org/officeDocument/2006/extended-properties" xmlns:vt="http://schemas.openxmlformats.org/officeDocument/2006/docPropsVTypes">
  <Template>Normal</Template>
  <Pages>63</Pages>
  <Words>6558</Words>
  <Characters>37385</Characters>
  <Lines>311</Lines>
  <Paragraphs>87</Paragraphs>
  <TotalTime>144</TotalTime>
  <ScaleCrop>false</ScaleCrop>
  <LinksUpToDate>false</LinksUpToDate>
  <CharactersWithSpaces>43856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2020-04-17T05:48:00Z</dcterms:created>
  <dc:creator>Administrator</dc:creator>
  <cp:lastModifiedBy>Strulle</cp:lastModifiedBy>
  <cp:lastPrinted>2020-09-14T02:44:00Z</cp:lastPrinted>
  <dcterms:modified xsi:type="dcterms:W3CDTF">2021-10-09T08:59:04Z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C56FF7D440BB482A95B10D1AB65D55D5</vt:lpwstr>
  </property>
</Properties>
</file>