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rPr>
      </w:pPr>
      <w:bookmarkStart w:id="94" w:name="_GoBack"/>
      <w:bookmarkEnd w:id="94"/>
    </w:p>
    <w:p>
      <w:pPr>
        <w:pStyle w:val="18"/>
        <w:spacing w:line="680" w:lineRule="exact"/>
        <w:rPr>
          <w:rFonts w:hint="eastAsia" w:ascii="宋体" w:hAnsi="宋体" w:cs="宋体"/>
          <w:b/>
          <w:color w:val="auto"/>
          <w:szCs w:val="52"/>
        </w:rPr>
      </w:pPr>
      <w:r>
        <w:rPr>
          <w:rFonts w:hint="eastAsia" w:ascii="宋体" w:hAnsi="宋体" w:cs="宋体"/>
          <w:b/>
          <w:color w:val="auto"/>
          <w:szCs w:val="52"/>
        </w:rPr>
        <w:t>广西睿翼工程咨询有限公司</w:t>
      </w:r>
    </w:p>
    <w:p>
      <w:pPr>
        <w:pStyle w:val="18"/>
        <w:spacing w:line="400" w:lineRule="exact"/>
        <w:rPr>
          <w:rFonts w:hint="eastAsia" w:ascii="宋体" w:hAnsi="宋体" w:cs="宋体"/>
          <w:b/>
          <w:color w:val="auto"/>
          <w:sz w:val="72"/>
          <w:szCs w:val="72"/>
        </w:rPr>
      </w:pPr>
      <w:r>
        <w:rPr>
          <w:rFonts w:hint="eastAsia" w:ascii="宋体" w:hAnsi="宋体" w:cs="宋体"/>
          <w:b/>
          <w:color w:val="auto"/>
          <w:sz w:val="72"/>
          <w:szCs w:val="72"/>
        </w:rPr>
        <w:drawing>
          <wp:inline distT="0" distB="0" distL="114300" distR="114300">
            <wp:extent cx="5704840" cy="47625"/>
            <wp:effectExtent l="0" t="0" r="1016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704840" cy="47625"/>
                    </a:xfrm>
                    <a:prstGeom prst="rect">
                      <a:avLst/>
                    </a:prstGeom>
                    <a:noFill/>
                    <a:ln>
                      <a:noFill/>
                    </a:ln>
                  </pic:spPr>
                </pic:pic>
              </a:graphicData>
            </a:graphic>
          </wp:inline>
        </w:drawing>
      </w:r>
    </w:p>
    <w:p>
      <w:pPr>
        <w:pStyle w:val="18"/>
        <w:rPr>
          <w:rFonts w:hint="eastAsia" w:ascii="宋体" w:hAnsi="宋体" w:cs="宋体"/>
          <w:b/>
          <w:color w:val="auto"/>
          <w:sz w:val="72"/>
          <w:szCs w:val="72"/>
        </w:rPr>
      </w:pPr>
    </w:p>
    <w:p>
      <w:pPr>
        <w:pStyle w:val="18"/>
        <w:rPr>
          <w:rFonts w:hint="eastAsia" w:ascii="宋体" w:hAnsi="宋体" w:cs="宋体"/>
          <w:color w:val="auto"/>
          <w:sz w:val="90"/>
          <w:szCs w:val="90"/>
          <w14:shadow w14:blurRad="50800" w14:dist="38100" w14:dir="2700000" w14:sx="100000" w14:sy="100000" w14:kx="0" w14:ky="0" w14:algn="tl">
            <w14:srgbClr w14:val="000000">
              <w14:alpha w14:val="60000"/>
            </w14:srgbClr>
          </w14:shadow>
        </w:rPr>
      </w:pPr>
      <w:r>
        <w:rPr>
          <w:rFonts w:hint="eastAsia" w:ascii="宋体" w:hAnsi="宋体" w:cs="宋体"/>
          <w:b/>
          <w:color w:val="auto"/>
          <w:sz w:val="72"/>
          <w:szCs w:val="72"/>
        </w:rPr>
        <w:t>竞争性磋商文件</w:t>
      </w: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b/>
          <w:color w:val="auto"/>
          <w:szCs w:val="52"/>
        </w:rPr>
      </w:pPr>
    </w:p>
    <w:p>
      <w:pPr>
        <w:pStyle w:val="18"/>
        <w:rPr>
          <w:rFonts w:hint="eastAsia" w:ascii="宋体" w:hAnsi="宋体" w:cs="宋体"/>
          <w:b/>
          <w:color w:val="auto"/>
          <w:szCs w:val="52"/>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pStyle w:val="18"/>
        <w:rPr>
          <w:rFonts w:hint="eastAsia" w:ascii="宋体" w:hAnsi="宋体" w:cs="宋体"/>
          <w:color w:val="auto"/>
          <w:sz w:val="21"/>
          <w:szCs w:val="21"/>
          <w14:shadow w14:blurRad="50800" w14:dist="38100" w14:dir="2700000" w14:sx="100000" w14:sy="100000" w14:kx="0" w14:ky="0" w14:algn="tl">
            <w14:srgbClr w14:val="000000">
              <w14:alpha w14:val="60000"/>
            </w14:srgbClr>
          </w14:shadow>
        </w:rPr>
      </w:pPr>
    </w:p>
    <w:p>
      <w:pPr>
        <w:ind w:left="2269" w:leftChars="304" w:hanging="1600" w:hangingChars="500"/>
        <w:rPr>
          <w:rFonts w:hint="eastAsia" w:ascii="宋体" w:hAnsi="宋体" w:eastAsia="宋体" w:cs="宋体"/>
          <w:color w:val="auto"/>
          <w:sz w:val="32"/>
        </w:rPr>
      </w:pPr>
    </w:p>
    <w:p>
      <w:pPr>
        <w:ind w:left="2468" w:leftChars="440" w:hanging="1500" w:hangingChars="500"/>
        <w:rPr>
          <w:rFonts w:hint="eastAsia" w:ascii="宋体" w:hAnsi="宋体" w:eastAsia="宋体" w:cs="宋体"/>
          <w:color w:val="auto"/>
          <w:sz w:val="30"/>
          <w:szCs w:val="30"/>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凤山县域农村生活污水治理规划编制服务采购</w:t>
      </w:r>
      <w:r>
        <w:rPr>
          <w:rFonts w:hint="eastAsia" w:ascii="宋体" w:hAnsi="宋体" w:eastAsia="宋体" w:cs="宋体"/>
          <w:color w:val="auto"/>
          <w:sz w:val="30"/>
          <w:szCs w:val="30"/>
        </w:rPr>
        <w:t xml:space="preserve"> </w:t>
      </w:r>
    </w:p>
    <w:p>
      <w:pPr>
        <w:ind w:left="2168" w:leftChars="440" w:hanging="1200" w:hangingChars="400"/>
        <w:rPr>
          <w:rFonts w:hint="eastAsia" w:ascii="宋体" w:hAnsi="宋体" w:eastAsia="宋体" w:cs="宋体"/>
          <w:color w:val="auto"/>
          <w:sz w:val="30"/>
          <w:szCs w:val="30"/>
        </w:rPr>
      </w:pPr>
      <w:r>
        <w:rPr>
          <w:rFonts w:hint="eastAsia" w:ascii="宋体" w:hAnsi="宋体" w:eastAsia="宋体" w:cs="宋体"/>
          <w:color w:val="auto"/>
          <w:sz w:val="30"/>
          <w:szCs w:val="30"/>
        </w:rPr>
        <w:t>项目编号：</w:t>
      </w:r>
      <w:r>
        <w:rPr>
          <w:rFonts w:hint="eastAsia" w:ascii="宋体" w:hAnsi="宋体" w:eastAsia="宋体" w:cs="宋体"/>
          <w:color w:val="auto"/>
          <w:sz w:val="30"/>
          <w:szCs w:val="30"/>
          <w:lang w:eastAsia="zh-CN"/>
        </w:rPr>
        <w:t>HCZC2020-C3-230037-GXRY</w:t>
      </w:r>
      <w:r>
        <w:rPr>
          <w:rFonts w:hint="eastAsia" w:ascii="宋体" w:hAnsi="宋体" w:eastAsia="宋体" w:cs="宋体"/>
          <w:color w:val="auto"/>
          <w:sz w:val="30"/>
          <w:szCs w:val="30"/>
        </w:rPr>
        <w:t xml:space="preserve"> </w:t>
      </w:r>
    </w:p>
    <w:p>
      <w:pPr>
        <w:ind w:left="2168" w:leftChars="440" w:hanging="1200" w:hangingChars="400"/>
        <w:rPr>
          <w:rFonts w:hint="eastAsia" w:ascii="宋体" w:hAnsi="宋体" w:eastAsia="宋体" w:cs="宋体"/>
          <w:color w:val="auto"/>
          <w:sz w:val="30"/>
          <w:szCs w:val="30"/>
        </w:rPr>
      </w:pPr>
    </w:p>
    <w:p>
      <w:pPr>
        <w:ind w:left="2168" w:leftChars="440" w:hanging="1200" w:hangingChars="400"/>
        <w:rPr>
          <w:rFonts w:hint="eastAsia" w:ascii="宋体" w:hAnsi="宋体" w:eastAsia="宋体" w:cs="宋体"/>
          <w:color w:val="auto"/>
          <w:sz w:val="30"/>
          <w:szCs w:val="30"/>
        </w:rPr>
      </w:pPr>
    </w:p>
    <w:p>
      <w:pPr>
        <w:rPr>
          <w:rFonts w:hint="eastAsia" w:ascii="宋体" w:hAnsi="宋体" w:eastAsia="宋体" w:cs="宋体"/>
          <w:b/>
          <w:color w:val="auto"/>
          <w:sz w:val="30"/>
          <w:szCs w:val="30"/>
        </w:rPr>
      </w:pPr>
    </w:p>
    <w:p>
      <w:pPr>
        <w:rPr>
          <w:rFonts w:hint="eastAsia" w:ascii="宋体" w:hAnsi="宋体" w:eastAsia="宋体" w:cs="宋体"/>
          <w:b/>
          <w:color w:val="auto"/>
          <w:sz w:val="30"/>
          <w:szCs w:val="30"/>
        </w:rPr>
      </w:pPr>
    </w:p>
    <w:p>
      <w:pPr>
        <w:ind w:firstLine="1506" w:firstLineChars="500"/>
        <w:rPr>
          <w:rFonts w:hint="eastAsia" w:ascii="宋体" w:hAnsi="宋体" w:eastAsia="宋体" w:cs="宋体"/>
          <w:b/>
          <w:color w:val="auto"/>
          <w:kern w:val="2"/>
          <w:sz w:val="30"/>
          <w:szCs w:val="30"/>
          <w:lang w:eastAsia="zh-CN"/>
        </w:rPr>
      </w:pPr>
      <w:r>
        <w:rPr>
          <w:rFonts w:hint="eastAsia" w:ascii="宋体" w:hAnsi="宋体" w:eastAsia="宋体" w:cs="宋体"/>
          <w:b/>
          <w:color w:val="auto"/>
          <w:sz w:val="30"/>
          <w:szCs w:val="30"/>
        </w:rPr>
        <w:t>采购人：</w:t>
      </w:r>
      <w:r>
        <w:rPr>
          <w:rFonts w:hint="eastAsia" w:ascii="宋体" w:hAnsi="宋体" w:eastAsia="宋体" w:cs="宋体"/>
          <w:b/>
          <w:color w:val="auto"/>
          <w:sz w:val="30"/>
          <w:szCs w:val="30"/>
          <w:lang w:eastAsia="zh-CN"/>
        </w:rPr>
        <w:t>河池市凤山生态环境局</w:t>
      </w:r>
    </w:p>
    <w:p>
      <w:pPr>
        <w:pStyle w:val="18"/>
        <w:spacing w:line="600" w:lineRule="exact"/>
        <w:ind w:right="-273" w:rightChars="-124" w:firstLine="1506" w:firstLineChars="500"/>
        <w:jc w:val="both"/>
        <w:rPr>
          <w:rFonts w:hint="eastAsia" w:ascii="宋体" w:hAnsi="宋体" w:cs="宋体"/>
          <w:b/>
          <w:color w:val="auto"/>
          <w:sz w:val="30"/>
          <w:szCs w:val="30"/>
        </w:rPr>
      </w:pPr>
      <w:r>
        <w:rPr>
          <w:rFonts w:hint="eastAsia" w:ascii="宋体" w:hAnsi="宋体" w:cs="宋体"/>
          <w:b/>
          <w:color w:val="auto"/>
          <w:sz w:val="30"/>
          <w:szCs w:val="30"/>
        </w:rPr>
        <w:t>采购代理机构：广西睿翼工程咨询有限公司</w:t>
      </w:r>
    </w:p>
    <w:p>
      <w:pPr>
        <w:pStyle w:val="18"/>
        <w:spacing w:line="600" w:lineRule="exact"/>
        <w:ind w:right="-273" w:rightChars="-124" w:firstLine="3313" w:firstLineChars="1100"/>
        <w:jc w:val="both"/>
        <w:rPr>
          <w:rFonts w:hint="eastAsia" w:ascii="宋体" w:hAnsi="宋体" w:cs="宋体"/>
          <w:color w:val="auto"/>
          <w:sz w:val="30"/>
          <w:szCs w:val="30"/>
        </w:rPr>
      </w:pPr>
      <w:r>
        <w:rPr>
          <w:rFonts w:hint="eastAsia" w:ascii="宋体" w:hAnsi="宋体" w:cs="宋体"/>
          <w:b/>
          <w:color w:val="auto"/>
          <w:sz w:val="30"/>
          <w:szCs w:val="30"/>
        </w:rPr>
        <w:t>2020年0</w:t>
      </w:r>
      <w:r>
        <w:rPr>
          <w:rFonts w:hint="eastAsia" w:ascii="宋体" w:hAnsi="宋体" w:cs="宋体"/>
          <w:b/>
          <w:color w:val="auto"/>
          <w:sz w:val="30"/>
          <w:szCs w:val="30"/>
          <w:lang w:val="en-US" w:eastAsia="zh-CN"/>
        </w:rPr>
        <w:t>7</w:t>
      </w:r>
      <w:r>
        <w:rPr>
          <w:rFonts w:hint="eastAsia" w:ascii="宋体" w:hAnsi="宋体" w:cs="宋体"/>
          <w:b/>
          <w:color w:val="auto"/>
          <w:sz w:val="30"/>
          <w:szCs w:val="30"/>
        </w:rPr>
        <w:t>月</w:t>
      </w:r>
    </w:p>
    <w:p>
      <w:pPr>
        <w:rPr>
          <w:rFonts w:hint="eastAsia" w:ascii="宋体" w:hAnsi="宋体" w:eastAsia="宋体" w:cs="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247" w:right="1191" w:bottom="1304" w:left="1191" w:header="737" w:footer="680" w:gutter="0"/>
          <w:pgNumType w:start="1"/>
          <w:cols w:space="720" w:num="1"/>
          <w:titlePg/>
          <w:docGrid w:linePitch="312" w:charSpace="0"/>
        </w:sectPr>
      </w:pPr>
      <w:bookmarkStart w:id="0" w:name="_Toc246095513"/>
      <w:bookmarkStart w:id="1" w:name="_Toc246095451"/>
      <w:bookmarkStart w:id="2" w:name="_Toc246094907"/>
    </w:p>
    <w:p>
      <w:pPr>
        <w:spacing w:after="0" w:line="44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目  录</w:t>
      </w:r>
    </w:p>
    <w:p>
      <w:pPr>
        <w:spacing w:after="0" w:line="440" w:lineRule="exact"/>
        <w:rPr>
          <w:rFonts w:hint="eastAsia" w:ascii="宋体" w:hAnsi="宋体" w:eastAsia="宋体" w:cs="宋体"/>
          <w:color w:val="auto"/>
          <w:sz w:val="24"/>
          <w:szCs w:val="24"/>
        </w:rPr>
      </w:pPr>
    </w:p>
    <w:p>
      <w:pPr>
        <w:pStyle w:val="30"/>
        <w:keepNext w:val="0"/>
        <w:keepLines w:val="0"/>
        <w:pageBreakBefore w:val="0"/>
        <w:tabs>
          <w:tab w:val="right" w:leader="dot" w:pos="9515"/>
        </w:tabs>
        <w:kinsoku/>
        <w:wordWrap/>
        <w:overflowPunct/>
        <w:topLinePunct w:val="0"/>
        <w:autoSpaceDE/>
        <w:autoSpaceDN/>
        <w:bidi w:val="0"/>
        <w:spacing w:line="480" w:lineRule="auto"/>
        <w:textAlignment w:val="auto"/>
        <w:rPr>
          <w:rFonts w:hint="eastAsia" w:ascii="宋体" w:hAnsi="宋体" w:cs="宋体"/>
          <w:b w:val="0"/>
          <w:bCs w:val="0"/>
          <w:caps w:val="0"/>
          <w:color w:val="auto"/>
          <w:sz w:val="28"/>
          <w:szCs w:val="28"/>
        </w:rPr>
      </w:pP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TOC \o "1-3" \h \z \u </w:instrText>
      </w:r>
      <w:r>
        <w:rPr>
          <w:rFonts w:hint="eastAsia" w:ascii="宋体" w:hAnsi="宋体" w:cs="宋体"/>
          <w:b w:val="0"/>
          <w:bCs w:val="0"/>
          <w:color w:val="auto"/>
          <w:sz w:val="24"/>
          <w:szCs w:val="24"/>
        </w:rPr>
        <w:fldChar w:fldCharType="separate"/>
      </w: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"_Toc16781715"</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第一章  竞争性磋商公告</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_Toc16781715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2</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30"/>
        <w:spacing w:line="480" w:lineRule="auto"/>
        <w:rPr>
          <w:rFonts w:hint="eastAsia" w:ascii="宋体" w:hAnsi="宋体" w:cs="宋体"/>
          <w:smallCaps w:val="0"/>
          <w:color w:val="auto"/>
          <w:sz w:val="28"/>
          <w:szCs w:val="28"/>
        </w:rPr>
      </w:pP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"_Toc16781716"</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第二章   供应商须知</w:t>
      </w:r>
      <w:r>
        <w:rPr>
          <w:rFonts w:hint="eastAsia" w:ascii="宋体" w:hAnsi="宋体" w:eastAsia="宋体" w:cs="宋体"/>
          <w:b w:val="0"/>
          <w:color w:val="auto"/>
          <w:sz w:val="28"/>
          <w:szCs w:val="28"/>
          <w:lang w:val="en-US"/>
        </w:rPr>
        <w:t>………………………………………………………………</w:t>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_Toc16781716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5</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30"/>
        <w:keepNext w:val="0"/>
        <w:keepLines w:val="0"/>
        <w:pageBreakBefore w:val="0"/>
        <w:tabs>
          <w:tab w:val="right" w:leader="dot" w:pos="9515"/>
        </w:tabs>
        <w:kinsoku/>
        <w:wordWrap/>
        <w:overflowPunct/>
        <w:topLinePunct w:val="0"/>
        <w:autoSpaceDE/>
        <w:autoSpaceDN/>
        <w:bidi w:val="0"/>
        <w:spacing w:line="480" w:lineRule="auto"/>
        <w:textAlignment w:val="auto"/>
        <w:rPr>
          <w:rFonts w:hint="eastAsia" w:ascii="宋体" w:hAnsi="宋体" w:cs="宋体"/>
          <w:b w:val="0"/>
          <w:bCs w:val="0"/>
          <w:caps w:val="0"/>
          <w:color w:val="auto"/>
          <w:sz w:val="28"/>
          <w:szCs w:val="28"/>
        </w:rPr>
      </w:pP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"_Toc16781726"</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第三章  项目采购需求</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_Toc16781726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28</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30"/>
        <w:keepNext w:val="0"/>
        <w:keepLines w:val="0"/>
        <w:pageBreakBefore w:val="0"/>
        <w:tabs>
          <w:tab w:val="right" w:leader="dot" w:pos="9515"/>
        </w:tabs>
        <w:kinsoku/>
        <w:wordWrap/>
        <w:overflowPunct/>
        <w:topLinePunct w:val="0"/>
        <w:autoSpaceDE/>
        <w:autoSpaceDN/>
        <w:bidi w:val="0"/>
        <w:spacing w:line="480" w:lineRule="auto"/>
        <w:textAlignment w:val="auto"/>
        <w:rPr>
          <w:rFonts w:hint="eastAsia" w:ascii="宋体" w:hAnsi="宋体" w:cs="宋体"/>
          <w:b w:val="0"/>
          <w:bCs w:val="0"/>
          <w:caps w:val="0"/>
          <w:color w:val="auto"/>
          <w:sz w:val="28"/>
          <w:szCs w:val="28"/>
        </w:rPr>
      </w:pP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"_Toc16781727"</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第四章 评审方法及评审标准</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_Toc16781727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30</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30"/>
        <w:keepNext w:val="0"/>
        <w:keepLines w:val="0"/>
        <w:pageBreakBefore w:val="0"/>
        <w:tabs>
          <w:tab w:val="right" w:leader="dot" w:pos="9515"/>
        </w:tabs>
        <w:kinsoku/>
        <w:wordWrap/>
        <w:overflowPunct/>
        <w:topLinePunct w:val="0"/>
        <w:autoSpaceDE/>
        <w:autoSpaceDN/>
        <w:bidi w:val="0"/>
        <w:spacing w:line="480" w:lineRule="auto"/>
        <w:textAlignment w:val="auto"/>
        <w:rPr>
          <w:rFonts w:hint="eastAsia" w:ascii="宋体" w:hAnsi="宋体" w:cs="宋体"/>
          <w:b w:val="0"/>
          <w:bCs w:val="0"/>
          <w:caps w:val="0"/>
          <w:color w:val="auto"/>
          <w:sz w:val="28"/>
          <w:szCs w:val="28"/>
        </w:rPr>
      </w:pP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"_Toc16781728"</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第五章  合同条款及格式</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_Toc16781728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36</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30"/>
        <w:keepNext w:val="0"/>
        <w:keepLines w:val="0"/>
        <w:pageBreakBefore w:val="0"/>
        <w:tabs>
          <w:tab w:val="right" w:leader="dot" w:pos="9515"/>
        </w:tabs>
        <w:kinsoku/>
        <w:wordWrap/>
        <w:overflowPunct/>
        <w:topLinePunct w:val="0"/>
        <w:autoSpaceDE/>
        <w:autoSpaceDN/>
        <w:bidi w:val="0"/>
        <w:spacing w:line="480" w:lineRule="auto"/>
        <w:textAlignment w:val="auto"/>
        <w:rPr>
          <w:rFonts w:hint="eastAsia" w:ascii="宋体" w:hAnsi="宋体" w:cs="宋体"/>
          <w:b w:val="0"/>
          <w:bCs w:val="0"/>
          <w:caps w:val="0"/>
          <w:color w:val="auto"/>
          <w:sz w:val="21"/>
          <w:szCs w:val="22"/>
        </w:rPr>
      </w:pPr>
      <w:r>
        <w:rPr>
          <w:rFonts w:hint="eastAsia" w:ascii="宋体" w:hAnsi="宋体" w:cs="宋体"/>
          <w:b w:val="0"/>
          <w:color w:val="auto"/>
          <w:sz w:val="28"/>
          <w:szCs w:val="28"/>
        </w:rPr>
        <w:fldChar w:fldCharType="begin"/>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instrText xml:space="preserve">HYPERLINK \l "_Toc16781729"</w:instrText>
      </w:r>
      <w:r>
        <w:rPr>
          <w:rStyle w:val="52"/>
          <w:rFonts w:hint="eastAsia" w:ascii="宋体" w:hAnsi="宋体" w:cs="宋体"/>
          <w:b w:val="0"/>
          <w:color w:val="auto"/>
          <w:sz w:val="28"/>
          <w:szCs w:val="28"/>
        </w:rPr>
        <w:instrText xml:space="preserve"> </w:instrText>
      </w:r>
      <w:r>
        <w:rPr>
          <w:rFonts w:hint="eastAsia" w:ascii="宋体" w:hAnsi="宋体" w:cs="宋体"/>
          <w:b w:val="0"/>
          <w:color w:val="auto"/>
          <w:sz w:val="28"/>
          <w:szCs w:val="28"/>
        </w:rPr>
        <w:fldChar w:fldCharType="separate"/>
      </w:r>
      <w:r>
        <w:rPr>
          <w:rStyle w:val="52"/>
          <w:rFonts w:hint="eastAsia" w:ascii="宋体" w:hAnsi="宋体" w:cs="宋体"/>
          <w:b w:val="0"/>
          <w:color w:val="auto"/>
          <w:sz w:val="28"/>
          <w:szCs w:val="28"/>
        </w:rPr>
        <w:t>第六章  响应文件格式</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_Toc16781729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40</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keepNext w:val="0"/>
        <w:keepLines w:val="0"/>
        <w:pageBreakBefore w:val="0"/>
        <w:kinsoku/>
        <w:wordWrap/>
        <w:overflowPunct/>
        <w:topLinePunct w:val="0"/>
        <w:autoSpaceDE/>
        <w:autoSpaceDN/>
        <w:bidi w:val="0"/>
        <w:spacing w:after="0" w:line="480" w:lineRule="auto"/>
        <w:ind w:firstLine="240" w:firstLineChars="100"/>
        <w:textAlignment w:val="auto"/>
        <w:rPr>
          <w:rFonts w:hint="eastAsia" w:ascii="宋体" w:hAnsi="宋体" w:eastAsia="宋体" w:cs="宋体"/>
          <w:color w:val="auto"/>
          <w:sz w:val="20"/>
          <w:szCs w:val="20"/>
        </w:rPr>
        <w:sectPr>
          <w:headerReference r:id="rId9" w:type="first"/>
          <w:footerReference r:id="rId10" w:type="first"/>
          <w:pgSz w:w="11907" w:h="16840"/>
          <w:pgMar w:top="1247" w:right="1191" w:bottom="1304" w:left="1191" w:header="737" w:footer="680" w:gutter="0"/>
          <w:pgNumType w:start="1"/>
          <w:cols w:space="720" w:num="1"/>
          <w:docGrid w:linePitch="312" w:charSpace="0"/>
        </w:sectPr>
      </w:pPr>
      <w:r>
        <w:rPr>
          <w:rFonts w:hint="eastAsia" w:ascii="宋体" w:hAnsi="宋体" w:eastAsia="宋体" w:cs="宋体"/>
          <w:color w:val="auto"/>
          <w:sz w:val="24"/>
          <w:szCs w:val="24"/>
        </w:rPr>
        <w:fldChar w:fldCharType="end"/>
      </w:r>
    </w:p>
    <w:p>
      <w:pPr>
        <w:pStyle w:val="4"/>
        <w:spacing w:before="100" w:beforeAutospacing="1" w:after="100" w:afterAutospacing="1" w:line="380" w:lineRule="exact"/>
        <w:rPr>
          <w:rFonts w:hint="eastAsia" w:ascii="宋体" w:hAnsi="宋体" w:eastAsia="宋体" w:cs="宋体"/>
          <w:b/>
          <w:bCs/>
          <w:color w:val="auto"/>
        </w:rPr>
      </w:pPr>
      <w:bookmarkStart w:id="3" w:name="_Toc16781715"/>
      <w:r>
        <w:rPr>
          <w:rFonts w:hint="eastAsia" w:ascii="宋体" w:hAnsi="宋体" w:eastAsia="宋体" w:cs="宋体"/>
          <w:b/>
          <w:bCs/>
          <w:color w:val="auto"/>
        </w:rPr>
        <w:t xml:space="preserve">第一章  </w:t>
      </w:r>
      <w:bookmarkEnd w:id="0"/>
      <w:bookmarkEnd w:id="1"/>
      <w:bookmarkEnd w:id="2"/>
      <w:r>
        <w:rPr>
          <w:rFonts w:hint="eastAsia" w:ascii="宋体" w:hAnsi="宋体" w:eastAsia="宋体" w:cs="宋体"/>
          <w:b/>
          <w:bCs/>
          <w:color w:val="auto"/>
        </w:rPr>
        <w:t>竞争性磋商公告</w:t>
      </w:r>
      <w:bookmarkEnd w:id="3"/>
    </w:p>
    <w:p>
      <w:pPr>
        <w:spacing w:after="0" w:line="400" w:lineRule="exact"/>
        <w:ind w:firstLine="562" w:firstLineChars="200"/>
        <w:jc w:val="center"/>
        <w:rPr>
          <w:rFonts w:hint="eastAsia" w:ascii="宋体" w:hAnsi="宋体" w:eastAsia="宋体" w:cs="宋体"/>
          <w:b/>
          <w:color w:val="auto"/>
          <w:sz w:val="28"/>
          <w:szCs w:val="28"/>
        </w:rPr>
      </w:pPr>
      <w:bookmarkStart w:id="4" w:name="_Toc246094908"/>
      <w:bookmarkStart w:id="5" w:name="_Toc246095514"/>
      <w:bookmarkStart w:id="6" w:name="_Toc246095452"/>
      <w:r>
        <w:rPr>
          <w:rFonts w:hint="eastAsia" w:ascii="宋体" w:hAnsi="宋体" w:eastAsia="宋体" w:cs="宋体"/>
          <w:b/>
          <w:color w:val="auto"/>
          <w:sz w:val="28"/>
          <w:szCs w:val="28"/>
        </w:rPr>
        <w:t>广西睿翼工程咨询有限公司</w:t>
      </w:r>
    </w:p>
    <w:p>
      <w:pPr>
        <w:pStyle w:val="4"/>
        <w:keepNext/>
        <w:keepLines w:val="0"/>
        <w:pageBreakBefore w:val="0"/>
        <w:widowControl/>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华文中宋" w:hAnsi="华文中宋" w:eastAsia="华文中宋"/>
          <w:b/>
          <w:bCs/>
          <w:color w:val="auto"/>
          <w:sz w:val="36"/>
          <w:szCs w:val="36"/>
          <w:lang w:eastAsia="zh-CN"/>
        </w:rPr>
      </w:pPr>
      <w:bookmarkStart w:id="7" w:name="_Toc35393797"/>
      <w:bookmarkStart w:id="8" w:name="_Toc28359011"/>
      <w:r>
        <w:rPr>
          <w:rFonts w:hint="eastAsia" w:ascii="华文中宋" w:hAnsi="华文中宋" w:eastAsia="华文中宋"/>
          <w:b/>
          <w:bCs/>
          <w:color w:val="auto"/>
          <w:sz w:val="36"/>
          <w:szCs w:val="36"/>
          <w:lang w:eastAsia="zh-CN"/>
        </w:rPr>
        <w:t>凤山县域农村生活污水治理规划编制服务采购</w:t>
      </w:r>
    </w:p>
    <w:p>
      <w:pPr>
        <w:pStyle w:val="4"/>
        <w:tabs>
          <w:tab w:val="left" w:pos="0"/>
        </w:tabs>
        <w:autoSpaceDE w:val="0"/>
        <w:autoSpaceDN w:val="0"/>
        <w:adjustRightInd w:val="0"/>
        <w:spacing w:before="0" w:after="0" w:line="360" w:lineRule="auto"/>
        <w:jc w:val="center"/>
        <w:rPr>
          <w:rFonts w:hint="eastAsia" w:ascii="宋体" w:hAnsi="宋体" w:eastAsia="宋体" w:cs="宋体"/>
          <w:b/>
          <w:bCs/>
          <w:color w:val="auto"/>
          <w:sz w:val="24"/>
          <w:szCs w:val="24"/>
        </w:rPr>
      </w:pPr>
      <w:r>
        <w:rPr>
          <w:rFonts w:hint="eastAsia" w:ascii="华文中宋" w:hAnsi="华文中宋" w:eastAsia="华文中宋"/>
          <w:b/>
          <w:bCs/>
          <w:color w:val="auto"/>
          <w:sz w:val="36"/>
          <w:szCs w:val="36"/>
        </w:rPr>
        <w:t>竞争性磋商公告</w:t>
      </w:r>
      <w:bookmarkEnd w:id="7"/>
      <w:bookmarkEnd w:id="8"/>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u w:val="single"/>
          <w:lang w:eastAsia="zh-CN"/>
        </w:rPr>
        <w:t>凤山县域农村生活污水治理规划编制服务采购</w:t>
      </w:r>
      <w:r>
        <w:rPr>
          <w:rFonts w:hint="eastAsia" w:ascii="宋体" w:hAnsi="宋体" w:eastAsia="宋体" w:cs="宋体"/>
          <w:color w:val="auto"/>
          <w:sz w:val="24"/>
          <w:szCs w:val="24"/>
        </w:rPr>
        <w:t>采购项目的潜在供应商应在本公告发布之日起日至响应文件递交截止时间前登陆政采云多样化的政府采购平台（https://login.zcygov.cn/user-login/#/login）注册下载竞争性磋商文件电子版，逾期下载无效，并于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08</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06</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15时00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color w:val="auto"/>
          <w:sz w:val="24"/>
          <w:szCs w:val="24"/>
        </w:rPr>
      </w:pPr>
      <w:bookmarkStart w:id="9" w:name="_Toc35393798"/>
      <w:bookmarkStart w:id="10" w:name="_Toc35393629"/>
      <w:bookmarkStart w:id="11" w:name="_Toc28359012"/>
      <w:bookmarkStart w:id="12" w:name="_Toc28359089"/>
      <w:r>
        <w:rPr>
          <w:rFonts w:hint="eastAsia" w:ascii="宋体" w:hAnsi="宋体" w:eastAsia="宋体" w:cs="宋体"/>
          <w:b/>
          <w:bCs w:val="0"/>
          <w:color w:val="auto"/>
          <w:sz w:val="24"/>
          <w:szCs w:val="24"/>
        </w:rPr>
        <w:t>一、项目基本情况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HCZC2020-C3-230037-GXRY</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凤山县域农村生活污水治理规划编制服务采购；</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采购方式：□竞争性谈判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竞争性磋商 □询价</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40.8万元；</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凤山县域农村生活污水治理规划编制服务采购</w:t>
      </w:r>
      <w:r>
        <w:rPr>
          <w:rFonts w:hint="eastAsia" w:ascii="宋体" w:hAnsi="宋体" w:eastAsia="宋体" w:cs="宋体"/>
          <w:color w:val="auto"/>
          <w:sz w:val="24"/>
          <w:szCs w:val="24"/>
        </w:rPr>
        <w:t>服务一项，具体内容详见采购文件“项目采购需求”</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合同生效之日起40个工作日内完成凤山县域农村生活污水治理规划编制及评审验收；</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接受联合体。</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color w:val="auto"/>
          <w:sz w:val="24"/>
          <w:szCs w:val="24"/>
        </w:rPr>
      </w:pPr>
      <w:bookmarkStart w:id="13" w:name="_Toc35393799"/>
      <w:bookmarkStart w:id="14" w:name="_Toc28359013"/>
      <w:bookmarkStart w:id="15" w:name="_Toc28359090"/>
      <w:bookmarkStart w:id="16" w:name="_Toc35393630"/>
      <w:r>
        <w:rPr>
          <w:rFonts w:hint="eastAsia" w:ascii="宋体" w:hAnsi="宋体" w:eastAsia="宋体" w:cs="宋体"/>
          <w:b/>
          <w:bCs w:val="0"/>
          <w:color w:val="auto"/>
          <w:sz w:val="24"/>
          <w:szCs w:val="24"/>
        </w:rPr>
        <w:t>二、申请人的资格要求：</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且为境内注册（指按国家有关规定要求注册的）</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bookmarkStart w:id="17" w:name="_Toc28359014"/>
      <w:bookmarkStart w:id="18" w:name="_Toc28359091"/>
      <w:r>
        <w:rPr>
          <w:rFonts w:hint="eastAsia" w:ascii="宋体" w:hAnsi="宋体" w:eastAsia="宋体" w:cs="宋体"/>
          <w:color w:val="auto"/>
          <w:sz w:val="24"/>
          <w:szCs w:val="24"/>
        </w:rPr>
        <w:t>落实政府采购政策需满足的资格要求：本项目非专门面向中小企业采购</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3、拟派项目负责人须具有环境保护工程类（或者化学工程与技术类、市政给水排水类）相关专业中级或以上技术职称</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i/>
          <w:iCs/>
          <w:color w:val="auto"/>
          <w:sz w:val="24"/>
          <w:szCs w:val="24"/>
          <w:u w:val="single"/>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color w:val="auto"/>
          <w:sz w:val="24"/>
          <w:szCs w:val="24"/>
        </w:rPr>
      </w:pPr>
      <w:bookmarkStart w:id="19" w:name="_Toc35393800"/>
      <w:bookmarkStart w:id="20" w:name="_Toc35393631"/>
      <w:r>
        <w:rPr>
          <w:rFonts w:hint="eastAsia" w:ascii="宋体" w:hAnsi="宋体" w:eastAsia="宋体" w:cs="宋体"/>
          <w:b/>
          <w:bCs w:val="0"/>
          <w:color w:val="auto"/>
          <w:sz w:val="24"/>
          <w:szCs w:val="24"/>
        </w:rPr>
        <w:t>三、获取采购文件</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after="0" w:line="480" w:lineRule="exact"/>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竞争性磋商文件为网上免费下载。潜在供应商请于本公告发布之日起日至响应文件递交截止时间前登陆政采云多样化的政府采购平台（https://login.zcygov.cn/user-login/#/login）注册下载竞争性磋商文件电子版，逾期下载无效。</w:t>
      </w:r>
    </w:p>
    <w:p>
      <w:pPr>
        <w:keepNext w:val="0"/>
        <w:keepLines w:val="0"/>
        <w:pageBreakBefore w:val="0"/>
        <w:widowControl w:val="0"/>
        <w:kinsoku/>
        <w:wordWrap/>
        <w:overflowPunct/>
        <w:topLinePunct w:val="0"/>
        <w:autoSpaceDE/>
        <w:autoSpaceDN/>
        <w:bidi w:val="0"/>
        <w:adjustRightInd/>
        <w:snapToGrid/>
        <w:spacing w:after="0" w:line="480" w:lineRule="exact"/>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2.竞争性磋商文件电子版不收取费用。</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color w:val="auto"/>
          <w:sz w:val="24"/>
          <w:szCs w:val="24"/>
        </w:rPr>
      </w:pPr>
      <w:bookmarkStart w:id="21" w:name="_Toc35393801"/>
      <w:bookmarkStart w:id="22" w:name="_Toc35393632"/>
      <w:bookmarkStart w:id="23" w:name="_Toc28359092"/>
      <w:bookmarkStart w:id="24" w:name="_Toc28359015"/>
      <w:r>
        <w:rPr>
          <w:rFonts w:hint="eastAsia" w:ascii="宋体" w:hAnsi="宋体" w:eastAsia="宋体" w:cs="宋体"/>
          <w:b/>
          <w:bCs w:val="0"/>
          <w:color w:val="auto"/>
          <w:sz w:val="24"/>
          <w:szCs w:val="24"/>
        </w:rPr>
        <w:t>四、响应文件提交</w:t>
      </w:r>
      <w:bookmarkEnd w:id="21"/>
      <w:bookmarkEnd w:id="22"/>
      <w:bookmarkEnd w:id="23"/>
      <w:bookmarkEnd w:id="24"/>
    </w:p>
    <w:p>
      <w:pPr>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1、递交响应文件截止时间：2020年</w:t>
      </w:r>
      <w:r>
        <w:rPr>
          <w:rFonts w:hint="eastAsia" w:ascii="宋体" w:hAnsi="宋体" w:eastAsia="宋体" w:cs="宋体"/>
          <w:bCs/>
          <w:color w:val="auto"/>
          <w:sz w:val="24"/>
          <w:szCs w:val="24"/>
          <w:u w:val="none"/>
          <w:lang w:val="en-US" w:eastAsia="zh-CN"/>
        </w:rPr>
        <w:t>08</w:t>
      </w:r>
      <w:r>
        <w:rPr>
          <w:rFonts w:hint="eastAsia" w:ascii="宋体" w:hAnsi="宋体" w:eastAsia="宋体" w:cs="宋体"/>
          <w:bCs/>
          <w:color w:val="auto"/>
          <w:sz w:val="24"/>
          <w:szCs w:val="24"/>
          <w:u w:val="none"/>
        </w:rPr>
        <w:t>月</w:t>
      </w:r>
      <w:r>
        <w:rPr>
          <w:rFonts w:hint="eastAsia" w:ascii="宋体" w:hAnsi="宋体" w:eastAsia="宋体" w:cs="宋体"/>
          <w:bCs/>
          <w:color w:val="auto"/>
          <w:sz w:val="24"/>
          <w:szCs w:val="24"/>
          <w:u w:val="none"/>
          <w:lang w:val="en-US" w:eastAsia="zh-CN"/>
        </w:rPr>
        <w:t>06</w:t>
      </w:r>
      <w:r>
        <w:rPr>
          <w:rFonts w:hint="eastAsia" w:ascii="宋体" w:hAnsi="宋体" w:eastAsia="宋体" w:cs="宋体"/>
          <w:bCs/>
          <w:color w:val="auto"/>
          <w:sz w:val="24"/>
          <w:szCs w:val="24"/>
          <w:u w:val="none"/>
        </w:rPr>
        <w:t>日</w:t>
      </w:r>
      <w:r>
        <w:rPr>
          <w:rFonts w:hint="eastAsia" w:ascii="宋体" w:hAnsi="宋体" w:eastAsia="宋体" w:cs="宋体"/>
          <w:bCs/>
          <w:color w:val="auto"/>
          <w:sz w:val="24"/>
          <w:szCs w:val="24"/>
          <w:u w:val="none"/>
          <w:lang w:val="en-US" w:eastAsia="zh-CN"/>
        </w:rPr>
        <w:t>15</w:t>
      </w:r>
      <w:r>
        <w:rPr>
          <w:rFonts w:hint="eastAsia" w:ascii="宋体" w:hAnsi="宋体" w:eastAsia="宋体" w:cs="宋体"/>
          <w:bCs/>
          <w:color w:val="auto"/>
          <w:sz w:val="24"/>
          <w:szCs w:val="24"/>
          <w:u w:val="none"/>
        </w:rPr>
        <w:t>时</w:t>
      </w:r>
      <w:r>
        <w:rPr>
          <w:rFonts w:hint="eastAsia" w:ascii="宋体" w:hAnsi="宋体" w:eastAsia="宋体" w:cs="宋体"/>
          <w:bCs/>
          <w:color w:val="auto"/>
          <w:sz w:val="24"/>
          <w:szCs w:val="24"/>
          <w:u w:val="none"/>
          <w:lang w:val="en-US" w:eastAsia="zh-CN"/>
        </w:rPr>
        <w:t>00</w:t>
      </w:r>
      <w:r>
        <w:rPr>
          <w:rFonts w:hint="eastAsia" w:ascii="宋体" w:hAnsi="宋体" w:eastAsia="宋体" w:cs="宋体"/>
          <w:bCs/>
          <w:color w:val="auto"/>
          <w:sz w:val="24"/>
          <w:szCs w:val="24"/>
          <w:u w:val="none"/>
        </w:rPr>
        <w:t>分</w:t>
      </w:r>
      <w:r>
        <w:rPr>
          <w:rFonts w:hint="eastAsia" w:ascii="宋体" w:hAnsi="宋体" w:eastAsia="宋体" w:cs="宋体"/>
          <w:bCs/>
          <w:color w:val="auto"/>
          <w:sz w:val="24"/>
          <w:szCs w:val="24"/>
          <w:u w:val="none"/>
          <w:lang w:val="en-US" w:eastAsia="zh-CN"/>
        </w:rPr>
        <w:t>整</w:t>
      </w:r>
      <w:r>
        <w:rPr>
          <w:rFonts w:hint="eastAsia" w:ascii="宋体" w:hAnsi="宋体" w:eastAsia="宋体" w:cs="宋体"/>
          <w:bCs/>
          <w:color w:val="auto"/>
          <w:sz w:val="24"/>
          <w:szCs w:val="24"/>
          <w:u w:val="none"/>
        </w:rPr>
        <w:t>；递交响应文件地点：广西睿翼工程咨询有限公司</w:t>
      </w:r>
      <w:r>
        <w:rPr>
          <w:rFonts w:hint="eastAsia" w:ascii="宋体" w:hAnsi="宋体" w:eastAsia="宋体" w:cs="宋体"/>
          <w:bCs/>
          <w:color w:val="auto"/>
          <w:sz w:val="24"/>
          <w:szCs w:val="24"/>
          <w:u w:val="none"/>
          <w:lang w:val="en-US" w:eastAsia="zh-CN"/>
        </w:rPr>
        <w:t>开标厅</w:t>
      </w:r>
      <w:r>
        <w:rPr>
          <w:rFonts w:hint="eastAsia" w:ascii="宋体" w:hAnsi="宋体" w:eastAsia="宋体" w:cs="宋体"/>
          <w:bCs/>
          <w:color w:val="auto"/>
          <w:sz w:val="24"/>
          <w:szCs w:val="24"/>
          <w:u w:val="none"/>
        </w:rPr>
        <w:t>（河池市金城江区金城中路2-4号铜鼓园写字楼3楼）。</w:t>
      </w:r>
    </w:p>
    <w:p>
      <w:pPr>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2、逾期送达的或者未送达指定地点或者不按照本采购文件要求密封的响应文件，采购人不予受理。</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i w:val="0"/>
          <w:iCs w:val="0"/>
          <w:color w:val="auto"/>
          <w:sz w:val="24"/>
          <w:szCs w:val="24"/>
        </w:rPr>
      </w:pPr>
      <w:bookmarkStart w:id="25" w:name="_Toc28359093"/>
      <w:bookmarkStart w:id="26" w:name="_Toc35393802"/>
      <w:bookmarkStart w:id="27" w:name="_Toc35393633"/>
      <w:bookmarkStart w:id="28" w:name="_Toc28359016"/>
      <w:r>
        <w:rPr>
          <w:rFonts w:hint="eastAsia" w:ascii="宋体" w:hAnsi="宋体" w:eastAsia="宋体" w:cs="宋体"/>
          <w:b/>
          <w:bCs w:val="0"/>
          <w:i w:val="0"/>
          <w:iCs w:val="0"/>
          <w:color w:val="auto"/>
          <w:sz w:val="24"/>
          <w:szCs w:val="24"/>
        </w:rPr>
        <w:t>五、</w:t>
      </w:r>
      <w:r>
        <w:rPr>
          <w:rFonts w:hint="eastAsia" w:ascii="宋体" w:hAnsi="宋体" w:eastAsia="宋体" w:cs="宋体"/>
          <w:b/>
          <w:bCs w:val="0"/>
          <w:color w:val="auto"/>
          <w:sz w:val="24"/>
          <w:szCs w:val="24"/>
        </w:rPr>
        <w:t>响应文件</w:t>
      </w:r>
      <w:r>
        <w:rPr>
          <w:rFonts w:hint="eastAsia" w:ascii="宋体" w:hAnsi="宋体" w:eastAsia="宋体" w:cs="宋体"/>
          <w:b/>
          <w:bCs w:val="0"/>
          <w:i w:val="0"/>
          <w:iCs w:val="0"/>
          <w:color w:val="auto"/>
          <w:sz w:val="24"/>
          <w:szCs w:val="24"/>
        </w:rPr>
        <w:t>开启</w:t>
      </w:r>
      <w:bookmarkEnd w:id="25"/>
      <w:bookmarkEnd w:id="26"/>
      <w:bookmarkEnd w:id="27"/>
      <w:bookmarkEnd w:id="28"/>
    </w:p>
    <w:p>
      <w:pPr>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eastAsia="宋体" w:cs="宋体"/>
          <w:bCs/>
          <w:color w:val="auto"/>
          <w:sz w:val="24"/>
          <w:szCs w:val="24"/>
          <w:u w:val="single"/>
        </w:rPr>
        <w:t>2020年</w:t>
      </w:r>
      <w:r>
        <w:rPr>
          <w:rFonts w:hint="eastAsia" w:ascii="宋体" w:hAnsi="宋体" w:eastAsia="宋体" w:cs="宋体"/>
          <w:bCs/>
          <w:color w:val="auto"/>
          <w:sz w:val="24"/>
          <w:szCs w:val="24"/>
          <w:u w:val="single"/>
          <w:lang w:val="en-US" w:eastAsia="zh-CN"/>
        </w:rPr>
        <w:t>08</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06</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15</w:t>
      </w:r>
      <w:r>
        <w:rPr>
          <w:rFonts w:hint="eastAsia" w:ascii="宋体" w:hAnsi="宋体" w:eastAsia="宋体" w:cs="宋体"/>
          <w:bCs/>
          <w:color w:val="auto"/>
          <w:sz w:val="24"/>
          <w:szCs w:val="24"/>
          <w:u w:val="single"/>
        </w:rPr>
        <w:t>时</w:t>
      </w:r>
      <w:r>
        <w:rPr>
          <w:rFonts w:hint="eastAsia" w:ascii="宋体" w:hAnsi="宋体" w:eastAsia="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pPr>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广西睿翼工程咨询有限公司开标厅（河池市金城江区金城中路2-4号铜鼓园写字楼3楼）</w:t>
      </w:r>
    </w:p>
    <w:p>
      <w:pPr>
        <w:pStyle w:val="5"/>
        <w:keepNext/>
        <w:keepLines/>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bCs w:val="0"/>
          <w:color w:val="auto"/>
          <w:sz w:val="24"/>
          <w:szCs w:val="24"/>
        </w:rPr>
      </w:pPr>
      <w:bookmarkStart w:id="29" w:name="_Toc35393803"/>
      <w:bookmarkStart w:id="30" w:name="_Toc28359094"/>
      <w:bookmarkStart w:id="31" w:name="_Toc28359017"/>
      <w:bookmarkStart w:id="32" w:name="_Toc35393634"/>
      <w:r>
        <w:rPr>
          <w:rFonts w:hint="eastAsia" w:ascii="宋体" w:hAnsi="宋体" w:eastAsia="宋体" w:cs="宋体"/>
          <w:b/>
          <w:bCs w:val="0"/>
          <w:color w:val="auto"/>
          <w:sz w:val="24"/>
          <w:szCs w:val="24"/>
        </w:rPr>
        <w:t>六、公告期限</w:t>
      </w:r>
      <w:bookmarkEnd w:id="29"/>
      <w:bookmarkEnd w:id="30"/>
      <w:bookmarkEnd w:id="31"/>
      <w:bookmarkEnd w:id="32"/>
    </w:p>
    <w:p>
      <w:pPr>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个工作日。</w:t>
      </w:r>
      <w:bookmarkStart w:id="33" w:name="_Toc35393804"/>
      <w:bookmarkStart w:id="34" w:name="_Toc35393635"/>
    </w:p>
    <w:p>
      <w:pPr>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其他补充事宜</w:t>
      </w:r>
      <w:bookmarkEnd w:id="33"/>
      <w:bookmarkEnd w:id="34"/>
      <w:bookmarkStart w:id="35" w:name="_Toc35393636"/>
      <w:bookmarkStart w:id="36" w:name="_Toc28359018"/>
      <w:bookmarkStart w:id="37" w:name="_Toc28359095"/>
      <w:bookmarkStart w:id="38" w:name="_Toc35393805"/>
    </w:p>
    <w:p>
      <w:pPr>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1、本项目需要落实的政府采购政策：</w:t>
      </w:r>
    </w:p>
    <w:p>
      <w:pPr>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《政府采购促进中小企业发展暂行办法》(财库【2011】181号文)、《关于政府采购支持监狱企业发展有关问题的通知》(财库【2014】68号文)及《促进残疾人就业政府采购政策的通知》（财库[2017]141号）。</w:t>
      </w:r>
    </w:p>
    <w:p>
      <w:pPr>
        <w:pageBreakBefore w:val="0"/>
        <w:widowControl w:val="0"/>
        <w:numPr>
          <w:ilvl w:val="0"/>
          <w:numId w:val="2"/>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网上公告媒体查询：中国政府采购网（http://www.ccgp.gov.cn）、</w:t>
      </w:r>
    </w:p>
    <w:p>
      <w:pPr>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广西壮族自治区政府采购网（http://www.gxzfcg.gov.cn）、</w:t>
      </w:r>
    </w:p>
    <w:p>
      <w:pPr>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、凡对本次采购提出询问，请按以下方式联系。</w:t>
      </w:r>
      <w:bookmarkEnd w:id="35"/>
      <w:bookmarkEnd w:id="36"/>
      <w:bookmarkEnd w:id="37"/>
      <w:bookmarkEnd w:id="38"/>
    </w:p>
    <w:p>
      <w:pPr>
        <w:pStyle w:val="5"/>
        <w:keepNext/>
        <w:keepLines/>
        <w:pageBreakBefore w:val="0"/>
        <w:widowControl w:val="0"/>
        <w:kinsoku/>
        <w:wordWrap/>
        <w:overflowPunct/>
        <w:topLinePunct w:val="0"/>
        <w:autoSpaceDE/>
        <w:autoSpaceDN/>
        <w:bidi w:val="0"/>
        <w:adjustRightInd/>
        <w:snapToGrid/>
        <w:spacing w:before="0" w:after="0" w:line="480" w:lineRule="exact"/>
        <w:ind w:firstLine="720" w:firstLineChars="300"/>
        <w:jc w:val="both"/>
        <w:textAlignment w:val="auto"/>
        <w:rPr>
          <w:rFonts w:hint="eastAsia" w:ascii="宋体" w:hAnsi="宋体" w:eastAsia="宋体" w:cs="宋体"/>
          <w:b w:val="0"/>
          <w:bCs/>
          <w:color w:val="auto"/>
          <w:sz w:val="24"/>
          <w:szCs w:val="24"/>
          <w:lang w:eastAsia="zh-CN"/>
        </w:rPr>
      </w:pPr>
      <w:bookmarkStart w:id="39" w:name="_Toc35393806"/>
      <w:bookmarkStart w:id="40" w:name="_Toc28359019"/>
      <w:bookmarkStart w:id="41" w:name="_Toc35393637"/>
      <w:bookmarkStart w:id="42" w:name="_Toc28359096"/>
      <w:r>
        <w:rPr>
          <w:rFonts w:hint="eastAsia" w:ascii="宋体" w:hAnsi="宋体" w:eastAsia="宋体" w:cs="宋体"/>
          <w:b w:val="0"/>
          <w:bCs/>
          <w:color w:val="auto"/>
          <w:sz w:val="24"/>
          <w:szCs w:val="24"/>
        </w:rPr>
        <w:t>1.采购人信息</w:t>
      </w:r>
      <w:bookmarkEnd w:id="39"/>
      <w:bookmarkEnd w:id="40"/>
      <w:bookmarkEnd w:id="41"/>
      <w:bookmarkEnd w:id="42"/>
      <w:r>
        <w:rPr>
          <w:rFonts w:hint="eastAsia" w:ascii="宋体" w:hAnsi="宋体" w:eastAsia="宋体" w:cs="宋体"/>
          <w:b w:val="0"/>
          <w:bCs/>
          <w:color w:val="auto"/>
          <w:sz w:val="24"/>
          <w:szCs w:val="24"/>
          <w:lang w:eastAsia="zh-CN"/>
        </w:rPr>
        <w:t>：</w:t>
      </w:r>
    </w:p>
    <w:p>
      <w:pPr>
        <w:pStyle w:val="5"/>
        <w:keepNext/>
        <w:keepLines/>
        <w:pageBreakBefore w:val="0"/>
        <w:widowControl w:val="0"/>
        <w:kinsoku/>
        <w:wordWrap/>
        <w:overflowPunct/>
        <w:topLinePunct w:val="0"/>
        <w:autoSpaceDE/>
        <w:autoSpaceDN/>
        <w:bidi w:val="0"/>
        <w:adjustRightInd/>
        <w:snapToGrid/>
        <w:spacing w:before="0" w:after="0" w:line="480" w:lineRule="exact"/>
        <w:ind w:firstLine="720" w:firstLineChars="3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    称：</w:t>
      </w:r>
      <w:bookmarkStart w:id="43" w:name="_Toc28359097"/>
      <w:bookmarkStart w:id="44" w:name="_Toc35393807"/>
      <w:bookmarkStart w:id="45" w:name="_Toc28359020"/>
      <w:bookmarkStart w:id="46" w:name="_Toc35393638"/>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\t "_blank"</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lang w:eastAsia="zh-CN"/>
        </w:rPr>
        <w:t>河池市凤山生态环境局</w:t>
      </w:r>
      <w:r>
        <w:rPr>
          <w:rFonts w:hint="eastAsia" w:ascii="宋体" w:hAnsi="宋体" w:eastAsia="宋体" w:cs="宋体"/>
          <w:b w:val="0"/>
          <w:bCs/>
          <w:color w:val="auto"/>
          <w:sz w:val="24"/>
          <w:szCs w:val="24"/>
        </w:rPr>
        <w:fldChar w:fldCharType="end"/>
      </w:r>
    </w:p>
    <w:p>
      <w:pPr>
        <w:pStyle w:val="5"/>
        <w:keepNext/>
        <w:keepLines/>
        <w:pageBreakBefore w:val="0"/>
        <w:widowControl w:val="0"/>
        <w:kinsoku/>
        <w:wordWrap/>
        <w:overflowPunct/>
        <w:topLinePunct w:val="0"/>
        <w:autoSpaceDE/>
        <w:autoSpaceDN/>
        <w:bidi w:val="0"/>
        <w:adjustRightInd/>
        <w:snapToGrid/>
        <w:spacing w:before="0" w:after="0" w:line="480" w:lineRule="exact"/>
        <w:ind w:firstLine="720" w:firstLineChars="3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地址：广西壮族自治区河池市凤山县生态环境局办公大楼  </w:t>
      </w:r>
    </w:p>
    <w:p>
      <w:pPr>
        <w:pStyle w:val="5"/>
        <w:keepNext/>
        <w:keepLines/>
        <w:pageBreakBefore w:val="0"/>
        <w:widowControl w:val="0"/>
        <w:kinsoku/>
        <w:wordWrap/>
        <w:overflowPunct/>
        <w:topLinePunct w:val="0"/>
        <w:autoSpaceDE/>
        <w:autoSpaceDN/>
        <w:bidi w:val="0"/>
        <w:adjustRightInd/>
        <w:snapToGrid/>
        <w:spacing w:before="0" w:after="0" w:line="480" w:lineRule="exact"/>
        <w:ind w:firstLine="720" w:firstLineChars="3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联系</w:t>
      </w:r>
      <w:r>
        <w:rPr>
          <w:rFonts w:hint="eastAsia" w:ascii="宋体" w:hAnsi="宋体" w:eastAsia="宋体" w:cs="宋体"/>
          <w:b w:val="0"/>
          <w:bCs/>
          <w:color w:val="auto"/>
          <w:sz w:val="24"/>
          <w:szCs w:val="24"/>
          <w:lang w:val="en-US" w:eastAsia="zh-CN"/>
        </w:rPr>
        <w:t>方式</w:t>
      </w:r>
      <w:r>
        <w:rPr>
          <w:rFonts w:hint="eastAsia" w:ascii="宋体" w:hAnsi="宋体" w:eastAsia="宋体" w:cs="宋体"/>
          <w:b w:val="0"/>
          <w:bCs/>
          <w:color w:val="auto"/>
          <w:sz w:val="24"/>
          <w:szCs w:val="24"/>
        </w:rPr>
        <w:t>：0778-6185557</w:t>
      </w:r>
    </w:p>
    <w:p>
      <w:pPr>
        <w:pStyle w:val="5"/>
        <w:keepNext/>
        <w:keepLines/>
        <w:pageBreakBefore w:val="0"/>
        <w:widowControl w:val="0"/>
        <w:kinsoku/>
        <w:wordWrap/>
        <w:overflowPunct/>
        <w:topLinePunct w:val="0"/>
        <w:autoSpaceDE/>
        <w:autoSpaceDN/>
        <w:bidi w:val="0"/>
        <w:adjustRightInd/>
        <w:snapToGrid/>
        <w:spacing w:before="0" w:after="0" w:line="480" w:lineRule="exact"/>
        <w:ind w:firstLine="720" w:firstLineChars="300"/>
        <w:jc w:val="both"/>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2.采购代理机构信息</w:t>
      </w:r>
      <w:bookmarkEnd w:id="43"/>
      <w:bookmarkEnd w:id="44"/>
      <w:bookmarkEnd w:id="45"/>
      <w:bookmarkEnd w:id="46"/>
      <w:r>
        <w:rPr>
          <w:rFonts w:hint="eastAsia" w:ascii="宋体" w:hAnsi="宋体" w:eastAsia="宋体" w:cs="宋体"/>
          <w:b w:val="0"/>
          <w:color w:val="auto"/>
          <w:sz w:val="24"/>
          <w:szCs w:val="24"/>
          <w:lang w:eastAsia="zh-CN"/>
        </w:rPr>
        <w:t>：</w:t>
      </w:r>
    </w:p>
    <w:p>
      <w:pPr>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称：广西睿翼工程咨询有限公司</w:t>
      </w:r>
    </w:p>
    <w:p>
      <w:pPr>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地址：河池市金城江区金城中路2-4号铜鼓园写字楼3楼</w:t>
      </w:r>
    </w:p>
    <w:p>
      <w:pPr>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联系</w:t>
      </w:r>
      <w:r>
        <w:rPr>
          <w:rFonts w:hint="eastAsia" w:ascii="宋体" w:hAnsi="宋体" w:eastAsia="宋体" w:cs="宋体"/>
          <w:b w:val="0"/>
          <w:bCs/>
          <w:color w:val="auto"/>
          <w:sz w:val="24"/>
          <w:szCs w:val="24"/>
          <w:lang w:val="en-US" w:eastAsia="zh-CN"/>
        </w:rPr>
        <w:t>方式</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0778-2211981</w:t>
      </w:r>
    </w:p>
    <w:p>
      <w:pPr>
        <w:keepNext w:val="0"/>
        <w:keepLines w:val="0"/>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none"/>
          <w:lang w:val="en-US" w:eastAsia="zh-CN"/>
        </w:rPr>
        <w:t>农成浩</w:t>
      </w:r>
    </w:p>
    <w:p>
      <w:pPr>
        <w:spacing w:after="0" w:line="400" w:lineRule="exact"/>
        <w:ind w:firstLine="480" w:firstLineChars="200"/>
        <w:rPr>
          <w:rFonts w:hint="default" w:ascii="宋体" w:hAnsi="宋体" w:eastAsia="宋体" w:cs="宋体"/>
          <w:color w:val="auto"/>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none"/>
          <w:lang w:val="en-US" w:eastAsia="zh-CN"/>
        </w:rPr>
        <w:t>0778-2211981</w:t>
      </w:r>
    </w:p>
    <w:p>
      <w:pPr>
        <w:spacing w:after="0" w:line="350" w:lineRule="exact"/>
        <w:rPr>
          <w:rFonts w:hint="eastAsia" w:ascii="宋体" w:hAnsi="宋体" w:eastAsia="宋体" w:cs="宋体"/>
          <w:color w:val="auto"/>
        </w:rPr>
      </w:pPr>
      <w:r>
        <w:rPr>
          <w:rFonts w:hint="eastAsia" w:ascii="宋体" w:hAnsi="宋体" w:eastAsia="宋体" w:cs="宋体"/>
          <w:color w:val="auto"/>
        </w:rPr>
        <w:t xml:space="preserve">                                           </w:t>
      </w:r>
    </w:p>
    <w:p>
      <w:pPr>
        <w:spacing w:after="0" w:line="350" w:lineRule="exact"/>
        <w:rPr>
          <w:rFonts w:hint="eastAsia" w:ascii="宋体" w:hAnsi="宋体" w:eastAsia="宋体" w:cs="宋体"/>
          <w:color w:val="auto"/>
        </w:rPr>
      </w:pPr>
    </w:p>
    <w:p>
      <w:pPr>
        <w:spacing w:after="0" w:line="350" w:lineRule="exact"/>
        <w:ind w:firstLine="440" w:firstLineChars="200"/>
        <w:rPr>
          <w:rFonts w:hint="eastAsia" w:ascii="宋体" w:hAnsi="宋体" w:eastAsia="宋体" w:cs="宋体"/>
          <w:color w:val="auto"/>
        </w:rPr>
      </w:pPr>
    </w:p>
    <w:p>
      <w:pPr>
        <w:spacing w:after="0" w:line="4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河池市凤山生态环境局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采购代理机构：广西睿翼工程咨询有限公司</w:t>
      </w:r>
    </w:p>
    <w:p>
      <w:pPr>
        <w:spacing w:after="0" w:line="400" w:lineRule="exact"/>
        <w:ind w:right="480" w:firstLine="1680" w:firstLineChars="700"/>
        <w:rPr>
          <w:rFonts w:hint="eastAsia" w:ascii="宋体" w:hAnsi="宋体" w:eastAsia="宋体" w:cs="宋体"/>
          <w:b/>
          <w:bCs/>
          <w:color w:val="auto"/>
          <w:sz w:val="24"/>
          <w:szCs w:val="24"/>
        </w:rPr>
      </w:pPr>
      <w:r>
        <w:rPr>
          <w:rFonts w:hint="eastAsia" w:ascii="宋体" w:hAnsi="宋体" w:eastAsia="宋体" w:cs="宋体"/>
          <w:color w:val="auto"/>
          <w:sz w:val="24"/>
          <w:szCs w:val="24"/>
        </w:rPr>
        <w:t>2020年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                   2020年07月26日</w:t>
      </w:r>
    </w:p>
    <w:p>
      <w:pPr>
        <w:pStyle w:val="4"/>
        <w:ind w:firstLine="200"/>
        <w:rPr>
          <w:rFonts w:hint="eastAsia" w:ascii="宋体" w:hAnsi="宋体" w:eastAsia="宋体" w:cs="宋体"/>
          <w:color w:val="auto"/>
        </w:rPr>
      </w:pPr>
      <w:r>
        <w:rPr>
          <w:rFonts w:hint="eastAsia" w:ascii="宋体" w:hAnsi="宋体" w:eastAsia="宋体" w:cs="宋体"/>
          <w:color w:val="auto"/>
        </w:rPr>
        <w:br w:type="page"/>
      </w:r>
      <w:bookmarkStart w:id="47" w:name="_Toc16781716"/>
      <w:r>
        <w:rPr>
          <w:rFonts w:hint="eastAsia" w:ascii="宋体" w:hAnsi="宋体" w:eastAsia="宋体" w:cs="宋体"/>
          <w:color w:val="auto"/>
        </w:rPr>
        <w:t xml:space="preserve">第二章  </w:t>
      </w:r>
      <w:bookmarkEnd w:id="4"/>
      <w:bookmarkEnd w:id="5"/>
      <w:bookmarkEnd w:id="6"/>
      <w:r>
        <w:rPr>
          <w:rFonts w:hint="eastAsia" w:ascii="宋体" w:hAnsi="宋体" w:eastAsia="宋体" w:cs="宋体"/>
          <w:color w:val="auto"/>
        </w:rPr>
        <w:t xml:space="preserve"> 供应商须知</w:t>
      </w:r>
      <w:bookmarkEnd w:id="47"/>
    </w:p>
    <w:p>
      <w:pPr>
        <w:spacing w:after="0"/>
        <w:rPr>
          <w:rFonts w:hint="eastAsia" w:ascii="宋体" w:hAnsi="宋体" w:eastAsia="宋体" w:cs="宋体"/>
          <w:color w:val="auto"/>
        </w:rPr>
      </w:pPr>
    </w:p>
    <w:p>
      <w:pPr>
        <w:pStyle w:val="5"/>
        <w:spacing w:line="400" w:lineRule="exact"/>
        <w:ind w:firstLine="640" w:firstLineChars="200"/>
        <w:rPr>
          <w:rFonts w:hint="eastAsia" w:ascii="宋体" w:hAnsi="宋体" w:eastAsia="宋体" w:cs="宋体"/>
          <w:color w:val="auto"/>
        </w:rPr>
      </w:pPr>
      <w:bookmarkStart w:id="48" w:name="_Toc246094909"/>
      <w:bookmarkStart w:id="49" w:name="_Toc246095515"/>
      <w:bookmarkStart w:id="50" w:name="_Toc246095453"/>
      <w:r>
        <w:rPr>
          <w:rFonts w:hint="eastAsia" w:ascii="宋体" w:hAnsi="宋体" w:eastAsia="宋体" w:cs="宋体"/>
          <w:color w:val="auto"/>
        </w:rPr>
        <w:t xml:space="preserve"> </w:t>
      </w:r>
      <w:bookmarkStart w:id="51" w:name="_Toc16781717"/>
      <w:r>
        <w:rPr>
          <w:rFonts w:hint="eastAsia" w:ascii="宋体" w:hAnsi="宋体" w:eastAsia="宋体" w:cs="宋体"/>
          <w:color w:val="auto"/>
        </w:rPr>
        <w:t>供应商须知前附表</w:t>
      </w:r>
      <w:bookmarkEnd w:id="48"/>
      <w:bookmarkEnd w:id="49"/>
      <w:bookmarkEnd w:id="50"/>
      <w:bookmarkEnd w:id="51"/>
    </w:p>
    <w:tbl>
      <w:tblPr>
        <w:tblStyle w:val="41"/>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763"/>
        <w:gridCol w:w="6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blHeader/>
          <w:jc w:val="center"/>
        </w:trPr>
        <w:tc>
          <w:tcPr>
            <w:tcW w:w="1116" w:type="dxa"/>
            <w:vAlign w:val="center"/>
          </w:tcPr>
          <w:p>
            <w:pPr>
              <w:spacing w:after="0"/>
              <w:jc w:val="center"/>
              <w:rPr>
                <w:rFonts w:hint="eastAsia" w:ascii="宋体" w:hAnsi="宋体" w:eastAsia="宋体" w:cs="宋体"/>
                <w:b/>
                <w:bCs/>
                <w:color w:val="auto"/>
              </w:rPr>
            </w:pPr>
            <w:r>
              <w:rPr>
                <w:rFonts w:hint="eastAsia" w:ascii="宋体" w:hAnsi="宋体" w:eastAsia="宋体" w:cs="宋体"/>
                <w:b/>
                <w:bCs/>
                <w:color w:val="auto"/>
              </w:rPr>
              <w:t>条款号</w:t>
            </w:r>
          </w:p>
        </w:tc>
        <w:tc>
          <w:tcPr>
            <w:tcW w:w="1763" w:type="dxa"/>
            <w:vAlign w:val="center"/>
          </w:tcPr>
          <w:p>
            <w:pPr>
              <w:spacing w:after="0"/>
              <w:jc w:val="center"/>
              <w:rPr>
                <w:rFonts w:hint="eastAsia" w:ascii="宋体" w:hAnsi="宋体" w:eastAsia="宋体" w:cs="宋体"/>
                <w:b/>
                <w:bCs/>
                <w:color w:val="auto"/>
              </w:rPr>
            </w:pPr>
            <w:r>
              <w:rPr>
                <w:rFonts w:hint="eastAsia" w:ascii="宋体" w:hAnsi="宋体" w:eastAsia="宋体" w:cs="宋体"/>
                <w:b/>
                <w:bCs/>
                <w:color w:val="auto"/>
              </w:rPr>
              <w:t>条款名称</w:t>
            </w:r>
          </w:p>
        </w:tc>
        <w:tc>
          <w:tcPr>
            <w:tcW w:w="6736" w:type="dxa"/>
            <w:vAlign w:val="center"/>
          </w:tcPr>
          <w:p>
            <w:pPr>
              <w:spacing w:after="0"/>
              <w:ind w:right="59" w:rightChars="27"/>
              <w:jc w:val="center"/>
              <w:rPr>
                <w:rFonts w:hint="eastAsia" w:ascii="宋体" w:hAnsi="宋体" w:eastAsia="宋体" w:cs="宋体"/>
                <w:b/>
                <w:bCs/>
                <w:color w:val="auto"/>
              </w:rPr>
            </w:pPr>
            <w:r>
              <w:rPr>
                <w:rFonts w:hint="eastAsia" w:ascii="宋体" w:hAnsi="宋体" w:eastAsia="宋体" w:cs="宋体"/>
                <w:b/>
                <w:bCs/>
                <w:color w:val="auto"/>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1.1.2</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736" w:type="dxa"/>
            <w:vAlign w:val="center"/>
          </w:tcPr>
          <w:p>
            <w:pPr>
              <w:spacing w:after="0" w:line="400" w:lineRule="exact"/>
              <w:rPr>
                <w:rFonts w:hint="eastAsia" w:ascii="宋体" w:hAnsi="宋体" w:eastAsia="宋体" w:cs="宋体"/>
                <w:color w:val="auto"/>
                <w:lang w:eastAsia="zh-CN"/>
              </w:rPr>
            </w:pPr>
            <w:r>
              <w:rPr>
                <w:rFonts w:hint="eastAsia" w:ascii="宋体" w:hAnsi="宋体" w:eastAsia="宋体" w:cs="宋体"/>
                <w:color w:val="auto"/>
              </w:rPr>
              <w:t>采购人名称：</w:t>
            </w:r>
            <w:r>
              <w:rPr>
                <w:rFonts w:hint="eastAsia" w:ascii="宋体" w:hAnsi="宋体" w:eastAsia="宋体" w:cs="宋体"/>
                <w:color w:val="auto"/>
                <w:lang w:eastAsia="zh-CN"/>
              </w:rPr>
              <w:t>河池市凤山生态环境局</w:t>
            </w:r>
          </w:p>
          <w:p>
            <w:pPr>
              <w:spacing w:after="0" w:line="400" w:lineRule="exact"/>
              <w:rPr>
                <w:rFonts w:hint="eastAsia" w:ascii="宋体" w:hAnsi="宋体" w:eastAsia="宋体" w:cs="宋体"/>
                <w:color w:val="auto"/>
              </w:rPr>
            </w:pPr>
            <w:r>
              <w:rPr>
                <w:rFonts w:hint="eastAsia" w:ascii="宋体" w:hAnsi="宋体" w:eastAsia="宋体" w:cs="宋体"/>
                <w:color w:val="auto"/>
              </w:rPr>
              <w:t xml:space="preserve">地址：广西壮族自治区河池市凤山县生态环境局办公大楼  </w:t>
            </w:r>
          </w:p>
          <w:p>
            <w:pPr>
              <w:spacing w:after="0" w:line="400" w:lineRule="exact"/>
              <w:rPr>
                <w:rFonts w:hint="eastAsia" w:ascii="宋体" w:hAnsi="宋体" w:eastAsia="宋体" w:cs="宋体"/>
                <w:color w:val="auto"/>
              </w:rPr>
            </w:pPr>
            <w:r>
              <w:rPr>
                <w:rFonts w:hint="eastAsia" w:ascii="宋体" w:hAnsi="宋体" w:eastAsia="宋体" w:cs="宋体"/>
                <w:color w:val="auto"/>
              </w:rPr>
              <w:t>联系人：柳邦远     联系电话： 0778-6185557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1.1.3</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采购代理机构</w:t>
            </w:r>
          </w:p>
        </w:tc>
        <w:tc>
          <w:tcPr>
            <w:tcW w:w="6736" w:type="dxa"/>
            <w:vAlign w:val="center"/>
          </w:tcPr>
          <w:p>
            <w:pPr>
              <w:spacing w:after="0" w:line="400" w:lineRule="exact"/>
              <w:rPr>
                <w:rFonts w:hint="eastAsia" w:ascii="宋体" w:hAnsi="宋体" w:eastAsia="宋体" w:cs="宋体"/>
                <w:color w:val="auto"/>
              </w:rPr>
            </w:pPr>
            <w:r>
              <w:rPr>
                <w:rFonts w:hint="eastAsia" w:ascii="宋体" w:hAnsi="宋体" w:eastAsia="宋体" w:cs="宋体"/>
                <w:color w:val="auto"/>
              </w:rPr>
              <w:t>名称：广西睿翼工程咨询有限公司</w:t>
            </w:r>
          </w:p>
          <w:p>
            <w:pPr>
              <w:spacing w:after="0" w:line="400" w:lineRule="exact"/>
              <w:rPr>
                <w:rFonts w:hint="eastAsia" w:ascii="宋体" w:hAnsi="宋体" w:eastAsia="宋体" w:cs="宋体"/>
                <w:color w:val="auto"/>
              </w:rPr>
            </w:pPr>
            <w:r>
              <w:rPr>
                <w:rFonts w:hint="eastAsia" w:ascii="宋体" w:hAnsi="宋体" w:eastAsia="宋体" w:cs="宋体"/>
                <w:color w:val="auto"/>
              </w:rPr>
              <w:t>联系地址：河池市金城江区金城中路2-4号铜鼓园写字楼3楼</w:t>
            </w:r>
          </w:p>
          <w:p>
            <w:pPr>
              <w:spacing w:after="0" w:line="400" w:lineRule="exact"/>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lang w:val="en-US" w:eastAsia="zh-CN"/>
              </w:rPr>
              <w:t xml:space="preserve">农成浩          </w:t>
            </w:r>
            <w:r>
              <w:rPr>
                <w:rFonts w:hint="eastAsia" w:ascii="宋体" w:hAnsi="宋体" w:eastAsia="宋体" w:cs="宋体"/>
                <w:color w:val="auto"/>
              </w:rPr>
              <w:t>电话：0778-2211981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1.1.4</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736" w:type="dxa"/>
            <w:vAlign w:val="center"/>
          </w:tcPr>
          <w:p>
            <w:pPr>
              <w:spacing w:after="0" w:line="400" w:lineRule="exact"/>
              <w:rPr>
                <w:rFonts w:hint="eastAsia" w:ascii="宋体" w:hAnsi="宋体" w:eastAsia="宋体" w:cs="宋体"/>
                <w:color w:val="auto"/>
                <w:lang w:eastAsia="zh-CN"/>
              </w:rPr>
            </w:pPr>
            <w:r>
              <w:rPr>
                <w:rFonts w:hint="eastAsia" w:ascii="宋体" w:hAnsi="宋体" w:eastAsia="宋体" w:cs="宋体"/>
                <w:color w:val="auto"/>
                <w:lang w:eastAsia="zh-CN"/>
              </w:rPr>
              <w:t>凤山县域农村生活污水治理规划编制服务采购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1.1.5</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项目编号</w:t>
            </w:r>
          </w:p>
        </w:tc>
        <w:tc>
          <w:tcPr>
            <w:tcW w:w="6736" w:type="dxa"/>
            <w:vAlign w:val="center"/>
          </w:tcPr>
          <w:p>
            <w:pPr>
              <w:spacing w:after="0" w:line="400" w:lineRule="exact"/>
              <w:rPr>
                <w:rFonts w:hint="eastAsia" w:ascii="宋体" w:hAnsi="宋体" w:eastAsia="宋体" w:cs="宋体"/>
                <w:color w:val="auto"/>
                <w:lang w:eastAsia="zh-CN"/>
              </w:rPr>
            </w:pPr>
            <w:r>
              <w:rPr>
                <w:rFonts w:hint="eastAsia" w:ascii="宋体" w:hAnsi="宋体" w:eastAsia="宋体" w:cs="宋体"/>
                <w:color w:val="auto"/>
                <w:lang w:eastAsia="zh-CN"/>
              </w:rPr>
              <w:t>HCZC2020-C3-230037-GXRY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1.1.6</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采购预算</w:t>
            </w:r>
          </w:p>
        </w:tc>
        <w:tc>
          <w:tcPr>
            <w:tcW w:w="6736" w:type="dxa"/>
            <w:vAlign w:val="center"/>
          </w:tcPr>
          <w:p>
            <w:pPr>
              <w:spacing w:after="0" w:line="400" w:lineRule="exact"/>
              <w:rPr>
                <w:rFonts w:hint="eastAsia" w:ascii="宋体" w:hAnsi="宋体" w:eastAsia="宋体" w:cs="宋体"/>
                <w:color w:val="auto"/>
              </w:rPr>
            </w:pPr>
            <w:r>
              <w:rPr>
                <w:rFonts w:hint="eastAsia" w:ascii="宋体" w:hAnsi="宋体" w:eastAsia="宋体" w:cs="宋体"/>
                <w:color w:val="auto"/>
              </w:rPr>
              <w:t>本项目采购控制价为：</w:t>
            </w:r>
            <w:r>
              <w:rPr>
                <w:rFonts w:hint="eastAsia" w:ascii="宋体" w:hAnsi="宋体" w:eastAsia="宋体" w:cs="宋体"/>
                <w:b/>
                <w:bCs/>
                <w:color w:val="auto"/>
                <w:highlight w:val="none"/>
                <w:u w:val="single"/>
              </w:rPr>
              <w:t>人民币</w:t>
            </w:r>
            <w:r>
              <w:rPr>
                <w:rFonts w:hint="eastAsia" w:ascii="宋体" w:hAnsi="宋体" w:eastAsia="宋体" w:cs="宋体"/>
                <w:b/>
                <w:bCs/>
                <w:color w:val="auto"/>
                <w:highlight w:val="none"/>
                <w:u w:val="single"/>
                <w:lang w:val="en-US" w:eastAsia="zh-CN"/>
              </w:rPr>
              <w:t>肆拾万零捌仟元整</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408000.00</w:t>
            </w:r>
            <w:r>
              <w:rPr>
                <w:rFonts w:hint="eastAsia" w:ascii="宋体" w:hAnsi="宋体" w:eastAsia="宋体" w:cs="宋体"/>
                <w:b/>
                <w:bCs/>
                <w:color w:val="auto"/>
                <w:highlight w:val="none"/>
                <w:u w:val="single"/>
              </w:rPr>
              <w:t>元）</w:t>
            </w:r>
          </w:p>
          <w:p>
            <w:pPr>
              <w:spacing w:after="0" w:line="400" w:lineRule="exact"/>
              <w:rPr>
                <w:rFonts w:hint="eastAsia" w:ascii="宋体" w:hAnsi="宋体" w:eastAsia="宋体" w:cs="宋体"/>
                <w:color w:val="auto"/>
              </w:rPr>
            </w:pPr>
            <w:r>
              <w:rPr>
                <w:rFonts w:hint="eastAsia" w:ascii="宋体" w:hAnsi="宋体" w:eastAsia="宋体" w:cs="宋体"/>
                <w:color w:val="auto"/>
              </w:rPr>
              <w:t>注：如供应商报价超过采购控制价的按无效投标处理。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1.1.7</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资金来源</w:t>
            </w:r>
          </w:p>
        </w:tc>
        <w:tc>
          <w:tcPr>
            <w:tcW w:w="6736" w:type="dxa"/>
            <w:vAlign w:val="center"/>
          </w:tcPr>
          <w:p>
            <w:pPr>
              <w:spacing w:after="0" w:line="40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116" w:type="dxa"/>
            <w:vAlign w:val="center"/>
          </w:tcPr>
          <w:p>
            <w:pPr>
              <w:pStyle w:val="23"/>
              <w:spacing w:line="360" w:lineRule="exact"/>
              <w:jc w:val="center"/>
              <w:rPr>
                <w:rFonts w:hint="eastAsia" w:hAnsi="宋体" w:cs="宋体"/>
                <w:color w:val="auto"/>
                <w:sz w:val="22"/>
                <w:szCs w:val="22"/>
                <w:lang w:val="en-US" w:eastAsia="zh-CN"/>
              </w:rPr>
            </w:pPr>
            <w:r>
              <w:rPr>
                <w:rFonts w:hint="eastAsia" w:hAnsi="宋体" w:cs="宋体"/>
                <w:color w:val="auto"/>
                <w:sz w:val="22"/>
                <w:szCs w:val="22"/>
                <w:lang w:val="en-US" w:eastAsia="zh-CN"/>
              </w:rPr>
              <w:t>1.1.8</w:t>
            </w:r>
          </w:p>
        </w:tc>
        <w:tc>
          <w:tcPr>
            <w:tcW w:w="1763" w:type="dxa"/>
            <w:vAlign w:val="center"/>
          </w:tcPr>
          <w:p>
            <w:pPr>
              <w:pStyle w:val="23"/>
              <w:spacing w:line="360" w:lineRule="exact"/>
              <w:jc w:val="center"/>
              <w:rPr>
                <w:rFonts w:hint="eastAsia" w:hAnsi="宋体" w:cs="宋体"/>
                <w:color w:val="auto"/>
                <w:sz w:val="22"/>
                <w:szCs w:val="22"/>
                <w:lang w:val="en-US" w:eastAsia="zh-CN"/>
              </w:rPr>
            </w:pPr>
            <w:r>
              <w:rPr>
                <w:rFonts w:hint="eastAsia" w:hAnsi="宋体" w:cs="宋体"/>
                <w:color w:val="auto"/>
                <w:sz w:val="22"/>
                <w:szCs w:val="22"/>
                <w:lang w:val="en-US" w:eastAsia="zh-CN"/>
              </w:rPr>
              <w:t>预留采购份额</w:t>
            </w:r>
          </w:p>
        </w:tc>
        <w:tc>
          <w:tcPr>
            <w:tcW w:w="6736" w:type="dxa"/>
            <w:vAlign w:val="center"/>
          </w:tcPr>
          <w:p>
            <w:pPr>
              <w:pStyle w:val="23"/>
              <w:spacing w:line="360" w:lineRule="exact"/>
              <w:ind w:left="625" w:hanging="624" w:hangingChars="284"/>
              <w:rPr>
                <w:rFonts w:hint="eastAsia" w:hAnsi="宋体" w:cs="宋体"/>
                <w:color w:val="auto"/>
                <w:sz w:val="22"/>
                <w:szCs w:val="22"/>
                <w:lang w:val="en-US" w:eastAsia="zh-CN"/>
              </w:rPr>
            </w:pPr>
            <w:r>
              <w:rPr>
                <w:rFonts w:hint="eastAsia" w:hAnsi="宋体" w:cs="宋体"/>
                <w:color w:val="auto"/>
                <w:sz w:val="22"/>
                <w:szCs w:val="22"/>
                <w:lang w:val="en-US" w:eastAsia="zh-CN"/>
              </w:rPr>
              <w:t>本项目非专门面向中小企业采购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1.3</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供应商资格条件</w:t>
            </w:r>
          </w:p>
        </w:tc>
        <w:tc>
          <w:tcPr>
            <w:tcW w:w="6736" w:type="dxa"/>
            <w:vAlign w:val="center"/>
          </w:tcPr>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1.基本资格条件：符合《中华人民共和国政府采购法》第二十二条规定，且为境内注册（指按国家有关规定要求注册的），具备提供本次采购服务能力的供应商。包括：</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（1）具有独立承担民事责任的能力；</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）具有履行合同所必需的设备和专业技术能力；</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 xml:space="preserve">）有依法缴纳税收和社会保障资金的良好记录； </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）参加政府采购活动前三年内，在经营活动中没有重大违法记录；</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）诚信要求：未列入失信被执行人、重大税收违法案件当事人名单、政府采购严重违法失信行为记录名单；</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）法律、行政法规规定的其他条件：具体内容见第四章“评审方法及评审标准”。</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以上具体内容见第四章“评审方法及评审标准”。</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2.供应商的特定要求：</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（1）资质要求：</w:t>
            </w:r>
            <w:r>
              <w:rPr>
                <w:rFonts w:hint="eastAsia" w:ascii="宋体" w:hAnsi="宋体" w:eastAsia="宋体" w:cs="宋体"/>
                <w:color w:val="auto"/>
                <w:lang w:val="en-US" w:eastAsia="zh-CN"/>
              </w:rPr>
              <w:t>拟派项目负责人须具有环境保护工程类（或者化学工程与技术类、市政给水排水类）相关专业中级或以上技术职称</w:t>
            </w:r>
            <w:r>
              <w:rPr>
                <w:rFonts w:hint="eastAsia" w:ascii="宋体" w:hAnsi="宋体" w:eastAsia="宋体" w:cs="宋体"/>
                <w:color w:val="auto"/>
              </w:rPr>
              <w:t>。</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（2）其他要求：</w:t>
            </w:r>
            <w:r>
              <w:rPr>
                <w:rFonts w:hint="eastAsia" w:ascii="宋体" w:hAnsi="宋体" w:eastAsia="宋体" w:cs="宋体"/>
                <w:color w:val="auto"/>
                <w:lang w:val="en-US" w:eastAsia="zh-CN"/>
              </w:rPr>
              <w:t>①</w:t>
            </w:r>
            <w:r>
              <w:rPr>
                <w:rFonts w:hint="eastAsia" w:ascii="宋体" w:hAnsi="宋体" w:eastAsia="宋体" w:cs="宋体"/>
                <w:color w:val="auto"/>
                <w:lang w:val="en-US"/>
              </w:rPr>
              <w:t>单位负责人为同一人或者存在直接控股、管理关系的不同供应商，不得参加同一合同项下的政府采购活动</w:t>
            </w:r>
            <w:r>
              <w:rPr>
                <w:rFonts w:hint="eastAsia" w:ascii="宋体" w:hAnsi="宋体" w:eastAsia="宋体" w:cs="宋体"/>
                <w:color w:val="auto"/>
                <w:lang w:val="en-US" w:eastAsia="zh-CN"/>
              </w:rPr>
              <w:t>；②</w:t>
            </w:r>
            <w:r>
              <w:rPr>
                <w:rFonts w:hint="eastAsia" w:ascii="宋体" w:hAnsi="宋体" w:eastAsia="宋体" w:cs="宋体"/>
                <w:color w:val="auto"/>
                <w:lang w:val="en-US"/>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auto"/>
              </w:rPr>
              <w:t>。</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3.存在本章“供应商须知正文”1.3.3所述情形的供应商，不得参加同一合同项下的政府采购活动。</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4.按本项目公告规定方式获得磋商文件。</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5.本项目不接受联合体磋商。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1116"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1.5.2</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采购代理服务费</w:t>
            </w:r>
          </w:p>
        </w:tc>
        <w:tc>
          <w:tcPr>
            <w:tcW w:w="6736" w:type="dxa"/>
            <w:vAlign w:val="center"/>
          </w:tcPr>
          <w:p>
            <w:pPr>
              <w:spacing w:after="0" w:line="400" w:lineRule="exact"/>
              <w:rPr>
                <w:rFonts w:hint="eastAsia" w:ascii="宋体" w:hAnsi="宋体" w:eastAsia="宋体" w:cs="宋体"/>
                <w:color w:val="auto"/>
              </w:rPr>
            </w:pPr>
            <w:r>
              <w:rPr>
                <w:rFonts w:hint="eastAsia" w:ascii="宋体" w:hAnsi="宋体" w:eastAsia="宋体" w:cs="宋体"/>
                <w:color w:val="auto"/>
              </w:rPr>
              <w:t>采购代理服务费由</w:t>
            </w:r>
            <w:r>
              <w:rPr>
                <w:rFonts w:hint="eastAsia" w:ascii="宋体" w:hAnsi="宋体" w:eastAsia="宋体" w:cs="宋体"/>
                <w:b/>
                <w:bCs/>
                <w:color w:val="auto"/>
                <w:u w:val="single"/>
              </w:rPr>
              <w:t>成交供应商</w:t>
            </w:r>
            <w:r>
              <w:rPr>
                <w:rFonts w:hint="eastAsia" w:ascii="宋体" w:hAnsi="宋体" w:eastAsia="宋体" w:cs="宋体"/>
                <w:color w:val="auto"/>
              </w:rPr>
              <w:t>支付。根据采购人与采购代理机构签订的本项目招标代理合同约定，本项目采购代理服务费由成交供应商在领取成交通知书时，以现金或转账方式一次性支付给采购代理机构。本项目采购代服务理费取成交价作为计算基数，按差额定率累进法计算，其费率为：100万元以下--1.5%；100～500万元--0.8%；500～1000万元--0.45%；1000-5000万元--0.25%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1.6.1</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现场勘查</w:t>
            </w:r>
          </w:p>
        </w:tc>
        <w:tc>
          <w:tcPr>
            <w:tcW w:w="6736" w:type="dxa"/>
            <w:vAlign w:val="center"/>
          </w:tcPr>
          <w:p>
            <w:pPr>
              <w:autoSpaceDE w:val="0"/>
              <w:autoSpaceDN w:val="0"/>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drawing>
                <wp:inline distT="0" distB="0" distL="114300" distR="114300">
                  <wp:extent cx="152400" cy="152400"/>
                  <wp:effectExtent l="0" t="0" r="0" b="0"/>
                  <wp:docPr id="3" name="图片 2"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2 拷贝"/>
                          <pic:cNvPicPr>
                            <a:picLocks noChangeAspect="1"/>
                          </pic:cNvPicPr>
                        </pic:nvPicPr>
                        <pic:blipFill>
                          <a:blip r:embed="rId14"/>
                          <a:stretch>
                            <a:fillRect/>
                          </a:stretch>
                        </pic:blipFill>
                        <pic:spPr>
                          <a:xfrm>
                            <a:off x="0" y="0"/>
                            <a:ext cx="152400" cy="152400"/>
                          </a:xfrm>
                          <a:prstGeom prst="rect">
                            <a:avLst/>
                          </a:prstGeom>
                          <a:noFill/>
                          <a:ln>
                            <a:noFill/>
                          </a:ln>
                        </pic:spPr>
                      </pic:pic>
                    </a:graphicData>
                  </a:graphic>
                </wp:inline>
              </w:drawing>
            </w:r>
            <w:r>
              <w:rPr>
                <w:rFonts w:hint="eastAsia" w:ascii="宋体" w:hAnsi="宋体" w:eastAsia="宋体" w:cs="宋体"/>
                <w:color w:val="auto"/>
              </w:rPr>
              <w:t>不组织。由供应商自行决定是否勘察现场，建议供应商自行对项目现场和其周围环境进行现场勘查，以获取有关编制响应文件和签署实施项目合同所需的各种资料。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16" w:type="dxa"/>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763" w:type="dxa"/>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竞争性响应文件组成内容</w:t>
            </w:r>
          </w:p>
        </w:tc>
        <w:tc>
          <w:tcPr>
            <w:tcW w:w="6736" w:type="dxa"/>
            <w:vAlign w:val="center"/>
          </w:tcPr>
          <w:p>
            <w:pPr>
              <w:keepNext/>
              <w:overflowPunct w:val="0"/>
              <w:topLinePunct/>
              <w:adjustRightInd/>
              <w:spacing w:after="0" w:line="360" w:lineRule="auto"/>
              <w:ind w:firstLine="442" w:firstLineChars="200"/>
              <w:textAlignment w:val="center"/>
              <w:rPr>
                <w:rFonts w:hint="eastAsia" w:ascii="宋体" w:hAnsi="宋体" w:eastAsia="宋体" w:cs="宋体"/>
                <w:b/>
                <w:color w:val="auto"/>
                <w:highlight w:val="none"/>
              </w:rPr>
            </w:pPr>
            <w:r>
              <w:rPr>
                <w:rFonts w:hint="eastAsia" w:ascii="宋体" w:hAnsi="宋体" w:eastAsia="宋体" w:cs="宋体"/>
                <w:b/>
                <w:color w:val="auto"/>
                <w:highlight w:val="none"/>
              </w:rPr>
              <w:t>响应文件（下列文件列明“必须提供”的，须加盖公章按要求提供，否则作磋商无效处理；其余项结合第三章“项目采购需求和说明”要求提供，要求“必须提供”的，如未提供，磋商小组有权拒绝其响应文件。</w:t>
            </w:r>
            <w:r>
              <w:rPr>
                <w:rFonts w:hint="eastAsia" w:ascii="宋体" w:hAnsi="宋体" w:eastAsia="宋体" w:cs="宋体"/>
                <w:b/>
                <w:color w:val="auto"/>
                <w:highlight w:val="none"/>
                <w:u w:val="single"/>
              </w:rPr>
              <w:t>供应商所提供的材料</w:t>
            </w:r>
            <w:r>
              <w:rPr>
                <w:rFonts w:hint="eastAsia" w:ascii="宋体" w:hAnsi="宋体" w:eastAsia="宋体" w:cs="宋体"/>
                <w:b/>
                <w:color w:val="auto"/>
                <w:highlight w:val="none"/>
              </w:rPr>
              <w:t>未加盖供应商公章、</w:t>
            </w:r>
            <w:r>
              <w:rPr>
                <w:rFonts w:hint="eastAsia" w:ascii="宋体" w:hAnsi="宋体" w:eastAsia="宋体" w:cs="宋体"/>
                <w:b/>
                <w:color w:val="auto"/>
                <w:highlight w:val="none"/>
                <w:u w:val="single"/>
              </w:rPr>
              <w:t>不完整或模糊不清以致关键信息无法辨认的，磋商小组有权认定该材料无效</w:t>
            </w:r>
            <w:r>
              <w:rPr>
                <w:rFonts w:hint="eastAsia" w:ascii="宋体" w:hAnsi="宋体" w:eastAsia="宋体" w:cs="宋体"/>
                <w:b/>
                <w:color w:val="auto"/>
                <w:highlight w:val="none"/>
              </w:rPr>
              <w:t>。其他如有请提供）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bookmarkStart w:id="52" w:name="_Hlk35959140"/>
            <w:r>
              <w:rPr>
                <w:rFonts w:hint="eastAsia" w:ascii="宋体" w:hAnsi="宋体" w:eastAsia="宋体" w:cs="宋体"/>
                <w:color w:val="auto"/>
                <w:highlight w:val="none"/>
              </w:rPr>
              <w:t>磋商书；（格式见附件，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磋商报价表；（格式见附件，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磋商声明书；（格式见附件，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磋商保证金交纳证明材料；</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服务承诺（由供应商按本项目竞争性磋商文件第三章“项目采购需求和说明”要求自行编制）；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供应商有效的“营业执照” 或“事业单位法人证书” 副本；</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提交响应文件截止之日前半年内供应商连续三个月的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提交响应文件截止之日前半年内供应商连续三个月的依法缴纳社会保险费</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rPr>
              <w:t>（新成立的且不足三个月的企业按实际提供），证明材料可以是：银行已缴纳税费凭证复印件或第三方有效的相关业务托缴凭证或其他有效证明；</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b/>
                <w:bCs w:val="0"/>
                <w:color w:val="auto"/>
                <w:highlight w:val="none"/>
              </w:rPr>
            </w:pPr>
            <w:r>
              <w:rPr>
                <w:rFonts w:hint="eastAsia" w:ascii="宋体" w:hAnsi="宋体" w:eastAsia="宋体" w:cs="宋体"/>
                <w:bCs/>
                <w:color w:val="auto"/>
                <w:highlight w:val="none"/>
              </w:rPr>
              <w:t>审查供应商2018或2019年度经第三方审计的财务报表（财务报表至少包含资产负债表、利润表、现金流量表、加盖会计师事务所公章页）复印件（新成立的公司提供公司成立日之后次月起到响应文件递交截止前一个月的财务报表复印件）或提交响应文件截止之日前三个月内其基本开户银行出具的银行资信证明（仅提供银行出具的存款证明不能作为其银行资信证明）复印件。</w:t>
            </w:r>
            <w:r>
              <w:rPr>
                <w:rFonts w:hint="eastAsia" w:ascii="宋体" w:hAnsi="宋体" w:eastAsia="宋体" w:cs="宋体"/>
                <w:b/>
                <w:bCs w:val="0"/>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参加本次政府采购活动前三年内在经营活动中无重大违法记录的书面声明原件；（格式见附件，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法定代表人身份证明书原件及法定代表人有效身份证正反面复印件；（格式见附件）</w:t>
            </w:r>
            <w:r>
              <w:rPr>
                <w:rFonts w:hint="eastAsia" w:ascii="宋体" w:hAnsi="宋体" w:eastAsia="宋体" w:cs="宋体"/>
                <w:b/>
                <w:color w:val="auto"/>
                <w:highlight w:val="none"/>
              </w:rPr>
              <w:t>（必须提供）</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法定代表人授权委托书原件及被授权人有效身份证正反面复印件；（格式见附件，</w:t>
            </w:r>
            <w:r>
              <w:rPr>
                <w:rFonts w:hint="eastAsia" w:ascii="宋体" w:hAnsi="宋体" w:eastAsia="宋体" w:cs="宋体"/>
                <w:b/>
                <w:color w:val="auto"/>
                <w:highlight w:val="none"/>
              </w:rPr>
              <w:t>委托时必须提供，否则磋商无效）</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磋商供应商针对本项目的工作内容、工作方案；（格式自拟，</w:t>
            </w:r>
            <w:r>
              <w:rPr>
                <w:rFonts w:hint="eastAsia" w:ascii="宋体" w:hAnsi="宋体" w:eastAsia="宋体" w:cs="宋体"/>
                <w:b/>
                <w:color w:val="auto"/>
                <w:highlight w:val="none"/>
              </w:rPr>
              <w:t>必须提供</w:t>
            </w:r>
            <w:r>
              <w:rPr>
                <w:rFonts w:hint="eastAsia" w:ascii="宋体" w:hAnsi="宋体" w:eastAsia="宋体" w:cs="宋体"/>
                <w:color w:val="auto"/>
                <w:highlight w:val="none"/>
              </w:rPr>
              <w:t>）</w:t>
            </w:r>
          </w:p>
          <w:p>
            <w:pPr>
              <w:pStyle w:val="78"/>
              <w:keepNext/>
              <w:numPr>
                <w:ilvl w:val="0"/>
                <w:numId w:val="3"/>
              </w:numPr>
              <w:overflowPunct w:val="0"/>
              <w:topLinePunct/>
              <w:spacing w:after="0" w:line="360" w:lineRule="auto"/>
              <w:ind w:left="0" w:firstLine="44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拟投入本项目主要负责人及其他技术人员专业技术能力的相关证明等资料（注：并提供半年以来连续三个月的社保证明复印件，新入职的员工按实际缴纳社保的月份提供）；（格式自拟，必须提交）</w:t>
            </w:r>
          </w:p>
          <w:p>
            <w:pPr>
              <w:spacing w:after="0" w:line="40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）供应商认为需要提供的有关资料、文件、说明（企业荣获证书、类似业绩；磋商供应商如属于小型、微型企业的，须</w:t>
            </w:r>
            <w:r>
              <w:rPr>
                <w:rFonts w:hint="eastAsia" w:ascii="宋体" w:hAnsi="宋体" w:eastAsia="宋体" w:cs="宋体"/>
                <w:color w:val="auto"/>
                <w:highlight w:val="none"/>
                <w:lang w:eastAsia="zh-CN"/>
              </w:rPr>
              <w:t>可</w:t>
            </w:r>
            <w:r>
              <w:rPr>
                <w:rFonts w:hint="eastAsia" w:ascii="宋体" w:hAnsi="宋体" w:eastAsia="宋体" w:cs="宋体"/>
                <w:color w:val="auto"/>
                <w:highlight w:val="none"/>
              </w:rPr>
              <w:t>提供工商注册地的工业和信息化部门出具的相关证明材料或《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3.1.2</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响应文件电子版</w:t>
            </w:r>
          </w:p>
        </w:tc>
        <w:tc>
          <w:tcPr>
            <w:tcW w:w="6736" w:type="dxa"/>
            <w:vAlign w:val="center"/>
          </w:tcPr>
          <w:p>
            <w:pPr>
              <w:autoSpaceDE w:val="0"/>
              <w:autoSpaceDN w:val="0"/>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sym w:font="Wingdings" w:char="F0FE"/>
            </w:r>
            <w:r>
              <w:rPr>
                <w:rFonts w:hint="eastAsia" w:ascii="宋体" w:hAnsi="宋体" w:eastAsia="宋体" w:cs="宋体"/>
                <w:color w:val="auto"/>
              </w:rPr>
              <w:t>需要提供,供应商在递交响应文件时，需同时递交响应文件电子版。具体要求：</w:t>
            </w:r>
          </w:p>
          <w:p>
            <w:pPr>
              <w:autoSpaceDE w:val="0"/>
              <w:autoSpaceDN w:val="0"/>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（1）响应文件电子版内容：与全部响应文件正本内容一致；</w:t>
            </w:r>
          </w:p>
          <w:p>
            <w:pPr>
              <w:autoSpaceDE w:val="0"/>
              <w:autoSpaceDN w:val="0"/>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（2）响应文件电子版份数：1份；</w:t>
            </w:r>
          </w:p>
          <w:p>
            <w:pPr>
              <w:autoSpaceDE w:val="0"/>
              <w:autoSpaceDN w:val="0"/>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（3）响应文件电子版形式：</w:t>
            </w:r>
            <w:r>
              <w:rPr>
                <w:rFonts w:hint="eastAsia" w:ascii="宋体" w:hAnsi="宋体" w:eastAsia="宋体" w:cs="宋体"/>
                <w:color w:val="auto"/>
                <w:lang w:eastAsia="zh-CN"/>
              </w:rPr>
              <w:t>可编辑的</w:t>
            </w:r>
            <w:r>
              <w:rPr>
                <w:rFonts w:hint="eastAsia" w:ascii="宋体" w:hAnsi="宋体" w:eastAsia="宋体" w:cs="宋体"/>
                <w:color w:val="auto"/>
                <w:lang w:val="en-US" w:eastAsia="zh-CN"/>
              </w:rPr>
              <w:t>word</w:t>
            </w:r>
            <w:r>
              <w:rPr>
                <w:rFonts w:hint="eastAsia" w:ascii="宋体" w:hAnsi="宋体" w:eastAsia="宋体" w:cs="宋体"/>
                <w:color w:val="auto"/>
              </w:rPr>
              <w:t>格式响应文件电子版光盘（或U盘）。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116"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3.4.1</w:t>
            </w:r>
          </w:p>
        </w:tc>
        <w:tc>
          <w:tcPr>
            <w:tcW w:w="1763"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响应有效期</w:t>
            </w:r>
          </w:p>
        </w:tc>
        <w:tc>
          <w:tcPr>
            <w:tcW w:w="6736" w:type="dxa"/>
            <w:vAlign w:val="center"/>
          </w:tcPr>
          <w:p>
            <w:pPr>
              <w:pStyle w:val="14"/>
              <w:widowControl w:val="0"/>
              <w:numPr>
                <w:ilvl w:val="0"/>
                <w:numId w:val="0"/>
              </w:numPr>
              <w:tabs>
                <w:tab w:val="left" w:pos="720"/>
                <w:tab w:val="left" w:pos="840"/>
              </w:tabs>
              <w:spacing w:after="0"/>
              <w:jc w:val="both"/>
              <w:rPr>
                <w:rFonts w:hint="eastAsia" w:ascii="宋体" w:hAnsi="宋体" w:eastAsia="宋体" w:cs="宋体"/>
                <w:color w:val="auto"/>
              </w:rPr>
            </w:pPr>
            <w:r>
              <w:rPr>
                <w:rFonts w:hint="eastAsia" w:ascii="宋体" w:hAnsi="宋体" w:eastAsia="宋体" w:cs="宋体"/>
                <w:color w:val="auto"/>
                <w:highlight w:val="none"/>
              </w:rPr>
              <w:t>自响应文件提交截止之日起60 天（日历天）内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3.5.1</w:t>
            </w:r>
          </w:p>
        </w:tc>
        <w:tc>
          <w:tcPr>
            <w:tcW w:w="1763" w:type="dxa"/>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磋商保证金</w:t>
            </w:r>
          </w:p>
        </w:tc>
        <w:tc>
          <w:tcPr>
            <w:tcW w:w="6736" w:type="dxa"/>
            <w:vAlign w:val="center"/>
          </w:tcPr>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sym w:font="Wingdings" w:char="F0FE"/>
            </w:r>
            <w:r>
              <w:rPr>
                <w:rFonts w:hint="eastAsia" w:ascii="宋体" w:hAnsi="宋体" w:eastAsia="宋体" w:cs="宋体"/>
                <w:color w:val="auto"/>
              </w:rPr>
              <w:t>需要缴纳磋商保证金</w:t>
            </w:r>
          </w:p>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磋商保证金金额：</w:t>
            </w:r>
            <w:r>
              <w:rPr>
                <w:rFonts w:hint="eastAsia" w:ascii="宋体" w:hAnsi="宋体" w:eastAsia="宋体" w:cs="宋体"/>
                <w:color w:val="auto"/>
                <w:u w:val="single"/>
              </w:rPr>
              <w:t>人民币1000</w:t>
            </w:r>
            <w:r>
              <w:rPr>
                <w:rFonts w:hint="eastAsia" w:ascii="宋体" w:hAnsi="宋体" w:eastAsia="宋体" w:cs="宋体"/>
                <w:color w:val="auto"/>
                <w:u w:val="single"/>
                <w:lang w:val="en-US" w:eastAsia="zh-CN"/>
              </w:rPr>
              <w:t>.00</w:t>
            </w:r>
            <w:r>
              <w:rPr>
                <w:rFonts w:hint="eastAsia" w:ascii="宋体" w:hAnsi="宋体" w:eastAsia="宋体" w:cs="宋体"/>
                <w:color w:val="auto"/>
                <w:u w:val="single"/>
              </w:rPr>
              <w:t>元</w:t>
            </w:r>
          </w:p>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磋商保证金递交方式：</w:t>
            </w:r>
            <w:r>
              <w:rPr>
                <w:rFonts w:hint="eastAsia" w:ascii="宋体" w:hAnsi="宋体" w:eastAsia="宋体" w:cs="宋体"/>
                <w:b/>
                <w:bCs/>
                <w:color w:val="auto"/>
              </w:rPr>
              <w:t>支票、汇票、本票、网上银行支付、保函等</w:t>
            </w:r>
            <w:r>
              <w:rPr>
                <w:rFonts w:hint="eastAsia" w:ascii="宋体" w:hAnsi="宋体" w:eastAsia="宋体" w:cs="宋体"/>
                <w:bCs/>
                <w:color w:val="auto"/>
              </w:rPr>
              <w:t>非现金形式</w:t>
            </w:r>
            <w:r>
              <w:rPr>
                <w:rFonts w:hint="eastAsia" w:ascii="宋体" w:hAnsi="宋体" w:eastAsia="宋体" w:cs="宋体"/>
                <w:color w:val="auto"/>
              </w:rPr>
              <w:t>。</w:t>
            </w:r>
          </w:p>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（1）磋商保证金通过银行支付的，必须从供应商银行账户转出并于</w:t>
            </w:r>
            <w:r>
              <w:rPr>
                <w:rFonts w:hint="eastAsia" w:ascii="宋体" w:hAnsi="宋体" w:eastAsia="宋体" w:cs="宋体"/>
                <w:color w:val="auto"/>
                <w:u w:val="single"/>
              </w:rPr>
              <w:t>响应文件递交截止时间</w:t>
            </w:r>
            <w:r>
              <w:rPr>
                <w:rFonts w:hint="eastAsia" w:ascii="宋体" w:hAnsi="宋体" w:eastAsia="宋体" w:cs="宋体"/>
                <w:color w:val="auto"/>
              </w:rPr>
              <w:t>前到达指定银行账户【开户名称：广西睿翼工程咨询有限公司，开户银行：中国工商银行河池市金龙湾支行</w:t>
            </w:r>
            <w:r>
              <w:rPr>
                <w:rFonts w:hint="eastAsia" w:ascii="宋体" w:hAnsi="宋体" w:eastAsia="宋体" w:cs="宋体"/>
                <w:color w:val="auto"/>
                <w:highlight w:val="none"/>
              </w:rPr>
              <w:t>，银行账号：2114810709300026333，</w:t>
            </w:r>
            <w:r>
              <w:rPr>
                <w:rFonts w:hint="eastAsia" w:ascii="宋体" w:hAnsi="宋体" w:eastAsia="宋体" w:cs="宋体"/>
                <w:color w:val="auto"/>
              </w:rPr>
              <w:t>否则视为无效磋商保证金。</w:t>
            </w:r>
          </w:p>
          <w:p>
            <w:pPr>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sz w:val="21"/>
                <w:szCs w:val="21"/>
              </w:rPr>
              <w:t>注：磋商单位如采用银行转账、电汇形式缴纳的，必须在磋商截止日前将磋商保证金交到以上指定账户，在磋商截止时间前于开标现场查验银行转账底单原件</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复印件加盖磋商单位单位公章，否则做否决磋商处理。</w:t>
            </w:r>
          </w:p>
          <w:p>
            <w:pPr>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sz w:val="21"/>
                <w:szCs w:val="21"/>
              </w:rPr>
              <w:t>如采用银行保函、工程担保或工程保证保险方式的，必须从磋商单位基本户银行开具的无条件银行保函，保函有效期不得低于磋商有效期【备注：在竞标截止时间前于开标现场将开具的无条件银行保函或工程担保或工程保证保险原件递交给采购人，原件的扫描件装入竞争性磋商响应文件中】，否则做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3.6.5</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响应文件份数</w:t>
            </w:r>
          </w:p>
        </w:tc>
        <w:tc>
          <w:tcPr>
            <w:tcW w:w="6736" w:type="dxa"/>
            <w:vAlign w:val="center"/>
          </w:tcPr>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正本一份、副本二份。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3.8.1</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递交响应文件截止时间</w:t>
            </w:r>
          </w:p>
        </w:tc>
        <w:tc>
          <w:tcPr>
            <w:tcW w:w="6736" w:type="dxa"/>
            <w:vAlign w:val="center"/>
          </w:tcPr>
          <w:p>
            <w:pPr>
              <w:spacing w:after="0" w:line="400" w:lineRule="exact"/>
              <w:ind w:firstLine="440" w:firstLineChars="200"/>
              <w:rPr>
                <w:rFonts w:hint="eastAsia" w:ascii="宋体" w:hAnsi="宋体" w:eastAsia="宋体" w:cs="宋体"/>
                <w:b/>
                <w:bCs/>
                <w:color w:val="auto"/>
              </w:rPr>
            </w:pPr>
            <w:r>
              <w:rPr>
                <w:rFonts w:hint="eastAsia" w:ascii="宋体" w:hAnsi="宋体" w:eastAsia="宋体" w:cs="宋体"/>
                <w:color w:val="auto"/>
              </w:rPr>
              <w:t>2020年</w:t>
            </w:r>
            <w:r>
              <w:rPr>
                <w:rFonts w:hint="eastAsia" w:ascii="宋体" w:hAnsi="宋体" w:eastAsia="宋体" w:cs="宋体"/>
                <w:color w:val="auto"/>
                <w:u w:val="single"/>
                <w:lang w:val="en-US" w:eastAsia="zh-CN"/>
              </w:rPr>
              <w:t>08</w:t>
            </w:r>
            <w:r>
              <w:rPr>
                <w:rFonts w:hint="eastAsia" w:ascii="宋体" w:hAnsi="宋体" w:eastAsia="宋体" w:cs="宋体"/>
                <w:color w:val="auto"/>
              </w:rPr>
              <w:t>月</w:t>
            </w:r>
            <w:r>
              <w:rPr>
                <w:rFonts w:hint="eastAsia" w:ascii="宋体" w:hAnsi="宋体" w:eastAsia="宋体" w:cs="宋体"/>
                <w:color w:val="auto"/>
                <w:u w:val="single"/>
                <w:lang w:val="en-US" w:eastAsia="zh-CN"/>
              </w:rPr>
              <w:t>06</w:t>
            </w:r>
            <w:r>
              <w:rPr>
                <w:rFonts w:hint="eastAsia" w:ascii="宋体" w:hAnsi="宋体" w:eastAsia="宋体" w:cs="宋体"/>
                <w:color w:val="auto"/>
              </w:rPr>
              <w:t>日</w:t>
            </w:r>
            <w:r>
              <w:rPr>
                <w:rFonts w:hint="eastAsia" w:ascii="宋体" w:hAnsi="宋体" w:eastAsia="宋体" w:cs="宋体"/>
                <w:color w:val="auto"/>
                <w:u w:val="single"/>
                <w:lang w:val="en-US" w:eastAsia="zh-CN"/>
              </w:rPr>
              <w:t>15</w:t>
            </w:r>
            <w:r>
              <w:rPr>
                <w:rFonts w:hint="eastAsia" w:ascii="宋体" w:hAnsi="宋体" w:eastAsia="宋体" w:cs="宋体"/>
                <w:color w:val="auto"/>
              </w:rPr>
              <w:t>时</w:t>
            </w:r>
            <w:r>
              <w:rPr>
                <w:rFonts w:hint="eastAsia" w:ascii="宋体" w:hAnsi="宋体" w:eastAsia="宋体" w:cs="宋体"/>
                <w:color w:val="auto"/>
                <w:u w:val="single"/>
                <w:lang w:val="en-US" w:eastAsia="zh-CN"/>
              </w:rPr>
              <w:t>00</w:t>
            </w:r>
            <w:r>
              <w:rPr>
                <w:rFonts w:hint="eastAsia" w:ascii="宋体" w:hAnsi="宋体" w:eastAsia="宋体" w:cs="宋体"/>
                <w:color w:val="auto"/>
              </w:rPr>
              <w:t>分整，逾期送达或未密封将予以拒收（或作无效磋商响应文件处理）。</w:t>
            </w:r>
            <w:r>
              <w:rPr>
                <w:rFonts w:hint="eastAsia" w:ascii="宋体" w:hAnsi="宋体" w:eastAsia="宋体" w:cs="宋体"/>
                <w:b/>
                <w:bCs/>
                <w:color w:val="auto"/>
              </w:rPr>
              <w:t>递交响应文件时同时递交以下有效证件，否则采购人有权不予接收其响应文件：</w:t>
            </w:r>
          </w:p>
          <w:p>
            <w:pPr>
              <w:spacing w:after="0" w:line="400" w:lineRule="exact"/>
              <w:ind w:firstLine="442" w:firstLineChars="200"/>
              <w:rPr>
                <w:rFonts w:hint="eastAsia" w:ascii="宋体" w:hAnsi="宋体" w:eastAsia="宋体" w:cs="宋体"/>
                <w:b/>
                <w:bCs/>
                <w:color w:val="auto"/>
              </w:rPr>
            </w:pPr>
            <w:r>
              <w:rPr>
                <w:rFonts w:hint="eastAsia" w:ascii="宋体" w:hAnsi="宋体" w:eastAsia="宋体" w:cs="宋体"/>
                <w:b/>
                <w:bCs/>
                <w:color w:val="auto"/>
              </w:rPr>
              <w:t>①磋商保证金交款凭证原件</w:t>
            </w:r>
            <w:r>
              <w:rPr>
                <w:rFonts w:hint="eastAsia" w:ascii="宋体" w:hAnsi="宋体" w:eastAsia="宋体" w:cs="宋体"/>
                <w:b/>
                <w:bCs/>
                <w:color w:val="auto"/>
                <w:lang w:eastAsia="zh-CN"/>
              </w:rPr>
              <w:t>或</w:t>
            </w:r>
            <w:r>
              <w:rPr>
                <w:rFonts w:hint="eastAsia" w:ascii="宋体" w:hAnsi="宋体" w:eastAsia="宋体" w:cs="宋体"/>
                <w:b/>
                <w:bCs/>
                <w:color w:val="auto"/>
              </w:rPr>
              <w:t>凭证</w:t>
            </w:r>
            <w:r>
              <w:rPr>
                <w:rFonts w:hint="eastAsia" w:ascii="宋体" w:hAnsi="宋体" w:eastAsia="宋体" w:cs="宋体"/>
                <w:b/>
                <w:bCs/>
                <w:color w:val="auto"/>
                <w:lang w:eastAsia="zh-CN"/>
              </w:rPr>
              <w:t>复印件</w:t>
            </w:r>
            <w:r>
              <w:rPr>
                <w:rFonts w:hint="eastAsia" w:ascii="宋体" w:hAnsi="宋体" w:eastAsia="宋体" w:cs="宋体"/>
                <w:b/>
                <w:bCs/>
                <w:color w:val="auto"/>
              </w:rPr>
              <w:t>或保函原件；</w:t>
            </w:r>
          </w:p>
          <w:p>
            <w:pPr>
              <w:spacing w:after="0" w:line="400" w:lineRule="exact"/>
              <w:ind w:firstLine="442" w:firstLineChars="200"/>
              <w:rPr>
                <w:rFonts w:hint="eastAsia" w:ascii="宋体" w:hAnsi="宋体" w:eastAsia="宋体" w:cs="宋体"/>
                <w:color w:val="auto"/>
              </w:rPr>
            </w:pPr>
            <w:r>
              <w:rPr>
                <w:rFonts w:hint="eastAsia" w:ascii="宋体" w:hAnsi="宋体" w:eastAsia="宋体" w:cs="宋体"/>
                <w:b/>
                <w:bCs/>
                <w:color w:val="auto"/>
              </w:rPr>
              <w:t>②参加递交响应文件，如为法定代表人的须提供身份证原件及法定代表人身份证明书原件（格式见第六章）），如为委托代理人须提供身份证原件及法定代表人出具的授权委托书原件（格式见第六章））。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3.8.2</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递交响应文件地点</w:t>
            </w:r>
          </w:p>
        </w:tc>
        <w:tc>
          <w:tcPr>
            <w:tcW w:w="6736" w:type="dxa"/>
            <w:vAlign w:val="center"/>
          </w:tcPr>
          <w:p>
            <w:pPr>
              <w:spacing w:after="0"/>
              <w:ind w:firstLine="440" w:firstLineChars="200"/>
              <w:jc w:val="both"/>
              <w:rPr>
                <w:rFonts w:hint="eastAsia" w:ascii="宋体" w:hAnsi="宋体" w:eastAsia="宋体" w:cs="宋体"/>
                <w:color w:val="auto"/>
              </w:rPr>
            </w:pPr>
            <w:r>
              <w:rPr>
                <w:rFonts w:hint="eastAsia" w:ascii="宋体" w:hAnsi="宋体" w:eastAsia="宋体" w:cs="宋体"/>
                <w:color w:val="auto"/>
                <w:u w:val="single"/>
              </w:rPr>
              <w:t>广西睿翼工程咨询有限公司（河池市金城江区金城中路2-4号铜鼓园写字楼3楼）</w:t>
            </w:r>
            <w:r>
              <w:rPr>
                <w:rFonts w:hint="eastAsia" w:ascii="宋体" w:hAnsi="宋体" w:eastAsia="宋体" w:cs="宋体"/>
                <w:color w:val="auto"/>
              </w:rPr>
              <w:t>，并由采购代理机构签收。逾期送达或未按要求密封的响应文件将予以拒收或作无 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5.1.1</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磋商小组组成</w:t>
            </w:r>
          </w:p>
        </w:tc>
        <w:tc>
          <w:tcPr>
            <w:tcW w:w="6736" w:type="dxa"/>
            <w:vAlign w:val="center"/>
          </w:tcPr>
          <w:p>
            <w:pPr>
              <w:spacing w:after="0"/>
              <w:ind w:firstLine="440" w:firstLineChars="200"/>
              <w:jc w:val="both"/>
              <w:rPr>
                <w:rFonts w:hint="eastAsia" w:ascii="宋体" w:hAnsi="宋体" w:eastAsia="宋体" w:cs="宋体"/>
                <w:color w:val="auto"/>
              </w:rPr>
            </w:pPr>
            <w:r>
              <w:rPr>
                <w:rFonts w:hint="eastAsia" w:ascii="宋体" w:hAnsi="宋体" w:eastAsia="宋体" w:cs="宋体"/>
                <w:color w:val="auto"/>
              </w:rPr>
              <w:t>磋商小组组成：</w:t>
            </w:r>
            <w:r>
              <w:rPr>
                <w:rFonts w:hint="eastAsia" w:ascii="宋体" w:hAnsi="宋体" w:eastAsia="宋体" w:cs="宋体"/>
                <w:bCs/>
                <w:color w:val="auto"/>
              </w:rPr>
              <w:t>人数为3人</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5.2.2</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评审方法</w:t>
            </w:r>
          </w:p>
        </w:tc>
        <w:tc>
          <w:tcPr>
            <w:tcW w:w="6736" w:type="dxa"/>
            <w:vAlign w:val="center"/>
          </w:tcPr>
          <w:p>
            <w:pPr>
              <w:spacing w:after="0" w:line="360" w:lineRule="exact"/>
              <w:ind w:firstLine="440" w:firstLineChars="200"/>
              <w:jc w:val="both"/>
              <w:rPr>
                <w:rFonts w:hint="eastAsia" w:ascii="宋体" w:hAnsi="宋体" w:eastAsia="宋体" w:cs="宋体"/>
                <w:color w:val="auto"/>
              </w:rPr>
            </w:pPr>
            <w:r>
              <w:rPr>
                <w:rFonts w:hint="eastAsia" w:ascii="宋体" w:hAnsi="宋体" w:eastAsia="宋体" w:cs="宋体"/>
                <w:color w:val="auto"/>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5.3.1</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信用信息查询渠道、截止时间、查询记录和证据留存方式</w:t>
            </w:r>
          </w:p>
        </w:tc>
        <w:tc>
          <w:tcPr>
            <w:tcW w:w="6736" w:type="dxa"/>
            <w:vAlign w:val="center"/>
          </w:tcPr>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递交响应文件截止时间后，由采购人或采购代理机构对供应商进行信用信息查询，具体规定如下：</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查询渠道：“信用中国”网站(www.creditchina.gov.cn)、中国政府采购网(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rPr>
              <w:t>www.ccgp.gov.cn</w:t>
            </w:r>
            <w:r>
              <w:rPr>
                <w:rFonts w:hint="eastAsia" w:ascii="宋体" w:hAnsi="宋体" w:eastAsia="宋体" w:cs="宋体"/>
                <w:color w:val="auto"/>
              </w:rPr>
              <w:fldChar w:fldCharType="end"/>
            </w:r>
            <w:r>
              <w:rPr>
                <w:rFonts w:hint="eastAsia" w:ascii="宋体" w:hAnsi="宋体" w:eastAsia="宋体" w:cs="宋体"/>
                <w:color w:val="auto"/>
              </w:rPr>
              <w:t>)等</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“信用中国”网站查询内容：失信被执行人、重大税收违法案件当事人名单、政府采购严重违法失信行为记录名单查询结果或界面截图；查询或打印截止时点：递交响应文件截止时间。</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“中国政府采购网”的查询内容：政府采购严重违法失信行为信息记录；查询时间：递交响应文件截止时间前三年内（2017、2018、2019）。</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查询记录和证据留存方式：在查询网站中直接打印查询记录，打印材料作为评审资料保存。</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5.3.4.1</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磋商时间及地点</w:t>
            </w:r>
          </w:p>
        </w:tc>
        <w:tc>
          <w:tcPr>
            <w:tcW w:w="6736" w:type="dxa"/>
            <w:vAlign w:val="center"/>
          </w:tcPr>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磋商时间：2020年</w:t>
            </w:r>
            <w:r>
              <w:rPr>
                <w:rFonts w:hint="eastAsia" w:ascii="宋体" w:hAnsi="宋体" w:eastAsia="宋体" w:cs="宋体"/>
                <w:color w:val="auto"/>
                <w:u w:val="single"/>
                <w:lang w:val="en-US" w:eastAsia="zh-CN"/>
              </w:rPr>
              <w:t>08</w:t>
            </w:r>
            <w:r>
              <w:rPr>
                <w:rFonts w:hint="eastAsia" w:ascii="宋体" w:hAnsi="宋体" w:eastAsia="宋体" w:cs="宋体"/>
                <w:color w:val="auto"/>
              </w:rPr>
              <w:t>月</w:t>
            </w:r>
            <w:r>
              <w:rPr>
                <w:rFonts w:hint="eastAsia" w:ascii="宋体" w:hAnsi="宋体" w:eastAsia="宋体" w:cs="宋体"/>
                <w:color w:val="auto"/>
                <w:u w:val="single"/>
                <w:lang w:val="en-US" w:eastAsia="zh-CN"/>
              </w:rPr>
              <w:t>06</w:t>
            </w:r>
            <w:r>
              <w:rPr>
                <w:rFonts w:hint="eastAsia" w:ascii="宋体" w:hAnsi="宋体" w:eastAsia="宋体" w:cs="宋体"/>
                <w:color w:val="auto"/>
              </w:rPr>
              <w:t>日</w:t>
            </w:r>
            <w:r>
              <w:rPr>
                <w:rFonts w:hint="eastAsia" w:ascii="宋体" w:hAnsi="宋体" w:eastAsia="宋体" w:cs="宋体"/>
                <w:color w:val="auto"/>
                <w:u w:val="single"/>
                <w:lang w:val="en-US" w:eastAsia="zh-CN"/>
              </w:rPr>
              <w:t>15</w:t>
            </w:r>
            <w:r>
              <w:rPr>
                <w:rFonts w:hint="eastAsia" w:ascii="宋体" w:hAnsi="宋体" w:eastAsia="宋体" w:cs="宋体"/>
                <w:color w:val="auto"/>
              </w:rPr>
              <w:t>时</w:t>
            </w:r>
            <w:r>
              <w:rPr>
                <w:rFonts w:hint="eastAsia" w:ascii="宋体" w:hAnsi="宋体" w:eastAsia="宋体" w:cs="宋体"/>
                <w:color w:val="auto"/>
                <w:u w:val="single"/>
                <w:lang w:val="en-US" w:eastAsia="zh-CN"/>
              </w:rPr>
              <w:t>00</w:t>
            </w:r>
            <w:r>
              <w:rPr>
                <w:rFonts w:hint="eastAsia" w:ascii="宋体" w:hAnsi="宋体" w:eastAsia="宋体" w:cs="宋体"/>
                <w:color w:val="auto"/>
              </w:rPr>
              <w:t xml:space="preserve">分截标后（具体时间由采购代理 机构另行通知）； </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磋商地点：</w:t>
            </w:r>
            <w:r>
              <w:rPr>
                <w:rFonts w:hint="eastAsia" w:ascii="宋体" w:hAnsi="宋体" w:eastAsia="宋体" w:cs="宋体"/>
                <w:color w:val="auto"/>
                <w:u w:val="single"/>
              </w:rPr>
              <w:t>广西睿翼工程咨询有限公司（河池市金城江区金城中路2-4号铜鼓园写字楼3楼）</w:t>
            </w:r>
            <w:r>
              <w:rPr>
                <w:rFonts w:hint="eastAsia" w:ascii="宋体" w:hAnsi="宋体" w:eastAsia="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5.3.4.2</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磋商需要携带的材料</w:t>
            </w:r>
          </w:p>
        </w:tc>
        <w:tc>
          <w:tcPr>
            <w:tcW w:w="6736" w:type="dxa"/>
            <w:vAlign w:val="center"/>
          </w:tcPr>
          <w:p>
            <w:pPr>
              <w:spacing w:line="380" w:lineRule="exact"/>
              <w:ind w:firstLine="440" w:firstLineChars="200"/>
              <w:jc w:val="both"/>
              <w:rPr>
                <w:rFonts w:hint="eastAsia" w:ascii="宋体" w:hAnsi="宋体" w:eastAsia="宋体" w:cs="宋体"/>
                <w:color w:val="auto"/>
              </w:rPr>
            </w:pPr>
            <w:r>
              <w:rPr>
                <w:rFonts w:hint="eastAsia" w:ascii="宋体" w:hAnsi="宋体" w:eastAsia="宋体" w:cs="宋体"/>
                <w:color w:val="auto"/>
              </w:rPr>
              <w:t>参加磋商的法定代表人（携带身份证原件及法定代表人身份证明书原件（格式见第六章））或委托代理人（携带身份证原件及法定代表人出具的授权委托书原件（格式见第六章））</w:t>
            </w:r>
            <w:r>
              <w:rPr>
                <w:rFonts w:hint="eastAsia" w:ascii="宋体" w:hAnsi="宋体" w:eastAsia="宋体" w:cs="宋体"/>
                <w:color w:val="auto"/>
                <w:lang w:eastAsia="zh-CN"/>
              </w:rPr>
              <w:t>，与磋商保证金交款凭证原件或凭证复印件或保函原件</w:t>
            </w:r>
            <w:r>
              <w:rPr>
                <w:rFonts w:hint="eastAsia" w:ascii="宋体" w:hAnsi="宋体" w:eastAsia="宋体" w:cs="宋体"/>
                <w:color w:val="auto"/>
              </w:rPr>
              <w:t>依时到达指定地点等候当面磋商。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16"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5.3.4.3</w:t>
            </w:r>
          </w:p>
        </w:tc>
        <w:tc>
          <w:tcPr>
            <w:tcW w:w="1763" w:type="dxa"/>
            <w:vAlign w:val="center"/>
          </w:tcPr>
          <w:p>
            <w:pPr>
              <w:spacing w:after="0" w:line="360" w:lineRule="exact"/>
              <w:jc w:val="center"/>
              <w:rPr>
                <w:rFonts w:hint="eastAsia" w:ascii="宋体" w:hAnsi="宋体" w:eastAsia="宋体" w:cs="宋体"/>
                <w:color w:val="auto"/>
              </w:rPr>
            </w:pPr>
            <w:r>
              <w:rPr>
                <w:rFonts w:hint="eastAsia" w:ascii="宋体" w:hAnsi="宋体" w:eastAsia="宋体" w:cs="宋体"/>
                <w:color w:val="auto"/>
              </w:rPr>
              <w:t>磋商顺序</w:t>
            </w:r>
          </w:p>
        </w:tc>
        <w:tc>
          <w:tcPr>
            <w:tcW w:w="6736" w:type="dxa"/>
            <w:vAlign w:val="center"/>
          </w:tcPr>
          <w:p>
            <w:pPr>
              <w:spacing w:after="0" w:line="360" w:lineRule="exact"/>
              <w:jc w:val="both"/>
              <w:rPr>
                <w:rFonts w:hint="eastAsia" w:ascii="宋体" w:hAnsi="宋体" w:eastAsia="宋体" w:cs="宋体"/>
                <w:color w:val="auto"/>
              </w:rPr>
            </w:pPr>
            <w:r>
              <w:rPr>
                <w:rFonts w:hint="eastAsia" w:ascii="宋体" w:hAnsi="宋体" w:eastAsia="宋体" w:cs="宋体"/>
                <w:color w:val="auto"/>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16" w:type="dxa"/>
            <w:vAlign w:val="center"/>
          </w:tcPr>
          <w:p>
            <w:pPr>
              <w:keepNext/>
              <w:overflowPunct w:val="0"/>
              <w:topLinePunct/>
              <w:spacing w:after="0" w:line="360" w:lineRule="auto"/>
              <w:jc w:val="center"/>
              <w:textAlignment w:val="center"/>
              <w:rPr>
                <w:rFonts w:hint="eastAsia" w:ascii="宋体" w:hAnsi="宋体" w:eastAsia="宋体" w:cs="宋体"/>
                <w:color w:val="auto"/>
              </w:rPr>
            </w:pPr>
            <w:r>
              <w:rPr>
                <w:rFonts w:hint="eastAsia" w:ascii="宋体" w:hAnsi="宋体" w:eastAsia="宋体" w:cs="宋体"/>
                <w:color w:val="auto"/>
              </w:rPr>
              <w:t>7.1</w:t>
            </w:r>
          </w:p>
        </w:tc>
        <w:tc>
          <w:tcPr>
            <w:tcW w:w="1763" w:type="dxa"/>
            <w:vAlign w:val="center"/>
          </w:tcPr>
          <w:p>
            <w:pPr>
              <w:keepNext/>
              <w:overflowPunct w:val="0"/>
              <w:topLinePunct/>
              <w:spacing w:after="0" w:line="360" w:lineRule="auto"/>
              <w:jc w:val="center"/>
              <w:textAlignment w:val="center"/>
              <w:rPr>
                <w:rFonts w:hint="eastAsia" w:ascii="宋体" w:hAnsi="宋体" w:eastAsia="宋体" w:cs="宋体"/>
                <w:color w:val="auto"/>
              </w:rPr>
            </w:pPr>
            <w:r>
              <w:rPr>
                <w:rFonts w:hint="eastAsia" w:ascii="宋体" w:hAnsi="宋体" w:eastAsia="宋体" w:cs="宋体"/>
                <w:bCs/>
                <w:color w:val="auto"/>
              </w:rPr>
              <w:t>履约保证金</w:t>
            </w:r>
          </w:p>
        </w:tc>
        <w:tc>
          <w:tcPr>
            <w:tcW w:w="6736" w:type="dxa"/>
            <w:vAlign w:val="center"/>
          </w:tcPr>
          <w:p>
            <w:pPr>
              <w:keepNext/>
              <w:overflowPunct w:val="0"/>
              <w:topLinePunct/>
              <w:spacing w:after="0" w:line="360" w:lineRule="auto"/>
              <w:textAlignment w:val="center"/>
              <w:rPr>
                <w:rFonts w:hint="eastAsia" w:ascii="宋体" w:hAnsi="宋体" w:eastAsia="宋体" w:cs="宋体"/>
                <w:color w:val="auto"/>
              </w:rPr>
            </w:pPr>
            <w:r>
              <w:rPr>
                <w:rFonts w:hint="eastAsia" w:ascii="宋体" w:hAnsi="宋体" w:eastAsia="宋体" w:cs="宋体"/>
                <w:bCs/>
                <w:color w:val="auto"/>
              </w:rPr>
              <w:t>签订合同时约定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116"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8.1.2</w:t>
            </w:r>
          </w:p>
        </w:tc>
        <w:tc>
          <w:tcPr>
            <w:tcW w:w="1763" w:type="dxa"/>
            <w:vAlign w:val="center"/>
          </w:tcPr>
          <w:p>
            <w:pPr>
              <w:spacing w:after="0" w:line="400" w:lineRule="exact"/>
              <w:jc w:val="center"/>
              <w:rPr>
                <w:rFonts w:hint="eastAsia" w:ascii="宋体" w:hAnsi="宋体" w:eastAsia="宋体" w:cs="宋体"/>
                <w:color w:val="auto"/>
              </w:rPr>
            </w:pPr>
            <w:r>
              <w:rPr>
                <w:rFonts w:hint="eastAsia" w:ascii="宋体" w:hAnsi="宋体" w:eastAsia="宋体" w:cs="宋体"/>
                <w:color w:val="auto"/>
              </w:rPr>
              <w:t>质疑函接收及联系方式</w:t>
            </w:r>
          </w:p>
        </w:tc>
        <w:tc>
          <w:tcPr>
            <w:tcW w:w="6736" w:type="dxa"/>
            <w:vAlign w:val="center"/>
          </w:tcPr>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接收质疑函的方式：接收供应商或其委托代理人以书面形式递交的质疑函原件，委托代理人提出质疑的，还应当提交供应商签署的授权委托书。</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联系部门：广西睿翼工程咨询有限公司</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联系电话：0778-2211981</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通讯地址：金城江区金城中路2-4号铜鼓园写字楼3楼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spacing w:after="0" w:line="360" w:lineRule="exact"/>
              <w:jc w:val="center"/>
              <w:rPr>
                <w:rFonts w:hint="eastAsia" w:ascii="宋体" w:hAnsi="宋体" w:eastAsia="宋体" w:cs="宋体"/>
                <w:color w:val="auto"/>
              </w:rPr>
            </w:pPr>
          </w:p>
        </w:tc>
        <w:tc>
          <w:tcPr>
            <w:tcW w:w="1763" w:type="dxa"/>
            <w:vAlign w:val="center"/>
          </w:tcPr>
          <w:p>
            <w:pPr>
              <w:spacing w:after="0" w:line="360" w:lineRule="exact"/>
              <w:jc w:val="center"/>
              <w:rPr>
                <w:rFonts w:hint="eastAsia" w:ascii="宋体" w:hAnsi="宋体" w:eastAsia="宋体" w:cs="宋体"/>
                <w:color w:val="auto"/>
              </w:rPr>
            </w:pPr>
          </w:p>
        </w:tc>
        <w:tc>
          <w:tcPr>
            <w:tcW w:w="6736" w:type="dxa"/>
            <w:vAlign w:val="center"/>
          </w:tcPr>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1.本文件中描述供应商的“公章”是指根据我国对公章的管理规定，用供应商法定主体行为名称制作的印章，除本文件有特殊规定外，供应商的财务章、部门章、工会章、合同章、竞标专用章、业务专用章及银行的转账章、现金收讫章、现金付讫章等其它形式印章均不能代替公章。</w:t>
            </w:r>
            <w:r>
              <w:rPr>
                <w:rFonts w:hint="eastAsia" w:ascii="宋体" w:hAnsi="宋体" w:eastAsia="宋体" w:cs="宋体"/>
                <w:b/>
                <w:color w:val="auto"/>
              </w:rPr>
              <w:t>不符合要求的作响应无效处理。</w:t>
            </w:r>
          </w:p>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2.本文件中描述供应商的“签字”是指供应商的法定代表人或被授权人亲自在文件规定签署处亲笔写上个人的名字的行为，私章、签字章、印鉴、影印等其它形式均不能代替亲笔签字。</w:t>
            </w:r>
            <w:r>
              <w:rPr>
                <w:rFonts w:hint="eastAsia" w:ascii="宋体" w:hAnsi="宋体" w:eastAsia="宋体" w:cs="宋体"/>
                <w:b/>
                <w:color w:val="auto"/>
              </w:rPr>
              <w:t>不符合要求的或漏签的作响应无效处理。</w:t>
            </w:r>
          </w:p>
          <w:p>
            <w:pPr>
              <w:spacing w:after="0" w:line="400" w:lineRule="exact"/>
              <w:ind w:firstLine="440" w:firstLineChars="200"/>
              <w:jc w:val="both"/>
              <w:rPr>
                <w:rFonts w:hint="eastAsia" w:ascii="宋体" w:hAnsi="宋体" w:eastAsia="宋体" w:cs="宋体"/>
                <w:color w:val="auto"/>
              </w:rPr>
            </w:pPr>
            <w:r>
              <w:rPr>
                <w:rFonts w:hint="eastAsia" w:ascii="宋体" w:hAnsi="宋体" w:eastAsia="宋体" w:cs="宋体"/>
                <w:color w:val="auto"/>
              </w:rPr>
              <w:t>3. 供应商须知前附表是对供应商须知的具体补充和修改，如有矛盾，应以本前附表为准。</w:t>
            </w:r>
          </w:p>
          <w:p>
            <w:pPr>
              <w:spacing w:line="380" w:lineRule="exact"/>
              <w:ind w:firstLine="440" w:firstLineChars="200"/>
              <w:jc w:val="both"/>
              <w:rPr>
                <w:rFonts w:hint="eastAsia" w:ascii="宋体" w:hAnsi="宋体" w:eastAsia="宋体" w:cs="宋体"/>
                <w:color w:val="auto"/>
              </w:rPr>
            </w:pPr>
            <w:r>
              <w:rPr>
                <w:rFonts w:hint="eastAsia" w:ascii="宋体" w:hAnsi="宋体" w:eastAsia="宋体" w:cs="宋体"/>
                <w:color w:val="auto"/>
              </w:rPr>
              <w:t>4.本采购文件是根据国家有关法律及有关政策、法规编制，解释权属采购代理机构。</w:t>
            </w:r>
          </w:p>
        </w:tc>
      </w:tr>
    </w:tbl>
    <w:p>
      <w:pPr>
        <w:pStyle w:val="5"/>
        <w:spacing w:line="440" w:lineRule="exact"/>
        <w:rPr>
          <w:rFonts w:hint="eastAsia" w:ascii="宋体" w:hAnsi="宋体" w:eastAsia="宋体" w:cs="宋体"/>
          <w:color w:val="auto"/>
          <w:sz w:val="24"/>
          <w:szCs w:val="24"/>
        </w:rPr>
      </w:pPr>
      <w:bookmarkStart w:id="53" w:name="_Toc246095454"/>
      <w:bookmarkStart w:id="54" w:name="_Toc246095516"/>
      <w:bookmarkStart w:id="55" w:name="_Toc246094910"/>
      <w:r>
        <w:rPr>
          <w:rFonts w:hint="eastAsia" w:ascii="宋体" w:hAnsi="宋体" w:eastAsia="宋体" w:cs="宋体"/>
          <w:color w:val="auto"/>
        </w:rPr>
        <w:br w:type="page"/>
      </w:r>
      <w:bookmarkStart w:id="56" w:name="_Toc16781718"/>
      <w:r>
        <w:rPr>
          <w:rFonts w:hint="eastAsia" w:ascii="宋体" w:hAnsi="宋体" w:eastAsia="宋体" w:cs="宋体"/>
          <w:b/>
          <w:bCs w:val="0"/>
          <w:color w:val="auto"/>
          <w:sz w:val="28"/>
          <w:szCs w:val="28"/>
        </w:rPr>
        <w:t>1、总则</w:t>
      </w:r>
      <w:bookmarkEnd w:id="53"/>
      <w:bookmarkEnd w:id="54"/>
      <w:bookmarkEnd w:id="55"/>
      <w:bookmarkEnd w:id="56"/>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l.1 项目概况</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1.1.1适用范围：本采购文件适用于本项目的采购、磋商、评审、成交、验收、合同履约、付款等行为（法律、法规另有规定的，从其规定）。</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1.1.2  采购人：见供应商须知前附表。</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1.1.3  采购代理机构：见供应商须知前附表。</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color w:val="auto"/>
        </w:rPr>
        <w:t>1.1.4  项目名称：</w:t>
      </w:r>
      <w:r>
        <w:rPr>
          <w:rFonts w:hint="eastAsia" w:ascii="宋体" w:hAnsi="宋体" w:eastAsia="宋体" w:cs="宋体"/>
          <w:bCs/>
          <w:color w:val="auto"/>
        </w:rPr>
        <w:t>见供应商须知前附表。</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color w:val="auto"/>
        </w:rPr>
        <w:t>1.1.5  项目编号：</w:t>
      </w:r>
      <w:r>
        <w:rPr>
          <w:rFonts w:hint="eastAsia" w:ascii="宋体" w:hAnsi="宋体" w:eastAsia="宋体" w:cs="宋体"/>
          <w:bCs/>
          <w:color w:val="auto"/>
        </w:rPr>
        <w:t>见供应商须知前附表。</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1.1.6  采购预算：见供应商须知前附表。</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1.1.7  资金来源：见供应商须知前附表。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bCs/>
          <w:color w:val="auto"/>
        </w:rPr>
        <w:t>1.1.8  预留采购份额：见供应商须知前附表。</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1.2 定义</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1.2.1 “采购人"是指依法进行政府采购的国家机关、事业单位、团体组织。</w:t>
      </w:r>
    </w:p>
    <w:p>
      <w:pPr>
        <w:spacing w:after="0" w:line="440" w:lineRule="exact"/>
        <w:ind w:firstLine="442" w:firstLineChars="201"/>
        <w:rPr>
          <w:rFonts w:hint="eastAsia" w:ascii="宋体" w:hAnsi="宋体" w:eastAsia="宋体" w:cs="宋体"/>
          <w:color w:val="auto"/>
          <w:u w:val="single"/>
        </w:rPr>
      </w:pPr>
      <w:r>
        <w:rPr>
          <w:rFonts w:hint="eastAsia" w:ascii="宋体" w:hAnsi="宋体" w:eastAsia="宋体" w:cs="宋体"/>
          <w:color w:val="auto"/>
        </w:rPr>
        <w:t>1.2.2 “采购代理机构”是指依法设立、从事采购代理业务并提供相关服务的社会中介机构。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1.2.3“供应商”是指响应本文件要求，参加磋商的法人、其他组织或者自然人。如果该供应商在本次磋商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1.2.4“服务”系指除货物和工程以外的其他政府采购对象。</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1.2.5“书面形式”如无特殊规定，“书面形式”</w:t>
      </w:r>
      <w:r>
        <w:rPr>
          <w:rFonts w:hint="eastAsia" w:ascii="宋体" w:hAnsi="宋体" w:eastAsia="宋体" w:cs="宋体"/>
          <w:color w:val="auto"/>
          <w:szCs w:val="21"/>
        </w:rPr>
        <w:t xml:space="preserve"> </w:t>
      </w:r>
      <w:r>
        <w:rPr>
          <w:rFonts w:hint="eastAsia" w:ascii="宋体" w:hAnsi="宋体" w:eastAsia="宋体" w:cs="宋体"/>
          <w:color w:val="auto"/>
        </w:rPr>
        <w:t>是指合同书、信件和数据电文(包括电报、电传、传真、电子数据交换和电子邮件)等可以有形地表现所载内容的形式。采购文件如有特殊规定，以采购文件规定为准。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1.2.6本文件中的“法定代表人”若法律法规无特别规定，当供应商是企业的，则对应指企业法人营业执照上的法定代表人；当供应商是事业单位的，则对应指事业单位法人证书上的法定代表人；当供应商是社会团体、民办非企业的，则对应指法人登记证书中的法定代表人；当供应商是个体工商户的，则对应指个体工商户营业执照上的经营者；当供应商是自然人的，则对应指参与本项目响应的自然人本人。</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1.2.7标注“▲”号的条款或要求系指实质性条款或实质性要求。</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1.3 供应商的基本条件</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1.3.1 基本资格条件：见“供应商须知前附表”规定。</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1.3.2 供应商的特定要求：见“供应商须知前附表”规定。</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1.3.3 存在下列情形之一的供应商不得参加资格性审查： </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（2）在财政部门禁止参加政府采购活动期限以内的。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1.3.4 按本项目磋商公告规定方式获得磋商文件。 </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1.3.5 本项目是否接受联合体磋商，见“供应商须知前附表”规定。</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1.4 语言文字及计量单位</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1.4.1磋商文件以及供应商与采购人就有关磋商事宜的所有来往函电，均应以中文书写。对不同文字文本的解释发生异议的，以中文文本为准。供应商提交的支持文件和印刷的文献可以使用别的语言，但其相应内容必须附有中文翻译文本，在解释响应文件时以翻译文本为主。</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1.4.2计量单位磋商文件已有明确规定的，使用磋商文件规定的计量单位；磋商文件没有规定的，应采用中华人民共和国法定计量单位，否则视同未响应。</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1.5 磋商费用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1.5.1不论磋商结果如何，供应商应自行承担所有与编写和提交响应文件有关的费用，采购人和采购代理机构在任何情况下无义务和责任承担此类费用。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1.5.2本项目的采购代理服务费按须知</w:t>
      </w:r>
      <w:r>
        <w:rPr>
          <w:rFonts w:hint="eastAsia" w:ascii="宋体" w:hAnsi="宋体" w:eastAsia="宋体" w:cs="宋体"/>
          <w:bCs/>
          <w:color w:val="auto"/>
        </w:rPr>
        <w:t>前附表</w:t>
      </w:r>
      <w:r>
        <w:rPr>
          <w:rFonts w:hint="eastAsia" w:ascii="宋体" w:hAnsi="宋体" w:eastAsia="宋体" w:cs="宋体"/>
          <w:color w:val="auto"/>
        </w:rPr>
        <w:t>的规定执行，由成交供应商在领取成交通知书前，一次性向采购代理机构支付。</w:t>
      </w:r>
    </w:p>
    <w:p>
      <w:pPr>
        <w:pStyle w:val="5"/>
        <w:spacing w:line="440" w:lineRule="exact"/>
        <w:rPr>
          <w:rFonts w:hint="eastAsia" w:ascii="宋体" w:hAnsi="宋体" w:eastAsia="宋体" w:cs="宋体"/>
          <w:b/>
          <w:bCs w:val="0"/>
          <w:color w:val="auto"/>
          <w:sz w:val="28"/>
          <w:szCs w:val="28"/>
        </w:rPr>
      </w:pPr>
      <w:bookmarkStart w:id="57" w:name="_Toc16781719"/>
      <w:bookmarkStart w:id="58" w:name="_Toc468915367"/>
      <w:r>
        <w:rPr>
          <w:rFonts w:hint="eastAsia" w:ascii="宋体" w:hAnsi="宋体" w:eastAsia="宋体" w:cs="宋体"/>
          <w:b/>
          <w:bCs w:val="0"/>
          <w:color w:val="auto"/>
          <w:sz w:val="28"/>
          <w:szCs w:val="28"/>
        </w:rPr>
        <w:t>2、磋商文件</w:t>
      </w:r>
      <w:bookmarkEnd w:id="57"/>
      <w:bookmarkEnd w:id="58"/>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2.1 磋商文件的组成</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2.1.1竞争性磋商文件包括下列内容：</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（1）第一章  竞争性磋商公告</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（2）第二章  供应商须知</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（3）第三章  项目采购需求</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（4）第四章  评审方法及评审标准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（5）第五章  合同主要条款</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（6）第六章  响应文件格式</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2.1.2除本供应商须知第1.7.1款所述的竞争性磋商文件内容外，采购人在采购期间、符合法定时间发出的答疑、澄清、修改或补充内容，均是竞争性磋商文件的组成部分，对采购人和供应商起约束作用。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2.1.3供应商应认真审阅竞争性磋商文件。如果供应商编制的响应文件不符合竞争性磋商文件的要求，责任由供应商自负。实质上不响应竞争性磋商文件要求的响应文件将被采购人拒绝。</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2.2 磋商文件的澄清</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2.2.1 供应商应仔细阅读和检查竞争性磋商文件的全部内容。如发现缺页、有误或有不合理要求的，供应商宜在提交首次响应文件截止之日前5天，以书面形式要求采购人或采购代理机构澄清。</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2.2.2采购人、采购代理机构可以对已发出的磋商文件进行必要的澄清，澄清的内容作为磋商文件的组成部分。澄清的内容可能影响响应文件编制的，采购人、采购代理机构应当在提交首次响应文件截止时间5日前，以书面形式（在发布竞争性磋商公告的发布媒介上发布）发给所有购买竞争性磋商文件的供应商，但不指明澄清问题的来源，供应商未及时实时关注采购代理机构在公告发布媒介上发布的澄清文件造成的损失，由供应商自行负责。不足5日的，将顺延提交首次响应文件截止时间。该澄清的内容为磋商文件的组成部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2.2.3当磋商文件与磋商文件的澄清就同一内容的表述不一致时，以最后发出的书面文件为准。</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2.3 磋商文件的修改</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2.3.1采购人、采购代理机构可以对已发出的磋商文件进行必要的修改，修改的内容作为磋商文件的组成部分。修改的内容可能影响响应文件编制的，采购人、采购代理机构应当在提交首次响应文件截止时间5日前，以书面形式（在发布竞争性磋商公告的发布媒介上发布）发给所有购买竞争性磋商文件的供应商，供应商未及时实时关注采购代理机构在公告发布媒介上发布的修改文件造成的损失，由供应商自行负责。不足5日的，将顺延提交首次响应文件截止时间。该修改的内容为磋商文件的组成部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2.3.2当磋商文件与磋商文件的修改就同一内容的表述不一致时，以最后发出的书面文件为准。</w:t>
      </w:r>
    </w:p>
    <w:p>
      <w:pPr>
        <w:pStyle w:val="5"/>
        <w:spacing w:line="440" w:lineRule="exact"/>
        <w:rPr>
          <w:rFonts w:hint="eastAsia" w:ascii="宋体" w:hAnsi="宋体" w:eastAsia="宋体" w:cs="宋体"/>
          <w:b/>
          <w:bCs w:val="0"/>
          <w:color w:val="auto"/>
          <w:sz w:val="28"/>
          <w:szCs w:val="28"/>
        </w:rPr>
      </w:pPr>
      <w:bookmarkStart w:id="59" w:name="_Toc16781720"/>
      <w:bookmarkStart w:id="60" w:name="_Toc468915368"/>
      <w:r>
        <w:rPr>
          <w:rFonts w:hint="eastAsia" w:ascii="宋体" w:hAnsi="宋体" w:eastAsia="宋体" w:cs="宋体"/>
          <w:b/>
          <w:bCs w:val="0"/>
          <w:color w:val="auto"/>
          <w:sz w:val="28"/>
          <w:szCs w:val="28"/>
        </w:rPr>
        <w:t>3、响应文件</w:t>
      </w:r>
      <w:bookmarkEnd w:id="59"/>
      <w:bookmarkEnd w:id="60"/>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3.1 响应文件的组成</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响应文件应分为价格文件和商务技术文件两个部分组成。</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3.1.1响应文件纸质版：具体材料见“供应商须知前附表”。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3.1.2 响应文件电子版：具体材料见“供应商须知前附表”。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3.2 供应商应按照采购人提供的响应文件格式和顺序，自行编制响应文件，响应文件应包含本须知第3.1条中规定的内容，但表格可以按同样格式扩展。</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3.3 磋商报价</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3.3.1磋商报价应按磋商文件中相关附表格式填写。</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3.3.2磋商报价是履行合同的最终价格。应包括第三章“项目采购需求”规定的各项价格，若无规定，则应包括完成本项目服务内容所需的一切税金和费用。</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3.3.3响应文件只允许有一个有效最后报价，有选择的或有条件的最后报价将不予接受。</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3.3.4报价超出采购预算金额或最高限价（如有）的，将作为无效响应文件处理。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3.3.5对于本文件中未列明，而供应商认为必需的费用也需列入总报价。在合同实施时，采购人将不予支付成交供应商没有列入的项目费用，并认为此项目的费用已包括在总报价中。</w:t>
      </w:r>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3.3.6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文件处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供应商书面说明应当签字确认或者加盖公章，否则无效。供应商为法人的，由其法定代表人或者授权代表签名或盖章确认；供应商为其他组织的，由其主要负责人或者授权代表签名或盖章确认；供应商为自然人的，由其本人或者授权代表签名或盖章确认。</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3.4 响应有效期</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3.4.1在供应商须知前附表规定的响应有效期内，供应商不得要求撤销或修改其响应文件。有效期不足的响应文件按无效处理。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3.4.2 出现特殊情况需要延长响应有效期的，采购人以书面形式通知所有供应商延长响应有效期。供应商同意延长的，应相应延长其磋商保证金的有效期，但不得要求或被允许修改或撤销其响应文件；供应商拒绝延长的，其响应文件失效，但供应商有权收回其磋商保证金。</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3.5 磋商保证金</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3.5.1 供应商须按规定提交磋商保证金。否则，其磋商将被拒绝。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3.5.2 磋商保证金按竞争性磋商文件前附表要求的数额、方式进行交纳。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3.5.3 本项目保证金退还是由采购代理机构申请办理，未成交供应商的磋商保证金在成交通知书发出后向收款单位处申请退还，以收款单位收到退保材料之日起算于 5 个工作日内退回。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3.5.4 成交供应商的磋商保证金在合同签订后，拿合同复印件到采购代理机构备案后由采购代理机构申请退还，以收款单位收到退保材料之日起算于 5 个工作日内退回。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3.5.5 保证金不计息。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3.5.6 如供应商有下列情形之一的，其磋商保证金将不予退还：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（一）供应商在提交响应文件截止时间后撤回响应文件的；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（二）供应商在响应文件中提供虚假材料的；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（三）除因不可抗力或磋商文件认可的情形以外，成交供应商不与采购人签订合同的； </w:t>
      </w:r>
    </w:p>
    <w:p>
      <w:pPr>
        <w:spacing w:after="0" w:line="400" w:lineRule="exact"/>
        <w:ind w:firstLine="442" w:firstLineChars="201"/>
        <w:rPr>
          <w:rFonts w:hint="eastAsia"/>
          <w:color w:val="auto"/>
          <w:sz w:val="21"/>
          <w:szCs w:val="21"/>
        </w:rPr>
      </w:pPr>
      <w:r>
        <w:rPr>
          <w:rFonts w:hint="eastAsia" w:ascii="宋体" w:hAnsi="宋体" w:eastAsia="宋体" w:cs="宋体"/>
          <w:color w:val="auto"/>
        </w:rPr>
        <w:t xml:space="preserve">（四）供应商与采购人、其他供应商或者采购代理机构恶意串通的；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 xml:space="preserve">（五）成交供应商在收到成交通知书后，未按竞争性磋商文件规定提交履约保证金； </w:t>
      </w:r>
    </w:p>
    <w:p>
      <w:pPr>
        <w:spacing w:after="0" w:line="400" w:lineRule="exact"/>
        <w:ind w:firstLine="442" w:firstLineChars="201"/>
        <w:rPr>
          <w:rFonts w:hint="eastAsia" w:ascii="宋体" w:hAnsi="宋体" w:eastAsia="宋体" w:cs="宋体"/>
          <w:color w:val="auto"/>
        </w:rPr>
      </w:pPr>
      <w:r>
        <w:rPr>
          <w:rFonts w:hint="eastAsia" w:ascii="宋体" w:hAnsi="宋体" w:eastAsia="宋体" w:cs="宋体"/>
          <w:color w:val="auto"/>
        </w:rPr>
        <w:t>（六）法律法规规定的其他情形。</w:t>
      </w:r>
    </w:p>
    <w:p>
      <w:pPr>
        <w:spacing w:after="0" w:line="440" w:lineRule="exact"/>
        <w:ind w:firstLine="444" w:firstLineChars="201"/>
        <w:rPr>
          <w:rFonts w:hint="eastAsia" w:ascii="宋体" w:hAnsi="宋体" w:eastAsia="宋体" w:cs="宋体"/>
          <w:b/>
          <w:color w:val="auto"/>
        </w:rPr>
      </w:pPr>
      <w:bookmarkStart w:id="61" w:name="_Toc10220119"/>
      <w:r>
        <w:rPr>
          <w:rFonts w:hint="eastAsia" w:ascii="宋体" w:hAnsi="宋体" w:eastAsia="宋体" w:cs="宋体"/>
          <w:b/>
          <w:color w:val="auto"/>
        </w:rPr>
        <w:t>3.6 响应文件的</w:t>
      </w:r>
      <w:bookmarkEnd w:id="61"/>
      <w:r>
        <w:rPr>
          <w:rFonts w:hint="eastAsia" w:ascii="宋体" w:hAnsi="宋体" w:eastAsia="宋体" w:cs="宋体"/>
          <w:b/>
          <w:color w:val="auto"/>
        </w:rPr>
        <w:t>编制</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3.6.1 响应文件应按第六章“响应文件格式”进行编写，如有必要，可以增加附页，作为响应文件的组成部分。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3.6.2 供应商应按本响应文件规定的响应文件格式和顺序编制、装订并编制完整的页码、目录，响应文件内容不完整、编排混乱导致响应文件被误读、漏读或者查找不到相关内容导致的后果由供应商自行负责。</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3.6.3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3.6.4响应文件的正本与副本应采用A4纸编制（图表页可例外），分别装订成册，并编制目录和页码。</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3.6.5响应文件正本一份，副本份数见供应商须知前附表。正本和副本的封面上应清楚地标记“正本”或“副本”的字样。当副本和正本不一致时，以正本为准。</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3.7 响应文件的密封和标识</w:t>
      </w:r>
    </w:p>
    <w:p>
      <w:pPr>
        <w:spacing w:after="0" w:line="440" w:lineRule="exact"/>
        <w:ind w:firstLine="442" w:firstLineChars="201"/>
        <w:rPr>
          <w:rFonts w:hint="eastAsia" w:ascii="宋体" w:hAnsi="宋体" w:eastAsia="宋体" w:cs="宋体"/>
          <w:b/>
          <w:color w:val="auto"/>
        </w:rPr>
      </w:pPr>
      <w:r>
        <w:rPr>
          <w:rFonts w:hint="eastAsia" w:ascii="宋体" w:hAnsi="宋体" w:eastAsia="宋体" w:cs="宋体"/>
          <w:color w:val="auto"/>
        </w:rPr>
        <w:t>3.7.1 将“响应文件”书面版本的正本和全部副本和“响应文件电子版（如有）”全部密封在一个包封内。包封上应写明“响应文件、供应商名称和地址、项目名称、项目编号、同时注明：*年*月*日*时前不得开封”字样；</w:t>
      </w:r>
      <w:r>
        <w:rPr>
          <w:rFonts w:hint="eastAsia" w:ascii="宋体" w:hAnsi="宋体" w:eastAsia="宋体" w:cs="宋体"/>
          <w:b/>
          <w:color w:val="auto"/>
        </w:rPr>
        <w:t>外层封口处必须加盖供应商公章或密封章以示密封。</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3.7.2 未按本章第3.7.1条要求密封和加写标记，采购人或采购代理机构不予接收其响应文件，由此产生的后果由供应商自行承担。</w:t>
      </w:r>
    </w:p>
    <w:p>
      <w:pPr>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3.8 响应文件的递交</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bCs/>
          <w:color w:val="auto"/>
        </w:rPr>
        <w:t xml:space="preserve">3.8.1 </w:t>
      </w:r>
      <w:r>
        <w:rPr>
          <w:rFonts w:hint="eastAsia" w:ascii="宋体" w:hAnsi="宋体" w:eastAsia="宋体" w:cs="宋体"/>
          <w:color w:val="auto"/>
        </w:rPr>
        <w:t>供应商应在供应商须知前附表规定的截止时间前递交响应文件。</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3.8.2 供应商按</w:t>
      </w:r>
      <w:r>
        <w:rPr>
          <w:rFonts w:hint="eastAsia" w:ascii="宋体" w:hAnsi="宋体" w:eastAsia="宋体" w:cs="宋体"/>
          <w:color w:val="auto"/>
        </w:rPr>
        <w:t>供应商须知前附表规定的地点</w:t>
      </w:r>
      <w:r>
        <w:rPr>
          <w:rFonts w:hint="eastAsia" w:ascii="宋体" w:hAnsi="宋体" w:eastAsia="宋体" w:cs="宋体"/>
          <w:bCs/>
          <w:color w:val="auto"/>
        </w:rPr>
        <w:t>递交响应文件，并由采购人或采购代理机构</w:t>
      </w:r>
      <w:r>
        <w:rPr>
          <w:rFonts w:hint="eastAsia" w:ascii="宋体" w:hAnsi="宋体" w:eastAsia="宋体" w:cs="宋体"/>
          <w:color w:val="auto"/>
        </w:rPr>
        <w:t>签收</w:t>
      </w:r>
      <w:r>
        <w:rPr>
          <w:rFonts w:hint="eastAsia" w:ascii="宋体" w:hAnsi="宋体" w:eastAsia="宋体" w:cs="宋体"/>
          <w:b/>
          <w:color w:val="auto"/>
        </w:rPr>
        <w:t>。</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3.8.3 除磋商文件另有规定外，供应商所递交的响应文件不予退还。</w:t>
      </w:r>
    </w:p>
    <w:p>
      <w:pPr>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3.8.4 逾期送达的或者未送达指定地点的响应文件，</w:t>
      </w:r>
      <w:r>
        <w:rPr>
          <w:rFonts w:hint="eastAsia" w:ascii="宋体" w:hAnsi="宋体" w:eastAsia="宋体" w:cs="宋体"/>
          <w:color w:val="auto"/>
        </w:rPr>
        <w:t>采购代理机构将拒绝接收</w:t>
      </w:r>
      <w:r>
        <w:rPr>
          <w:rFonts w:hint="eastAsia" w:ascii="宋体" w:hAnsi="宋体" w:eastAsia="宋体" w:cs="宋体"/>
          <w:bCs/>
          <w:color w:val="auto"/>
        </w:rPr>
        <w:t>。</w:t>
      </w:r>
    </w:p>
    <w:p>
      <w:pPr>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3.9 响应文件的补充、修改和撤回</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3.9.1 在本章3.8.1项规定的递交响应文件截止时间前，供应商可以补充、修改或撤回已递交的响应文件，但应以书面形式通知采购人或采购代理机构。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3.9.2 供应商补充、修改或撤回已递交响应文件的书面通知应按照本章第3.6.3项的要求签字或盖章。采购人或采购代理机构收到书面通知后，向供应商出具签收凭证。</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3.9.3 补充、修改的内容为响应文件的组成部分，补充、修改的内容与响应文件不一致的，以补充、修改的内容为准。补充、修改的响应文件应按照本章第3.7、第3.8款规定进行编制、密封、标记和递交，并标明“修改”字样。</w:t>
      </w:r>
    </w:p>
    <w:p>
      <w:pPr>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3.10 响应文件的编写说明</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3.10.1 响应文件的复印件均须加盖</w:t>
      </w:r>
      <w:r>
        <w:rPr>
          <w:rFonts w:hint="eastAsia" w:ascii="宋体" w:hAnsi="宋体" w:eastAsia="宋体" w:cs="宋体"/>
          <w:color w:val="auto"/>
          <w:lang w:val="en-US" w:eastAsia="zh-CN"/>
        </w:rPr>
        <w:t>供应商</w:t>
      </w:r>
      <w:r>
        <w:rPr>
          <w:rFonts w:hint="eastAsia" w:ascii="宋体" w:hAnsi="宋体" w:eastAsia="宋体" w:cs="宋体"/>
          <w:color w:val="auto"/>
        </w:rPr>
        <w:t>的公章。</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3.10.2 供应商在响应文件中提供不真实的材料，都将视为虚假应标，磋商无效，并承担由此产生的经济与法律责任。</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3.10.3 供应商在详细报价中，应按竞争性磋商文件提供的《</w:t>
      </w:r>
      <w:r>
        <w:rPr>
          <w:rFonts w:hint="eastAsia" w:ascii="宋体" w:hAnsi="宋体" w:eastAsia="宋体" w:cs="宋体"/>
          <w:bCs/>
          <w:color w:val="auto"/>
        </w:rPr>
        <w:t>项目采购需求</w:t>
      </w:r>
      <w:r>
        <w:rPr>
          <w:rFonts w:hint="eastAsia" w:ascii="宋体" w:hAnsi="宋体" w:eastAsia="宋体" w:cs="宋体"/>
          <w:color w:val="auto"/>
        </w:rPr>
        <w:t>》进行完整报价。</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3.10.4 报价栏项目中如出现唯一的数字“0”或空白，则视报价为零。</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3.10.5供应商必须自行承担因其响应文件中的任何错漏而导致的一切后果。</w:t>
      </w:r>
    </w:p>
    <w:p>
      <w:pPr>
        <w:spacing w:after="0" w:line="440" w:lineRule="exact"/>
        <w:ind w:firstLine="442" w:firstLineChars="201"/>
        <w:rPr>
          <w:rFonts w:hint="eastAsia" w:ascii="宋体" w:hAnsi="宋体" w:eastAsia="宋体" w:cs="宋体"/>
          <w:color w:val="auto"/>
          <w:sz w:val="24"/>
          <w:szCs w:val="24"/>
        </w:rPr>
      </w:pPr>
      <w:r>
        <w:rPr>
          <w:rFonts w:hint="eastAsia" w:ascii="宋体" w:hAnsi="宋体" w:eastAsia="宋体" w:cs="宋体"/>
          <w:color w:val="auto"/>
        </w:rPr>
        <w:t>3.10.</w:t>
      </w:r>
      <w:r>
        <w:rPr>
          <w:rFonts w:hint="eastAsia" w:ascii="宋体" w:hAnsi="宋体" w:eastAsia="宋体" w:cs="宋体"/>
          <w:color w:val="auto"/>
          <w:lang w:val="en-US" w:eastAsia="zh-CN"/>
        </w:rPr>
        <w:t>6</w:t>
      </w:r>
      <w:r>
        <w:rPr>
          <w:rFonts w:hint="eastAsia" w:ascii="宋体" w:hAnsi="宋体" w:eastAsia="宋体" w:cs="宋体"/>
          <w:color w:val="auto"/>
        </w:rPr>
        <w:t xml:space="preserve"> </w:t>
      </w:r>
      <w:r>
        <w:rPr>
          <w:rFonts w:hint="eastAsia" w:ascii="宋体" w:hAnsi="宋体" w:eastAsia="宋体" w:cs="宋体"/>
          <w:color w:val="auto"/>
          <w:lang w:val="en-US" w:eastAsia="zh-CN"/>
        </w:rPr>
        <w:t>竞争性磋商响应</w:t>
      </w:r>
      <w:r>
        <w:rPr>
          <w:rFonts w:hint="eastAsia" w:ascii="宋体" w:hAnsi="宋体" w:eastAsia="宋体" w:cs="宋体"/>
          <w:color w:val="auto"/>
        </w:rPr>
        <w:t>文件的编制、签署及密封和标记等均要求按本须知3.6条规定的要求，否则视为未响应</w:t>
      </w:r>
      <w:r>
        <w:rPr>
          <w:rFonts w:hint="eastAsia" w:ascii="宋体" w:hAnsi="宋体" w:eastAsia="宋体" w:cs="宋体"/>
          <w:color w:val="auto"/>
          <w:lang w:val="en-US" w:eastAsia="zh-CN"/>
        </w:rPr>
        <w:t>竞争性磋商</w:t>
      </w:r>
      <w:r>
        <w:rPr>
          <w:rFonts w:hint="eastAsia" w:ascii="宋体" w:hAnsi="宋体" w:eastAsia="宋体" w:cs="宋体"/>
          <w:color w:val="auto"/>
        </w:rPr>
        <w:t>文件要求。</w:t>
      </w:r>
    </w:p>
    <w:p>
      <w:pPr>
        <w:pStyle w:val="5"/>
        <w:spacing w:line="440" w:lineRule="exact"/>
        <w:rPr>
          <w:rFonts w:hint="eastAsia" w:ascii="宋体" w:hAnsi="宋体" w:eastAsia="宋体" w:cs="宋体"/>
          <w:b/>
          <w:bCs w:val="0"/>
          <w:color w:val="auto"/>
          <w:sz w:val="28"/>
          <w:szCs w:val="28"/>
        </w:rPr>
      </w:pPr>
      <w:bookmarkStart w:id="62" w:name="_Toc16781721"/>
      <w:r>
        <w:rPr>
          <w:rFonts w:hint="eastAsia" w:ascii="宋体" w:hAnsi="宋体" w:eastAsia="宋体" w:cs="宋体"/>
          <w:b/>
          <w:bCs w:val="0"/>
          <w:color w:val="auto"/>
          <w:sz w:val="28"/>
          <w:szCs w:val="28"/>
        </w:rPr>
        <w:t>4、响应文件递交</w:t>
      </w:r>
      <w:bookmarkEnd w:id="62"/>
    </w:p>
    <w:p>
      <w:pPr>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4.1响应文件递交程序</w:t>
      </w:r>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采购代理机构将在本章第3.8项规定的递交响应文件截止时间和地点接收响应文件，供应商的法定代表人（随身携带身份证原件及</w:t>
      </w:r>
      <w:r>
        <w:rPr>
          <w:rFonts w:hint="eastAsia" w:ascii="宋体" w:hAnsi="宋体" w:eastAsia="宋体" w:cs="宋体"/>
          <w:color w:val="auto"/>
          <w:szCs w:val="21"/>
        </w:rPr>
        <w:t>法定代表人身份证明书原件（格式见第六章）</w:t>
      </w:r>
      <w:r>
        <w:rPr>
          <w:rFonts w:hint="eastAsia" w:ascii="宋体" w:hAnsi="宋体" w:eastAsia="宋体" w:cs="宋体"/>
          <w:color w:val="auto"/>
        </w:rPr>
        <w:t>）或其委托代理人（随身携带身份证原件及法定代表人出具的授权委托书原件</w:t>
      </w:r>
      <w:r>
        <w:rPr>
          <w:rFonts w:hint="eastAsia" w:ascii="宋体" w:hAnsi="宋体" w:eastAsia="宋体" w:cs="宋体"/>
          <w:color w:val="auto"/>
          <w:szCs w:val="21"/>
        </w:rPr>
        <w:t>（格式见第六章）</w:t>
      </w:r>
      <w:r>
        <w:rPr>
          <w:rFonts w:hint="eastAsia" w:ascii="宋体" w:hAnsi="宋体" w:eastAsia="宋体" w:cs="宋体"/>
          <w:color w:val="auto"/>
        </w:rPr>
        <w:t>），和磋商保证金交款凭证原件</w:t>
      </w:r>
      <w:r>
        <w:rPr>
          <w:rFonts w:hint="eastAsia" w:ascii="宋体" w:hAnsi="宋体" w:eastAsia="宋体" w:cs="宋体"/>
          <w:color w:val="auto"/>
          <w:lang w:eastAsia="zh-CN"/>
        </w:rPr>
        <w:t>或凭证复印件</w:t>
      </w:r>
      <w:r>
        <w:rPr>
          <w:rFonts w:hint="eastAsia" w:ascii="宋体" w:hAnsi="宋体" w:eastAsia="宋体" w:cs="宋体"/>
          <w:color w:val="auto"/>
        </w:rPr>
        <w:t>或保函原件准时参加并签到。供应商的法定代表人或其授权代表未到场或未按时签到的，视同认可响应文件递交结果。</w:t>
      </w:r>
    </w:p>
    <w:p>
      <w:pPr>
        <w:spacing w:after="0" w:line="440" w:lineRule="exact"/>
        <w:ind w:firstLine="444" w:firstLineChars="201"/>
        <w:rPr>
          <w:rFonts w:hint="eastAsia" w:ascii="宋体" w:hAnsi="宋体" w:eastAsia="宋体" w:cs="宋体"/>
          <w:b/>
          <w:bCs/>
          <w:color w:val="auto"/>
        </w:rPr>
      </w:pPr>
      <w:bookmarkStart w:id="63" w:name="_Toc10220126"/>
      <w:r>
        <w:rPr>
          <w:rFonts w:hint="eastAsia" w:ascii="宋体" w:hAnsi="宋体" w:eastAsia="宋体" w:cs="宋体"/>
          <w:b/>
          <w:bCs/>
          <w:color w:val="auto"/>
        </w:rPr>
        <w:t>4.2 演示</w:t>
      </w:r>
      <w:bookmarkEnd w:id="63"/>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4.2.1“供应商须知前附表”规定在响应文件递交结束后进行演示的，供应商应按规定按时到达指定地点进行演示。</w:t>
      </w:r>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4.2.2未按规定时间进行演示或未进行演示可能引起的演示分数被计为0分或响应文件无效等后果由供应商自行承担。</w:t>
      </w:r>
    </w:p>
    <w:p>
      <w:pPr>
        <w:spacing w:after="0" w:line="440" w:lineRule="exact"/>
        <w:ind w:firstLine="444" w:firstLineChars="201"/>
        <w:jc w:val="both"/>
        <w:rPr>
          <w:rFonts w:hint="eastAsia" w:ascii="宋体" w:hAnsi="宋体" w:eastAsia="宋体" w:cs="宋体"/>
          <w:b/>
          <w:bCs/>
          <w:color w:val="auto"/>
        </w:rPr>
      </w:pPr>
      <w:bookmarkStart w:id="64" w:name="_Toc10220127"/>
      <w:r>
        <w:rPr>
          <w:rFonts w:hint="eastAsia" w:ascii="宋体" w:hAnsi="宋体" w:eastAsia="宋体" w:cs="宋体"/>
          <w:b/>
          <w:bCs/>
          <w:color w:val="auto"/>
        </w:rPr>
        <w:t>4.3 样品</w:t>
      </w:r>
      <w:bookmarkEnd w:id="64"/>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4.3.1“供应商须知前附表”规定递交样品的，供应商应按前附表规定递交样品。</w:t>
      </w:r>
    </w:p>
    <w:p>
      <w:pPr>
        <w:spacing w:after="0" w:line="440" w:lineRule="exact"/>
        <w:ind w:firstLine="442" w:firstLineChars="201"/>
        <w:jc w:val="both"/>
        <w:rPr>
          <w:rFonts w:hint="eastAsia" w:ascii="宋体" w:hAnsi="宋体" w:eastAsia="宋体" w:cs="宋体"/>
          <w:color w:val="auto"/>
        </w:rPr>
      </w:pPr>
      <w:r>
        <w:rPr>
          <w:rFonts w:hint="eastAsia" w:ascii="宋体" w:hAnsi="宋体" w:eastAsia="宋体" w:cs="宋体"/>
          <w:color w:val="auto"/>
        </w:rPr>
        <w:t>4.3.2未按规定时间递交样品或未递交样品可能引起的样品分数被计为0分或响应文件无效等后果由供应商自行承担。</w:t>
      </w:r>
    </w:p>
    <w:p>
      <w:pPr>
        <w:pStyle w:val="5"/>
        <w:spacing w:line="440" w:lineRule="exact"/>
        <w:rPr>
          <w:rFonts w:hint="eastAsia" w:ascii="宋体" w:hAnsi="宋体" w:eastAsia="宋体" w:cs="宋体"/>
          <w:b/>
          <w:bCs w:val="0"/>
          <w:color w:val="auto"/>
          <w:sz w:val="28"/>
          <w:szCs w:val="28"/>
        </w:rPr>
      </w:pPr>
      <w:bookmarkStart w:id="65" w:name="_Toc468915369"/>
      <w:bookmarkStart w:id="66" w:name="_Toc16781722"/>
      <w:r>
        <w:rPr>
          <w:rFonts w:hint="eastAsia" w:ascii="宋体" w:hAnsi="宋体" w:eastAsia="宋体" w:cs="宋体"/>
          <w:b/>
          <w:bCs w:val="0"/>
          <w:color w:val="auto"/>
          <w:sz w:val="28"/>
          <w:szCs w:val="28"/>
        </w:rPr>
        <w:t>5、评审</w:t>
      </w:r>
      <w:bookmarkEnd w:id="65"/>
      <w:r>
        <w:rPr>
          <w:rFonts w:hint="eastAsia" w:ascii="宋体" w:hAnsi="宋体" w:eastAsia="宋体" w:cs="宋体"/>
          <w:b/>
          <w:bCs w:val="0"/>
          <w:color w:val="auto"/>
          <w:sz w:val="28"/>
          <w:szCs w:val="28"/>
        </w:rPr>
        <w:t>及磋商</w:t>
      </w:r>
      <w:bookmarkEnd w:id="66"/>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5.1磋商小组组建</w:t>
      </w:r>
    </w:p>
    <w:p>
      <w:pPr>
        <w:pStyle w:val="23"/>
        <w:spacing w:line="440" w:lineRule="exact"/>
        <w:ind w:firstLine="440" w:firstLineChars="200"/>
        <w:rPr>
          <w:rFonts w:hint="eastAsia" w:hAnsi="宋体" w:cs="宋体"/>
          <w:color w:val="auto"/>
          <w:sz w:val="22"/>
          <w:szCs w:val="22"/>
        </w:rPr>
      </w:pPr>
      <w:r>
        <w:rPr>
          <w:rFonts w:hint="eastAsia" w:hAnsi="宋体" w:cs="宋体"/>
          <w:color w:val="auto"/>
          <w:sz w:val="22"/>
          <w:szCs w:val="22"/>
        </w:rPr>
        <w:t>5.1.1磋商小组由采购人代表和政府采购评审专家共3人及以上单数组成，其中政府采购评审专家人数不得少于磋商小组成员总数的2/3。磋商小组人数以及政府采购评审专家的确定方式见供应商须知前附表。</w:t>
      </w:r>
    </w:p>
    <w:p>
      <w:pPr>
        <w:spacing w:after="0" w:line="440" w:lineRule="exact"/>
        <w:ind w:firstLine="440" w:firstLineChars="200"/>
        <w:jc w:val="both"/>
        <w:rPr>
          <w:rFonts w:hint="eastAsia" w:ascii="宋体" w:hAnsi="宋体" w:eastAsia="宋体" w:cs="宋体"/>
          <w:color w:val="auto"/>
          <w:szCs w:val="21"/>
        </w:rPr>
      </w:pPr>
      <w:r>
        <w:rPr>
          <w:rFonts w:hint="eastAsia" w:ascii="宋体" w:hAnsi="宋体" w:eastAsia="宋体" w:cs="宋体"/>
          <w:color w:val="auto"/>
        </w:rPr>
        <w:t>5.1.2</w:t>
      </w:r>
      <w:r>
        <w:rPr>
          <w:rFonts w:hint="eastAsia" w:ascii="宋体" w:hAnsi="宋体" w:eastAsia="宋体" w:cs="宋体"/>
          <w:color w:val="auto"/>
          <w:szCs w:val="21"/>
        </w:rPr>
        <w:t>评审专家与参加采购活动的供应商存在下列利害关系之一的,应当回避：</w:t>
      </w:r>
    </w:p>
    <w:p>
      <w:pPr>
        <w:spacing w:after="0" w:line="440" w:lineRule="exact"/>
        <w:ind w:firstLine="440" w:firstLineChars="200"/>
        <w:jc w:val="both"/>
        <w:rPr>
          <w:rFonts w:hint="eastAsia" w:ascii="宋体" w:hAnsi="宋体" w:eastAsia="宋体" w:cs="宋体"/>
          <w:color w:val="auto"/>
          <w:szCs w:val="21"/>
        </w:rPr>
      </w:pPr>
      <w:r>
        <w:rPr>
          <w:rFonts w:hint="eastAsia" w:ascii="宋体" w:hAnsi="宋体" w:eastAsia="宋体" w:cs="宋体"/>
          <w:color w:val="auto"/>
        </w:rPr>
        <w:t>（1）参加采购活动前三年内，与供应商存在劳动关系,或者担任过供应商的董事、监事,或者是供应商的控股股东或实际控制人；</w:t>
      </w:r>
    </w:p>
    <w:p>
      <w:pPr>
        <w:spacing w:after="0" w:line="440" w:lineRule="exact"/>
        <w:ind w:firstLine="440" w:firstLineChars="200"/>
        <w:jc w:val="both"/>
        <w:rPr>
          <w:rFonts w:hint="eastAsia" w:ascii="宋体" w:hAnsi="宋体" w:eastAsia="宋体" w:cs="宋体"/>
          <w:color w:val="auto"/>
          <w:szCs w:val="21"/>
        </w:rPr>
      </w:pPr>
      <w:r>
        <w:rPr>
          <w:rFonts w:hint="eastAsia" w:ascii="宋体" w:hAnsi="宋体" w:eastAsia="宋体" w:cs="宋体"/>
          <w:color w:val="auto"/>
        </w:rPr>
        <w:t>（2）与供应商的法定代表人或者负责人有夫妻、直系血亲、三代以内旁系血亲或者近姻亲关系；</w:t>
      </w:r>
    </w:p>
    <w:p>
      <w:pPr>
        <w:spacing w:after="0" w:line="440" w:lineRule="exact"/>
        <w:ind w:firstLine="440" w:firstLineChars="200"/>
        <w:jc w:val="both"/>
        <w:rPr>
          <w:rFonts w:hint="eastAsia" w:ascii="宋体" w:hAnsi="宋体" w:eastAsia="宋体" w:cs="宋体"/>
          <w:color w:val="auto"/>
        </w:rPr>
      </w:pPr>
      <w:r>
        <w:rPr>
          <w:rFonts w:hint="eastAsia" w:ascii="宋体" w:hAnsi="宋体" w:eastAsia="宋体" w:cs="宋体"/>
          <w:color w:val="auto"/>
        </w:rPr>
        <w:t>（3）与供应商有其他可能影响政府采购活动公平、公正进行的关系。</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5.2评审原则及方法</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5.2.1 评审原则：</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磋商小组成员按照客观、公正、审慎的原则，根据磋商文件规定的评审程序、评审方法和评审标准进行独立评审。</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5.2.2 评审方法</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磋商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5.3评审程序</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5.3.1响应文件初审</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初审分为资格审查和符合性审查。</w:t>
      </w:r>
    </w:p>
    <w:p>
      <w:pPr>
        <w:spacing w:after="0" w:line="440" w:lineRule="exact"/>
        <w:ind w:firstLine="442" w:firstLineChars="201"/>
        <w:rPr>
          <w:rFonts w:hint="eastAsia" w:ascii="宋体" w:hAnsi="宋体" w:eastAsia="宋体" w:cs="宋体"/>
          <w:b/>
          <w:color w:val="auto"/>
        </w:rPr>
      </w:pPr>
      <w:r>
        <w:rPr>
          <w:rFonts w:hint="eastAsia" w:ascii="宋体" w:hAnsi="宋体" w:eastAsia="宋体" w:cs="宋体"/>
          <w:color w:val="auto"/>
        </w:rPr>
        <w:t>磋商小组对供应商资格条件和响应文件的有效性、完整性和响应程度进行审查。对资格条件不符合的供应商或未实质性响应磋商文件的响应文件按无效响应处理。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5.3.1.1资格审查</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供应商有下列情形之一的，资格审查不通过：</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（1）不符合《中华人民共和国政府采购法》第二十二条规定条件的。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（2）未按本项目采购公告规定方式获得磋商文件的。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（3）参加同一合同项下的政府采购活动的不同供应商，单位负责人为同一人或者存在直接控股、管理关系的。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（4）为本次采购项目提供整体设计、规范编制或者项目管理、监理、检测等服务的。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（5）在“信用中国”网站(www.creditchina.gov.cn)、中国政府采购网（www.ccgp.gov.cn）等渠道被列入失信被执行人、重大税收违法案件当事人名单、政府采购严重违法失信行为记录名单的。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（6）不按照磋商文件要求提供合格的资格证明材料的。</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（7）违反国家法律法规规定的其他资格内容的。</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5.3.1.2符合性审查</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依据磋商文件的规定，从响应文件的有效性、完整性和对磋商文件的响应程度进行审查，以确定是否符合对磋商文件的实质性要求作出响应</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5.3.2澄清</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5.3.3修正</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5.3.3.1响应文件如果出现计算或表达上的错误，修正错误的原则如下：</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①响应文件中磋商函内容与磋商报价表不一致的，以磋商函为准；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②大写金额和小写金额不一致的，以大写金额为准；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③总价金额与按单价汇总金额不一致的，以单价金额计算结果为准；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④单价金额小数点有明显错位的，应以总价为准，并修改单价；</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同时出现两种以上不一致的，按照前款规定的顺序修正。修正后的报价经供应商确认后产生约束力，供应商不确认的，其响应文件无效。</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5.3.3.2修正后的最终报价若超过采购预算金额或最高限价（如有），供应商的响应文件作无效处理。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5.3.3.3修正后的最终报价作为签订合同的一个依据，并以此报价计算价格分。</w:t>
      </w:r>
    </w:p>
    <w:p>
      <w:pPr>
        <w:tabs>
          <w:tab w:val="left" w:pos="540"/>
        </w:tabs>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5.3.4 磋商</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5.3.4.1磋商时间及地点：按须知前附表规定。</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5.3.4.2供应商参加磋商需要携带的材料：按须知前附表规定。</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5.3.4.3磋商小组按须知前附表规定的磋商顺序，集中与单一供应商分别进行磋商，并给予所有参加磋商的供应商平等的磋商机会。</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对磋商文件作出的实质性变动是磋商文件的有效组成部分，磋商小组应当及时以书面形式同时通知所有参加磋商的供应商。</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磋商过程中，磋商的任何一方不得透露与磋商有关的其他供应商的技术资料、价格和其他信息。</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采购代理机构对磋商过程和重要磋商内容进行记录，磋商双方在记录上签字确认。</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供应商未在通知的时间内到达现场参加磋商的，或未提交书面说明退出磋商的，或未在规定时间内提交书面应答文件和最后报价的，视为供应商自动放弃磋商。</w:t>
      </w:r>
    </w:p>
    <w:p>
      <w:pPr>
        <w:tabs>
          <w:tab w:val="left" w:pos="540"/>
        </w:tabs>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5.3.5最后报价</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5.3.5.1磋商文件能够详细列明采购标的的技术、服务要求的，磋商结束后，磋商小组应当要求所有继续参加磋商的供应商在规定时间内密封提交最后报价，提交最后报价的供应商不得少于3家。</w:t>
      </w:r>
    </w:p>
    <w:p>
      <w:pPr>
        <w:tabs>
          <w:tab w:val="left" w:pos="540"/>
        </w:tabs>
        <w:spacing w:after="0" w:line="440" w:lineRule="exact"/>
        <w:ind w:firstLine="442" w:firstLineChars="201"/>
        <w:rPr>
          <w:rFonts w:hint="eastAsia" w:ascii="宋体" w:hAnsi="宋体" w:eastAsia="宋体" w:cs="宋体"/>
          <w:color w:val="auto"/>
          <w:u w:val="single"/>
        </w:rPr>
      </w:pPr>
      <w:r>
        <w:rPr>
          <w:rFonts w:hint="eastAsia" w:ascii="宋体" w:hAnsi="宋体" w:eastAsia="宋体" w:cs="宋体"/>
          <w:color w:val="auto"/>
        </w:rPr>
        <w:t>5.3.5.2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5.3.5.3政府购买服务项目（含政府和社会资本合作项目）依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提交最后报价的供应商可以为2家。</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5.3.5.4 除5.3.5.3目情形外，采购过程中符合要求的供应商不足三家的，采购人或者采购代理机构将终止竞争性磋商采购活动，发布项目终止公告并说明原因，重新开展采购活动。</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5.3.5.5最后报价是供应商响应文件的有效组成部分。</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5.3.5.6已经提交响应文件的供应商，在提交最后报价之前，可以根据磋商情况退出磋商。采购人、采购代理机构将退还退出磋商的供应商的保证金。</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5.3.5.7</w:t>
      </w:r>
      <w:r>
        <w:rPr>
          <w:rFonts w:hint="eastAsia" w:ascii="宋体" w:hAnsi="宋体" w:eastAsia="宋体" w:cs="宋体"/>
          <w:color w:val="auto"/>
          <w:u w:val="single"/>
        </w:rPr>
        <w:t>最后报价超过采购预算或最高限价（如有）的，响应文件作无效处理。</w:t>
      </w:r>
      <w:r>
        <w:rPr>
          <w:rFonts w:hint="eastAsia" w:ascii="宋体" w:hAnsi="宋体" w:eastAsia="宋体" w:cs="宋体"/>
          <w:color w:val="auto"/>
        </w:rPr>
        <w:t>响应供应商的报价均超过了采购预算，采购人不能支付的，磋商活动终止。</w:t>
      </w:r>
    </w:p>
    <w:p>
      <w:pPr>
        <w:spacing w:after="0" w:line="440" w:lineRule="exact"/>
        <w:ind w:firstLine="442" w:firstLineChars="201"/>
        <w:rPr>
          <w:rFonts w:hint="eastAsia" w:ascii="宋体" w:hAnsi="宋体" w:eastAsia="宋体" w:cs="宋体"/>
          <w:color w:val="auto"/>
          <w:u w:val="single"/>
        </w:rPr>
      </w:pPr>
      <w:r>
        <w:rPr>
          <w:rFonts w:hint="eastAsia" w:ascii="宋体" w:hAnsi="宋体" w:eastAsia="宋体" w:cs="宋体"/>
          <w:color w:val="auto"/>
        </w:rPr>
        <w:t xml:space="preserve">5.3.5.8 </w:t>
      </w:r>
      <w:r>
        <w:rPr>
          <w:rFonts w:hint="eastAsia" w:ascii="宋体" w:hAnsi="宋体" w:eastAsia="宋体" w:cs="宋体"/>
          <w:color w:val="auto"/>
          <w:u w:val="single"/>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响应文件作为无效处理。</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5.3.5.9最终磋商结束后，磋商小组不得再与供应商进行任何形式的商谈。</w:t>
      </w:r>
    </w:p>
    <w:p>
      <w:pPr>
        <w:tabs>
          <w:tab w:val="left" w:pos="540"/>
        </w:tabs>
        <w:spacing w:after="0" w:line="440" w:lineRule="exact"/>
        <w:ind w:firstLine="444" w:firstLineChars="201"/>
        <w:rPr>
          <w:rFonts w:hint="eastAsia" w:ascii="宋体" w:hAnsi="宋体" w:eastAsia="宋体" w:cs="宋体"/>
          <w:b/>
          <w:color w:val="auto"/>
        </w:rPr>
      </w:pPr>
      <w:r>
        <w:rPr>
          <w:rFonts w:hint="eastAsia" w:ascii="宋体" w:hAnsi="宋体" w:eastAsia="宋体" w:cs="宋体"/>
          <w:b/>
          <w:color w:val="auto"/>
        </w:rPr>
        <w:t>5.4评审与比较</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5.4.1经磋商确定最终采购需求和提交最后报价的供应商后，由磋商小组采用综合评分法，根据第四章“评审方法及评审标准”规定的方法、评审因素和标准对提交最后报价的供应商的响应文件和最后报价进行综合评分。</w:t>
      </w:r>
    </w:p>
    <w:p>
      <w:pPr>
        <w:tabs>
          <w:tab w:val="left" w:pos="540"/>
        </w:tabs>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5.4.2磋商小组须公平、公正、客观，不带任何倾向性和启发性；不得向外界透露任何与评审有关的内容；任何单位和个人不得干扰、影响评审工作的正常进行。</w:t>
      </w:r>
    </w:p>
    <w:p>
      <w:pPr>
        <w:tabs>
          <w:tab w:val="left" w:pos="540"/>
        </w:tabs>
        <w:spacing w:after="0" w:line="440" w:lineRule="exact"/>
        <w:ind w:firstLine="442" w:firstLineChars="201"/>
        <w:rPr>
          <w:rFonts w:hint="eastAsia" w:ascii="宋体" w:hAnsi="宋体" w:eastAsia="宋体" w:cs="宋体"/>
          <w:b/>
          <w:bCs/>
          <w:color w:val="auto"/>
        </w:rPr>
      </w:pPr>
      <w:r>
        <w:rPr>
          <w:rFonts w:hint="eastAsia" w:ascii="宋体" w:hAnsi="宋体" w:eastAsia="宋体" w:cs="宋体"/>
          <w:color w:val="auto"/>
        </w:rPr>
        <w:t>5.4.3</w:t>
      </w:r>
      <w:r>
        <w:rPr>
          <w:rFonts w:hint="eastAsia" w:ascii="宋体" w:hAnsi="宋体" w:eastAsia="宋体" w:cs="宋体"/>
          <w:b/>
          <w:bCs/>
          <w:color w:val="auto"/>
        </w:rPr>
        <w:t>在评审过程中出现法律法规和磋商文件均没有明确规定的情形时，由磋商小组现场协商解决，协商不一致的，由全体磋商小组投票表决，以得票率二分之一以上专家的意见为准。</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5.5 评审过程的保密</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5.5.1 在评审活动中，凡属于审查、澄清、评价和比较的有关资料及有关授予合同的信息，都不应向供应商或与评审无关的其他人泄露。</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5.5.2 在响应文件的审查、澄清、评价和比较以及授予合同的过程中，供应商对采购人和磋商小组成员施加影响的任何行为，都将导致被取消磋商资格。</w:t>
      </w:r>
    </w:p>
    <w:p>
      <w:pPr>
        <w:tabs>
          <w:tab w:val="left" w:pos="540"/>
        </w:tabs>
        <w:spacing w:after="0" w:line="440" w:lineRule="exact"/>
        <w:ind w:firstLine="442" w:firstLineChars="201"/>
        <w:rPr>
          <w:rFonts w:hint="eastAsia" w:ascii="宋体" w:hAnsi="宋体" w:eastAsia="宋体" w:cs="宋体"/>
          <w:b/>
          <w:bCs/>
          <w:color w:val="auto"/>
        </w:rPr>
      </w:pPr>
      <w:r>
        <w:rPr>
          <w:rFonts w:hint="eastAsia" w:ascii="宋体" w:hAnsi="宋体" w:eastAsia="宋体" w:cs="宋体"/>
          <w:bCs/>
          <w:color w:val="auto"/>
        </w:rPr>
        <w:t>▲</w:t>
      </w:r>
      <w:bookmarkStart w:id="67" w:name="_Toc254970532"/>
      <w:bookmarkStart w:id="68" w:name="_Toc254970673"/>
      <w:r>
        <w:rPr>
          <w:rFonts w:hint="eastAsia" w:ascii="宋体" w:hAnsi="宋体" w:eastAsia="宋体" w:cs="宋体"/>
          <w:b/>
          <w:bCs/>
          <w:color w:val="auto"/>
        </w:rPr>
        <w:t>5.6 特别说明：</w:t>
      </w:r>
      <w:bookmarkEnd w:id="67"/>
      <w:bookmarkEnd w:id="68"/>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（本条款所述投标人等同于供应商，评标等同于评审，投标等同于磋商或响应）</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5.6.1单位负责人为同一人或者存在直接控股、管理关系的，不得参加同一合同项下投标或未划分分标的同一合同项下投标，否则投标文件将被视为无效。</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5.6.2除单一来源采购项目外，为采购项目提供整体设计、规范编制或者项目管理、监理、检测等服务的供应商，不得再参加该采购项目的其他采购活动，否则竞标无效。</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5.6.3 投标人投标所使用的资格、信誉、荣誉、业绩与企业认证必须为本法人所拥有。</w:t>
      </w:r>
      <w:r>
        <w:rPr>
          <w:rFonts w:hint="eastAsia" w:ascii="宋体" w:hAnsi="宋体" w:eastAsia="宋体" w:cs="宋体"/>
          <w:b/>
          <w:bCs/>
          <w:color w:val="auto"/>
        </w:rPr>
        <w:t>（本采购文件第三章“项目采购需求”另有约定的从其约定）</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5.6.4 投标人应仔细阅读采购文件的所有内容，按照采购文件的要求提交投标文件，并对所提供的全部资料的真实性承担法律责任。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5.6.5在政府采购活动中，采购人员及相关人员与投标人有下列利害关系之一的，应当回避：</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（1）参加采购活动前3年内与投标人存在劳动关系；</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（2）参加采购活动前3年内担任投标人的董事、监事；</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（3）参加采购活动前3年内是投标人的控股股东或者实际控制人；</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（4）与投标人的法定代表人或者负责人有夫妻、直系血亲、三代以内旁系血亲或者近姻亲关系；</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（5）与投标人有其他可能影响政府采购活动公平、公正进行的关系。</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5.6.6供应商相互串通投标</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有下列情形之一的视为供应商相互串通投标，投标文件将被视为无效：</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（1）不同供应商的投标文件由同一单位或者个人编制；或不同供应商报名的IP地址一致的；</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（2）不同供应商委托同一单位或者个人办理投标事宜；</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（3）不同的供应商的投标文件载明的项目管理员为同一个人；</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（4）不同供应商的投标文件异常一致或投标报价呈规律性差异；</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（5）不同供应商的投标文件相互混装；</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（6）不同供应商的投标保证金从同一单位或者个人账户转出。</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5.6.7供应商恶意串通投标</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供应商有下列情形之一的，属于恶意串通行为：</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（1）供应商直接或者间接从采购人或者采购代理机构处获得其他供应商的相关信息并修改其投标文件或者响应文件：</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（2）供应商按照采购人或者采购代理机构的授意撤换、修改投标文件或者响应文件；</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（3）供应商之间协商报价、技术方案等投标文件或者响应文件的实质性内容；</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（4）属于同一集团、协会、商会等组织成员的供应商按照该组织要求协同参加政府采购活动；</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（5）供应商之间事先约定一致抬高或者压低投标报价,或者在招标项目中事先约定轮流以高价位或者低价位中标,或者事先约定由某一特定供应商中标,然后再参加投标；</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（6）供应商之间商定部分供应商放弃参加政府采购活动或者放弃中标；</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（7）供应商与采购人或者采购代理机构之间、供应商相互之间，为谋求特定供应商中标或者排斥其他供应商的其他串通行为。</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5.7 终止采购</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5.7.1出现下列情形之一的，采购人或者采购代理机构终止竞争性磋商采购活动，发布项目终止公告并说明原因，重新开展采购活动：</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（一）因情况变化，不再符合规定的竞争性磋商采购方式适用情形的；</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（二）出现影响采购公正的违法、违规行为的；</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（三）在采购过程中符合竞争要求的供应商或者报价未超过采购预算的供应商不足3家的，但《政府采购竞争性磋商采购方式管理暂行办法》第二十一条第三款规定的情形除外。</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5.7.2 在采购活动中因重大变故，采购任务取消的，采购人或者采购代理机构应当终止采购活动，通知所有参加采购活动的供应商，并将项目实施情况和采购任务取消原因报送本级监督部门。</w:t>
      </w:r>
    </w:p>
    <w:p>
      <w:pPr>
        <w:pStyle w:val="5"/>
        <w:spacing w:line="440" w:lineRule="exact"/>
        <w:rPr>
          <w:rFonts w:hint="eastAsia" w:ascii="宋体" w:hAnsi="宋体" w:eastAsia="宋体" w:cs="宋体"/>
          <w:b/>
          <w:bCs w:val="0"/>
          <w:color w:val="auto"/>
          <w:sz w:val="28"/>
          <w:szCs w:val="28"/>
        </w:rPr>
      </w:pPr>
      <w:bookmarkStart w:id="69" w:name="_Toc468915370"/>
      <w:bookmarkStart w:id="70" w:name="_Toc16781723"/>
      <w:r>
        <w:rPr>
          <w:rFonts w:hint="eastAsia" w:ascii="宋体" w:hAnsi="宋体" w:eastAsia="宋体" w:cs="宋体"/>
          <w:b/>
          <w:bCs w:val="0"/>
          <w:color w:val="auto"/>
          <w:sz w:val="28"/>
          <w:szCs w:val="28"/>
        </w:rPr>
        <w:t>6、</w:t>
      </w:r>
      <w:bookmarkEnd w:id="69"/>
      <w:r>
        <w:rPr>
          <w:rFonts w:hint="eastAsia" w:ascii="宋体" w:hAnsi="宋体" w:eastAsia="宋体" w:cs="宋体"/>
          <w:b/>
          <w:bCs w:val="0"/>
          <w:color w:val="auto"/>
          <w:sz w:val="28"/>
          <w:szCs w:val="28"/>
        </w:rPr>
        <w:t>评审结果</w:t>
      </w:r>
      <w:bookmarkEnd w:id="70"/>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6.1成交供应商的确定</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6.2成交通知</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采购代理机构应当在成交供应商确定后2个工作日内，在磋商公告发布媒体上公告成交结果，公示期为1个工作日。发布成交结果公告的同时向成交供应商发出成交通知书。</w:t>
      </w:r>
    </w:p>
    <w:p>
      <w:pPr>
        <w:pStyle w:val="5"/>
        <w:spacing w:line="440" w:lineRule="exact"/>
        <w:rPr>
          <w:rFonts w:hint="eastAsia" w:ascii="宋体" w:hAnsi="宋体" w:eastAsia="宋体" w:cs="宋体"/>
          <w:b/>
          <w:bCs w:val="0"/>
          <w:color w:val="auto"/>
          <w:sz w:val="28"/>
          <w:szCs w:val="28"/>
        </w:rPr>
      </w:pPr>
      <w:bookmarkStart w:id="71" w:name="_Toc468915371"/>
      <w:bookmarkStart w:id="72" w:name="_Toc16781724"/>
      <w:r>
        <w:rPr>
          <w:rFonts w:hint="eastAsia" w:ascii="宋体" w:hAnsi="宋体" w:eastAsia="宋体" w:cs="宋体"/>
          <w:b/>
          <w:bCs w:val="0"/>
          <w:color w:val="auto"/>
          <w:sz w:val="28"/>
          <w:szCs w:val="28"/>
        </w:rPr>
        <w:t>7、</w:t>
      </w:r>
      <w:bookmarkEnd w:id="71"/>
      <w:r>
        <w:rPr>
          <w:rFonts w:hint="eastAsia" w:ascii="宋体" w:hAnsi="宋体" w:eastAsia="宋体" w:cs="宋体"/>
          <w:b/>
          <w:bCs w:val="0"/>
          <w:color w:val="auto"/>
          <w:sz w:val="28"/>
          <w:szCs w:val="28"/>
        </w:rPr>
        <w:t>合同授予</w:t>
      </w:r>
      <w:bookmarkEnd w:id="72"/>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7.1 履约保证金</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7.1.1</w:t>
      </w:r>
      <w:r>
        <w:rPr>
          <w:rFonts w:hint="eastAsia" w:ascii="宋体" w:hAnsi="宋体" w:eastAsia="宋体" w:cs="宋体"/>
          <w:color w:val="auto"/>
          <w:szCs w:val="21"/>
        </w:rPr>
        <w:t xml:space="preserve"> </w:t>
      </w:r>
      <w:r>
        <w:rPr>
          <w:rFonts w:hint="eastAsia" w:ascii="宋体" w:hAnsi="宋体" w:eastAsia="宋体" w:cs="宋体"/>
          <w:color w:val="auto"/>
        </w:rPr>
        <w:t>成交供应商应按供应商须知前附表规定的履约保证金的金额、方式，在签订合同前缴纳给采购人指定账户。否则,不予签订合同。</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7.1.2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7.1.3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5个日历天内扣减成交供应商赔偿金和其他应从成交供应商扣回的款项后，将履约保证金的余额退还给成交供应商（无息）。</w:t>
      </w:r>
    </w:p>
    <w:p>
      <w:pPr>
        <w:spacing w:after="0" w:line="440" w:lineRule="exact"/>
        <w:ind w:firstLine="442" w:firstLineChars="201"/>
        <w:rPr>
          <w:rFonts w:hint="eastAsia" w:ascii="宋体" w:hAnsi="宋体" w:eastAsia="宋体" w:cs="宋体"/>
          <w:b/>
          <w:color w:val="auto"/>
        </w:rPr>
      </w:pPr>
      <w:r>
        <w:rPr>
          <w:rFonts w:hint="eastAsia" w:ascii="宋体" w:hAnsi="宋体" w:eastAsia="宋体" w:cs="宋体"/>
          <w:color w:val="auto"/>
        </w:rPr>
        <w:t>7.1.4在履约保证金退还日期前，若成交供应商的开户名称、开户银行、</w:t>
      </w:r>
      <w:r>
        <w:rPr>
          <w:rFonts w:hint="eastAsia" w:ascii="宋体" w:hAnsi="宋体" w:eastAsia="宋体" w:cs="宋体"/>
          <w:color w:val="auto"/>
          <w:lang w:eastAsia="zh-CN"/>
        </w:rPr>
        <w:t>账号</w:t>
      </w:r>
      <w:r>
        <w:rPr>
          <w:rFonts w:hint="eastAsia" w:ascii="宋体" w:hAnsi="宋体" w:eastAsia="宋体" w:cs="宋体"/>
          <w:color w:val="auto"/>
        </w:rPr>
        <w:t>有变动的，请以书面形式通知采购代理机构，否则由此产生的后果由成交供应商自负。</w:t>
      </w:r>
    </w:p>
    <w:p>
      <w:pPr>
        <w:tabs>
          <w:tab w:val="left" w:pos="540"/>
        </w:tabs>
        <w:spacing w:after="0" w:line="440" w:lineRule="exact"/>
        <w:ind w:firstLine="444" w:firstLineChars="201"/>
        <w:rPr>
          <w:rFonts w:hint="eastAsia" w:ascii="宋体" w:hAnsi="宋体" w:eastAsia="宋体" w:cs="宋体"/>
          <w:b/>
          <w:bCs/>
          <w:color w:val="auto"/>
        </w:rPr>
      </w:pPr>
      <w:bookmarkStart w:id="73" w:name="_Toc468915372"/>
      <w:r>
        <w:rPr>
          <w:rFonts w:hint="eastAsia" w:ascii="宋体" w:hAnsi="宋体" w:eastAsia="宋体" w:cs="宋体"/>
          <w:b/>
          <w:bCs/>
          <w:color w:val="auto"/>
        </w:rPr>
        <w:t>7.2签订合同</w:t>
      </w:r>
      <w:bookmarkEnd w:id="73"/>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7.2.1成交通知书发出之日起15日内，成交供应商必须与采购人签订合同。磋商文件、成交供应商的响应文件、应答文件等，均为签订政府采购合同的依据。</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7.2.2如成交供应商不按成交通知书的规定签订合同，则按成交供应商违约处理，采购代理机构将不予退还成交供应商磋商保证金并上缴财政国库。</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7.2.3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7.2.4采购人或成交供应商不得单方面向合同另一方提出任何竞争性磋商文件没有约定的条件或不合理的要求，作为签订合同的条件，也不得协商另行订立背离竞争性磋商文件和合同实质性内容的协议。</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7.2.5在合同履行中，采购人需追加与合同标的相同的货物、工程或者服务的，在不改变原合同条款的前提下，可以与供应商协商签订补充合同，但所有补充合同的采购金额不得超过原采购合同金额的10%。</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7.3 政府采购合同公告</w:t>
      </w:r>
    </w:p>
    <w:p>
      <w:pPr>
        <w:spacing w:after="0" w:line="440" w:lineRule="exact"/>
        <w:ind w:firstLine="442" w:firstLineChars="201"/>
        <w:rPr>
          <w:rFonts w:hint="eastAsia" w:ascii="宋体" w:hAnsi="宋体" w:eastAsia="宋体" w:cs="宋体"/>
          <w:color w:val="auto"/>
        </w:rPr>
      </w:pPr>
      <w:r>
        <w:rPr>
          <w:rFonts w:hint="eastAsia" w:ascii="宋体" w:hAnsi="宋体" w:eastAsia="宋体" w:cs="宋体"/>
          <w:color w:val="auto"/>
        </w:rPr>
        <w:t>7.3.1如磋商文件无特殊规定，成交人应在签订合同后1个工作日内，将政府采购合同副本送采购代理机构备案。</w:t>
      </w:r>
    </w:p>
    <w:p>
      <w:pPr>
        <w:spacing w:after="0" w:line="440" w:lineRule="exact"/>
        <w:ind w:firstLine="442" w:firstLineChars="201"/>
        <w:rPr>
          <w:rFonts w:hint="eastAsia" w:ascii="宋体" w:hAnsi="宋体" w:eastAsia="宋体" w:cs="宋体"/>
          <w:color w:val="auto"/>
          <w:sz w:val="24"/>
          <w:szCs w:val="24"/>
        </w:rPr>
      </w:pPr>
      <w:r>
        <w:rPr>
          <w:rFonts w:hint="eastAsia" w:ascii="宋体" w:hAnsi="宋体" w:eastAsia="宋体" w:cs="宋体"/>
          <w:color w:val="auto"/>
        </w:rPr>
        <w:t>7.3.2采购人应当自政府采购合同签订之日起2个工作日内，将政府采购合同在省级以上人民政府财政部门指定的媒体上公告，但政府采购合同中涉及国家秘密、商业秘密的内容除外。</w:t>
      </w:r>
    </w:p>
    <w:p>
      <w:pPr>
        <w:pStyle w:val="5"/>
        <w:spacing w:line="440" w:lineRule="exact"/>
        <w:rPr>
          <w:rFonts w:hint="eastAsia" w:ascii="宋体" w:hAnsi="宋体" w:eastAsia="宋体" w:cs="宋体"/>
          <w:b/>
          <w:bCs w:val="0"/>
          <w:color w:val="auto"/>
          <w:sz w:val="28"/>
          <w:szCs w:val="28"/>
        </w:rPr>
      </w:pPr>
      <w:bookmarkStart w:id="74" w:name="_Toc468915373"/>
      <w:bookmarkStart w:id="75" w:name="_Toc16781725"/>
      <w:r>
        <w:rPr>
          <w:rFonts w:hint="eastAsia" w:ascii="宋体" w:hAnsi="宋体" w:eastAsia="宋体" w:cs="宋体"/>
          <w:b/>
          <w:bCs w:val="0"/>
          <w:color w:val="auto"/>
          <w:sz w:val="28"/>
          <w:szCs w:val="28"/>
        </w:rPr>
        <w:t>8、</w:t>
      </w:r>
      <w:bookmarkEnd w:id="74"/>
      <w:r>
        <w:rPr>
          <w:rFonts w:hint="eastAsia" w:ascii="宋体" w:hAnsi="宋体" w:eastAsia="宋体" w:cs="宋体"/>
          <w:b/>
          <w:bCs w:val="0"/>
          <w:color w:val="auto"/>
          <w:sz w:val="28"/>
          <w:szCs w:val="28"/>
        </w:rPr>
        <w:t>其他</w:t>
      </w:r>
      <w:bookmarkEnd w:id="75"/>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8.1询问、质疑和投诉</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8.1.1供应商对政府采购活动事项有疑问的，可以向采购人、采购代理机构提出询问。</w:t>
      </w:r>
    </w:p>
    <w:p>
      <w:pPr>
        <w:spacing w:after="0" w:line="400" w:lineRule="exact"/>
        <w:ind w:firstLine="440" w:firstLineChars="200"/>
        <w:rPr>
          <w:rFonts w:hint="eastAsia" w:ascii="宋体" w:hAnsi="宋体" w:eastAsia="宋体" w:cs="宋体"/>
          <w:bCs/>
          <w:color w:val="auto"/>
        </w:rPr>
      </w:pPr>
      <w:r>
        <w:rPr>
          <w:rFonts w:hint="eastAsia" w:ascii="宋体" w:hAnsi="宋体" w:eastAsia="宋体" w:cs="宋体"/>
          <w:bCs/>
          <w:color w:val="auto"/>
        </w:rPr>
        <w:t>8.1.2供应商认为采购文件、采购过程或成交结果使自己的合法权益受到损害的，应当在知道或者应知其权益受到损害之日起七个工作日内，以书面形式向采购人、采购代理机构提出质疑。具体计算起算时间如下：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40" w:firstLineChars="200"/>
        <w:rPr>
          <w:rFonts w:hint="eastAsia" w:ascii="宋体" w:hAnsi="宋体" w:eastAsia="宋体" w:cs="宋体"/>
          <w:bCs/>
          <w:color w:val="auto"/>
        </w:rPr>
      </w:pPr>
      <w:r>
        <w:rPr>
          <w:rFonts w:hint="eastAsia" w:ascii="宋体" w:hAnsi="宋体" w:eastAsia="宋体" w:cs="宋体"/>
          <w:bCs/>
          <w:color w:val="auto"/>
        </w:rPr>
        <w:t>（一）对可以质疑的采购文件提出质疑的，为收到采购文件之日或者采购文件公告期限届满之日；</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（二）对采购过程提出质疑的，为各采购程序环节结束之日；</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（三）对成交结果提出质疑的，为成交结果公告期限届满之日。</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color w:val="auto"/>
          <w:szCs w:val="21"/>
        </w:rPr>
        <w:t>质疑函接收及联系方式详见供应商须知前附表。</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8.1.3供应商的质疑和投诉行为应当符合《政府采购质疑和投诉办法》（中华人民共和国财政部令第94号）规定。质疑、投诉应当采用书面形式，质疑函、投诉书应按财政部发布《政府采购供应商质疑函范本》、《政府采购供应商投诉书范本》编制，质疑书、投诉书均应明确阐述采购文件、采购过程、成交结果中使自己合法权益受到损害的实质性内容，提供相关事实、明确的请求、必要的证明材料，便于有关单位调查、答复和处理。</w:t>
      </w:r>
    </w:p>
    <w:p>
      <w:pPr>
        <w:tabs>
          <w:tab w:val="left" w:pos="540"/>
        </w:tabs>
        <w:spacing w:after="0" w:line="440" w:lineRule="exact"/>
        <w:ind w:firstLine="442" w:firstLineChars="201"/>
        <w:rPr>
          <w:rFonts w:hint="eastAsia" w:ascii="宋体" w:hAnsi="宋体" w:eastAsia="宋体" w:cs="宋体"/>
          <w:bCs/>
          <w:color w:val="auto"/>
        </w:rPr>
      </w:pPr>
      <w:r>
        <w:rPr>
          <w:rFonts w:hint="eastAsia" w:ascii="宋体" w:hAnsi="宋体" w:eastAsia="宋体" w:cs="宋体"/>
          <w:bCs/>
          <w:color w:val="auto"/>
        </w:rPr>
        <w:t>供应商提出质疑应当提交质疑函和必要的证明材料，针对同一采购程序环节的质疑必须在法定质疑期内一次性提出。</w:t>
      </w:r>
    </w:p>
    <w:p>
      <w:pPr>
        <w:tabs>
          <w:tab w:val="left" w:pos="540"/>
        </w:tabs>
        <w:spacing w:after="0" w:line="440" w:lineRule="exact"/>
        <w:ind w:firstLine="444" w:firstLineChars="201"/>
        <w:rPr>
          <w:rFonts w:hint="eastAsia" w:ascii="宋体" w:hAnsi="宋体" w:eastAsia="宋体" w:cs="宋体"/>
          <w:b/>
          <w:bCs/>
          <w:color w:val="auto"/>
        </w:rPr>
      </w:pPr>
      <w:r>
        <w:rPr>
          <w:rFonts w:hint="eastAsia" w:ascii="宋体" w:hAnsi="宋体" w:eastAsia="宋体" w:cs="宋体"/>
          <w:b/>
          <w:bCs/>
          <w:color w:val="auto"/>
        </w:rPr>
        <w:t>8.2 适用法律</w:t>
      </w:r>
    </w:p>
    <w:p>
      <w:pPr>
        <w:tabs>
          <w:tab w:val="left" w:pos="540"/>
        </w:tabs>
        <w:spacing w:after="0" w:line="440" w:lineRule="exact"/>
        <w:ind w:firstLine="442" w:firstLineChars="201"/>
        <w:rPr>
          <w:rFonts w:hint="eastAsia" w:ascii="宋体" w:hAnsi="宋体" w:eastAsia="宋体" w:cs="宋体"/>
          <w:bCs/>
          <w:color w:val="auto"/>
          <w:sz w:val="24"/>
          <w:szCs w:val="24"/>
        </w:rPr>
      </w:pPr>
      <w:r>
        <w:rPr>
          <w:rFonts w:hint="eastAsia" w:ascii="宋体" w:hAnsi="宋体" w:eastAsia="宋体" w:cs="宋体"/>
          <w:bCs/>
          <w:color w:val="auto"/>
        </w:rPr>
        <w:t>采购当事人的一切活动均适用于《中华人民共和国政府采购法》、《中华人民共和国政府采购法实施条例》、《</w:t>
      </w:r>
      <w:r>
        <w:rPr>
          <w:rFonts w:hint="eastAsia" w:ascii="宋体" w:hAnsi="宋体" w:eastAsia="宋体" w:cs="宋体"/>
          <w:color w:val="auto"/>
        </w:rPr>
        <w:t>政府采购竞争性磋商采购方式管理暂行办法</w:t>
      </w:r>
      <w:r>
        <w:rPr>
          <w:rFonts w:hint="eastAsia" w:ascii="宋体" w:hAnsi="宋体" w:eastAsia="宋体" w:cs="宋体"/>
          <w:bCs/>
          <w:color w:val="auto"/>
        </w:rPr>
        <w:t>》及相关规定。</w:t>
      </w:r>
    </w:p>
    <w:p>
      <w:pPr>
        <w:tabs>
          <w:tab w:val="left" w:pos="2835"/>
        </w:tabs>
        <w:spacing w:after="0" w:line="440" w:lineRule="exact"/>
        <w:ind w:firstLine="484" w:firstLineChars="201"/>
        <w:rPr>
          <w:rFonts w:hint="eastAsia" w:ascii="宋体" w:hAnsi="宋体" w:eastAsia="宋体" w:cs="宋体"/>
          <w:b/>
          <w:color w:val="auto"/>
          <w:sz w:val="24"/>
          <w:szCs w:val="24"/>
        </w:rPr>
      </w:pPr>
    </w:p>
    <w:p>
      <w:pPr>
        <w:pStyle w:val="4"/>
        <w:spacing w:line="380" w:lineRule="exact"/>
        <w:jc w:val="both"/>
        <w:rPr>
          <w:rFonts w:hint="eastAsia" w:ascii="宋体" w:hAnsi="宋体" w:eastAsia="宋体" w:cs="宋体"/>
          <w:color w:val="auto"/>
          <w:highlight w:val="yellow"/>
        </w:rPr>
      </w:pPr>
      <w:bookmarkStart w:id="76" w:name="_Toc246095462"/>
      <w:bookmarkStart w:id="77" w:name="_Toc246094918"/>
      <w:bookmarkStart w:id="78" w:name="_Toc246095524"/>
      <w:r>
        <w:rPr>
          <w:rFonts w:hint="eastAsia" w:ascii="宋体" w:hAnsi="宋体" w:eastAsia="宋体" w:cs="宋体"/>
          <w:color w:val="auto"/>
        </w:rPr>
        <w:br w:type="page"/>
      </w:r>
    </w:p>
    <w:p>
      <w:pPr>
        <w:pStyle w:val="4"/>
        <w:numPr>
          <w:ilvl w:val="0"/>
          <w:numId w:val="4"/>
        </w:numPr>
        <w:spacing w:line="380" w:lineRule="exact"/>
        <w:rPr>
          <w:rFonts w:hint="eastAsia" w:ascii="宋体" w:hAnsi="宋体" w:eastAsia="宋体" w:cs="宋体"/>
          <w:b/>
          <w:bCs/>
          <w:color w:val="auto"/>
          <w:highlight w:val="none"/>
        </w:rPr>
      </w:pPr>
      <w:bookmarkStart w:id="79" w:name="_Toc16781726"/>
      <w:r>
        <w:rPr>
          <w:rFonts w:hint="eastAsia" w:ascii="宋体" w:hAnsi="宋体" w:eastAsia="宋体" w:cs="宋体"/>
          <w:b/>
          <w:bCs/>
          <w:color w:val="auto"/>
          <w:highlight w:val="none"/>
        </w:rPr>
        <w:t xml:space="preserve"> </w:t>
      </w:r>
      <w:bookmarkEnd w:id="76"/>
      <w:bookmarkEnd w:id="77"/>
      <w:bookmarkEnd w:id="78"/>
      <w:r>
        <w:rPr>
          <w:rFonts w:hint="eastAsia" w:ascii="宋体" w:hAnsi="宋体" w:eastAsia="宋体" w:cs="宋体"/>
          <w:b/>
          <w:bCs/>
          <w:color w:val="auto"/>
          <w:highlight w:val="none"/>
        </w:rPr>
        <w:t>项目采购需求</w:t>
      </w:r>
      <w:bookmarkEnd w:id="79"/>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项目背景</w:t>
      </w:r>
    </w:p>
    <w:p>
      <w:pPr>
        <w:widowControl w:val="0"/>
        <w:adjustRightInd/>
        <w:snapToGrid/>
        <w:spacing w:after="0" w:line="440" w:lineRule="exact"/>
        <w:ind w:firstLine="420" w:firstLineChars="200"/>
        <w:rPr>
          <w:rFonts w:hint="eastAsia"/>
          <w:color w:val="auto"/>
        </w:rPr>
      </w:pPr>
      <w:r>
        <w:rPr>
          <w:rFonts w:hint="eastAsia" w:ascii="宋体" w:hAnsi="宋体" w:eastAsia="宋体" w:cs="宋体"/>
          <w:color w:val="auto"/>
          <w:sz w:val="21"/>
          <w:szCs w:val="21"/>
          <w:lang w:val="en-US" w:eastAsia="zh-CN"/>
        </w:rPr>
        <w:t>为深入贯彻落实习近平总书记关于实施乡村振兴战略指示精神，建设生态宜居乡村，改善农村群众生活环境，根据党中央办公厅、国务院办公厅《关于印发农村人居环境整治三年行动方案的通知》，</w:t>
      </w:r>
      <w:r>
        <w:rPr>
          <w:rFonts w:hint="eastAsia" w:ascii="宋体" w:hAnsi="宋体" w:eastAsia="宋体" w:cs="宋体"/>
          <w:color w:val="auto"/>
          <w:sz w:val="21"/>
          <w:szCs w:val="21"/>
        </w:rPr>
        <w:t>广西壮族自治区</w:t>
      </w:r>
      <w:r>
        <w:rPr>
          <w:rFonts w:hint="eastAsia" w:ascii="宋体" w:hAnsi="宋体" w:eastAsia="宋体" w:cs="宋体"/>
          <w:color w:val="auto"/>
          <w:sz w:val="21"/>
          <w:szCs w:val="21"/>
          <w:lang w:eastAsia="zh-CN"/>
        </w:rPr>
        <w:t>人民政府办公厅印发的</w:t>
      </w:r>
      <w:r>
        <w:rPr>
          <w:rFonts w:hint="eastAsia" w:ascii="宋体" w:hAnsi="宋体" w:eastAsia="宋体" w:cs="宋体"/>
          <w:color w:val="auto"/>
          <w:sz w:val="21"/>
          <w:szCs w:val="21"/>
        </w:rPr>
        <w:t>《广西壮族自治区农村人居环境整治三年行动实施方案（</w:t>
      </w:r>
      <w:r>
        <w:rPr>
          <w:rFonts w:hint="eastAsia" w:ascii="宋体" w:hAnsi="宋体" w:eastAsia="宋体" w:cs="宋体"/>
          <w:color w:val="auto"/>
          <w:sz w:val="21"/>
          <w:szCs w:val="21"/>
          <w:lang w:val="en-US"/>
        </w:rPr>
        <w:t>2018—2020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《广西水污染防治攻坚三年作战方案（2018—2020年）》</w:t>
      </w:r>
      <w:r>
        <w:rPr>
          <w:rFonts w:hint="eastAsia" w:ascii="宋体" w:hAnsi="宋体" w:eastAsia="宋体" w:cs="宋体"/>
          <w:color w:val="auto"/>
          <w:sz w:val="21"/>
          <w:szCs w:val="21"/>
          <w:lang w:val="en-US" w:eastAsia="zh-CN"/>
        </w:rPr>
        <w:t>等文件要求，按照统筹农村生活污水处理，统筹改水改厕一体推进的原则，以县（市、区）为单位编制县域农村生活污水治理专项规划。规划要与城镇总体规划、县域乡村建设规划以及农村环境综合整治规划等衔接，合理确定各农村生活污水处理设施及配套管网的的布局、规模；科学安排规划范围内农村生活污水处理设施及配套管网建设任务。</w:t>
      </w:r>
    </w:p>
    <w:p>
      <w:pPr>
        <w:spacing w:after="0" w:line="520" w:lineRule="exact"/>
        <w:rPr>
          <w:color w:val="auto"/>
        </w:rPr>
      </w:pPr>
      <w:r>
        <w:rPr>
          <w:rFonts w:hint="eastAsia"/>
          <w:b/>
          <w:bCs/>
          <w:color w:val="auto"/>
          <w:lang w:eastAsia="zh-CN"/>
        </w:rPr>
        <w:t>二</w:t>
      </w:r>
      <w:r>
        <w:rPr>
          <w:rFonts w:hint="eastAsia"/>
          <w:b/>
          <w:bCs/>
          <w:color w:val="auto"/>
        </w:rPr>
        <w:t>、</w:t>
      </w:r>
      <w:r>
        <w:rPr>
          <w:b/>
          <w:bCs/>
          <w:color w:val="auto"/>
        </w:rPr>
        <w:t>项目</w:t>
      </w:r>
      <w:r>
        <w:rPr>
          <w:rFonts w:hint="eastAsia"/>
          <w:b/>
          <w:bCs/>
          <w:color w:val="auto"/>
        </w:rPr>
        <w:t>概况</w:t>
      </w:r>
    </w:p>
    <w:p>
      <w:pPr>
        <w:spacing w:after="0" w:line="440" w:lineRule="atLeast"/>
        <w:ind w:firstLine="440" w:firstLineChars="200"/>
        <w:rPr>
          <w:rFonts w:ascii="宋体" w:hAnsi="宋体" w:eastAsia="宋体" w:cs="宋体"/>
          <w:bCs/>
          <w:color w:val="auto"/>
          <w:szCs w:val="21"/>
        </w:rPr>
      </w:pPr>
      <w:r>
        <w:rPr>
          <w:rFonts w:hint="eastAsia" w:ascii="宋体" w:hAnsi="宋体" w:eastAsia="宋体" w:cs="宋体"/>
          <w:bCs/>
          <w:color w:val="auto"/>
          <w:szCs w:val="21"/>
        </w:rPr>
        <w:t>1、项目名称：</w:t>
      </w:r>
      <w:r>
        <w:rPr>
          <w:rFonts w:hint="eastAsia" w:ascii="宋体" w:hAnsi="宋体" w:eastAsia="宋体" w:cs="宋体"/>
          <w:bCs/>
          <w:color w:val="auto"/>
          <w:szCs w:val="21"/>
          <w:lang w:eastAsia="zh-CN"/>
        </w:rPr>
        <w:t>凤山县域农村生活污水治理规划编制服务采购</w:t>
      </w:r>
    </w:p>
    <w:p>
      <w:pPr>
        <w:spacing w:after="0" w:line="440" w:lineRule="atLeast"/>
        <w:ind w:firstLine="440" w:firstLineChars="200"/>
        <w:rPr>
          <w:rFonts w:hint="eastAsia" w:ascii="宋体" w:hAnsi="宋体" w:eastAsia="宋体" w:cs="宋体"/>
          <w:bCs/>
          <w:color w:val="auto"/>
          <w:szCs w:val="21"/>
        </w:rPr>
      </w:pPr>
      <w:r>
        <w:rPr>
          <w:rFonts w:hint="eastAsia" w:ascii="宋体" w:hAnsi="宋体" w:eastAsia="宋体" w:cs="宋体"/>
          <w:bCs/>
          <w:color w:val="auto"/>
          <w:szCs w:val="21"/>
        </w:rPr>
        <w:t>2、项目地点：河池市凤山县</w:t>
      </w:r>
    </w:p>
    <w:p>
      <w:pPr>
        <w:spacing w:after="0" w:line="440" w:lineRule="atLeast"/>
        <w:ind w:firstLine="440" w:firstLineChars="200"/>
        <w:rPr>
          <w:rFonts w:hint="eastAsia" w:ascii="宋体" w:hAnsi="宋体" w:eastAsia="宋体" w:cs="宋体"/>
          <w:bCs/>
          <w:color w:val="auto"/>
          <w:szCs w:val="21"/>
        </w:rPr>
      </w:pPr>
      <w:r>
        <w:rPr>
          <w:rFonts w:hint="eastAsia" w:ascii="宋体" w:hAnsi="宋体" w:eastAsia="宋体" w:cs="宋体"/>
          <w:bCs/>
          <w:color w:val="auto"/>
          <w:szCs w:val="21"/>
        </w:rPr>
        <w:t>3、采购单位：</w:t>
      </w:r>
      <w:r>
        <w:rPr>
          <w:rFonts w:hint="eastAsia" w:ascii="宋体" w:hAnsi="宋体" w:eastAsia="宋体" w:cs="宋体"/>
          <w:bCs/>
          <w:color w:val="auto"/>
          <w:szCs w:val="21"/>
          <w:lang w:eastAsia="zh-CN"/>
        </w:rPr>
        <w:t>河池市凤山生态环境局</w:t>
      </w:r>
    </w:p>
    <w:p>
      <w:pPr>
        <w:spacing w:after="0" w:line="440" w:lineRule="atLeast"/>
        <w:ind w:firstLine="440" w:firstLineChars="200"/>
        <w:rPr>
          <w:rFonts w:hint="eastAsia" w:ascii="宋体" w:hAnsi="宋体" w:eastAsia="宋体" w:cs="宋体"/>
          <w:bCs/>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eastAsia="zh-CN"/>
        </w:rPr>
        <w:t>服务内容</w:t>
      </w:r>
      <w:r>
        <w:rPr>
          <w:rFonts w:hint="eastAsia" w:ascii="宋体" w:hAnsi="宋体" w:eastAsia="宋体" w:cs="宋体"/>
          <w:bCs/>
          <w:color w:val="auto"/>
          <w:szCs w:val="21"/>
        </w:rPr>
        <w:t>：</w:t>
      </w:r>
      <w:r>
        <w:rPr>
          <w:rFonts w:hint="eastAsia" w:ascii="宋体" w:hAnsi="宋体" w:eastAsia="宋体" w:cs="宋体"/>
          <w:bCs/>
          <w:color w:val="auto"/>
          <w:szCs w:val="21"/>
          <w:lang w:eastAsia="zh-CN"/>
        </w:rPr>
        <w:t>完成</w:t>
      </w:r>
      <w:r>
        <w:rPr>
          <w:rFonts w:hint="eastAsia" w:ascii="宋体" w:hAnsi="宋体" w:eastAsia="宋体" w:cs="宋体"/>
          <w:bCs/>
          <w:color w:val="auto"/>
          <w:szCs w:val="21"/>
        </w:rPr>
        <w:t>对河池市凤山县全县农村生活污水治理的情况进行资料收集、现场踏勘，并组织人员编制《凤山县县域农村生活污水治理专项规划》，</w:t>
      </w:r>
      <w:r>
        <w:rPr>
          <w:rFonts w:hint="eastAsia" w:ascii="宋体" w:hAnsi="宋体" w:eastAsia="宋体" w:cs="宋体"/>
          <w:bCs/>
          <w:color w:val="auto"/>
          <w:szCs w:val="21"/>
          <w:lang w:val="en-US" w:eastAsia="zh-CN"/>
        </w:rPr>
        <w:t>通过采购人确认，</w:t>
      </w:r>
      <w:r>
        <w:rPr>
          <w:rFonts w:hint="eastAsia" w:ascii="宋体" w:hAnsi="宋体" w:eastAsia="宋体" w:cs="宋体"/>
          <w:bCs/>
          <w:color w:val="auto"/>
          <w:szCs w:val="21"/>
        </w:rPr>
        <w:t>并通过专家评审。</w:t>
      </w:r>
    </w:p>
    <w:p>
      <w:pPr>
        <w:spacing w:after="0" w:line="440" w:lineRule="atLeast"/>
        <w:ind w:firstLine="440" w:firstLineChars="200"/>
        <w:rPr>
          <w:rFonts w:hint="eastAsia" w:ascii="宋体" w:hAnsi="宋体" w:eastAsia="宋体" w:cs="宋体"/>
          <w:bCs/>
          <w:color w:val="auto"/>
          <w:sz w:val="22"/>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w:t>
      </w:r>
      <w:r>
        <w:rPr>
          <w:rFonts w:hint="eastAsia" w:ascii="宋体" w:hAnsi="宋体" w:eastAsia="宋体" w:cs="宋体"/>
          <w:bCs/>
          <w:color w:val="auto"/>
          <w:szCs w:val="21"/>
          <w:lang w:eastAsia="zh-CN"/>
        </w:rPr>
        <w:t>规划范围</w:t>
      </w:r>
      <w:r>
        <w:rPr>
          <w:rFonts w:hint="eastAsia" w:ascii="宋体" w:hAnsi="宋体" w:eastAsia="宋体" w:cs="宋体"/>
          <w:bCs/>
          <w:color w:val="auto"/>
          <w:szCs w:val="21"/>
        </w:rPr>
        <w:t>：</w:t>
      </w:r>
      <w:r>
        <w:rPr>
          <w:rFonts w:hint="eastAsia" w:ascii="宋体" w:hAnsi="宋体" w:eastAsia="宋体" w:cs="宋体"/>
          <w:bCs/>
          <w:color w:val="auto"/>
          <w:sz w:val="22"/>
          <w:szCs w:val="21"/>
        </w:rPr>
        <w:t>规划范围为凤山县全县范围，包括辖9个乡镇的95个行政村（涉及到屯）。</w:t>
      </w:r>
    </w:p>
    <w:p>
      <w:pPr>
        <w:spacing w:after="0" w:line="440" w:lineRule="atLeast"/>
        <w:ind w:firstLine="440" w:firstLineChars="200"/>
        <w:rPr>
          <w:rFonts w:hint="eastAsia" w:ascii="宋体" w:hAnsi="宋体" w:eastAsia="宋体" w:cs="宋体"/>
          <w:bCs/>
          <w:color w:val="auto"/>
          <w:sz w:val="22"/>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w:t>
      </w:r>
      <w:r>
        <w:rPr>
          <w:rFonts w:hint="eastAsia" w:ascii="宋体" w:hAnsi="宋体" w:eastAsia="宋体" w:cs="宋体"/>
          <w:bCs/>
          <w:color w:val="auto"/>
          <w:szCs w:val="21"/>
          <w:lang w:eastAsia="zh-CN"/>
        </w:rPr>
        <w:t>规划</w:t>
      </w:r>
      <w:r>
        <w:rPr>
          <w:rFonts w:hint="eastAsia" w:ascii="宋体" w:hAnsi="宋体" w:eastAsia="宋体" w:cs="宋体"/>
          <w:bCs/>
          <w:color w:val="auto"/>
          <w:sz w:val="22"/>
          <w:szCs w:val="21"/>
        </w:rPr>
        <w:t>基准年：20</w:t>
      </w:r>
      <w:r>
        <w:rPr>
          <w:rFonts w:hint="eastAsia" w:ascii="宋体" w:hAnsi="宋体" w:eastAsia="宋体" w:cs="宋体"/>
          <w:bCs/>
          <w:color w:val="auto"/>
          <w:sz w:val="22"/>
          <w:szCs w:val="21"/>
          <w:lang w:val="en-US"/>
        </w:rPr>
        <w:t>20</w:t>
      </w:r>
      <w:r>
        <w:rPr>
          <w:rFonts w:hint="eastAsia" w:ascii="宋体" w:hAnsi="宋体" w:eastAsia="宋体" w:cs="宋体"/>
          <w:bCs/>
          <w:color w:val="auto"/>
          <w:sz w:val="22"/>
          <w:szCs w:val="21"/>
        </w:rPr>
        <w:t>年，近期为202</w:t>
      </w:r>
      <w:r>
        <w:rPr>
          <w:rFonts w:hint="eastAsia" w:ascii="宋体" w:hAnsi="宋体" w:eastAsia="宋体" w:cs="宋体"/>
          <w:bCs/>
          <w:color w:val="auto"/>
          <w:sz w:val="22"/>
          <w:szCs w:val="21"/>
          <w:lang w:val="en-US"/>
        </w:rPr>
        <w:t>1</w:t>
      </w:r>
      <w:r>
        <w:rPr>
          <w:rFonts w:hint="eastAsia" w:ascii="宋体" w:hAnsi="宋体" w:eastAsia="宋体" w:cs="宋体"/>
          <w:bCs/>
          <w:color w:val="auto"/>
          <w:sz w:val="22"/>
          <w:szCs w:val="21"/>
        </w:rPr>
        <w:t>—2025年，远期为202</w:t>
      </w:r>
      <w:r>
        <w:rPr>
          <w:rFonts w:hint="eastAsia" w:ascii="宋体" w:hAnsi="宋体" w:eastAsia="宋体" w:cs="宋体"/>
          <w:bCs/>
          <w:color w:val="auto"/>
          <w:sz w:val="22"/>
          <w:szCs w:val="21"/>
          <w:lang w:val="en-US"/>
        </w:rPr>
        <w:t>6</w:t>
      </w:r>
      <w:r>
        <w:rPr>
          <w:rFonts w:hint="eastAsia" w:ascii="宋体" w:hAnsi="宋体" w:eastAsia="宋体" w:cs="宋体"/>
          <w:bCs/>
          <w:color w:val="auto"/>
          <w:sz w:val="22"/>
          <w:szCs w:val="21"/>
        </w:rPr>
        <w:t>—2035年。</w:t>
      </w:r>
    </w:p>
    <w:p>
      <w:pPr>
        <w:pStyle w:val="39"/>
        <w:spacing w:before="0" w:beforeAutospacing="0" w:after="0" w:afterAutospacing="0" w:line="520" w:lineRule="exact"/>
        <w:rPr>
          <w:b/>
          <w:color w:val="auto"/>
          <w:sz w:val="21"/>
          <w:szCs w:val="21"/>
        </w:rPr>
      </w:pPr>
      <w:r>
        <w:rPr>
          <w:rFonts w:hint="eastAsia"/>
          <w:b/>
          <w:color w:val="auto"/>
          <w:sz w:val="21"/>
          <w:szCs w:val="21"/>
          <w:lang w:eastAsia="zh-CN"/>
        </w:rPr>
        <w:t>三</w:t>
      </w:r>
      <w:r>
        <w:rPr>
          <w:rFonts w:hint="eastAsia"/>
          <w:b/>
          <w:color w:val="auto"/>
          <w:sz w:val="21"/>
          <w:szCs w:val="21"/>
        </w:rPr>
        <w:t>、</w:t>
      </w:r>
      <w:r>
        <w:rPr>
          <w:rFonts w:hint="eastAsia" w:ascii="宋体" w:hAnsi="宋体" w:eastAsia="宋体" w:cs="宋体"/>
          <w:b/>
          <w:bCs/>
          <w:color w:val="auto"/>
          <w:sz w:val="21"/>
          <w:szCs w:val="21"/>
          <w:lang w:val="en-US" w:eastAsia="zh-CN"/>
        </w:rPr>
        <w:t>服务内容及成果要求</w:t>
      </w:r>
    </w:p>
    <w:p>
      <w:pPr>
        <w:keepNext w:val="0"/>
        <w:keepLines w:val="0"/>
        <w:pageBreakBefore w:val="0"/>
        <w:widowControl w:val="0"/>
        <w:kinsoku/>
        <w:wordWrap/>
        <w:overflowPunct/>
        <w:topLinePunct w:val="0"/>
        <w:autoSpaceDE/>
        <w:autoSpaceDN/>
        <w:bidi w:val="0"/>
        <w:adjustRightInd/>
        <w:snapToGrid/>
        <w:spacing w:before="313" w:beforeLines="100"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（一）成果内容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1、收集各乡镇村屯相关基础资料（规划、水文等）；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2、编制前实地考察各自然村，对各自然村摸底调查（排水现状、收集设施、处理设施等）并进行现状评估；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3、对调查成果进行规划编制成文本，包含说明、文本、图纸等； </w:t>
      </w:r>
    </w:p>
    <w:p>
      <w:pPr>
        <w:pStyle w:val="39"/>
        <w:numPr>
          <w:ilvl w:val="-1"/>
          <w:numId w:val="0"/>
        </w:numPr>
        <w:spacing w:before="0" w:beforeAutospacing="0" w:after="313" w:afterLines="100" w:afterAutospacing="0"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4、组织专家对规划进行评审。</w:t>
      </w:r>
    </w:p>
    <w:p>
      <w:pPr>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（二）合同履行期限：合同生效之日起40个工作日内完成凤山县域农村生活污水治理规划编制及评审验收；</w:t>
      </w:r>
    </w:p>
    <w:p>
      <w:pPr>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（三）成果数量及质量要求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1、规划成果册：A4 版面</w:t>
      </w:r>
      <w:r>
        <w:rPr>
          <w:rFonts w:hint="eastAsia" w:ascii="宋体" w:hAnsi="宋体" w:eastAsia="宋体" w:cs="宋体"/>
          <w:color w:val="auto"/>
          <w:sz w:val="21"/>
          <w:szCs w:val="21"/>
          <w:u w:val="single"/>
          <w:lang w:val="en-US" w:eastAsia="zh-CN"/>
        </w:rPr>
        <w:t xml:space="preserve"> 5 </w:t>
      </w:r>
      <w:r>
        <w:rPr>
          <w:rFonts w:hint="eastAsia" w:ascii="宋体" w:hAnsi="宋体" w:eastAsia="宋体" w:cs="宋体"/>
          <w:color w:val="auto"/>
          <w:sz w:val="21"/>
          <w:szCs w:val="21"/>
          <w:lang w:val="en-US" w:eastAsia="zh-CN"/>
        </w:rPr>
        <w:t xml:space="preserve">套（不含评审报批数量）；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2、电子光盘：包括以上内容的光盘</w:t>
      </w:r>
      <w:r>
        <w:rPr>
          <w:rFonts w:hint="eastAsia" w:ascii="宋体" w:hAnsi="宋体" w:eastAsia="宋体" w:cs="宋体"/>
          <w:color w:val="auto"/>
          <w:sz w:val="21"/>
          <w:szCs w:val="21"/>
          <w:u w:val="single"/>
          <w:lang w:val="en-US" w:eastAsia="zh-CN"/>
        </w:rPr>
        <w:t xml:space="preserve"> 2 </w:t>
      </w:r>
      <w:r>
        <w:rPr>
          <w:rFonts w:hint="eastAsia" w:ascii="宋体" w:hAnsi="宋体" w:eastAsia="宋体" w:cs="宋体"/>
          <w:color w:val="auto"/>
          <w:sz w:val="21"/>
          <w:szCs w:val="21"/>
          <w:lang w:val="en-US" w:eastAsia="zh-CN"/>
        </w:rPr>
        <w:t>套</w:t>
      </w:r>
      <w:r>
        <w:rPr>
          <w:rFonts w:hint="eastAsia" w:ascii="宋体" w:hAnsi="宋体" w:eastAsia="宋体" w:cs="宋体"/>
          <w:color w:val="auto"/>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3、质量要求：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（1）成果表达简明易懂：规划成果应尽可能简化、明晰，要看得懂、好监督；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（2）成果内容各有侧重:对不同类型的农村污水治理编制规划侧重点不同； </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（3）成果形式分类要求：根据农村污水治理建设发展需求进行成果分类，对成果应进行校验和检查，确保文字、图件、数据、表格的一致性； </w:t>
      </w:r>
    </w:p>
    <w:p>
      <w:pPr>
        <w:pStyle w:val="2"/>
        <w:spacing w:after="0" w:line="440" w:lineRule="exact"/>
        <w:ind w:left="0" w:leftChars="0" w:firstLine="420" w:firstLineChars="200"/>
        <w:rPr>
          <w:color w:val="auto"/>
        </w:rPr>
      </w:pPr>
      <w:r>
        <w:rPr>
          <w:rFonts w:hint="eastAsia" w:ascii="宋体" w:hAnsi="宋体" w:eastAsia="宋体" w:cs="宋体"/>
          <w:color w:val="auto"/>
          <w:sz w:val="21"/>
          <w:szCs w:val="21"/>
          <w:lang w:val="en-US" w:eastAsia="zh-CN"/>
        </w:rPr>
        <w:t>（4）通过专家评审和主管部门的审查验收。</w:t>
      </w:r>
    </w:p>
    <w:p>
      <w:pPr>
        <w:pStyle w:val="18"/>
        <w:kinsoku w:val="0"/>
        <w:overflowPunct w:val="0"/>
        <w:spacing w:before="2" w:line="360" w:lineRule="auto"/>
        <w:ind w:right="213" w:firstLine="420"/>
        <w:jc w:val="both"/>
        <w:rPr>
          <w:rFonts w:hint="eastAsia"/>
          <w:color w:val="auto"/>
          <w:spacing w:val="-2"/>
          <w:w w:val="95"/>
          <w:sz w:val="21"/>
          <w:highlight w:val="none"/>
        </w:rPr>
      </w:pPr>
    </w:p>
    <w:p>
      <w:pPr>
        <w:pStyle w:val="23"/>
        <w:spacing w:line="440" w:lineRule="exact"/>
        <w:ind w:firstLine="440" w:firstLineChars="200"/>
        <w:rPr>
          <w:rFonts w:hint="eastAsia" w:hAnsi="宋体" w:cs="宋体"/>
          <w:color w:val="auto"/>
          <w:sz w:val="22"/>
          <w:highlight w:val="none"/>
        </w:rPr>
      </w:pPr>
    </w:p>
    <w:p>
      <w:pPr>
        <w:rPr>
          <w:rFonts w:hint="eastAsia"/>
          <w:color w:val="auto"/>
        </w:rPr>
      </w:pPr>
    </w:p>
    <w:p>
      <w:pPr>
        <w:rPr>
          <w:rFonts w:hint="eastAsia"/>
          <w:color w:val="auto"/>
        </w:rPr>
      </w:pPr>
    </w:p>
    <w:p>
      <w:pPr>
        <w:spacing w:after="0" w:line="420" w:lineRule="exact"/>
        <w:rPr>
          <w:rFonts w:hint="eastAsia" w:ascii="宋体" w:hAnsi="宋体" w:eastAsia="宋体" w:cs="宋体"/>
          <w:color w:val="auto"/>
          <w:sz w:val="24"/>
          <w:szCs w:val="24"/>
        </w:rPr>
      </w:pPr>
    </w:p>
    <w:p>
      <w:pPr>
        <w:pStyle w:val="18"/>
        <w:jc w:val="left"/>
        <w:rPr>
          <w:rFonts w:hint="eastAsia"/>
          <w:color w:val="auto"/>
          <w:sz w:val="24"/>
        </w:rPr>
      </w:pPr>
    </w:p>
    <w:p>
      <w:pPr>
        <w:pStyle w:val="4"/>
        <w:ind w:firstLine="720" w:firstLineChars="200"/>
        <w:rPr>
          <w:rFonts w:hint="eastAsia" w:ascii="宋体" w:hAnsi="宋体" w:eastAsia="宋体" w:cs="宋体"/>
          <w:color w:val="auto"/>
        </w:rPr>
      </w:pPr>
      <w:r>
        <w:rPr>
          <w:rFonts w:hint="eastAsia" w:ascii="宋体" w:hAnsi="宋体" w:eastAsia="宋体" w:cs="宋体"/>
          <w:color w:val="auto"/>
        </w:rPr>
        <w:br w:type="page"/>
      </w:r>
    </w:p>
    <w:p>
      <w:pPr>
        <w:pStyle w:val="23"/>
        <w:spacing w:line="400" w:lineRule="exact"/>
        <w:ind w:firstLine="2515" w:firstLineChars="696"/>
        <w:rPr>
          <w:rFonts w:hint="eastAsia" w:hAnsi="宋体" w:cs="宋体"/>
          <w:b/>
          <w:bCs/>
          <w:color w:val="auto"/>
          <w:sz w:val="36"/>
          <w:szCs w:val="36"/>
        </w:rPr>
      </w:pPr>
      <w:bookmarkStart w:id="80" w:name="_Toc16781727"/>
      <w:r>
        <w:rPr>
          <w:rFonts w:hint="eastAsia" w:hAnsi="宋体" w:cs="宋体"/>
          <w:b/>
          <w:bCs/>
          <w:color w:val="auto"/>
          <w:sz w:val="36"/>
          <w:szCs w:val="36"/>
        </w:rPr>
        <w:t>第四章</w:t>
      </w:r>
      <w:r>
        <w:rPr>
          <w:rFonts w:hint="eastAsia" w:hAnsi="宋体" w:cs="宋体"/>
          <w:b/>
          <w:bCs/>
          <w:color w:val="auto"/>
          <w:sz w:val="36"/>
          <w:szCs w:val="36"/>
          <w:lang w:val="en-US" w:eastAsia="zh-CN"/>
        </w:rPr>
        <w:t xml:space="preserve">   </w:t>
      </w:r>
      <w:r>
        <w:rPr>
          <w:rFonts w:hint="eastAsia" w:hAnsi="宋体" w:cs="宋体"/>
          <w:b/>
          <w:bCs/>
          <w:color w:val="auto"/>
          <w:sz w:val="36"/>
          <w:szCs w:val="36"/>
        </w:rPr>
        <w:t>评审方法及评审标准</w:t>
      </w:r>
      <w:bookmarkEnd w:id="80"/>
    </w:p>
    <w:p>
      <w:pPr>
        <w:pStyle w:val="4"/>
        <w:ind w:left="720"/>
        <w:rPr>
          <w:rFonts w:hint="eastAsia" w:hAnsi="宋体" w:cs="宋体"/>
          <w:color w:val="auto"/>
          <w:sz w:val="24"/>
          <w:szCs w:val="22"/>
        </w:rPr>
      </w:pPr>
    </w:p>
    <w:p>
      <w:pPr>
        <w:pStyle w:val="23"/>
        <w:spacing w:line="400" w:lineRule="exact"/>
        <w:ind w:firstLine="472" w:firstLineChars="196"/>
        <w:rPr>
          <w:rFonts w:hint="eastAsia" w:hAnsi="宋体" w:cs="宋体"/>
          <w:b/>
          <w:bCs/>
          <w:color w:val="auto"/>
          <w:sz w:val="24"/>
          <w:szCs w:val="24"/>
        </w:rPr>
      </w:pPr>
    </w:p>
    <w:p>
      <w:pPr>
        <w:pStyle w:val="23"/>
        <w:numPr>
          <w:ilvl w:val="0"/>
          <w:numId w:val="5"/>
        </w:numPr>
        <w:spacing w:line="400" w:lineRule="exact"/>
        <w:ind w:firstLine="433" w:firstLineChars="196"/>
        <w:rPr>
          <w:rFonts w:hint="eastAsia" w:hAnsi="宋体" w:cs="宋体"/>
          <w:b/>
          <w:bCs/>
          <w:color w:val="auto"/>
          <w:sz w:val="22"/>
          <w:szCs w:val="22"/>
        </w:rPr>
      </w:pPr>
      <w:r>
        <w:rPr>
          <w:rFonts w:hint="eastAsia" w:hAnsi="宋体" w:cs="宋体"/>
          <w:b/>
          <w:bCs/>
          <w:color w:val="auto"/>
          <w:sz w:val="22"/>
          <w:szCs w:val="22"/>
        </w:rPr>
        <w:t>评审原则</w:t>
      </w:r>
    </w:p>
    <w:p>
      <w:pPr>
        <w:pStyle w:val="23"/>
        <w:spacing w:line="440" w:lineRule="exact"/>
        <w:ind w:firstLine="440" w:firstLineChars="200"/>
        <w:rPr>
          <w:rFonts w:hint="eastAsia" w:hAnsi="宋体" w:cs="宋体"/>
          <w:color w:val="auto"/>
          <w:sz w:val="22"/>
        </w:rPr>
      </w:pPr>
      <w:r>
        <w:rPr>
          <w:rFonts w:hint="eastAsia" w:hAnsi="宋体" w:cs="宋体"/>
          <w:color w:val="auto"/>
          <w:sz w:val="22"/>
        </w:rPr>
        <w:t>(一）磋商小组成员构成：人数为3人</w:t>
      </w:r>
      <w:r>
        <w:rPr>
          <w:rFonts w:hint="eastAsia" w:hAnsi="宋体" w:cs="宋体"/>
          <w:color w:val="auto"/>
          <w:sz w:val="22"/>
          <w:lang w:eastAsia="zh-CN"/>
        </w:rPr>
        <w:t>。</w:t>
      </w:r>
      <w:r>
        <w:rPr>
          <w:rFonts w:hint="eastAsia" w:hAnsi="宋体" w:cs="宋体"/>
          <w:color w:val="auto"/>
          <w:sz w:val="22"/>
        </w:rPr>
        <w:t xml:space="preserve"> </w:t>
      </w:r>
    </w:p>
    <w:p>
      <w:pPr>
        <w:pStyle w:val="23"/>
        <w:spacing w:line="440" w:lineRule="exact"/>
        <w:ind w:firstLine="440" w:firstLineChars="200"/>
        <w:rPr>
          <w:rFonts w:hint="eastAsia" w:hAnsi="宋体" w:cs="宋体"/>
          <w:color w:val="auto"/>
          <w:sz w:val="22"/>
        </w:rPr>
      </w:pPr>
      <w:r>
        <w:rPr>
          <w:rFonts w:hint="eastAsia" w:hAnsi="宋体" w:cs="宋体"/>
          <w:color w:val="auto"/>
          <w:sz w:val="22"/>
        </w:rPr>
        <w:t>(二）评审依据：磋商小组将以竞争性磋商文件、补充修改文件作为评定依据进行评审，对供应商的响应文件、磋商修正文件等内容按百分制打分。</w:t>
      </w:r>
    </w:p>
    <w:p>
      <w:pPr>
        <w:pStyle w:val="23"/>
        <w:spacing w:line="440" w:lineRule="exact"/>
        <w:ind w:firstLine="440" w:firstLineChars="200"/>
        <w:rPr>
          <w:rFonts w:hint="eastAsia" w:hAnsi="宋体" w:cs="宋体"/>
          <w:color w:val="auto"/>
          <w:sz w:val="22"/>
        </w:rPr>
      </w:pPr>
      <w:r>
        <w:rPr>
          <w:rFonts w:hint="eastAsia" w:hAnsi="宋体" w:cs="宋体"/>
          <w:color w:val="auto"/>
          <w:sz w:val="22"/>
        </w:rPr>
        <w:t>(三）评审方法：本项目采用综合评分法进行评审。综合评分法，是指响应文件满足磋商文件全部实质性要求且按照评审因素的量化指标评审得分最高的供应商为成交候选供应商的评审方法。</w:t>
      </w:r>
    </w:p>
    <w:p>
      <w:pPr>
        <w:pStyle w:val="23"/>
        <w:spacing w:line="440" w:lineRule="exact"/>
        <w:ind w:firstLine="440" w:firstLineChars="200"/>
        <w:rPr>
          <w:rFonts w:hint="eastAsia" w:hAnsi="宋体" w:cs="宋体"/>
          <w:color w:val="auto"/>
          <w:sz w:val="22"/>
        </w:rPr>
      </w:pPr>
      <w:r>
        <w:rPr>
          <w:rFonts w:hint="eastAsia" w:hAnsi="宋体" w:cs="宋体"/>
          <w:color w:val="auto"/>
          <w:sz w:val="22"/>
        </w:rPr>
        <w:t>（四）评审程序</w:t>
      </w:r>
    </w:p>
    <w:p>
      <w:pPr>
        <w:pStyle w:val="23"/>
        <w:spacing w:line="440" w:lineRule="exact"/>
        <w:ind w:firstLine="440" w:firstLineChars="200"/>
        <w:rPr>
          <w:rFonts w:hint="eastAsia" w:hAnsi="宋体" w:cs="宋体"/>
          <w:color w:val="auto"/>
          <w:sz w:val="22"/>
          <w:szCs w:val="20"/>
        </w:rPr>
      </w:pPr>
      <w:r>
        <w:rPr>
          <w:rFonts w:hint="eastAsia" w:hAnsi="宋体" w:cs="宋体"/>
          <w:color w:val="auto"/>
          <w:sz w:val="22"/>
          <w:szCs w:val="20"/>
        </w:rPr>
        <w:t>1、初步评审（包括资格性审查和符合性审查）；</w:t>
      </w:r>
    </w:p>
    <w:p>
      <w:pPr>
        <w:pStyle w:val="23"/>
        <w:spacing w:line="440" w:lineRule="exact"/>
        <w:ind w:firstLine="440" w:firstLineChars="200"/>
        <w:rPr>
          <w:rFonts w:hint="eastAsia" w:hAnsi="宋体" w:cs="宋体"/>
          <w:color w:val="auto"/>
          <w:sz w:val="22"/>
          <w:szCs w:val="20"/>
        </w:rPr>
      </w:pPr>
      <w:r>
        <w:rPr>
          <w:rFonts w:hint="eastAsia" w:hAnsi="宋体" w:cs="宋体"/>
          <w:color w:val="auto"/>
          <w:sz w:val="22"/>
          <w:szCs w:val="20"/>
        </w:rPr>
        <w:t>2、磋商；</w:t>
      </w:r>
    </w:p>
    <w:p>
      <w:pPr>
        <w:pStyle w:val="23"/>
        <w:spacing w:line="440" w:lineRule="exact"/>
        <w:ind w:firstLine="440" w:firstLineChars="200"/>
        <w:rPr>
          <w:rFonts w:hint="eastAsia" w:hAnsi="宋体" w:cs="宋体"/>
          <w:color w:val="auto"/>
          <w:sz w:val="22"/>
          <w:szCs w:val="20"/>
        </w:rPr>
      </w:pPr>
      <w:r>
        <w:rPr>
          <w:rFonts w:hint="eastAsia" w:hAnsi="宋体" w:cs="宋体"/>
          <w:color w:val="auto"/>
          <w:sz w:val="22"/>
          <w:szCs w:val="20"/>
        </w:rPr>
        <w:t>3、重新提交响应文件（如磋商文件有实质性变动或磋商后确定最终设计解决方案）；</w:t>
      </w:r>
    </w:p>
    <w:p>
      <w:pPr>
        <w:pStyle w:val="23"/>
        <w:spacing w:line="440" w:lineRule="exact"/>
        <w:ind w:firstLine="440" w:firstLineChars="200"/>
        <w:rPr>
          <w:rFonts w:hint="eastAsia" w:hAnsi="宋体" w:cs="宋体"/>
          <w:color w:val="auto"/>
          <w:sz w:val="22"/>
          <w:szCs w:val="20"/>
        </w:rPr>
      </w:pPr>
      <w:r>
        <w:rPr>
          <w:rFonts w:hint="eastAsia" w:hAnsi="宋体" w:cs="宋体"/>
          <w:color w:val="auto"/>
          <w:sz w:val="22"/>
          <w:szCs w:val="20"/>
        </w:rPr>
        <w:t>4、最后报价；</w:t>
      </w:r>
    </w:p>
    <w:p>
      <w:pPr>
        <w:pStyle w:val="23"/>
        <w:spacing w:line="440" w:lineRule="exact"/>
        <w:ind w:firstLine="440" w:firstLineChars="200"/>
        <w:rPr>
          <w:rFonts w:hint="eastAsia" w:hAnsi="宋体" w:cs="宋体"/>
          <w:color w:val="auto"/>
          <w:sz w:val="22"/>
          <w:szCs w:val="20"/>
        </w:rPr>
      </w:pPr>
      <w:r>
        <w:rPr>
          <w:rFonts w:hint="eastAsia" w:hAnsi="宋体" w:cs="宋体"/>
          <w:color w:val="auto"/>
          <w:sz w:val="22"/>
          <w:szCs w:val="20"/>
        </w:rPr>
        <w:t>5、详细评审；</w:t>
      </w:r>
    </w:p>
    <w:p>
      <w:pPr>
        <w:pStyle w:val="23"/>
        <w:spacing w:line="440" w:lineRule="exact"/>
        <w:ind w:firstLine="440" w:firstLineChars="200"/>
        <w:rPr>
          <w:rFonts w:hint="eastAsia" w:hAnsi="宋体" w:cs="宋体"/>
          <w:color w:val="auto"/>
          <w:sz w:val="22"/>
        </w:rPr>
      </w:pPr>
      <w:r>
        <w:rPr>
          <w:rFonts w:hint="eastAsia" w:hAnsi="宋体" w:cs="宋体"/>
          <w:color w:val="auto"/>
          <w:sz w:val="22"/>
        </w:rPr>
        <w:t>6、推荐成交候选供应商名单。</w:t>
      </w:r>
    </w:p>
    <w:p>
      <w:pPr>
        <w:pStyle w:val="23"/>
        <w:spacing w:line="440" w:lineRule="exact"/>
        <w:ind w:firstLine="433" w:firstLineChars="196"/>
        <w:rPr>
          <w:rFonts w:hint="eastAsia" w:hAnsi="宋体" w:cs="宋体"/>
          <w:b/>
          <w:color w:val="auto"/>
          <w:sz w:val="22"/>
        </w:rPr>
      </w:pPr>
      <w:r>
        <w:rPr>
          <w:rFonts w:hint="eastAsia" w:hAnsi="宋体" w:cs="宋体"/>
          <w:b/>
          <w:color w:val="auto"/>
          <w:sz w:val="22"/>
        </w:rPr>
        <w:t>二、评审方法</w:t>
      </w:r>
    </w:p>
    <w:p>
      <w:pPr>
        <w:spacing w:after="0" w:line="400" w:lineRule="exact"/>
        <w:ind w:firstLine="442" w:firstLineChars="200"/>
        <w:rPr>
          <w:rFonts w:hint="eastAsia" w:ascii="宋体" w:hAnsi="宋体" w:eastAsia="宋体" w:cs="宋体"/>
          <w:b/>
          <w:bCs/>
          <w:color w:val="auto"/>
          <w:szCs w:val="21"/>
        </w:rPr>
      </w:pPr>
      <w:r>
        <w:rPr>
          <w:rFonts w:hint="eastAsia" w:ascii="宋体" w:hAnsi="宋体" w:eastAsia="宋体" w:cs="宋体"/>
          <w:b/>
          <w:bCs/>
          <w:color w:val="auto"/>
          <w:szCs w:val="21"/>
        </w:rPr>
        <w:t>（一）初步评审</w:t>
      </w:r>
    </w:p>
    <w:p>
      <w:pPr>
        <w:spacing w:after="0" w:line="400" w:lineRule="exact"/>
        <w:ind w:firstLine="440" w:firstLineChars="200"/>
        <w:rPr>
          <w:rFonts w:hint="eastAsia" w:ascii="宋体" w:hAnsi="宋体" w:eastAsia="宋体" w:cs="宋体"/>
          <w:color w:val="auto"/>
          <w:szCs w:val="21"/>
        </w:rPr>
      </w:pPr>
      <w:r>
        <w:rPr>
          <w:rFonts w:hint="eastAsia" w:ascii="宋体" w:hAnsi="宋体" w:eastAsia="宋体" w:cs="宋体"/>
          <w:bCs/>
          <w:color w:val="auto"/>
          <w:szCs w:val="21"/>
        </w:rPr>
        <w:t>初步评审包括资格性审查及符合性审查。</w:t>
      </w:r>
    </w:p>
    <w:p>
      <w:pPr>
        <w:spacing w:after="0" w:line="400" w:lineRule="exact"/>
        <w:ind w:firstLine="442" w:firstLineChars="200"/>
        <w:rPr>
          <w:rFonts w:hint="eastAsia" w:ascii="宋体" w:hAnsi="宋体" w:eastAsia="宋体" w:cs="宋体"/>
          <w:b/>
          <w:color w:val="auto"/>
          <w:szCs w:val="21"/>
        </w:rPr>
      </w:pPr>
      <w:r>
        <w:rPr>
          <w:rFonts w:hint="eastAsia" w:ascii="宋体" w:hAnsi="宋体" w:eastAsia="宋体" w:cs="宋体"/>
          <w:b/>
          <w:color w:val="auto"/>
          <w:szCs w:val="21"/>
        </w:rPr>
        <w:t>1、资格性审查</w:t>
      </w:r>
    </w:p>
    <w:p>
      <w:pPr>
        <w:spacing w:after="0"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由磋商小组对所有供应商的响应文件进行资格审查。以确定供应商是否具备磋商资格。资格性检查表如下，缺少任何一项或有任何一项不合格者，其资格性审查视为不合格。</w:t>
      </w:r>
    </w:p>
    <w:tbl>
      <w:tblPr>
        <w:tblStyle w:val="41"/>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序号</w:t>
            </w:r>
          </w:p>
        </w:tc>
        <w:tc>
          <w:tcPr>
            <w:tcW w:w="3057" w:type="dxa"/>
            <w:gridSpan w:val="2"/>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评审因素</w:t>
            </w:r>
          </w:p>
        </w:tc>
        <w:tc>
          <w:tcPr>
            <w:tcW w:w="5922" w:type="dxa"/>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评审内容及评审标准</w:t>
            </w:r>
          </w:p>
        </w:tc>
      </w:tr>
      <w:tr>
        <w:tblPrEx>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1</w:t>
            </w:r>
          </w:p>
        </w:tc>
        <w:tc>
          <w:tcPr>
            <w:tcW w:w="1101"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供应商应符合的基本资格条件</w:t>
            </w: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（1）具有独立承担民事责任的能力</w:t>
            </w:r>
          </w:p>
        </w:tc>
        <w:tc>
          <w:tcPr>
            <w:tcW w:w="5922" w:type="dxa"/>
            <w:tcBorders>
              <w:top w:val="nil"/>
              <w:left w:val="nil"/>
              <w:bottom w:val="single" w:color="auto" w:sz="4" w:space="0"/>
              <w:right w:val="single" w:color="auto" w:sz="4" w:space="0"/>
            </w:tcBorders>
            <w:vAlign w:val="center"/>
          </w:tcPr>
          <w:p>
            <w:pPr>
              <w:adjustRightInd/>
              <w:snapToGrid/>
              <w:spacing w:after="0"/>
              <w:ind w:firstLine="450"/>
              <w:rPr>
                <w:rFonts w:hint="eastAsia" w:ascii="宋体" w:hAnsi="宋体" w:eastAsia="宋体" w:cs="宋体"/>
                <w:color w:val="auto"/>
              </w:rPr>
            </w:pPr>
            <w:r>
              <w:rPr>
                <w:rFonts w:hint="eastAsia" w:ascii="宋体" w:hAnsi="宋体" w:eastAsia="宋体" w:cs="宋体"/>
                <w:color w:val="auto"/>
              </w:rPr>
              <w:t>审查法人或者其他组织的营业执照等证明文件、自然人的身份证明。须按以下要求提供，材料须有效。</w:t>
            </w:r>
          </w:p>
          <w:p>
            <w:pPr>
              <w:adjustRightInd/>
              <w:snapToGrid/>
              <w:spacing w:after="0"/>
              <w:ind w:firstLine="450"/>
              <w:rPr>
                <w:rFonts w:hint="eastAsia" w:ascii="宋体" w:hAnsi="宋体" w:eastAsia="宋体" w:cs="宋体"/>
                <w:color w:val="auto"/>
              </w:rPr>
            </w:pPr>
            <w:r>
              <w:rPr>
                <w:rFonts w:hint="eastAsia" w:ascii="宋体" w:hAnsi="宋体" w:eastAsia="宋体" w:cs="宋体"/>
                <w:color w:val="auto"/>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trHeight w:val="1834"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（2）具有良好的商业信誉和健全的财务会计制度</w:t>
            </w:r>
          </w:p>
        </w:tc>
        <w:tc>
          <w:tcPr>
            <w:tcW w:w="5922" w:type="dxa"/>
            <w:tcBorders>
              <w:top w:val="nil"/>
              <w:left w:val="nil"/>
              <w:bottom w:val="single" w:color="auto" w:sz="4" w:space="0"/>
              <w:right w:val="single" w:color="auto" w:sz="4" w:space="0"/>
            </w:tcBorders>
            <w:vAlign w:val="center"/>
          </w:tcPr>
          <w:p>
            <w:pPr>
              <w:adjustRightInd/>
              <w:snapToGrid/>
              <w:spacing w:after="0"/>
              <w:ind w:firstLine="450"/>
              <w:rPr>
                <w:rFonts w:hint="eastAsia" w:ascii="宋体" w:hAnsi="宋体" w:eastAsia="宋体" w:cs="宋体"/>
                <w:color w:val="auto"/>
              </w:rPr>
            </w:pPr>
            <w:r>
              <w:rPr>
                <w:rFonts w:hint="eastAsia" w:ascii="宋体" w:hAnsi="宋体" w:eastAsia="宋体" w:cs="宋体"/>
                <w:color w:val="auto"/>
              </w:rPr>
              <w:t>审查供应商2018或2019年度经第三方审计的财务报表（财务报表至少包含资产负债表、利润表、现金流量表、加盖会计师事务所公章页）复印件</w:t>
            </w:r>
            <w:r>
              <w:rPr>
                <w:rFonts w:hint="eastAsia" w:ascii="宋体" w:hAnsi="宋体" w:eastAsia="宋体" w:cs="宋体"/>
                <w:color w:val="auto"/>
                <w:szCs w:val="21"/>
              </w:rPr>
              <w:t>（新成立的公司提供公司成立日之后次月起到响应文件递交截止前一个月的财务报表复印件）</w:t>
            </w:r>
            <w:r>
              <w:rPr>
                <w:rFonts w:hint="eastAsia" w:ascii="宋体" w:hAnsi="宋体" w:eastAsia="宋体" w:cs="宋体"/>
                <w:color w:val="auto"/>
              </w:rPr>
              <w:t>或提交响应文件截止之日前三个月内其基本开户银行出具的银行资信证明</w:t>
            </w:r>
            <w:r>
              <w:rPr>
                <w:rFonts w:hint="eastAsia" w:ascii="宋体" w:hAnsi="宋体" w:eastAsia="宋体" w:cs="宋体"/>
                <w:color w:val="auto"/>
                <w:szCs w:val="21"/>
              </w:rPr>
              <w:t>（仅提供银行出具的存款证明不能作为其银行资信证明）</w:t>
            </w:r>
            <w:r>
              <w:rPr>
                <w:rFonts w:hint="eastAsia" w:ascii="宋体" w:hAnsi="宋体" w:eastAsia="宋体" w:cs="宋体"/>
                <w:color w:val="auto"/>
              </w:rPr>
              <w:t>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w:t>
            </w:r>
            <w:r>
              <w:rPr>
                <w:rFonts w:hint="default" w:ascii="宋体" w:hAnsi="宋体" w:eastAsia="宋体" w:cs="宋体"/>
                <w:color w:val="auto"/>
                <w:lang w:val="en-US"/>
              </w:rPr>
              <w:t>3</w:t>
            </w:r>
            <w:r>
              <w:rPr>
                <w:rFonts w:hint="eastAsia" w:ascii="宋体" w:hAnsi="宋体" w:eastAsia="宋体" w:cs="宋体"/>
                <w:color w:val="auto"/>
              </w:rPr>
              <w:t>）具有履行合同所必需的设备和专业技术能力</w:t>
            </w:r>
          </w:p>
        </w:tc>
        <w:tc>
          <w:tcPr>
            <w:tcW w:w="5922"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w:t>
            </w:r>
            <w:r>
              <w:rPr>
                <w:rFonts w:hint="default" w:ascii="宋体" w:hAnsi="宋体" w:eastAsia="宋体" w:cs="宋体"/>
                <w:color w:val="auto"/>
                <w:lang w:val="en-US"/>
              </w:rPr>
              <w:t>4</w:t>
            </w:r>
            <w:r>
              <w:rPr>
                <w:rFonts w:hint="eastAsia" w:ascii="宋体" w:hAnsi="宋体" w:eastAsia="宋体" w:cs="宋体"/>
                <w:color w:val="auto"/>
              </w:rPr>
              <w:t>）有依法缴纳税收和社会保障资金的良好记录</w:t>
            </w:r>
          </w:p>
        </w:tc>
        <w:tc>
          <w:tcPr>
            <w:tcW w:w="5922" w:type="dxa"/>
            <w:tcBorders>
              <w:top w:val="nil"/>
              <w:left w:val="nil"/>
              <w:bottom w:val="single" w:color="auto" w:sz="4" w:space="0"/>
              <w:right w:val="single" w:color="auto" w:sz="4" w:space="0"/>
            </w:tcBorders>
            <w:vAlign w:val="center"/>
          </w:tcPr>
          <w:p>
            <w:pPr>
              <w:adjustRightInd/>
              <w:snapToGrid/>
              <w:spacing w:after="0"/>
              <w:ind w:firstLine="440" w:firstLineChars="200"/>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highlight w:val="none"/>
              </w:rPr>
              <w:t>提交响应文件截止之日前半年内供应商连续三个月的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w:t>
            </w:r>
            <w:r>
              <w:rPr>
                <w:rFonts w:hint="eastAsia" w:ascii="宋体" w:hAnsi="宋体" w:eastAsia="宋体" w:cs="宋体"/>
                <w:color w:val="auto"/>
              </w:rPr>
              <w:t>。</w:t>
            </w:r>
          </w:p>
          <w:p>
            <w:pPr>
              <w:adjustRightInd/>
              <w:snapToGrid/>
              <w:spacing w:after="0"/>
              <w:ind w:firstLine="440" w:firstLineChars="200"/>
              <w:rPr>
                <w:rFonts w:hint="eastAsia" w:ascii="宋体" w:hAnsi="宋体" w:eastAsia="宋体" w:cs="宋体"/>
                <w:color w:val="auto"/>
              </w:rPr>
            </w:pPr>
            <w:r>
              <w:rPr>
                <w:rFonts w:hint="eastAsia" w:ascii="宋体" w:hAnsi="宋体" w:eastAsia="宋体" w:cs="宋体"/>
                <w:color w:val="auto"/>
              </w:rPr>
              <w:t>②</w:t>
            </w:r>
            <w:r>
              <w:rPr>
                <w:rFonts w:hint="eastAsia" w:ascii="宋体" w:hAnsi="宋体" w:eastAsia="宋体" w:cs="宋体"/>
                <w:color w:val="auto"/>
                <w:highlight w:val="none"/>
              </w:rPr>
              <w:t>提交响应文件截止之日前半年内供应商连续三个月的依法缴纳社会保险费</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rPr>
              <w:t>（新成立的且不足三个月的企业按实际提供）</w:t>
            </w:r>
            <w:r>
              <w:rPr>
                <w:rFonts w:hint="eastAsia" w:ascii="宋体" w:hAnsi="宋体" w:eastAsia="宋体" w:cs="宋体"/>
                <w:color w:val="auto"/>
              </w:rPr>
              <w:t>。</w:t>
            </w:r>
          </w:p>
          <w:p>
            <w:pPr>
              <w:adjustRightInd/>
              <w:snapToGrid/>
              <w:spacing w:after="0"/>
              <w:ind w:firstLine="440" w:firstLineChars="200"/>
              <w:rPr>
                <w:rFonts w:hint="eastAsia" w:ascii="宋体" w:hAnsi="宋体" w:eastAsia="宋体" w:cs="宋体"/>
                <w:color w:val="auto"/>
              </w:rPr>
            </w:pPr>
            <w:r>
              <w:rPr>
                <w:rFonts w:hint="eastAsia" w:ascii="宋体" w:hAnsi="宋体" w:eastAsia="宋体" w:cs="宋体"/>
                <w:color w:val="auto"/>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w:t>
            </w:r>
            <w:r>
              <w:rPr>
                <w:rFonts w:hint="default" w:ascii="宋体" w:hAnsi="宋体" w:eastAsia="宋体" w:cs="宋体"/>
                <w:color w:val="auto"/>
                <w:lang w:val="en-US"/>
              </w:rPr>
              <w:t>5</w:t>
            </w:r>
            <w:r>
              <w:rPr>
                <w:rFonts w:hint="eastAsia" w:ascii="宋体" w:hAnsi="宋体" w:eastAsia="宋体" w:cs="宋体"/>
                <w:color w:val="auto"/>
              </w:rPr>
              <w:t>）参加政府采购活动前三年内，在经营活动中没有重大违法记录</w:t>
            </w:r>
          </w:p>
        </w:tc>
        <w:tc>
          <w:tcPr>
            <w:tcW w:w="5922" w:type="dxa"/>
            <w:tcBorders>
              <w:top w:val="nil"/>
              <w:left w:val="nil"/>
              <w:bottom w:val="single" w:color="auto" w:sz="4" w:space="0"/>
              <w:right w:val="single" w:color="auto" w:sz="4" w:space="0"/>
            </w:tcBorders>
            <w:vAlign w:val="center"/>
          </w:tcPr>
          <w:p>
            <w:pPr>
              <w:adjustRightInd/>
              <w:snapToGrid/>
              <w:spacing w:after="0"/>
              <w:ind w:firstLine="440" w:firstLineChars="200"/>
              <w:rPr>
                <w:rFonts w:hint="eastAsia" w:ascii="宋体" w:hAnsi="宋体" w:eastAsia="宋体" w:cs="宋体"/>
                <w:color w:val="auto"/>
              </w:rPr>
            </w:pPr>
            <w:r>
              <w:rPr>
                <w:rFonts w:hint="eastAsia" w:ascii="宋体" w:hAnsi="宋体" w:eastAsia="宋体" w:cs="宋体"/>
                <w:color w:val="auto"/>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w:t>
            </w:r>
            <w:r>
              <w:rPr>
                <w:rFonts w:hint="default" w:ascii="宋体" w:hAnsi="宋体" w:eastAsia="宋体" w:cs="宋体"/>
                <w:color w:val="auto"/>
                <w:lang w:val="en-US"/>
              </w:rPr>
              <w:t>6</w:t>
            </w:r>
            <w:r>
              <w:rPr>
                <w:rFonts w:hint="eastAsia" w:ascii="宋体" w:hAnsi="宋体" w:eastAsia="宋体" w:cs="宋体"/>
                <w:color w:val="auto"/>
              </w:rPr>
              <w:t>）诚信要求</w:t>
            </w:r>
          </w:p>
        </w:tc>
        <w:tc>
          <w:tcPr>
            <w:tcW w:w="5922" w:type="dxa"/>
            <w:tcBorders>
              <w:top w:val="nil"/>
              <w:left w:val="nil"/>
              <w:bottom w:val="single" w:color="auto" w:sz="4" w:space="0"/>
              <w:right w:val="single" w:color="auto" w:sz="4" w:space="0"/>
            </w:tcBorders>
            <w:vAlign w:val="center"/>
          </w:tcPr>
          <w:p>
            <w:pPr>
              <w:adjustRightInd/>
              <w:snapToGrid/>
              <w:spacing w:after="0"/>
              <w:ind w:firstLine="450"/>
              <w:rPr>
                <w:rFonts w:hint="eastAsia" w:ascii="宋体" w:hAnsi="宋体" w:eastAsia="宋体" w:cs="宋体"/>
                <w:color w:val="auto"/>
              </w:rPr>
            </w:pPr>
            <w:r>
              <w:rPr>
                <w:rFonts w:hint="eastAsia" w:ascii="宋体" w:hAnsi="宋体" w:eastAsia="宋体" w:cs="宋体"/>
                <w:color w:val="auto"/>
              </w:rPr>
              <w:t>A、审核要求：供应商未被列入失信被执行人、重大税收违法案件当事人名单、政府采购严重违法失信行为记录名单。</w:t>
            </w:r>
          </w:p>
          <w:p>
            <w:pPr>
              <w:adjustRightInd/>
              <w:snapToGrid/>
              <w:spacing w:after="0"/>
              <w:ind w:firstLine="450"/>
              <w:rPr>
                <w:rFonts w:hint="eastAsia" w:ascii="宋体" w:hAnsi="宋体" w:eastAsia="宋体" w:cs="宋体"/>
                <w:color w:val="auto"/>
              </w:rPr>
            </w:pPr>
            <w:r>
              <w:rPr>
                <w:rFonts w:hint="eastAsia" w:ascii="宋体" w:hAnsi="宋体" w:eastAsia="宋体" w:cs="宋体"/>
                <w:color w:val="auto"/>
              </w:rPr>
              <w:t>B、审核内容：供应商在“信用中国”网站（www.creditchina.gov.cn）、中国政府采购网（www.ccgp.gov.cn）的主体信用记录查询结果或界面截图（</w:t>
            </w:r>
            <w:r>
              <w:rPr>
                <w:rFonts w:hint="eastAsia" w:ascii="宋体" w:hAnsi="宋体" w:eastAsia="宋体" w:cs="宋体"/>
                <w:color w:val="auto"/>
                <w:szCs w:val="21"/>
              </w:rPr>
              <w:t>由采购人或采购代理机构对供应商进行信用信息查询，并将查询结果提供给磋商小组</w:t>
            </w:r>
            <w:r>
              <w:rPr>
                <w:rFonts w:hint="eastAsia" w:ascii="宋体" w:hAnsi="宋体" w:eastAsia="宋体" w:cs="宋体"/>
                <w:color w:val="auto"/>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w:t>
            </w:r>
            <w:r>
              <w:rPr>
                <w:rFonts w:hint="default" w:ascii="宋体" w:hAnsi="宋体" w:eastAsia="宋体" w:cs="宋体"/>
                <w:color w:val="auto"/>
                <w:lang w:val="en-US"/>
              </w:rPr>
              <w:t>7</w:t>
            </w:r>
            <w:r>
              <w:rPr>
                <w:rFonts w:hint="eastAsia" w:ascii="宋体" w:hAnsi="宋体" w:eastAsia="宋体" w:cs="宋体"/>
                <w:color w:val="auto"/>
              </w:rPr>
              <w:t>）法律、行政法规规定的其他条件</w:t>
            </w:r>
          </w:p>
        </w:tc>
        <w:tc>
          <w:tcPr>
            <w:tcW w:w="5922"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无</w:t>
            </w:r>
          </w:p>
        </w:tc>
      </w:tr>
      <w:tr>
        <w:tblPrEx>
          <w:tblCellMar>
            <w:top w:w="0" w:type="dxa"/>
            <w:left w:w="108" w:type="dxa"/>
            <w:bottom w:w="0" w:type="dxa"/>
            <w:right w:w="108" w:type="dxa"/>
          </w:tblCellMar>
        </w:tblPrEx>
        <w:trPr>
          <w:jc w:val="center"/>
        </w:trPr>
        <w:tc>
          <w:tcPr>
            <w:tcW w:w="74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2</w:t>
            </w:r>
          </w:p>
        </w:tc>
        <w:tc>
          <w:tcPr>
            <w:tcW w:w="305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供应商不得参加资格性审查的情形</w:t>
            </w:r>
          </w:p>
        </w:tc>
        <w:tc>
          <w:tcPr>
            <w:tcW w:w="5922" w:type="dxa"/>
            <w:tcBorders>
              <w:top w:val="nil"/>
              <w:left w:val="nil"/>
              <w:bottom w:val="single" w:color="auto" w:sz="4" w:space="0"/>
              <w:right w:val="single" w:color="auto" w:sz="4" w:space="0"/>
            </w:tcBorders>
            <w:vAlign w:val="center"/>
          </w:tcPr>
          <w:p>
            <w:pPr>
              <w:adjustRightInd/>
              <w:snapToGrid/>
              <w:spacing w:after="0"/>
              <w:jc w:val="both"/>
              <w:rPr>
                <w:rFonts w:hint="eastAsia" w:ascii="宋体" w:hAnsi="宋体" w:eastAsia="宋体" w:cs="宋体"/>
                <w:color w:val="auto"/>
              </w:rPr>
            </w:pPr>
            <w:r>
              <w:rPr>
                <w:rFonts w:hint="eastAsia" w:ascii="宋体" w:hAnsi="宋体" w:eastAsia="宋体" w:cs="宋体"/>
                <w:color w:val="auto"/>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5922"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rPr>
            </w:pPr>
            <w:r>
              <w:rPr>
                <w:rFonts w:hint="eastAsia" w:ascii="宋体" w:hAnsi="宋体" w:eastAsia="宋体" w:cs="宋体"/>
                <w:color w:val="auto"/>
              </w:rPr>
              <w:t>3</w:t>
            </w:r>
          </w:p>
        </w:tc>
        <w:tc>
          <w:tcPr>
            <w:tcW w:w="110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供应商应符合的供应商的特定要求</w:t>
            </w: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（1）资质条件</w:t>
            </w:r>
          </w:p>
        </w:tc>
        <w:tc>
          <w:tcPr>
            <w:tcW w:w="5922"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须符合“供应商须知前附表”1.3款的要求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p>
        </w:tc>
        <w:tc>
          <w:tcPr>
            <w:tcW w:w="1956"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（2）其他要求</w:t>
            </w:r>
          </w:p>
        </w:tc>
        <w:tc>
          <w:tcPr>
            <w:tcW w:w="5922"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rPr>
            </w:pPr>
            <w:r>
              <w:rPr>
                <w:rFonts w:hint="eastAsia" w:ascii="宋体" w:hAnsi="宋体" w:eastAsia="宋体" w:cs="宋体"/>
                <w:color w:val="auto"/>
              </w:rPr>
              <w:t>须符合“供应商须知前附表”1.3款的要求</w:t>
            </w:r>
          </w:p>
        </w:tc>
      </w:tr>
    </w:tbl>
    <w:p>
      <w:pPr>
        <w:pStyle w:val="23"/>
        <w:spacing w:line="440" w:lineRule="exact"/>
        <w:ind w:firstLine="440" w:firstLineChars="200"/>
        <w:rPr>
          <w:rFonts w:hint="eastAsia" w:hAnsi="宋体" w:cs="宋体"/>
          <w:color w:val="auto"/>
          <w:sz w:val="22"/>
        </w:rPr>
      </w:pPr>
    </w:p>
    <w:p>
      <w:pPr>
        <w:spacing w:after="0" w:line="400" w:lineRule="exact"/>
        <w:ind w:firstLine="44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2、符合性检查 </w:t>
      </w:r>
    </w:p>
    <w:p>
      <w:pPr>
        <w:spacing w:after="0"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资格性审查结束后，由磋商小组对通过资格性审查的供应商的响应文件进行符合性审查，以确定供应商是否满足磋商文件的实质性要求。符合性检查资料表如下，缺少任何一项或有任何一项不合格者，其符合性审查视为不合格。</w:t>
      </w:r>
    </w:p>
    <w:tbl>
      <w:tblPr>
        <w:tblStyle w:val="41"/>
        <w:tblW w:w="9813" w:type="dxa"/>
        <w:jc w:val="center"/>
        <w:tblLayout w:type="fixed"/>
        <w:tblCellMar>
          <w:top w:w="0" w:type="dxa"/>
          <w:left w:w="108" w:type="dxa"/>
          <w:bottom w:w="0" w:type="dxa"/>
          <w:right w:w="108" w:type="dxa"/>
        </w:tblCellMar>
      </w:tblPr>
      <w:tblGrid>
        <w:gridCol w:w="708"/>
        <w:gridCol w:w="1505"/>
        <w:gridCol w:w="2500"/>
        <w:gridCol w:w="5100"/>
      </w:tblGrid>
      <w:tr>
        <w:tblPrEx>
          <w:tblCellMar>
            <w:top w:w="0" w:type="dxa"/>
            <w:left w:w="108" w:type="dxa"/>
            <w:bottom w:w="0" w:type="dxa"/>
            <w:right w:w="108" w:type="dxa"/>
          </w:tblCellMar>
        </w:tblPrEx>
        <w:trPr>
          <w:trHeight w:val="495" w:hRule="atLeast"/>
          <w:tblHeader/>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005" w:type="dxa"/>
            <w:gridSpan w:val="2"/>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100" w:type="dxa"/>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评审内容及评审标准</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05"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有效性审查</w:t>
            </w: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响应文件签署</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响应文件上法定代表人或其授权代表人已按要求签字盖章。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法定代表人身份证明及授权委托书</w:t>
            </w:r>
          </w:p>
        </w:tc>
        <w:tc>
          <w:tcPr>
            <w:tcW w:w="5100" w:type="dxa"/>
            <w:tcBorders>
              <w:top w:val="nil"/>
              <w:left w:val="nil"/>
              <w:bottom w:val="single" w:color="auto" w:sz="4" w:space="0"/>
              <w:right w:val="single" w:color="auto" w:sz="4" w:space="0"/>
            </w:tcBorders>
            <w:vAlign w:val="center"/>
          </w:tcPr>
          <w:p>
            <w:pPr>
              <w:adjustRightInd/>
              <w:snapToGrid/>
              <w:spacing w:after="0"/>
              <w:ind w:firstLine="450"/>
              <w:rPr>
                <w:rFonts w:hint="eastAsia" w:ascii="宋体" w:hAnsi="宋体" w:eastAsia="宋体" w:cs="宋体"/>
                <w:color w:val="auto"/>
                <w:szCs w:val="21"/>
              </w:rPr>
            </w:pPr>
            <w:r>
              <w:rPr>
                <w:rFonts w:hint="eastAsia" w:ascii="宋体" w:hAnsi="宋体" w:eastAsia="宋体" w:cs="宋体"/>
                <w:color w:val="auto"/>
                <w:szCs w:val="21"/>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响应文件唯一性</w:t>
            </w:r>
          </w:p>
        </w:tc>
        <w:tc>
          <w:tcPr>
            <w:tcW w:w="5100" w:type="dxa"/>
            <w:tcBorders>
              <w:top w:val="nil"/>
              <w:left w:val="nil"/>
              <w:bottom w:val="single" w:color="auto" w:sz="4" w:space="0"/>
              <w:right w:val="single" w:color="auto" w:sz="4" w:space="0"/>
            </w:tcBorders>
            <w:vAlign w:val="center"/>
          </w:tcPr>
          <w:p>
            <w:pPr>
              <w:adjustRightInd/>
              <w:snapToGrid/>
              <w:spacing w:after="0"/>
              <w:ind w:firstLine="440" w:firstLineChars="200"/>
              <w:rPr>
                <w:rFonts w:hint="eastAsia" w:ascii="宋体" w:hAnsi="宋体" w:eastAsia="宋体" w:cs="宋体"/>
                <w:color w:val="auto"/>
                <w:szCs w:val="21"/>
              </w:rPr>
            </w:pPr>
            <w:r>
              <w:rPr>
                <w:rFonts w:hint="eastAsia" w:ascii="宋体" w:hAnsi="宋体" w:eastAsia="宋体" w:cs="宋体"/>
                <w:color w:val="auto"/>
                <w:szCs w:val="21"/>
              </w:rPr>
              <w:t>同一供应商不得提交两个以上不同的响应文件，但磋商文件要求提交备选的除外。</w:t>
            </w:r>
          </w:p>
        </w:tc>
      </w:tr>
      <w:tr>
        <w:tblPrEx>
          <w:tblCellMar>
            <w:top w:w="0" w:type="dxa"/>
            <w:left w:w="108" w:type="dxa"/>
            <w:bottom w:w="0" w:type="dxa"/>
            <w:right w:w="108" w:type="dxa"/>
          </w:tblCellMar>
        </w:tblPrEx>
        <w:trPr>
          <w:trHeight w:val="38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附加条件</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响应文件不得含有采购不能接受的附加条件。</w:t>
            </w:r>
          </w:p>
        </w:tc>
      </w:tr>
      <w:tr>
        <w:tblPrEx>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磋商报价</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报价超出采购预算金额或最高限价（如有）的，响应文件无效。提交</w:t>
            </w:r>
            <w:r>
              <w:rPr>
                <w:rFonts w:hint="eastAsia" w:ascii="宋体" w:hAnsi="宋体" w:eastAsia="宋体" w:cs="宋体"/>
                <w:color w:val="auto"/>
              </w:rPr>
              <w:t>有选择的或有条件的报价</w:t>
            </w:r>
            <w:r>
              <w:rPr>
                <w:rFonts w:hint="eastAsia" w:ascii="宋体" w:hAnsi="宋体" w:eastAsia="宋体" w:cs="宋体"/>
                <w:color w:val="auto"/>
                <w:szCs w:val="21"/>
              </w:rPr>
              <w:t>，响应文件无效。</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联合体供应商（如允许） </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提交联合体协议书，并明确联合体牵头人，并符合磋商文件规定。</w:t>
            </w:r>
          </w:p>
        </w:tc>
      </w:tr>
      <w:tr>
        <w:tblPrEx>
          <w:tblCellMar>
            <w:top w:w="0" w:type="dxa"/>
            <w:left w:w="108" w:type="dxa"/>
            <w:bottom w:w="0" w:type="dxa"/>
            <w:right w:w="108" w:type="dxa"/>
          </w:tblCellMar>
        </w:tblPrEx>
        <w:trPr>
          <w:trHeight w:val="435"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05"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完整性审查</w:t>
            </w: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响应文件正、副本数量符合磋商文件要求。</w:t>
            </w:r>
          </w:p>
        </w:tc>
      </w:tr>
      <w:tr>
        <w:tblPrEx>
          <w:tblCellMar>
            <w:top w:w="0" w:type="dxa"/>
            <w:left w:w="108" w:type="dxa"/>
            <w:bottom w:w="0" w:type="dxa"/>
            <w:right w:w="108" w:type="dxa"/>
          </w:tblCellMar>
        </w:tblPrEx>
        <w:trPr>
          <w:trHeight w:val="43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响应文件内容</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505"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对采购文件的响应程度审查 </w:t>
            </w: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实质性条款响应</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对采购文件中所有标注“▲”号的实质性条款要求响应均无负偏离。</w:t>
            </w:r>
          </w:p>
        </w:tc>
      </w:tr>
      <w:tr>
        <w:tblPrEx>
          <w:tblCellMar>
            <w:top w:w="0" w:type="dxa"/>
            <w:left w:w="108" w:type="dxa"/>
            <w:bottom w:w="0" w:type="dxa"/>
            <w:right w:w="108" w:type="dxa"/>
          </w:tblCellMar>
        </w:tblPrEx>
        <w:trPr>
          <w:trHeight w:val="58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响应文件格式</w:t>
            </w:r>
          </w:p>
        </w:tc>
        <w:tc>
          <w:tcPr>
            <w:tcW w:w="5100" w:type="dxa"/>
            <w:tcBorders>
              <w:top w:val="nil"/>
              <w:left w:val="nil"/>
              <w:bottom w:val="single" w:color="auto" w:sz="4" w:space="0"/>
              <w:right w:val="single" w:color="auto" w:sz="4" w:space="0"/>
            </w:tcBorders>
            <w:vAlign w:val="center"/>
          </w:tcPr>
          <w:p>
            <w:pPr>
              <w:adjustRightInd/>
              <w:snapToGrid/>
              <w:spacing w:after="0"/>
              <w:jc w:val="both"/>
              <w:rPr>
                <w:rFonts w:hint="eastAsia" w:ascii="宋体" w:hAnsi="宋体" w:eastAsia="宋体" w:cs="宋体"/>
                <w:color w:val="auto"/>
                <w:szCs w:val="21"/>
              </w:rPr>
            </w:pPr>
            <w:r>
              <w:rPr>
                <w:rFonts w:hint="eastAsia" w:ascii="宋体" w:hAnsi="宋体" w:eastAsia="宋体" w:cs="宋体"/>
                <w:color w:val="auto"/>
                <w:szCs w:val="21"/>
              </w:rPr>
              <w:t xml:space="preserve">    响应文件按第二章第3.1款和第六章“响应文件格式”的规定编写和提供。</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磋商保证金</w:t>
            </w:r>
          </w:p>
        </w:tc>
        <w:tc>
          <w:tcPr>
            <w:tcW w:w="5100" w:type="dxa"/>
            <w:tcBorders>
              <w:top w:val="nil"/>
              <w:left w:val="nil"/>
              <w:bottom w:val="single" w:color="auto" w:sz="4" w:space="0"/>
              <w:right w:val="single" w:color="auto" w:sz="4" w:space="0"/>
            </w:tcBorders>
            <w:vAlign w:val="center"/>
          </w:tcPr>
          <w:p>
            <w:pPr>
              <w:adjustRightInd/>
              <w:snapToGrid/>
              <w:spacing w:after="0"/>
              <w:ind w:firstLine="440" w:firstLineChars="200"/>
              <w:rPr>
                <w:rFonts w:hint="eastAsia" w:ascii="宋体" w:hAnsi="宋体" w:eastAsia="宋体" w:cs="宋体"/>
                <w:color w:val="auto"/>
                <w:szCs w:val="21"/>
              </w:rPr>
            </w:pPr>
            <w:r>
              <w:rPr>
                <w:rFonts w:hint="eastAsia" w:ascii="宋体" w:hAnsi="宋体" w:eastAsia="宋体" w:cs="宋体"/>
                <w:color w:val="auto"/>
                <w:szCs w:val="21"/>
              </w:rPr>
              <w:t>足额、及时缴纳磋商保证金</w:t>
            </w:r>
          </w:p>
        </w:tc>
      </w:tr>
      <w:tr>
        <w:tblPrEx>
          <w:tblCellMar>
            <w:top w:w="0" w:type="dxa"/>
            <w:left w:w="108" w:type="dxa"/>
            <w:bottom w:w="0" w:type="dxa"/>
            <w:right w:w="108" w:type="dxa"/>
          </w:tblCellMar>
        </w:tblPrEx>
        <w:trPr>
          <w:trHeight w:val="49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p>
        </w:tc>
        <w:tc>
          <w:tcPr>
            <w:tcW w:w="25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响应有效期 </w:t>
            </w:r>
          </w:p>
        </w:tc>
        <w:tc>
          <w:tcPr>
            <w:tcW w:w="5100"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auto"/>
                <w:szCs w:val="21"/>
              </w:rPr>
            </w:pPr>
            <w:r>
              <w:rPr>
                <w:rFonts w:hint="eastAsia" w:ascii="宋体" w:hAnsi="宋体" w:eastAsia="宋体" w:cs="宋体"/>
                <w:color w:val="auto"/>
                <w:szCs w:val="21"/>
              </w:rPr>
              <w:t xml:space="preserve">    满足磋商文件规定并在第六章“响应文件格式”磋商书做出响应的。</w:t>
            </w:r>
          </w:p>
        </w:tc>
      </w:tr>
    </w:tbl>
    <w:p>
      <w:pPr>
        <w:pStyle w:val="23"/>
        <w:spacing w:line="440" w:lineRule="exact"/>
        <w:rPr>
          <w:rFonts w:hint="eastAsia" w:hAnsi="宋体" w:cs="宋体"/>
          <w:color w:val="auto"/>
          <w:sz w:val="22"/>
          <w:szCs w:val="20"/>
        </w:rPr>
      </w:pPr>
      <w:r>
        <w:rPr>
          <w:rFonts w:hint="eastAsia" w:hAnsi="宋体" w:cs="宋体"/>
          <w:b/>
          <w:color w:val="auto"/>
          <w:sz w:val="22"/>
          <w:szCs w:val="20"/>
        </w:rPr>
        <w:t>（二）详细评审</w:t>
      </w:r>
    </w:p>
    <w:p>
      <w:pPr>
        <w:spacing w:after="0" w:line="380" w:lineRule="exact"/>
        <w:ind w:firstLine="440" w:firstLineChars="200"/>
        <w:rPr>
          <w:rFonts w:hint="eastAsia" w:ascii="宋体" w:hAnsi="宋体" w:eastAsia="宋体" w:cs="宋体"/>
          <w:color w:val="auto"/>
        </w:rPr>
      </w:pPr>
      <w:r>
        <w:rPr>
          <w:rFonts w:hint="eastAsia" w:ascii="宋体" w:hAnsi="宋体" w:eastAsia="宋体" w:cs="宋体"/>
          <w:color w:val="auto"/>
        </w:rPr>
        <w:t>磋商小组按磋商文件规定的程序与供应商进行磋商。对实质性响应磋商文件的供应商最后报价、技术方案、商务内容进行综合评审打分。</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（1）磋商小组将依照本磋商文件相关规定对质量和服务均能满足竞争性磋商实质性要求的供应商所提交的最后报价进行政策性扣除，即</w:t>
      </w:r>
      <w:r>
        <w:rPr>
          <w:rFonts w:hint="eastAsia" w:ascii="宋体" w:hAnsi="宋体" w:eastAsia="宋体" w:cs="宋体"/>
          <w:color w:val="auto"/>
          <w:u w:val="single"/>
        </w:rPr>
        <w:t>评标价=最后报价×（1—小型和微型企业政策性扣除）</w:t>
      </w:r>
      <w:r>
        <w:rPr>
          <w:rFonts w:hint="eastAsia" w:ascii="宋体" w:hAnsi="宋体" w:eastAsia="宋体" w:cs="宋体"/>
          <w:color w:val="auto"/>
        </w:rPr>
        <w:t>。</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（2）小型和微型企业最终报价扣除计算</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①按照《政府采购促进中小企业发展暂行办法》（财库[2011]181号），对小型和微型企业产品的最后报价给予6%的扣除，扣除后的价格为评标报价，即评标报价=最终报价×（1-6%）；大中型企业与小型、微型企业组成联合体磋商，其中小型、微型企业的协议合同金额占到联合体协议合同总金额30%以上的，联合体最终报价给予2%的扣除，扣除后的价格为评标报价，即评标报价=最终报价×（1-2%）。</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②按照《财政部、司法部关于政府采购支持监狱企业发展有关问题的通知》（财库〔2014〕68号）之规定，监狱企业视同小型、微型企业，享受预留份额、评审中价格扣除等政府采购政策。</w:t>
      </w:r>
    </w:p>
    <w:p>
      <w:pPr>
        <w:spacing w:after="0" w:line="400" w:lineRule="exact"/>
        <w:ind w:firstLine="440" w:firstLineChars="200"/>
        <w:rPr>
          <w:rFonts w:hint="eastAsia" w:ascii="宋体" w:hAnsi="宋体" w:eastAsia="宋体" w:cs="宋体"/>
          <w:color w:val="auto"/>
        </w:rPr>
      </w:pPr>
      <w:r>
        <w:rPr>
          <w:rFonts w:hint="eastAsia" w:ascii="宋体" w:hAnsi="宋体" w:eastAsia="宋体" w:cs="宋体"/>
          <w:color w:val="auto"/>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380" w:lineRule="exact"/>
        <w:ind w:firstLine="440" w:firstLineChars="200"/>
        <w:rPr>
          <w:rFonts w:hint="eastAsia" w:ascii="宋体" w:hAnsi="宋体" w:eastAsia="宋体" w:cs="宋体"/>
          <w:color w:val="auto"/>
        </w:rPr>
      </w:pPr>
      <w:r>
        <w:rPr>
          <w:rFonts w:hint="eastAsia" w:ascii="宋体" w:hAnsi="宋体" w:eastAsia="宋体" w:cs="宋体"/>
          <w:color w:val="auto"/>
        </w:rPr>
        <w:t>除上述情况外，评标价=最后报价</w:t>
      </w:r>
    </w:p>
    <w:p>
      <w:pPr>
        <w:pStyle w:val="23"/>
        <w:spacing w:line="380" w:lineRule="exact"/>
        <w:ind w:firstLine="0" w:firstLineChars="0"/>
        <w:jc w:val="left"/>
        <w:outlineLvl w:val="0"/>
        <w:rPr>
          <w:rFonts w:hint="eastAsia" w:hAnsi="宋体" w:cs="宋体"/>
          <w:b/>
          <w:bCs w:val="0"/>
          <w:color w:val="auto"/>
          <w:sz w:val="22"/>
          <w:szCs w:val="22"/>
          <w:lang w:eastAsia="zh-CN"/>
        </w:rPr>
      </w:pPr>
      <w:bookmarkStart w:id="81" w:name="_Toc36130028"/>
      <w:r>
        <w:rPr>
          <w:rFonts w:hint="eastAsia" w:hAnsi="宋体" w:cs="宋体"/>
          <w:b/>
          <w:bCs w:val="0"/>
          <w:color w:val="auto"/>
          <w:lang w:val="en-US" w:eastAsia="zh-CN" w:bidi="ar"/>
        </w:rPr>
        <w:t>1</w:t>
      </w:r>
      <w:r>
        <w:rPr>
          <w:rFonts w:hint="eastAsia" w:ascii="宋体" w:hAnsi="宋体" w:eastAsia="宋体" w:cs="宋体"/>
          <w:b/>
          <w:bCs w:val="0"/>
          <w:color w:val="auto"/>
          <w:lang w:bidi="ar"/>
        </w:rPr>
        <w:t>、</w:t>
      </w:r>
      <w:r>
        <w:rPr>
          <w:rFonts w:hint="eastAsia" w:hAnsi="宋体" w:cs="宋体"/>
          <w:b/>
          <w:bCs w:val="0"/>
          <w:color w:val="auto"/>
          <w:sz w:val="22"/>
          <w:szCs w:val="22"/>
        </w:rPr>
        <w:t>价格分</w:t>
      </w:r>
      <w:r>
        <w:rPr>
          <w:rFonts w:hint="eastAsia" w:ascii="宋体" w:hAnsi="宋体" w:eastAsia="宋体" w:cs="宋体"/>
          <w:b/>
          <w:bCs w:val="0"/>
          <w:color w:val="auto"/>
          <w:lang w:bidi="ar"/>
        </w:rPr>
        <w:t>…………………………………………………………………………………………满分</w:t>
      </w:r>
      <w:r>
        <w:rPr>
          <w:rFonts w:hint="eastAsia" w:hAnsi="宋体" w:cs="宋体"/>
          <w:b/>
          <w:bCs w:val="0"/>
          <w:color w:val="auto"/>
          <w:lang w:val="en-US" w:eastAsia="zh-CN" w:bidi="ar"/>
        </w:rPr>
        <w:t>1</w:t>
      </w:r>
      <w:r>
        <w:rPr>
          <w:rFonts w:hint="eastAsia" w:ascii="宋体" w:hAnsi="宋体" w:eastAsia="宋体" w:cs="宋体"/>
          <w:b/>
          <w:bCs w:val="0"/>
          <w:color w:val="auto"/>
          <w:lang w:bidi="ar"/>
        </w:rPr>
        <w:t>0分</w:t>
      </w:r>
      <w:bookmarkEnd w:id="81"/>
    </w:p>
    <w:p>
      <w:pPr>
        <w:pStyle w:val="23"/>
        <w:spacing w:line="380" w:lineRule="exact"/>
        <w:ind w:firstLine="440" w:firstLineChars="200"/>
        <w:outlineLvl w:val="0"/>
        <w:rPr>
          <w:rFonts w:hint="eastAsia" w:hAnsi="宋体" w:cs="宋体"/>
          <w:color w:val="auto"/>
          <w:sz w:val="22"/>
          <w:szCs w:val="22"/>
        </w:rPr>
      </w:pPr>
      <w:bookmarkStart w:id="82" w:name="_Toc36130029"/>
      <w:r>
        <w:rPr>
          <w:rFonts w:hint="eastAsia" w:hAnsi="宋体" w:cs="宋体"/>
          <w:color w:val="auto"/>
          <w:sz w:val="22"/>
          <w:szCs w:val="22"/>
        </w:rPr>
        <w:t>（1）</w:t>
      </w:r>
      <w:r>
        <w:rPr>
          <w:rFonts w:hint="eastAsia" w:hAnsi="宋体" w:cs="宋体"/>
          <w:bCs/>
          <w:color w:val="auto"/>
          <w:sz w:val="22"/>
          <w:szCs w:val="22"/>
        </w:rPr>
        <w:t>以满足磋商文件要求且最后评标磋商报价最低的供应商的价格为磋商基准价，其价格分为满分</w:t>
      </w:r>
      <w:r>
        <w:rPr>
          <w:rFonts w:hint="eastAsia" w:hAnsi="宋体" w:cs="宋体"/>
          <w:color w:val="auto"/>
          <w:sz w:val="22"/>
          <w:szCs w:val="22"/>
        </w:rPr>
        <w:t>10分。</w:t>
      </w:r>
      <w:r>
        <w:rPr>
          <w:rFonts w:hint="eastAsia" w:hAnsi="宋体" w:cs="宋体"/>
          <w:bCs/>
          <w:color w:val="auto"/>
          <w:sz w:val="22"/>
          <w:szCs w:val="22"/>
        </w:rPr>
        <w:t>其他供应商的价格分统一按照下列公式计算：</w:t>
      </w:r>
      <w:bookmarkEnd w:id="82"/>
    </w:p>
    <w:p>
      <w:pPr>
        <w:pStyle w:val="23"/>
        <w:spacing w:line="340" w:lineRule="exact"/>
        <w:ind w:firstLine="3740" w:firstLineChars="1700"/>
        <w:rPr>
          <w:rFonts w:hint="eastAsia" w:hAnsi="宋体" w:cs="宋体"/>
          <w:color w:val="auto"/>
          <w:sz w:val="22"/>
          <w:szCs w:val="22"/>
        </w:rPr>
      </w:pPr>
    </w:p>
    <w:p>
      <w:pPr>
        <w:pStyle w:val="23"/>
        <w:spacing w:line="340" w:lineRule="exact"/>
        <w:ind w:firstLine="3740" w:firstLineChars="1700"/>
        <w:rPr>
          <w:rFonts w:hint="eastAsia" w:hAnsi="宋体" w:cs="宋体"/>
          <w:color w:val="auto"/>
          <w:sz w:val="22"/>
          <w:szCs w:val="22"/>
        </w:rPr>
      </w:pPr>
      <w:r>
        <w:rPr>
          <w:rFonts w:hint="eastAsia" w:hAnsi="宋体" w:cs="宋体"/>
          <w:color w:val="auto"/>
          <w:sz w:val="22"/>
          <w:szCs w:val="22"/>
        </w:rPr>
        <w:t>磋商供应商最低报价金额</w:t>
      </w:r>
    </w:p>
    <w:p>
      <w:pPr>
        <w:pStyle w:val="23"/>
        <w:tabs>
          <w:tab w:val="left" w:pos="7407"/>
        </w:tabs>
        <w:spacing w:line="340" w:lineRule="exact"/>
        <w:ind w:firstLine="440" w:firstLineChars="200"/>
        <w:rPr>
          <w:rFonts w:hAnsi="宋体" w:cs="宋体"/>
          <w:color w:val="auto"/>
          <w:sz w:val="22"/>
          <w:szCs w:val="22"/>
          <w:lang w:val="en-US" w:eastAsia="zh-CN"/>
        </w:rPr>
      </w:pPr>
      <w:r>
        <w:rPr>
          <w:rFonts w:hint="eastAsia" w:hAnsi="宋体" w:cs="宋体"/>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154305</wp:posOffset>
                </wp:positionV>
                <wp:extent cx="2266950" cy="0"/>
                <wp:effectExtent l="0" t="0" r="0" b="0"/>
                <wp:wrapNone/>
                <wp:docPr id="1" name="直线 42"/>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190.5pt;margin-top:12.15pt;height:0pt;width:178.5pt;z-index:251659264;mso-width-relative:page;mso-height-relative:page;" filled="f" stroked="t" coordsize="21600,21600" o:gfxdata="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ltcTWAAAACQEAAA8AAAAAAAAAAQAgAAAAIgAAAGRy&#10;cy9kb3ducmV2LnhtbFBLAQIUABQAAAAIAIdO4kBknbzxzgEAAI4DAAAOAAAAAAAAAAEAIAAAACUB&#10;AABkcnMvZTJvRG9jLnhtbFBLBQYAAAAABgAGAFkBAABlBQAAAAA=&#10;">
                <v:fill on="f" focussize="0,0"/>
                <v:stroke color="#000000" joinstyle="round"/>
                <v:imagedata o:title=""/>
                <o:lock v:ext="edit" aspectratio="f"/>
              </v:line>
            </w:pict>
          </mc:Fallback>
        </mc:AlternateContent>
      </w:r>
      <w:r>
        <w:rPr>
          <w:rFonts w:hint="eastAsia" w:hAnsi="宋体" w:cs="宋体"/>
          <w:color w:val="auto"/>
          <w:sz w:val="22"/>
          <w:szCs w:val="22"/>
        </w:rPr>
        <w:t xml:space="preserve">（2） 某磋商供应商价格得分 =             </w:t>
      </w:r>
      <w:r>
        <w:rPr>
          <w:rFonts w:hint="eastAsia" w:hAnsi="宋体" w:cs="宋体"/>
          <w:color w:val="auto"/>
          <w:sz w:val="22"/>
          <w:szCs w:val="22"/>
          <w:lang w:eastAsia="zh-CN"/>
        </w:rPr>
        <w:tab/>
      </w:r>
      <w:r>
        <w:rPr>
          <w:rFonts w:hint="eastAsia" w:hAnsi="宋体" w:cs="宋体"/>
          <w:color w:val="auto"/>
          <w:sz w:val="22"/>
          <w:szCs w:val="22"/>
          <w:lang w:val="en-US" w:eastAsia="zh-CN"/>
        </w:rPr>
        <w:t xml:space="preserve">  ×10分</w:t>
      </w:r>
    </w:p>
    <w:p>
      <w:pPr>
        <w:pStyle w:val="23"/>
        <w:spacing w:line="340" w:lineRule="exact"/>
        <w:ind w:firstLine="440" w:firstLineChars="200"/>
        <w:rPr>
          <w:rFonts w:hint="eastAsia" w:hAnsi="宋体" w:cs="宋体"/>
          <w:color w:val="auto"/>
          <w:sz w:val="22"/>
          <w:szCs w:val="22"/>
        </w:rPr>
      </w:pPr>
      <w:r>
        <w:rPr>
          <w:rFonts w:hint="eastAsia" w:hAnsi="宋体" w:cs="宋体"/>
          <w:color w:val="auto"/>
          <w:sz w:val="22"/>
          <w:szCs w:val="22"/>
        </w:rPr>
        <w:t xml:space="preserve">                              某磋商供应商报价金额 </w:t>
      </w:r>
    </w:p>
    <w:p>
      <w:pPr>
        <w:spacing w:after="0" w:line="380" w:lineRule="exact"/>
        <w:ind w:firstLine="440" w:firstLineChars="200"/>
        <w:rPr>
          <w:rFonts w:hint="eastAsia" w:ascii="宋体" w:hAnsi="宋体" w:eastAsia="宋体" w:cs="宋体"/>
          <w:color w:val="auto"/>
        </w:rPr>
      </w:pPr>
      <w:r>
        <w:rPr>
          <w:rFonts w:hint="eastAsia" w:ascii="宋体" w:hAnsi="宋体" w:eastAsia="宋体" w:cs="宋体"/>
          <w:color w:val="auto"/>
        </w:rPr>
        <w:t>注：磋商小组认为供应商的最后报价明显低于其他通过符合性审查供应商的最后报价，有可能影响服务质量或者不能诚信履约的，应当要求其在评标现场合理的时间内提供书面说明，必要时提交相关证明材料；供应商不能证明其报价合理性的，磋商小组应当将其作为磋商无效处理。</w:t>
      </w:r>
    </w:p>
    <w:p>
      <w:pPr>
        <w:rPr>
          <w:rFonts w:hint="eastAsia" w:ascii="宋体" w:hAnsi="宋体" w:eastAsia="宋体" w:cs="宋体"/>
          <w:color w:val="auto"/>
        </w:rPr>
      </w:pPr>
      <w:r>
        <w:rPr>
          <w:rFonts w:hint="eastAsia" w:ascii="宋体" w:hAnsi="宋体" w:eastAsia="宋体" w:cs="宋体"/>
          <w:b/>
          <w:color w:val="auto"/>
          <w:lang w:bidi="ar"/>
        </w:rPr>
        <w:t>2、技术分……………………………………………………………………………………满分</w:t>
      </w:r>
      <w:r>
        <w:rPr>
          <w:rFonts w:hint="eastAsia" w:ascii="宋体" w:hAnsi="宋体" w:eastAsia="宋体" w:cs="宋体"/>
          <w:b/>
          <w:color w:val="auto"/>
          <w:lang w:val="en-US" w:eastAsia="zh-CN" w:bidi="ar"/>
        </w:rPr>
        <w:t>85</w:t>
      </w:r>
      <w:r>
        <w:rPr>
          <w:rFonts w:hint="eastAsia" w:ascii="宋体" w:hAnsi="宋体" w:eastAsia="宋体" w:cs="宋体"/>
          <w:b/>
          <w:color w:val="auto"/>
          <w:lang w:bidi="ar"/>
        </w:rPr>
        <w:t xml:space="preserve">分 </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eastAsia" w:asciiTheme="minorEastAsia" w:hAnsiTheme="minorEastAsia" w:eastAsiaTheme="minorEastAsia" w:cstheme="minorEastAsia"/>
          <w:b/>
          <w:bCs/>
          <w:color w:val="auto"/>
          <w:lang w:bidi="ar"/>
        </w:rPr>
      </w:pPr>
      <w:r>
        <w:rPr>
          <w:rFonts w:hint="eastAsia" w:asciiTheme="minorEastAsia" w:hAnsiTheme="minorEastAsia" w:eastAsiaTheme="minorEastAsia" w:cstheme="minorEastAsia"/>
          <w:b/>
          <w:bCs/>
          <w:color w:val="auto"/>
          <w:lang w:val="en-US" w:eastAsia="zh-CN" w:bidi="ar"/>
        </w:rPr>
        <w:t>（1）</w:t>
      </w:r>
      <w:r>
        <w:rPr>
          <w:rFonts w:hint="eastAsia" w:asciiTheme="minorEastAsia" w:hAnsiTheme="minorEastAsia" w:eastAsiaTheme="minorEastAsia" w:cstheme="minorEastAsia"/>
          <w:b/>
          <w:bCs/>
          <w:color w:val="auto"/>
          <w:lang w:bidi="ar"/>
        </w:rPr>
        <w:t>对项目的认知（此项总分</w:t>
      </w:r>
      <w:r>
        <w:rPr>
          <w:rFonts w:hint="eastAsia" w:asciiTheme="minorEastAsia" w:hAnsiTheme="minorEastAsia" w:eastAsiaTheme="minorEastAsia" w:cstheme="minorEastAsia"/>
          <w:b/>
          <w:bCs/>
          <w:color w:val="auto"/>
          <w:lang w:val="en-US" w:eastAsia="zh-CN" w:bidi="ar"/>
        </w:rPr>
        <w:t>25</w:t>
      </w:r>
      <w:r>
        <w:rPr>
          <w:rFonts w:hint="eastAsia" w:asciiTheme="minorEastAsia" w:hAnsiTheme="minorEastAsia" w:eastAsiaTheme="minorEastAsia" w:cstheme="minorEastAsia"/>
          <w:b/>
          <w:bCs/>
          <w:color w:val="auto"/>
          <w:lang w:bidi="ar"/>
        </w:rPr>
        <w:t>分）</w:t>
      </w:r>
    </w:p>
    <w:p>
      <w:pPr>
        <w:keepNext w:val="0"/>
        <w:keepLines w:val="0"/>
        <w:pageBreakBefore w:val="0"/>
        <w:widowControl/>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lang w:val="en-US" w:eastAsia="zh-CN" w:bidi="ar"/>
        </w:rPr>
      </w:pPr>
      <w:r>
        <w:rPr>
          <w:rFonts w:hint="eastAsia" w:ascii="宋体" w:hAnsi="宋体" w:eastAsia="宋体" w:cs="宋体"/>
          <w:color w:val="auto"/>
          <w:lang w:bidi="ar"/>
        </w:rPr>
        <w:t>一档（</w:t>
      </w:r>
      <w:r>
        <w:rPr>
          <w:rFonts w:hint="eastAsia" w:ascii="宋体" w:hAnsi="宋体" w:eastAsia="宋体" w:cs="宋体"/>
          <w:color w:val="auto"/>
          <w:lang w:val="en-US" w:eastAsia="zh-CN" w:bidi="ar"/>
        </w:rPr>
        <w:t>0～8</w:t>
      </w:r>
      <w:r>
        <w:rPr>
          <w:rFonts w:hint="eastAsia" w:ascii="宋体" w:hAnsi="宋体" w:eastAsia="宋体" w:cs="宋体"/>
          <w:color w:val="auto"/>
          <w:lang w:bidi="ar"/>
        </w:rPr>
        <w:t>分）：对</w:t>
      </w:r>
      <w:r>
        <w:rPr>
          <w:rFonts w:hint="eastAsia" w:ascii="宋体" w:hAnsi="宋体" w:eastAsia="宋体" w:cs="宋体"/>
          <w:color w:val="auto"/>
          <w:lang w:eastAsia="zh-CN" w:bidi="ar"/>
        </w:rPr>
        <w:t>凤山县县域农村生活污水治理</w:t>
      </w:r>
      <w:r>
        <w:rPr>
          <w:rFonts w:hint="eastAsia" w:ascii="宋体" w:hAnsi="宋体" w:eastAsia="宋体" w:cs="宋体"/>
          <w:color w:val="auto"/>
          <w:lang w:bidi="ar"/>
        </w:rPr>
        <w:t>现状的了解不足，有分析的内容，分析合理。</w:t>
      </w:r>
    </w:p>
    <w:p>
      <w:pPr>
        <w:keepNext w:val="0"/>
        <w:keepLines w:val="0"/>
        <w:pageBreakBefore w:val="0"/>
        <w:widowControl/>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lang w:bidi="ar"/>
        </w:rPr>
      </w:pPr>
      <w:r>
        <w:rPr>
          <w:rFonts w:hint="eastAsia" w:ascii="宋体" w:hAnsi="宋体" w:eastAsia="宋体" w:cs="宋体"/>
          <w:color w:val="auto"/>
          <w:lang w:eastAsia="zh-CN" w:bidi="ar"/>
        </w:rPr>
        <w:t>二</w:t>
      </w:r>
      <w:r>
        <w:rPr>
          <w:rFonts w:hint="eastAsia" w:ascii="宋体" w:hAnsi="宋体" w:eastAsia="宋体" w:cs="宋体"/>
          <w:color w:val="auto"/>
          <w:lang w:bidi="ar"/>
        </w:rPr>
        <w:t>档（</w:t>
      </w:r>
      <w:r>
        <w:rPr>
          <w:rFonts w:hint="eastAsia" w:ascii="宋体" w:hAnsi="宋体" w:eastAsia="宋体" w:cs="宋体"/>
          <w:color w:val="auto"/>
          <w:lang w:val="en-US" w:eastAsia="zh-CN" w:bidi="ar"/>
        </w:rPr>
        <w:t>8.1～16</w:t>
      </w:r>
      <w:r>
        <w:rPr>
          <w:rFonts w:hint="eastAsia" w:ascii="宋体" w:hAnsi="宋体" w:eastAsia="宋体" w:cs="宋体"/>
          <w:color w:val="auto"/>
          <w:lang w:bidi="ar"/>
        </w:rPr>
        <w:t>分）：对</w:t>
      </w:r>
      <w:r>
        <w:rPr>
          <w:rFonts w:hint="eastAsia" w:ascii="宋体" w:hAnsi="宋体" w:eastAsia="宋体" w:cs="宋体"/>
          <w:color w:val="auto"/>
          <w:lang w:eastAsia="zh-CN" w:bidi="ar"/>
        </w:rPr>
        <w:t>凤山县县域农村生活污水治理</w:t>
      </w:r>
      <w:r>
        <w:rPr>
          <w:rFonts w:hint="eastAsia" w:ascii="宋体" w:hAnsi="宋体" w:eastAsia="宋体" w:cs="宋体"/>
          <w:color w:val="auto"/>
          <w:lang w:bidi="ar"/>
        </w:rPr>
        <w:t>现状有基础的了解，分析合理、内容全面，内容详细。</w:t>
      </w:r>
    </w:p>
    <w:p>
      <w:pPr>
        <w:keepNext w:val="0"/>
        <w:keepLines w:val="0"/>
        <w:pageBreakBefore w:val="0"/>
        <w:widowControl/>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宋体" w:hAnsi="宋体" w:eastAsia="宋体" w:cs="宋体"/>
          <w:color w:val="auto"/>
          <w:lang w:bidi="ar"/>
        </w:rPr>
      </w:pPr>
      <w:r>
        <w:rPr>
          <w:rFonts w:hint="eastAsia" w:ascii="宋体" w:hAnsi="宋体" w:eastAsia="宋体" w:cs="宋体"/>
          <w:color w:val="auto"/>
          <w:lang w:eastAsia="zh-CN" w:bidi="ar"/>
        </w:rPr>
        <w:t>三</w:t>
      </w:r>
      <w:r>
        <w:rPr>
          <w:rFonts w:hint="eastAsia" w:ascii="宋体" w:hAnsi="宋体" w:eastAsia="宋体" w:cs="宋体"/>
          <w:color w:val="auto"/>
          <w:lang w:bidi="ar"/>
        </w:rPr>
        <w:t>档（</w:t>
      </w:r>
      <w:r>
        <w:rPr>
          <w:rFonts w:hint="eastAsia" w:ascii="宋体" w:hAnsi="宋体" w:eastAsia="宋体" w:cs="宋体"/>
          <w:color w:val="auto"/>
          <w:lang w:val="en-US" w:eastAsia="zh-CN" w:bidi="ar"/>
        </w:rPr>
        <w:t>16.1～25</w:t>
      </w:r>
      <w:r>
        <w:rPr>
          <w:rFonts w:hint="eastAsia" w:ascii="宋体" w:hAnsi="宋体" w:eastAsia="宋体" w:cs="宋体"/>
          <w:color w:val="auto"/>
          <w:lang w:bidi="ar"/>
        </w:rPr>
        <w:t>分）：对</w:t>
      </w:r>
      <w:r>
        <w:rPr>
          <w:rFonts w:hint="eastAsia" w:ascii="宋体" w:hAnsi="宋体" w:eastAsia="宋体" w:cs="宋体"/>
          <w:color w:val="auto"/>
          <w:lang w:eastAsia="zh-CN" w:bidi="ar"/>
        </w:rPr>
        <w:t>凤山县县域农村生活污水治理</w:t>
      </w:r>
      <w:r>
        <w:rPr>
          <w:rFonts w:hint="eastAsia" w:ascii="宋体" w:hAnsi="宋体" w:eastAsia="宋体" w:cs="宋体"/>
          <w:color w:val="auto"/>
          <w:lang w:bidi="ar"/>
        </w:rPr>
        <w:t>现状的了解清楚、准确，分析科学全面、透彻、内容详细，有针对性地提出观点和内容。</w:t>
      </w:r>
    </w:p>
    <w:p>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eastAsia" w:asciiTheme="minorEastAsia" w:hAnsiTheme="minorEastAsia" w:eastAsiaTheme="minorEastAsia" w:cstheme="minorEastAsia"/>
          <w:b/>
          <w:bCs/>
          <w:color w:val="auto"/>
          <w:lang w:bidi="ar"/>
        </w:rPr>
      </w:pPr>
      <w:r>
        <w:rPr>
          <w:rFonts w:hint="eastAsia" w:asciiTheme="minorEastAsia" w:hAnsiTheme="minorEastAsia" w:eastAsiaTheme="minorEastAsia" w:cstheme="minorEastAsia"/>
          <w:b/>
          <w:bCs/>
          <w:color w:val="auto"/>
          <w:lang w:eastAsia="zh-CN" w:bidi="ar"/>
        </w:rPr>
        <w:t>（</w:t>
      </w:r>
      <w:r>
        <w:rPr>
          <w:rFonts w:hint="eastAsia" w:asciiTheme="minorEastAsia" w:hAnsiTheme="minorEastAsia" w:eastAsiaTheme="minorEastAsia" w:cstheme="minorEastAsia"/>
          <w:b/>
          <w:bCs/>
          <w:color w:val="auto"/>
          <w:lang w:val="en-US" w:eastAsia="zh-CN" w:bidi="ar"/>
        </w:rPr>
        <w:t>2</w:t>
      </w:r>
      <w:r>
        <w:rPr>
          <w:rFonts w:hint="eastAsia" w:asciiTheme="minorEastAsia" w:hAnsiTheme="minorEastAsia" w:eastAsiaTheme="minorEastAsia" w:cstheme="minorEastAsia"/>
          <w:b/>
          <w:bCs/>
          <w:color w:val="auto"/>
          <w:lang w:eastAsia="zh-CN" w:bidi="ar"/>
        </w:rPr>
        <w:t>）</w:t>
      </w:r>
      <w:r>
        <w:rPr>
          <w:rFonts w:hint="eastAsia" w:asciiTheme="minorEastAsia" w:hAnsiTheme="minorEastAsia" w:eastAsiaTheme="minorEastAsia" w:cstheme="minorEastAsia"/>
          <w:b/>
          <w:bCs/>
          <w:color w:val="auto"/>
          <w:lang w:bidi="ar"/>
        </w:rPr>
        <w:t>规划目标及</w:t>
      </w:r>
      <w:r>
        <w:rPr>
          <w:rFonts w:hint="eastAsia" w:asciiTheme="minorEastAsia" w:hAnsiTheme="minorEastAsia" w:eastAsiaTheme="minorEastAsia" w:cstheme="minorEastAsia"/>
          <w:b/>
          <w:bCs/>
          <w:color w:val="auto"/>
          <w:lang w:eastAsia="zh-CN" w:bidi="ar"/>
        </w:rPr>
        <w:t>技术路线</w:t>
      </w:r>
      <w:r>
        <w:rPr>
          <w:rFonts w:hint="eastAsia" w:asciiTheme="minorEastAsia" w:hAnsiTheme="minorEastAsia" w:eastAsiaTheme="minorEastAsia" w:cstheme="minorEastAsia"/>
          <w:b/>
          <w:bCs/>
          <w:color w:val="auto"/>
          <w:lang w:bidi="ar"/>
        </w:rPr>
        <w:t>（此项总分</w:t>
      </w:r>
      <w:r>
        <w:rPr>
          <w:rFonts w:hint="eastAsia" w:asciiTheme="minorEastAsia" w:hAnsiTheme="minorEastAsia" w:eastAsiaTheme="minorEastAsia" w:cstheme="minorEastAsia"/>
          <w:b/>
          <w:bCs/>
          <w:color w:val="auto"/>
          <w:lang w:val="en-US" w:eastAsia="zh-CN" w:bidi="ar"/>
        </w:rPr>
        <w:t>35</w:t>
      </w:r>
      <w:r>
        <w:rPr>
          <w:rFonts w:hint="eastAsia" w:asciiTheme="minorEastAsia" w:hAnsiTheme="minorEastAsia" w:eastAsiaTheme="minorEastAsia" w:cstheme="minorEastAsia"/>
          <w:b/>
          <w:bCs/>
          <w:color w:val="auto"/>
          <w:lang w:bidi="ar"/>
        </w:rPr>
        <w:t>分）</w:t>
      </w:r>
    </w:p>
    <w:p>
      <w:pPr>
        <w:keepNext w:val="0"/>
        <w:keepLines w:val="0"/>
        <w:pageBreakBefore w:val="0"/>
        <w:widowControl/>
        <w:kinsoku/>
        <w:wordWrap/>
        <w:overflowPunct/>
        <w:topLinePunct w:val="0"/>
        <w:autoSpaceDE/>
        <w:autoSpaceDN/>
        <w:bidi w:val="0"/>
        <w:adjustRightInd w:val="0"/>
        <w:snapToGrid w:val="0"/>
        <w:spacing w:after="0" w:line="440" w:lineRule="exact"/>
        <w:ind w:firstLine="440" w:firstLineChars="200"/>
        <w:jc w:val="left"/>
        <w:textAlignment w:val="auto"/>
        <w:rPr>
          <w:rFonts w:hint="eastAsia" w:eastAsia="宋体" w:asciiTheme="minorEastAsia" w:hAnsiTheme="minorEastAsia" w:cstheme="minorEastAsia"/>
          <w:bCs/>
          <w:color w:val="auto"/>
          <w:szCs w:val="20"/>
          <w:lang w:val="en-US" w:eastAsia="zh-CN"/>
        </w:rPr>
      </w:pPr>
      <w:r>
        <w:rPr>
          <w:rFonts w:hint="eastAsia" w:ascii="宋体" w:hAnsi="宋体" w:eastAsia="宋体" w:cs="宋体"/>
          <w:color w:val="auto"/>
          <w:lang w:bidi="ar"/>
        </w:rPr>
        <w:t>一档（</w:t>
      </w:r>
      <w:r>
        <w:rPr>
          <w:rFonts w:hint="eastAsia" w:ascii="宋体" w:hAnsi="宋体" w:eastAsia="宋体" w:cs="宋体"/>
          <w:color w:val="auto"/>
          <w:lang w:val="en-US" w:eastAsia="zh-CN" w:bidi="ar"/>
        </w:rPr>
        <w:t>0～11</w:t>
      </w:r>
      <w:r>
        <w:rPr>
          <w:rFonts w:hint="eastAsia" w:ascii="宋体" w:hAnsi="宋体" w:eastAsia="宋体" w:cs="宋体"/>
          <w:color w:val="auto"/>
          <w:lang w:bidi="ar"/>
        </w:rPr>
        <w:t>分）：</w:t>
      </w:r>
      <w:r>
        <w:rPr>
          <w:rFonts w:hint="eastAsia" w:ascii="宋体" w:hAnsi="宋体" w:eastAsia="宋体" w:cs="宋体"/>
          <w:color w:val="auto"/>
          <w:lang w:eastAsia="zh-CN" w:bidi="ar"/>
        </w:rPr>
        <w:t>能基本明确</w:t>
      </w:r>
      <w:r>
        <w:rPr>
          <w:rFonts w:hint="eastAsia" w:asciiTheme="minorEastAsia" w:hAnsiTheme="minorEastAsia" w:eastAsiaTheme="minorEastAsia" w:cstheme="minorEastAsia"/>
          <w:bCs/>
          <w:color w:val="auto"/>
          <w:szCs w:val="20"/>
          <w:lang w:eastAsia="zh-CN"/>
        </w:rPr>
        <w:t>凤山县县域农村生活污水治理</w:t>
      </w:r>
      <w:r>
        <w:rPr>
          <w:rFonts w:hint="eastAsia" w:asciiTheme="minorEastAsia" w:hAnsiTheme="minorEastAsia" w:eastAsiaTheme="minorEastAsia" w:cstheme="minorEastAsia"/>
          <w:bCs/>
          <w:color w:val="auto"/>
          <w:szCs w:val="20"/>
        </w:rPr>
        <w:t>的规划目标</w:t>
      </w:r>
      <w:r>
        <w:rPr>
          <w:rFonts w:hint="eastAsia" w:asciiTheme="minorEastAsia" w:hAnsiTheme="minorEastAsia" w:eastAsiaTheme="minorEastAsia" w:cstheme="minorEastAsia"/>
          <w:bCs/>
          <w:color w:val="auto"/>
          <w:szCs w:val="20"/>
          <w:lang w:eastAsia="zh-CN"/>
        </w:rPr>
        <w:t>，规划技术路线</w:t>
      </w:r>
      <w:r>
        <w:rPr>
          <w:rFonts w:hint="eastAsia" w:asciiTheme="minorEastAsia" w:hAnsiTheme="minorEastAsia" w:eastAsiaTheme="minorEastAsia" w:cstheme="minorEastAsia"/>
          <w:bCs/>
          <w:color w:val="auto"/>
          <w:szCs w:val="20"/>
        </w:rPr>
        <w:t>阐述较简单</w:t>
      </w:r>
      <w:r>
        <w:rPr>
          <w:rFonts w:hint="eastAsia" w:asciiTheme="minorEastAsia" w:hAnsiTheme="minorEastAsia" w:eastAsiaTheme="minorEastAsia" w:cstheme="minorEastAsia"/>
          <w:bCs/>
          <w:color w:val="auto"/>
          <w:szCs w:val="20"/>
          <w:lang w:eastAsia="zh-CN"/>
        </w:rPr>
        <w:t>，各项内容描述简单，同比一般，综合评价一般</w:t>
      </w:r>
      <w:r>
        <w:rPr>
          <w:rFonts w:hint="eastAsia" w:ascii="宋体" w:hAnsi="宋体" w:eastAsia="宋体" w:cs="宋体"/>
          <w:color w:val="auto"/>
          <w:lang w:bidi="ar"/>
        </w:rPr>
        <w:t>。</w:t>
      </w:r>
      <w:r>
        <w:rPr>
          <w:rFonts w:hint="eastAsia" w:ascii="宋体" w:hAnsi="宋体" w:eastAsia="宋体" w:cs="宋体"/>
          <w:color w:val="auto"/>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after="0" w:line="440" w:lineRule="exact"/>
        <w:ind w:firstLine="440" w:firstLineChars="200"/>
        <w:jc w:val="left"/>
        <w:textAlignment w:val="auto"/>
        <w:rPr>
          <w:rFonts w:hint="eastAsia" w:asciiTheme="minorEastAsia" w:hAnsiTheme="minorEastAsia" w:eastAsiaTheme="minorEastAsia" w:cstheme="minorEastAsia"/>
          <w:bCs/>
          <w:color w:val="auto"/>
          <w:szCs w:val="20"/>
        </w:rPr>
      </w:pPr>
      <w:r>
        <w:rPr>
          <w:rFonts w:hint="eastAsia" w:ascii="宋体" w:hAnsi="宋体" w:eastAsia="宋体" w:cs="宋体"/>
          <w:color w:val="auto"/>
          <w:lang w:eastAsia="zh-CN" w:bidi="ar"/>
        </w:rPr>
        <w:t>二</w:t>
      </w:r>
      <w:r>
        <w:rPr>
          <w:rFonts w:hint="eastAsia" w:ascii="宋体" w:hAnsi="宋体" w:eastAsia="宋体" w:cs="宋体"/>
          <w:color w:val="auto"/>
          <w:lang w:bidi="ar"/>
        </w:rPr>
        <w:t>档（</w:t>
      </w:r>
      <w:r>
        <w:rPr>
          <w:rFonts w:hint="eastAsia" w:ascii="宋体" w:hAnsi="宋体" w:eastAsia="宋体" w:cs="宋体"/>
          <w:color w:val="auto"/>
          <w:lang w:val="en-US" w:eastAsia="zh-CN" w:bidi="ar"/>
        </w:rPr>
        <w:t>11.1～23</w:t>
      </w:r>
      <w:r>
        <w:rPr>
          <w:rFonts w:hint="eastAsia" w:ascii="宋体" w:hAnsi="宋体" w:eastAsia="宋体" w:cs="宋体"/>
          <w:color w:val="auto"/>
          <w:lang w:bidi="ar"/>
        </w:rPr>
        <w:t>分）：</w:t>
      </w:r>
      <w:r>
        <w:rPr>
          <w:rFonts w:hint="eastAsia" w:ascii="宋体" w:hAnsi="宋体" w:eastAsia="宋体" w:cs="宋体"/>
          <w:color w:val="auto"/>
          <w:lang w:eastAsia="zh-CN" w:bidi="ar"/>
        </w:rPr>
        <w:t>能</w:t>
      </w:r>
      <w:r>
        <w:rPr>
          <w:rFonts w:hint="eastAsia" w:asciiTheme="minorEastAsia" w:hAnsiTheme="minorEastAsia" w:eastAsiaTheme="minorEastAsia" w:cstheme="minorEastAsia"/>
          <w:bCs/>
          <w:color w:val="auto"/>
          <w:szCs w:val="20"/>
        </w:rPr>
        <w:t>明确</w:t>
      </w:r>
      <w:r>
        <w:rPr>
          <w:rFonts w:hint="eastAsia" w:asciiTheme="minorEastAsia" w:hAnsiTheme="minorEastAsia" w:eastAsiaTheme="minorEastAsia" w:cstheme="minorEastAsia"/>
          <w:bCs/>
          <w:color w:val="auto"/>
          <w:szCs w:val="20"/>
          <w:lang w:eastAsia="zh-CN"/>
        </w:rPr>
        <w:t>凤山县县域农村生活污水治理</w:t>
      </w:r>
      <w:r>
        <w:rPr>
          <w:rFonts w:hint="eastAsia" w:asciiTheme="minorEastAsia" w:hAnsiTheme="minorEastAsia" w:eastAsiaTheme="minorEastAsia" w:cstheme="minorEastAsia"/>
          <w:bCs/>
          <w:color w:val="auto"/>
          <w:szCs w:val="20"/>
        </w:rPr>
        <w:t>的规划目标</w:t>
      </w:r>
      <w:r>
        <w:rPr>
          <w:rFonts w:hint="eastAsia" w:asciiTheme="minorEastAsia" w:hAnsiTheme="minorEastAsia" w:eastAsiaTheme="minorEastAsia" w:cstheme="minorEastAsia"/>
          <w:bCs/>
          <w:color w:val="auto"/>
          <w:szCs w:val="20"/>
          <w:lang w:eastAsia="zh-CN"/>
        </w:rPr>
        <w:t>，规划技术路线依据《县域农村生活污水治理专项规划编制指南（试行）》等相关标准规范，技术路线清晰、设计合理可行，各项内容完整，同比较好，综合评价良好</w:t>
      </w:r>
      <w:r>
        <w:rPr>
          <w:rFonts w:hint="eastAsia" w:ascii="宋体" w:hAnsi="宋体" w:eastAsia="宋体" w:cs="宋体"/>
          <w:color w:val="auto"/>
          <w:lang w:bidi="ar"/>
        </w:rPr>
        <w:t>。</w:t>
      </w:r>
    </w:p>
    <w:p>
      <w:pPr>
        <w:spacing w:after="0" w:line="440" w:lineRule="exact"/>
        <w:ind w:firstLine="440"/>
        <w:jc w:val="left"/>
        <w:rPr>
          <w:rFonts w:hint="eastAsia" w:asciiTheme="minorEastAsia" w:hAnsiTheme="minorEastAsia" w:eastAsiaTheme="minorEastAsia" w:cstheme="minorEastAsia"/>
          <w:bCs/>
          <w:color w:val="auto"/>
          <w:szCs w:val="20"/>
          <w:lang w:bidi="ar"/>
        </w:rPr>
      </w:pPr>
      <w:r>
        <w:rPr>
          <w:rFonts w:hint="eastAsia" w:asciiTheme="minorEastAsia" w:hAnsiTheme="minorEastAsia" w:eastAsiaTheme="minorEastAsia" w:cstheme="minorEastAsia"/>
          <w:bCs/>
          <w:color w:val="auto"/>
          <w:szCs w:val="20"/>
          <w:lang w:eastAsia="zh-CN" w:bidi="ar"/>
        </w:rPr>
        <w:t>三</w:t>
      </w:r>
      <w:r>
        <w:rPr>
          <w:rFonts w:hint="eastAsia" w:asciiTheme="minorEastAsia" w:hAnsiTheme="minorEastAsia" w:eastAsiaTheme="minorEastAsia" w:cstheme="minorEastAsia"/>
          <w:bCs/>
          <w:color w:val="auto"/>
          <w:szCs w:val="20"/>
          <w:lang w:bidi="ar"/>
        </w:rPr>
        <w:t>档（</w:t>
      </w:r>
      <w:r>
        <w:rPr>
          <w:rFonts w:hint="eastAsia" w:asciiTheme="minorEastAsia" w:hAnsiTheme="minorEastAsia" w:eastAsiaTheme="minorEastAsia" w:cstheme="minorEastAsia"/>
          <w:bCs/>
          <w:color w:val="auto"/>
          <w:szCs w:val="20"/>
          <w:lang w:val="en-US" w:eastAsia="zh-CN" w:bidi="ar"/>
        </w:rPr>
        <w:t>23.1～35</w:t>
      </w:r>
      <w:r>
        <w:rPr>
          <w:rFonts w:hint="eastAsia" w:asciiTheme="minorEastAsia" w:hAnsiTheme="minorEastAsia" w:eastAsiaTheme="minorEastAsia" w:cstheme="minorEastAsia"/>
          <w:bCs/>
          <w:color w:val="auto"/>
          <w:szCs w:val="20"/>
          <w:lang w:bidi="ar"/>
        </w:rPr>
        <w:t>分）：</w:t>
      </w:r>
      <w:r>
        <w:rPr>
          <w:rFonts w:hint="eastAsia" w:asciiTheme="minorEastAsia" w:hAnsiTheme="minorEastAsia" w:eastAsiaTheme="minorEastAsia" w:cstheme="minorEastAsia"/>
          <w:bCs/>
          <w:color w:val="auto"/>
          <w:szCs w:val="20"/>
          <w:lang w:eastAsia="zh-CN" w:bidi="ar"/>
        </w:rPr>
        <w:t>能</w:t>
      </w:r>
      <w:r>
        <w:rPr>
          <w:rFonts w:hint="eastAsia" w:asciiTheme="minorEastAsia" w:hAnsiTheme="minorEastAsia" w:eastAsiaTheme="minorEastAsia" w:cstheme="minorEastAsia"/>
          <w:bCs/>
          <w:color w:val="auto"/>
          <w:szCs w:val="20"/>
          <w:lang w:bidi="ar"/>
        </w:rPr>
        <w:t>明确</w:t>
      </w:r>
      <w:r>
        <w:rPr>
          <w:rFonts w:hint="eastAsia" w:asciiTheme="minorEastAsia" w:hAnsiTheme="minorEastAsia" w:eastAsiaTheme="minorEastAsia" w:cstheme="minorEastAsia"/>
          <w:bCs/>
          <w:color w:val="auto"/>
          <w:szCs w:val="20"/>
          <w:lang w:eastAsia="zh-CN" w:bidi="ar"/>
        </w:rPr>
        <w:t>凤山县县域农村生活污水治理</w:t>
      </w:r>
      <w:r>
        <w:rPr>
          <w:rFonts w:hint="eastAsia" w:asciiTheme="minorEastAsia" w:hAnsiTheme="minorEastAsia" w:eastAsiaTheme="minorEastAsia" w:cstheme="minorEastAsia"/>
          <w:bCs/>
          <w:color w:val="auto"/>
          <w:szCs w:val="20"/>
          <w:lang w:bidi="ar"/>
        </w:rPr>
        <w:t>的规划目标、</w:t>
      </w:r>
      <w:r>
        <w:rPr>
          <w:rFonts w:hint="eastAsia" w:asciiTheme="minorEastAsia" w:hAnsiTheme="minorEastAsia" w:eastAsiaTheme="minorEastAsia" w:cstheme="minorEastAsia"/>
          <w:bCs/>
          <w:color w:val="auto"/>
          <w:szCs w:val="20"/>
          <w:lang w:eastAsia="zh-CN" w:bidi="ar"/>
        </w:rPr>
        <w:t>规划目标合理，规划技术路线依据《县域农村生活污水治理专项规划编制指南（试行）》等相关标准规范，</w:t>
      </w:r>
      <w:r>
        <w:rPr>
          <w:rFonts w:hint="eastAsia" w:asciiTheme="minorEastAsia" w:hAnsiTheme="minorEastAsia" w:eastAsiaTheme="minorEastAsia" w:cstheme="minorEastAsia"/>
          <w:bCs/>
          <w:color w:val="auto"/>
          <w:szCs w:val="20"/>
          <w:lang w:bidi="ar"/>
        </w:rPr>
        <w:t>技术路线清晰、</w:t>
      </w:r>
      <w:r>
        <w:rPr>
          <w:rFonts w:hint="eastAsia" w:asciiTheme="minorEastAsia" w:hAnsiTheme="minorEastAsia" w:eastAsiaTheme="minorEastAsia" w:cstheme="minorEastAsia"/>
          <w:bCs/>
          <w:color w:val="auto"/>
          <w:szCs w:val="20"/>
          <w:lang w:eastAsia="zh-CN" w:bidi="ar"/>
        </w:rPr>
        <w:t>可行</w:t>
      </w:r>
      <w:r>
        <w:rPr>
          <w:rFonts w:hint="eastAsia" w:asciiTheme="minorEastAsia" w:hAnsiTheme="minorEastAsia" w:eastAsiaTheme="minorEastAsia" w:cstheme="minorEastAsia"/>
          <w:bCs/>
          <w:color w:val="auto"/>
          <w:szCs w:val="20"/>
          <w:lang w:bidi="ar"/>
        </w:rPr>
        <w:t>、设计合理，可操作性</w:t>
      </w:r>
      <w:r>
        <w:rPr>
          <w:rFonts w:hint="eastAsia" w:asciiTheme="minorEastAsia" w:hAnsiTheme="minorEastAsia" w:eastAsiaTheme="minorEastAsia" w:cstheme="minorEastAsia"/>
          <w:bCs/>
          <w:color w:val="auto"/>
          <w:szCs w:val="20"/>
          <w:lang w:eastAsia="zh-CN" w:bidi="ar"/>
        </w:rPr>
        <w:t>强、投资估算合理，各项内容详细完整，同比良好，综合评价优秀</w:t>
      </w:r>
      <w:r>
        <w:rPr>
          <w:rFonts w:hint="eastAsia" w:asciiTheme="minorEastAsia" w:hAnsiTheme="minorEastAsia" w:eastAsiaTheme="minorEastAsia" w:cstheme="minorEastAsia"/>
          <w:bCs/>
          <w:color w:val="auto"/>
          <w:szCs w:val="20"/>
          <w:lang w:bidi="ar"/>
        </w:rPr>
        <w:t>。</w:t>
      </w:r>
    </w:p>
    <w:p>
      <w:pPr>
        <w:pStyle w:val="28"/>
        <w:spacing w:before="100" w:after="100"/>
        <w:rPr>
          <w:rFonts w:hint="eastAsia" w:asciiTheme="minorEastAsia" w:hAnsiTheme="minorEastAsia" w:eastAsiaTheme="minorEastAsia" w:cstheme="minorEastAsia"/>
          <w:b/>
          <w:bCs/>
          <w:color w:val="auto"/>
          <w:sz w:val="22"/>
          <w:szCs w:val="22"/>
          <w:lang w:val="en-US" w:eastAsia="zh-CN" w:bidi="ar"/>
        </w:rPr>
      </w:pPr>
      <w:r>
        <w:rPr>
          <w:rFonts w:hint="eastAsia" w:asciiTheme="minorEastAsia" w:hAnsiTheme="minorEastAsia" w:eastAsiaTheme="minorEastAsia" w:cstheme="minorEastAsia"/>
          <w:b/>
          <w:bCs/>
          <w:color w:val="auto"/>
          <w:sz w:val="22"/>
          <w:szCs w:val="22"/>
          <w:lang w:val="en-US" w:eastAsia="zh-CN" w:bidi="ar"/>
        </w:rPr>
        <w:t xml:space="preserve">（3）实施方案分（满分15分）  </w:t>
      </w:r>
    </w:p>
    <w:p>
      <w:pPr>
        <w:spacing w:after="0" w:line="420" w:lineRule="exact"/>
        <w:ind w:firstLine="440" w:firstLineChars="200"/>
        <w:jc w:val="left"/>
        <w:rPr>
          <w:rFonts w:hint="eastAsia" w:asciiTheme="minorEastAsia" w:hAnsiTheme="minorEastAsia" w:eastAsiaTheme="minorEastAsia" w:cstheme="minorEastAsia"/>
          <w:bCs/>
          <w:color w:val="auto"/>
          <w:szCs w:val="20"/>
        </w:rPr>
      </w:pPr>
      <w:r>
        <w:rPr>
          <w:rFonts w:hint="eastAsia" w:asciiTheme="minorEastAsia" w:hAnsiTheme="minorEastAsia" w:eastAsiaTheme="minorEastAsia" w:cstheme="minorEastAsia"/>
          <w:bCs/>
          <w:color w:val="auto"/>
          <w:szCs w:val="20"/>
        </w:rPr>
        <w:t>①项目进度安排。（此项总分</w:t>
      </w:r>
      <w:r>
        <w:rPr>
          <w:rFonts w:hint="eastAsia" w:asciiTheme="minorEastAsia" w:hAnsiTheme="minorEastAsia" w:eastAsiaTheme="minorEastAsia" w:cstheme="minorEastAsia"/>
          <w:bCs/>
          <w:color w:val="auto"/>
          <w:szCs w:val="20"/>
          <w:lang w:val="en-US" w:eastAsia="zh-CN"/>
        </w:rPr>
        <w:t>6</w:t>
      </w:r>
      <w:r>
        <w:rPr>
          <w:rFonts w:hint="eastAsia" w:asciiTheme="minorEastAsia" w:hAnsiTheme="minorEastAsia" w:eastAsiaTheme="minorEastAsia" w:cstheme="minorEastAsia"/>
          <w:bCs/>
          <w:color w:val="auto"/>
          <w:szCs w:val="20"/>
        </w:rPr>
        <w:t>分）</w:t>
      </w:r>
    </w:p>
    <w:p>
      <w:pPr>
        <w:spacing w:after="0" w:line="420" w:lineRule="exact"/>
        <w:ind w:firstLine="440" w:firstLineChars="200"/>
        <w:jc w:val="left"/>
        <w:rPr>
          <w:rFonts w:hint="eastAsia" w:asciiTheme="minorEastAsia" w:hAnsiTheme="minorEastAsia" w:eastAsiaTheme="minorEastAsia" w:cstheme="minorEastAsia"/>
          <w:bCs/>
          <w:color w:val="auto"/>
          <w:szCs w:val="20"/>
          <w:lang w:val="en-US" w:eastAsia="zh-CN"/>
        </w:rPr>
      </w:pPr>
      <w:r>
        <w:rPr>
          <w:rFonts w:hint="eastAsia" w:ascii="宋体" w:hAnsi="宋体" w:eastAsia="宋体" w:cs="宋体"/>
          <w:color w:val="auto"/>
          <w:lang w:bidi="ar"/>
        </w:rPr>
        <w:t>一档（</w:t>
      </w:r>
      <w:r>
        <w:rPr>
          <w:rFonts w:hint="eastAsia" w:ascii="宋体" w:hAnsi="宋体" w:eastAsia="宋体" w:cs="宋体"/>
          <w:color w:val="auto"/>
          <w:lang w:val="en-US" w:eastAsia="zh-CN" w:bidi="ar"/>
        </w:rPr>
        <w:t>0～2</w:t>
      </w:r>
      <w:r>
        <w:rPr>
          <w:rFonts w:hint="eastAsia" w:ascii="宋体" w:hAnsi="宋体" w:eastAsia="宋体" w:cs="宋体"/>
          <w:color w:val="auto"/>
          <w:lang w:bidi="ar"/>
        </w:rPr>
        <w:t>分）：</w:t>
      </w:r>
      <w:r>
        <w:rPr>
          <w:rFonts w:hint="eastAsia" w:asciiTheme="minorEastAsia" w:hAnsiTheme="minorEastAsia" w:eastAsiaTheme="minorEastAsia" w:cstheme="minorEastAsia"/>
          <w:bCs/>
          <w:color w:val="auto"/>
          <w:szCs w:val="20"/>
        </w:rPr>
        <w:t>项目进度安排基本符合本项目的各项需求，但不够系统和科学，可操作性一般或不佳</w:t>
      </w:r>
      <w:r>
        <w:rPr>
          <w:rFonts w:hint="eastAsia" w:ascii="宋体" w:hAnsi="宋体" w:eastAsia="宋体" w:cs="宋体"/>
          <w:color w:val="auto"/>
          <w:lang w:bidi="ar"/>
        </w:rPr>
        <w:t>。</w:t>
      </w:r>
    </w:p>
    <w:p>
      <w:pPr>
        <w:spacing w:after="0" w:line="420" w:lineRule="exact"/>
        <w:ind w:firstLine="440" w:firstLineChars="200"/>
        <w:jc w:val="left"/>
        <w:rPr>
          <w:rFonts w:hint="eastAsia" w:asciiTheme="minorEastAsia" w:hAnsiTheme="minorEastAsia" w:eastAsiaTheme="minorEastAsia" w:cstheme="minorEastAsia"/>
          <w:bCs/>
          <w:color w:val="auto"/>
          <w:szCs w:val="20"/>
        </w:rPr>
      </w:pPr>
      <w:r>
        <w:rPr>
          <w:rFonts w:hint="eastAsia" w:ascii="宋体" w:hAnsi="宋体" w:eastAsia="宋体" w:cs="宋体"/>
          <w:color w:val="auto"/>
          <w:lang w:eastAsia="zh-CN" w:bidi="ar"/>
        </w:rPr>
        <w:t>二</w:t>
      </w:r>
      <w:r>
        <w:rPr>
          <w:rFonts w:hint="eastAsia" w:ascii="宋体" w:hAnsi="宋体" w:eastAsia="宋体" w:cs="宋体"/>
          <w:color w:val="auto"/>
          <w:lang w:bidi="ar"/>
        </w:rPr>
        <w:t>档（</w:t>
      </w:r>
      <w:r>
        <w:rPr>
          <w:rFonts w:hint="eastAsia" w:ascii="宋体" w:hAnsi="宋体" w:eastAsia="宋体" w:cs="宋体"/>
          <w:color w:val="auto"/>
          <w:lang w:val="en-US" w:eastAsia="zh-CN" w:bidi="ar"/>
        </w:rPr>
        <w:t>2.1～4</w:t>
      </w:r>
      <w:r>
        <w:rPr>
          <w:rFonts w:hint="eastAsia" w:ascii="宋体" w:hAnsi="宋体" w:eastAsia="宋体" w:cs="宋体"/>
          <w:color w:val="auto"/>
          <w:lang w:bidi="ar"/>
        </w:rPr>
        <w:t>分）：</w:t>
      </w:r>
      <w:r>
        <w:rPr>
          <w:rFonts w:hint="eastAsia" w:asciiTheme="minorEastAsia" w:hAnsiTheme="minorEastAsia" w:eastAsiaTheme="minorEastAsia" w:cstheme="minorEastAsia"/>
          <w:bCs/>
          <w:color w:val="auto"/>
          <w:szCs w:val="20"/>
        </w:rPr>
        <w:t>项目进度安排完全符合本项目的各项需求，但仅部分内容合理科学，具有一定的可操作性</w:t>
      </w:r>
      <w:r>
        <w:rPr>
          <w:rFonts w:hint="eastAsia" w:ascii="宋体" w:hAnsi="宋体" w:eastAsia="宋体" w:cs="宋体"/>
          <w:color w:val="auto"/>
          <w:lang w:bidi="ar"/>
        </w:rPr>
        <w:t>。</w:t>
      </w:r>
    </w:p>
    <w:p>
      <w:pPr>
        <w:spacing w:after="200" w:line="420" w:lineRule="exact"/>
        <w:ind w:firstLine="440" w:firstLineChars="200"/>
        <w:jc w:val="left"/>
        <w:rPr>
          <w:rFonts w:hint="eastAsia" w:asciiTheme="minorEastAsia" w:hAnsiTheme="minorEastAsia" w:eastAsiaTheme="minorEastAsia" w:cstheme="minorEastAsia"/>
          <w:bCs/>
          <w:color w:val="auto"/>
          <w:szCs w:val="20"/>
        </w:rPr>
      </w:pPr>
      <w:r>
        <w:rPr>
          <w:rFonts w:hint="eastAsia" w:ascii="宋体" w:hAnsi="宋体" w:eastAsia="宋体" w:cs="宋体"/>
          <w:color w:val="auto"/>
          <w:lang w:eastAsia="zh-CN" w:bidi="ar"/>
        </w:rPr>
        <w:t>三</w:t>
      </w:r>
      <w:r>
        <w:rPr>
          <w:rFonts w:hint="eastAsia" w:ascii="宋体" w:hAnsi="宋体" w:eastAsia="宋体" w:cs="宋体"/>
          <w:color w:val="auto"/>
          <w:lang w:bidi="ar"/>
        </w:rPr>
        <w:t>档（</w:t>
      </w:r>
      <w:r>
        <w:rPr>
          <w:rFonts w:hint="eastAsia" w:ascii="宋体" w:hAnsi="宋体" w:eastAsia="宋体" w:cs="宋体"/>
          <w:color w:val="auto"/>
          <w:lang w:val="en-US" w:eastAsia="zh-CN" w:bidi="ar"/>
        </w:rPr>
        <w:t>4.1～6</w:t>
      </w:r>
      <w:r>
        <w:rPr>
          <w:rFonts w:hint="eastAsia" w:ascii="宋体" w:hAnsi="宋体" w:eastAsia="宋体" w:cs="宋体"/>
          <w:color w:val="auto"/>
          <w:lang w:bidi="ar"/>
        </w:rPr>
        <w:t>分）：</w:t>
      </w:r>
      <w:r>
        <w:rPr>
          <w:rFonts w:hint="eastAsia" w:asciiTheme="minorEastAsia" w:hAnsiTheme="minorEastAsia" w:eastAsiaTheme="minorEastAsia" w:cstheme="minorEastAsia"/>
          <w:bCs/>
          <w:color w:val="auto"/>
          <w:szCs w:val="20"/>
        </w:rPr>
        <w:t>项目进度安排完全符合本项目的各项需求，内容完整，合理科学，表达清楚，具有很强的可操作性</w:t>
      </w:r>
      <w:r>
        <w:rPr>
          <w:rFonts w:hint="eastAsia" w:ascii="宋体" w:hAnsi="宋体" w:eastAsia="宋体" w:cs="宋体"/>
          <w:color w:val="auto"/>
          <w:lang w:bidi="ar"/>
        </w:rPr>
        <w:t>。</w:t>
      </w:r>
    </w:p>
    <w:p>
      <w:pPr>
        <w:spacing w:after="0" w:line="420" w:lineRule="exact"/>
        <w:ind w:firstLine="440" w:firstLineChars="200"/>
        <w:jc w:val="left"/>
        <w:rPr>
          <w:rFonts w:hint="eastAsia" w:asciiTheme="minorEastAsia" w:hAnsiTheme="minorEastAsia" w:eastAsiaTheme="minorEastAsia" w:cstheme="minorEastAsia"/>
          <w:color w:val="auto"/>
          <w:lang w:val="en-US" w:eastAsia="zh-CN" w:bidi="ar"/>
        </w:rPr>
      </w:pPr>
      <w:r>
        <w:rPr>
          <w:rFonts w:hint="eastAsia" w:asciiTheme="minorEastAsia" w:hAnsiTheme="minorEastAsia" w:eastAsiaTheme="minorEastAsia" w:cstheme="minorEastAsia"/>
          <w:color w:val="auto"/>
          <w:lang w:val="en-US" w:eastAsia="zh-CN" w:bidi="ar"/>
        </w:rPr>
        <w:t>②投入的项目实施人员。</w:t>
      </w:r>
      <w:r>
        <w:rPr>
          <w:rFonts w:hint="eastAsia" w:asciiTheme="minorEastAsia" w:hAnsiTheme="minorEastAsia" w:eastAsiaTheme="minorEastAsia" w:cstheme="minorEastAsia"/>
          <w:bCs/>
          <w:color w:val="auto"/>
          <w:szCs w:val="20"/>
        </w:rPr>
        <w:t>（此项总分</w:t>
      </w:r>
      <w:r>
        <w:rPr>
          <w:rFonts w:hint="eastAsia" w:asciiTheme="minorEastAsia" w:hAnsiTheme="minorEastAsia" w:eastAsiaTheme="minorEastAsia" w:cstheme="minorEastAsia"/>
          <w:bCs/>
          <w:color w:val="auto"/>
          <w:szCs w:val="20"/>
          <w:lang w:val="en-US" w:eastAsia="zh-CN"/>
        </w:rPr>
        <w:t>9</w:t>
      </w:r>
      <w:r>
        <w:rPr>
          <w:rFonts w:hint="eastAsia" w:asciiTheme="minorEastAsia" w:hAnsiTheme="minorEastAsia" w:eastAsiaTheme="minorEastAsia" w:cstheme="minorEastAsia"/>
          <w:bCs/>
          <w:color w:val="auto"/>
          <w:szCs w:val="20"/>
        </w:rPr>
        <w:t>分）</w:t>
      </w:r>
    </w:p>
    <w:p>
      <w:pPr>
        <w:spacing w:after="0" w:line="420" w:lineRule="exact"/>
        <w:ind w:firstLine="440" w:firstLineChars="200"/>
        <w:jc w:val="left"/>
        <w:rPr>
          <w:rFonts w:hint="eastAsia" w:asciiTheme="minorEastAsia" w:hAnsiTheme="minorEastAsia" w:eastAsiaTheme="minorEastAsia" w:cstheme="minorEastAsia"/>
          <w:bCs/>
          <w:color w:val="auto"/>
          <w:szCs w:val="20"/>
        </w:rPr>
      </w:pPr>
      <w:r>
        <w:rPr>
          <w:rFonts w:hint="eastAsia" w:ascii="宋体" w:hAnsi="宋体" w:eastAsia="宋体" w:cs="宋体"/>
          <w:color w:val="auto"/>
          <w:lang w:bidi="ar"/>
        </w:rPr>
        <w:t>一档（</w:t>
      </w:r>
      <w:r>
        <w:rPr>
          <w:rFonts w:hint="eastAsia" w:ascii="宋体" w:hAnsi="宋体" w:eastAsia="宋体" w:cs="宋体"/>
          <w:color w:val="auto"/>
          <w:lang w:val="en-US" w:eastAsia="zh-CN" w:bidi="ar"/>
        </w:rPr>
        <w:t>3</w:t>
      </w:r>
      <w:r>
        <w:rPr>
          <w:rFonts w:hint="eastAsia" w:ascii="宋体" w:hAnsi="宋体" w:eastAsia="宋体" w:cs="宋体"/>
          <w:color w:val="auto"/>
          <w:lang w:bidi="ar"/>
        </w:rPr>
        <w:t>分）：</w:t>
      </w:r>
      <w:r>
        <w:rPr>
          <w:rFonts w:hint="eastAsia" w:asciiTheme="minorEastAsia" w:hAnsiTheme="minorEastAsia" w:eastAsiaTheme="minorEastAsia" w:cstheme="minorEastAsia"/>
          <w:color w:val="auto"/>
          <w:sz w:val="21"/>
          <w:szCs w:val="21"/>
          <w:highlight w:val="none"/>
        </w:rPr>
        <w:t>服务实施人员配置简单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lang w:val="en-US" w:eastAsia="zh-CN" w:bidi="ar"/>
        </w:rPr>
        <w:t>投入项目组人员有3人及以上具有中级技术职称，且投入</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val="en-US" w:eastAsia="zh-CN"/>
        </w:rPr>
        <w:t>总</w:t>
      </w:r>
      <w:r>
        <w:rPr>
          <w:rFonts w:hint="eastAsia" w:asciiTheme="minorEastAsia" w:hAnsiTheme="minorEastAsia" w:eastAsiaTheme="minorEastAsia" w:cstheme="minorEastAsia"/>
          <w:color w:val="auto"/>
          <w:sz w:val="21"/>
          <w:szCs w:val="21"/>
          <w:highlight w:val="none"/>
        </w:rPr>
        <w:t>数量</w:t>
      </w:r>
      <w:r>
        <w:rPr>
          <w:rFonts w:hint="eastAsia" w:asciiTheme="minorEastAsia" w:hAnsiTheme="minorEastAsia" w:eastAsiaTheme="minorEastAsia" w:cstheme="minorEastAsia"/>
          <w:color w:val="auto"/>
          <w:sz w:val="21"/>
          <w:szCs w:val="21"/>
          <w:highlight w:val="none"/>
          <w:lang w:val="en-US" w:eastAsia="zh-CN"/>
        </w:rPr>
        <w:t>不少于10人</w:t>
      </w:r>
      <w:r>
        <w:rPr>
          <w:rFonts w:hint="eastAsia" w:ascii="宋体" w:hAnsi="宋体" w:eastAsia="宋体" w:cs="宋体"/>
          <w:color w:val="auto"/>
          <w:lang w:bidi="ar"/>
        </w:rPr>
        <w:t>。</w:t>
      </w:r>
    </w:p>
    <w:p>
      <w:pPr>
        <w:spacing w:after="0" w:line="420" w:lineRule="exact"/>
        <w:ind w:firstLine="440" w:firstLineChars="200"/>
        <w:jc w:val="left"/>
        <w:rPr>
          <w:rFonts w:hint="eastAsia" w:ascii="宋体" w:hAnsi="宋体" w:eastAsia="宋体" w:cs="宋体"/>
          <w:color w:val="auto"/>
          <w:lang w:bidi="ar"/>
        </w:rPr>
      </w:pPr>
      <w:r>
        <w:rPr>
          <w:rFonts w:hint="eastAsia" w:ascii="宋体" w:hAnsi="宋体" w:eastAsia="宋体" w:cs="宋体"/>
          <w:color w:val="auto"/>
          <w:lang w:eastAsia="zh-CN" w:bidi="ar"/>
        </w:rPr>
        <w:t>二</w:t>
      </w:r>
      <w:r>
        <w:rPr>
          <w:rFonts w:hint="eastAsia" w:ascii="宋体" w:hAnsi="宋体" w:eastAsia="宋体" w:cs="宋体"/>
          <w:color w:val="auto"/>
          <w:lang w:bidi="ar"/>
        </w:rPr>
        <w:t>档（</w:t>
      </w:r>
      <w:r>
        <w:rPr>
          <w:rFonts w:hint="eastAsia" w:ascii="宋体" w:hAnsi="宋体" w:eastAsia="宋体" w:cs="宋体"/>
          <w:color w:val="auto"/>
          <w:lang w:val="en-US" w:eastAsia="zh-CN" w:bidi="ar"/>
        </w:rPr>
        <w:t>6</w:t>
      </w:r>
      <w:r>
        <w:rPr>
          <w:rFonts w:hint="eastAsia" w:ascii="宋体" w:hAnsi="宋体" w:eastAsia="宋体" w:cs="宋体"/>
          <w:color w:val="auto"/>
          <w:lang w:bidi="ar"/>
        </w:rPr>
        <w:t>分）：</w:t>
      </w:r>
      <w:r>
        <w:rPr>
          <w:rFonts w:hint="eastAsia" w:asciiTheme="minorEastAsia" w:hAnsiTheme="minorEastAsia" w:eastAsiaTheme="minorEastAsia" w:cstheme="minorEastAsia"/>
          <w:color w:val="auto"/>
          <w:sz w:val="21"/>
          <w:szCs w:val="21"/>
          <w:highlight w:val="none"/>
        </w:rPr>
        <w:t>服务实施人员配置合理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lang w:val="en-US" w:eastAsia="zh-CN" w:bidi="ar"/>
        </w:rPr>
        <w:t>投入项目组人员有1人及以上具有高级技术职称，3人及以上具有中级技术职称，且投入</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val="en-US" w:eastAsia="zh-CN"/>
        </w:rPr>
        <w:t>总</w:t>
      </w:r>
      <w:r>
        <w:rPr>
          <w:rFonts w:hint="eastAsia" w:asciiTheme="minorEastAsia" w:hAnsiTheme="minorEastAsia" w:eastAsiaTheme="minorEastAsia" w:cstheme="minorEastAsia"/>
          <w:color w:val="auto"/>
          <w:sz w:val="21"/>
          <w:szCs w:val="21"/>
          <w:highlight w:val="none"/>
        </w:rPr>
        <w:t>数量</w:t>
      </w:r>
      <w:r>
        <w:rPr>
          <w:rFonts w:hint="eastAsia" w:asciiTheme="minorEastAsia" w:hAnsiTheme="minorEastAsia" w:eastAsiaTheme="minorEastAsia" w:cstheme="minorEastAsia"/>
          <w:color w:val="auto"/>
          <w:sz w:val="21"/>
          <w:szCs w:val="21"/>
          <w:highlight w:val="none"/>
          <w:lang w:val="en-US" w:eastAsia="zh-CN"/>
        </w:rPr>
        <w:t>不少于15人</w:t>
      </w:r>
      <w:r>
        <w:rPr>
          <w:rFonts w:hint="eastAsia" w:ascii="宋体" w:hAnsi="宋体" w:eastAsia="宋体" w:cs="宋体"/>
          <w:color w:val="auto"/>
          <w:lang w:bidi="ar"/>
        </w:rPr>
        <w:t>。</w:t>
      </w:r>
    </w:p>
    <w:p>
      <w:pPr>
        <w:spacing w:after="200" w:line="420" w:lineRule="exact"/>
        <w:ind w:firstLine="440" w:firstLineChars="200"/>
        <w:jc w:val="left"/>
        <w:rPr>
          <w:rFonts w:hint="eastAsia" w:ascii="宋体" w:hAnsi="宋体" w:eastAsia="宋体" w:cs="宋体"/>
          <w:color w:val="auto"/>
          <w:lang w:bidi="ar"/>
        </w:rPr>
      </w:pPr>
      <w:r>
        <w:rPr>
          <w:rFonts w:hint="eastAsia" w:ascii="宋体" w:hAnsi="宋体" w:eastAsia="宋体" w:cs="宋体"/>
          <w:color w:val="auto"/>
          <w:lang w:eastAsia="zh-CN" w:bidi="ar"/>
        </w:rPr>
        <w:t>三</w:t>
      </w:r>
      <w:r>
        <w:rPr>
          <w:rFonts w:hint="eastAsia" w:ascii="宋体" w:hAnsi="宋体" w:eastAsia="宋体" w:cs="宋体"/>
          <w:color w:val="auto"/>
          <w:lang w:bidi="ar"/>
        </w:rPr>
        <w:t>档（</w:t>
      </w:r>
      <w:r>
        <w:rPr>
          <w:rFonts w:hint="eastAsia" w:ascii="宋体" w:hAnsi="宋体" w:eastAsia="宋体" w:cs="宋体"/>
          <w:color w:val="auto"/>
          <w:lang w:val="en-US" w:eastAsia="zh-CN" w:bidi="ar"/>
        </w:rPr>
        <w:t>9</w:t>
      </w:r>
      <w:r>
        <w:rPr>
          <w:rFonts w:hint="eastAsia" w:ascii="宋体" w:hAnsi="宋体" w:eastAsia="宋体" w:cs="宋体"/>
          <w:color w:val="auto"/>
          <w:lang w:bidi="ar"/>
        </w:rPr>
        <w:t>分）：</w:t>
      </w:r>
      <w:r>
        <w:rPr>
          <w:rFonts w:hint="eastAsia" w:asciiTheme="minorEastAsia" w:hAnsiTheme="minorEastAsia" w:eastAsiaTheme="minorEastAsia" w:cstheme="minorEastAsia"/>
          <w:color w:val="auto"/>
          <w:sz w:val="21"/>
          <w:szCs w:val="21"/>
          <w:highlight w:val="none"/>
        </w:rPr>
        <w:t>服务实施人员配置充足、可行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lang w:val="en-US" w:eastAsia="zh-CN" w:bidi="ar"/>
        </w:rPr>
        <w:t>投入项目组人员有3人及以上具有高级技术职称，3人及以上具有中级技术职称，且投入</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val="en-US" w:eastAsia="zh-CN"/>
        </w:rPr>
        <w:t>总</w:t>
      </w:r>
      <w:r>
        <w:rPr>
          <w:rFonts w:hint="eastAsia" w:asciiTheme="minorEastAsia" w:hAnsiTheme="minorEastAsia" w:eastAsiaTheme="minorEastAsia" w:cstheme="minorEastAsia"/>
          <w:color w:val="auto"/>
          <w:sz w:val="21"/>
          <w:szCs w:val="21"/>
          <w:highlight w:val="none"/>
        </w:rPr>
        <w:t>数量</w:t>
      </w:r>
      <w:r>
        <w:rPr>
          <w:rFonts w:hint="eastAsia" w:asciiTheme="minorEastAsia" w:hAnsiTheme="minorEastAsia" w:eastAsiaTheme="minorEastAsia" w:cstheme="minorEastAsia"/>
          <w:color w:val="auto"/>
          <w:sz w:val="21"/>
          <w:szCs w:val="21"/>
          <w:highlight w:val="none"/>
          <w:lang w:val="en-US" w:eastAsia="zh-CN"/>
        </w:rPr>
        <w:t>不少于20人</w:t>
      </w:r>
      <w:r>
        <w:rPr>
          <w:rFonts w:hint="eastAsia" w:ascii="宋体" w:hAnsi="宋体" w:eastAsia="宋体" w:cs="宋体"/>
          <w:color w:val="auto"/>
          <w:lang w:bidi="ar"/>
        </w:rPr>
        <w:t>。</w:t>
      </w:r>
    </w:p>
    <w:p>
      <w:pPr>
        <w:spacing w:before="313" w:beforeLines="100" w:after="80" w:line="240" w:lineRule="auto"/>
        <w:ind w:firstLine="0" w:firstLineChars="0"/>
        <w:rPr>
          <w:rFonts w:hint="eastAsia" w:ascii="宋体" w:hAnsi="宋体" w:eastAsia="宋体" w:cs="宋体"/>
          <w:color w:val="auto"/>
          <w:lang w:bidi="ar"/>
        </w:rPr>
      </w:pPr>
      <w:r>
        <w:rPr>
          <w:rFonts w:hint="eastAsia" w:ascii="宋体" w:hAnsi="宋体" w:eastAsia="宋体" w:cs="宋体"/>
          <w:b/>
          <w:color w:val="auto"/>
          <w:lang w:val="en-US" w:eastAsia="zh-CN" w:bidi="ar"/>
        </w:rPr>
        <w:t>3、服务保证措施（</w:t>
      </w:r>
      <w:r>
        <w:rPr>
          <w:rFonts w:hint="eastAsia" w:ascii="宋体" w:hAnsi="宋体" w:eastAsia="宋体" w:cs="宋体"/>
          <w:b/>
          <w:color w:val="auto"/>
          <w:lang w:bidi="ar"/>
        </w:rPr>
        <w:t>满分1</w:t>
      </w:r>
      <w:r>
        <w:rPr>
          <w:rFonts w:hint="eastAsia" w:ascii="宋体" w:hAnsi="宋体" w:eastAsia="宋体" w:cs="宋体"/>
          <w:b/>
          <w:color w:val="auto"/>
          <w:lang w:val="en-US" w:eastAsia="zh-CN" w:bidi="ar"/>
        </w:rPr>
        <w:t>0</w:t>
      </w:r>
      <w:r>
        <w:rPr>
          <w:rFonts w:hint="eastAsia" w:ascii="宋体" w:hAnsi="宋体" w:eastAsia="宋体" w:cs="宋体"/>
          <w:b/>
          <w:color w:val="auto"/>
          <w:lang w:bidi="ar"/>
        </w:rPr>
        <w:t>分</w:t>
      </w:r>
      <w:r>
        <w:rPr>
          <w:rFonts w:hint="eastAsia" w:ascii="宋体" w:hAnsi="宋体" w:eastAsia="宋体" w:cs="宋体"/>
          <w:b/>
          <w:color w:val="auto"/>
          <w:lang w:eastAsia="zh-CN" w:bidi="ar"/>
        </w:rPr>
        <w:t>）</w:t>
      </w:r>
      <w:r>
        <w:rPr>
          <w:rFonts w:hint="eastAsia" w:ascii="宋体" w:hAnsi="宋体" w:eastAsia="宋体" w:cs="宋体"/>
          <w:color w:val="auto"/>
          <w:lang w:val="en-US" w:eastAsia="zh-CN" w:bidi="ar"/>
        </w:rPr>
        <w:t xml:space="preserve"> </w:t>
      </w:r>
    </w:p>
    <w:p>
      <w:pPr>
        <w:spacing w:after="0" w:line="420" w:lineRule="exact"/>
        <w:ind w:firstLine="440" w:firstLineChars="200"/>
        <w:rPr>
          <w:rFonts w:hint="eastAsia" w:ascii="宋体" w:hAnsi="宋体" w:eastAsia="宋体" w:cs="宋体"/>
          <w:color w:val="auto"/>
          <w:lang w:bidi="ar"/>
        </w:rPr>
      </w:pPr>
      <w:r>
        <w:rPr>
          <w:rFonts w:hint="eastAsia" w:ascii="宋体" w:hAnsi="宋体" w:eastAsia="宋体" w:cs="宋体"/>
          <w:color w:val="auto"/>
          <w:lang w:val="en-US" w:eastAsia="zh-CN" w:bidi="ar"/>
        </w:rPr>
        <w:t>一档（0～3分）：有简单的服务保证责任制度明确，服务方案可行、应急预案完善，数据保密制度、应急预案等，但不够完整详细</w:t>
      </w:r>
      <w:r>
        <w:rPr>
          <w:rFonts w:hint="eastAsia" w:ascii="宋体" w:hAnsi="宋体" w:eastAsia="宋体" w:cs="宋体"/>
          <w:color w:val="auto"/>
          <w:lang w:bidi="ar"/>
        </w:rPr>
        <w:t>。</w:t>
      </w:r>
      <w:r>
        <w:rPr>
          <w:rFonts w:hint="eastAsia" w:ascii="宋体" w:hAnsi="宋体" w:eastAsia="宋体" w:cs="宋体"/>
          <w:color w:val="auto"/>
          <w:lang w:val="en-US" w:eastAsia="zh-CN" w:bidi="ar"/>
        </w:rPr>
        <w:t xml:space="preserve"> </w:t>
      </w:r>
    </w:p>
    <w:p>
      <w:pPr>
        <w:spacing w:after="0" w:line="420" w:lineRule="exact"/>
        <w:ind w:firstLine="440" w:firstLineChars="200"/>
        <w:rPr>
          <w:rFonts w:hint="eastAsia" w:ascii="宋体" w:hAnsi="宋体" w:eastAsia="宋体" w:cs="宋体"/>
          <w:color w:val="auto"/>
          <w:lang w:bidi="ar"/>
        </w:rPr>
      </w:pPr>
      <w:r>
        <w:rPr>
          <w:rFonts w:hint="eastAsia" w:ascii="宋体" w:hAnsi="宋体" w:eastAsia="宋体" w:cs="宋体"/>
          <w:color w:val="auto"/>
          <w:lang w:val="en-US" w:eastAsia="zh-CN" w:bidi="ar"/>
        </w:rPr>
        <w:t>二档（3.1～6分）：服务保证责任制度明确，服务方案可行、数据保密制度、应急预案等制度内容完整，合理</w:t>
      </w:r>
      <w:r>
        <w:rPr>
          <w:rFonts w:hint="eastAsia" w:ascii="宋体" w:hAnsi="宋体" w:eastAsia="宋体" w:cs="宋体"/>
          <w:color w:val="auto"/>
          <w:lang w:bidi="ar"/>
        </w:rPr>
        <w:t>。</w:t>
      </w:r>
      <w:r>
        <w:rPr>
          <w:rFonts w:hint="eastAsia" w:ascii="宋体" w:hAnsi="宋体" w:eastAsia="宋体" w:cs="宋体"/>
          <w:color w:val="auto"/>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Lines="-2147483648" w:after="0" w:line="420" w:lineRule="exact"/>
        <w:ind w:firstLine="440" w:firstLineChars="200"/>
        <w:textAlignment w:val="auto"/>
        <w:rPr>
          <w:rFonts w:hint="eastAsia" w:ascii="宋体" w:hAnsi="宋体" w:eastAsia="宋体" w:cs="宋体"/>
          <w:b/>
          <w:color w:val="auto"/>
          <w:lang w:bidi="ar"/>
        </w:rPr>
      </w:pPr>
      <w:r>
        <w:rPr>
          <w:rFonts w:hint="eastAsia" w:ascii="宋体" w:hAnsi="宋体" w:eastAsia="宋体" w:cs="宋体"/>
          <w:color w:val="auto"/>
          <w:lang w:val="en-US" w:eastAsia="zh-CN" w:bidi="ar"/>
        </w:rPr>
        <w:t>三档（6.1～10分）：服务保证责任制度明确，服务方案详细可行、数据保密制度、应急预案等措施科学、先进、完善合理详细，可操作性强，对该项目特点有针对性。</w:t>
      </w:r>
    </w:p>
    <w:p>
      <w:pPr>
        <w:keepNext w:val="0"/>
        <w:keepLines w:val="0"/>
        <w:pageBreakBefore w:val="0"/>
        <w:widowControl/>
        <w:kinsoku/>
        <w:wordWrap/>
        <w:overflowPunct/>
        <w:topLinePunct w:val="0"/>
        <w:autoSpaceDE/>
        <w:autoSpaceDN/>
        <w:bidi w:val="0"/>
        <w:adjustRightInd w:val="0"/>
        <w:snapToGrid w:val="0"/>
        <w:spacing w:before="157" w:beforeLines="50" w:after="80"/>
        <w:textAlignment w:val="auto"/>
        <w:rPr>
          <w:rFonts w:hint="eastAsia" w:ascii="宋体" w:hAnsi="宋体" w:eastAsia="宋体" w:cs="宋体"/>
          <w:color w:val="auto"/>
        </w:rPr>
      </w:pPr>
      <w:r>
        <w:rPr>
          <w:rFonts w:hint="eastAsia" w:ascii="宋体" w:hAnsi="宋体" w:eastAsia="宋体" w:cs="宋体"/>
          <w:b/>
          <w:color w:val="auto"/>
          <w:lang w:val="en-US" w:eastAsia="zh-CN" w:bidi="ar"/>
        </w:rPr>
        <w:t>4、</w:t>
      </w:r>
      <w:r>
        <w:rPr>
          <w:rFonts w:hint="eastAsia" w:ascii="宋体" w:hAnsi="宋体" w:eastAsia="宋体" w:cs="宋体"/>
          <w:b/>
          <w:color w:val="auto"/>
          <w:lang w:bidi="ar"/>
        </w:rPr>
        <w:t>企业资信业绩分…………………………………………………………………………满分</w:t>
      </w:r>
      <w:r>
        <w:rPr>
          <w:rFonts w:hint="eastAsia" w:ascii="宋体" w:hAnsi="宋体" w:eastAsia="宋体" w:cs="宋体"/>
          <w:b/>
          <w:color w:val="auto"/>
          <w:lang w:val="en-US" w:eastAsia="zh-CN" w:bidi="ar"/>
        </w:rPr>
        <w:t>5</w:t>
      </w:r>
      <w:r>
        <w:rPr>
          <w:rFonts w:hint="eastAsia" w:ascii="宋体" w:hAnsi="宋体" w:eastAsia="宋体" w:cs="宋体"/>
          <w:b/>
          <w:color w:val="auto"/>
          <w:lang w:bidi="ar"/>
        </w:rPr>
        <w:t xml:space="preserve">分 </w:t>
      </w:r>
    </w:p>
    <w:p>
      <w:pPr>
        <w:spacing w:after="0" w:line="420" w:lineRule="exact"/>
        <w:ind w:firstLine="440" w:firstLineChars="200"/>
        <w:rPr>
          <w:rFonts w:hint="eastAsia" w:ascii="宋体" w:hAnsi="宋体" w:eastAsia="宋体" w:cs="宋体"/>
          <w:color w:val="auto"/>
          <w:lang w:val="en-US" w:eastAsia="zh-CN" w:bidi="ar"/>
        </w:rPr>
      </w:pPr>
      <w:bookmarkStart w:id="83" w:name="_Toc246094919"/>
      <w:bookmarkStart w:id="84" w:name="_Toc246095463"/>
      <w:bookmarkStart w:id="85" w:name="_Toc246095525"/>
      <w:r>
        <w:rPr>
          <w:rFonts w:hint="eastAsia" w:ascii="宋体" w:hAnsi="宋体" w:eastAsia="宋体" w:cs="宋体"/>
          <w:color w:val="auto"/>
          <w:lang w:val="en-US" w:eastAsia="zh-CN" w:bidi="ar"/>
        </w:rPr>
        <w:t>（1）供应商具有行业主管协会或国家认定机构颁发的《企业信用等级证书》，本项得1分（须提供证书复印件并加盖公章，原件备查）。</w:t>
      </w:r>
    </w:p>
    <w:p>
      <w:pPr>
        <w:spacing w:after="0" w:line="420" w:lineRule="exact"/>
        <w:ind w:firstLine="440" w:firstLineChars="200"/>
        <w:rPr>
          <w:rFonts w:hint="eastAsia" w:ascii="宋体" w:hAnsi="宋体" w:eastAsia="宋体" w:cs="宋体"/>
          <w:color w:val="auto"/>
          <w:lang w:val="en-US" w:eastAsia="zh-CN" w:bidi="ar"/>
        </w:rPr>
      </w:pPr>
      <w:r>
        <w:rPr>
          <w:rFonts w:hint="eastAsia" w:ascii="宋体" w:hAnsi="宋体" w:eastAsia="宋体" w:cs="宋体"/>
          <w:color w:val="auto"/>
          <w:lang w:val="en-US" w:eastAsia="zh-CN" w:bidi="ar"/>
        </w:rPr>
        <w:t>（2）供应商承接过农村生活污水治理规划、水资源论证、环境类规划论证或评价等类似业绩的4分，本项满分4分（须提供中标通知书或合同或审查文件复印件并加盖公章，原件备查)。</w:t>
      </w:r>
    </w:p>
    <w:p>
      <w:pPr>
        <w:spacing w:after="0" w:line="400" w:lineRule="exact"/>
        <w:ind w:firstLine="442" w:firstLineChars="200"/>
        <w:rPr>
          <w:rFonts w:hint="eastAsia" w:ascii="宋体" w:hAnsi="宋体" w:eastAsia="宋体" w:cs="宋体"/>
          <w:b/>
          <w:color w:val="auto"/>
          <w:szCs w:val="21"/>
        </w:rPr>
      </w:pPr>
      <w:r>
        <w:rPr>
          <w:rFonts w:hint="eastAsia" w:ascii="宋体" w:hAnsi="宋体" w:eastAsia="宋体" w:cs="宋体"/>
          <w:b/>
          <w:color w:val="auto"/>
          <w:szCs w:val="21"/>
        </w:rPr>
        <w:t>三、成交候选人推荐原则</w:t>
      </w:r>
    </w:p>
    <w:p>
      <w:pPr>
        <w:spacing w:after="0"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磋商小组将根据综合得分情况，按照评审得分由高到低顺序推荐前3名为成交候选供应商，并编写评审报告。</w:t>
      </w:r>
    </w:p>
    <w:p>
      <w:pPr>
        <w:ind w:left="0" w:firstLine="440" w:firstLineChars="200"/>
        <w:jc w:val="both"/>
        <w:rPr>
          <w:rFonts w:hint="eastAsia" w:ascii="宋体" w:hAnsi="宋体" w:eastAsia="宋体" w:cs="宋体"/>
          <w:color w:val="auto"/>
        </w:rPr>
      </w:pPr>
      <w:bookmarkStart w:id="86" w:name="_Toc213206176"/>
      <w:bookmarkStart w:id="87" w:name="_Toc16781728"/>
      <w:bookmarkStart w:id="88" w:name="_Toc422316568"/>
      <w:bookmarkStart w:id="89" w:name="_Toc213325925"/>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4"/>
        <w:ind w:left="720"/>
        <w:rPr>
          <w:rFonts w:hint="eastAsia" w:ascii="宋体" w:hAnsi="宋体" w:eastAsia="宋体" w:cs="宋体"/>
          <w:color w:val="auto"/>
        </w:rPr>
      </w:pPr>
    </w:p>
    <w:p>
      <w:pPr>
        <w:pStyle w:val="4"/>
        <w:ind w:left="720"/>
        <w:rPr>
          <w:rFonts w:hint="eastAsia" w:ascii="宋体" w:hAnsi="宋体" w:eastAsia="宋体" w:cs="宋体"/>
          <w:color w:val="auto"/>
        </w:rPr>
      </w:pPr>
      <w:r>
        <w:rPr>
          <w:rFonts w:hint="eastAsia" w:ascii="宋体" w:hAnsi="宋体" w:eastAsia="宋体" w:cs="宋体"/>
          <w:color w:val="auto"/>
        </w:rPr>
        <w:t>第五章  合同条款及格式</w:t>
      </w:r>
      <w:bookmarkEnd w:id="86"/>
      <w:bookmarkEnd w:id="87"/>
      <w:bookmarkEnd w:id="88"/>
      <w:bookmarkEnd w:id="89"/>
    </w:p>
    <w:p>
      <w:pPr>
        <w:spacing w:line="500" w:lineRule="exact"/>
        <w:ind w:firstLine="525"/>
        <w:rPr>
          <w:rFonts w:ascii="宋体" w:hAnsi="宋体" w:eastAsia="宋体" w:cs="宋体"/>
          <w:bCs/>
          <w:color w:val="auto"/>
          <w:sz w:val="21"/>
          <w:szCs w:val="21"/>
        </w:rPr>
      </w:pPr>
      <w:r>
        <w:rPr>
          <w:rFonts w:hint="eastAsia" w:ascii="宋体" w:hAnsi="宋体" w:eastAsia="宋体" w:cs="宋体"/>
          <w:bCs/>
          <w:color w:val="auto"/>
          <w:sz w:val="21"/>
          <w:szCs w:val="21"/>
        </w:rPr>
        <w:t>项目名称：</w:t>
      </w:r>
    </w:p>
    <w:p>
      <w:pPr>
        <w:spacing w:line="500" w:lineRule="exact"/>
        <w:ind w:firstLine="525"/>
        <w:rPr>
          <w:rFonts w:ascii="宋体" w:hAnsi="宋体" w:eastAsia="宋体" w:cs="宋体"/>
          <w:bCs/>
          <w:color w:val="auto"/>
          <w:sz w:val="21"/>
          <w:szCs w:val="21"/>
        </w:rPr>
      </w:pPr>
      <w:r>
        <w:rPr>
          <w:rFonts w:hint="eastAsia" w:ascii="宋体" w:hAnsi="宋体" w:eastAsia="宋体" w:cs="宋体"/>
          <w:bCs/>
          <w:color w:val="auto"/>
          <w:sz w:val="21"/>
          <w:szCs w:val="21"/>
        </w:rPr>
        <w:t xml:space="preserve">项目编号： </w:t>
      </w:r>
    </w:p>
    <w:p>
      <w:pPr>
        <w:spacing w:line="500" w:lineRule="exact"/>
        <w:ind w:firstLine="525"/>
        <w:rPr>
          <w:rFonts w:ascii="宋体" w:hAnsi="宋体" w:eastAsia="宋体" w:cs="宋体"/>
          <w:bCs/>
          <w:color w:val="auto"/>
          <w:sz w:val="21"/>
          <w:szCs w:val="21"/>
        </w:rPr>
      </w:pPr>
      <w:r>
        <w:rPr>
          <w:rFonts w:hint="eastAsia" w:ascii="宋体" w:hAnsi="宋体" w:eastAsia="宋体" w:cs="宋体"/>
          <w:bCs/>
          <w:color w:val="auto"/>
          <w:sz w:val="21"/>
          <w:szCs w:val="21"/>
        </w:rPr>
        <w:t xml:space="preserve">甲方（采  购  人）： </w:t>
      </w:r>
    </w:p>
    <w:p>
      <w:pPr>
        <w:spacing w:line="440" w:lineRule="exact"/>
        <w:ind w:firstLine="525"/>
        <w:rPr>
          <w:rFonts w:ascii="宋体" w:hAnsi="宋体" w:eastAsia="宋体" w:cs="宋体"/>
          <w:bCs/>
          <w:color w:val="auto"/>
          <w:sz w:val="21"/>
          <w:szCs w:val="21"/>
        </w:rPr>
      </w:pPr>
      <w:r>
        <w:rPr>
          <w:rFonts w:hint="eastAsia" w:ascii="宋体" w:hAnsi="宋体" w:eastAsia="宋体" w:cs="宋体"/>
          <w:bCs/>
          <w:color w:val="auto"/>
          <w:sz w:val="21"/>
          <w:szCs w:val="21"/>
        </w:rPr>
        <w:t>乙方（成交供应商）：</w:t>
      </w:r>
    </w:p>
    <w:p>
      <w:pPr>
        <w:spacing w:line="440" w:lineRule="exact"/>
        <w:ind w:firstLine="525"/>
        <w:rPr>
          <w:rFonts w:ascii="宋体" w:hAnsi="宋体" w:eastAsia="宋体" w:cs="宋体"/>
          <w:bCs/>
          <w:color w:val="auto"/>
          <w:sz w:val="21"/>
          <w:szCs w:val="21"/>
        </w:rPr>
      </w:pPr>
    </w:p>
    <w:p>
      <w:pPr>
        <w:spacing w:line="360" w:lineRule="exact"/>
        <w:ind w:firstLine="525"/>
        <w:rPr>
          <w:rFonts w:ascii="宋体" w:hAnsi="宋体" w:eastAsia="宋体" w:cs="宋体"/>
          <w:bCs/>
          <w:color w:val="auto"/>
          <w:sz w:val="21"/>
          <w:szCs w:val="21"/>
        </w:rPr>
      </w:pPr>
      <w:r>
        <w:rPr>
          <w:rFonts w:hint="eastAsia" w:ascii="宋体" w:hAnsi="宋体" w:eastAsia="宋体" w:cs="宋体"/>
          <w:bCs/>
          <w:color w:val="auto"/>
          <w:sz w:val="21"/>
          <w:szCs w:val="21"/>
        </w:rPr>
        <w:t>根据</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项目的评标结果，甲方接受乙方为本项目成交供应商，甲、乙双方同意签署本合同（以下简称合同）。</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  工作内容及期限</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1.1 项目名称：</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1.2 工作内容：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  服务费金额</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2.1 本合同服务金额为（大写）人民币</w:t>
      </w:r>
      <w:r>
        <w:rPr>
          <w:rFonts w:hint="eastAsia" w:ascii="宋体" w:hAnsi="宋体" w:eastAsia="宋体" w:cs="宋体"/>
          <w:bCs/>
          <w:color w:val="auto"/>
          <w:sz w:val="21"/>
          <w:szCs w:val="21"/>
          <w:u w:val="single"/>
        </w:rPr>
        <w:t xml:space="preserve">         （￥      元）</w:t>
      </w:r>
      <w:r>
        <w:rPr>
          <w:rFonts w:hint="eastAsia" w:ascii="宋体" w:hAnsi="宋体" w:eastAsia="宋体" w:cs="宋体"/>
          <w:bCs/>
          <w:color w:val="auto"/>
          <w:sz w:val="21"/>
          <w:szCs w:val="21"/>
        </w:rPr>
        <w:t>。</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2.2 上述服务总值是完成项目的含税全包价。</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  提交成果文件时间和地点</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3.1 提交成果文件时间：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3.2 提交成果文件数量：</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3.2 提交成果文件地点：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  服务费支付</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4..1 付款形式：银行转账支付。</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4..2  付款方式：</w:t>
      </w:r>
    </w:p>
    <w:p>
      <w:pPr>
        <w:keepNext w:val="0"/>
        <w:keepLines w:val="0"/>
        <w:pageBreakBefore w:val="0"/>
        <w:widowControl/>
        <w:kinsoku w:val="0"/>
        <w:wordWrap/>
        <w:overflowPunct w:val="0"/>
        <w:topLinePunct w:val="0"/>
        <w:autoSpaceDE w:val="0"/>
        <w:autoSpaceDN w:val="0"/>
        <w:bidi w:val="0"/>
        <w:adjustRightInd w:val="0"/>
        <w:snapToGrid w:val="0"/>
        <w:spacing w:line="4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rPr>
        <w:t>签订合同后</w:t>
      </w:r>
      <w:r>
        <w:rPr>
          <w:rFonts w:hint="eastAsia" w:ascii="宋体" w:hAnsi="宋体" w:eastAsia="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rPr>
        <w:t>个工作日内，甲方支付合同总价的</w:t>
      </w:r>
      <w:r>
        <w:rPr>
          <w:rFonts w:hint="eastAsia" w:ascii="宋体" w:hAnsi="宋体" w:eastAsia="宋体" w:cs="宋体"/>
          <w:bCs/>
          <w:color w:val="auto"/>
          <w:sz w:val="21"/>
          <w:szCs w:val="21"/>
          <w:highlight w:val="none"/>
          <w:lang w:val="en-US" w:eastAsia="zh-CN"/>
        </w:rPr>
        <w:t>30</w:t>
      </w:r>
      <w:r>
        <w:rPr>
          <w:rFonts w:hint="default" w:ascii="宋体" w:hAnsi="宋体" w:eastAsia="宋体" w:cs="宋体"/>
          <w:bCs/>
          <w:color w:val="auto"/>
          <w:sz w:val="21"/>
          <w:szCs w:val="21"/>
          <w:highlight w:val="none"/>
          <w:lang w:val="en-US"/>
        </w:rPr>
        <w:t>%作为预付款</w:t>
      </w:r>
      <w:r>
        <w:rPr>
          <w:rFonts w:hint="eastAsia" w:ascii="宋体" w:hAnsi="宋体" w:eastAsia="宋体" w:cs="宋体"/>
          <w:bCs/>
          <w:color w:val="auto"/>
          <w:sz w:val="21"/>
          <w:szCs w:val="21"/>
          <w:highlight w:val="none"/>
          <w:lang w:val="en-US" w:eastAsia="zh-CN"/>
        </w:rPr>
        <w:t>；乙方完成凤山县域农村生活污水治理规划编制服务采购成果文件给甲方并通过</w:t>
      </w:r>
      <w:r>
        <w:rPr>
          <w:rFonts w:hint="eastAsia" w:ascii="宋体" w:hAnsi="宋体" w:eastAsia="宋体" w:cs="宋体"/>
          <w:color w:val="auto"/>
          <w:sz w:val="21"/>
          <w:szCs w:val="21"/>
          <w:lang w:val="en-US" w:eastAsia="zh-CN"/>
        </w:rPr>
        <w:t>专家评审验收</w:t>
      </w:r>
      <w:r>
        <w:rPr>
          <w:rFonts w:hint="eastAsia" w:ascii="宋体" w:hAnsi="宋体" w:eastAsia="宋体" w:cs="宋体"/>
          <w:bCs/>
          <w:color w:val="auto"/>
          <w:sz w:val="21"/>
          <w:szCs w:val="21"/>
          <w:highlight w:val="none"/>
          <w:lang w:val="en-US" w:eastAsia="zh-CN"/>
        </w:rPr>
        <w:t>后，甲方向乙方一次性支付合同金额余款。</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  权利保证</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5.1乙方应保证所提供的服务不会侵犯任何第三方的专利权、商标权、工业设计权或其他权利。</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5.2乙方应按竞争性磋商文件规定的时间完成本项目。</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5.3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rPr>
          <w:rFonts w:ascii="宋体" w:hAnsi="宋体" w:eastAsia="宋体" w:cs="宋体"/>
          <w:bCs/>
          <w:color w:val="auto"/>
          <w:sz w:val="21"/>
          <w:szCs w:val="21"/>
        </w:rPr>
      </w:pPr>
      <w:r>
        <w:rPr>
          <w:rFonts w:hint="eastAsia" w:ascii="宋体" w:hAnsi="宋体" w:eastAsia="宋体" w:cs="宋体"/>
          <w:bCs/>
          <w:color w:val="auto"/>
          <w:sz w:val="21"/>
          <w:szCs w:val="21"/>
        </w:rPr>
        <w:t xml:space="preserve">    6.质量保证</w:t>
      </w:r>
    </w:p>
    <w:p>
      <w:pPr>
        <w:pStyle w:val="28"/>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6.1乙方所提供的服务必须与竞争性磋商文件及竞争性磋商响应文件所承诺的相一致。</w:t>
      </w:r>
    </w:p>
    <w:p>
      <w:pPr>
        <w:pStyle w:val="28"/>
        <w:ind w:firstLine="420" w:firstLineChars="200"/>
        <w:rPr>
          <w:rFonts w:eastAsia="宋体"/>
          <w:color w:val="auto"/>
        </w:rPr>
      </w:pPr>
      <w:r>
        <w:rPr>
          <w:rFonts w:hint="eastAsia" w:ascii="宋体" w:hAnsi="宋体" w:eastAsia="宋体" w:cs="宋体"/>
          <w:bCs/>
          <w:color w:val="auto"/>
          <w:sz w:val="21"/>
          <w:szCs w:val="21"/>
        </w:rPr>
        <w:t>6.2乙方所提供的服务质量应达到竞争性磋商文件的要求和承诺的质量要求。</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  违约责任</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7.1 甲方逾期支付乙方相关费用的，应每日按合同价万分之八向乙方支付违约金。</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7.2 若因甲方原因造成编制工作拖延，使乙方不能在合同规定的期限内完成编制工作的，时间顺延，并应给予乙方适当的经济补偿，补偿金额由甲乙双方协商确定。</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7.3 因甲方原因单方面解除合同的，甲方应向乙方支付合同价总值百分之二十的违约金。</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7.4 乙方逾期交付成果文件的，乙方须每日按合同价万分之八向甲方支付违约金，由甲方从待付服务费中扣除。逾期超过约定日期十五个工作日不能提供成果文件的，甲方有权解除本合同。乙方因逾期提交成果文件或因其他违约行为导致甲方解除合同的，乙方应向甲方支付合同价总值百分之二十的违约金。</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7.5 由于不可抗力的因素造成项目编制工作不能在规定期限内完成的，乙方工作时间顺延，乙方不承担违约责任。</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8.  不可抗力事件处理</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8.1 在合同有效期内，任何一方因不可抗力事件导致不能履行合同，则合同履行期可延长，其延长期与不可抗力影响期相同。</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8.2 不可抗力事件发生后，应立即通知对方，并寄送有关权威机构出具的证明。</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8.3 不可抗力事件延续120天以上，双方应通过友好协商，确定是否继续履行合同。</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9.  诉讼</w:t>
      </w:r>
    </w:p>
    <w:p>
      <w:pPr>
        <w:spacing w:line="360" w:lineRule="exact"/>
        <w:ind w:firstLine="570"/>
        <w:rPr>
          <w:rFonts w:ascii="宋体" w:hAnsi="宋体" w:eastAsia="宋体" w:cs="宋体"/>
          <w:bCs/>
          <w:color w:val="auto"/>
          <w:sz w:val="21"/>
          <w:szCs w:val="21"/>
        </w:rPr>
      </w:pPr>
      <w:r>
        <w:rPr>
          <w:rFonts w:hint="eastAsia" w:ascii="宋体" w:hAnsi="宋体" w:eastAsia="宋体" w:cs="宋体"/>
          <w:bCs/>
          <w:color w:val="auto"/>
          <w:sz w:val="21"/>
          <w:szCs w:val="21"/>
        </w:rPr>
        <w:t>双方在执行合同中所发生的一切争议，应通过协商解决。如协商不成，可依法向合同签订地有管辖权的人民法院提起诉讼。</w:t>
      </w:r>
    </w:p>
    <w:p>
      <w:pPr>
        <w:kinsoku w:val="0"/>
        <w:overflowPunct w:val="0"/>
        <w:autoSpaceDE w:val="0"/>
        <w:autoSpaceDN w:val="0"/>
        <w:spacing w:line="360" w:lineRule="exact"/>
        <w:ind w:left="110" w:leftChars="50" w:firstLine="315" w:firstLineChars="150"/>
        <w:rPr>
          <w:rFonts w:ascii="宋体" w:hAnsi="宋体" w:eastAsia="宋体" w:cs="宋体"/>
          <w:bCs/>
          <w:color w:val="auto"/>
          <w:sz w:val="21"/>
          <w:szCs w:val="21"/>
        </w:rPr>
      </w:pPr>
      <w:r>
        <w:rPr>
          <w:rFonts w:hint="eastAsia" w:ascii="宋体" w:hAnsi="宋体" w:eastAsia="宋体" w:cs="宋体"/>
          <w:bCs/>
          <w:color w:val="auto"/>
          <w:sz w:val="21"/>
          <w:szCs w:val="21"/>
        </w:rPr>
        <w:t>10.  合同生效及其它</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10.1 合同经双方法定代表人或授权委托代理人签字并加盖单位公章后生效。</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10.2本合同执行过程中的未尽事宜，双方应本着实事求是、友好协商的态度加以解决。双方协商一致的，签订补充协议。补充协议与本合同具有同等效力。</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10.3 下列合同附件作为本合同不可分割的部分并与本合同具有同等效力：</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（1）《成交通知书》；</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（2）《项目要求及说明》；</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（3）其他与本合同相关的资料。</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10.4 本合同未尽事宜，遵照《中华人民共和国合同法》有关条文执行。</w:t>
      </w:r>
    </w:p>
    <w:p>
      <w:pPr>
        <w:kinsoku w:val="0"/>
        <w:overflowPunct w:val="0"/>
        <w:autoSpaceDE w:val="0"/>
        <w:autoSpaceDN w:val="0"/>
        <w:spacing w:line="36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10.5 本合同正本一式陆份，具有同等法律效力，甲乙双方各执叁份。</w:t>
      </w:r>
    </w:p>
    <w:p>
      <w:pPr>
        <w:autoSpaceDE w:val="0"/>
        <w:autoSpaceDN w:val="0"/>
        <w:spacing w:before="46" w:line="360" w:lineRule="exact"/>
        <w:ind w:left="221" w:right="-23"/>
        <w:rPr>
          <w:rFonts w:ascii="宋体" w:hAnsi="宋体" w:eastAsia="宋体" w:cs="宋体"/>
          <w:bCs/>
          <w:color w:val="auto"/>
          <w:sz w:val="21"/>
          <w:szCs w:val="21"/>
        </w:rPr>
      </w:pPr>
    </w:p>
    <w:p>
      <w:pPr>
        <w:autoSpaceDE w:val="0"/>
        <w:autoSpaceDN w:val="0"/>
        <w:spacing w:before="46" w:line="360" w:lineRule="exact"/>
        <w:ind w:left="221" w:right="-23"/>
        <w:rPr>
          <w:rFonts w:ascii="宋体" w:hAnsi="宋体" w:eastAsia="宋体" w:cs="宋体"/>
          <w:bCs/>
          <w:color w:val="auto"/>
          <w:sz w:val="21"/>
          <w:szCs w:val="21"/>
        </w:rPr>
      </w:pPr>
    </w:p>
    <w:p>
      <w:pPr>
        <w:autoSpaceDE w:val="0"/>
        <w:autoSpaceDN w:val="0"/>
        <w:spacing w:before="46" w:line="360" w:lineRule="exact"/>
        <w:ind w:left="221" w:right="-23"/>
        <w:rPr>
          <w:rFonts w:ascii="宋体" w:hAnsi="宋体" w:eastAsia="宋体" w:cs="宋体"/>
          <w:bCs/>
          <w:color w:val="auto"/>
          <w:sz w:val="21"/>
          <w:szCs w:val="21"/>
        </w:rPr>
      </w:pP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甲方： （盖 章）                        乙方： （盖 章）</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法定代表人：                            法定代表人：</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或委托代理人：                          或委托代理人：</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地 址：                                 地 址：</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电 话：                                 电 话：</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传 真：                                 传 真：</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邮政编码：                              邮政编码：</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开户银行：                              开户银行：</w:t>
      </w:r>
    </w:p>
    <w:p>
      <w:pPr>
        <w:autoSpaceDE w:val="0"/>
        <w:autoSpaceDN w:val="0"/>
        <w:spacing w:before="46" w:line="360" w:lineRule="exact"/>
        <w:ind w:left="221" w:right="-23"/>
        <w:rPr>
          <w:rFonts w:ascii="宋体" w:hAnsi="宋体" w:eastAsia="宋体" w:cs="宋体"/>
          <w:bCs/>
          <w:color w:val="auto"/>
          <w:sz w:val="21"/>
          <w:szCs w:val="21"/>
        </w:rPr>
      </w:pPr>
      <w:r>
        <w:rPr>
          <w:rFonts w:hint="eastAsia" w:ascii="宋体" w:hAnsi="宋体" w:eastAsia="宋体" w:cs="宋体"/>
          <w:bCs/>
          <w:color w:val="auto"/>
          <w:sz w:val="21"/>
          <w:szCs w:val="21"/>
        </w:rPr>
        <w:t>银行帐号：                              银行帐号：</w:t>
      </w:r>
    </w:p>
    <w:p>
      <w:pPr>
        <w:widowControl w:val="0"/>
        <w:adjustRightInd/>
        <w:snapToGrid/>
        <w:spacing w:after="0" w:line="360" w:lineRule="auto"/>
        <w:ind w:firstLine="210" w:firstLineChars="100"/>
        <w:jc w:val="both"/>
        <w:rPr>
          <w:rFonts w:hint="eastAsia" w:ascii="宋体" w:hAnsi="宋体" w:eastAsia="宋体" w:cs="宋体"/>
          <w:color w:val="auto"/>
          <w:kern w:val="2"/>
          <w:sz w:val="24"/>
          <w:szCs w:val="24"/>
        </w:rPr>
      </w:pPr>
      <w:r>
        <w:rPr>
          <w:rFonts w:hint="eastAsia" w:ascii="宋体" w:hAnsi="宋体" w:eastAsia="宋体" w:cs="宋体"/>
          <w:bCs/>
          <w:color w:val="auto"/>
          <w:sz w:val="21"/>
          <w:szCs w:val="21"/>
        </w:rPr>
        <w:t>签订日期： 年 月 日                     签订日期： 年 月 日</w:t>
      </w:r>
    </w:p>
    <w:p>
      <w:pPr>
        <w:pStyle w:val="4"/>
        <w:rPr>
          <w:rFonts w:hint="eastAsia" w:ascii="宋体" w:hAnsi="宋体" w:eastAsia="宋体" w:cs="宋体"/>
          <w:color w:val="auto"/>
        </w:rPr>
      </w:pPr>
      <w:r>
        <w:rPr>
          <w:rFonts w:hint="eastAsia" w:ascii="宋体" w:hAnsi="宋体" w:eastAsia="宋体" w:cs="宋体"/>
          <w:color w:val="auto"/>
        </w:rPr>
        <w:br w:type="page"/>
      </w:r>
    </w:p>
    <w:p>
      <w:pPr>
        <w:pStyle w:val="4"/>
        <w:spacing w:line="960" w:lineRule="exact"/>
        <w:rPr>
          <w:rFonts w:ascii="宋体" w:hAnsi="宋体" w:eastAsia="宋体" w:cs="宋体"/>
          <w:b/>
          <w:bCs/>
          <w:color w:val="auto"/>
          <w:sz w:val="48"/>
          <w:szCs w:val="48"/>
        </w:rPr>
      </w:pPr>
      <w:bookmarkStart w:id="90" w:name="_Toc16781729"/>
      <w:r>
        <w:rPr>
          <w:rFonts w:hint="eastAsia" w:ascii="宋体" w:hAnsi="宋体" w:eastAsia="宋体" w:cs="宋体"/>
          <w:b/>
          <w:bCs/>
          <w:color w:val="auto"/>
          <w:sz w:val="44"/>
          <w:szCs w:val="22"/>
        </w:rPr>
        <w:t xml:space="preserve">第六章 </w:t>
      </w:r>
      <w:r>
        <w:rPr>
          <w:rFonts w:hint="eastAsia" w:ascii="宋体" w:hAnsi="宋体" w:eastAsia="宋体" w:cs="宋体"/>
          <w:color w:val="auto"/>
        </w:rPr>
        <w:t xml:space="preserve"> </w:t>
      </w:r>
      <w:bookmarkEnd w:id="83"/>
      <w:bookmarkEnd w:id="84"/>
      <w:bookmarkEnd w:id="85"/>
      <w:bookmarkEnd w:id="90"/>
      <w:r>
        <w:rPr>
          <w:rFonts w:hint="eastAsia" w:ascii="宋体" w:hAnsi="宋体" w:eastAsia="宋体" w:cs="宋体"/>
          <w:b/>
          <w:bCs/>
          <w:color w:val="auto"/>
          <w:sz w:val="48"/>
          <w:szCs w:val="48"/>
        </w:rPr>
        <w:t>响应文件格式</w:t>
      </w:r>
    </w:p>
    <w:p>
      <w:pPr>
        <w:rPr>
          <w:rFonts w:ascii="宋体" w:hAnsi="宋体" w:eastAsia="宋体" w:cs="宋体"/>
          <w:color w:val="auto"/>
          <w:sz w:val="21"/>
          <w:szCs w:val="21"/>
        </w:rPr>
      </w:pP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（用于响应文件封面）</w:t>
      </w:r>
    </w:p>
    <w:p>
      <w:pPr>
        <w:rPr>
          <w:rFonts w:ascii="宋体" w:hAnsi="宋体" w:eastAsia="宋体" w:cs="宋体"/>
          <w:color w:val="auto"/>
          <w:sz w:val="48"/>
          <w:szCs w:val="48"/>
        </w:rPr>
      </w:pPr>
    </w:p>
    <w:p>
      <w:pPr>
        <w:jc w:val="center"/>
        <w:rPr>
          <w:rFonts w:ascii="宋体" w:hAnsi="宋体" w:eastAsia="宋体" w:cs="宋体"/>
          <w:color w:val="auto"/>
          <w:sz w:val="48"/>
          <w:szCs w:val="48"/>
        </w:rPr>
      </w:pPr>
      <w:r>
        <w:rPr>
          <w:rFonts w:hint="eastAsia" w:ascii="宋体" w:hAnsi="宋体" w:eastAsia="宋体" w:cs="宋体"/>
          <w:color w:val="auto"/>
          <w:sz w:val="48"/>
          <w:szCs w:val="48"/>
        </w:rPr>
        <w:t>响应文件</w:t>
      </w:r>
    </w:p>
    <w:p>
      <w:pPr>
        <w:rPr>
          <w:rFonts w:ascii="宋体" w:hAnsi="宋体" w:eastAsia="宋体" w:cs="宋体"/>
          <w:color w:val="auto"/>
          <w:sz w:val="21"/>
          <w:szCs w:val="21"/>
        </w:rPr>
      </w:pPr>
    </w:p>
    <w:p>
      <w:pPr>
        <w:jc w:val="center"/>
        <w:rPr>
          <w:rFonts w:ascii="宋体" w:hAnsi="宋体" w:eastAsia="宋体" w:cs="宋体"/>
          <w:color w:val="auto"/>
          <w:sz w:val="21"/>
          <w:szCs w:val="21"/>
        </w:rPr>
      </w:pPr>
      <w:r>
        <w:rPr>
          <w:rFonts w:hint="eastAsia" w:ascii="宋体" w:hAnsi="宋体" w:eastAsia="宋体" w:cs="宋体"/>
          <w:color w:val="auto"/>
          <w:sz w:val="21"/>
          <w:szCs w:val="21"/>
        </w:rPr>
        <w:t>（正/副本）</w:t>
      </w:r>
    </w:p>
    <w:p>
      <w:pPr>
        <w:rPr>
          <w:rFonts w:ascii="宋体" w:hAnsi="宋体" w:eastAsia="宋体" w:cs="宋体"/>
          <w:color w:val="auto"/>
          <w:sz w:val="21"/>
          <w:szCs w:val="21"/>
        </w:rPr>
      </w:pPr>
    </w:p>
    <w:p>
      <w:pPr>
        <w:rPr>
          <w:rFonts w:ascii="宋体" w:hAnsi="宋体" w:eastAsia="宋体" w:cs="宋体"/>
          <w:color w:val="auto"/>
          <w:sz w:val="21"/>
          <w:szCs w:val="21"/>
        </w:rPr>
      </w:pPr>
    </w:p>
    <w:p>
      <w:pPr>
        <w:spacing w:line="600" w:lineRule="exact"/>
        <w:ind w:firstLine="1050" w:firstLineChars="500"/>
        <w:rPr>
          <w:rFonts w:ascii="宋体" w:hAnsi="宋体" w:eastAsia="宋体" w:cs="宋体"/>
          <w:color w:val="auto"/>
          <w:sz w:val="21"/>
          <w:szCs w:val="21"/>
          <w:u w:val="single"/>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（项目名称）           </w:t>
      </w:r>
    </w:p>
    <w:p>
      <w:pPr>
        <w:spacing w:line="600" w:lineRule="exact"/>
        <w:ind w:firstLine="1050" w:firstLineChars="500"/>
        <w:rPr>
          <w:rFonts w:ascii="宋体" w:hAnsi="宋体" w:eastAsia="宋体" w:cs="宋体"/>
          <w:color w:val="auto"/>
          <w:sz w:val="21"/>
          <w:szCs w:val="21"/>
          <w:u w:val="single"/>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xml:space="preserve">                                </w:t>
      </w:r>
    </w:p>
    <w:p>
      <w:pPr>
        <w:spacing w:line="600" w:lineRule="exact"/>
        <w:ind w:firstLine="1050" w:firstLineChars="500"/>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pPr>
        <w:spacing w:line="600" w:lineRule="exact"/>
        <w:ind w:firstLine="1050" w:firstLineChars="500"/>
        <w:rPr>
          <w:rFonts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（盖单位公章）           </w:t>
      </w:r>
    </w:p>
    <w:p>
      <w:pPr>
        <w:spacing w:line="600" w:lineRule="exact"/>
        <w:ind w:firstLine="1050" w:firstLineChars="500"/>
        <w:rPr>
          <w:rFonts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（签字）     </w:t>
      </w:r>
    </w:p>
    <w:p>
      <w:pPr>
        <w:spacing w:line="600" w:lineRule="exact"/>
        <w:ind w:firstLine="1050" w:firstLineChars="500"/>
        <w:rPr>
          <w:rFonts w:ascii="宋体" w:hAnsi="宋体" w:eastAsia="宋体" w:cs="宋体"/>
          <w:color w:val="auto"/>
          <w:sz w:val="21"/>
          <w:szCs w:val="21"/>
        </w:rPr>
      </w:pPr>
      <w:r>
        <w:rPr>
          <w:rFonts w:hint="eastAsia" w:ascii="宋体" w:hAnsi="宋体" w:eastAsia="宋体" w:cs="宋体"/>
          <w:color w:val="auto"/>
          <w:sz w:val="21"/>
          <w:szCs w:val="21"/>
        </w:rPr>
        <w:t>日    期：  年  月  日</w:t>
      </w:r>
    </w:p>
    <w:p>
      <w:pPr>
        <w:rPr>
          <w:rFonts w:ascii="宋体" w:hAnsi="宋体" w:eastAsia="宋体" w:cs="宋体"/>
          <w:color w:val="auto"/>
          <w:sz w:val="21"/>
          <w:szCs w:val="21"/>
        </w:rPr>
      </w:pPr>
    </w:p>
    <w:p>
      <w:pPr>
        <w:pStyle w:val="28"/>
        <w:rPr>
          <w:rFonts w:ascii="宋体" w:hAnsi="宋体" w:cs="宋体"/>
          <w:color w:val="auto"/>
          <w:sz w:val="21"/>
          <w:szCs w:val="21"/>
        </w:rPr>
      </w:pPr>
    </w:p>
    <w:p>
      <w:pPr>
        <w:pStyle w:val="28"/>
        <w:rPr>
          <w:rFonts w:ascii="宋体" w:hAnsi="宋体" w:cs="宋体"/>
          <w:color w:val="auto"/>
          <w:sz w:val="21"/>
          <w:szCs w:val="21"/>
        </w:rPr>
      </w:pPr>
    </w:p>
    <w:p>
      <w:pPr>
        <w:pStyle w:val="28"/>
        <w:rPr>
          <w:rFonts w:ascii="宋体" w:hAnsi="宋体" w:cs="宋体"/>
          <w:color w:val="auto"/>
          <w:sz w:val="21"/>
          <w:szCs w:val="21"/>
        </w:rPr>
      </w:pPr>
    </w:p>
    <w:p>
      <w:pPr>
        <w:spacing w:line="300" w:lineRule="auto"/>
        <w:rPr>
          <w:rFonts w:ascii="宋体" w:hAnsi="宋体" w:eastAsia="宋体" w:cs="宋体"/>
          <w:b/>
          <w:color w:val="auto"/>
          <w:sz w:val="21"/>
          <w:szCs w:val="21"/>
        </w:rPr>
      </w:pPr>
      <w:r>
        <w:rPr>
          <w:rFonts w:hint="eastAsia" w:ascii="宋体" w:hAnsi="宋体" w:eastAsia="宋体" w:cs="宋体"/>
          <w:b/>
          <w:color w:val="auto"/>
          <w:sz w:val="21"/>
          <w:szCs w:val="21"/>
        </w:rPr>
        <w:t>附件一：</w:t>
      </w:r>
    </w:p>
    <w:p>
      <w:pPr>
        <w:spacing w:before="120" w:beforeLines="50" w:after="120" w:afterLines="50" w:line="60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磋商书</w:t>
      </w:r>
    </w:p>
    <w:p>
      <w:pPr>
        <w:spacing w:after="0" w:line="420" w:lineRule="exact"/>
        <w:rPr>
          <w:rFonts w:ascii="宋体" w:hAnsi="宋体" w:eastAsia="宋体" w:cs="宋体"/>
          <w:color w:val="auto"/>
          <w:sz w:val="21"/>
          <w:szCs w:val="21"/>
          <w:u w:val="single"/>
        </w:rPr>
      </w:pPr>
      <w:r>
        <w:rPr>
          <w:rFonts w:hint="eastAsia" w:ascii="宋体" w:hAnsi="宋体" w:eastAsia="宋体" w:cs="宋体"/>
          <w:color w:val="auto"/>
          <w:sz w:val="21"/>
          <w:szCs w:val="21"/>
        </w:rPr>
        <w:t>致：(采购代理机构)</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根据贵方的</w:t>
      </w:r>
      <w:r>
        <w:rPr>
          <w:rFonts w:hint="eastAsia" w:ascii="宋体" w:hAnsi="宋体" w:eastAsia="宋体" w:cs="宋体"/>
          <w:color w:val="auto"/>
          <w:sz w:val="21"/>
          <w:szCs w:val="21"/>
          <w:u w:val="single"/>
        </w:rPr>
        <w:t xml:space="preserve">   （项目名称） （项目编号：     ）  </w:t>
      </w:r>
      <w:r>
        <w:rPr>
          <w:rFonts w:hint="eastAsia" w:ascii="宋体" w:hAnsi="宋体" w:eastAsia="宋体" w:cs="宋体"/>
          <w:color w:val="auto"/>
          <w:sz w:val="21"/>
          <w:szCs w:val="21"/>
        </w:rPr>
        <w:t>项目政府采购的磋商邀请，我方授权代表</w:t>
      </w:r>
      <w:r>
        <w:rPr>
          <w:rFonts w:hint="eastAsia" w:ascii="宋体" w:hAnsi="宋体" w:eastAsia="宋体" w:cs="宋体"/>
          <w:color w:val="auto"/>
          <w:sz w:val="21"/>
          <w:szCs w:val="21"/>
          <w:u w:val="single"/>
        </w:rPr>
        <w:t xml:space="preserve">         （姓名和职务）</w:t>
      </w:r>
      <w:r>
        <w:rPr>
          <w:rFonts w:hint="eastAsia" w:ascii="宋体" w:hAnsi="宋体" w:eastAsia="宋体" w:cs="宋体"/>
          <w:color w:val="auto"/>
          <w:sz w:val="21"/>
          <w:szCs w:val="21"/>
        </w:rPr>
        <w:t>经正式授权并代表供应商</w:t>
      </w:r>
      <w:r>
        <w:rPr>
          <w:rFonts w:hint="eastAsia" w:ascii="宋体" w:hAnsi="宋体" w:eastAsia="宋体" w:cs="宋体"/>
          <w:color w:val="auto"/>
          <w:sz w:val="21"/>
          <w:szCs w:val="21"/>
          <w:u w:val="single"/>
        </w:rPr>
        <w:t xml:space="preserve">    （供应商名称）   </w:t>
      </w:r>
      <w:r>
        <w:rPr>
          <w:rFonts w:hint="eastAsia" w:ascii="宋体" w:hAnsi="宋体" w:eastAsia="宋体" w:cs="宋体"/>
          <w:color w:val="auto"/>
          <w:sz w:val="21"/>
          <w:szCs w:val="21"/>
        </w:rPr>
        <w:t>提交响应文件正本</w:t>
      </w:r>
      <w:r>
        <w:rPr>
          <w:rFonts w:hint="eastAsia" w:ascii="宋体" w:hAnsi="宋体" w:eastAsia="宋体" w:cs="宋体"/>
          <w:color w:val="auto"/>
          <w:sz w:val="21"/>
          <w:szCs w:val="21"/>
          <w:u w:val="single"/>
        </w:rPr>
        <w:t>一</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在此，授权代表宣布同意如下：</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供应商已详细审查全部“竞争性磋商文件”，包括修改文件（如有的话）以及全部参考资料和有关附件，已经了解我方对于磋商文件、采购过程、采购结果有依法进行询问、质疑、投诉的权利及相关渠道和要求。</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2．供应商在磋商之前已经与贵方进行了充分的沟通，完全理解并接受磋商文件的各项规定和要求，对磋商文件的合理性、合法性不再有异议。</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3．本次响应文件有效期自响应文件提交截止之日起天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（日历天）内。</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4．如成交，供应商将按“竞争性磋商文件”及政府采购法律、法规的规定履行合同责任和义务。</w:t>
      </w:r>
    </w:p>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5．供应商同意按照贵方要求提供与磋商有关的一切数据或资料。</w:t>
      </w:r>
    </w:p>
    <w:p>
      <w:pPr>
        <w:autoSpaceDE w:val="0"/>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 本项目磋商保证金请退回如下账号：</w:t>
      </w:r>
    </w:p>
    <w:tbl>
      <w:tblPr>
        <w:tblStyle w:val="41"/>
        <w:tblW w:w="8984" w:type="dxa"/>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98"/>
                <w:sz w:val="21"/>
                <w:szCs w:val="21"/>
              </w:rPr>
              <w:t>供应商（收款单位）名</w:t>
            </w:r>
            <w:r>
              <w:rPr>
                <w:rFonts w:hint="eastAsia" w:ascii="宋体" w:hAnsi="宋体" w:eastAsia="宋体" w:cs="宋体"/>
                <w:color w:val="auto"/>
                <w:spacing w:val="8"/>
                <w:sz w:val="21"/>
                <w:szCs w:val="21"/>
              </w:rPr>
              <w:t>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宋体"/>
                <w:color w:val="auto"/>
                <w:sz w:val="21"/>
                <w:szCs w:val="21"/>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561"/>
                <w:sz w:val="21"/>
                <w:szCs w:val="21"/>
              </w:rPr>
              <w:t>供应商地</w:t>
            </w:r>
            <w:r>
              <w:rPr>
                <w:rFonts w:hint="eastAsia" w:ascii="宋体" w:hAnsi="宋体" w:eastAsia="宋体" w:cs="宋体"/>
                <w:color w:val="auto"/>
                <w:spacing w:val="3"/>
                <w:sz w:val="21"/>
                <w:szCs w:val="21"/>
              </w:rPr>
              <w:t>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宋体"/>
                <w:color w:val="auto"/>
                <w:sz w:val="21"/>
                <w:szCs w:val="21"/>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818"/>
                <w:sz w:val="21"/>
                <w:szCs w:val="21"/>
              </w:rPr>
              <w:t>开户银</w:t>
            </w:r>
            <w:r>
              <w:rPr>
                <w:rFonts w:hint="eastAsia" w:ascii="宋体" w:hAnsi="宋体" w:eastAsia="宋体" w:cs="宋体"/>
                <w:color w:val="auto"/>
                <w:spacing w:val="4"/>
                <w:sz w:val="21"/>
                <w:szCs w:val="21"/>
              </w:rPr>
              <w:t>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宋体"/>
                <w:color w:val="auto"/>
                <w:sz w:val="21"/>
                <w:szCs w:val="21"/>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491"/>
                <w:sz w:val="21"/>
                <w:szCs w:val="21"/>
              </w:rPr>
              <w:t xml:space="preserve">账    </w:t>
            </w:r>
            <w:r>
              <w:rPr>
                <w:rFonts w:hint="eastAsia" w:ascii="宋体" w:hAnsi="宋体" w:eastAsia="宋体" w:cs="宋体"/>
                <w:color w:val="auto"/>
                <w:spacing w:val="2"/>
                <w:sz w:val="21"/>
                <w:szCs w:val="21"/>
              </w:rPr>
              <w:t>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宋体"/>
                <w:color w:val="auto"/>
                <w:sz w:val="21"/>
                <w:szCs w:val="21"/>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614"/>
                <w:sz w:val="21"/>
                <w:szCs w:val="21"/>
              </w:rPr>
              <w:t xml:space="preserve">联 系 </w:t>
            </w:r>
            <w:r>
              <w:rPr>
                <w:rFonts w:hint="eastAsia" w:ascii="宋体" w:hAnsi="宋体" w:eastAsia="宋体" w:cs="宋体"/>
                <w:color w:val="auto"/>
                <w:spacing w:val="2"/>
                <w:sz w:val="21"/>
                <w:szCs w:val="21"/>
              </w:rPr>
              <w:t>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宋体"/>
                <w:color w:val="auto"/>
                <w:sz w:val="21"/>
                <w:szCs w:val="21"/>
              </w:rPr>
            </w:pPr>
            <w:r>
              <w:rPr>
                <w:rFonts w:hint="eastAsia" w:ascii="宋体" w:hAnsi="宋体" w:eastAsia="宋体" w:cs="宋体"/>
                <w:color w:val="auto"/>
                <w:spacing w:val="261"/>
                <w:sz w:val="21"/>
                <w:szCs w:val="21"/>
              </w:rPr>
              <w:t>联系电</w:t>
            </w:r>
            <w:r>
              <w:rPr>
                <w:rFonts w:hint="eastAsia" w:ascii="宋体" w:hAnsi="宋体" w:eastAsia="宋体" w:cs="宋体"/>
                <w:color w:val="auto"/>
                <w:spacing w:val="1"/>
                <w:sz w:val="21"/>
                <w:szCs w:val="21"/>
              </w:rPr>
              <w:t>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宋体"/>
                <w:color w:val="auto"/>
                <w:sz w:val="21"/>
                <w:szCs w:val="21"/>
              </w:rPr>
            </w:pPr>
          </w:p>
        </w:tc>
      </w:tr>
    </w:tbl>
    <w:p>
      <w:pPr>
        <w:spacing w:after="0" w:line="42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7．与本次磋商有关的一切正式往来信函请寄：</w:t>
      </w:r>
    </w:p>
    <w:p>
      <w:pPr>
        <w:spacing w:after="0" w:line="42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spacing w:after="0" w:line="42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地址： 邮编</w:t>
      </w:r>
      <w:r>
        <w:rPr>
          <w:rFonts w:hint="eastAsia" w:ascii="宋体" w:hAnsi="宋体" w:eastAsia="宋体" w:cs="宋体"/>
          <w:color w:val="auto"/>
          <w:sz w:val="21"/>
          <w:szCs w:val="21"/>
          <w:u w:val="single"/>
        </w:rPr>
        <w:t xml:space="preserve">：          </w:t>
      </w:r>
    </w:p>
    <w:p>
      <w:pPr>
        <w:spacing w:after="0" w:line="42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电话： 传真：</w:t>
      </w:r>
    </w:p>
    <w:p>
      <w:pPr>
        <w:spacing w:after="0" w:line="420" w:lineRule="exact"/>
        <w:ind w:left="1320" w:leftChars="600"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法定代表人或委托代理人：</w:t>
      </w:r>
      <w:r>
        <w:rPr>
          <w:rFonts w:hint="eastAsia" w:ascii="宋体" w:hAnsi="宋体" w:eastAsia="宋体" w:cs="宋体"/>
          <w:color w:val="auto"/>
          <w:sz w:val="21"/>
          <w:szCs w:val="21"/>
          <w:u w:val="single"/>
        </w:rPr>
        <w:t xml:space="preserve">          （签字）                 </w:t>
      </w:r>
    </w:p>
    <w:p>
      <w:pPr>
        <w:pStyle w:val="2"/>
        <w:ind w:firstLine="1470" w:firstLineChars="700"/>
        <w:rPr>
          <w:color w:val="auto"/>
        </w:rPr>
      </w:pPr>
      <w:r>
        <w:rPr>
          <w:rFonts w:hint="eastAsia" w:ascii="宋体" w:hAnsi="宋体" w:eastAsia="宋体" w:cs="宋体"/>
          <w:color w:val="auto"/>
          <w:sz w:val="21"/>
          <w:szCs w:val="21"/>
        </w:rPr>
        <w:t>日期：年月日</w:t>
      </w:r>
    </w:p>
    <w:p>
      <w:pPr>
        <w:spacing w:line="300" w:lineRule="auto"/>
        <w:rPr>
          <w:rFonts w:ascii="宋体" w:hAnsi="宋体" w:eastAsia="宋体" w:cs="宋体"/>
          <w:b/>
          <w:bCs/>
          <w:color w:val="auto"/>
          <w:sz w:val="21"/>
          <w:szCs w:val="21"/>
        </w:rPr>
      </w:pPr>
      <w:r>
        <w:rPr>
          <w:rFonts w:hint="eastAsia" w:ascii="宋体" w:hAnsi="宋体" w:eastAsia="宋体" w:cs="宋体"/>
          <w:b/>
          <w:bCs/>
          <w:color w:val="auto"/>
          <w:sz w:val="21"/>
          <w:szCs w:val="21"/>
        </w:rPr>
        <w:t>附件二：</w:t>
      </w:r>
    </w:p>
    <w:p>
      <w:pPr>
        <w:spacing w:line="30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磋商报价表</w:t>
      </w:r>
    </w:p>
    <w:p>
      <w:pPr>
        <w:rPr>
          <w:rFonts w:ascii="宋体" w:hAnsi="宋体" w:eastAsia="宋体" w:cs="宋体"/>
          <w:color w:val="auto"/>
          <w:sz w:val="21"/>
          <w:szCs w:val="21"/>
          <w:u w:val="single"/>
        </w:rPr>
      </w:pPr>
      <w:r>
        <w:rPr>
          <w:rFonts w:hint="eastAsia" w:ascii="宋体" w:hAnsi="宋体" w:eastAsia="宋体" w:cs="宋体"/>
          <w:color w:val="auto"/>
          <w:sz w:val="21"/>
          <w:szCs w:val="21"/>
        </w:rPr>
        <w:t>采购项目编号:</w:t>
      </w:r>
    </w:p>
    <w:p>
      <w:pPr>
        <w:rPr>
          <w:rFonts w:ascii="宋体" w:hAnsi="宋体" w:eastAsia="宋体" w:cs="宋体"/>
          <w:color w:val="auto"/>
          <w:sz w:val="21"/>
          <w:szCs w:val="21"/>
        </w:rPr>
      </w:pPr>
      <w:r>
        <w:rPr>
          <w:rFonts w:hint="eastAsia" w:ascii="宋体" w:hAnsi="宋体" w:eastAsia="宋体" w:cs="宋体"/>
          <w:color w:val="auto"/>
          <w:sz w:val="21"/>
          <w:szCs w:val="21"/>
        </w:rPr>
        <w:t>采购项目名称:</w:t>
      </w:r>
    </w:p>
    <w:tbl>
      <w:tblPr>
        <w:tblStyle w:val="41"/>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6"/>
        <w:gridCol w:w="3780"/>
        <w:gridCol w:w="228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Align w:val="center"/>
          </w:tcPr>
          <w:p>
            <w:pPr>
              <w:spacing w:after="0" w:line="340" w:lineRule="exact"/>
              <w:jc w:val="center"/>
              <w:rPr>
                <w:rFonts w:ascii="宋体" w:hAnsi="宋体" w:eastAsia="宋体" w:cs="宋体"/>
                <w:color w:val="auto"/>
                <w:sz w:val="21"/>
                <w:szCs w:val="21"/>
              </w:rPr>
            </w:pPr>
            <w:r>
              <w:rPr>
                <w:rFonts w:hint="eastAsia" w:ascii="宋体" w:hAnsi="宋体" w:eastAsia="宋体" w:cs="宋体"/>
                <w:color w:val="auto"/>
                <w:spacing w:val="75"/>
                <w:sz w:val="21"/>
                <w:szCs w:val="21"/>
              </w:rPr>
              <w:t>序</w:t>
            </w:r>
            <w:r>
              <w:rPr>
                <w:rFonts w:hint="eastAsia" w:ascii="宋体" w:hAnsi="宋体" w:eastAsia="宋体" w:cs="宋体"/>
                <w:color w:val="auto"/>
                <w:sz w:val="21"/>
                <w:szCs w:val="21"/>
              </w:rPr>
              <w:t>号</w:t>
            </w:r>
          </w:p>
        </w:tc>
        <w:tc>
          <w:tcPr>
            <w:tcW w:w="1536" w:type="dxa"/>
            <w:vAlign w:val="center"/>
          </w:tcPr>
          <w:p>
            <w:pPr>
              <w:spacing w:after="0"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服务名称</w:t>
            </w:r>
          </w:p>
        </w:tc>
        <w:tc>
          <w:tcPr>
            <w:tcW w:w="3780" w:type="dxa"/>
            <w:vAlign w:val="center"/>
          </w:tcPr>
          <w:p>
            <w:pPr>
              <w:spacing w:after="0"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服务内容</w:t>
            </w:r>
          </w:p>
        </w:tc>
        <w:tc>
          <w:tcPr>
            <w:tcW w:w="2280" w:type="dxa"/>
            <w:vAlign w:val="center"/>
          </w:tcPr>
          <w:p>
            <w:pPr>
              <w:spacing w:after="0"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磋商报价（元）</w:t>
            </w:r>
          </w:p>
        </w:tc>
        <w:tc>
          <w:tcPr>
            <w:tcW w:w="1068"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Align w:val="center"/>
          </w:tcPr>
          <w:p>
            <w:pPr>
              <w:spacing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536" w:type="dxa"/>
            <w:vAlign w:val="center"/>
          </w:tcPr>
          <w:p>
            <w:pPr>
              <w:spacing w:line="340" w:lineRule="exact"/>
              <w:rPr>
                <w:rFonts w:ascii="宋体" w:hAnsi="宋体" w:eastAsia="宋体" w:cs="宋体"/>
                <w:color w:val="auto"/>
                <w:sz w:val="21"/>
                <w:szCs w:val="21"/>
              </w:rPr>
            </w:pPr>
          </w:p>
        </w:tc>
        <w:tc>
          <w:tcPr>
            <w:tcW w:w="3780" w:type="dxa"/>
            <w:vAlign w:val="center"/>
          </w:tcPr>
          <w:p>
            <w:pPr>
              <w:spacing w:line="340" w:lineRule="exact"/>
              <w:rPr>
                <w:rFonts w:ascii="宋体" w:hAnsi="宋体" w:eastAsia="宋体" w:cs="宋体"/>
                <w:color w:val="auto"/>
                <w:sz w:val="21"/>
                <w:szCs w:val="21"/>
              </w:rPr>
            </w:pPr>
          </w:p>
        </w:tc>
        <w:tc>
          <w:tcPr>
            <w:tcW w:w="2280" w:type="dxa"/>
            <w:vAlign w:val="center"/>
          </w:tcPr>
          <w:p>
            <w:pPr>
              <w:spacing w:line="340" w:lineRule="exact"/>
              <w:rPr>
                <w:rFonts w:ascii="宋体" w:hAnsi="宋体" w:eastAsia="宋体" w:cs="宋体"/>
                <w:color w:val="auto"/>
                <w:sz w:val="21"/>
                <w:szCs w:val="21"/>
              </w:rPr>
            </w:pPr>
          </w:p>
        </w:tc>
        <w:tc>
          <w:tcPr>
            <w:tcW w:w="1068" w:type="dxa"/>
            <w:vAlign w:val="center"/>
          </w:tcPr>
          <w:p>
            <w:pPr>
              <w:spacing w:line="340" w:lineRule="exact"/>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6" w:type="dxa"/>
            <w:vAlign w:val="center"/>
          </w:tcPr>
          <w:p>
            <w:pPr>
              <w:spacing w:line="340" w:lineRule="exact"/>
              <w:rPr>
                <w:rFonts w:ascii="宋体" w:hAnsi="宋体" w:eastAsia="宋体" w:cs="宋体"/>
                <w:color w:val="auto"/>
                <w:sz w:val="21"/>
                <w:szCs w:val="21"/>
              </w:rPr>
            </w:pPr>
          </w:p>
        </w:tc>
        <w:tc>
          <w:tcPr>
            <w:tcW w:w="3780" w:type="dxa"/>
            <w:vAlign w:val="center"/>
          </w:tcPr>
          <w:p>
            <w:pPr>
              <w:spacing w:line="340" w:lineRule="exact"/>
              <w:rPr>
                <w:rFonts w:ascii="宋体" w:hAnsi="宋体" w:eastAsia="宋体" w:cs="宋体"/>
                <w:color w:val="auto"/>
                <w:sz w:val="21"/>
                <w:szCs w:val="21"/>
              </w:rPr>
            </w:pPr>
          </w:p>
        </w:tc>
        <w:tc>
          <w:tcPr>
            <w:tcW w:w="2280" w:type="dxa"/>
            <w:vAlign w:val="center"/>
          </w:tcPr>
          <w:p>
            <w:pPr>
              <w:spacing w:line="340" w:lineRule="exact"/>
              <w:rPr>
                <w:rFonts w:ascii="宋体" w:hAnsi="宋体" w:eastAsia="宋体" w:cs="宋体"/>
                <w:color w:val="auto"/>
                <w:sz w:val="21"/>
                <w:szCs w:val="21"/>
              </w:rPr>
            </w:pPr>
          </w:p>
        </w:tc>
        <w:tc>
          <w:tcPr>
            <w:tcW w:w="1068" w:type="dxa"/>
            <w:vAlign w:val="center"/>
          </w:tcPr>
          <w:p>
            <w:pPr>
              <w:spacing w:line="340" w:lineRule="exact"/>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pacing w:val="75"/>
                <w:sz w:val="21"/>
                <w:szCs w:val="21"/>
              </w:rPr>
              <w:t>…</w:t>
            </w:r>
          </w:p>
        </w:tc>
        <w:tc>
          <w:tcPr>
            <w:tcW w:w="1536" w:type="dxa"/>
            <w:vAlign w:val="center"/>
          </w:tcPr>
          <w:p>
            <w:pPr>
              <w:spacing w:line="340" w:lineRule="exact"/>
              <w:rPr>
                <w:rFonts w:ascii="宋体" w:hAnsi="宋体" w:eastAsia="宋体" w:cs="宋体"/>
                <w:color w:val="auto"/>
                <w:sz w:val="21"/>
                <w:szCs w:val="21"/>
              </w:rPr>
            </w:pPr>
          </w:p>
        </w:tc>
        <w:tc>
          <w:tcPr>
            <w:tcW w:w="3780" w:type="dxa"/>
            <w:vAlign w:val="center"/>
          </w:tcPr>
          <w:p>
            <w:pPr>
              <w:spacing w:line="340" w:lineRule="exact"/>
              <w:rPr>
                <w:rFonts w:ascii="宋体" w:hAnsi="宋体" w:eastAsia="宋体" w:cs="宋体"/>
                <w:color w:val="auto"/>
                <w:sz w:val="21"/>
                <w:szCs w:val="21"/>
              </w:rPr>
            </w:pPr>
          </w:p>
        </w:tc>
        <w:tc>
          <w:tcPr>
            <w:tcW w:w="2280" w:type="dxa"/>
            <w:vAlign w:val="center"/>
          </w:tcPr>
          <w:p>
            <w:pPr>
              <w:spacing w:line="340" w:lineRule="exact"/>
              <w:rPr>
                <w:rFonts w:ascii="宋体" w:hAnsi="宋体" w:eastAsia="宋体" w:cs="宋体"/>
                <w:color w:val="auto"/>
                <w:sz w:val="21"/>
                <w:szCs w:val="21"/>
              </w:rPr>
            </w:pPr>
          </w:p>
        </w:tc>
        <w:tc>
          <w:tcPr>
            <w:tcW w:w="1068" w:type="dxa"/>
            <w:vAlign w:val="center"/>
          </w:tcPr>
          <w:p>
            <w:pPr>
              <w:spacing w:line="340" w:lineRule="exact"/>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N</w:t>
            </w:r>
          </w:p>
        </w:tc>
        <w:tc>
          <w:tcPr>
            <w:tcW w:w="1536" w:type="dxa"/>
            <w:vAlign w:val="center"/>
          </w:tcPr>
          <w:p>
            <w:pPr>
              <w:spacing w:line="340" w:lineRule="exact"/>
              <w:rPr>
                <w:rFonts w:ascii="宋体" w:hAnsi="宋体" w:eastAsia="宋体" w:cs="宋体"/>
                <w:color w:val="auto"/>
                <w:sz w:val="21"/>
                <w:szCs w:val="21"/>
              </w:rPr>
            </w:pPr>
          </w:p>
        </w:tc>
        <w:tc>
          <w:tcPr>
            <w:tcW w:w="3780" w:type="dxa"/>
            <w:vAlign w:val="center"/>
          </w:tcPr>
          <w:p>
            <w:pPr>
              <w:spacing w:line="340" w:lineRule="exact"/>
              <w:rPr>
                <w:rFonts w:ascii="宋体" w:hAnsi="宋体" w:eastAsia="宋体" w:cs="宋体"/>
                <w:color w:val="auto"/>
                <w:sz w:val="21"/>
                <w:szCs w:val="21"/>
              </w:rPr>
            </w:pPr>
          </w:p>
        </w:tc>
        <w:tc>
          <w:tcPr>
            <w:tcW w:w="2280" w:type="dxa"/>
            <w:vAlign w:val="center"/>
          </w:tcPr>
          <w:p>
            <w:pPr>
              <w:spacing w:line="340" w:lineRule="exact"/>
              <w:rPr>
                <w:rFonts w:ascii="宋体" w:hAnsi="宋体" w:eastAsia="宋体" w:cs="宋体"/>
                <w:color w:val="auto"/>
                <w:sz w:val="21"/>
                <w:szCs w:val="21"/>
              </w:rPr>
            </w:pPr>
          </w:p>
        </w:tc>
        <w:tc>
          <w:tcPr>
            <w:tcW w:w="1068" w:type="dxa"/>
            <w:vAlign w:val="center"/>
          </w:tcPr>
          <w:p>
            <w:pPr>
              <w:spacing w:line="340" w:lineRule="exact"/>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39" w:type="dxa"/>
            <w:gridSpan w:val="5"/>
            <w:vAlign w:val="center"/>
          </w:tcPr>
          <w:p>
            <w:pPr>
              <w:spacing w:line="340" w:lineRule="exact"/>
              <w:rPr>
                <w:rFonts w:ascii="宋体" w:hAnsi="宋体" w:eastAsia="宋体" w:cs="宋体"/>
                <w:color w:val="auto"/>
                <w:sz w:val="21"/>
                <w:szCs w:val="21"/>
              </w:rPr>
            </w:pPr>
            <w:r>
              <w:rPr>
                <w:rFonts w:hint="eastAsia" w:ascii="宋体" w:hAnsi="宋体" w:eastAsia="宋体" w:cs="宋体"/>
                <w:color w:val="auto"/>
                <w:sz w:val="21"/>
                <w:szCs w:val="21"/>
              </w:rPr>
              <w:t>总报价（人民币大写）：                   （￥                       元）</w:t>
            </w:r>
          </w:p>
        </w:tc>
      </w:tr>
    </w:tbl>
    <w:p>
      <w:pPr>
        <w:spacing w:after="0" w:line="360" w:lineRule="exact"/>
        <w:rPr>
          <w:rFonts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bCs/>
          <w:color w:val="auto"/>
          <w:sz w:val="21"/>
          <w:szCs w:val="21"/>
        </w:rPr>
        <w:t>1.各供应商</w:t>
      </w:r>
      <w:r>
        <w:rPr>
          <w:rFonts w:hint="eastAsia" w:ascii="宋体" w:hAnsi="宋体" w:eastAsia="宋体" w:cs="宋体"/>
          <w:color w:val="auto"/>
          <w:sz w:val="21"/>
          <w:szCs w:val="21"/>
        </w:rPr>
        <w:t>必须就“项目采购需求和说明”中所有内容作完整唯一报价，否则，其响应文件无效。</w:t>
      </w:r>
    </w:p>
    <w:p>
      <w:pPr>
        <w:spacing w:after="0"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2.此表的总报价是所有需采购方支付的本次采购标的金额总数，即磋商总价。磋商总价须包含完成用户需求要求所有内容的全部费用。</w:t>
      </w:r>
      <w:r>
        <w:rPr>
          <w:rFonts w:hint="eastAsia" w:ascii="宋体" w:hAnsi="宋体" w:eastAsia="宋体" w:cs="宋体"/>
          <w:color w:val="auto"/>
          <w:sz w:val="21"/>
          <w:szCs w:val="21"/>
        </w:rPr>
        <w:tab/>
      </w:r>
    </w:p>
    <w:p>
      <w:pPr>
        <w:spacing w:after="0"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3.若此表由多页构成的，需逐页加盖供应商公章。</w:t>
      </w:r>
    </w:p>
    <w:p>
      <w:pPr>
        <w:spacing w:after="120" w:line="240" w:lineRule="exact"/>
        <w:ind w:left="1320" w:leftChars="600" w:firstLine="420" w:firstLineChars="200"/>
        <w:rPr>
          <w:rFonts w:ascii="宋体" w:hAnsi="宋体" w:eastAsia="宋体" w:cs="宋体"/>
          <w:color w:val="auto"/>
          <w:sz w:val="21"/>
          <w:szCs w:val="21"/>
        </w:rPr>
      </w:pPr>
    </w:p>
    <w:p>
      <w:pPr>
        <w:spacing w:after="120" w:line="28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spacing w:after="120" w:line="280" w:lineRule="exact"/>
        <w:ind w:left="1320" w:leftChars="6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after="120" w:line="280" w:lineRule="exact"/>
        <w:ind w:left="1320" w:leftChars="600"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邮编：</w:t>
      </w:r>
    </w:p>
    <w:p>
      <w:pPr>
        <w:spacing w:after="120" w:line="280" w:lineRule="exact"/>
        <w:ind w:left="1320" w:leftChars="6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spacing w:after="120" w:line="28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传真：</w:t>
      </w:r>
    </w:p>
    <w:p>
      <w:pPr>
        <w:spacing w:after="120" w:line="28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法定代表人或委托代理人：</w:t>
      </w:r>
      <w:r>
        <w:rPr>
          <w:rFonts w:hint="eastAsia" w:ascii="宋体" w:hAnsi="宋体" w:eastAsia="宋体" w:cs="宋体"/>
          <w:color w:val="auto"/>
          <w:sz w:val="21"/>
          <w:szCs w:val="21"/>
          <w:u w:val="single"/>
        </w:rPr>
        <w:t xml:space="preserve">              （签字）        </w:t>
      </w:r>
    </w:p>
    <w:p>
      <w:pPr>
        <w:spacing w:after="120" w:line="280" w:lineRule="exact"/>
        <w:ind w:left="1320" w:leftChars="60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日期：年月日</w:t>
      </w:r>
    </w:p>
    <w:p>
      <w:pPr>
        <w:pStyle w:val="18"/>
        <w:rPr>
          <w:rFonts w:ascii="宋体" w:hAnsi="宋体" w:cs="宋体"/>
          <w:color w:val="auto"/>
          <w:sz w:val="21"/>
          <w:szCs w:val="21"/>
        </w:rPr>
      </w:pPr>
      <w:r>
        <w:rPr>
          <w:rFonts w:hint="eastAsia" w:ascii="宋体" w:hAnsi="宋体" w:cs="宋体"/>
          <w:color w:val="auto"/>
          <w:sz w:val="21"/>
          <w:szCs w:val="21"/>
        </w:rPr>
        <w:br w:type="page"/>
      </w:r>
    </w:p>
    <w:p>
      <w:pPr>
        <w:spacing w:after="0" w:line="420" w:lineRule="exact"/>
        <w:rPr>
          <w:rFonts w:ascii="宋体" w:hAnsi="宋体" w:eastAsia="宋体" w:cs="宋体"/>
          <w:b/>
          <w:color w:val="auto"/>
          <w:sz w:val="21"/>
          <w:szCs w:val="21"/>
        </w:rPr>
      </w:pPr>
      <w:bookmarkStart w:id="91" w:name="_Toc405196519"/>
      <w:r>
        <w:rPr>
          <w:rFonts w:hint="eastAsia" w:ascii="宋体" w:hAnsi="宋体" w:eastAsia="宋体" w:cs="宋体"/>
          <w:b/>
          <w:color w:val="auto"/>
          <w:sz w:val="21"/>
          <w:szCs w:val="21"/>
        </w:rPr>
        <w:t>附件三：</w:t>
      </w:r>
    </w:p>
    <w:bookmarkEnd w:id="91"/>
    <w:p>
      <w:pPr>
        <w:spacing w:before="120" w:beforeLines="50" w:after="120" w:afterLines="50" w:line="60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磋商声明书</w:t>
      </w:r>
    </w:p>
    <w:p>
      <w:pPr>
        <w:spacing w:after="0" w:line="400" w:lineRule="exact"/>
        <w:rPr>
          <w:rFonts w:ascii="宋体" w:hAnsi="宋体" w:eastAsia="宋体" w:cs="宋体"/>
          <w:color w:val="auto"/>
          <w:sz w:val="21"/>
          <w:szCs w:val="21"/>
        </w:rPr>
      </w:pPr>
    </w:p>
    <w:p>
      <w:pPr>
        <w:spacing w:after="0" w:line="400" w:lineRule="exact"/>
        <w:rPr>
          <w:rFonts w:ascii="宋体" w:hAnsi="宋体" w:eastAsia="宋体" w:cs="宋体"/>
          <w:color w:val="auto"/>
          <w:sz w:val="21"/>
          <w:szCs w:val="21"/>
        </w:rPr>
      </w:pPr>
      <w:r>
        <w:rPr>
          <w:rFonts w:hint="eastAsia" w:ascii="宋体" w:hAnsi="宋体" w:eastAsia="宋体" w:cs="宋体"/>
          <w:color w:val="auto"/>
          <w:sz w:val="21"/>
          <w:szCs w:val="21"/>
        </w:rPr>
        <w:t>致：(采购代理机构)</w:t>
      </w:r>
    </w:p>
    <w:p>
      <w:pPr>
        <w:spacing w:after="0" w:line="400" w:lineRule="exact"/>
        <w:ind w:firstLine="630" w:firstLineChars="300"/>
        <w:rPr>
          <w:rFonts w:ascii="宋体" w:hAnsi="宋体" w:eastAsia="宋体" w:cs="宋体"/>
          <w:color w:val="auto"/>
          <w:sz w:val="21"/>
          <w:szCs w:val="21"/>
        </w:rPr>
      </w:pPr>
      <w:r>
        <w:rPr>
          <w:rFonts w:hint="eastAsia" w:ascii="宋体" w:hAnsi="宋体" w:eastAsia="宋体" w:cs="宋体"/>
          <w:color w:val="auto"/>
          <w:sz w:val="21"/>
          <w:szCs w:val="21"/>
          <w:u w:val="single"/>
        </w:rPr>
        <w:t>（供应商名称）</w:t>
      </w:r>
      <w:r>
        <w:rPr>
          <w:rFonts w:hint="eastAsia" w:ascii="宋体" w:hAnsi="宋体" w:eastAsia="宋体" w:cs="宋体"/>
          <w:color w:val="auto"/>
          <w:sz w:val="21"/>
          <w:szCs w:val="21"/>
        </w:rPr>
        <w:t>系中华人民共和国合法企业，经营地址：。</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（姓名）</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（供应商名称）</w:t>
      </w:r>
      <w:r>
        <w:rPr>
          <w:rFonts w:hint="eastAsia" w:ascii="宋体" w:hAnsi="宋体" w:eastAsia="宋体" w:cs="宋体"/>
          <w:color w:val="auto"/>
          <w:sz w:val="21"/>
          <w:szCs w:val="21"/>
        </w:rPr>
        <w:t>的法定代表人，我方愿意参加贵方组织的</w:t>
      </w:r>
      <w:r>
        <w:rPr>
          <w:rFonts w:hint="eastAsia" w:ascii="宋体" w:hAnsi="宋体" w:eastAsia="宋体" w:cs="宋体"/>
          <w:color w:val="auto"/>
          <w:sz w:val="21"/>
          <w:szCs w:val="21"/>
          <w:u w:val="single"/>
        </w:rPr>
        <w:t xml:space="preserve">（项目名称）（项目编号：      </w:t>
      </w:r>
      <w:r>
        <w:rPr>
          <w:rFonts w:hint="eastAsia" w:ascii="宋体" w:hAnsi="宋体" w:eastAsia="宋体" w:cs="宋体"/>
          <w:color w:val="auto"/>
          <w:sz w:val="21"/>
          <w:szCs w:val="21"/>
        </w:rPr>
        <w:t>）的磋商，为便于贵方公正、择优地确定成交供应商及其服务，我方就本次磋商有关事项郑重声明如下：</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1.我方向贵方提交的所有响应文件、资料都是准确的和真实的。</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2.我方不是采购人的附属机构；在获知本项目采购信息后，与采购人聘请的为此项目提供咨询服务的公司及其附属机构没有任何联系。</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3.我方诚意提请贵方关注：近期有关该服务的重大决策和事项有：</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 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□我方本次响应文件内容中未涉及商业秘密；</w:t>
      </w:r>
    </w:p>
    <w:p>
      <w:pPr>
        <w:spacing w:after="0"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□我方本次响应文件涉及商业秘密的内容有；</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after="0" w:line="40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6. 以上事项如有虚假或隐瞒，我方愿意承担一切后果，并不再寻求任何旨在减轻或免除法律责任的辩解。</w:t>
      </w:r>
    </w:p>
    <w:p>
      <w:pPr>
        <w:spacing w:line="400" w:lineRule="exact"/>
        <w:rPr>
          <w:rFonts w:ascii="宋体" w:hAnsi="宋体" w:eastAsia="宋体" w:cs="宋体"/>
          <w:color w:val="auto"/>
          <w:sz w:val="21"/>
          <w:szCs w:val="21"/>
        </w:rPr>
      </w:pPr>
    </w:p>
    <w:p>
      <w:pPr>
        <w:spacing w:line="400" w:lineRule="exact"/>
        <w:ind w:firstLine="3255" w:firstLineChars="1550"/>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spacing w:line="400" w:lineRule="exact"/>
        <w:ind w:firstLine="3255" w:firstLineChars="1550"/>
        <w:rPr>
          <w:rFonts w:ascii="宋体" w:hAnsi="宋体" w:eastAsia="宋体" w:cs="宋体"/>
          <w:color w:val="auto"/>
          <w:sz w:val="21"/>
          <w:szCs w:val="21"/>
          <w:u w:val="single"/>
        </w:rPr>
      </w:pPr>
      <w:r>
        <w:rPr>
          <w:rFonts w:hint="eastAsia" w:ascii="宋体" w:hAnsi="宋体" w:eastAsia="宋体" w:cs="宋体"/>
          <w:color w:val="auto"/>
          <w:sz w:val="21"/>
          <w:szCs w:val="21"/>
        </w:rPr>
        <w:t>法定代表人签字：</w:t>
      </w:r>
    </w:p>
    <w:p>
      <w:pPr>
        <w:spacing w:line="400" w:lineRule="exact"/>
        <w:ind w:firstLine="3255" w:firstLineChars="1550"/>
        <w:rPr>
          <w:rFonts w:ascii="宋体" w:hAnsi="宋体" w:cs="宋体"/>
          <w:color w:val="auto"/>
          <w:sz w:val="21"/>
          <w:szCs w:val="21"/>
        </w:rPr>
      </w:pPr>
      <w:r>
        <w:rPr>
          <w:rFonts w:hint="eastAsia" w:ascii="宋体" w:hAnsi="宋体" w:eastAsia="宋体" w:cs="宋体"/>
          <w:color w:val="auto"/>
          <w:sz w:val="21"/>
          <w:szCs w:val="21"/>
        </w:rPr>
        <w:t>日期：  年  月  日</w:t>
      </w:r>
    </w:p>
    <w:p>
      <w:pPr>
        <w:pStyle w:val="23"/>
        <w:spacing w:line="440" w:lineRule="exact"/>
        <w:rPr>
          <w:rFonts w:hAnsi="宋体" w:cs="宋体"/>
          <w:b/>
          <w:color w:val="auto"/>
        </w:rPr>
      </w:pPr>
      <w:r>
        <w:rPr>
          <w:rFonts w:hint="eastAsia" w:hAnsi="宋体" w:cs="宋体"/>
          <w:b/>
          <w:color w:val="auto"/>
        </w:rPr>
        <w:t>附件四：</w:t>
      </w:r>
    </w:p>
    <w:p>
      <w:pPr>
        <w:pStyle w:val="23"/>
        <w:spacing w:line="400" w:lineRule="exact"/>
        <w:rPr>
          <w:rFonts w:hAnsi="宋体" w:cs="宋体"/>
          <w:b/>
          <w:color w:val="auto"/>
        </w:rPr>
      </w:pPr>
    </w:p>
    <w:p>
      <w:pPr>
        <w:pStyle w:val="23"/>
        <w:spacing w:line="400" w:lineRule="exact"/>
        <w:jc w:val="center"/>
        <w:rPr>
          <w:rFonts w:hAnsi="宋体" w:cs="宋体"/>
          <w:b/>
          <w:color w:val="auto"/>
        </w:rPr>
      </w:pPr>
      <w:r>
        <w:rPr>
          <w:rFonts w:hint="eastAsia" w:hAnsi="宋体" w:cs="宋体"/>
          <w:b/>
          <w:color w:val="auto"/>
        </w:rPr>
        <w:t>参加政府采购活动前三年内在经营活动中没有重大违法记录的书面声明</w:t>
      </w:r>
    </w:p>
    <w:p>
      <w:pPr>
        <w:pStyle w:val="23"/>
        <w:spacing w:line="400" w:lineRule="exact"/>
        <w:rPr>
          <w:rFonts w:hAnsi="宋体" w:cs="宋体"/>
          <w:color w:val="auto"/>
        </w:rPr>
      </w:pPr>
    </w:p>
    <w:p>
      <w:pPr>
        <w:pStyle w:val="23"/>
        <w:spacing w:line="400" w:lineRule="exact"/>
        <w:rPr>
          <w:rFonts w:hAnsi="宋体" w:cs="宋体"/>
          <w:color w:val="auto"/>
        </w:rPr>
      </w:pPr>
    </w:p>
    <w:p>
      <w:pPr>
        <w:pStyle w:val="23"/>
        <w:spacing w:line="400" w:lineRule="exact"/>
        <w:rPr>
          <w:rFonts w:hAnsi="宋体" w:cs="宋体"/>
          <w:color w:val="auto"/>
        </w:rPr>
      </w:pPr>
      <w:r>
        <w:rPr>
          <w:rFonts w:hint="eastAsia" w:hAnsi="宋体" w:cs="宋体"/>
          <w:color w:val="auto"/>
        </w:rPr>
        <w:t>致：________(采购代理机构)</w:t>
      </w:r>
    </w:p>
    <w:p>
      <w:pPr>
        <w:pStyle w:val="23"/>
        <w:spacing w:line="400" w:lineRule="exact"/>
        <w:ind w:firstLine="420" w:firstLineChars="200"/>
        <w:rPr>
          <w:rFonts w:hAnsi="宋体" w:cs="宋体"/>
          <w:color w:val="auto"/>
        </w:rPr>
      </w:pPr>
      <w:r>
        <w:rPr>
          <w:rFonts w:hint="eastAsia" w:hAnsi="宋体" w:cs="宋体"/>
          <w:color w:val="auto"/>
        </w:rPr>
        <w:t>我单位在参加采购活动前三年内在经营活动中没有《政府采购法》第二十二条第一款第(五)项所称重大违法记录，包括：</w:t>
      </w:r>
    </w:p>
    <w:p>
      <w:pPr>
        <w:pStyle w:val="23"/>
        <w:spacing w:line="400" w:lineRule="exact"/>
        <w:ind w:firstLine="420" w:firstLineChars="200"/>
        <w:rPr>
          <w:rFonts w:hAnsi="宋体" w:cs="宋体"/>
          <w:color w:val="auto"/>
        </w:rPr>
      </w:pPr>
      <w:r>
        <w:rPr>
          <w:rFonts w:hint="eastAsia" w:hAnsi="宋体" w:cs="宋体"/>
          <w:color w:val="auto"/>
        </w:rPr>
        <w:t>我单位或者其法定代表人、董事、监事、高级管理人员未因经营活动中的违法行为受到刑事处罚或者责令停产停业、吊销许可证或者执照、较大数额罚款等行政处罚。</w:t>
      </w:r>
    </w:p>
    <w:p>
      <w:pPr>
        <w:pStyle w:val="23"/>
        <w:spacing w:line="400" w:lineRule="exact"/>
        <w:ind w:firstLine="420" w:firstLineChars="200"/>
        <w:rPr>
          <w:rFonts w:hAnsi="宋体" w:cs="宋体"/>
          <w:color w:val="auto"/>
        </w:rPr>
      </w:pPr>
      <w:r>
        <w:rPr>
          <w:rFonts w:hint="eastAsia" w:hAnsi="宋体" w:cs="宋体"/>
          <w:color w:val="auto"/>
        </w:rPr>
        <w:t>特此声明！</w:t>
      </w:r>
    </w:p>
    <w:p>
      <w:pPr>
        <w:pStyle w:val="23"/>
        <w:spacing w:line="400" w:lineRule="exact"/>
        <w:rPr>
          <w:rFonts w:hAnsi="宋体" w:cs="宋体"/>
          <w:color w:val="auto"/>
        </w:rPr>
      </w:pPr>
    </w:p>
    <w:p>
      <w:pPr>
        <w:pStyle w:val="23"/>
        <w:spacing w:line="300" w:lineRule="auto"/>
        <w:ind w:firstLine="1470" w:firstLineChars="700"/>
        <w:rPr>
          <w:rFonts w:hAnsi="宋体" w:cs="宋体"/>
          <w:color w:val="auto"/>
        </w:rPr>
      </w:pPr>
    </w:p>
    <w:p>
      <w:pPr>
        <w:pStyle w:val="23"/>
        <w:spacing w:line="300" w:lineRule="auto"/>
        <w:ind w:firstLine="1470" w:firstLineChars="700"/>
        <w:rPr>
          <w:rFonts w:hAnsi="宋体" w:cs="宋体"/>
          <w:color w:val="auto"/>
        </w:rPr>
      </w:pPr>
    </w:p>
    <w:p>
      <w:pPr>
        <w:pStyle w:val="23"/>
        <w:spacing w:line="300" w:lineRule="auto"/>
        <w:ind w:firstLine="1470" w:firstLineChars="700"/>
        <w:rPr>
          <w:rFonts w:hAnsi="宋体" w:cs="宋体"/>
          <w:color w:val="auto"/>
        </w:rPr>
      </w:pPr>
    </w:p>
    <w:p>
      <w:pPr>
        <w:spacing w:line="500" w:lineRule="exact"/>
        <w:ind w:firstLine="3255" w:firstLineChars="1550"/>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spacing w:line="500" w:lineRule="exact"/>
        <w:ind w:firstLine="3255" w:firstLineChars="1550"/>
        <w:rPr>
          <w:rFonts w:ascii="宋体" w:hAnsi="宋体" w:eastAsia="宋体" w:cs="宋体"/>
          <w:color w:val="auto"/>
          <w:sz w:val="21"/>
          <w:szCs w:val="21"/>
        </w:rPr>
      </w:pPr>
      <w:r>
        <w:rPr>
          <w:rFonts w:hint="eastAsia" w:ascii="宋体" w:hAnsi="宋体" w:eastAsia="宋体" w:cs="宋体"/>
          <w:color w:val="auto"/>
          <w:sz w:val="21"/>
          <w:szCs w:val="21"/>
        </w:rPr>
        <w:t>法定代表人或委托代理人：</w:t>
      </w:r>
      <w:r>
        <w:rPr>
          <w:rFonts w:hint="eastAsia" w:ascii="宋体" w:hAnsi="宋体" w:eastAsia="宋体" w:cs="宋体"/>
          <w:color w:val="auto"/>
          <w:sz w:val="21"/>
          <w:szCs w:val="21"/>
          <w:u w:val="single"/>
        </w:rPr>
        <w:t xml:space="preserve">     （签字）   </w:t>
      </w:r>
    </w:p>
    <w:p>
      <w:pPr>
        <w:pStyle w:val="23"/>
        <w:spacing w:line="500" w:lineRule="exact"/>
        <w:ind w:firstLine="3255" w:firstLineChars="1550"/>
        <w:rPr>
          <w:rFonts w:hAnsi="宋体" w:cs="宋体"/>
          <w:color w:val="auto"/>
        </w:rPr>
      </w:pPr>
      <w:r>
        <w:rPr>
          <w:rFonts w:hint="eastAsia" w:hAnsi="宋体" w:cs="宋体"/>
          <w:color w:val="auto"/>
        </w:rPr>
        <w:t>日期：  年  月  日</w:t>
      </w:r>
    </w:p>
    <w:p>
      <w:pPr>
        <w:pStyle w:val="23"/>
        <w:spacing w:line="400" w:lineRule="exact"/>
        <w:rPr>
          <w:rFonts w:hAnsi="宋体" w:cs="宋体"/>
          <w:color w:val="auto"/>
        </w:rPr>
      </w:pPr>
    </w:p>
    <w:p>
      <w:pPr>
        <w:adjustRightInd/>
        <w:snapToGrid/>
        <w:spacing w:line="220" w:lineRule="atLeast"/>
        <w:rPr>
          <w:rFonts w:ascii="宋体" w:hAnsi="宋体" w:eastAsia="宋体" w:cs="宋体"/>
          <w:color w:val="auto"/>
          <w:kern w:val="2"/>
          <w:sz w:val="21"/>
          <w:szCs w:val="21"/>
        </w:rPr>
      </w:pPr>
      <w:r>
        <w:rPr>
          <w:rFonts w:hint="eastAsia" w:ascii="宋体" w:hAnsi="宋体" w:eastAsia="宋体" w:cs="宋体"/>
          <w:color w:val="auto"/>
          <w:sz w:val="21"/>
          <w:szCs w:val="21"/>
        </w:rPr>
        <w:br w:type="page"/>
      </w:r>
    </w:p>
    <w:p>
      <w:pPr>
        <w:pStyle w:val="23"/>
        <w:spacing w:line="440" w:lineRule="exact"/>
        <w:rPr>
          <w:rFonts w:hAnsi="宋体" w:cs="宋体"/>
          <w:b/>
          <w:color w:val="auto"/>
        </w:rPr>
      </w:pPr>
      <w:r>
        <w:rPr>
          <w:rFonts w:hint="eastAsia" w:hAnsi="宋体" w:cs="宋体"/>
          <w:b/>
          <w:color w:val="auto"/>
        </w:rPr>
        <w:t>附件五：</w:t>
      </w:r>
    </w:p>
    <w:p>
      <w:pPr>
        <w:pStyle w:val="23"/>
        <w:spacing w:line="400" w:lineRule="exact"/>
        <w:rPr>
          <w:rFonts w:hAnsi="宋体" w:cs="宋体"/>
          <w:color w:val="auto"/>
        </w:rPr>
      </w:pPr>
    </w:p>
    <w:p>
      <w:pPr>
        <w:spacing w:before="120" w:beforeLines="50" w:after="120" w:afterLines="50" w:line="60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法定代表人身份证明</w:t>
      </w:r>
    </w:p>
    <w:p>
      <w:pPr>
        <w:pStyle w:val="23"/>
        <w:spacing w:line="460" w:lineRule="exact"/>
        <w:ind w:firstLine="539" w:firstLineChars="257"/>
        <w:rPr>
          <w:rFonts w:hAnsi="宋体" w:cs="宋体"/>
          <w:color w:val="auto"/>
        </w:rPr>
      </w:pPr>
      <w:r>
        <w:rPr>
          <w:rFonts w:hint="eastAsia" w:hAnsi="宋体" w:cs="宋体"/>
          <w:color w:val="auto"/>
        </w:rPr>
        <w:t>供应商：</w:t>
      </w:r>
    </w:p>
    <w:p>
      <w:pPr>
        <w:pStyle w:val="23"/>
        <w:spacing w:line="460" w:lineRule="exact"/>
        <w:ind w:firstLine="539" w:firstLineChars="257"/>
        <w:rPr>
          <w:rFonts w:hAnsi="宋体" w:cs="宋体"/>
          <w:color w:val="auto"/>
        </w:rPr>
      </w:pPr>
      <w:r>
        <w:rPr>
          <w:rFonts w:hint="eastAsia" w:hAnsi="宋体" w:cs="宋体"/>
          <w:color w:val="auto"/>
        </w:rPr>
        <w:t>单位性质：</w:t>
      </w:r>
    </w:p>
    <w:p>
      <w:pPr>
        <w:pStyle w:val="23"/>
        <w:spacing w:line="460" w:lineRule="exact"/>
        <w:ind w:firstLine="539" w:firstLineChars="257"/>
        <w:rPr>
          <w:rFonts w:hAnsi="宋体" w:cs="宋体"/>
          <w:color w:val="auto"/>
        </w:rPr>
      </w:pPr>
      <w:r>
        <w:rPr>
          <w:rFonts w:hint="eastAsia" w:hAnsi="宋体" w:cs="宋体"/>
          <w:color w:val="auto"/>
        </w:rPr>
        <w:t>地    址：</w:t>
      </w:r>
    </w:p>
    <w:p>
      <w:pPr>
        <w:pStyle w:val="23"/>
        <w:spacing w:line="460" w:lineRule="exact"/>
        <w:ind w:firstLine="539" w:firstLineChars="257"/>
        <w:rPr>
          <w:rFonts w:hAnsi="宋体" w:cs="宋体"/>
          <w:color w:val="auto"/>
        </w:rPr>
      </w:pPr>
      <w:r>
        <w:rPr>
          <w:rFonts w:hint="eastAsia" w:hAnsi="宋体" w:cs="宋体"/>
          <w:color w:val="auto"/>
        </w:rPr>
        <w:t>成立时间：年月日</w:t>
      </w:r>
    </w:p>
    <w:p>
      <w:pPr>
        <w:pStyle w:val="23"/>
        <w:spacing w:line="460" w:lineRule="exact"/>
        <w:ind w:firstLine="539" w:firstLineChars="257"/>
        <w:rPr>
          <w:rFonts w:hAnsi="宋体" w:cs="宋体"/>
          <w:color w:val="auto"/>
        </w:rPr>
      </w:pPr>
      <w:r>
        <w:rPr>
          <w:rFonts w:hint="eastAsia" w:hAnsi="宋体" w:cs="宋体"/>
          <w:color w:val="auto"/>
        </w:rPr>
        <w:t>经营期限：</w:t>
      </w:r>
    </w:p>
    <w:p>
      <w:pPr>
        <w:pStyle w:val="23"/>
        <w:spacing w:line="460" w:lineRule="exact"/>
        <w:ind w:firstLine="539" w:firstLineChars="257"/>
        <w:rPr>
          <w:rFonts w:hAnsi="宋体" w:cs="宋体"/>
          <w:color w:val="auto"/>
        </w:rPr>
      </w:pPr>
      <w:r>
        <w:rPr>
          <w:rFonts w:hint="eastAsia" w:hAnsi="宋体" w:cs="宋体"/>
          <w:color w:val="auto"/>
        </w:rPr>
        <w:t>姓    名：性      别：</w:t>
      </w:r>
    </w:p>
    <w:p>
      <w:pPr>
        <w:pStyle w:val="23"/>
        <w:spacing w:line="460" w:lineRule="exact"/>
        <w:ind w:firstLine="539" w:firstLineChars="257"/>
        <w:rPr>
          <w:rFonts w:hAnsi="宋体" w:cs="宋体"/>
          <w:color w:val="auto"/>
          <w:u w:val="single"/>
        </w:rPr>
      </w:pPr>
      <w:r>
        <w:rPr>
          <w:rFonts w:hint="eastAsia" w:hAnsi="宋体" w:cs="宋体"/>
          <w:color w:val="auto"/>
        </w:rPr>
        <w:t>年    龄：职      务：</w:t>
      </w:r>
    </w:p>
    <w:p>
      <w:pPr>
        <w:pStyle w:val="23"/>
        <w:spacing w:line="460" w:lineRule="exact"/>
        <w:ind w:firstLine="539" w:firstLineChars="257"/>
        <w:rPr>
          <w:rFonts w:hAnsi="宋体" w:cs="宋体"/>
          <w:color w:val="auto"/>
        </w:rPr>
      </w:pPr>
      <w:r>
        <w:rPr>
          <w:rFonts w:hint="eastAsia" w:hAnsi="宋体" w:cs="宋体"/>
          <w:color w:val="auto"/>
        </w:rPr>
        <w:t>身份证号码：</w:t>
      </w:r>
    </w:p>
    <w:p>
      <w:pPr>
        <w:pStyle w:val="23"/>
        <w:spacing w:line="460" w:lineRule="exact"/>
        <w:ind w:firstLine="539" w:firstLineChars="257"/>
        <w:rPr>
          <w:rFonts w:hAnsi="宋体" w:cs="宋体"/>
          <w:color w:val="auto"/>
        </w:rPr>
      </w:pPr>
      <w:r>
        <w:rPr>
          <w:rFonts w:hint="eastAsia" w:hAnsi="宋体" w:cs="宋体"/>
          <w:color w:val="auto"/>
        </w:rPr>
        <w:t>系（供应商名称）的法定代表人。</w:t>
      </w:r>
    </w:p>
    <w:p>
      <w:pPr>
        <w:pStyle w:val="23"/>
        <w:spacing w:line="460" w:lineRule="exact"/>
        <w:ind w:firstLine="539" w:firstLineChars="257"/>
        <w:rPr>
          <w:rFonts w:hAnsi="宋体" w:cs="宋体"/>
          <w:color w:val="auto"/>
        </w:rPr>
      </w:pPr>
      <w:r>
        <w:rPr>
          <w:rFonts w:hint="eastAsia" w:hAnsi="宋体" w:cs="宋体"/>
          <w:color w:val="auto"/>
        </w:rPr>
        <w:t>特此证明。</w:t>
      </w:r>
    </w:p>
    <w:p>
      <w:pPr>
        <w:pStyle w:val="23"/>
        <w:spacing w:line="460" w:lineRule="exact"/>
        <w:ind w:firstLine="539" w:firstLineChars="257"/>
        <w:rPr>
          <w:rFonts w:hAnsi="宋体" w:cs="宋体"/>
          <w:color w:val="auto"/>
        </w:rPr>
      </w:pPr>
      <w:r>
        <w:rPr>
          <w:rFonts w:hint="eastAsia" w:hAnsi="宋体" w:cs="宋体"/>
          <w:color w:val="auto"/>
        </w:rPr>
        <w:t>附：法定代表人有效的身份证正反面复印件，并加盖公章。</w:t>
      </w:r>
    </w:p>
    <w:p>
      <w:pPr>
        <w:pStyle w:val="23"/>
        <w:spacing w:line="460" w:lineRule="exact"/>
        <w:ind w:firstLine="539" w:firstLineChars="257"/>
        <w:rPr>
          <w:rFonts w:hAnsi="宋体" w:cs="宋体"/>
          <w:color w:val="auto"/>
        </w:rPr>
      </w:pPr>
    </w:p>
    <w:p>
      <w:pPr>
        <w:pStyle w:val="23"/>
        <w:spacing w:line="460" w:lineRule="exact"/>
        <w:ind w:firstLine="539" w:firstLineChars="257"/>
        <w:rPr>
          <w:rFonts w:hAnsi="宋体" w:cs="宋体"/>
          <w:color w:val="auto"/>
        </w:rPr>
      </w:pPr>
    </w:p>
    <w:p>
      <w:pPr>
        <w:pStyle w:val="23"/>
        <w:spacing w:line="460" w:lineRule="exact"/>
        <w:ind w:firstLine="539" w:firstLineChars="257"/>
        <w:rPr>
          <w:rFonts w:hAnsi="宋体" w:cs="宋体"/>
          <w:color w:val="auto"/>
        </w:rPr>
      </w:pPr>
    </w:p>
    <w:p>
      <w:pPr>
        <w:pStyle w:val="23"/>
        <w:spacing w:line="460" w:lineRule="exact"/>
        <w:ind w:firstLine="539" w:firstLineChars="257"/>
        <w:rPr>
          <w:rFonts w:hAnsi="宋体" w:cs="宋体"/>
          <w:color w:val="auto"/>
        </w:rPr>
      </w:pPr>
    </w:p>
    <w:p>
      <w:pPr>
        <w:spacing w:after="0" w:line="500" w:lineRule="exact"/>
        <w:ind w:firstLine="3360" w:firstLineChars="1600"/>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pStyle w:val="23"/>
        <w:spacing w:line="460" w:lineRule="exact"/>
        <w:ind w:firstLine="3360" w:firstLineChars="1600"/>
        <w:rPr>
          <w:rFonts w:hAnsi="宋体" w:cs="宋体"/>
          <w:color w:val="auto"/>
        </w:rPr>
      </w:pPr>
      <w:r>
        <w:rPr>
          <w:rFonts w:hint="eastAsia" w:hAnsi="宋体" w:cs="宋体"/>
          <w:color w:val="auto"/>
        </w:rPr>
        <w:t>日 期：  年  月  日</w:t>
      </w:r>
    </w:p>
    <w:p>
      <w:pPr>
        <w:adjustRightInd/>
        <w:snapToGrid/>
        <w:spacing w:line="220" w:lineRule="atLeast"/>
        <w:rPr>
          <w:rFonts w:ascii="宋体" w:hAnsi="宋体" w:eastAsia="宋体" w:cs="宋体"/>
          <w:color w:val="auto"/>
          <w:sz w:val="21"/>
          <w:szCs w:val="21"/>
        </w:rPr>
      </w:pPr>
      <w:r>
        <w:rPr>
          <w:rFonts w:hint="eastAsia" w:ascii="宋体" w:hAnsi="宋体" w:eastAsia="宋体" w:cs="宋体"/>
          <w:color w:val="auto"/>
          <w:sz w:val="21"/>
          <w:szCs w:val="21"/>
        </w:rPr>
        <w:br w:type="page"/>
      </w:r>
    </w:p>
    <w:p>
      <w:pPr>
        <w:spacing w:line="400" w:lineRule="exact"/>
        <w:rPr>
          <w:rFonts w:ascii="宋体" w:hAnsi="宋体" w:eastAsia="宋体" w:cs="宋体"/>
          <w:color w:val="auto"/>
          <w:sz w:val="21"/>
          <w:szCs w:val="21"/>
        </w:rPr>
      </w:pPr>
      <w:r>
        <w:rPr>
          <w:rFonts w:hint="eastAsia" w:ascii="宋体" w:hAnsi="宋体" w:eastAsia="宋体" w:cs="宋体"/>
          <w:b/>
          <w:color w:val="auto"/>
          <w:sz w:val="21"/>
          <w:szCs w:val="21"/>
        </w:rPr>
        <w:t>附件六：</w:t>
      </w:r>
    </w:p>
    <w:p>
      <w:pPr>
        <w:spacing w:before="120" w:beforeLines="50" w:after="120" w:afterLines="50" w:line="60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法定代表人授权委托书</w:t>
      </w:r>
    </w:p>
    <w:p>
      <w:pPr>
        <w:autoSpaceDE w:val="0"/>
        <w:rPr>
          <w:rFonts w:ascii="宋体" w:hAnsi="宋体" w:eastAsia="宋体" w:cs="宋体"/>
          <w:b/>
          <w:color w:val="auto"/>
          <w:sz w:val="21"/>
          <w:szCs w:val="21"/>
        </w:rPr>
      </w:pPr>
    </w:p>
    <w:p>
      <w:pPr>
        <w:spacing w:after="0" w:line="440" w:lineRule="exact"/>
        <w:rPr>
          <w:rFonts w:ascii="宋体" w:hAnsi="宋体" w:eastAsia="宋体" w:cs="宋体"/>
          <w:b/>
          <w:bCs/>
          <w:color w:val="auto"/>
          <w:sz w:val="21"/>
          <w:szCs w:val="21"/>
        </w:rPr>
      </w:pPr>
      <w:r>
        <w:rPr>
          <w:rFonts w:hint="eastAsia" w:ascii="宋体" w:hAnsi="宋体" w:eastAsia="宋体" w:cs="宋体"/>
          <w:bCs/>
          <w:color w:val="auto"/>
          <w:sz w:val="21"/>
          <w:szCs w:val="21"/>
        </w:rPr>
        <w:t>致</w:t>
      </w:r>
      <w:r>
        <w:rPr>
          <w:rFonts w:hint="eastAsia" w:ascii="宋体" w:hAnsi="宋体" w:eastAsia="宋体" w:cs="宋体"/>
          <w:color w:val="auto"/>
          <w:sz w:val="21"/>
          <w:szCs w:val="21"/>
        </w:rPr>
        <w:t>：（采购代理机构）</w:t>
      </w:r>
    </w:p>
    <w:p>
      <w:pPr>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（姓名）</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（供应商名称）</w:t>
      </w:r>
      <w:r>
        <w:rPr>
          <w:rFonts w:hint="eastAsia" w:ascii="宋体" w:hAnsi="宋体" w:eastAsia="宋体" w:cs="宋体"/>
          <w:color w:val="auto"/>
          <w:sz w:val="21"/>
          <w:szCs w:val="21"/>
        </w:rPr>
        <w:t>的法定代表人，现授权委托本单位在职职工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（项目名称）（项目编号：      </w:t>
      </w:r>
      <w:r>
        <w:rPr>
          <w:rFonts w:hint="eastAsia" w:ascii="宋体" w:hAnsi="宋体" w:eastAsia="宋体" w:cs="宋体"/>
          <w:color w:val="auto"/>
          <w:sz w:val="21"/>
          <w:szCs w:val="21"/>
        </w:rPr>
        <w:t>）项目的磋商活动，并代表我方全权办理针对上述项目的响应文件签署、响应文件提交、磋商、签订合同和处理一切有关事宜等。</w:t>
      </w:r>
    </w:p>
    <w:p>
      <w:pPr>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pPr>
        <w:spacing w:after="0" w:line="44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授权委托期限：。</w:t>
      </w:r>
    </w:p>
    <w:p>
      <w:pPr>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被授权人在授权书有效期内签署的所有文件不因授权的撤销而失效。</w:t>
      </w:r>
    </w:p>
    <w:p>
      <w:pPr>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pPr>
        <w:spacing w:after="0" w:line="440" w:lineRule="exact"/>
        <w:ind w:firstLine="420" w:firstLineChars="200"/>
        <w:rPr>
          <w:rFonts w:ascii="宋体" w:hAnsi="宋体" w:eastAsia="宋体" w:cs="宋体"/>
          <w:color w:val="auto"/>
          <w:sz w:val="21"/>
          <w:szCs w:val="21"/>
        </w:rPr>
      </w:pPr>
    </w:p>
    <w:p>
      <w:pPr>
        <w:spacing w:after="0" w:line="44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附：被授权人有效的身份证正反面复印件，并加盖公章。</w:t>
      </w:r>
    </w:p>
    <w:p>
      <w:pPr>
        <w:spacing w:line="440" w:lineRule="exact"/>
        <w:ind w:firstLine="420" w:firstLineChars="200"/>
        <w:rPr>
          <w:rFonts w:ascii="宋体" w:hAnsi="宋体" w:eastAsia="宋体" w:cs="宋体"/>
          <w:color w:val="auto"/>
          <w:sz w:val="21"/>
          <w:szCs w:val="21"/>
        </w:rPr>
      </w:pPr>
    </w:p>
    <w:p>
      <w:pPr>
        <w:spacing w:line="440" w:lineRule="exact"/>
        <w:ind w:firstLine="2415" w:firstLineChars="1150"/>
        <w:rPr>
          <w:rFonts w:ascii="宋体" w:hAnsi="宋体" w:eastAsia="宋体" w:cs="宋体"/>
          <w:color w:val="auto"/>
          <w:sz w:val="21"/>
          <w:szCs w:val="21"/>
          <w:u w:val="single"/>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（单位名称并盖公章） </w:t>
      </w:r>
    </w:p>
    <w:p>
      <w:pPr>
        <w:spacing w:line="440" w:lineRule="exact"/>
        <w:ind w:firstLine="2415" w:firstLineChars="1150"/>
        <w:rPr>
          <w:rFonts w:ascii="宋体" w:hAnsi="宋体" w:eastAsia="宋体" w:cs="宋体"/>
          <w:color w:val="auto"/>
          <w:sz w:val="21"/>
          <w:szCs w:val="21"/>
          <w:u w:val="single"/>
        </w:rPr>
      </w:pPr>
      <w:r>
        <w:rPr>
          <w:rFonts w:hint="eastAsia" w:ascii="宋体" w:hAnsi="宋体" w:eastAsia="宋体" w:cs="宋体"/>
          <w:color w:val="auto"/>
          <w:sz w:val="21"/>
          <w:szCs w:val="21"/>
        </w:rPr>
        <w:t>法定代表人（签字）：</w:t>
      </w:r>
    </w:p>
    <w:p>
      <w:pPr>
        <w:spacing w:line="440" w:lineRule="exact"/>
        <w:ind w:firstLine="2415" w:firstLineChars="1150"/>
        <w:rPr>
          <w:rFonts w:ascii="宋体" w:hAnsi="宋体" w:eastAsia="宋体" w:cs="宋体"/>
          <w:color w:val="auto"/>
          <w:sz w:val="21"/>
          <w:szCs w:val="21"/>
          <w:u w:val="single"/>
        </w:rPr>
      </w:pPr>
      <w:r>
        <w:rPr>
          <w:rFonts w:hint="eastAsia" w:ascii="宋体" w:hAnsi="宋体" w:eastAsia="宋体" w:cs="宋体"/>
          <w:color w:val="auto"/>
          <w:sz w:val="21"/>
          <w:szCs w:val="21"/>
        </w:rPr>
        <w:t>法定代表人身份证号码：</w:t>
      </w:r>
    </w:p>
    <w:p>
      <w:pPr>
        <w:spacing w:line="440" w:lineRule="exact"/>
        <w:ind w:firstLine="2415" w:firstLineChars="1150"/>
        <w:rPr>
          <w:rFonts w:ascii="宋体" w:hAnsi="宋体" w:eastAsia="宋体" w:cs="宋体"/>
          <w:color w:val="auto"/>
          <w:sz w:val="21"/>
          <w:szCs w:val="21"/>
          <w:u w:val="single"/>
        </w:rPr>
      </w:pPr>
      <w:r>
        <w:rPr>
          <w:rFonts w:hint="eastAsia" w:ascii="宋体" w:hAnsi="宋体" w:eastAsia="宋体" w:cs="宋体"/>
          <w:color w:val="auto"/>
          <w:sz w:val="21"/>
          <w:szCs w:val="21"/>
        </w:rPr>
        <w:t>委托代理人（签字）：</w:t>
      </w:r>
    </w:p>
    <w:p>
      <w:pPr>
        <w:spacing w:line="440" w:lineRule="exact"/>
        <w:ind w:firstLine="2415" w:firstLineChars="1150"/>
        <w:rPr>
          <w:rFonts w:ascii="宋体" w:hAnsi="宋体" w:eastAsia="宋体" w:cs="宋体"/>
          <w:color w:val="auto"/>
          <w:sz w:val="21"/>
          <w:szCs w:val="21"/>
          <w:u w:val="single"/>
        </w:rPr>
      </w:pPr>
      <w:r>
        <w:rPr>
          <w:rFonts w:hint="eastAsia" w:ascii="宋体" w:hAnsi="宋体" w:eastAsia="宋体" w:cs="宋体"/>
          <w:color w:val="auto"/>
          <w:sz w:val="21"/>
          <w:szCs w:val="21"/>
        </w:rPr>
        <w:t>委托代理人身份证号码：</w:t>
      </w:r>
    </w:p>
    <w:p>
      <w:pPr>
        <w:spacing w:line="440" w:lineRule="exact"/>
        <w:ind w:firstLine="2520" w:firstLineChars="1200"/>
        <w:rPr>
          <w:rFonts w:ascii="宋体" w:hAnsi="宋体" w:eastAsia="宋体" w:cs="宋体"/>
          <w:color w:val="auto"/>
          <w:sz w:val="21"/>
          <w:szCs w:val="21"/>
        </w:rPr>
      </w:pPr>
      <w:r>
        <w:rPr>
          <w:rFonts w:hint="eastAsia" w:ascii="宋体" w:hAnsi="宋体" w:eastAsia="宋体" w:cs="宋体"/>
          <w:color w:val="auto"/>
          <w:sz w:val="21"/>
          <w:szCs w:val="21"/>
        </w:rPr>
        <w:t>日期：  年  月  日</w:t>
      </w:r>
    </w:p>
    <w:p>
      <w:pPr>
        <w:spacing w:line="440" w:lineRule="exact"/>
        <w:ind w:firstLine="420" w:firstLineChars="200"/>
        <w:rPr>
          <w:rFonts w:ascii="宋体" w:hAnsi="宋体" w:eastAsia="宋体" w:cs="宋体"/>
          <w:color w:val="auto"/>
          <w:sz w:val="21"/>
          <w:szCs w:val="21"/>
        </w:rPr>
      </w:pPr>
    </w:p>
    <w:p>
      <w:pPr>
        <w:adjustRightInd/>
        <w:snapToGrid/>
        <w:spacing w:line="220" w:lineRule="atLeast"/>
        <w:rPr>
          <w:rFonts w:ascii="宋体" w:hAnsi="宋体" w:eastAsia="宋体" w:cs="宋体"/>
          <w:color w:val="auto"/>
          <w:kern w:val="2"/>
          <w:sz w:val="21"/>
          <w:szCs w:val="21"/>
        </w:rPr>
      </w:pPr>
      <w:r>
        <w:rPr>
          <w:rFonts w:hint="eastAsia" w:ascii="宋体" w:hAnsi="宋体" w:eastAsia="宋体" w:cs="宋体"/>
          <w:color w:val="auto"/>
          <w:sz w:val="21"/>
          <w:szCs w:val="21"/>
        </w:rPr>
        <w:br w:type="page"/>
      </w:r>
    </w:p>
    <w:p>
      <w:pPr>
        <w:pStyle w:val="15"/>
        <w:overflowPunct w:val="0"/>
        <w:ind w:firstLine="0"/>
        <w:rPr>
          <w:rFonts w:ascii="宋体" w:hAnsi="宋体" w:cs="宋体"/>
          <w:color w:val="auto"/>
          <w:szCs w:val="21"/>
        </w:rPr>
      </w:pPr>
    </w:p>
    <w:p>
      <w:pPr>
        <w:spacing w:line="300" w:lineRule="auto"/>
        <w:rPr>
          <w:rFonts w:ascii="宋体" w:hAnsi="宋体" w:eastAsia="宋体" w:cs="宋体"/>
          <w:b/>
          <w:color w:val="auto"/>
          <w:sz w:val="21"/>
          <w:szCs w:val="21"/>
        </w:rPr>
      </w:pPr>
      <w:r>
        <w:rPr>
          <w:rFonts w:hint="eastAsia" w:ascii="宋体" w:hAnsi="宋体" w:eastAsia="宋体" w:cs="宋体"/>
          <w:b/>
          <w:color w:val="auto"/>
          <w:sz w:val="21"/>
          <w:szCs w:val="21"/>
        </w:rPr>
        <w:t>附件七：</w:t>
      </w:r>
    </w:p>
    <w:p>
      <w:pPr>
        <w:spacing w:line="300" w:lineRule="auto"/>
        <w:ind w:firstLine="422" w:firstLineChars="200"/>
        <w:rPr>
          <w:rFonts w:ascii="宋体" w:hAnsi="宋体" w:eastAsia="宋体" w:cs="宋体"/>
          <w:b/>
          <w:color w:val="auto"/>
          <w:sz w:val="21"/>
          <w:szCs w:val="21"/>
        </w:rPr>
      </w:pPr>
    </w:p>
    <w:p>
      <w:pPr>
        <w:spacing w:before="50"/>
        <w:jc w:val="center"/>
        <w:rPr>
          <w:rFonts w:ascii="宋体" w:hAnsi="宋体" w:eastAsia="宋体" w:cs="宋体"/>
          <w:color w:val="auto"/>
          <w:sz w:val="21"/>
          <w:szCs w:val="21"/>
        </w:rPr>
      </w:pPr>
      <w:r>
        <w:rPr>
          <w:rFonts w:hint="eastAsia" w:ascii="宋体" w:hAnsi="宋体" w:eastAsia="宋体" w:cs="宋体"/>
          <w:color w:val="auto"/>
          <w:sz w:val="21"/>
          <w:szCs w:val="21"/>
        </w:rPr>
        <w:t>中小企业声明函</w:t>
      </w:r>
    </w:p>
    <w:p>
      <w:pPr>
        <w:spacing w:after="0" w:line="400" w:lineRule="exact"/>
        <w:rPr>
          <w:rFonts w:ascii="宋体" w:hAnsi="宋体" w:eastAsia="宋体" w:cs="宋体"/>
          <w:color w:val="auto"/>
          <w:sz w:val="21"/>
          <w:szCs w:val="21"/>
        </w:rPr>
      </w:pP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本公司郑重声明，根据《政府采购促进中小企业发展暂行办法》（财库[2011]181号）的规定，本公司为（请填写：中型、小型、微型）企业。即，本公司同时满足以下条件：</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本公司对上述声明的真实性负责。如有虚假，将依法承担相应责任。</w:t>
      </w:r>
    </w:p>
    <w:p>
      <w:pPr>
        <w:spacing w:before="50" w:line="400" w:lineRule="exact"/>
        <w:rPr>
          <w:rFonts w:ascii="宋体" w:hAnsi="宋体" w:eastAsia="宋体" w:cs="宋体"/>
          <w:color w:val="auto"/>
          <w:sz w:val="21"/>
          <w:szCs w:val="21"/>
        </w:rPr>
      </w:pPr>
    </w:p>
    <w:p>
      <w:pPr>
        <w:spacing w:before="50" w:line="400" w:lineRule="exact"/>
        <w:rPr>
          <w:rFonts w:ascii="宋体" w:hAnsi="宋体" w:eastAsia="宋体" w:cs="宋体"/>
          <w:color w:val="auto"/>
          <w:sz w:val="21"/>
          <w:szCs w:val="21"/>
        </w:rPr>
      </w:pPr>
      <w:r>
        <w:rPr>
          <w:rFonts w:hint="eastAsia" w:ascii="宋体" w:hAnsi="宋体" w:eastAsia="宋体" w:cs="宋体"/>
          <w:color w:val="auto"/>
          <w:sz w:val="21"/>
          <w:szCs w:val="21"/>
        </w:rPr>
        <w:t>　　　　　　　　　　　　　　　　　　　　　　　　　　　</w:t>
      </w:r>
    </w:p>
    <w:p>
      <w:pPr>
        <w:spacing w:before="50" w:line="400" w:lineRule="exact"/>
        <w:ind w:firstLine="4410" w:firstLineChars="2100"/>
        <w:rPr>
          <w:rFonts w:ascii="宋体" w:hAnsi="宋体" w:eastAsia="宋体" w:cs="宋体"/>
          <w:color w:val="auto"/>
          <w:sz w:val="21"/>
          <w:szCs w:val="21"/>
        </w:rPr>
      </w:pPr>
      <w:r>
        <w:rPr>
          <w:rFonts w:hint="eastAsia" w:ascii="宋体" w:hAnsi="宋体" w:eastAsia="宋体" w:cs="宋体"/>
          <w:color w:val="auto"/>
          <w:sz w:val="21"/>
          <w:szCs w:val="21"/>
        </w:rPr>
        <w:t>企业名称（盖章）：</w:t>
      </w:r>
    </w:p>
    <w:p>
      <w:pPr>
        <w:spacing w:before="50" w:line="400" w:lineRule="exact"/>
        <w:rPr>
          <w:rFonts w:ascii="宋体" w:hAnsi="宋体" w:eastAsia="宋体" w:cs="宋体"/>
          <w:color w:val="auto"/>
          <w:sz w:val="21"/>
          <w:szCs w:val="21"/>
        </w:rPr>
      </w:pPr>
    </w:p>
    <w:p>
      <w:pPr>
        <w:spacing w:before="50" w:line="400" w:lineRule="exact"/>
        <w:rPr>
          <w:rFonts w:ascii="宋体" w:hAnsi="宋体" w:eastAsia="宋体" w:cs="宋体"/>
          <w:color w:val="auto"/>
          <w:sz w:val="21"/>
          <w:szCs w:val="21"/>
        </w:rPr>
      </w:pPr>
      <w:r>
        <w:rPr>
          <w:rFonts w:hint="eastAsia" w:ascii="宋体" w:hAnsi="宋体" w:eastAsia="宋体" w:cs="宋体"/>
          <w:color w:val="auto"/>
          <w:sz w:val="21"/>
          <w:szCs w:val="21"/>
        </w:rPr>
        <w:t>　　　　　　　　　　　　　　　　　　　　　日期：</w:t>
      </w:r>
    </w:p>
    <w:p>
      <w:pPr>
        <w:spacing w:before="50" w:line="400" w:lineRule="exact"/>
        <w:rPr>
          <w:rFonts w:ascii="宋体" w:hAnsi="宋体" w:eastAsia="宋体" w:cs="宋体"/>
          <w:color w:val="auto"/>
          <w:sz w:val="21"/>
          <w:szCs w:val="21"/>
        </w:rPr>
      </w:pPr>
    </w:p>
    <w:p>
      <w:pPr>
        <w:spacing w:before="50" w:line="400" w:lineRule="exact"/>
        <w:rPr>
          <w:rFonts w:ascii="宋体" w:hAnsi="宋体" w:eastAsia="宋体" w:cs="宋体"/>
          <w:color w:val="auto"/>
          <w:sz w:val="21"/>
          <w:szCs w:val="21"/>
        </w:rPr>
      </w:pPr>
    </w:p>
    <w:p>
      <w:pPr>
        <w:pStyle w:val="23"/>
        <w:spacing w:line="440" w:lineRule="exact"/>
        <w:rPr>
          <w:rFonts w:hAnsi="宋体" w:cs="宋体"/>
          <w:b/>
          <w:color w:val="auto"/>
        </w:rPr>
      </w:pPr>
      <w:r>
        <w:rPr>
          <w:rFonts w:hint="eastAsia" w:hAnsi="宋体" w:cs="宋体"/>
          <w:b/>
          <w:color w:val="auto"/>
        </w:rPr>
        <w:t>注：供应商符合中小企业划型标准的，按《政府采购促进中小企业发展暂行办法》（财库〔2011〕181号）要求。</w:t>
      </w:r>
    </w:p>
    <w:p>
      <w:pPr>
        <w:adjustRightInd/>
        <w:snapToGrid/>
        <w:spacing w:line="220" w:lineRule="atLeast"/>
        <w:rPr>
          <w:rFonts w:ascii="宋体" w:hAnsi="宋体" w:eastAsia="宋体" w:cs="宋体"/>
          <w:b/>
          <w:color w:val="auto"/>
          <w:kern w:val="2"/>
          <w:sz w:val="21"/>
          <w:szCs w:val="21"/>
        </w:rPr>
      </w:pPr>
      <w:r>
        <w:rPr>
          <w:rFonts w:hint="eastAsia" w:ascii="宋体" w:hAnsi="宋体" w:eastAsia="宋体" w:cs="宋体"/>
          <w:b/>
          <w:color w:val="auto"/>
          <w:sz w:val="21"/>
          <w:szCs w:val="21"/>
        </w:rPr>
        <w:br w:type="page"/>
      </w:r>
    </w:p>
    <w:p>
      <w:pPr>
        <w:rPr>
          <w:rFonts w:ascii="宋体" w:hAnsi="宋体" w:eastAsia="宋体" w:cs="宋体"/>
          <w:b/>
          <w:color w:val="auto"/>
          <w:sz w:val="32"/>
          <w:szCs w:val="32"/>
        </w:rPr>
      </w:pPr>
      <w:r>
        <w:rPr>
          <w:rFonts w:hint="eastAsia" w:ascii="宋体" w:hAnsi="宋体" w:eastAsia="宋体" w:cs="宋体"/>
          <w:b/>
          <w:color w:val="auto"/>
          <w:sz w:val="24"/>
          <w:szCs w:val="24"/>
        </w:rPr>
        <w:t>附件八：</w:t>
      </w:r>
    </w:p>
    <w:p>
      <w:pPr>
        <w:jc w:val="center"/>
        <w:rPr>
          <w:rFonts w:ascii="宋体" w:hAnsi="宋体" w:eastAsia="宋体" w:cs="宋体"/>
          <w:b/>
          <w:color w:val="auto"/>
          <w:sz w:val="32"/>
          <w:szCs w:val="32"/>
        </w:rPr>
      </w:pPr>
    </w:p>
    <w:p>
      <w:pPr>
        <w:spacing w:line="588" w:lineRule="exact"/>
        <w:jc w:val="center"/>
        <w:rPr>
          <w:rFonts w:ascii="宋体" w:hAnsi="宋体" w:eastAsia="宋体" w:cs="宋体"/>
          <w:b/>
          <w:color w:val="auto"/>
          <w:spacing w:val="6"/>
          <w:sz w:val="32"/>
          <w:szCs w:val="32"/>
        </w:rPr>
      </w:pPr>
      <w:bookmarkStart w:id="92" w:name="OLE_LINK13"/>
      <w:bookmarkStart w:id="93" w:name="OLE_LINK14"/>
      <w:r>
        <w:rPr>
          <w:rFonts w:hint="eastAsia" w:ascii="宋体" w:hAnsi="宋体" w:eastAsia="宋体" w:cs="宋体"/>
          <w:b/>
          <w:color w:val="auto"/>
          <w:spacing w:val="6"/>
          <w:sz w:val="32"/>
          <w:szCs w:val="32"/>
        </w:rPr>
        <w:t>残疾人福利性单位声明函</w:t>
      </w:r>
    </w:p>
    <w:bookmarkEnd w:id="92"/>
    <w:bookmarkEnd w:id="93"/>
    <w:p>
      <w:pPr>
        <w:spacing w:line="588" w:lineRule="exact"/>
        <w:ind w:firstLine="504"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本单位郑重声明，根据《财政部、民政部、中国残疾人联合会关于促进残疾人就业政府采购政策的通知》（财库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pPr>
        <w:spacing w:line="588" w:lineRule="exact"/>
        <w:ind w:firstLine="504" w:firstLineChars="200"/>
        <w:rPr>
          <w:rFonts w:ascii="宋体" w:hAnsi="宋体" w:eastAsia="宋体" w:cs="宋体"/>
          <w:color w:val="auto"/>
          <w:spacing w:val="6"/>
          <w:sz w:val="24"/>
          <w:szCs w:val="24"/>
        </w:rPr>
      </w:pPr>
    </w:p>
    <w:p>
      <w:pPr>
        <w:spacing w:line="588" w:lineRule="exact"/>
        <w:ind w:firstLine="504" w:firstLineChars="200"/>
        <w:rPr>
          <w:rFonts w:ascii="宋体" w:hAnsi="宋体" w:eastAsia="宋体" w:cs="宋体"/>
          <w:color w:val="auto"/>
          <w:spacing w:val="6"/>
          <w:sz w:val="24"/>
          <w:szCs w:val="24"/>
        </w:rPr>
      </w:pPr>
    </w:p>
    <w:p>
      <w:pPr>
        <w:tabs>
          <w:tab w:val="left" w:pos="4860"/>
        </w:tabs>
        <w:spacing w:line="588" w:lineRule="exact"/>
        <w:ind w:right="1560" w:firstLine="504" w:firstLineChars="200"/>
        <w:jc w:val="center"/>
        <w:rPr>
          <w:rFonts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单位名称（盖章）：</w:t>
      </w:r>
    </w:p>
    <w:p>
      <w:pPr>
        <w:tabs>
          <w:tab w:val="left" w:pos="4860"/>
        </w:tabs>
        <w:spacing w:line="588" w:lineRule="exact"/>
        <w:ind w:right="1560" w:firstLine="504" w:firstLineChars="200"/>
        <w:jc w:val="center"/>
        <w:rPr>
          <w:rFonts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pPr>
        <w:pStyle w:val="23"/>
        <w:ind w:firstLine="281" w:firstLineChars="100"/>
        <w:outlineLvl w:val="2"/>
        <w:rPr>
          <w:rFonts w:hAnsi="宋体" w:cs="宋体"/>
          <w:b/>
          <w:bCs/>
          <w:color w:val="auto"/>
          <w:sz w:val="28"/>
          <w:szCs w:val="28"/>
        </w:rPr>
      </w:pPr>
    </w:p>
    <w:p>
      <w:pPr>
        <w:pStyle w:val="23"/>
        <w:ind w:firstLine="281" w:firstLineChars="100"/>
        <w:outlineLvl w:val="2"/>
        <w:rPr>
          <w:rFonts w:hAnsi="宋体" w:cs="宋体"/>
          <w:b/>
          <w:bCs/>
          <w:color w:val="auto"/>
          <w:sz w:val="28"/>
          <w:szCs w:val="28"/>
        </w:rPr>
      </w:pPr>
    </w:p>
    <w:p>
      <w:pPr>
        <w:spacing w:after="0" w:line="360" w:lineRule="exact"/>
        <w:ind w:firstLine="446" w:firstLineChars="200"/>
        <w:rPr>
          <w:rFonts w:ascii="宋体" w:hAnsi="宋体" w:eastAsia="宋体" w:cs="宋体"/>
          <w:b/>
          <w:color w:val="auto"/>
          <w:spacing w:val="6"/>
          <w:sz w:val="21"/>
          <w:szCs w:val="21"/>
        </w:rPr>
      </w:pPr>
      <w:r>
        <w:rPr>
          <w:rFonts w:hint="eastAsia" w:ascii="宋体" w:hAnsi="宋体" w:eastAsia="宋体" w:cs="宋体"/>
          <w:b/>
          <w:color w:val="auto"/>
          <w:spacing w:val="6"/>
          <w:sz w:val="21"/>
          <w:szCs w:val="21"/>
        </w:rPr>
        <w:t>注：1、</w:t>
      </w:r>
      <w:r>
        <w:rPr>
          <w:rFonts w:hint="eastAsia" w:ascii="宋体" w:hAnsi="宋体" w:eastAsia="宋体" w:cs="宋体"/>
          <w:b/>
          <w:color w:val="auto"/>
          <w:spacing w:val="6"/>
          <w:sz w:val="21"/>
          <w:szCs w:val="21"/>
          <w:u w:val="single"/>
        </w:rPr>
        <w:t>成交供应商为残疾人福利性单位的，成交结果将同时公告其《残疾人福利性单位声明函》，接受社会监督</w:t>
      </w:r>
      <w:r>
        <w:rPr>
          <w:rFonts w:hint="eastAsia" w:ascii="宋体" w:hAnsi="宋体" w:eastAsia="宋体" w:cs="宋体"/>
          <w:b/>
          <w:color w:val="auto"/>
          <w:spacing w:val="6"/>
          <w:sz w:val="21"/>
          <w:szCs w:val="21"/>
        </w:rPr>
        <w:t>。</w:t>
      </w:r>
    </w:p>
    <w:p>
      <w:pPr>
        <w:spacing w:after="0" w:line="360" w:lineRule="exact"/>
        <w:ind w:firstLine="446" w:firstLineChars="200"/>
        <w:rPr>
          <w:rFonts w:ascii="宋体" w:hAnsi="宋体" w:eastAsia="宋体" w:cs="宋体"/>
          <w:b/>
          <w:color w:val="auto"/>
          <w:spacing w:val="6"/>
          <w:sz w:val="21"/>
          <w:szCs w:val="21"/>
        </w:rPr>
      </w:pPr>
      <w:r>
        <w:rPr>
          <w:rFonts w:hint="eastAsia" w:ascii="宋体" w:hAnsi="宋体" w:eastAsia="宋体" w:cs="宋体"/>
          <w:b/>
          <w:color w:val="auto"/>
          <w:spacing w:val="6"/>
          <w:sz w:val="21"/>
          <w:szCs w:val="21"/>
        </w:rPr>
        <w:t>2、</w:t>
      </w:r>
      <w:r>
        <w:rPr>
          <w:rFonts w:hint="eastAsia" w:ascii="宋体" w:hAnsi="宋体" w:eastAsia="宋体" w:cs="宋体"/>
          <w:b/>
          <w:color w:val="auto"/>
          <w:spacing w:val="6"/>
          <w:sz w:val="21"/>
          <w:szCs w:val="21"/>
          <w:u w:val="single"/>
        </w:rPr>
        <w:t>供应商提供的《残疾人福利性单位声明函》与事实不符的，依照《政府采购法》第七十七条第一款的规定追究法律责任</w:t>
      </w:r>
      <w:r>
        <w:rPr>
          <w:rFonts w:hint="eastAsia" w:ascii="宋体" w:hAnsi="宋体" w:eastAsia="宋体" w:cs="宋体"/>
          <w:b/>
          <w:color w:val="auto"/>
          <w:spacing w:val="6"/>
          <w:sz w:val="21"/>
          <w:szCs w:val="21"/>
        </w:rPr>
        <w:t>。</w:t>
      </w:r>
    </w:p>
    <w:p>
      <w:pPr>
        <w:pStyle w:val="23"/>
        <w:rPr>
          <w:rFonts w:hint="eastAsia" w:hAnsi="宋体" w:cs="宋体"/>
          <w:color w:val="auto"/>
          <w:sz w:val="24"/>
          <w:szCs w:val="24"/>
          <w:lang w:eastAsia="zh-CN"/>
        </w:rPr>
      </w:pPr>
    </w:p>
    <w:p>
      <w:pPr>
        <w:rPr>
          <w:rFonts w:hint="eastAsia" w:hAnsi="宋体" w:cs="宋体"/>
          <w:color w:val="auto"/>
          <w:sz w:val="24"/>
          <w:szCs w:val="24"/>
          <w:lang w:eastAsia="zh-CN"/>
        </w:rPr>
      </w:pPr>
    </w:p>
    <w:p>
      <w:pPr>
        <w:pStyle w:val="2"/>
        <w:rPr>
          <w:rFonts w:hint="eastAsia" w:hAnsi="宋体" w:cs="宋体"/>
          <w:color w:val="auto"/>
          <w:sz w:val="24"/>
          <w:szCs w:val="24"/>
          <w:lang w:eastAsia="zh-CN"/>
        </w:rPr>
      </w:pPr>
    </w:p>
    <w:p>
      <w:pPr>
        <w:pStyle w:val="2"/>
        <w:rPr>
          <w:rFonts w:hint="eastAsia" w:hAnsi="宋体" w:cs="宋体"/>
          <w:color w:val="auto"/>
          <w:sz w:val="24"/>
          <w:szCs w:val="24"/>
          <w:lang w:eastAsia="zh-CN"/>
        </w:rPr>
      </w:pPr>
    </w:p>
    <w:p>
      <w:pPr>
        <w:pStyle w:val="2"/>
        <w:rPr>
          <w:rFonts w:hint="eastAsia" w:eastAsia="微软雅黑"/>
          <w:color w:val="auto"/>
          <w:lang w:eastAsia="zh-CN"/>
        </w:rPr>
      </w:pPr>
      <w:r>
        <w:rPr>
          <w:rFonts w:hint="eastAsia" w:hAnsi="宋体" w:cs="宋体"/>
          <w:color w:val="auto"/>
          <w:sz w:val="24"/>
          <w:szCs w:val="24"/>
          <w:lang w:eastAsia="zh-CN"/>
        </w:rPr>
        <w:drawing>
          <wp:inline distT="0" distB="0" distL="114300" distR="114300">
            <wp:extent cx="5709285" cy="8074025"/>
            <wp:effectExtent l="0" t="0" r="5715" b="3175"/>
            <wp:docPr id="7" name="图片 7" descr="公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告"/>
                    <pic:cNvPicPr>
                      <a:picLocks noChangeAspect="1"/>
                    </pic:cNvPicPr>
                  </pic:nvPicPr>
                  <pic:blipFill>
                    <a:blip r:embed="rId15"/>
                    <a:stretch>
                      <a:fillRect/>
                    </a:stretch>
                  </pic:blipFill>
                  <pic:spPr>
                    <a:xfrm>
                      <a:off x="0" y="0"/>
                      <a:ext cx="5709285" cy="8074025"/>
                    </a:xfrm>
                    <a:prstGeom prst="rect">
                      <a:avLst/>
                    </a:prstGeom>
                  </pic:spPr>
                </pic:pic>
              </a:graphicData>
            </a:graphic>
          </wp:inline>
        </w:drawing>
      </w:r>
    </w:p>
    <w:sectPr>
      <w:footerReference r:id="rId11" w:type="default"/>
      <w:pgSz w:w="12240" w:h="15840"/>
      <w:pgMar w:top="1701" w:right="1474" w:bottom="1417" w:left="158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450"/>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LSYK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2LSYK8BAABL&#10;AwAADgAAAAAAAAABACAAAAAeAQAAZHJzL2Uyb0RvYy54bWxQSwUGAAAAAAYABgBZAQAAPwUAAAAA&#10;">
              <v:fill on="f" focussize="0,0"/>
              <v:stroke on="f"/>
              <v:imagedata o:title=""/>
              <o:lock v:ext="edit" aspectratio="f"/>
              <v:textbox inset="0mm,0mm,0mm,0mm" style="mso-fit-shape-to-text:t;">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rPr>
      <w:t>广西睿翼工程咨询有限公司  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gVTq4BAABLAwAADgAAAGRycy9lMm9Eb2MueG1srVPBThsxEL1X4h8s&#10;34mXSKB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lDhucUS7X8+73393f36S8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imBVOrgEAAEsD&#10;AAAOAAAAAAAAAAEAIAAAAB4BAABkcnMvZTJvRG9jLnhtbFBLBQYAAAAABgAGAFkBAAA+BQAAAAA=&#10;">
              <v:fill on="f" focussize="0,0"/>
              <v:stroke on="f"/>
              <v:imagedata o:title=""/>
              <o:lock v:ext="edit" aspectratio="f"/>
              <v:textbox inset="0mm,0mm,0mm,0mm" style="mso-fit-shape-to-text:t;">
                <w:txbxContent>
                  <w:p>
                    <w:pPr>
                      <w:pStyle w:val="28"/>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double" w:color="auto" w:sz="4" w:space="1"/>
      </w:pBdr>
      <w:spacing w:after="0"/>
      <w:rPr>
        <w:rFonts w:ascii="宋体" w:hAnsi="宋体"/>
      </w:rPr>
    </w:pPr>
    <w:r>
      <w:rPr>
        <w:rFonts w:hint="eastAsia"/>
        <w:lang w:eastAsia="zh-CN"/>
      </w:rPr>
      <w:t>凤山县域农村生活污水治理规划编制服务采购</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ascii="宋体" w:hAnsi="宋体"/>
        <w:color w:val="000000"/>
        <w:szCs w:val="21"/>
      </w:rPr>
      <w:t>田东县平马镇东区小学项目地质勘察服务</w:t>
    </w:r>
    <w:r>
      <w:rPr>
        <w:rFonts w:hint="eastAsia"/>
      </w:rPr>
      <w:t xml:space="preserve">              </w:t>
    </w:r>
    <w:r>
      <w:rPr>
        <w:rFonts w:hint="eastAsia" w:ascii="宋体" w:hAnsi="宋体"/>
      </w:rPr>
      <w:t>GXZC2017-J3-0005-GS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E4CB0"/>
    <w:multiLevelType w:val="singleLevel"/>
    <w:tmpl w:val="B18E4CB0"/>
    <w:lvl w:ilvl="0" w:tentative="0">
      <w:start w:val="2"/>
      <w:numFmt w:val="decimal"/>
      <w:suff w:val="nothing"/>
      <w:lvlText w:val="%1、"/>
      <w:lvlJc w:val="left"/>
    </w:lvl>
  </w:abstractNum>
  <w:abstractNum w:abstractNumId="1">
    <w:nsid w:val="CE540DDC"/>
    <w:multiLevelType w:val="singleLevel"/>
    <w:tmpl w:val="CE540DDC"/>
    <w:lvl w:ilvl="0" w:tentative="0">
      <w:start w:val="3"/>
      <w:numFmt w:val="chineseCounting"/>
      <w:suff w:val="space"/>
      <w:lvlText w:val="第%1章"/>
      <w:lvlJc w:val="left"/>
      <w:rPr>
        <w:rFonts w:hint="eastAsia"/>
      </w:rPr>
    </w:lvl>
  </w:abstractNum>
  <w:abstractNum w:abstractNumId="2">
    <w:nsid w:val="00000002"/>
    <w:multiLevelType w:val="multilevel"/>
    <w:tmpl w:val="000000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909B54F"/>
    <w:multiLevelType w:val="singleLevel"/>
    <w:tmpl w:val="3909B54F"/>
    <w:lvl w:ilvl="0" w:tentative="0">
      <w:start w:val="1"/>
      <w:numFmt w:val="chineseCounting"/>
      <w:suff w:val="nothing"/>
      <w:lvlText w:val="%1、"/>
      <w:lvlJc w:val="left"/>
      <w:rPr>
        <w:rFonts w:hint="eastAsia"/>
      </w:rPr>
    </w:lvl>
  </w:abstractNum>
  <w:abstractNum w:abstractNumId="4">
    <w:nsid w:val="596E054B"/>
    <w:multiLevelType w:val="singleLevel"/>
    <w:tmpl w:val="596E054B"/>
    <w:lvl w:ilvl="0" w:tentative="0">
      <w:start w:val="1"/>
      <w:numFmt w:val="decimal"/>
      <w:pStyle w:val="14"/>
      <w:lvlText w:val="%1."/>
      <w:lvlJc w:val="left"/>
      <w:pPr>
        <w:tabs>
          <w:tab w:val="left" w:pos="360"/>
        </w:tabs>
        <w:ind w:left="36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lLi91Qf2NKOUbJjzIsYlFxoZA9A=" w:salt="45RYqFf67ZgLYIRXEIpVqw=="/>
  <w:defaultTabStop w:val="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C2E"/>
    <w:rsid w:val="00001938"/>
    <w:rsid w:val="00005934"/>
    <w:rsid w:val="000069BF"/>
    <w:rsid w:val="00007C5D"/>
    <w:rsid w:val="00012F29"/>
    <w:rsid w:val="00016AB1"/>
    <w:rsid w:val="00022566"/>
    <w:rsid w:val="00022F9D"/>
    <w:rsid w:val="00025E43"/>
    <w:rsid w:val="0003244E"/>
    <w:rsid w:val="00037149"/>
    <w:rsid w:val="0003737D"/>
    <w:rsid w:val="000400C4"/>
    <w:rsid w:val="00042293"/>
    <w:rsid w:val="00046EDF"/>
    <w:rsid w:val="00053C38"/>
    <w:rsid w:val="0005486C"/>
    <w:rsid w:val="0005585C"/>
    <w:rsid w:val="00057EF4"/>
    <w:rsid w:val="00060779"/>
    <w:rsid w:val="000710C8"/>
    <w:rsid w:val="000742BA"/>
    <w:rsid w:val="0007464A"/>
    <w:rsid w:val="00075FFF"/>
    <w:rsid w:val="00076F49"/>
    <w:rsid w:val="00084AD5"/>
    <w:rsid w:val="00087180"/>
    <w:rsid w:val="00087405"/>
    <w:rsid w:val="000958C3"/>
    <w:rsid w:val="000A0A8F"/>
    <w:rsid w:val="000B0514"/>
    <w:rsid w:val="000B361A"/>
    <w:rsid w:val="000B68B5"/>
    <w:rsid w:val="000C35E5"/>
    <w:rsid w:val="000C4A28"/>
    <w:rsid w:val="000C5730"/>
    <w:rsid w:val="000C7966"/>
    <w:rsid w:val="000D3545"/>
    <w:rsid w:val="000E0068"/>
    <w:rsid w:val="000E37F7"/>
    <w:rsid w:val="000E49C7"/>
    <w:rsid w:val="000E4DED"/>
    <w:rsid w:val="000E647B"/>
    <w:rsid w:val="000F13E6"/>
    <w:rsid w:val="000F1FBE"/>
    <w:rsid w:val="000F7B0F"/>
    <w:rsid w:val="00102569"/>
    <w:rsid w:val="001030C9"/>
    <w:rsid w:val="00126E9E"/>
    <w:rsid w:val="00135BD0"/>
    <w:rsid w:val="001372F7"/>
    <w:rsid w:val="00143913"/>
    <w:rsid w:val="00143FB0"/>
    <w:rsid w:val="00145595"/>
    <w:rsid w:val="00146686"/>
    <w:rsid w:val="00151C16"/>
    <w:rsid w:val="00153C1A"/>
    <w:rsid w:val="0015715A"/>
    <w:rsid w:val="00160C96"/>
    <w:rsid w:val="00164F52"/>
    <w:rsid w:val="00167437"/>
    <w:rsid w:val="001674B2"/>
    <w:rsid w:val="00167AD2"/>
    <w:rsid w:val="00170C8F"/>
    <w:rsid w:val="0017290F"/>
    <w:rsid w:val="00173257"/>
    <w:rsid w:val="00177BCE"/>
    <w:rsid w:val="001802C7"/>
    <w:rsid w:val="001818B7"/>
    <w:rsid w:val="00186BEA"/>
    <w:rsid w:val="00187C2F"/>
    <w:rsid w:val="001958AE"/>
    <w:rsid w:val="00195C35"/>
    <w:rsid w:val="001A497C"/>
    <w:rsid w:val="001A7862"/>
    <w:rsid w:val="001B0DB5"/>
    <w:rsid w:val="001B2167"/>
    <w:rsid w:val="001B3834"/>
    <w:rsid w:val="001B53A8"/>
    <w:rsid w:val="001C1200"/>
    <w:rsid w:val="001C39D0"/>
    <w:rsid w:val="001C6D27"/>
    <w:rsid w:val="001C7624"/>
    <w:rsid w:val="001E2C5A"/>
    <w:rsid w:val="001E48F7"/>
    <w:rsid w:val="001E5D44"/>
    <w:rsid w:val="001F4BDD"/>
    <w:rsid w:val="00202ACE"/>
    <w:rsid w:val="0020371B"/>
    <w:rsid w:val="0021055E"/>
    <w:rsid w:val="0021322D"/>
    <w:rsid w:val="00213920"/>
    <w:rsid w:val="0021500C"/>
    <w:rsid w:val="00222E89"/>
    <w:rsid w:val="0024128A"/>
    <w:rsid w:val="00251CA4"/>
    <w:rsid w:val="00252121"/>
    <w:rsid w:val="00253E7C"/>
    <w:rsid w:val="00254FAB"/>
    <w:rsid w:val="002571E9"/>
    <w:rsid w:val="002646FC"/>
    <w:rsid w:val="00264A3C"/>
    <w:rsid w:val="00264AE3"/>
    <w:rsid w:val="00266240"/>
    <w:rsid w:val="002711FB"/>
    <w:rsid w:val="00275B95"/>
    <w:rsid w:val="00282E29"/>
    <w:rsid w:val="00283D9E"/>
    <w:rsid w:val="00291287"/>
    <w:rsid w:val="00291C3E"/>
    <w:rsid w:val="00294099"/>
    <w:rsid w:val="00297813"/>
    <w:rsid w:val="002B4103"/>
    <w:rsid w:val="002C3406"/>
    <w:rsid w:val="002C6839"/>
    <w:rsid w:val="002D05BA"/>
    <w:rsid w:val="002D08C5"/>
    <w:rsid w:val="002D1855"/>
    <w:rsid w:val="002D24B5"/>
    <w:rsid w:val="002D2B4C"/>
    <w:rsid w:val="002D3A86"/>
    <w:rsid w:val="002D715B"/>
    <w:rsid w:val="002E4B91"/>
    <w:rsid w:val="002F2D79"/>
    <w:rsid w:val="002F7EC8"/>
    <w:rsid w:val="003047DD"/>
    <w:rsid w:val="003109CD"/>
    <w:rsid w:val="00313BD1"/>
    <w:rsid w:val="00316DE8"/>
    <w:rsid w:val="00317A54"/>
    <w:rsid w:val="00323B43"/>
    <w:rsid w:val="003329E1"/>
    <w:rsid w:val="00334646"/>
    <w:rsid w:val="003367E5"/>
    <w:rsid w:val="0034017D"/>
    <w:rsid w:val="003416B4"/>
    <w:rsid w:val="00350096"/>
    <w:rsid w:val="0035602C"/>
    <w:rsid w:val="00356975"/>
    <w:rsid w:val="00361DCD"/>
    <w:rsid w:val="00362A1B"/>
    <w:rsid w:val="00363446"/>
    <w:rsid w:val="00365F13"/>
    <w:rsid w:val="0036670D"/>
    <w:rsid w:val="00367837"/>
    <w:rsid w:val="00380E67"/>
    <w:rsid w:val="003820D2"/>
    <w:rsid w:val="00383245"/>
    <w:rsid w:val="003832A8"/>
    <w:rsid w:val="003840E8"/>
    <w:rsid w:val="00390DC9"/>
    <w:rsid w:val="003A3BAD"/>
    <w:rsid w:val="003B5F35"/>
    <w:rsid w:val="003C2F76"/>
    <w:rsid w:val="003C2FA1"/>
    <w:rsid w:val="003C33DE"/>
    <w:rsid w:val="003C3A65"/>
    <w:rsid w:val="003C404E"/>
    <w:rsid w:val="003C548A"/>
    <w:rsid w:val="003C6B21"/>
    <w:rsid w:val="003C74DD"/>
    <w:rsid w:val="003D37D8"/>
    <w:rsid w:val="003D3FBB"/>
    <w:rsid w:val="003D5496"/>
    <w:rsid w:val="003D54CD"/>
    <w:rsid w:val="003D668B"/>
    <w:rsid w:val="003D7104"/>
    <w:rsid w:val="003E1F1F"/>
    <w:rsid w:val="003E5A2E"/>
    <w:rsid w:val="003E660B"/>
    <w:rsid w:val="003F38F1"/>
    <w:rsid w:val="003F7F15"/>
    <w:rsid w:val="00402CFE"/>
    <w:rsid w:val="00404E91"/>
    <w:rsid w:val="00406154"/>
    <w:rsid w:val="00413A48"/>
    <w:rsid w:val="00415F6A"/>
    <w:rsid w:val="004214C2"/>
    <w:rsid w:val="00426133"/>
    <w:rsid w:val="00432317"/>
    <w:rsid w:val="00432896"/>
    <w:rsid w:val="00433B1F"/>
    <w:rsid w:val="0043575F"/>
    <w:rsid w:val="004358AB"/>
    <w:rsid w:val="00441427"/>
    <w:rsid w:val="00444FF2"/>
    <w:rsid w:val="00445092"/>
    <w:rsid w:val="00446F1A"/>
    <w:rsid w:val="00450521"/>
    <w:rsid w:val="00461C27"/>
    <w:rsid w:val="00465C64"/>
    <w:rsid w:val="00471793"/>
    <w:rsid w:val="004811BE"/>
    <w:rsid w:val="004942A8"/>
    <w:rsid w:val="00495E93"/>
    <w:rsid w:val="004A1B18"/>
    <w:rsid w:val="004A1BBA"/>
    <w:rsid w:val="004A3DE7"/>
    <w:rsid w:val="004A5C60"/>
    <w:rsid w:val="004A68DA"/>
    <w:rsid w:val="004B0A12"/>
    <w:rsid w:val="004B1FAF"/>
    <w:rsid w:val="004B3CD7"/>
    <w:rsid w:val="004B7674"/>
    <w:rsid w:val="004C7ECF"/>
    <w:rsid w:val="004D213E"/>
    <w:rsid w:val="004D483D"/>
    <w:rsid w:val="004D6D44"/>
    <w:rsid w:val="004E183D"/>
    <w:rsid w:val="004E2825"/>
    <w:rsid w:val="004E3EF5"/>
    <w:rsid w:val="004E5716"/>
    <w:rsid w:val="004F2CB3"/>
    <w:rsid w:val="004F3BE2"/>
    <w:rsid w:val="0050712C"/>
    <w:rsid w:val="00507C65"/>
    <w:rsid w:val="00515724"/>
    <w:rsid w:val="0051714C"/>
    <w:rsid w:val="005278F2"/>
    <w:rsid w:val="00541A92"/>
    <w:rsid w:val="00547052"/>
    <w:rsid w:val="00547AAD"/>
    <w:rsid w:val="0055709D"/>
    <w:rsid w:val="00557C25"/>
    <w:rsid w:val="00560B74"/>
    <w:rsid w:val="0056169B"/>
    <w:rsid w:val="0056320A"/>
    <w:rsid w:val="00563EE8"/>
    <w:rsid w:val="005640FB"/>
    <w:rsid w:val="00564B21"/>
    <w:rsid w:val="00565FE3"/>
    <w:rsid w:val="00571B7A"/>
    <w:rsid w:val="00580AE6"/>
    <w:rsid w:val="00584E28"/>
    <w:rsid w:val="00586148"/>
    <w:rsid w:val="00591382"/>
    <w:rsid w:val="00597973"/>
    <w:rsid w:val="005A455D"/>
    <w:rsid w:val="005A4C2A"/>
    <w:rsid w:val="005A64AF"/>
    <w:rsid w:val="005A6C96"/>
    <w:rsid w:val="005A745F"/>
    <w:rsid w:val="005B7D71"/>
    <w:rsid w:val="005C02AC"/>
    <w:rsid w:val="005C1A32"/>
    <w:rsid w:val="005C6BA6"/>
    <w:rsid w:val="005D78EB"/>
    <w:rsid w:val="005E1BEA"/>
    <w:rsid w:val="005E2422"/>
    <w:rsid w:val="005E46E6"/>
    <w:rsid w:val="005F2E29"/>
    <w:rsid w:val="005F6CDD"/>
    <w:rsid w:val="005F720D"/>
    <w:rsid w:val="005F767C"/>
    <w:rsid w:val="006009D0"/>
    <w:rsid w:val="0060247F"/>
    <w:rsid w:val="006039FB"/>
    <w:rsid w:val="00604EF8"/>
    <w:rsid w:val="00606715"/>
    <w:rsid w:val="006108F4"/>
    <w:rsid w:val="0062042B"/>
    <w:rsid w:val="0062233D"/>
    <w:rsid w:val="00622B79"/>
    <w:rsid w:val="006376D7"/>
    <w:rsid w:val="0064218E"/>
    <w:rsid w:val="00643D21"/>
    <w:rsid w:val="006456BF"/>
    <w:rsid w:val="006530FA"/>
    <w:rsid w:val="00654413"/>
    <w:rsid w:val="00656427"/>
    <w:rsid w:val="0065697E"/>
    <w:rsid w:val="00656F0F"/>
    <w:rsid w:val="0065798B"/>
    <w:rsid w:val="00660135"/>
    <w:rsid w:val="00664649"/>
    <w:rsid w:val="00665EBD"/>
    <w:rsid w:val="00670EB2"/>
    <w:rsid w:val="006711C5"/>
    <w:rsid w:val="00673589"/>
    <w:rsid w:val="006741D7"/>
    <w:rsid w:val="00691791"/>
    <w:rsid w:val="0069186A"/>
    <w:rsid w:val="006A1821"/>
    <w:rsid w:val="006A1B5A"/>
    <w:rsid w:val="006A3666"/>
    <w:rsid w:val="006A4319"/>
    <w:rsid w:val="006A6CAA"/>
    <w:rsid w:val="006A719C"/>
    <w:rsid w:val="006B0837"/>
    <w:rsid w:val="006B2B11"/>
    <w:rsid w:val="006B4FAA"/>
    <w:rsid w:val="006C0D27"/>
    <w:rsid w:val="006C166E"/>
    <w:rsid w:val="006C1AE0"/>
    <w:rsid w:val="006C3B48"/>
    <w:rsid w:val="006D4FA3"/>
    <w:rsid w:val="006D5482"/>
    <w:rsid w:val="006E2C20"/>
    <w:rsid w:val="006E3270"/>
    <w:rsid w:val="006E69D8"/>
    <w:rsid w:val="006F07F7"/>
    <w:rsid w:val="006F2607"/>
    <w:rsid w:val="006F70FA"/>
    <w:rsid w:val="00700E04"/>
    <w:rsid w:val="00702E2C"/>
    <w:rsid w:val="00703A35"/>
    <w:rsid w:val="007125B4"/>
    <w:rsid w:val="007216EF"/>
    <w:rsid w:val="00733594"/>
    <w:rsid w:val="00744EDB"/>
    <w:rsid w:val="00745CC8"/>
    <w:rsid w:val="00746D13"/>
    <w:rsid w:val="007477B2"/>
    <w:rsid w:val="00752D5E"/>
    <w:rsid w:val="00760842"/>
    <w:rsid w:val="0076567D"/>
    <w:rsid w:val="00767656"/>
    <w:rsid w:val="00776B82"/>
    <w:rsid w:val="00777BA1"/>
    <w:rsid w:val="00780334"/>
    <w:rsid w:val="00781B69"/>
    <w:rsid w:val="0079130F"/>
    <w:rsid w:val="007A13C4"/>
    <w:rsid w:val="007A2D76"/>
    <w:rsid w:val="007A541C"/>
    <w:rsid w:val="007A60EE"/>
    <w:rsid w:val="007A7F56"/>
    <w:rsid w:val="007B3028"/>
    <w:rsid w:val="007D23D8"/>
    <w:rsid w:val="007D4688"/>
    <w:rsid w:val="007D519D"/>
    <w:rsid w:val="007D5F75"/>
    <w:rsid w:val="007D64BA"/>
    <w:rsid w:val="007D7A0F"/>
    <w:rsid w:val="007E33D5"/>
    <w:rsid w:val="007E6920"/>
    <w:rsid w:val="007E6C80"/>
    <w:rsid w:val="008139E8"/>
    <w:rsid w:val="008166F7"/>
    <w:rsid w:val="008238E3"/>
    <w:rsid w:val="008239FA"/>
    <w:rsid w:val="008308A9"/>
    <w:rsid w:val="0083127F"/>
    <w:rsid w:val="00833AB5"/>
    <w:rsid w:val="00836F07"/>
    <w:rsid w:val="00841F0B"/>
    <w:rsid w:val="0084264B"/>
    <w:rsid w:val="008460CF"/>
    <w:rsid w:val="008609A7"/>
    <w:rsid w:val="008720FD"/>
    <w:rsid w:val="00872CE0"/>
    <w:rsid w:val="008748E7"/>
    <w:rsid w:val="00875111"/>
    <w:rsid w:val="00880D6C"/>
    <w:rsid w:val="00885578"/>
    <w:rsid w:val="00891DF6"/>
    <w:rsid w:val="00895EF8"/>
    <w:rsid w:val="0089633C"/>
    <w:rsid w:val="008A11DF"/>
    <w:rsid w:val="008A3132"/>
    <w:rsid w:val="008A31BC"/>
    <w:rsid w:val="008A338C"/>
    <w:rsid w:val="008A7063"/>
    <w:rsid w:val="008B7726"/>
    <w:rsid w:val="008C49CF"/>
    <w:rsid w:val="008D0E2D"/>
    <w:rsid w:val="008D3640"/>
    <w:rsid w:val="008D4A7E"/>
    <w:rsid w:val="008E27F2"/>
    <w:rsid w:val="008E3D73"/>
    <w:rsid w:val="008E46DC"/>
    <w:rsid w:val="008E596C"/>
    <w:rsid w:val="008E70D5"/>
    <w:rsid w:val="008E7F89"/>
    <w:rsid w:val="008F4B5B"/>
    <w:rsid w:val="008F6C30"/>
    <w:rsid w:val="00900245"/>
    <w:rsid w:val="00902189"/>
    <w:rsid w:val="00916E94"/>
    <w:rsid w:val="009170C8"/>
    <w:rsid w:val="00924136"/>
    <w:rsid w:val="00932558"/>
    <w:rsid w:val="00933516"/>
    <w:rsid w:val="009338B1"/>
    <w:rsid w:val="0094610F"/>
    <w:rsid w:val="00946BAB"/>
    <w:rsid w:val="00951A93"/>
    <w:rsid w:val="0095762F"/>
    <w:rsid w:val="0095766A"/>
    <w:rsid w:val="00961D5F"/>
    <w:rsid w:val="00965B47"/>
    <w:rsid w:val="00973C11"/>
    <w:rsid w:val="00980B3A"/>
    <w:rsid w:val="00992D6C"/>
    <w:rsid w:val="00993BF7"/>
    <w:rsid w:val="009969D5"/>
    <w:rsid w:val="009976D6"/>
    <w:rsid w:val="009A40E4"/>
    <w:rsid w:val="009A5B9B"/>
    <w:rsid w:val="009A7635"/>
    <w:rsid w:val="009B087F"/>
    <w:rsid w:val="009B14FF"/>
    <w:rsid w:val="009B1A19"/>
    <w:rsid w:val="009B72EB"/>
    <w:rsid w:val="009C5882"/>
    <w:rsid w:val="009C6C53"/>
    <w:rsid w:val="009D2D50"/>
    <w:rsid w:val="009E28F1"/>
    <w:rsid w:val="009E453A"/>
    <w:rsid w:val="009E5577"/>
    <w:rsid w:val="009E5A20"/>
    <w:rsid w:val="009E77B5"/>
    <w:rsid w:val="009F067F"/>
    <w:rsid w:val="009F09E6"/>
    <w:rsid w:val="009F1A93"/>
    <w:rsid w:val="009F1B70"/>
    <w:rsid w:val="009F22B5"/>
    <w:rsid w:val="009F3148"/>
    <w:rsid w:val="009F5E88"/>
    <w:rsid w:val="00A1031C"/>
    <w:rsid w:val="00A127DC"/>
    <w:rsid w:val="00A14A0A"/>
    <w:rsid w:val="00A2049F"/>
    <w:rsid w:val="00A2787C"/>
    <w:rsid w:val="00A30202"/>
    <w:rsid w:val="00A339D9"/>
    <w:rsid w:val="00A4059B"/>
    <w:rsid w:val="00A54BD4"/>
    <w:rsid w:val="00A565C3"/>
    <w:rsid w:val="00A57FF1"/>
    <w:rsid w:val="00A60005"/>
    <w:rsid w:val="00A732AB"/>
    <w:rsid w:val="00A73BBE"/>
    <w:rsid w:val="00A74486"/>
    <w:rsid w:val="00A825C2"/>
    <w:rsid w:val="00A83D62"/>
    <w:rsid w:val="00A86D71"/>
    <w:rsid w:val="00A87004"/>
    <w:rsid w:val="00A9037E"/>
    <w:rsid w:val="00A92980"/>
    <w:rsid w:val="00AA1EEC"/>
    <w:rsid w:val="00AA6C18"/>
    <w:rsid w:val="00AA7742"/>
    <w:rsid w:val="00AB06BB"/>
    <w:rsid w:val="00AC4E87"/>
    <w:rsid w:val="00AC758B"/>
    <w:rsid w:val="00AD108C"/>
    <w:rsid w:val="00AD17E0"/>
    <w:rsid w:val="00AD4FF8"/>
    <w:rsid w:val="00AE066C"/>
    <w:rsid w:val="00AE0876"/>
    <w:rsid w:val="00AE22EE"/>
    <w:rsid w:val="00AE7DF7"/>
    <w:rsid w:val="00AF2E83"/>
    <w:rsid w:val="00AF37E6"/>
    <w:rsid w:val="00B0337B"/>
    <w:rsid w:val="00B12535"/>
    <w:rsid w:val="00B139D7"/>
    <w:rsid w:val="00B14834"/>
    <w:rsid w:val="00B2053D"/>
    <w:rsid w:val="00B20C57"/>
    <w:rsid w:val="00B22030"/>
    <w:rsid w:val="00B226FC"/>
    <w:rsid w:val="00B24F00"/>
    <w:rsid w:val="00B272A3"/>
    <w:rsid w:val="00B428DC"/>
    <w:rsid w:val="00B510DE"/>
    <w:rsid w:val="00B66F97"/>
    <w:rsid w:val="00B73383"/>
    <w:rsid w:val="00B822A8"/>
    <w:rsid w:val="00B83F3D"/>
    <w:rsid w:val="00B91725"/>
    <w:rsid w:val="00B93A12"/>
    <w:rsid w:val="00B94419"/>
    <w:rsid w:val="00B979AF"/>
    <w:rsid w:val="00BA1451"/>
    <w:rsid w:val="00BA1CD8"/>
    <w:rsid w:val="00BA6E86"/>
    <w:rsid w:val="00BB29A7"/>
    <w:rsid w:val="00BB30DE"/>
    <w:rsid w:val="00BB47E7"/>
    <w:rsid w:val="00BB4C08"/>
    <w:rsid w:val="00BB693E"/>
    <w:rsid w:val="00BD27A7"/>
    <w:rsid w:val="00BD4F42"/>
    <w:rsid w:val="00BD50C8"/>
    <w:rsid w:val="00BD6689"/>
    <w:rsid w:val="00BD7A81"/>
    <w:rsid w:val="00BD7C8C"/>
    <w:rsid w:val="00BD7D12"/>
    <w:rsid w:val="00BF407C"/>
    <w:rsid w:val="00BF7741"/>
    <w:rsid w:val="00C0017D"/>
    <w:rsid w:val="00C008FE"/>
    <w:rsid w:val="00C01055"/>
    <w:rsid w:val="00C03B08"/>
    <w:rsid w:val="00C05221"/>
    <w:rsid w:val="00C05C5C"/>
    <w:rsid w:val="00C06295"/>
    <w:rsid w:val="00C11C9D"/>
    <w:rsid w:val="00C12D48"/>
    <w:rsid w:val="00C14FD8"/>
    <w:rsid w:val="00C16C6F"/>
    <w:rsid w:val="00C24E92"/>
    <w:rsid w:val="00C308C7"/>
    <w:rsid w:val="00C3180F"/>
    <w:rsid w:val="00C32054"/>
    <w:rsid w:val="00C3288D"/>
    <w:rsid w:val="00C33FB3"/>
    <w:rsid w:val="00C3527D"/>
    <w:rsid w:val="00C3692D"/>
    <w:rsid w:val="00C37BA4"/>
    <w:rsid w:val="00C42A17"/>
    <w:rsid w:val="00C455D8"/>
    <w:rsid w:val="00C51B49"/>
    <w:rsid w:val="00C53AF2"/>
    <w:rsid w:val="00C540D0"/>
    <w:rsid w:val="00C544A4"/>
    <w:rsid w:val="00C576A8"/>
    <w:rsid w:val="00C61174"/>
    <w:rsid w:val="00C70A3D"/>
    <w:rsid w:val="00C71D5D"/>
    <w:rsid w:val="00C83BBE"/>
    <w:rsid w:val="00C93757"/>
    <w:rsid w:val="00CA1A32"/>
    <w:rsid w:val="00CA50AD"/>
    <w:rsid w:val="00CA670E"/>
    <w:rsid w:val="00CA68FA"/>
    <w:rsid w:val="00CB1135"/>
    <w:rsid w:val="00CB2A90"/>
    <w:rsid w:val="00CC3157"/>
    <w:rsid w:val="00CC3D3B"/>
    <w:rsid w:val="00CC6233"/>
    <w:rsid w:val="00CD0AC4"/>
    <w:rsid w:val="00CD61AF"/>
    <w:rsid w:val="00CD735E"/>
    <w:rsid w:val="00CD7AC2"/>
    <w:rsid w:val="00CE08E0"/>
    <w:rsid w:val="00CF06C6"/>
    <w:rsid w:val="00CF22D8"/>
    <w:rsid w:val="00CF3751"/>
    <w:rsid w:val="00CF4B3F"/>
    <w:rsid w:val="00D005C7"/>
    <w:rsid w:val="00D03CCF"/>
    <w:rsid w:val="00D063A0"/>
    <w:rsid w:val="00D071E1"/>
    <w:rsid w:val="00D0787A"/>
    <w:rsid w:val="00D126CE"/>
    <w:rsid w:val="00D14EAC"/>
    <w:rsid w:val="00D1505B"/>
    <w:rsid w:val="00D15EE1"/>
    <w:rsid w:val="00D1777C"/>
    <w:rsid w:val="00D17C7E"/>
    <w:rsid w:val="00D31D50"/>
    <w:rsid w:val="00D322ED"/>
    <w:rsid w:val="00D42449"/>
    <w:rsid w:val="00D56751"/>
    <w:rsid w:val="00D57E08"/>
    <w:rsid w:val="00D609AD"/>
    <w:rsid w:val="00D61F51"/>
    <w:rsid w:val="00D63EF0"/>
    <w:rsid w:val="00D65127"/>
    <w:rsid w:val="00D653BA"/>
    <w:rsid w:val="00D655A5"/>
    <w:rsid w:val="00D67DD2"/>
    <w:rsid w:val="00D70C1E"/>
    <w:rsid w:val="00D72798"/>
    <w:rsid w:val="00D748AC"/>
    <w:rsid w:val="00D77C92"/>
    <w:rsid w:val="00D85648"/>
    <w:rsid w:val="00D87A8E"/>
    <w:rsid w:val="00D952EB"/>
    <w:rsid w:val="00D96915"/>
    <w:rsid w:val="00D96A52"/>
    <w:rsid w:val="00DA289F"/>
    <w:rsid w:val="00DA3AB6"/>
    <w:rsid w:val="00DA6293"/>
    <w:rsid w:val="00DB3FE4"/>
    <w:rsid w:val="00DB5F19"/>
    <w:rsid w:val="00DC77F0"/>
    <w:rsid w:val="00DD0F4E"/>
    <w:rsid w:val="00DD28E0"/>
    <w:rsid w:val="00DD6EED"/>
    <w:rsid w:val="00DE2B4A"/>
    <w:rsid w:val="00DF0CE6"/>
    <w:rsid w:val="00DF14E2"/>
    <w:rsid w:val="00DF5022"/>
    <w:rsid w:val="00DF7B30"/>
    <w:rsid w:val="00E00C9D"/>
    <w:rsid w:val="00E0106C"/>
    <w:rsid w:val="00E04A28"/>
    <w:rsid w:val="00E053CB"/>
    <w:rsid w:val="00E10568"/>
    <w:rsid w:val="00E176E3"/>
    <w:rsid w:val="00E2173C"/>
    <w:rsid w:val="00E30355"/>
    <w:rsid w:val="00E35656"/>
    <w:rsid w:val="00E40BB6"/>
    <w:rsid w:val="00E421E2"/>
    <w:rsid w:val="00E47B1A"/>
    <w:rsid w:val="00E500D4"/>
    <w:rsid w:val="00E510DB"/>
    <w:rsid w:val="00E5150A"/>
    <w:rsid w:val="00E530A7"/>
    <w:rsid w:val="00E53B7D"/>
    <w:rsid w:val="00E56476"/>
    <w:rsid w:val="00E57875"/>
    <w:rsid w:val="00E66283"/>
    <w:rsid w:val="00E662A0"/>
    <w:rsid w:val="00E70709"/>
    <w:rsid w:val="00E81436"/>
    <w:rsid w:val="00E81DC0"/>
    <w:rsid w:val="00E8397C"/>
    <w:rsid w:val="00E85D6E"/>
    <w:rsid w:val="00E9234D"/>
    <w:rsid w:val="00E93BA1"/>
    <w:rsid w:val="00E93EDA"/>
    <w:rsid w:val="00E9645E"/>
    <w:rsid w:val="00E96802"/>
    <w:rsid w:val="00E97DC9"/>
    <w:rsid w:val="00EA27F0"/>
    <w:rsid w:val="00EA3D71"/>
    <w:rsid w:val="00EA5BA8"/>
    <w:rsid w:val="00EA6A66"/>
    <w:rsid w:val="00EA78E8"/>
    <w:rsid w:val="00EB3700"/>
    <w:rsid w:val="00EB67CC"/>
    <w:rsid w:val="00EC216C"/>
    <w:rsid w:val="00EC2252"/>
    <w:rsid w:val="00EC2A1F"/>
    <w:rsid w:val="00EC49EF"/>
    <w:rsid w:val="00EC7E10"/>
    <w:rsid w:val="00ED0812"/>
    <w:rsid w:val="00ED0C52"/>
    <w:rsid w:val="00ED3090"/>
    <w:rsid w:val="00ED761F"/>
    <w:rsid w:val="00EE2597"/>
    <w:rsid w:val="00EE5066"/>
    <w:rsid w:val="00EF1DAF"/>
    <w:rsid w:val="00EF3693"/>
    <w:rsid w:val="00EF5635"/>
    <w:rsid w:val="00F02AFF"/>
    <w:rsid w:val="00F06C37"/>
    <w:rsid w:val="00F1211C"/>
    <w:rsid w:val="00F1227A"/>
    <w:rsid w:val="00F15AB3"/>
    <w:rsid w:val="00F41854"/>
    <w:rsid w:val="00F4436A"/>
    <w:rsid w:val="00F515F1"/>
    <w:rsid w:val="00F52991"/>
    <w:rsid w:val="00F5333D"/>
    <w:rsid w:val="00F60C2F"/>
    <w:rsid w:val="00F612A0"/>
    <w:rsid w:val="00F616C1"/>
    <w:rsid w:val="00F67A39"/>
    <w:rsid w:val="00F704F1"/>
    <w:rsid w:val="00F70E4D"/>
    <w:rsid w:val="00F728B2"/>
    <w:rsid w:val="00F82161"/>
    <w:rsid w:val="00F83EDF"/>
    <w:rsid w:val="00F87827"/>
    <w:rsid w:val="00F878D1"/>
    <w:rsid w:val="00F909CA"/>
    <w:rsid w:val="00F91887"/>
    <w:rsid w:val="00F977E6"/>
    <w:rsid w:val="00FB2092"/>
    <w:rsid w:val="00FB70DB"/>
    <w:rsid w:val="00FC3FD2"/>
    <w:rsid w:val="00FC7D02"/>
    <w:rsid w:val="00FD39C2"/>
    <w:rsid w:val="00FD7637"/>
    <w:rsid w:val="00FF077E"/>
    <w:rsid w:val="00FF09EC"/>
    <w:rsid w:val="011A5AE5"/>
    <w:rsid w:val="013C03A1"/>
    <w:rsid w:val="015960B2"/>
    <w:rsid w:val="02231F16"/>
    <w:rsid w:val="03C91B47"/>
    <w:rsid w:val="03EC323F"/>
    <w:rsid w:val="03FA627F"/>
    <w:rsid w:val="052606A0"/>
    <w:rsid w:val="05B1340D"/>
    <w:rsid w:val="05F829EB"/>
    <w:rsid w:val="063101C0"/>
    <w:rsid w:val="0644670A"/>
    <w:rsid w:val="06D07E81"/>
    <w:rsid w:val="06E30EBC"/>
    <w:rsid w:val="06E3544E"/>
    <w:rsid w:val="06E94C17"/>
    <w:rsid w:val="06F551D6"/>
    <w:rsid w:val="07137995"/>
    <w:rsid w:val="07830E6F"/>
    <w:rsid w:val="0794301B"/>
    <w:rsid w:val="08601C30"/>
    <w:rsid w:val="08745078"/>
    <w:rsid w:val="08C12DE5"/>
    <w:rsid w:val="08CF4C67"/>
    <w:rsid w:val="08FC5A2F"/>
    <w:rsid w:val="09162C1E"/>
    <w:rsid w:val="095F2DAF"/>
    <w:rsid w:val="098C0F84"/>
    <w:rsid w:val="099A5590"/>
    <w:rsid w:val="09BB4CA9"/>
    <w:rsid w:val="0AD56127"/>
    <w:rsid w:val="0AFC3F4B"/>
    <w:rsid w:val="0B0667C9"/>
    <w:rsid w:val="0B2C3155"/>
    <w:rsid w:val="0B446EE7"/>
    <w:rsid w:val="0B9606DF"/>
    <w:rsid w:val="0BF35E10"/>
    <w:rsid w:val="0C0C6B36"/>
    <w:rsid w:val="0C0E5FFC"/>
    <w:rsid w:val="0C56210D"/>
    <w:rsid w:val="0DA24445"/>
    <w:rsid w:val="0DAC5B94"/>
    <w:rsid w:val="0DDC4B0D"/>
    <w:rsid w:val="0DFD7FEC"/>
    <w:rsid w:val="0E7B1D85"/>
    <w:rsid w:val="0EA45E94"/>
    <w:rsid w:val="0EB32C78"/>
    <w:rsid w:val="0F435A76"/>
    <w:rsid w:val="109F517E"/>
    <w:rsid w:val="10BB2A9B"/>
    <w:rsid w:val="10ED7554"/>
    <w:rsid w:val="110F513A"/>
    <w:rsid w:val="112356E5"/>
    <w:rsid w:val="11710824"/>
    <w:rsid w:val="118B15A8"/>
    <w:rsid w:val="12745EA3"/>
    <w:rsid w:val="128C4D68"/>
    <w:rsid w:val="129C0F0B"/>
    <w:rsid w:val="12B31166"/>
    <w:rsid w:val="12DC5664"/>
    <w:rsid w:val="12DE4463"/>
    <w:rsid w:val="12E07940"/>
    <w:rsid w:val="136E1B79"/>
    <w:rsid w:val="13A11FB2"/>
    <w:rsid w:val="13D527A7"/>
    <w:rsid w:val="140A13E9"/>
    <w:rsid w:val="14343447"/>
    <w:rsid w:val="147026FD"/>
    <w:rsid w:val="14800D85"/>
    <w:rsid w:val="1482014D"/>
    <w:rsid w:val="14982AB6"/>
    <w:rsid w:val="14AE3AF2"/>
    <w:rsid w:val="15925359"/>
    <w:rsid w:val="16410E71"/>
    <w:rsid w:val="16984BFD"/>
    <w:rsid w:val="16B80D5C"/>
    <w:rsid w:val="16E579DE"/>
    <w:rsid w:val="17254FAD"/>
    <w:rsid w:val="1730351A"/>
    <w:rsid w:val="174134FC"/>
    <w:rsid w:val="17896CCF"/>
    <w:rsid w:val="17C4087D"/>
    <w:rsid w:val="17CC7AFA"/>
    <w:rsid w:val="17E66242"/>
    <w:rsid w:val="18233A17"/>
    <w:rsid w:val="186D2507"/>
    <w:rsid w:val="18B37F6B"/>
    <w:rsid w:val="18C9532D"/>
    <w:rsid w:val="18D306B1"/>
    <w:rsid w:val="190F75FF"/>
    <w:rsid w:val="19415FA8"/>
    <w:rsid w:val="1981316C"/>
    <w:rsid w:val="1A495ACB"/>
    <w:rsid w:val="1B162E3B"/>
    <w:rsid w:val="1B5C048C"/>
    <w:rsid w:val="1B884B5A"/>
    <w:rsid w:val="1B8D4EA1"/>
    <w:rsid w:val="1BA77A39"/>
    <w:rsid w:val="1C712F07"/>
    <w:rsid w:val="1C9222C7"/>
    <w:rsid w:val="1CB65207"/>
    <w:rsid w:val="1D4C6131"/>
    <w:rsid w:val="1E182AE3"/>
    <w:rsid w:val="1E553ED9"/>
    <w:rsid w:val="1E6C5479"/>
    <w:rsid w:val="1EC74DE9"/>
    <w:rsid w:val="1EF26E89"/>
    <w:rsid w:val="1F167CB9"/>
    <w:rsid w:val="1F2B29E9"/>
    <w:rsid w:val="1F566758"/>
    <w:rsid w:val="20B6634B"/>
    <w:rsid w:val="210A2CF9"/>
    <w:rsid w:val="2126594F"/>
    <w:rsid w:val="21BD3D36"/>
    <w:rsid w:val="220C5A6B"/>
    <w:rsid w:val="22112864"/>
    <w:rsid w:val="228B28FC"/>
    <w:rsid w:val="229378CC"/>
    <w:rsid w:val="22A22445"/>
    <w:rsid w:val="23861963"/>
    <w:rsid w:val="23EF4369"/>
    <w:rsid w:val="242C72A8"/>
    <w:rsid w:val="24704DAB"/>
    <w:rsid w:val="256D4234"/>
    <w:rsid w:val="25940405"/>
    <w:rsid w:val="25CB36BC"/>
    <w:rsid w:val="25DE467E"/>
    <w:rsid w:val="25FE305B"/>
    <w:rsid w:val="26071D82"/>
    <w:rsid w:val="26B74A43"/>
    <w:rsid w:val="27A05E41"/>
    <w:rsid w:val="27E548D9"/>
    <w:rsid w:val="27F75EE3"/>
    <w:rsid w:val="28A67676"/>
    <w:rsid w:val="28BC4F2D"/>
    <w:rsid w:val="28EA5683"/>
    <w:rsid w:val="291B440E"/>
    <w:rsid w:val="2971166A"/>
    <w:rsid w:val="29D12949"/>
    <w:rsid w:val="2A59297A"/>
    <w:rsid w:val="2ADC6AAF"/>
    <w:rsid w:val="2B262860"/>
    <w:rsid w:val="2B354DE2"/>
    <w:rsid w:val="2B5F0C21"/>
    <w:rsid w:val="2BD04CDC"/>
    <w:rsid w:val="2C472162"/>
    <w:rsid w:val="2D3D6EBE"/>
    <w:rsid w:val="2DF05884"/>
    <w:rsid w:val="2EF13F00"/>
    <w:rsid w:val="2F6C1438"/>
    <w:rsid w:val="2F8B53E6"/>
    <w:rsid w:val="2FA058D0"/>
    <w:rsid w:val="2FBC19D6"/>
    <w:rsid w:val="2FE404AF"/>
    <w:rsid w:val="30FE35D2"/>
    <w:rsid w:val="313F3795"/>
    <w:rsid w:val="31557D8C"/>
    <w:rsid w:val="31B126CF"/>
    <w:rsid w:val="31DF169C"/>
    <w:rsid w:val="320C1BE4"/>
    <w:rsid w:val="32181F8E"/>
    <w:rsid w:val="321F4935"/>
    <w:rsid w:val="329D69EA"/>
    <w:rsid w:val="32A45A1A"/>
    <w:rsid w:val="32AA4B6F"/>
    <w:rsid w:val="336E7965"/>
    <w:rsid w:val="338C4BE6"/>
    <w:rsid w:val="34467733"/>
    <w:rsid w:val="34510208"/>
    <w:rsid w:val="35AC7BAB"/>
    <w:rsid w:val="35C77BF8"/>
    <w:rsid w:val="35D649F4"/>
    <w:rsid w:val="36047BA5"/>
    <w:rsid w:val="361C2F9C"/>
    <w:rsid w:val="365D419B"/>
    <w:rsid w:val="36765B30"/>
    <w:rsid w:val="367759F3"/>
    <w:rsid w:val="36E249CB"/>
    <w:rsid w:val="372E4962"/>
    <w:rsid w:val="37464E96"/>
    <w:rsid w:val="377A35BB"/>
    <w:rsid w:val="37E57709"/>
    <w:rsid w:val="3863674B"/>
    <w:rsid w:val="387A11E8"/>
    <w:rsid w:val="388A4F89"/>
    <w:rsid w:val="38AC34E2"/>
    <w:rsid w:val="38CF54A5"/>
    <w:rsid w:val="38DB7C7F"/>
    <w:rsid w:val="39CF1935"/>
    <w:rsid w:val="39D5518B"/>
    <w:rsid w:val="39EF68F9"/>
    <w:rsid w:val="39F93B27"/>
    <w:rsid w:val="3A6E7FB5"/>
    <w:rsid w:val="3A6F47D9"/>
    <w:rsid w:val="3AB87219"/>
    <w:rsid w:val="3AD978B8"/>
    <w:rsid w:val="3B6863F4"/>
    <w:rsid w:val="3B82296A"/>
    <w:rsid w:val="3BB776DD"/>
    <w:rsid w:val="3C990C03"/>
    <w:rsid w:val="3DC83E4B"/>
    <w:rsid w:val="3DD15E06"/>
    <w:rsid w:val="3DE657BD"/>
    <w:rsid w:val="3E013D1E"/>
    <w:rsid w:val="3E5E4F8B"/>
    <w:rsid w:val="3E7B3369"/>
    <w:rsid w:val="3EDE54CF"/>
    <w:rsid w:val="3F026CB0"/>
    <w:rsid w:val="3F5C1E5B"/>
    <w:rsid w:val="3FCE5D5C"/>
    <w:rsid w:val="402639F5"/>
    <w:rsid w:val="403D0650"/>
    <w:rsid w:val="41177D78"/>
    <w:rsid w:val="417E699D"/>
    <w:rsid w:val="418B6DDA"/>
    <w:rsid w:val="420106A8"/>
    <w:rsid w:val="42054538"/>
    <w:rsid w:val="42273F1E"/>
    <w:rsid w:val="42380DCC"/>
    <w:rsid w:val="42741EA9"/>
    <w:rsid w:val="42753F4B"/>
    <w:rsid w:val="42BB622F"/>
    <w:rsid w:val="42FA1E24"/>
    <w:rsid w:val="43322B9D"/>
    <w:rsid w:val="43403E9A"/>
    <w:rsid w:val="43931B47"/>
    <w:rsid w:val="43A62B93"/>
    <w:rsid w:val="4412341C"/>
    <w:rsid w:val="443F3CCA"/>
    <w:rsid w:val="44FD3A99"/>
    <w:rsid w:val="44FE02EC"/>
    <w:rsid w:val="45B12061"/>
    <w:rsid w:val="46FE3AED"/>
    <w:rsid w:val="471826BC"/>
    <w:rsid w:val="47EA3C6A"/>
    <w:rsid w:val="486F2418"/>
    <w:rsid w:val="487511E8"/>
    <w:rsid w:val="48C51F35"/>
    <w:rsid w:val="48D5282C"/>
    <w:rsid w:val="49450208"/>
    <w:rsid w:val="49783FB2"/>
    <w:rsid w:val="4A162306"/>
    <w:rsid w:val="4A2561B5"/>
    <w:rsid w:val="4A834184"/>
    <w:rsid w:val="4A9918D0"/>
    <w:rsid w:val="4B084FEB"/>
    <w:rsid w:val="4B140D41"/>
    <w:rsid w:val="4B3C7BB5"/>
    <w:rsid w:val="4B6D0DC8"/>
    <w:rsid w:val="4BCF1C77"/>
    <w:rsid w:val="4BFA02E8"/>
    <w:rsid w:val="4C395D87"/>
    <w:rsid w:val="4C815C69"/>
    <w:rsid w:val="4D09045E"/>
    <w:rsid w:val="4D1214FF"/>
    <w:rsid w:val="4D3D0CCC"/>
    <w:rsid w:val="4DF0537B"/>
    <w:rsid w:val="4DFE5614"/>
    <w:rsid w:val="4E836678"/>
    <w:rsid w:val="4E977276"/>
    <w:rsid w:val="4F495F0A"/>
    <w:rsid w:val="4F97647F"/>
    <w:rsid w:val="4F9E5447"/>
    <w:rsid w:val="4FB90AAD"/>
    <w:rsid w:val="4FC10849"/>
    <w:rsid w:val="503E550B"/>
    <w:rsid w:val="50947EA8"/>
    <w:rsid w:val="51674B75"/>
    <w:rsid w:val="51A510D8"/>
    <w:rsid w:val="51CA7F87"/>
    <w:rsid w:val="51D90B4F"/>
    <w:rsid w:val="521E3555"/>
    <w:rsid w:val="52FF5974"/>
    <w:rsid w:val="5323440F"/>
    <w:rsid w:val="53A121CA"/>
    <w:rsid w:val="53DD5BF0"/>
    <w:rsid w:val="53E134D8"/>
    <w:rsid w:val="540112EF"/>
    <w:rsid w:val="5454255F"/>
    <w:rsid w:val="54931D28"/>
    <w:rsid w:val="54DC07D6"/>
    <w:rsid w:val="54FA72FF"/>
    <w:rsid w:val="55174323"/>
    <w:rsid w:val="5521150E"/>
    <w:rsid w:val="552814DD"/>
    <w:rsid w:val="55F905AF"/>
    <w:rsid w:val="56127486"/>
    <w:rsid w:val="561A65B9"/>
    <w:rsid w:val="56286D49"/>
    <w:rsid w:val="56912B19"/>
    <w:rsid w:val="577154CA"/>
    <w:rsid w:val="57782D13"/>
    <w:rsid w:val="57C65C89"/>
    <w:rsid w:val="57C8701B"/>
    <w:rsid w:val="594A6151"/>
    <w:rsid w:val="5982711E"/>
    <w:rsid w:val="598B2220"/>
    <w:rsid w:val="5A0750B0"/>
    <w:rsid w:val="5A7C22AA"/>
    <w:rsid w:val="5ACE3C4C"/>
    <w:rsid w:val="5B110462"/>
    <w:rsid w:val="5B3510D5"/>
    <w:rsid w:val="5B3533D8"/>
    <w:rsid w:val="5BB6167B"/>
    <w:rsid w:val="5BCF238E"/>
    <w:rsid w:val="5C513BBB"/>
    <w:rsid w:val="5C7A56CF"/>
    <w:rsid w:val="5CAE25A8"/>
    <w:rsid w:val="5CB34AE5"/>
    <w:rsid w:val="5D35610C"/>
    <w:rsid w:val="5D6A0183"/>
    <w:rsid w:val="5E382456"/>
    <w:rsid w:val="5F212F1A"/>
    <w:rsid w:val="5F5A40D0"/>
    <w:rsid w:val="5F9D7D38"/>
    <w:rsid w:val="5FB97FFE"/>
    <w:rsid w:val="603A2309"/>
    <w:rsid w:val="607B5824"/>
    <w:rsid w:val="609836BD"/>
    <w:rsid w:val="60A2261B"/>
    <w:rsid w:val="614134C6"/>
    <w:rsid w:val="61BF00EF"/>
    <w:rsid w:val="62292764"/>
    <w:rsid w:val="62DD29AD"/>
    <w:rsid w:val="630E71D9"/>
    <w:rsid w:val="633D4BAF"/>
    <w:rsid w:val="634A0CF2"/>
    <w:rsid w:val="637A6BBF"/>
    <w:rsid w:val="6443628F"/>
    <w:rsid w:val="64C0453C"/>
    <w:rsid w:val="655F0738"/>
    <w:rsid w:val="65DC74B6"/>
    <w:rsid w:val="668D0F1D"/>
    <w:rsid w:val="67313217"/>
    <w:rsid w:val="6740025C"/>
    <w:rsid w:val="67605FA8"/>
    <w:rsid w:val="67BF27F3"/>
    <w:rsid w:val="67E32088"/>
    <w:rsid w:val="683A7494"/>
    <w:rsid w:val="683F1D74"/>
    <w:rsid w:val="686E26B6"/>
    <w:rsid w:val="68884AA2"/>
    <w:rsid w:val="69300E39"/>
    <w:rsid w:val="69964E8E"/>
    <w:rsid w:val="69F44C64"/>
    <w:rsid w:val="6A2251E3"/>
    <w:rsid w:val="6AB55CAD"/>
    <w:rsid w:val="6AE94720"/>
    <w:rsid w:val="6B24682C"/>
    <w:rsid w:val="6BAF33E5"/>
    <w:rsid w:val="6BED6006"/>
    <w:rsid w:val="6C662D7C"/>
    <w:rsid w:val="6C6A6789"/>
    <w:rsid w:val="6C76156F"/>
    <w:rsid w:val="6D0139B1"/>
    <w:rsid w:val="6D1943D5"/>
    <w:rsid w:val="6D2C7503"/>
    <w:rsid w:val="6D475E4F"/>
    <w:rsid w:val="6DA7352E"/>
    <w:rsid w:val="6DFE795C"/>
    <w:rsid w:val="6E906F80"/>
    <w:rsid w:val="6EB36179"/>
    <w:rsid w:val="6ECB2B68"/>
    <w:rsid w:val="6F1C410D"/>
    <w:rsid w:val="6F431DF4"/>
    <w:rsid w:val="6F696F6B"/>
    <w:rsid w:val="6F9C6D6C"/>
    <w:rsid w:val="6FD03F83"/>
    <w:rsid w:val="6FE05EC9"/>
    <w:rsid w:val="70446691"/>
    <w:rsid w:val="70865ECA"/>
    <w:rsid w:val="70C57952"/>
    <w:rsid w:val="72491978"/>
    <w:rsid w:val="72500E28"/>
    <w:rsid w:val="72A63457"/>
    <w:rsid w:val="72A66AFF"/>
    <w:rsid w:val="72F57587"/>
    <w:rsid w:val="73356EE0"/>
    <w:rsid w:val="73371259"/>
    <w:rsid w:val="73437C97"/>
    <w:rsid w:val="7347030C"/>
    <w:rsid w:val="735B14E3"/>
    <w:rsid w:val="73726EDE"/>
    <w:rsid w:val="739C6227"/>
    <w:rsid w:val="73BB6B3F"/>
    <w:rsid w:val="73C95A5F"/>
    <w:rsid w:val="747D2490"/>
    <w:rsid w:val="74921D74"/>
    <w:rsid w:val="749F686A"/>
    <w:rsid w:val="74C27318"/>
    <w:rsid w:val="74C516C3"/>
    <w:rsid w:val="751E155B"/>
    <w:rsid w:val="752B146D"/>
    <w:rsid w:val="755B4C6E"/>
    <w:rsid w:val="758A34DC"/>
    <w:rsid w:val="759E08C3"/>
    <w:rsid w:val="75A20592"/>
    <w:rsid w:val="75B130EA"/>
    <w:rsid w:val="75D9562B"/>
    <w:rsid w:val="75FF593B"/>
    <w:rsid w:val="76040AD9"/>
    <w:rsid w:val="764A4A68"/>
    <w:rsid w:val="769F7BC3"/>
    <w:rsid w:val="76A14C0B"/>
    <w:rsid w:val="76CB37FE"/>
    <w:rsid w:val="76CE3308"/>
    <w:rsid w:val="7708035A"/>
    <w:rsid w:val="77633220"/>
    <w:rsid w:val="77680FEC"/>
    <w:rsid w:val="7781214E"/>
    <w:rsid w:val="77B902A0"/>
    <w:rsid w:val="77C8322F"/>
    <w:rsid w:val="784409FF"/>
    <w:rsid w:val="789F4315"/>
    <w:rsid w:val="79C66E71"/>
    <w:rsid w:val="7A3D4ECC"/>
    <w:rsid w:val="7B447DE7"/>
    <w:rsid w:val="7B5C3FBE"/>
    <w:rsid w:val="7B6A7BE6"/>
    <w:rsid w:val="7B782E95"/>
    <w:rsid w:val="7BAF2360"/>
    <w:rsid w:val="7C057F07"/>
    <w:rsid w:val="7C113A5C"/>
    <w:rsid w:val="7C4751A5"/>
    <w:rsid w:val="7C534C56"/>
    <w:rsid w:val="7CC92451"/>
    <w:rsid w:val="7CFD64D8"/>
    <w:rsid w:val="7CFE0D14"/>
    <w:rsid w:val="7D353C44"/>
    <w:rsid w:val="7DFE202C"/>
    <w:rsid w:val="7E652D16"/>
    <w:rsid w:val="7EF81F4F"/>
    <w:rsid w:val="7F056FCF"/>
    <w:rsid w:val="7F6946BA"/>
    <w:rsid w:val="7FE21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semiHidden="0" w:name="List Number"/>
    <w:lsdException w:qFormat="1" w:uiPriority="99"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link w:val="127"/>
    <w:qFormat/>
    <w:uiPriority w:val="0"/>
    <w:pPr>
      <w:keepNext/>
      <w:adjustRightInd/>
      <w:snapToGrid/>
      <w:spacing w:after="0" w:line="400" w:lineRule="exact"/>
      <w:jc w:val="center"/>
      <w:outlineLvl w:val="0"/>
    </w:pPr>
    <w:rPr>
      <w:rFonts w:ascii="黑体" w:hAnsi="Times New Roman" w:eastAsia="黑体"/>
      <w:sz w:val="36"/>
      <w:szCs w:val="20"/>
    </w:rPr>
  </w:style>
  <w:style w:type="paragraph" w:styleId="5">
    <w:name w:val="heading 2"/>
    <w:basedOn w:val="1"/>
    <w:next w:val="1"/>
    <w:link w:val="92"/>
    <w:qFormat/>
    <w:uiPriority w:val="0"/>
    <w:pPr>
      <w:keepNext/>
      <w:keepLines/>
      <w:widowControl w:val="0"/>
      <w:adjustRightInd/>
      <w:snapToGrid/>
      <w:spacing w:after="0" w:line="380" w:lineRule="atLeast"/>
      <w:jc w:val="center"/>
      <w:outlineLvl w:val="1"/>
    </w:pPr>
    <w:rPr>
      <w:rFonts w:ascii="Arial" w:hAnsi="Arial" w:eastAsia="黑体"/>
      <w:bCs/>
      <w:sz w:val="32"/>
      <w:szCs w:val="32"/>
    </w:rPr>
  </w:style>
  <w:style w:type="paragraph" w:styleId="6">
    <w:name w:val="heading 3"/>
    <w:basedOn w:val="1"/>
    <w:next w:val="1"/>
    <w:link w:val="108"/>
    <w:qFormat/>
    <w:uiPriority w:val="0"/>
    <w:pPr>
      <w:keepNext/>
      <w:keepLines/>
      <w:widowControl w:val="0"/>
      <w:adjustRightInd/>
      <w:snapToGrid/>
      <w:spacing w:after="0" w:line="380" w:lineRule="exact"/>
      <w:jc w:val="center"/>
      <w:outlineLvl w:val="2"/>
    </w:pPr>
    <w:rPr>
      <w:rFonts w:ascii="宋体" w:hAnsi="宋体" w:eastAsia="宋体"/>
      <w:bCs/>
      <w:sz w:val="30"/>
      <w:szCs w:val="32"/>
    </w:rPr>
  </w:style>
  <w:style w:type="paragraph" w:styleId="7">
    <w:name w:val="heading 4"/>
    <w:basedOn w:val="1"/>
    <w:next w:val="1"/>
    <w:link w:val="104"/>
    <w:qFormat/>
    <w:uiPriority w:val="0"/>
    <w:pPr>
      <w:keepNext/>
      <w:keepLines/>
      <w:widowControl w:val="0"/>
      <w:adjustRightInd/>
      <w:snapToGrid/>
      <w:spacing w:before="280" w:after="290" w:line="376" w:lineRule="auto"/>
      <w:jc w:val="both"/>
      <w:outlineLvl w:val="3"/>
    </w:pPr>
    <w:rPr>
      <w:rFonts w:ascii="Cambria" w:hAnsi="Cambria" w:eastAsia="宋体"/>
      <w:b/>
      <w:bCs/>
      <w:kern w:val="2"/>
      <w:sz w:val="28"/>
      <w:szCs w:val="28"/>
    </w:rPr>
  </w:style>
  <w:style w:type="paragraph" w:styleId="8">
    <w:name w:val="heading 5"/>
    <w:basedOn w:val="1"/>
    <w:next w:val="1"/>
    <w:link w:val="113"/>
    <w:qFormat/>
    <w:uiPriority w:val="0"/>
    <w:pPr>
      <w:keepNext/>
      <w:keepLines/>
      <w:widowControl w:val="0"/>
      <w:adjustRightInd/>
      <w:snapToGrid/>
      <w:spacing w:before="280" w:after="290" w:line="376" w:lineRule="auto"/>
      <w:jc w:val="both"/>
      <w:outlineLvl w:val="4"/>
    </w:pPr>
    <w:rPr>
      <w:rFonts w:ascii="Times New Roman" w:hAnsi="Times New Roman" w:eastAsia="宋体"/>
      <w:b/>
      <w:bCs/>
      <w:kern w:val="2"/>
      <w:sz w:val="28"/>
      <w:szCs w:val="28"/>
    </w:rPr>
  </w:style>
  <w:style w:type="paragraph" w:styleId="9">
    <w:name w:val="heading 6"/>
    <w:basedOn w:val="1"/>
    <w:next w:val="1"/>
    <w:link w:val="147"/>
    <w:qFormat/>
    <w:uiPriority w:val="0"/>
    <w:pPr>
      <w:keepNext/>
      <w:keepLines/>
      <w:adjustRightInd/>
      <w:snapToGrid/>
      <w:spacing w:before="240" w:after="64" w:line="319" w:lineRule="auto"/>
      <w:outlineLvl w:val="5"/>
    </w:pPr>
    <w:rPr>
      <w:rFonts w:ascii="Arial" w:hAnsi="Arial" w:eastAsia="黑体"/>
      <w:b/>
      <w:bCs/>
      <w:sz w:val="24"/>
      <w:szCs w:val="24"/>
    </w:rPr>
  </w:style>
  <w:style w:type="paragraph" w:styleId="10">
    <w:name w:val="heading 7"/>
    <w:basedOn w:val="1"/>
    <w:next w:val="1"/>
    <w:link w:val="112"/>
    <w:qFormat/>
    <w:uiPriority w:val="0"/>
    <w:pPr>
      <w:keepNext/>
      <w:keepLines/>
      <w:adjustRightInd/>
      <w:snapToGrid/>
      <w:spacing w:before="240" w:after="64" w:line="319" w:lineRule="auto"/>
      <w:outlineLvl w:val="6"/>
    </w:pPr>
    <w:rPr>
      <w:rFonts w:ascii="Times New Roman" w:hAnsi="Times New Roman" w:eastAsia="宋体"/>
      <w:b/>
      <w:bCs/>
      <w:sz w:val="24"/>
      <w:szCs w:val="24"/>
    </w:rPr>
  </w:style>
  <w:style w:type="paragraph" w:styleId="11">
    <w:name w:val="heading 8"/>
    <w:basedOn w:val="1"/>
    <w:next w:val="1"/>
    <w:link w:val="140"/>
    <w:qFormat/>
    <w:uiPriority w:val="0"/>
    <w:pPr>
      <w:keepNext/>
      <w:keepLines/>
      <w:adjustRightInd/>
      <w:snapToGrid/>
      <w:spacing w:before="240" w:after="64" w:line="319" w:lineRule="auto"/>
      <w:outlineLvl w:val="7"/>
    </w:pPr>
    <w:rPr>
      <w:rFonts w:ascii="Arial" w:hAnsi="Arial" w:eastAsia="黑体"/>
      <w:sz w:val="24"/>
      <w:szCs w:val="24"/>
    </w:rPr>
  </w:style>
  <w:style w:type="paragraph" w:styleId="12">
    <w:name w:val="heading 9"/>
    <w:basedOn w:val="1"/>
    <w:next w:val="1"/>
    <w:link w:val="153"/>
    <w:qFormat/>
    <w:uiPriority w:val="0"/>
    <w:pPr>
      <w:keepNext/>
      <w:keepLines/>
      <w:adjustRightInd/>
      <w:snapToGrid/>
      <w:spacing w:before="240" w:after="64" w:line="319" w:lineRule="auto"/>
      <w:outlineLvl w:val="8"/>
    </w:pPr>
    <w:rPr>
      <w:rFonts w:ascii="Arial" w:hAnsi="Arial" w:eastAsia="黑体"/>
      <w:sz w:val="21"/>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Times New Roman" w:hAnsi="Times New Roman" w:eastAsia="宋体"/>
      <w:kern w:val="0"/>
      <w:sz w:val="21"/>
      <w:szCs w:val="24"/>
      <w:lang w:val="en-US" w:eastAsia="zh-CN" w:bidi="ar-SA"/>
    </w:rPr>
  </w:style>
  <w:style w:type="paragraph" w:customStyle="1" w:styleId="3">
    <w:name w:val="BodyTextIndent"/>
    <w:basedOn w:val="1"/>
    <w:qFormat/>
    <w:uiPriority w:val="0"/>
    <w:pPr>
      <w:ind w:firstLine="830" w:firstLineChars="352"/>
      <w:jc w:val="both"/>
      <w:textAlignment w:val="baseline"/>
    </w:pPr>
    <w:rPr>
      <w:rFonts w:ascii="仿宋_GB2312" w:hAnsi="Times New Roman" w:eastAsia="仿宋_GB2312"/>
      <w:kern w:val="0"/>
      <w:sz w:val="32"/>
      <w:szCs w:val="20"/>
      <w:lang w:val="en-US" w:eastAsia="zh-CN" w:bidi="ar-SA"/>
    </w:rPr>
  </w:style>
  <w:style w:type="paragraph" w:styleId="13">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4">
    <w:name w:val="List Number"/>
    <w:basedOn w:val="1"/>
    <w:unhideWhenUsed/>
    <w:qFormat/>
    <w:uiPriority w:val="99"/>
    <w:pPr>
      <w:numPr>
        <w:ilvl w:val="0"/>
        <w:numId w:val="1"/>
      </w:numPr>
    </w:pPr>
  </w:style>
  <w:style w:type="paragraph" w:styleId="15">
    <w:name w:val="Normal Indent"/>
    <w:basedOn w:val="1"/>
    <w:link w:val="141"/>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6">
    <w:name w:val="Document Map"/>
    <w:basedOn w:val="1"/>
    <w:link w:val="126"/>
    <w:semiHidden/>
    <w:qFormat/>
    <w:uiPriority w:val="0"/>
    <w:pPr>
      <w:widowControl w:val="0"/>
      <w:shd w:val="clear" w:color="auto" w:fill="000080"/>
      <w:adjustRightInd/>
      <w:snapToGrid/>
      <w:spacing w:after="0"/>
      <w:jc w:val="both"/>
    </w:pPr>
    <w:rPr>
      <w:rFonts w:ascii="Times New Roman" w:hAnsi="Times New Roman" w:eastAsia="宋体"/>
      <w:kern w:val="2"/>
      <w:sz w:val="21"/>
      <w:szCs w:val="24"/>
    </w:rPr>
  </w:style>
  <w:style w:type="paragraph" w:styleId="17">
    <w:name w:val="annotation text"/>
    <w:basedOn w:val="1"/>
    <w:link w:val="110"/>
    <w:qFormat/>
    <w:uiPriority w:val="0"/>
    <w:pPr>
      <w:widowControl w:val="0"/>
      <w:adjustRightInd/>
      <w:snapToGrid/>
      <w:spacing w:after="0"/>
    </w:pPr>
    <w:rPr>
      <w:rFonts w:ascii="Times New Roman" w:hAnsi="Times New Roman" w:eastAsia="宋体"/>
      <w:kern w:val="2"/>
      <w:sz w:val="21"/>
      <w:szCs w:val="24"/>
    </w:rPr>
  </w:style>
  <w:style w:type="paragraph" w:styleId="18">
    <w:name w:val="Body Text"/>
    <w:basedOn w:val="1"/>
    <w:next w:val="1"/>
    <w:link w:val="135"/>
    <w:qFormat/>
    <w:uiPriority w:val="0"/>
    <w:pPr>
      <w:widowControl w:val="0"/>
      <w:adjustRightInd/>
      <w:snapToGrid/>
      <w:spacing w:after="0"/>
      <w:jc w:val="center"/>
    </w:pPr>
    <w:rPr>
      <w:rFonts w:ascii="Times New Roman" w:hAnsi="Times New Roman" w:eastAsia="宋体"/>
      <w:kern w:val="2"/>
      <w:sz w:val="52"/>
      <w:szCs w:val="24"/>
    </w:rPr>
  </w:style>
  <w:style w:type="paragraph" w:styleId="19">
    <w:name w:val="Body Text Indent"/>
    <w:basedOn w:val="1"/>
    <w:link w:val="138"/>
    <w:qFormat/>
    <w:uiPriority w:val="0"/>
    <w:pPr>
      <w:widowControl w:val="0"/>
      <w:adjustRightInd/>
      <w:snapToGrid/>
      <w:spacing w:after="0" w:line="440" w:lineRule="exact"/>
      <w:ind w:firstLine="419" w:firstLineChars="196"/>
      <w:jc w:val="both"/>
    </w:pPr>
    <w:rPr>
      <w:rFonts w:ascii="宋体" w:hAnsi="宋体" w:eastAsia="宋体"/>
      <w:spacing w:val="2"/>
      <w:kern w:val="2"/>
      <w:sz w:val="21"/>
      <w:szCs w:val="24"/>
    </w:rPr>
  </w:style>
  <w:style w:type="paragraph" w:styleId="20">
    <w:name w:val="List 2"/>
    <w:basedOn w:val="1"/>
    <w:unhideWhenUsed/>
    <w:qFormat/>
    <w:uiPriority w:val="99"/>
    <w:pPr>
      <w:ind w:left="100" w:leftChars="200" w:hanging="200" w:hangingChars="200"/>
    </w:pPr>
    <w:rPr>
      <w:sz w:val="28"/>
    </w:rPr>
  </w:style>
  <w:style w:type="paragraph" w:styleId="21">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22">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3">
    <w:name w:val="Plain Text"/>
    <w:basedOn w:val="1"/>
    <w:next w:val="1"/>
    <w:link w:val="137"/>
    <w:qFormat/>
    <w:uiPriority w:val="0"/>
    <w:pPr>
      <w:widowControl w:val="0"/>
      <w:adjustRightInd/>
      <w:snapToGrid/>
      <w:spacing w:after="0"/>
      <w:jc w:val="both"/>
    </w:pPr>
    <w:rPr>
      <w:rFonts w:ascii="宋体" w:hAnsi="Courier New" w:eastAsia="宋体"/>
      <w:sz w:val="21"/>
      <w:szCs w:val="21"/>
    </w:rPr>
  </w:style>
  <w:style w:type="paragraph" w:styleId="24">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5">
    <w:name w:val="Date"/>
    <w:basedOn w:val="1"/>
    <w:next w:val="1"/>
    <w:link w:val="95"/>
    <w:qFormat/>
    <w:uiPriority w:val="0"/>
    <w:pPr>
      <w:widowControl w:val="0"/>
      <w:adjustRightInd/>
      <w:snapToGrid/>
      <w:spacing w:after="0"/>
      <w:ind w:left="100" w:leftChars="2500"/>
      <w:jc w:val="both"/>
    </w:pPr>
    <w:rPr>
      <w:rFonts w:ascii="Times New Roman" w:hAnsi="Times New Roman" w:eastAsia="宋体"/>
      <w:kern w:val="2"/>
      <w:sz w:val="21"/>
      <w:szCs w:val="24"/>
    </w:rPr>
  </w:style>
  <w:style w:type="paragraph" w:styleId="26">
    <w:name w:val="Body Text Indent 2"/>
    <w:basedOn w:val="1"/>
    <w:link w:val="90"/>
    <w:qFormat/>
    <w:uiPriority w:val="0"/>
    <w:pPr>
      <w:widowControl w:val="0"/>
      <w:adjustRightInd/>
      <w:snapToGrid/>
      <w:spacing w:after="0" w:line="420" w:lineRule="exact"/>
      <w:ind w:firstLine="409" w:firstLineChars="195"/>
      <w:jc w:val="both"/>
    </w:pPr>
    <w:rPr>
      <w:rFonts w:ascii="Times New Roman" w:hAnsi="Times New Roman" w:eastAsia="宋体"/>
      <w:kern w:val="2"/>
      <w:sz w:val="21"/>
      <w:szCs w:val="24"/>
    </w:rPr>
  </w:style>
  <w:style w:type="paragraph" w:styleId="27">
    <w:name w:val="Balloon Text"/>
    <w:basedOn w:val="1"/>
    <w:link w:val="116"/>
    <w:qFormat/>
    <w:uiPriority w:val="0"/>
    <w:pPr>
      <w:widowControl w:val="0"/>
      <w:adjustRightInd/>
      <w:snapToGrid/>
      <w:spacing w:after="0"/>
      <w:jc w:val="both"/>
    </w:pPr>
    <w:rPr>
      <w:rFonts w:ascii="Times New Roman" w:hAnsi="Times New Roman" w:eastAsia="宋体"/>
      <w:kern w:val="2"/>
      <w:sz w:val="18"/>
      <w:szCs w:val="18"/>
    </w:rPr>
  </w:style>
  <w:style w:type="paragraph" w:styleId="28">
    <w:name w:val="footer"/>
    <w:basedOn w:val="1"/>
    <w:link w:val="119"/>
    <w:unhideWhenUsed/>
    <w:qFormat/>
    <w:uiPriority w:val="99"/>
    <w:pPr>
      <w:tabs>
        <w:tab w:val="center" w:pos="4153"/>
        <w:tab w:val="right" w:pos="8306"/>
      </w:tabs>
    </w:pPr>
    <w:rPr>
      <w:rFonts w:eastAsia="宋体"/>
      <w:sz w:val="18"/>
      <w:szCs w:val="18"/>
    </w:rPr>
  </w:style>
  <w:style w:type="paragraph" w:styleId="29">
    <w:name w:val="header"/>
    <w:basedOn w:val="1"/>
    <w:link w:val="148"/>
    <w:unhideWhenUsed/>
    <w:qFormat/>
    <w:uiPriority w:val="99"/>
    <w:pPr>
      <w:pBdr>
        <w:bottom w:val="single" w:color="auto" w:sz="6" w:space="1"/>
      </w:pBdr>
      <w:tabs>
        <w:tab w:val="center" w:pos="4153"/>
        <w:tab w:val="right" w:pos="8306"/>
      </w:tabs>
      <w:jc w:val="center"/>
    </w:pPr>
    <w:rPr>
      <w:rFonts w:eastAsia="宋体"/>
      <w:sz w:val="18"/>
      <w:szCs w:val="18"/>
    </w:rPr>
  </w:style>
  <w:style w:type="paragraph" w:styleId="30">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31">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32">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3">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4">
    <w:name w:val="Body Text Indent 3"/>
    <w:basedOn w:val="1"/>
    <w:link w:val="134"/>
    <w:qFormat/>
    <w:uiPriority w:val="0"/>
    <w:pPr>
      <w:widowControl w:val="0"/>
      <w:adjustRightInd/>
      <w:snapToGrid/>
      <w:spacing w:after="0" w:line="480" w:lineRule="exact"/>
      <w:ind w:firstLine="420" w:firstLineChars="200"/>
      <w:jc w:val="both"/>
    </w:pPr>
    <w:rPr>
      <w:rFonts w:ascii="宋体" w:hAnsi="Courier New" w:eastAsia="宋体"/>
      <w:kern w:val="2"/>
      <w:sz w:val="21"/>
      <w:szCs w:val="24"/>
    </w:rPr>
  </w:style>
  <w:style w:type="paragraph" w:styleId="35">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6">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7">
    <w:name w:val="Body Text 2"/>
    <w:basedOn w:val="1"/>
    <w:link w:val="88"/>
    <w:qFormat/>
    <w:uiPriority w:val="0"/>
    <w:pPr>
      <w:widowControl w:val="0"/>
      <w:adjustRightInd/>
      <w:snapToGrid/>
      <w:spacing w:after="0" w:line="280" w:lineRule="exact"/>
      <w:jc w:val="center"/>
    </w:pPr>
    <w:rPr>
      <w:rFonts w:ascii="Times New Roman" w:hAnsi="Times New Roman" w:eastAsia="宋体"/>
      <w:kern w:val="2"/>
      <w:sz w:val="21"/>
      <w:szCs w:val="24"/>
    </w:rPr>
  </w:style>
  <w:style w:type="paragraph" w:styleId="38">
    <w:name w:val="List 4"/>
    <w:basedOn w:val="1"/>
    <w:qFormat/>
    <w:uiPriority w:val="0"/>
    <w:pPr>
      <w:widowControl w:val="0"/>
      <w:adjustRightInd/>
      <w:snapToGrid/>
      <w:spacing w:after="0"/>
      <w:ind w:left="100" w:leftChars="600" w:hanging="200" w:hangingChars="200"/>
      <w:contextualSpacing/>
      <w:jc w:val="both"/>
    </w:pPr>
    <w:rPr>
      <w:rFonts w:ascii="Times New Roman" w:hAnsi="Times New Roman" w:eastAsia="宋体"/>
      <w:kern w:val="2"/>
      <w:sz w:val="21"/>
      <w:szCs w:val="24"/>
    </w:rPr>
  </w:style>
  <w:style w:type="paragraph" w:styleId="39">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40">
    <w:name w:val="annotation subject"/>
    <w:basedOn w:val="17"/>
    <w:next w:val="17"/>
    <w:link w:val="139"/>
    <w:semiHidden/>
    <w:qFormat/>
    <w:uiPriority w:val="0"/>
    <w:rPr>
      <w:b/>
      <w:bCs/>
    </w:rPr>
  </w:style>
  <w:style w:type="table" w:styleId="42">
    <w:name w:val="Table Grid"/>
    <w:basedOn w:val="41"/>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CC"/>
      <w:u w:val="none"/>
    </w:rPr>
  </w:style>
  <w:style w:type="character" w:styleId="47">
    <w:name w:val="Emphasis"/>
    <w:qFormat/>
    <w:uiPriority w:val="20"/>
    <w:rPr>
      <w:i/>
      <w:iCs/>
    </w:rPr>
  </w:style>
  <w:style w:type="character" w:styleId="48">
    <w:name w:val="HTML Definition"/>
    <w:basedOn w:val="43"/>
    <w:unhideWhenUsed/>
    <w:qFormat/>
    <w:uiPriority w:val="99"/>
  </w:style>
  <w:style w:type="character" w:styleId="49">
    <w:name w:val="HTML Typewriter"/>
    <w:basedOn w:val="43"/>
    <w:unhideWhenUsed/>
    <w:qFormat/>
    <w:uiPriority w:val="99"/>
    <w:rPr>
      <w:rFonts w:ascii="monospace" w:hAnsi="monospace" w:eastAsia="monospace" w:cs="monospace"/>
      <w:sz w:val="20"/>
    </w:rPr>
  </w:style>
  <w:style w:type="character" w:styleId="50">
    <w:name w:val="HTML Acronym"/>
    <w:basedOn w:val="43"/>
    <w:unhideWhenUsed/>
    <w:qFormat/>
    <w:uiPriority w:val="99"/>
  </w:style>
  <w:style w:type="character" w:styleId="51">
    <w:name w:val="HTML Variable"/>
    <w:basedOn w:val="43"/>
    <w:unhideWhenUsed/>
    <w:qFormat/>
    <w:uiPriority w:val="99"/>
  </w:style>
  <w:style w:type="character" w:styleId="52">
    <w:name w:val="Hyperlink"/>
    <w:qFormat/>
    <w:uiPriority w:val="99"/>
    <w:rPr>
      <w:color w:val="0000CC"/>
      <w:u w:val="none"/>
    </w:rPr>
  </w:style>
  <w:style w:type="character" w:styleId="53">
    <w:name w:val="HTML Code"/>
    <w:unhideWhenUsed/>
    <w:qFormat/>
    <w:uiPriority w:val="99"/>
    <w:rPr>
      <w:rFonts w:ascii="Consolas" w:hAnsi="Consolas" w:eastAsia="Consolas" w:cs="Consolas"/>
      <w:sz w:val="21"/>
      <w:szCs w:val="21"/>
    </w:rPr>
  </w:style>
  <w:style w:type="character" w:styleId="54">
    <w:name w:val="annotation reference"/>
    <w:qFormat/>
    <w:uiPriority w:val="99"/>
    <w:rPr>
      <w:sz w:val="21"/>
      <w:szCs w:val="21"/>
    </w:rPr>
  </w:style>
  <w:style w:type="character" w:styleId="55">
    <w:name w:val="HTML Cite"/>
    <w:basedOn w:val="43"/>
    <w:unhideWhenUsed/>
    <w:qFormat/>
    <w:uiPriority w:val="99"/>
  </w:style>
  <w:style w:type="character" w:styleId="56">
    <w:name w:val="HTML Keyboard"/>
    <w:unhideWhenUsed/>
    <w:qFormat/>
    <w:uiPriority w:val="99"/>
    <w:rPr>
      <w:rFonts w:hint="default" w:ascii="Consolas" w:hAnsi="Consolas" w:eastAsia="Consolas" w:cs="Consolas"/>
      <w:sz w:val="21"/>
      <w:szCs w:val="21"/>
    </w:rPr>
  </w:style>
  <w:style w:type="character" w:styleId="57">
    <w:name w:val="HTML Sample"/>
    <w:unhideWhenUsed/>
    <w:qFormat/>
    <w:uiPriority w:val="99"/>
    <w:rPr>
      <w:rFonts w:hint="default" w:ascii="Consolas" w:hAnsi="Consolas" w:eastAsia="Consolas" w:cs="Consolas"/>
      <w:sz w:val="21"/>
      <w:szCs w:val="21"/>
    </w:rPr>
  </w:style>
  <w:style w:type="paragraph" w:customStyle="1" w:styleId="58">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59">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60">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63">
    <w:name w:val="Char Char Char Char"/>
    <w:basedOn w:val="16"/>
    <w:qFormat/>
    <w:uiPriority w:val="0"/>
    <w:rPr>
      <w:rFonts w:ascii="宋体" w:hAnsi="Courier New"/>
      <w:szCs w:val="20"/>
    </w:rPr>
  </w:style>
  <w:style w:type="paragraph" w:customStyle="1" w:styleId="64">
    <w:name w:val="_Style 61"/>
    <w:basedOn w:val="1"/>
    <w:next w:val="1"/>
    <w:qFormat/>
    <w:uiPriority w:val="0"/>
    <w:pPr>
      <w:pBdr>
        <w:bottom w:val="single" w:color="auto" w:sz="6" w:space="1"/>
      </w:pBdr>
      <w:jc w:val="center"/>
    </w:pPr>
    <w:rPr>
      <w:rFonts w:ascii="Arial" w:eastAsia="宋体"/>
      <w:vanish/>
      <w:sz w:val="16"/>
    </w:rPr>
  </w:style>
  <w:style w:type="paragraph" w:customStyle="1" w:styleId="6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66">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67">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8">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69">
    <w:name w:val="样式 标题 3 + 五号 黑色"/>
    <w:basedOn w:val="6"/>
    <w:link w:val="132"/>
    <w:qFormat/>
    <w:uiPriority w:val="0"/>
    <w:rPr>
      <w:color w:val="000000"/>
      <w:sz w:val="28"/>
    </w:rPr>
  </w:style>
  <w:style w:type="paragraph" w:customStyle="1" w:styleId="70">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71">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72">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73">
    <w:name w:val="_Style 72"/>
    <w:basedOn w:val="1"/>
    <w:next w:val="1"/>
    <w:qFormat/>
    <w:uiPriority w:val="0"/>
    <w:pPr>
      <w:pBdr>
        <w:top w:val="single" w:color="auto" w:sz="6" w:space="1"/>
      </w:pBdr>
      <w:jc w:val="center"/>
    </w:pPr>
    <w:rPr>
      <w:rFonts w:ascii="Arial" w:eastAsia="宋体"/>
      <w:vanish/>
      <w:sz w:val="16"/>
    </w:rPr>
  </w:style>
  <w:style w:type="paragraph" w:customStyle="1" w:styleId="74">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75">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76">
    <w:name w:val="1"/>
    <w:basedOn w:val="1"/>
    <w:next w:val="23"/>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77">
    <w:name w:val="默认段落字体 Para Char Char Char Char Char Char Char Char Char1 Char"/>
    <w:basedOn w:val="16"/>
    <w:qFormat/>
    <w:uiPriority w:val="0"/>
    <w:pPr>
      <w:adjustRightInd w:val="0"/>
      <w:spacing w:line="436" w:lineRule="exact"/>
      <w:ind w:left="357"/>
      <w:jc w:val="left"/>
      <w:outlineLvl w:val="3"/>
    </w:pPr>
    <w:rPr>
      <w:shd w:val="clear" w:color="auto" w:fill="000080"/>
    </w:rPr>
  </w:style>
  <w:style w:type="paragraph" w:customStyle="1" w:styleId="78">
    <w:name w:val="List Paragraph"/>
    <w:basedOn w:val="1"/>
    <w:qFormat/>
    <w:uiPriority w:val="34"/>
    <w:pPr>
      <w:ind w:firstLine="420" w:firstLineChars="200"/>
    </w:pPr>
  </w:style>
  <w:style w:type="paragraph" w:customStyle="1" w:styleId="79">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0">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样式 标题 2"/>
    <w:basedOn w:val="5"/>
    <w:link w:val="143"/>
    <w:qFormat/>
    <w:uiPriority w:val="0"/>
  </w:style>
  <w:style w:type="paragraph" w:customStyle="1" w:styleId="83">
    <w:name w:val="样式3"/>
    <w:basedOn w:val="23"/>
    <w:qFormat/>
    <w:uiPriority w:val="0"/>
    <w:pPr>
      <w:adjustRightInd w:val="0"/>
      <w:spacing w:line="0" w:lineRule="atLeast"/>
      <w:textAlignment w:val="baseline"/>
      <w:outlineLvl w:val="0"/>
    </w:pPr>
    <w:rPr>
      <w:sz w:val="28"/>
    </w:rPr>
  </w:style>
  <w:style w:type="paragraph" w:customStyle="1" w:styleId="84">
    <w:name w:val="列出段落2"/>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character" w:customStyle="1" w:styleId="85">
    <w:name w:val="标题 2 Char Char"/>
    <w:qFormat/>
    <w:uiPriority w:val="0"/>
    <w:rPr>
      <w:rFonts w:ascii="Arial" w:hAnsi="Arial" w:eastAsia="黑体"/>
      <w:bCs/>
      <w:sz w:val="32"/>
      <w:szCs w:val="32"/>
      <w:lang w:val="en-US" w:eastAsia="zh-CN" w:bidi="ar-SA"/>
    </w:rPr>
  </w:style>
  <w:style w:type="character" w:customStyle="1" w:styleId="86">
    <w:name w:val="纯文本 Char2"/>
    <w:qFormat/>
    <w:uiPriority w:val="99"/>
    <w:rPr>
      <w:rFonts w:ascii="宋体" w:hAnsi="Courier New" w:eastAsia="宋体"/>
      <w:kern w:val="2"/>
      <w:sz w:val="21"/>
    </w:rPr>
  </w:style>
  <w:style w:type="character" w:customStyle="1" w:styleId="87">
    <w:name w:val="last-child6"/>
    <w:basedOn w:val="43"/>
    <w:qFormat/>
    <w:uiPriority w:val="0"/>
  </w:style>
  <w:style w:type="character" w:customStyle="1" w:styleId="88">
    <w:name w:val="正文文本 2 Char"/>
    <w:link w:val="37"/>
    <w:qFormat/>
    <w:uiPriority w:val="0"/>
    <w:rPr>
      <w:rFonts w:ascii="Times New Roman" w:hAnsi="Times New Roman" w:eastAsia="宋体" w:cs="Times New Roman"/>
      <w:kern w:val="2"/>
      <w:sz w:val="21"/>
      <w:szCs w:val="24"/>
    </w:rPr>
  </w:style>
  <w:style w:type="character" w:customStyle="1" w:styleId="89">
    <w:name w:val="Char Char2"/>
    <w:qFormat/>
    <w:uiPriority w:val="0"/>
    <w:rPr>
      <w:rFonts w:ascii="宋体" w:hAnsi="Courier New" w:eastAsia="宋体" w:cs="Courier New"/>
      <w:szCs w:val="21"/>
    </w:rPr>
  </w:style>
  <w:style w:type="character" w:customStyle="1" w:styleId="90">
    <w:name w:val="正文文本缩进 2 Char"/>
    <w:link w:val="26"/>
    <w:qFormat/>
    <w:uiPriority w:val="0"/>
    <w:rPr>
      <w:rFonts w:ascii="Times New Roman" w:hAnsi="Times New Roman" w:eastAsia="宋体" w:cs="Times New Roman"/>
      <w:kern w:val="2"/>
      <w:sz w:val="21"/>
      <w:szCs w:val="24"/>
    </w:rPr>
  </w:style>
  <w:style w:type="character" w:customStyle="1" w:styleId="91">
    <w:name w:val="font51"/>
    <w:basedOn w:val="43"/>
    <w:unhideWhenUsed/>
    <w:qFormat/>
    <w:uiPriority w:val="0"/>
    <w:rPr>
      <w:rFonts w:hint="eastAsia" w:ascii="仿宋_GB2312" w:hAnsi="Times New Roman" w:eastAsia="仿宋_GB2312"/>
      <w:color w:val="000000"/>
      <w:sz w:val="24"/>
      <w:vertAlign w:val="superscript"/>
    </w:rPr>
  </w:style>
  <w:style w:type="character" w:customStyle="1" w:styleId="92">
    <w:name w:val="标题 2 Char1"/>
    <w:link w:val="5"/>
    <w:qFormat/>
    <w:uiPriority w:val="0"/>
    <w:rPr>
      <w:rFonts w:ascii="Arial" w:hAnsi="Arial" w:eastAsia="黑体" w:cs="Times New Roman"/>
      <w:bCs/>
      <w:sz w:val="32"/>
      <w:szCs w:val="32"/>
    </w:rPr>
  </w:style>
  <w:style w:type="character" w:customStyle="1" w:styleId="93">
    <w:name w:val="ant-tree-switcher"/>
    <w:basedOn w:val="43"/>
    <w:qFormat/>
    <w:uiPriority w:val="0"/>
  </w:style>
  <w:style w:type="character" w:customStyle="1" w:styleId="94">
    <w:name w:val="first-child2"/>
    <w:basedOn w:val="43"/>
    <w:qFormat/>
    <w:uiPriority w:val="0"/>
  </w:style>
  <w:style w:type="character" w:customStyle="1" w:styleId="95">
    <w:name w:val="日期 Char"/>
    <w:link w:val="25"/>
    <w:qFormat/>
    <w:uiPriority w:val="0"/>
    <w:rPr>
      <w:rFonts w:ascii="Times New Roman" w:hAnsi="Times New Roman" w:eastAsia="宋体" w:cs="Times New Roman"/>
      <w:kern w:val="2"/>
      <w:sz w:val="21"/>
      <w:szCs w:val="24"/>
    </w:rPr>
  </w:style>
  <w:style w:type="character" w:customStyle="1" w:styleId="96">
    <w:name w:val="bds_nopic1"/>
    <w:basedOn w:val="43"/>
    <w:qFormat/>
    <w:uiPriority w:val="0"/>
  </w:style>
  <w:style w:type="character" w:customStyle="1" w:styleId="97">
    <w:name w:val="font01"/>
    <w:basedOn w:val="43"/>
    <w:unhideWhenUsed/>
    <w:qFormat/>
    <w:uiPriority w:val="0"/>
    <w:rPr>
      <w:rFonts w:hint="eastAsia" w:ascii="仿宋_GB2312" w:hAnsi="Times New Roman" w:eastAsia="仿宋_GB2312"/>
      <w:color w:val="333333"/>
      <w:sz w:val="24"/>
    </w:rPr>
  </w:style>
  <w:style w:type="character" w:customStyle="1" w:styleId="98">
    <w:name w:val="ant-select-tree-iconele"/>
    <w:basedOn w:val="43"/>
    <w:qFormat/>
    <w:uiPriority w:val="0"/>
  </w:style>
  <w:style w:type="character" w:customStyle="1" w:styleId="99">
    <w:name w:val="ant-tree-icon_loading"/>
    <w:qFormat/>
    <w:uiPriority w:val="0"/>
    <w:rPr>
      <w:shd w:val="clear" w:color="auto" w:fill="FFFFFF"/>
    </w:rPr>
  </w:style>
  <w:style w:type="character" w:customStyle="1" w:styleId="100">
    <w:name w:val="font41"/>
    <w:basedOn w:val="43"/>
    <w:unhideWhenUsed/>
    <w:qFormat/>
    <w:uiPriority w:val="0"/>
    <w:rPr>
      <w:rFonts w:hint="eastAsia" w:ascii="仿宋_GB2312" w:hAnsi="Times New Roman" w:eastAsia="仿宋_GB2312"/>
      <w:color w:val="000000"/>
      <w:sz w:val="24"/>
    </w:rPr>
  </w:style>
  <w:style w:type="character" w:customStyle="1" w:styleId="101">
    <w:name w:val="ant-form-item-children1"/>
    <w:basedOn w:val="43"/>
    <w:qFormat/>
    <w:uiPriority w:val="0"/>
  </w:style>
  <w:style w:type="character" w:customStyle="1" w:styleId="102">
    <w:name w:val="temp"/>
    <w:basedOn w:val="43"/>
    <w:qFormat/>
    <w:uiPriority w:val="0"/>
  </w:style>
  <w:style w:type="character" w:customStyle="1" w:styleId="103">
    <w:name w:val="all-fit-info1"/>
    <w:qFormat/>
    <w:uiPriority w:val="0"/>
    <w:rPr>
      <w:color w:val="939393"/>
    </w:rPr>
  </w:style>
  <w:style w:type="character" w:customStyle="1" w:styleId="104">
    <w:name w:val="标题 4 Char"/>
    <w:link w:val="7"/>
    <w:qFormat/>
    <w:uiPriority w:val="0"/>
    <w:rPr>
      <w:rFonts w:ascii="Cambria" w:hAnsi="Cambria" w:eastAsia="宋体" w:cs="Times New Roman"/>
      <w:b/>
      <w:bCs/>
      <w:kern w:val="2"/>
      <w:sz w:val="28"/>
      <w:szCs w:val="28"/>
    </w:rPr>
  </w:style>
  <w:style w:type="character" w:customStyle="1" w:styleId="105">
    <w:name w:val="tag-type1"/>
    <w:qFormat/>
    <w:uiPriority w:val="0"/>
    <w:rPr>
      <w:color w:val="FFFFFF"/>
      <w:sz w:val="18"/>
      <w:szCs w:val="18"/>
      <w:shd w:val="clear" w:color="auto" w:fill="317FFD"/>
    </w:rPr>
  </w:style>
  <w:style w:type="character" w:customStyle="1" w:styleId="106">
    <w:name w:val="fontstyle31"/>
    <w:qFormat/>
    <w:uiPriority w:val="0"/>
    <w:rPr>
      <w:rFonts w:hint="default" w:ascii="Times New Roman" w:hAnsi="Times New Roman" w:cs="Times New Roman"/>
      <w:color w:val="000000"/>
      <w:sz w:val="22"/>
      <w:szCs w:val="22"/>
    </w:rPr>
  </w:style>
  <w:style w:type="character" w:customStyle="1" w:styleId="107">
    <w:name w:val="ant-tree-iconele"/>
    <w:basedOn w:val="43"/>
    <w:qFormat/>
    <w:uiPriority w:val="0"/>
  </w:style>
  <w:style w:type="character" w:customStyle="1" w:styleId="108">
    <w:name w:val="标题 3 Char"/>
    <w:link w:val="6"/>
    <w:qFormat/>
    <w:uiPriority w:val="0"/>
    <w:rPr>
      <w:rFonts w:ascii="宋体" w:hAnsi="宋体" w:eastAsia="宋体" w:cs="Times New Roman"/>
      <w:bCs/>
      <w:sz w:val="30"/>
      <w:szCs w:val="32"/>
    </w:rPr>
  </w:style>
  <w:style w:type="character" w:customStyle="1" w:styleId="109">
    <w:name w:val="last-of-type"/>
    <w:qFormat/>
    <w:uiPriority w:val="0"/>
    <w:rPr>
      <w:color w:val="FF4A44"/>
      <w:sz w:val="27"/>
      <w:szCs w:val="27"/>
    </w:rPr>
  </w:style>
  <w:style w:type="character" w:customStyle="1" w:styleId="110">
    <w:name w:val="批注文字 Char"/>
    <w:link w:val="17"/>
    <w:qFormat/>
    <w:uiPriority w:val="0"/>
    <w:rPr>
      <w:rFonts w:ascii="Times New Roman" w:hAnsi="Times New Roman" w:eastAsia="宋体" w:cs="Times New Roman"/>
      <w:kern w:val="2"/>
      <w:sz w:val="21"/>
      <w:szCs w:val="24"/>
    </w:rPr>
  </w:style>
  <w:style w:type="character" w:customStyle="1" w:styleId="111">
    <w:name w:val="bds_more2"/>
    <w:basedOn w:val="43"/>
    <w:qFormat/>
    <w:uiPriority w:val="0"/>
  </w:style>
  <w:style w:type="character" w:customStyle="1" w:styleId="112">
    <w:name w:val="标题 7 Char"/>
    <w:link w:val="10"/>
    <w:qFormat/>
    <w:uiPriority w:val="0"/>
    <w:rPr>
      <w:rFonts w:ascii="Times New Roman" w:hAnsi="Times New Roman" w:eastAsia="宋体" w:cs="Times New Roman"/>
      <w:b/>
      <w:bCs/>
      <w:sz w:val="24"/>
      <w:szCs w:val="24"/>
    </w:rPr>
  </w:style>
  <w:style w:type="character" w:customStyle="1" w:styleId="113">
    <w:name w:val="标题 5 Char"/>
    <w:link w:val="8"/>
    <w:qFormat/>
    <w:uiPriority w:val="0"/>
    <w:rPr>
      <w:rFonts w:ascii="Times New Roman" w:hAnsi="Times New Roman" w:eastAsia="宋体" w:cs="Times New Roman"/>
      <w:b/>
      <w:bCs/>
      <w:kern w:val="2"/>
      <w:sz w:val="28"/>
      <w:szCs w:val="28"/>
    </w:rPr>
  </w:style>
  <w:style w:type="character" w:customStyle="1" w:styleId="114">
    <w:name w:val="普通文字 Char Char2"/>
    <w:qFormat/>
    <w:uiPriority w:val="0"/>
    <w:rPr>
      <w:rFonts w:ascii="宋体" w:hAnsi="宋体"/>
      <w:kern w:val="1"/>
      <w:sz w:val="21"/>
      <w:lang w:eastAsia="ar-SA"/>
    </w:rPr>
  </w:style>
  <w:style w:type="character" w:customStyle="1" w:styleId="115">
    <w:name w:val="bds_nopic2"/>
    <w:basedOn w:val="43"/>
    <w:qFormat/>
    <w:uiPriority w:val="0"/>
  </w:style>
  <w:style w:type="character" w:customStyle="1" w:styleId="116">
    <w:name w:val="批注框文本 Char"/>
    <w:link w:val="27"/>
    <w:qFormat/>
    <w:uiPriority w:val="0"/>
    <w:rPr>
      <w:rFonts w:ascii="Times New Roman" w:hAnsi="Times New Roman" w:eastAsia="宋体" w:cs="Times New Roman"/>
      <w:kern w:val="2"/>
      <w:sz w:val="18"/>
      <w:szCs w:val="18"/>
    </w:rPr>
  </w:style>
  <w:style w:type="character" w:customStyle="1" w:styleId="117">
    <w:name w:val="all-fit-info"/>
    <w:qFormat/>
    <w:uiPriority w:val="0"/>
    <w:rPr>
      <w:color w:val="939393"/>
    </w:rPr>
  </w:style>
  <w:style w:type="character" w:customStyle="1" w:styleId="118">
    <w:name w:val="apple-converted-space"/>
    <w:basedOn w:val="43"/>
    <w:qFormat/>
    <w:uiPriority w:val="0"/>
  </w:style>
  <w:style w:type="character" w:customStyle="1" w:styleId="119">
    <w:name w:val="页脚 Char"/>
    <w:link w:val="28"/>
    <w:semiHidden/>
    <w:qFormat/>
    <w:uiPriority w:val="99"/>
    <w:rPr>
      <w:rFonts w:ascii="Tahoma" w:hAnsi="Tahoma"/>
      <w:sz w:val="18"/>
      <w:szCs w:val="18"/>
    </w:rPr>
  </w:style>
  <w:style w:type="character" w:customStyle="1" w:styleId="120">
    <w:name w:val="bds_more"/>
    <w:qFormat/>
    <w:uiPriority w:val="0"/>
    <w:rPr>
      <w:rFonts w:hint="eastAsia" w:ascii="宋体" w:hAnsi="宋体" w:eastAsia="宋体" w:cs="宋体"/>
    </w:rPr>
  </w:style>
  <w:style w:type="character" w:customStyle="1" w:styleId="121">
    <w:name w:val="info-label"/>
    <w:qFormat/>
    <w:uiPriority w:val="0"/>
    <w:rPr>
      <w:b/>
    </w:rPr>
  </w:style>
  <w:style w:type="character" w:customStyle="1" w:styleId="122">
    <w:name w:val="标题 2 Char"/>
    <w:qFormat/>
    <w:uiPriority w:val="0"/>
    <w:rPr>
      <w:rFonts w:ascii="Cambria" w:hAnsi="Cambria" w:eastAsia="宋体" w:cs="Times New Roman"/>
      <w:b/>
      <w:bCs/>
      <w:sz w:val="32"/>
      <w:szCs w:val="32"/>
    </w:rPr>
  </w:style>
  <w:style w:type="character" w:customStyle="1" w:styleId="123">
    <w:name w:val="last-child7"/>
    <w:basedOn w:val="43"/>
    <w:qFormat/>
    <w:uiPriority w:val="0"/>
  </w:style>
  <w:style w:type="character" w:customStyle="1" w:styleId="124">
    <w:name w:val="info-content"/>
    <w:qFormat/>
    <w:uiPriority w:val="0"/>
    <w:rPr>
      <w:color w:val="808080"/>
    </w:rPr>
  </w:style>
  <w:style w:type="character" w:customStyle="1" w:styleId="125">
    <w:name w:val="all-fit-info2"/>
    <w:qFormat/>
    <w:uiPriority w:val="0"/>
    <w:rPr>
      <w:color w:val="939393"/>
    </w:rPr>
  </w:style>
  <w:style w:type="character" w:customStyle="1" w:styleId="126">
    <w:name w:val="文档结构图 Char"/>
    <w:link w:val="16"/>
    <w:semiHidden/>
    <w:qFormat/>
    <w:uiPriority w:val="0"/>
    <w:rPr>
      <w:rFonts w:ascii="Times New Roman" w:hAnsi="Times New Roman" w:eastAsia="宋体" w:cs="Times New Roman"/>
      <w:kern w:val="2"/>
      <w:sz w:val="21"/>
      <w:szCs w:val="24"/>
      <w:shd w:val="clear" w:color="auto" w:fill="000080"/>
    </w:rPr>
  </w:style>
  <w:style w:type="character" w:customStyle="1" w:styleId="127">
    <w:name w:val="标题 1 Char"/>
    <w:link w:val="4"/>
    <w:qFormat/>
    <w:uiPriority w:val="0"/>
    <w:rPr>
      <w:rFonts w:ascii="黑体" w:hAnsi="Times New Roman" w:eastAsia="黑体" w:cs="Times New Roman"/>
      <w:sz w:val="36"/>
      <w:szCs w:val="20"/>
    </w:rPr>
  </w:style>
  <w:style w:type="character" w:customStyle="1" w:styleId="128">
    <w:name w:val="label2"/>
    <w:basedOn w:val="43"/>
    <w:qFormat/>
    <w:uiPriority w:val="0"/>
  </w:style>
  <w:style w:type="character" w:customStyle="1" w:styleId="129">
    <w:name w:val="ant-tree-checkbox"/>
    <w:basedOn w:val="43"/>
    <w:qFormat/>
    <w:uiPriority w:val="0"/>
  </w:style>
  <w:style w:type="character" w:customStyle="1" w:styleId="130">
    <w:name w:val="current1"/>
    <w:qFormat/>
    <w:uiPriority w:val="0"/>
    <w:rPr>
      <w:color w:val="00C1DE"/>
    </w:rPr>
  </w:style>
  <w:style w:type="character" w:customStyle="1" w:styleId="131">
    <w:name w:val="fontstyle01"/>
    <w:qFormat/>
    <w:uiPriority w:val="0"/>
    <w:rPr>
      <w:rFonts w:hint="eastAsia" w:ascii="宋体" w:hAnsi="宋体" w:eastAsia="宋体"/>
      <w:color w:val="000000"/>
      <w:sz w:val="22"/>
      <w:szCs w:val="22"/>
    </w:rPr>
  </w:style>
  <w:style w:type="character" w:customStyle="1" w:styleId="132">
    <w:name w:val="样式 标题 3 + 五号 黑色 Char"/>
    <w:link w:val="69"/>
    <w:qFormat/>
    <w:uiPriority w:val="0"/>
    <w:rPr>
      <w:rFonts w:ascii="宋体" w:hAnsi="宋体"/>
      <w:bCs/>
      <w:color w:val="000000"/>
      <w:sz w:val="28"/>
      <w:szCs w:val="32"/>
    </w:rPr>
  </w:style>
  <w:style w:type="character" w:customStyle="1" w:styleId="133">
    <w:name w:val="change-camera-place"/>
    <w:qFormat/>
    <w:uiPriority w:val="0"/>
    <w:rPr>
      <w:color w:val="3177FD"/>
    </w:rPr>
  </w:style>
  <w:style w:type="character" w:customStyle="1" w:styleId="134">
    <w:name w:val="正文文本缩进 3 Char"/>
    <w:link w:val="34"/>
    <w:qFormat/>
    <w:uiPriority w:val="0"/>
    <w:rPr>
      <w:rFonts w:ascii="宋体" w:hAnsi="Courier New" w:eastAsia="宋体" w:cs="Courier New"/>
      <w:kern w:val="2"/>
      <w:sz w:val="21"/>
      <w:szCs w:val="24"/>
    </w:rPr>
  </w:style>
  <w:style w:type="character" w:customStyle="1" w:styleId="135">
    <w:name w:val="正文文本 Char"/>
    <w:link w:val="18"/>
    <w:qFormat/>
    <w:uiPriority w:val="0"/>
    <w:rPr>
      <w:rFonts w:ascii="Times New Roman" w:hAnsi="Times New Roman" w:eastAsia="宋体" w:cs="Times New Roman"/>
      <w:kern w:val="2"/>
      <w:sz w:val="52"/>
      <w:szCs w:val="24"/>
    </w:rPr>
  </w:style>
  <w:style w:type="character" w:customStyle="1" w:styleId="136">
    <w:name w:val="bds_more1"/>
    <w:basedOn w:val="43"/>
    <w:qFormat/>
    <w:uiPriority w:val="0"/>
  </w:style>
  <w:style w:type="character" w:customStyle="1" w:styleId="137">
    <w:name w:val="纯文本 Char"/>
    <w:link w:val="23"/>
    <w:qFormat/>
    <w:uiPriority w:val="0"/>
    <w:rPr>
      <w:rFonts w:ascii="宋体" w:hAnsi="Courier New" w:eastAsia="宋体" w:cs="Courier New"/>
      <w:sz w:val="21"/>
      <w:szCs w:val="21"/>
    </w:rPr>
  </w:style>
  <w:style w:type="character" w:customStyle="1" w:styleId="138">
    <w:name w:val="正文文本缩进 Char"/>
    <w:link w:val="19"/>
    <w:qFormat/>
    <w:uiPriority w:val="0"/>
    <w:rPr>
      <w:rFonts w:ascii="宋体" w:hAnsi="宋体" w:eastAsia="宋体" w:cs="Courier New"/>
      <w:spacing w:val="2"/>
      <w:kern w:val="2"/>
      <w:sz w:val="21"/>
      <w:szCs w:val="24"/>
    </w:rPr>
  </w:style>
  <w:style w:type="character" w:customStyle="1" w:styleId="139">
    <w:name w:val="批注主题 Char"/>
    <w:link w:val="40"/>
    <w:semiHidden/>
    <w:qFormat/>
    <w:uiPriority w:val="0"/>
    <w:rPr>
      <w:rFonts w:ascii="Times New Roman" w:hAnsi="Times New Roman" w:eastAsia="宋体" w:cs="Times New Roman"/>
      <w:b/>
      <w:bCs/>
      <w:kern w:val="2"/>
      <w:sz w:val="21"/>
      <w:szCs w:val="24"/>
    </w:rPr>
  </w:style>
  <w:style w:type="character" w:customStyle="1" w:styleId="140">
    <w:name w:val="标题 8 Char"/>
    <w:link w:val="11"/>
    <w:qFormat/>
    <w:uiPriority w:val="0"/>
    <w:rPr>
      <w:rFonts w:ascii="Arial" w:hAnsi="Arial" w:eastAsia="黑体" w:cs="Times New Roman"/>
      <w:sz w:val="24"/>
      <w:szCs w:val="24"/>
    </w:rPr>
  </w:style>
  <w:style w:type="character" w:customStyle="1" w:styleId="141">
    <w:name w:val="正文缩进 Char"/>
    <w:link w:val="15"/>
    <w:qFormat/>
    <w:locked/>
    <w:uiPriority w:val="0"/>
    <w:rPr>
      <w:kern w:val="2"/>
      <w:sz w:val="21"/>
    </w:rPr>
  </w:style>
  <w:style w:type="character" w:customStyle="1" w:styleId="142">
    <w:name w:val="current"/>
    <w:qFormat/>
    <w:uiPriority w:val="0"/>
    <w:rPr>
      <w:color w:val="00C1DE"/>
    </w:rPr>
  </w:style>
  <w:style w:type="character" w:customStyle="1" w:styleId="143">
    <w:name w:val="样式 标题 2 Char"/>
    <w:basedOn w:val="92"/>
    <w:link w:val="82"/>
    <w:qFormat/>
    <w:uiPriority w:val="0"/>
  </w:style>
  <w:style w:type="character" w:customStyle="1" w:styleId="144">
    <w:name w:val="ant-select-tree-switcher"/>
    <w:basedOn w:val="43"/>
    <w:qFormat/>
    <w:uiPriority w:val="0"/>
  </w:style>
  <w:style w:type="character" w:customStyle="1" w:styleId="145">
    <w:name w:val="content8"/>
    <w:basedOn w:val="43"/>
    <w:qFormat/>
    <w:uiPriority w:val="0"/>
  </w:style>
  <w:style w:type="character" w:customStyle="1" w:styleId="146">
    <w:name w:val="bds_nopic"/>
    <w:basedOn w:val="43"/>
    <w:qFormat/>
    <w:uiPriority w:val="0"/>
  </w:style>
  <w:style w:type="character" w:customStyle="1" w:styleId="147">
    <w:name w:val="标题 6 Char"/>
    <w:link w:val="9"/>
    <w:qFormat/>
    <w:uiPriority w:val="0"/>
    <w:rPr>
      <w:rFonts w:ascii="Arial" w:hAnsi="Arial" w:eastAsia="黑体" w:cs="Times New Roman"/>
      <w:b/>
      <w:bCs/>
      <w:sz w:val="24"/>
      <w:szCs w:val="24"/>
    </w:rPr>
  </w:style>
  <w:style w:type="character" w:customStyle="1" w:styleId="148">
    <w:name w:val="页眉 Char"/>
    <w:link w:val="29"/>
    <w:semiHidden/>
    <w:qFormat/>
    <w:uiPriority w:val="99"/>
    <w:rPr>
      <w:rFonts w:ascii="Tahoma" w:hAnsi="Tahoma"/>
      <w:sz w:val="18"/>
      <w:szCs w:val="18"/>
    </w:rPr>
  </w:style>
  <w:style w:type="character" w:customStyle="1" w:styleId="149">
    <w:name w:val="last-child8"/>
    <w:basedOn w:val="43"/>
    <w:qFormat/>
    <w:uiPriority w:val="0"/>
  </w:style>
  <w:style w:type="character" w:customStyle="1" w:styleId="150">
    <w:name w:val="纯文本 Char1"/>
    <w:qFormat/>
    <w:uiPriority w:val="0"/>
    <w:rPr>
      <w:rFonts w:ascii="宋体" w:hAnsi="Courier New" w:eastAsia="宋体"/>
      <w:kern w:val="2"/>
      <w:sz w:val="21"/>
    </w:rPr>
  </w:style>
  <w:style w:type="character" w:customStyle="1" w:styleId="151">
    <w:name w:val="last-child9"/>
    <w:basedOn w:val="43"/>
    <w:qFormat/>
    <w:uiPriority w:val="0"/>
  </w:style>
  <w:style w:type="character" w:customStyle="1" w:styleId="152">
    <w:name w:val="tag-type"/>
    <w:qFormat/>
    <w:uiPriority w:val="0"/>
    <w:rPr>
      <w:color w:val="FFFFFF"/>
      <w:sz w:val="18"/>
      <w:szCs w:val="18"/>
      <w:shd w:val="clear" w:color="auto" w:fill="317FFD"/>
    </w:rPr>
  </w:style>
  <w:style w:type="character" w:customStyle="1" w:styleId="153">
    <w:name w:val="标题 9 Char"/>
    <w:link w:val="12"/>
    <w:qFormat/>
    <w:uiPriority w:val="0"/>
    <w:rPr>
      <w:rFonts w:ascii="Arial" w:hAnsi="Arial" w:eastAsia="黑体" w:cs="Times New Roman"/>
      <w:sz w:val="21"/>
      <w:szCs w:val="21"/>
    </w:rPr>
  </w:style>
  <w:style w:type="character" w:customStyle="1" w:styleId="154">
    <w:name w:val="fontstyle21"/>
    <w:qFormat/>
    <w:uiPriority w:val="0"/>
    <w:rPr>
      <w:rFonts w:hint="default" w:ascii="Times New Roman" w:hAnsi="Times New Roman" w:cs="Times New Roman"/>
      <w:b/>
      <w:bCs/>
      <w:color w:val="000000"/>
      <w:sz w:val="22"/>
      <w:szCs w:val="22"/>
    </w:rPr>
  </w:style>
  <w:style w:type="character" w:customStyle="1" w:styleId="155">
    <w:name w:val="ant-badge-status-dot2"/>
    <w:qFormat/>
    <w:uiPriority w:val="0"/>
    <w:rPr>
      <w:shd w:val="clear" w:color="auto" w:fill="FFFFFF"/>
    </w:rPr>
  </w:style>
  <w:style w:type="character" w:customStyle="1" w:styleId="156">
    <w:name w:val="font111"/>
    <w:basedOn w:val="43"/>
    <w:unhideWhenUsed/>
    <w:qFormat/>
    <w:uiPriority w:val="0"/>
    <w:rPr>
      <w:rFonts w:hint="eastAsia" w:ascii="仿宋_GB2312" w:hAnsi="Times New Roman" w:eastAsia="仿宋_GB2312"/>
      <w:color w:val="000000"/>
      <w:sz w:val="24"/>
    </w:rPr>
  </w:style>
  <w:style w:type="character" w:customStyle="1" w:styleId="157">
    <w:name w:val="ant-select-tree-checkbox"/>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4990</Words>
  <Characters>28447</Characters>
  <Lines>237</Lines>
  <Paragraphs>66</Paragraphs>
  <TotalTime>13</TotalTime>
  <ScaleCrop>false</ScaleCrop>
  <LinksUpToDate>false</LinksUpToDate>
  <CharactersWithSpaces>33371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2020-06-16T09:24:00Z</dcterms:created>
  <dc:creator>Administrator</dc:creator>
  <cp:lastModifiedBy>农成浩</cp:lastModifiedBy>
  <cp:lastPrinted>2020-07-20T01:44:00Z</cp:lastPrinted>
  <dcterms:modified xsi:type="dcterms:W3CDTF">2020-07-26T09:48:23Z</dcterms:modified>
  <dc:title>广西桂水工程咨询有限公司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