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color w:val="auto"/>
          <w:sz w:val="44"/>
          <w:szCs w:val="44"/>
          <w:highlight w:val="none"/>
        </w:rPr>
      </w:pPr>
      <w:bookmarkStart w:id="168" w:name="_GoBack"/>
      <w:bookmarkEnd w:id="168"/>
    </w:p>
    <w:p>
      <w:pPr>
        <w:jc w:val="center"/>
        <w:rPr>
          <w:rFonts w:ascii="宋体" w:hAnsi="宋体" w:eastAsia="宋体"/>
          <w:b/>
          <w:color w:val="auto"/>
          <w:sz w:val="56"/>
          <w:highlight w:val="none"/>
        </w:rPr>
      </w:pPr>
      <w:r>
        <w:rPr>
          <w:rFonts w:hint="eastAsia" w:ascii="宋体" w:hAnsi="宋体" w:eastAsia="宋体"/>
          <w:b/>
          <w:color w:val="auto"/>
          <w:sz w:val="56"/>
          <w:highlight w:val="none"/>
        </w:rPr>
        <w:t>广西睿翼工程咨询有限公司</w:t>
      </w:r>
    </w:p>
    <w:p>
      <w:pPr>
        <w:pStyle w:val="2"/>
        <w:rPr>
          <w:rFonts w:ascii="宋体" w:hAnsi="宋体"/>
          <w:b/>
          <w:bCs/>
          <w:color w:val="auto"/>
          <w:sz w:val="10"/>
          <w:highlight w:val="none"/>
        </w:rPr>
      </w:pPr>
    </w:p>
    <w:p>
      <w:pPr>
        <w:pStyle w:val="2"/>
        <w:rPr>
          <w:rFonts w:ascii="宋体" w:hAnsi="宋体"/>
          <w:color w:val="auto"/>
          <w:sz w:val="72"/>
          <w:highlight w:val="none"/>
        </w:rPr>
      </w:pPr>
      <w:r>
        <w:rPr>
          <w:rFonts w:ascii="宋体" w:hAnsi="宋体"/>
          <w:color w:val="auto"/>
          <w:sz w:val="20"/>
          <w:highlight w:val="none"/>
          <w:u w:val="single"/>
        </w:rPr>
        <mc:AlternateContent>
          <mc:Choice Requires="wps">
            <w:drawing>
              <wp:anchor distT="0" distB="0" distL="114300" distR="114300" simplePos="0" relativeHeight="251660288" behindDoc="0" locked="0" layoutInCell="1" allowOverlap="1">
                <wp:simplePos x="0" y="0"/>
                <wp:positionH relativeFrom="column">
                  <wp:posOffset>165100</wp:posOffset>
                </wp:positionH>
                <wp:positionV relativeFrom="paragraph">
                  <wp:posOffset>154940</wp:posOffset>
                </wp:positionV>
                <wp:extent cx="5652135" cy="0"/>
                <wp:effectExtent l="0" t="13970" r="5715" b="24130"/>
                <wp:wrapNone/>
                <wp:docPr id="4" name="直线 4"/>
                <wp:cNvGraphicFramePr/>
                <a:graphic xmlns:a="http://schemas.openxmlformats.org/drawingml/2006/main">
                  <a:graphicData uri="http://schemas.microsoft.com/office/word/2010/wordprocessingShape">
                    <wps:wsp>
                      <wps:cNvCnPr>
                        <a:cxnSpLocks noChangeShapeType="1"/>
                      </wps:cNvCnPr>
                      <wps:spPr bwMode="auto">
                        <a:xfrm flipV="1">
                          <a:off x="0" y="0"/>
                          <a:ext cx="5652135" cy="0"/>
                        </a:xfrm>
                        <a:prstGeom prst="line">
                          <a:avLst/>
                        </a:prstGeom>
                        <a:noFill/>
                        <a:ln w="28575">
                          <a:solidFill>
                            <a:srgbClr val="000000"/>
                          </a:solidFill>
                          <a:round/>
                        </a:ln>
                        <a:effectLst/>
                      </wps:spPr>
                      <wps:bodyPr/>
                    </wps:wsp>
                  </a:graphicData>
                </a:graphic>
              </wp:anchor>
            </w:drawing>
          </mc:Choice>
          <mc:Fallback>
            <w:pict>
              <v:line id="直线 4" o:spid="_x0000_s1026" o:spt="20" style="position:absolute;left:0pt;flip:y;margin-left:13pt;margin-top:12.2pt;height:0pt;width:445.05pt;z-index:251660288;mso-width-relative:page;mso-height-relative:page;" filled="f" stroked="t" coordsize="21600,21600" o:gfxdata="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zqCMv1gAAAAgB&#10;AAAPAAAAAAAAAAEAIAAAACIAAABkcnMvZG93bnJldi54bWxQSwECFAAUAAAACACHTuJATYjMmOQB&#10;AAC6AwAADgAAAAAAAAABACAAAAAlAQAAZHJzL2Uyb0RvYy54bWxQSwUGAAAAAAYABgBZAQAAewUA&#10;AAAA&#10;">
                <v:fill on="f" focussize="0,0"/>
                <v:stroke weight="2.25pt" color="#000000" joinstyle="round"/>
                <v:imagedata o:title=""/>
                <o:lock v:ext="edit" aspectratio="f"/>
              </v:line>
            </w:pict>
          </mc:Fallback>
        </mc:AlternateContent>
      </w:r>
    </w:p>
    <w:p>
      <w:pPr>
        <w:pStyle w:val="2"/>
        <w:rPr>
          <w:rFonts w:ascii="宋体" w:hAnsi="宋体"/>
          <w:color w:val="auto"/>
          <w:sz w:val="72"/>
          <w:highlight w:val="none"/>
        </w:rPr>
      </w:pPr>
    </w:p>
    <w:p>
      <w:pPr>
        <w:pStyle w:val="2"/>
        <w:rPr>
          <w:rFonts w:ascii="宋体" w:hAnsi="宋体"/>
          <w:color w:val="auto"/>
          <w:sz w:val="11"/>
          <w:szCs w:val="11"/>
          <w:highlight w:val="none"/>
        </w:rPr>
      </w:pPr>
    </w:p>
    <w:p>
      <w:pPr>
        <w:pStyle w:val="2"/>
        <w:rPr>
          <w:rFonts w:ascii="宋体" w:hAnsi="宋体"/>
          <w:b/>
          <w:bCs/>
          <w:color w:val="auto"/>
          <w:sz w:val="96"/>
          <w:szCs w:val="96"/>
          <w:highlight w:val="none"/>
        </w:rPr>
      </w:pPr>
      <w:r>
        <w:rPr>
          <w:rFonts w:hint="eastAsia" w:ascii="宋体" w:hAnsi="宋体"/>
          <w:b/>
          <w:bCs/>
          <w:color w:val="auto"/>
          <w:sz w:val="96"/>
          <w:szCs w:val="96"/>
          <w:highlight w:val="none"/>
        </w:rPr>
        <w:t>竞争性谈判文件</w:t>
      </w:r>
    </w:p>
    <w:p>
      <w:pPr>
        <w:pStyle w:val="2"/>
        <w:rPr>
          <w:rFonts w:ascii="宋体" w:hAnsi="宋体"/>
          <w:color w:val="auto"/>
          <w:sz w:val="21"/>
          <w:szCs w:val="21"/>
          <w:highlight w:val="none"/>
        </w:rPr>
      </w:pPr>
    </w:p>
    <w:p>
      <w:pPr>
        <w:pStyle w:val="2"/>
        <w:rPr>
          <w:rFonts w:ascii="宋体" w:hAnsi="宋体"/>
          <w:color w:val="auto"/>
          <w:sz w:val="21"/>
          <w:szCs w:val="21"/>
          <w:highlight w:val="none"/>
        </w:rPr>
      </w:pPr>
    </w:p>
    <w:p>
      <w:pPr>
        <w:pStyle w:val="2"/>
        <w:rPr>
          <w:rFonts w:ascii="宋体" w:hAnsi="宋体"/>
          <w:color w:val="auto"/>
          <w:sz w:val="21"/>
          <w:szCs w:val="21"/>
          <w:highlight w:val="none"/>
        </w:rPr>
      </w:pPr>
    </w:p>
    <w:p>
      <w:pPr>
        <w:pStyle w:val="2"/>
        <w:rPr>
          <w:rFonts w:ascii="宋体" w:hAnsi="宋体"/>
          <w:color w:val="auto"/>
          <w:sz w:val="21"/>
          <w:szCs w:val="21"/>
          <w:highlight w:val="none"/>
        </w:rPr>
      </w:pPr>
    </w:p>
    <w:p>
      <w:pPr>
        <w:pStyle w:val="2"/>
        <w:rPr>
          <w:rFonts w:ascii="宋体" w:hAnsi="宋体"/>
          <w:color w:val="auto"/>
          <w:sz w:val="21"/>
          <w:szCs w:val="21"/>
          <w:highlight w:val="none"/>
        </w:rPr>
      </w:pPr>
    </w:p>
    <w:p>
      <w:pPr>
        <w:pStyle w:val="2"/>
        <w:rPr>
          <w:rFonts w:ascii="宋体" w:hAnsi="宋体"/>
          <w:color w:val="auto"/>
          <w:sz w:val="21"/>
          <w:szCs w:val="21"/>
          <w:highlight w:val="none"/>
        </w:rPr>
      </w:pPr>
    </w:p>
    <w:p>
      <w:pPr>
        <w:pStyle w:val="2"/>
        <w:rPr>
          <w:rFonts w:ascii="宋体" w:hAnsi="宋体"/>
          <w:color w:val="auto"/>
          <w:sz w:val="21"/>
          <w:szCs w:val="21"/>
          <w:highlight w:val="none"/>
        </w:rPr>
      </w:pPr>
    </w:p>
    <w:p>
      <w:pPr>
        <w:pStyle w:val="2"/>
        <w:rPr>
          <w:rFonts w:ascii="宋体" w:hAnsi="宋体"/>
          <w:color w:val="auto"/>
          <w:sz w:val="21"/>
          <w:szCs w:val="21"/>
          <w:highlight w:val="none"/>
        </w:rPr>
      </w:pPr>
    </w:p>
    <w:p>
      <w:pPr>
        <w:pStyle w:val="2"/>
        <w:rPr>
          <w:rFonts w:ascii="宋体" w:hAnsi="宋体"/>
          <w:color w:val="auto"/>
          <w:sz w:val="21"/>
          <w:szCs w:val="21"/>
          <w:highlight w:val="none"/>
        </w:rPr>
      </w:pPr>
    </w:p>
    <w:p>
      <w:pPr>
        <w:pStyle w:val="2"/>
        <w:rPr>
          <w:rFonts w:ascii="宋体" w:hAnsi="宋体"/>
          <w:color w:val="auto"/>
          <w:sz w:val="21"/>
          <w:szCs w:val="21"/>
          <w:highlight w:val="none"/>
        </w:rPr>
      </w:pPr>
    </w:p>
    <w:p>
      <w:pPr>
        <w:pStyle w:val="2"/>
        <w:rPr>
          <w:rFonts w:ascii="宋体" w:hAnsi="宋体"/>
          <w:color w:val="auto"/>
          <w:sz w:val="21"/>
          <w:szCs w:val="21"/>
          <w:highlight w:val="none"/>
        </w:rPr>
      </w:pPr>
    </w:p>
    <w:p>
      <w:pPr>
        <w:pStyle w:val="2"/>
        <w:rPr>
          <w:rFonts w:ascii="宋体" w:hAnsi="宋体"/>
          <w:color w:val="auto"/>
          <w:sz w:val="21"/>
          <w:szCs w:val="21"/>
          <w:highlight w:val="none"/>
        </w:rPr>
      </w:pPr>
    </w:p>
    <w:p>
      <w:pPr>
        <w:pStyle w:val="2"/>
        <w:rPr>
          <w:rFonts w:ascii="宋体" w:hAnsi="宋体"/>
          <w:color w:val="auto"/>
          <w:sz w:val="21"/>
          <w:szCs w:val="21"/>
          <w:highlight w:val="none"/>
        </w:rPr>
      </w:pPr>
    </w:p>
    <w:p>
      <w:pPr>
        <w:pStyle w:val="2"/>
        <w:rPr>
          <w:rFonts w:ascii="宋体" w:hAnsi="宋体"/>
          <w:color w:val="auto"/>
          <w:sz w:val="21"/>
          <w:szCs w:val="21"/>
          <w:highlight w:val="none"/>
        </w:rPr>
      </w:pPr>
    </w:p>
    <w:p>
      <w:pPr>
        <w:pStyle w:val="2"/>
        <w:rPr>
          <w:rFonts w:ascii="宋体" w:hAnsi="宋体"/>
          <w:color w:val="auto"/>
          <w:sz w:val="21"/>
          <w:szCs w:val="21"/>
          <w:highlight w:val="none"/>
        </w:rPr>
      </w:pPr>
    </w:p>
    <w:p>
      <w:pPr>
        <w:pStyle w:val="2"/>
        <w:rPr>
          <w:rFonts w:ascii="宋体" w:hAnsi="宋体"/>
          <w:color w:val="auto"/>
          <w:sz w:val="21"/>
          <w:szCs w:val="21"/>
          <w:highlight w:val="none"/>
        </w:rPr>
      </w:pPr>
      <w:r>
        <w:rPr>
          <w:rFonts w:ascii="宋体" w:hAnsi="宋体"/>
          <w:color w:val="auto"/>
          <w:sz w:val="20"/>
          <w:highlight w:val="none"/>
          <w:u w:val="single"/>
        </w:rPr>
        <mc:AlternateContent>
          <mc:Choice Requires="wps">
            <w:drawing>
              <wp:anchor distT="0" distB="0" distL="114300" distR="114300" simplePos="0" relativeHeight="251659264" behindDoc="0" locked="0" layoutInCell="1" allowOverlap="1">
                <wp:simplePos x="0" y="0"/>
                <wp:positionH relativeFrom="column">
                  <wp:posOffset>165100</wp:posOffset>
                </wp:positionH>
                <wp:positionV relativeFrom="paragraph">
                  <wp:posOffset>177800</wp:posOffset>
                </wp:positionV>
                <wp:extent cx="5652135" cy="0"/>
                <wp:effectExtent l="0" t="13970" r="5715" b="24130"/>
                <wp:wrapNone/>
                <wp:docPr id="2" name="直线 3"/>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28575">
                          <a:solidFill>
                            <a:srgbClr val="000000"/>
                          </a:solidFill>
                          <a:round/>
                        </a:ln>
                        <a:effectLst/>
                      </wps:spPr>
                      <wps:bodyPr/>
                    </wps:wsp>
                  </a:graphicData>
                </a:graphic>
              </wp:anchor>
            </w:drawing>
          </mc:Choice>
          <mc:Fallback>
            <w:pict>
              <v:line id="直线 3" o:spid="_x0000_s1026" o:spt="20" style="position:absolute;left:0pt;margin-left:13pt;margin-top:14pt;height:0pt;width:445.05pt;z-index:251659264;mso-width-relative:page;mso-height-relative:page;" filled="f" stroked="t" coordsize="21600,21600" o:gfxdata="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Umr9W1QAAAAgBAAAPAAAAAAAA&#10;AAEAIAAAACIAAABkcnMvZG93bnJldi54bWxQSwECFAAUAAAACACHTuJAvgVZE9wBAACwAwAADgAA&#10;AAAAAAABACAAAAAkAQAAZHJzL2Uyb0RvYy54bWxQSwUGAAAAAAYABgBZAQAAcgUAAAAA&#10;">
                <v:fill on="f" focussize="0,0"/>
                <v:stroke weight="2.25pt" color="#000000" joinstyle="round"/>
                <v:imagedata o:title=""/>
                <o:lock v:ext="edit" aspectratio="f"/>
              </v:line>
            </w:pict>
          </mc:Fallback>
        </mc:AlternateContent>
      </w:r>
    </w:p>
    <w:p>
      <w:pPr>
        <w:spacing w:after="0" w:line="600" w:lineRule="exact"/>
        <w:ind w:left="2269" w:leftChars="304" w:hanging="1600" w:hangingChars="500"/>
        <w:rPr>
          <w:rFonts w:hint="eastAsia" w:ascii="宋体" w:hAnsi="宋体" w:eastAsia="宋体"/>
          <w:color w:val="auto"/>
          <w:sz w:val="32"/>
          <w:highlight w:val="none"/>
          <w:lang w:eastAsia="zh-CN"/>
        </w:rPr>
      </w:pPr>
      <w:r>
        <w:rPr>
          <w:rFonts w:hint="eastAsia" w:ascii="宋体" w:hAnsi="宋体" w:eastAsia="宋体"/>
          <w:color w:val="auto"/>
          <w:sz w:val="32"/>
          <w:highlight w:val="none"/>
        </w:rPr>
        <w:t>项目名称：</w:t>
      </w:r>
      <w:r>
        <w:rPr>
          <w:rFonts w:hint="eastAsia" w:ascii="宋体" w:hAnsi="宋体" w:eastAsia="宋体"/>
          <w:color w:val="auto"/>
          <w:sz w:val="32"/>
          <w:highlight w:val="none"/>
          <w:lang w:eastAsia="zh-CN"/>
        </w:rPr>
        <w:t xml:space="preserve">大化县公安局办公设备、户籍设备、刑事技术设备采购  </w:t>
      </w:r>
    </w:p>
    <w:p>
      <w:pPr>
        <w:pStyle w:val="2"/>
        <w:spacing w:line="600" w:lineRule="exact"/>
        <w:ind w:firstLine="640" w:firstLineChars="200"/>
        <w:jc w:val="both"/>
        <w:rPr>
          <w:rFonts w:hint="eastAsia" w:ascii="宋体" w:hAnsi="宋体" w:eastAsia="宋体"/>
          <w:color w:val="auto"/>
          <w:sz w:val="32"/>
          <w:highlight w:val="none"/>
          <w:lang w:eastAsia="zh-CN"/>
        </w:rPr>
      </w:pPr>
      <w:r>
        <w:rPr>
          <w:rFonts w:hint="eastAsia" w:ascii="宋体" w:hAnsi="宋体"/>
          <w:color w:val="auto"/>
          <w:sz w:val="32"/>
          <w:highlight w:val="none"/>
        </w:rPr>
        <w:t>采购编号：</w:t>
      </w:r>
      <w:r>
        <w:rPr>
          <w:rFonts w:hint="eastAsia" w:ascii="宋体" w:hAnsi="宋体"/>
          <w:color w:val="auto"/>
          <w:sz w:val="32"/>
          <w:highlight w:val="none"/>
          <w:lang w:eastAsia="zh-CN"/>
        </w:rPr>
        <w:t>HCZC2020-J1-290331-GXRY</w:t>
      </w:r>
    </w:p>
    <w:p>
      <w:pPr>
        <w:spacing w:after="0" w:line="600" w:lineRule="exact"/>
        <w:ind w:firstLine="640" w:firstLineChars="200"/>
        <w:rPr>
          <w:rFonts w:hint="eastAsia" w:ascii="宋体" w:hAnsi="宋体" w:eastAsia="宋体"/>
          <w:color w:val="auto"/>
          <w:sz w:val="32"/>
          <w:highlight w:val="none"/>
          <w:lang w:eastAsia="zh-CN"/>
        </w:rPr>
      </w:pPr>
      <w:r>
        <w:rPr>
          <w:rFonts w:hint="eastAsia" w:ascii="宋体" w:hAnsi="宋体" w:eastAsia="宋体"/>
          <w:color w:val="auto"/>
          <w:sz w:val="32"/>
          <w:highlight w:val="none"/>
        </w:rPr>
        <w:t>采购人：</w:t>
      </w:r>
      <w:r>
        <w:rPr>
          <w:rFonts w:hint="eastAsia" w:ascii="宋体" w:hAnsi="宋体" w:eastAsia="宋体"/>
          <w:bCs/>
          <w:color w:val="auto"/>
          <w:sz w:val="32"/>
          <w:szCs w:val="32"/>
          <w:highlight w:val="none"/>
          <w:lang w:eastAsia="zh-CN"/>
        </w:rPr>
        <w:t>大化瑶族自治县公安局</w:t>
      </w:r>
    </w:p>
    <w:p>
      <w:pPr>
        <w:pStyle w:val="2"/>
        <w:spacing w:line="600" w:lineRule="exact"/>
        <w:ind w:right="-273" w:rightChars="-124" w:firstLine="640" w:firstLineChars="200"/>
        <w:jc w:val="both"/>
        <w:rPr>
          <w:rFonts w:ascii="宋体" w:hAnsi="宋体"/>
          <w:color w:val="auto"/>
          <w:sz w:val="32"/>
          <w:highlight w:val="none"/>
        </w:rPr>
      </w:pPr>
      <w:r>
        <w:rPr>
          <w:rFonts w:hint="eastAsia" w:ascii="宋体" w:hAnsi="宋体"/>
          <w:color w:val="auto"/>
          <w:sz w:val="32"/>
          <w:highlight w:val="none"/>
        </w:rPr>
        <w:t>采购代理机构：广西睿翼工程咨询有限公司</w:t>
      </w:r>
    </w:p>
    <w:p>
      <w:pPr>
        <w:spacing w:after="0" w:line="600" w:lineRule="exact"/>
        <w:jc w:val="center"/>
        <w:rPr>
          <w:rFonts w:ascii="宋体" w:hAnsi="宋体" w:eastAsia="宋体"/>
          <w:color w:val="auto"/>
          <w:sz w:val="32"/>
          <w:szCs w:val="32"/>
          <w:highlight w:val="none"/>
        </w:rPr>
      </w:pPr>
      <w:r>
        <w:rPr>
          <w:rFonts w:hint="eastAsia" w:ascii="宋体" w:hAnsi="宋体" w:eastAsia="宋体"/>
          <w:color w:val="auto"/>
          <w:sz w:val="32"/>
          <w:highlight w:val="none"/>
        </w:rPr>
        <w:t>2020年</w:t>
      </w:r>
      <w:r>
        <w:rPr>
          <w:rFonts w:hint="eastAsia" w:ascii="宋体" w:hAnsi="宋体" w:eastAsia="宋体"/>
          <w:color w:val="auto"/>
          <w:sz w:val="32"/>
          <w:highlight w:val="none"/>
          <w:lang w:val="en-US" w:eastAsia="zh-CN"/>
        </w:rPr>
        <w:t>12</w:t>
      </w:r>
      <w:r>
        <w:rPr>
          <w:rFonts w:hint="eastAsia" w:ascii="宋体" w:hAnsi="宋体" w:eastAsia="宋体"/>
          <w:color w:val="auto"/>
          <w:sz w:val="32"/>
          <w:highlight w:val="none"/>
        </w:rPr>
        <w:t>月</w:t>
      </w:r>
    </w:p>
    <w:p>
      <w:pPr>
        <w:rPr>
          <w:rFonts w:ascii="宋体" w:hAnsi="宋体" w:eastAsia="宋体"/>
          <w:color w:val="auto"/>
          <w:sz w:val="32"/>
          <w:szCs w:val="32"/>
          <w:highlight w:val="none"/>
        </w:rPr>
      </w:pPr>
      <w:bookmarkStart w:id="0" w:name="_Toc246095513"/>
      <w:bookmarkStart w:id="1" w:name="_Toc246095451"/>
      <w:bookmarkStart w:id="2" w:name="_Toc246094907"/>
    </w:p>
    <w:p>
      <w:pPr>
        <w:pStyle w:val="4"/>
        <w:rPr>
          <w:color w:val="auto"/>
          <w:highlight w:val="none"/>
        </w:rPr>
        <w:sectPr>
          <w:headerReference r:id="rId4" w:type="first"/>
          <w:headerReference r:id="rId3" w:type="default"/>
          <w:footerReference r:id="rId5" w:type="default"/>
          <w:footerReference r:id="rId6" w:type="even"/>
          <w:pgSz w:w="11907" w:h="16840"/>
          <w:pgMar w:top="1077" w:right="1418" w:bottom="1418" w:left="1077" w:header="624" w:footer="737" w:gutter="0"/>
          <w:pgNumType w:start="1"/>
          <w:cols w:space="720" w:num="1"/>
          <w:titlePg/>
          <w:docGrid w:linePitch="312" w:charSpace="0"/>
        </w:sectPr>
      </w:pPr>
    </w:p>
    <w:p>
      <w:pPr>
        <w:jc w:val="center"/>
        <w:rPr>
          <w:rFonts w:ascii="宋体" w:hAnsi="宋体" w:eastAsia="宋体"/>
          <w:color w:val="auto"/>
          <w:sz w:val="44"/>
          <w:szCs w:val="44"/>
          <w:highlight w:val="none"/>
        </w:rPr>
      </w:pPr>
    </w:p>
    <w:p>
      <w:pPr>
        <w:jc w:val="center"/>
        <w:rPr>
          <w:rFonts w:ascii="宋体" w:hAnsi="宋体" w:eastAsia="宋体"/>
          <w:b/>
          <w:bCs/>
          <w:color w:val="auto"/>
          <w:sz w:val="44"/>
          <w:szCs w:val="44"/>
          <w:highlight w:val="none"/>
        </w:rPr>
      </w:pPr>
      <w:r>
        <w:rPr>
          <w:rFonts w:hint="eastAsia" w:ascii="宋体" w:hAnsi="宋体" w:eastAsia="宋体"/>
          <w:b/>
          <w:bCs/>
          <w:color w:val="auto"/>
          <w:sz w:val="44"/>
          <w:szCs w:val="44"/>
          <w:highlight w:val="none"/>
        </w:rPr>
        <w:t>目 录</w:t>
      </w:r>
    </w:p>
    <w:p>
      <w:pPr>
        <w:spacing w:line="400" w:lineRule="exact"/>
        <w:rPr>
          <w:rFonts w:ascii="宋体" w:hAnsi="宋体" w:eastAsia="宋体"/>
          <w:color w:val="auto"/>
          <w:sz w:val="28"/>
          <w:szCs w:val="28"/>
          <w:highlight w:val="none"/>
        </w:rPr>
      </w:pPr>
    </w:p>
    <w:p>
      <w:pPr>
        <w:pStyle w:val="26"/>
        <w:keepNext w:val="0"/>
        <w:keepLines w:val="0"/>
        <w:pageBreakBefore w:val="0"/>
        <w:tabs>
          <w:tab w:val="right" w:leader="dot" w:pos="9412"/>
        </w:tabs>
        <w:kinsoku/>
        <w:wordWrap/>
        <w:overflowPunct/>
        <w:topLinePunct w:val="0"/>
        <w:autoSpaceDE/>
        <w:autoSpaceDN/>
        <w:bidi w:val="0"/>
        <w:spacing w:line="500" w:lineRule="exact"/>
        <w:textAlignment w:val="auto"/>
        <w:rPr>
          <w:color w:val="auto"/>
          <w:sz w:val="28"/>
          <w:szCs w:val="28"/>
          <w:highlight w:val="none"/>
        </w:rPr>
      </w:pPr>
      <w:r>
        <w:rPr>
          <w:rFonts w:hint="eastAsia" w:ascii="宋体" w:hAnsi="宋体" w:cs="仿宋"/>
          <w:b w:val="0"/>
          <w:color w:val="auto"/>
          <w:sz w:val="28"/>
          <w:szCs w:val="28"/>
          <w:highlight w:val="none"/>
        </w:rPr>
        <w:fldChar w:fldCharType="begin"/>
      </w:r>
      <w:r>
        <w:rPr>
          <w:rFonts w:hint="eastAsia" w:ascii="宋体" w:hAnsi="宋体" w:cs="仿宋"/>
          <w:b w:val="0"/>
          <w:color w:val="auto"/>
          <w:sz w:val="28"/>
          <w:szCs w:val="28"/>
          <w:highlight w:val="none"/>
        </w:rPr>
        <w:instrText xml:space="preserve"> TOC \o "1-3" \h \z \u </w:instrText>
      </w:r>
      <w:r>
        <w:rPr>
          <w:rFonts w:hint="eastAsia" w:ascii="宋体" w:hAnsi="宋体" w:cs="仿宋"/>
          <w:b w:val="0"/>
          <w:color w:val="auto"/>
          <w:sz w:val="28"/>
          <w:szCs w:val="28"/>
          <w:highlight w:val="none"/>
        </w:rPr>
        <w:fldChar w:fldCharType="separate"/>
      </w:r>
      <w:r>
        <w:rPr>
          <w:rFonts w:hint="eastAsia" w:ascii="宋体" w:hAnsi="宋体" w:cs="仿宋"/>
          <w:color w:val="auto"/>
          <w:sz w:val="28"/>
          <w:szCs w:val="28"/>
          <w:highlight w:val="none"/>
        </w:rPr>
        <w:fldChar w:fldCharType="begin"/>
      </w:r>
      <w:r>
        <w:rPr>
          <w:rFonts w:hint="eastAsia" w:ascii="宋体" w:hAnsi="宋体" w:cs="仿宋"/>
          <w:color w:val="auto"/>
          <w:sz w:val="28"/>
          <w:szCs w:val="28"/>
          <w:highlight w:val="none"/>
        </w:rPr>
        <w:instrText xml:space="preserve"> HYPERLINK \l _Toc9108 </w:instrText>
      </w:r>
      <w:r>
        <w:rPr>
          <w:rFonts w:hint="eastAsia" w:ascii="宋体" w:hAnsi="宋体" w:cs="仿宋"/>
          <w:color w:val="auto"/>
          <w:sz w:val="28"/>
          <w:szCs w:val="28"/>
          <w:highlight w:val="none"/>
        </w:rPr>
        <w:fldChar w:fldCharType="separate"/>
      </w:r>
      <w:r>
        <w:rPr>
          <w:rFonts w:hint="eastAsia" w:ascii="宋体" w:hAnsi="宋体" w:cs="仿宋"/>
          <w:color w:val="auto"/>
          <w:sz w:val="28"/>
          <w:szCs w:val="28"/>
          <w:highlight w:val="none"/>
          <w:lang w:eastAsia="zh-CN"/>
        </w:rPr>
        <w:t>第一章</w:t>
      </w:r>
      <w:r>
        <w:rPr>
          <w:rFonts w:hint="eastAsia" w:ascii="宋体" w:hAnsi="宋体" w:cs="仿宋"/>
          <w:color w:val="auto"/>
          <w:sz w:val="28"/>
          <w:szCs w:val="28"/>
          <w:highlight w:val="none"/>
          <w:lang w:val="en-US" w:eastAsia="zh-CN"/>
        </w:rPr>
        <w:t xml:space="preserve"> 竞争性谈判公告</w:t>
      </w:r>
      <w:r>
        <w:rPr>
          <w:color w:val="auto"/>
          <w:sz w:val="28"/>
          <w:szCs w:val="28"/>
          <w:highlight w:val="none"/>
        </w:rPr>
        <w:tab/>
      </w:r>
      <w:r>
        <w:rPr>
          <w:rFonts w:hint="eastAsia"/>
          <w:color w:val="auto"/>
          <w:sz w:val="28"/>
          <w:szCs w:val="28"/>
          <w:highlight w:val="none"/>
          <w:lang w:val="en-US" w:eastAsia="zh-CN"/>
        </w:rPr>
        <w:t>1</w:t>
      </w:r>
      <w:r>
        <w:rPr>
          <w:rFonts w:hint="eastAsia" w:ascii="宋体" w:hAnsi="宋体" w:cs="仿宋"/>
          <w:color w:val="auto"/>
          <w:sz w:val="28"/>
          <w:szCs w:val="28"/>
          <w:highlight w:val="none"/>
        </w:rPr>
        <w:fldChar w:fldCharType="end"/>
      </w:r>
    </w:p>
    <w:p>
      <w:pPr>
        <w:pStyle w:val="26"/>
        <w:keepNext w:val="0"/>
        <w:keepLines w:val="0"/>
        <w:pageBreakBefore w:val="0"/>
        <w:tabs>
          <w:tab w:val="right" w:leader="dot" w:pos="9412"/>
        </w:tabs>
        <w:kinsoku/>
        <w:wordWrap/>
        <w:overflowPunct/>
        <w:topLinePunct w:val="0"/>
        <w:autoSpaceDE/>
        <w:autoSpaceDN/>
        <w:bidi w:val="0"/>
        <w:spacing w:line="500" w:lineRule="exact"/>
        <w:textAlignment w:val="auto"/>
        <w:rPr>
          <w:color w:val="auto"/>
          <w:sz w:val="28"/>
          <w:szCs w:val="28"/>
          <w:highlight w:val="none"/>
        </w:rPr>
      </w:pPr>
      <w:r>
        <w:rPr>
          <w:rFonts w:hint="eastAsia" w:ascii="宋体" w:hAnsi="宋体" w:eastAsia="宋体" w:cs="仿宋"/>
          <w:bCs/>
          <w:color w:val="auto"/>
          <w:sz w:val="28"/>
          <w:szCs w:val="28"/>
          <w:highlight w:val="none"/>
        </w:rPr>
        <w:fldChar w:fldCharType="begin"/>
      </w:r>
      <w:r>
        <w:rPr>
          <w:rFonts w:hint="eastAsia" w:ascii="宋体" w:hAnsi="宋体" w:eastAsia="宋体" w:cs="仿宋"/>
          <w:bCs/>
          <w:color w:val="auto"/>
          <w:sz w:val="28"/>
          <w:szCs w:val="28"/>
          <w:highlight w:val="none"/>
        </w:rPr>
        <w:instrText xml:space="preserve"> HYPERLINK \l _Toc13678 </w:instrText>
      </w:r>
      <w:r>
        <w:rPr>
          <w:rFonts w:hint="eastAsia" w:ascii="宋体" w:hAnsi="宋体" w:eastAsia="宋体" w:cs="仿宋"/>
          <w:bCs/>
          <w:color w:val="auto"/>
          <w:sz w:val="28"/>
          <w:szCs w:val="28"/>
          <w:highlight w:val="none"/>
        </w:rPr>
        <w:fldChar w:fldCharType="separate"/>
      </w:r>
      <w:r>
        <w:rPr>
          <w:rFonts w:hint="eastAsia" w:ascii="宋体" w:hAnsi="宋体" w:eastAsia="宋体"/>
          <w:bCs/>
          <w:color w:val="auto"/>
          <w:sz w:val="28"/>
          <w:szCs w:val="28"/>
          <w:highlight w:val="none"/>
        </w:rPr>
        <w:t>第二章  供应商须知</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_Toc13678 </w:instrText>
      </w:r>
      <w:r>
        <w:rPr>
          <w:color w:val="auto"/>
          <w:sz w:val="28"/>
          <w:szCs w:val="28"/>
          <w:highlight w:val="none"/>
        </w:rPr>
        <w:fldChar w:fldCharType="separate"/>
      </w:r>
      <w:r>
        <w:rPr>
          <w:color w:val="auto"/>
          <w:sz w:val="28"/>
          <w:szCs w:val="28"/>
          <w:highlight w:val="none"/>
        </w:rPr>
        <w:t>7</w:t>
      </w:r>
      <w:r>
        <w:rPr>
          <w:color w:val="auto"/>
          <w:sz w:val="28"/>
          <w:szCs w:val="28"/>
          <w:highlight w:val="none"/>
        </w:rPr>
        <w:fldChar w:fldCharType="end"/>
      </w:r>
      <w:r>
        <w:rPr>
          <w:rFonts w:hint="eastAsia" w:ascii="宋体" w:hAnsi="宋体" w:eastAsia="宋体" w:cs="仿宋"/>
          <w:bCs/>
          <w:color w:val="auto"/>
          <w:sz w:val="28"/>
          <w:szCs w:val="28"/>
          <w:highlight w:val="none"/>
        </w:rPr>
        <w:fldChar w:fldCharType="end"/>
      </w:r>
    </w:p>
    <w:p>
      <w:pPr>
        <w:pStyle w:val="31"/>
        <w:keepNext w:val="0"/>
        <w:keepLines w:val="0"/>
        <w:pageBreakBefore w:val="0"/>
        <w:tabs>
          <w:tab w:val="right" w:leader="dot" w:pos="9412"/>
        </w:tabs>
        <w:kinsoku/>
        <w:wordWrap/>
        <w:overflowPunct/>
        <w:topLinePunct w:val="0"/>
        <w:autoSpaceDE/>
        <w:autoSpaceDN/>
        <w:bidi w:val="0"/>
        <w:spacing w:line="500" w:lineRule="exact"/>
        <w:textAlignment w:val="auto"/>
        <w:rPr>
          <w:color w:val="auto"/>
          <w:sz w:val="28"/>
          <w:szCs w:val="28"/>
          <w:highlight w:val="none"/>
        </w:rPr>
      </w:pPr>
      <w:r>
        <w:rPr>
          <w:rFonts w:hint="eastAsia" w:ascii="宋体" w:hAnsi="宋体" w:eastAsia="宋体" w:cs="仿宋"/>
          <w:bCs/>
          <w:color w:val="auto"/>
          <w:sz w:val="28"/>
          <w:szCs w:val="28"/>
          <w:highlight w:val="none"/>
        </w:rPr>
        <w:fldChar w:fldCharType="begin"/>
      </w:r>
      <w:r>
        <w:rPr>
          <w:rFonts w:hint="eastAsia" w:ascii="宋体" w:hAnsi="宋体" w:eastAsia="宋体" w:cs="仿宋"/>
          <w:bCs/>
          <w:color w:val="auto"/>
          <w:sz w:val="28"/>
          <w:szCs w:val="28"/>
          <w:highlight w:val="none"/>
        </w:rPr>
        <w:instrText xml:space="preserve"> HYPERLINK \l _Toc31896 </w:instrText>
      </w:r>
      <w:r>
        <w:rPr>
          <w:rFonts w:hint="eastAsia" w:ascii="宋体" w:hAnsi="宋体" w:eastAsia="宋体" w:cs="仿宋"/>
          <w:bCs/>
          <w:color w:val="auto"/>
          <w:sz w:val="28"/>
          <w:szCs w:val="28"/>
          <w:highlight w:val="none"/>
        </w:rPr>
        <w:fldChar w:fldCharType="separate"/>
      </w:r>
      <w:r>
        <w:rPr>
          <w:rFonts w:hint="eastAsia" w:ascii="宋体" w:hAnsi="宋体" w:eastAsia="宋体"/>
          <w:color w:val="auto"/>
          <w:sz w:val="28"/>
          <w:szCs w:val="28"/>
          <w:highlight w:val="none"/>
        </w:rPr>
        <w:t>供应商须知前附表</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_Toc31896 </w:instrText>
      </w:r>
      <w:r>
        <w:rPr>
          <w:color w:val="auto"/>
          <w:sz w:val="28"/>
          <w:szCs w:val="28"/>
          <w:highlight w:val="none"/>
        </w:rPr>
        <w:fldChar w:fldCharType="separate"/>
      </w:r>
      <w:r>
        <w:rPr>
          <w:color w:val="auto"/>
          <w:sz w:val="28"/>
          <w:szCs w:val="28"/>
          <w:highlight w:val="none"/>
        </w:rPr>
        <w:t>7</w:t>
      </w:r>
      <w:r>
        <w:rPr>
          <w:color w:val="auto"/>
          <w:sz w:val="28"/>
          <w:szCs w:val="28"/>
          <w:highlight w:val="none"/>
        </w:rPr>
        <w:fldChar w:fldCharType="end"/>
      </w:r>
      <w:r>
        <w:rPr>
          <w:rFonts w:hint="eastAsia" w:ascii="宋体" w:hAnsi="宋体" w:eastAsia="宋体" w:cs="仿宋"/>
          <w:bCs/>
          <w:color w:val="auto"/>
          <w:sz w:val="28"/>
          <w:szCs w:val="28"/>
          <w:highlight w:val="none"/>
        </w:rPr>
        <w:fldChar w:fldCharType="end"/>
      </w:r>
    </w:p>
    <w:p>
      <w:pPr>
        <w:pStyle w:val="31"/>
        <w:keepNext w:val="0"/>
        <w:keepLines w:val="0"/>
        <w:pageBreakBefore w:val="0"/>
        <w:tabs>
          <w:tab w:val="right" w:leader="dot" w:pos="9412"/>
        </w:tabs>
        <w:kinsoku/>
        <w:wordWrap/>
        <w:overflowPunct/>
        <w:topLinePunct w:val="0"/>
        <w:autoSpaceDE/>
        <w:autoSpaceDN/>
        <w:bidi w:val="0"/>
        <w:spacing w:line="500" w:lineRule="exact"/>
        <w:textAlignment w:val="auto"/>
        <w:rPr>
          <w:color w:val="auto"/>
          <w:sz w:val="28"/>
          <w:szCs w:val="28"/>
          <w:highlight w:val="none"/>
        </w:rPr>
      </w:pPr>
      <w:r>
        <w:rPr>
          <w:rFonts w:hint="eastAsia" w:ascii="宋体" w:hAnsi="宋体" w:eastAsia="宋体" w:cs="仿宋"/>
          <w:bCs/>
          <w:color w:val="auto"/>
          <w:sz w:val="28"/>
          <w:szCs w:val="28"/>
          <w:highlight w:val="none"/>
        </w:rPr>
        <w:fldChar w:fldCharType="begin"/>
      </w:r>
      <w:r>
        <w:rPr>
          <w:rFonts w:hint="eastAsia" w:ascii="宋体" w:hAnsi="宋体" w:eastAsia="宋体" w:cs="仿宋"/>
          <w:bCs/>
          <w:color w:val="auto"/>
          <w:sz w:val="28"/>
          <w:szCs w:val="28"/>
          <w:highlight w:val="none"/>
        </w:rPr>
        <w:instrText xml:space="preserve"> HYPERLINK \l _Toc23082 </w:instrText>
      </w:r>
      <w:r>
        <w:rPr>
          <w:rFonts w:hint="eastAsia" w:ascii="宋体" w:hAnsi="宋体" w:eastAsia="宋体" w:cs="仿宋"/>
          <w:bCs/>
          <w:color w:val="auto"/>
          <w:sz w:val="28"/>
          <w:szCs w:val="28"/>
          <w:highlight w:val="none"/>
        </w:rPr>
        <w:fldChar w:fldCharType="separate"/>
      </w:r>
      <w:r>
        <w:rPr>
          <w:rFonts w:hint="eastAsia" w:ascii="宋体" w:hAnsi="宋体" w:eastAsia="宋体"/>
          <w:color w:val="auto"/>
          <w:sz w:val="28"/>
          <w:szCs w:val="28"/>
          <w:highlight w:val="none"/>
        </w:rPr>
        <w:t>一、总则</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_Toc23082 </w:instrText>
      </w:r>
      <w:r>
        <w:rPr>
          <w:color w:val="auto"/>
          <w:sz w:val="28"/>
          <w:szCs w:val="28"/>
          <w:highlight w:val="none"/>
        </w:rPr>
        <w:fldChar w:fldCharType="separate"/>
      </w:r>
      <w:r>
        <w:rPr>
          <w:color w:val="auto"/>
          <w:sz w:val="28"/>
          <w:szCs w:val="28"/>
          <w:highlight w:val="none"/>
        </w:rPr>
        <w:t>13</w:t>
      </w:r>
      <w:r>
        <w:rPr>
          <w:color w:val="auto"/>
          <w:sz w:val="28"/>
          <w:szCs w:val="28"/>
          <w:highlight w:val="none"/>
        </w:rPr>
        <w:fldChar w:fldCharType="end"/>
      </w:r>
      <w:r>
        <w:rPr>
          <w:rFonts w:hint="eastAsia" w:ascii="宋体" w:hAnsi="宋体" w:eastAsia="宋体" w:cs="仿宋"/>
          <w:bCs/>
          <w:color w:val="auto"/>
          <w:sz w:val="28"/>
          <w:szCs w:val="28"/>
          <w:highlight w:val="none"/>
        </w:rPr>
        <w:fldChar w:fldCharType="end"/>
      </w:r>
    </w:p>
    <w:p>
      <w:pPr>
        <w:pStyle w:val="31"/>
        <w:keepNext w:val="0"/>
        <w:keepLines w:val="0"/>
        <w:pageBreakBefore w:val="0"/>
        <w:tabs>
          <w:tab w:val="right" w:leader="dot" w:pos="9412"/>
        </w:tabs>
        <w:kinsoku/>
        <w:wordWrap/>
        <w:overflowPunct/>
        <w:topLinePunct w:val="0"/>
        <w:autoSpaceDE/>
        <w:autoSpaceDN/>
        <w:bidi w:val="0"/>
        <w:spacing w:line="500" w:lineRule="exact"/>
        <w:textAlignment w:val="auto"/>
        <w:rPr>
          <w:color w:val="auto"/>
          <w:sz w:val="28"/>
          <w:szCs w:val="28"/>
          <w:highlight w:val="none"/>
        </w:rPr>
      </w:pPr>
      <w:r>
        <w:rPr>
          <w:rFonts w:hint="eastAsia" w:ascii="宋体" w:hAnsi="宋体" w:eastAsia="宋体" w:cs="仿宋"/>
          <w:bCs/>
          <w:color w:val="auto"/>
          <w:sz w:val="28"/>
          <w:szCs w:val="28"/>
          <w:highlight w:val="none"/>
        </w:rPr>
        <w:fldChar w:fldCharType="begin"/>
      </w:r>
      <w:r>
        <w:rPr>
          <w:rFonts w:hint="eastAsia" w:ascii="宋体" w:hAnsi="宋体" w:eastAsia="宋体" w:cs="仿宋"/>
          <w:bCs/>
          <w:color w:val="auto"/>
          <w:sz w:val="28"/>
          <w:szCs w:val="28"/>
          <w:highlight w:val="none"/>
        </w:rPr>
        <w:instrText xml:space="preserve"> HYPERLINK \l _Toc13358 </w:instrText>
      </w:r>
      <w:r>
        <w:rPr>
          <w:rFonts w:hint="eastAsia" w:ascii="宋体" w:hAnsi="宋体" w:eastAsia="宋体" w:cs="仿宋"/>
          <w:bCs/>
          <w:color w:val="auto"/>
          <w:sz w:val="28"/>
          <w:szCs w:val="28"/>
          <w:highlight w:val="none"/>
        </w:rPr>
        <w:fldChar w:fldCharType="separate"/>
      </w:r>
      <w:r>
        <w:rPr>
          <w:rFonts w:hint="eastAsia" w:ascii="宋体" w:hAnsi="宋体" w:eastAsia="宋体"/>
          <w:color w:val="auto"/>
          <w:sz w:val="28"/>
          <w:szCs w:val="28"/>
          <w:highlight w:val="none"/>
        </w:rPr>
        <w:t>二、竞争性谈判文件</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_Toc13358 </w:instrText>
      </w:r>
      <w:r>
        <w:rPr>
          <w:color w:val="auto"/>
          <w:sz w:val="28"/>
          <w:szCs w:val="28"/>
          <w:highlight w:val="none"/>
        </w:rPr>
        <w:fldChar w:fldCharType="separate"/>
      </w:r>
      <w:r>
        <w:rPr>
          <w:color w:val="auto"/>
          <w:sz w:val="28"/>
          <w:szCs w:val="28"/>
          <w:highlight w:val="none"/>
        </w:rPr>
        <w:t>14</w:t>
      </w:r>
      <w:r>
        <w:rPr>
          <w:color w:val="auto"/>
          <w:sz w:val="28"/>
          <w:szCs w:val="28"/>
          <w:highlight w:val="none"/>
        </w:rPr>
        <w:fldChar w:fldCharType="end"/>
      </w:r>
      <w:r>
        <w:rPr>
          <w:rFonts w:hint="eastAsia" w:ascii="宋体" w:hAnsi="宋体" w:eastAsia="宋体" w:cs="仿宋"/>
          <w:bCs/>
          <w:color w:val="auto"/>
          <w:sz w:val="28"/>
          <w:szCs w:val="28"/>
          <w:highlight w:val="none"/>
        </w:rPr>
        <w:fldChar w:fldCharType="end"/>
      </w:r>
    </w:p>
    <w:p>
      <w:pPr>
        <w:pStyle w:val="31"/>
        <w:keepNext w:val="0"/>
        <w:keepLines w:val="0"/>
        <w:pageBreakBefore w:val="0"/>
        <w:tabs>
          <w:tab w:val="right" w:leader="dot" w:pos="9412"/>
        </w:tabs>
        <w:kinsoku/>
        <w:wordWrap/>
        <w:overflowPunct/>
        <w:topLinePunct w:val="0"/>
        <w:autoSpaceDE/>
        <w:autoSpaceDN/>
        <w:bidi w:val="0"/>
        <w:spacing w:line="500" w:lineRule="exact"/>
        <w:textAlignment w:val="auto"/>
        <w:rPr>
          <w:color w:val="auto"/>
          <w:sz w:val="28"/>
          <w:szCs w:val="28"/>
          <w:highlight w:val="none"/>
        </w:rPr>
      </w:pPr>
      <w:r>
        <w:rPr>
          <w:rFonts w:hint="eastAsia" w:ascii="宋体" w:hAnsi="宋体" w:eastAsia="宋体" w:cs="仿宋"/>
          <w:bCs/>
          <w:color w:val="auto"/>
          <w:sz w:val="28"/>
          <w:szCs w:val="28"/>
          <w:highlight w:val="none"/>
        </w:rPr>
        <w:fldChar w:fldCharType="begin"/>
      </w:r>
      <w:r>
        <w:rPr>
          <w:rFonts w:hint="eastAsia" w:ascii="宋体" w:hAnsi="宋体" w:eastAsia="宋体" w:cs="仿宋"/>
          <w:bCs/>
          <w:color w:val="auto"/>
          <w:sz w:val="28"/>
          <w:szCs w:val="28"/>
          <w:highlight w:val="none"/>
        </w:rPr>
        <w:instrText xml:space="preserve"> HYPERLINK \l _Toc27175 </w:instrText>
      </w:r>
      <w:r>
        <w:rPr>
          <w:rFonts w:hint="eastAsia" w:ascii="宋体" w:hAnsi="宋体" w:eastAsia="宋体" w:cs="仿宋"/>
          <w:bCs/>
          <w:color w:val="auto"/>
          <w:sz w:val="28"/>
          <w:szCs w:val="28"/>
          <w:highlight w:val="none"/>
        </w:rPr>
        <w:fldChar w:fldCharType="separate"/>
      </w:r>
      <w:r>
        <w:rPr>
          <w:rFonts w:hint="eastAsia" w:ascii="宋体" w:hAnsi="宋体" w:eastAsia="宋体"/>
          <w:color w:val="auto"/>
          <w:sz w:val="28"/>
          <w:szCs w:val="28"/>
          <w:highlight w:val="none"/>
        </w:rPr>
        <w:t>三、响应文件</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_Toc27175 </w:instrText>
      </w:r>
      <w:r>
        <w:rPr>
          <w:color w:val="auto"/>
          <w:sz w:val="28"/>
          <w:szCs w:val="28"/>
          <w:highlight w:val="none"/>
        </w:rPr>
        <w:fldChar w:fldCharType="separate"/>
      </w:r>
      <w:r>
        <w:rPr>
          <w:color w:val="auto"/>
          <w:sz w:val="28"/>
          <w:szCs w:val="28"/>
          <w:highlight w:val="none"/>
        </w:rPr>
        <w:t>15</w:t>
      </w:r>
      <w:r>
        <w:rPr>
          <w:color w:val="auto"/>
          <w:sz w:val="28"/>
          <w:szCs w:val="28"/>
          <w:highlight w:val="none"/>
        </w:rPr>
        <w:fldChar w:fldCharType="end"/>
      </w:r>
      <w:r>
        <w:rPr>
          <w:rFonts w:hint="eastAsia" w:ascii="宋体" w:hAnsi="宋体" w:eastAsia="宋体" w:cs="仿宋"/>
          <w:bCs/>
          <w:color w:val="auto"/>
          <w:sz w:val="28"/>
          <w:szCs w:val="28"/>
          <w:highlight w:val="none"/>
        </w:rPr>
        <w:fldChar w:fldCharType="end"/>
      </w:r>
    </w:p>
    <w:p>
      <w:pPr>
        <w:pStyle w:val="31"/>
        <w:keepNext w:val="0"/>
        <w:keepLines w:val="0"/>
        <w:pageBreakBefore w:val="0"/>
        <w:tabs>
          <w:tab w:val="right" w:leader="dot" w:pos="9412"/>
        </w:tabs>
        <w:kinsoku/>
        <w:wordWrap/>
        <w:overflowPunct/>
        <w:topLinePunct w:val="0"/>
        <w:autoSpaceDE/>
        <w:autoSpaceDN/>
        <w:bidi w:val="0"/>
        <w:spacing w:line="500" w:lineRule="exact"/>
        <w:textAlignment w:val="auto"/>
        <w:rPr>
          <w:color w:val="auto"/>
          <w:sz w:val="28"/>
          <w:szCs w:val="28"/>
          <w:highlight w:val="none"/>
        </w:rPr>
      </w:pPr>
      <w:r>
        <w:rPr>
          <w:rFonts w:hint="eastAsia" w:ascii="宋体" w:hAnsi="宋体" w:eastAsia="宋体" w:cs="仿宋"/>
          <w:bCs/>
          <w:color w:val="auto"/>
          <w:sz w:val="28"/>
          <w:szCs w:val="28"/>
          <w:highlight w:val="none"/>
        </w:rPr>
        <w:fldChar w:fldCharType="begin"/>
      </w:r>
      <w:r>
        <w:rPr>
          <w:rFonts w:hint="eastAsia" w:ascii="宋体" w:hAnsi="宋体" w:eastAsia="宋体" w:cs="仿宋"/>
          <w:bCs/>
          <w:color w:val="auto"/>
          <w:sz w:val="28"/>
          <w:szCs w:val="28"/>
          <w:highlight w:val="none"/>
        </w:rPr>
        <w:instrText xml:space="preserve"> HYPERLINK \l _Toc26527 </w:instrText>
      </w:r>
      <w:r>
        <w:rPr>
          <w:rFonts w:hint="eastAsia" w:ascii="宋体" w:hAnsi="宋体" w:eastAsia="宋体" w:cs="仿宋"/>
          <w:bCs/>
          <w:color w:val="auto"/>
          <w:sz w:val="28"/>
          <w:szCs w:val="28"/>
          <w:highlight w:val="none"/>
        </w:rPr>
        <w:fldChar w:fldCharType="separate"/>
      </w:r>
      <w:r>
        <w:rPr>
          <w:rFonts w:hint="eastAsia" w:ascii="宋体" w:hAnsi="宋体" w:eastAsia="宋体"/>
          <w:color w:val="auto"/>
          <w:sz w:val="28"/>
          <w:szCs w:val="28"/>
          <w:highlight w:val="none"/>
        </w:rPr>
        <w:t>四、谈判与评审</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_Toc26527 </w:instrText>
      </w:r>
      <w:r>
        <w:rPr>
          <w:color w:val="auto"/>
          <w:sz w:val="28"/>
          <w:szCs w:val="28"/>
          <w:highlight w:val="none"/>
        </w:rPr>
        <w:fldChar w:fldCharType="separate"/>
      </w:r>
      <w:r>
        <w:rPr>
          <w:color w:val="auto"/>
          <w:sz w:val="28"/>
          <w:szCs w:val="28"/>
          <w:highlight w:val="none"/>
        </w:rPr>
        <w:t>18</w:t>
      </w:r>
      <w:r>
        <w:rPr>
          <w:color w:val="auto"/>
          <w:sz w:val="28"/>
          <w:szCs w:val="28"/>
          <w:highlight w:val="none"/>
        </w:rPr>
        <w:fldChar w:fldCharType="end"/>
      </w:r>
      <w:r>
        <w:rPr>
          <w:rFonts w:hint="eastAsia" w:ascii="宋体" w:hAnsi="宋体" w:eastAsia="宋体" w:cs="仿宋"/>
          <w:bCs/>
          <w:color w:val="auto"/>
          <w:sz w:val="28"/>
          <w:szCs w:val="28"/>
          <w:highlight w:val="none"/>
        </w:rPr>
        <w:fldChar w:fldCharType="end"/>
      </w:r>
    </w:p>
    <w:p>
      <w:pPr>
        <w:pStyle w:val="31"/>
        <w:keepNext w:val="0"/>
        <w:keepLines w:val="0"/>
        <w:pageBreakBefore w:val="0"/>
        <w:tabs>
          <w:tab w:val="right" w:leader="dot" w:pos="9412"/>
        </w:tabs>
        <w:kinsoku/>
        <w:wordWrap/>
        <w:overflowPunct/>
        <w:topLinePunct w:val="0"/>
        <w:autoSpaceDE/>
        <w:autoSpaceDN/>
        <w:bidi w:val="0"/>
        <w:spacing w:line="500" w:lineRule="exact"/>
        <w:textAlignment w:val="auto"/>
        <w:rPr>
          <w:color w:val="auto"/>
          <w:sz w:val="28"/>
          <w:szCs w:val="28"/>
          <w:highlight w:val="none"/>
        </w:rPr>
      </w:pPr>
      <w:r>
        <w:rPr>
          <w:rFonts w:hint="eastAsia" w:ascii="宋体" w:hAnsi="宋体" w:eastAsia="宋体" w:cs="仿宋"/>
          <w:bCs/>
          <w:color w:val="auto"/>
          <w:sz w:val="28"/>
          <w:szCs w:val="28"/>
          <w:highlight w:val="none"/>
        </w:rPr>
        <w:fldChar w:fldCharType="begin"/>
      </w:r>
      <w:r>
        <w:rPr>
          <w:rFonts w:hint="eastAsia" w:ascii="宋体" w:hAnsi="宋体" w:eastAsia="宋体" w:cs="仿宋"/>
          <w:bCs/>
          <w:color w:val="auto"/>
          <w:sz w:val="28"/>
          <w:szCs w:val="28"/>
          <w:highlight w:val="none"/>
        </w:rPr>
        <w:instrText xml:space="preserve"> HYPERLINK \l _Toc3773 </w:instrText>
      </w:r>
      <w:r>
        <w:rPr>
          <w:rFonts w:hint="eastAsia" w:ascii="宋体" w:hAnsi="宋体" w:eastAsia="宋体" w:cs="仿宋"/>
          <w:bCs/>
          <w:color w:val="auto"/>
          <w:sz w:val="28"/>
          <w:szCs w:val="28"/>
          <w:highlight w:val="none"/>
        </w:rPr>
        <w:fldChar w:fldCharType="separate"/>
      </w:r>
      <w:r>
        <w:rPr>
          <w:rFonts w:hint="eastAsia" w:ascii="宋体" w:hAnsi="宋体" w:eastAsia="宋体"/>
          <w:color w:val="auto"/>
          <w:sz w:val="28"/>
          <w:szCs w:val="28"/>
          <w:highlight w:val="none"/>
        </w:rPr>
        <w:t>五、评审结果</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_Toc3773 </w:instrText>
      </w:r>
      <w:r>
        <w:rPr>
          <w:color w:val="auto"/>
          <w:sz w:val="28"/>
          <w:szCs w:val="28"/>
          <w:highlight w:val="none"/>
        </w:rPr>
        <w:fldChar w:fldCharType="separate"/>
      </w:r>
      <w:r>
        <w:rPr>
          <w:color w:val="auto"/>
          <w:sz w:val="28"/>
          <w:szCs w:val="28"/>
          <w:highlight w:val="none"/>
        </w:rPr>
        <w:t>23</w:t>
      </w:r>
      <w:r>
        <w:rPr>
          <w:color w:val="auto"/>
          <w:sz w:val="28"/>
          <w:szCs w:val="28"/>
          <w:highlight w:val="none"/>
        </w:rPr>
        <w:fldChar w:fldCharType="end"/>
      </w:r>
      <w:r>
        <w:rPr>
          <w:rFonts w:hint="eastAsia" w:ascii="宋体" w:hAnsi="宋体" w:eastAsia="宋体" w:cs="仿宋"/>
          <w:bCs/>
          <w:color w:val="auto"/>
          <w:sz w:val="28"/>
          <w:szCs w:val="28"/>
          <w:highlight w:val="none"/>
        </w:rPr>
        <w:fldChar w:fldCharType="end"/>
      </w:r>
    </w:p>
    <w:p>
      <w:pPr>
        <w:pStyle w:val="31"/>
        <w:keepNext w:val="0"/>
        <w:keepLines w:val="0"/>
        <w:pageBreakBefore w:val="0"/>
        <w:tabs>
          <w:tab w:val="right" w:leader="dot" w:pos="9412"/>
        </w:tabs>
        <w:kinsoku/>
        <w:wordWrap/>
        <w:overflowPunct/>
        <w:topLinePunct w:val="0"/>
        <w:autoSpaceDE/>
        <w:autoSpaceDN/>
        <w:bidi w:val="0"/>
        <w:spacing w:line="500" w:lineRule="exact"/>
        <w:textAlignment w:val="auto"/>
        <w:rPr>
          <w:color w:val="auto"/>
          <w:sz w:val="28"/>
          <w:szCs w:val="28"/>
          <w:highlight w:val="none"/>
        </w:rPr>
      </w:pPr>
      <w:r>
        <w:rPr>
          <w:rFonts w:hint="eastAsia" w:ascii="宋体" w:hAnsi="宋体" w:eastAsia="宋体" w:cs="仿宋"/>
          <w:bCs/>
          <w:color w:val="auto"/>
          <w:sz w:val="28"/>
          <w:szCs w:val="28"/>
          <w:highlight w:val="none"/>
        </w:rPr>
        <w:fldChar w:fldCharType="begin"/>
      </w:r>
      <w:r>
        <w:rPr>
          <w:rFonts w:hint="eastAsia" w:ascii="宋体" w:hAnsi="宋体" w:eastAsia="宋体" w:cs="仿宋"/>
          <w:bCs/>
          <w:color w:val="auto"/>
          <w:sz w:val="28"/>
          <w:szCs w:val="28"/>
          <w:highlight w:val="none"/>
        </w:rPr>
        <w:instrText xml:space="preserve"> HYPERLINK \l _Toc453 </w:instrText>
      </w:r>
      <w:r>
        <w:rPr>
          <w:rFonts w:hint="eastAsia" w:ascii="宋体" w:hAnsi="宋体" w:eastAsia="宋体" w:cs="仿宋"/>
          <w:bCs/>
          <w:color w:val="auto"/>
          <w:sz w:val="28"/>
          <w:szCs w:val="28"/>
          <w:highlight w:val="none"/>
        </w:rPr>
        <w:fldChar w:fldCharType="separate"/>
      </w:r>
      <w:r>
        <w:rPr>
          <w:rFonts w:hint="eastAsia" w:ascii="宋体" w:hAnsi="宋体" w:eastAsia="宋体"/>
          <w:color w:val="auto"/>
          <w:sz w:val="28"/>
          <w:szCs w:val="28"/>
          <w:highlight w:val="none"/>
        </w:rPr>
        <w:t>六、合同授予</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_Toc453 </w:instrText>
      </w:r>
      <w:r>
        <w:rPr>
          <w:color w:val="auto"/>
          <w:sz w:val="28"/>
          <w:szCs w:val="28"/>
          <w:highlight w:val="none"/>
        </w:rPr>
        <w:fldChar w:fldCharType="separate"/>
      </w:r>
      <w:r>
        <w:rPr>
          <w:color w:val="auto"/>
          <w:sz w:val="28"/>
          <w:szCs w:val="28"/>
          <w:highlight w:val="none"/>
        </w:rPr>
        <w:t>23</w:t>
      </w:r>
      <w:r>
        <w:rPr>
          <w:color w:val="auto"/>
          <w:sz w:val="28"/>
          <w:szCs w:val="28"/>
          <w:highlight w:val="none"/>
        </w:rPr>
        <w:fldChar w:fldCharType="end"/>
      </w:r>
      <w:r>
        <w:rPr>
          <w:rFonts w:hint="eastAsia" w:ascii="宋体" w:hAnsi="宋体" w:eastAsia="宋体" w:cs="仿宋"/>
          <w:bCs/>
          <w:color w:val="auto"/>
          <w:sz w:val="28"/>
          <w:szCs w:val="28"/>
          <w:highlight w:val="none"/>
        </w:rPr>
        <w:fldChar w:fldCharType="end"/>
      </w:r>
    </w:p>
    <w:p>
      <w:pPr>
        <w:pStyle w:val="31"/>
        <w:keepNext w:val="0"/>
        <w:keepLines w:val="0"/>
        <w:pageBreakBefore w:val="0"/>
        <w:tabs>
          <w:tab w:val="right" w:leader="dot" w:pos="9412"/>
        </w:tabs>
        <w:kinsoku/>
        <w:wordWrap/>
        <w:overflowPunct/>
        <w:topLinePunct w:val="0"/>
        <w:autoSpaceDE/>
        <w:autoSpaceDN/>
        <w:bidi w:val="0"/>
        <w:spacing w:line="500" w:lineRule="exact"/>
        <w:textAlignment w:val="auto"/>
        <w:rPr>
          <w:color w:val="auto"/>
          <w:sz w:val="28"/>
          <w:szCs w:val="28"/>
          <w:highlight w:val="none"/>
        </w:rPr>
      </w:pPr>
      <w:r>
        <w:rPr>
          <w:rFonts w:hint="eastAsia" w:ascii="宋体" w:hAnsi="宋体" w:eastAsia="宋体" w:cs="仿宋"/>
          <w:bCs/>
          <w:color w:val="auto"/>
          <w:sz w:val="28"/>
          <w:szCs w:val="28"/>
          <w:highlight w:val="none"/>
        </w:rPr>
        <w:fldChar w:fldCharType="begin"/>
      </w:r>
      <w:r>
        <w:rPr>
          <w:rFonts w:hint="eastAsia" w:ascii="宋体" w:hAnsi="宋体" w:eastAsia="宋体" w:cs="仿宋"/>
          <w:bCs/>
          <w:color w:val="auto"/>
          <w:sz w:val="28"/>
          <w:szCs w:val="28"/>
          <w:highlight w:val="none"/>
        </w:rPr>
        <w:instrText xml:space="preserve"> HYPERLINK \l _Toc23225 </w:instrText>
      </w:r>
      <w:r>
        <w:rPr>
          <w:rFonts w:hint="eastAsia" w:ascii="宋体" w:hAnsi="宋体" w:eastAsia="宋体" w:cs="仿宋"/>
          <w:bCs/>
          <w:color w:val="auto"/>
          <w:sz w:val="28"/>
          <w:szCs w:val="28"/>
          <w:highlight w:val="none"/>
        </w:rPr>
        <w:fldChar w:fldCharType="separate"/>
      </w:r>
      <w:r>
        <w:rPr>
          <w:rFonts w:hint="eastAsia" w:ascii="宋体" w:hAnsi="宋体" w:eastAsia="宋体"/>
          <w:color w:val="auto"/>
          <w:sz w:val="28"/>
          <w:szCs w:val="28"/>
          <w:highlight w:val="none"/>
        </w:rPr>
        <w:t>七、其他</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_Toc23225 </w:instrText>
      </w:r>
      <w:r>
        <w:rPr>
          <w:color w:val="auto"/>
          <w:sz w:val="28"/>
          <w:szCs w:val="28"/>
          <w:highlight w:val="none"/>
        </w:rPr>
        <w:fldChar w:fldCharType="separate"/>
      </w:r>
      <w:r>
        <w:rPr>
          <w:color w:val="auto"/>
          <w:sz w:val="28"/>
          <w:szCs w:val="28"/>
          <w:highlight w:val="none"/>
        </w:rPr>
        <w:t>24</w:t>
      </w:r>
      <w:r>
        <w:rPr>
          <w:color w:val="auto"/>
          <w:sz w:val="28"/>
          <w:szCs w:val="28"/>
          <w:highlight w:val="none"/>
        </w:rPr>
        <w:fldChar w:fldCharType="end"/>
      </w:r>
      <w:r>
        <w:rPr>
          <w:rFonts w:hint="eastAsia" w:ascii="宋体" w:hAnsi="宋体" w:eastAsia="宋体" w:cs="仿宋"/>
          <w:bCs/>
          <w:color w:val="auto"/>
          <w:sz w:val="28"/>
          <w:szCs w:val="28"/>
          <w:highlight w:val="none"/>
        </w:rPr>
        <w:fldChar w:fldCharType="end"/>
      </w:r>
    </w:p>
    <w:p>
      <w:pPr>
        <w:pStyle w:val="26"/>
        <w:keepNext w:val="0"/>
        <w:keepLines w:val="0"/>
        <w:pageBreakBefore w:val="0"/>
        <w:tabs>
          <w:tab w:val="right" w:leader="dot" w:pos="9412"/>
        </w:tabs>
        <w:kinsoku/>
        <w:wordWrap/>
        <w:overflowPunct/>
        <w:topLinePunct w:val="0"/>
        <w:autoSpaceDE/>
        <w:autoSpaceDN/>
        <w:bidi w:val="0"/>
        <w:spacing w:line="500" w:lineRule="exact"/>
        <w:textAlignment w:val="auto"/>
        <w:rPr>
          <w:color w:val="auto"/>
          <w:sz w:val="28"/>
          <w:szCs w:val="28"/>
          <w:highlight w:val="none"/>
        </w:rPr>
      </w:pPr>
      <w:r>
        <w:rPr>
          <w:rFonts w:hint="eastAsia" w:ascii="宋体" w:hAnsi="宋体" w:eastAsia="宋体" w:cs="仿宋"/>
          <w:bCs/>
          <w:color w:val="auto"/>
          <w:sz w:val="28"/>
          <w:szCs w:val="28"/>
          <w:highlight w:val="none"/>
        </w:rPr>
        <w:fldChar w:fldCharType="begin"/>
      </w:r>
      <w:r>
        <w:rPr>
          <w:rFonts w:hint="eastAsia" w:ascii="宋体" w:hAnsi="宋体" w:eastAsia="宋体" w:cs="仿宋"/>
          <w:bCs/>
          <w:color w:val="auto"/>
          <w:sz w:val="28"/>
          <w:szCs w:val="28"/>
          <w:highlight w:val="none"/>
        </w:rPr>
        <w:instrText xml:space="preserve"> HYPERLINK \l _Toc14373 </w:instrText>
      </w:r>
      <w:r>
        <w:rPr>
          <w:rFonts w:hint="eastAsia" w:ascii="宋体" w:hAnsi="宋体" w:eastAsia="宋体" w:cs="仿宋"/>
          <w:bCs/>
          <w:color w:val="auto"/>
          <w:sz w:val="28"/>
          <w:szCs w:val="28"/>
          <w:highlight w:val="none"/>
        </w:rPr>
        <w:fldChar w:fldCharType="separate"/>
      </w:r>
      <w:r>
        <w:rPr>
          <w:rFonts w:hint="eastAsia" w:ascii="宋体" w:hAnsi="宋体" w:eastAsia="宋体"/>
          <w:bCs/>
          <w:color w:val="auto"/>
          <w:sz w:val="28"/>
          <w:szCs w:val="28"/>
          <w:highlight w:val="none"/>
        </w:rPr>
        <w:t>第三章  项目采购需求和说明</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_Toc14373 </w:instrText>
      </w:r>
      <w:r>
        <w:rPr>
          <w:color w:val="auto"/>
          <w:sz w:val="28"/>
          <w:szCs w:val="28"/>
          <w:highlight w:val="none"/>
        </w:rPr>
        <w:fldChar w:fldCharType="separate"/>
      </w:r>
      <w:r>
        <w:rPr>
          <w:color w:val="auto"/>
          <w:sz w:val="28"/>
          <w:szCs w:val="28"/>
          <w:highlight w:val="none"/>
        </w:rPr>
        <w:t>26</w:t>
      </w:r>
      <w:r>
        <w:rPr>
          <w:color w:val="auto"/>
          <w:sz w:val="28"/>
          <w:szCs w:val="28"/>
          <w:highlight w:val="none"/>
        </w:rPr>
        <w:fldChar w:fldCharType="end"/>
      </w:r>
      <w:r>
        <w:rPr>
          <w:rFonts w:hint="eastAsia" w:ascii="宋体" w:hAnsi="宋体" w:eastAsia="宋体" w:cs="仿宋"/>
          <w:bCs/>
          <w:color w:val="auto"/>
          <w:sz w:val="28"/>
          <w:szCs w:val="28"/>
          <w:highlight w:val="none"/>
        </w:rPr>
        <w:fldChar w:fldCharType="end"/>
      </w:r>
    </w:p>
    <w:p>
      <w:pPr>
        <w:pStyle w:val="26"/>
        <w:keepNext w:val="0"/>
        <w:keepLines w:val="0"/>
        <w:pageBreakBefore w:val="0"/>
        <w:tabs>
          <w:tab w:val="right" w:leader="dot" w:pos="9412"/>
        </w:tabs>
        <w:kinsoku/>
        <w:wordWrap/>
        <w:overflowPunct/>
        <w:topLinePunct w:val="0"/>
        <w:autoSpaceDE/>
        <w:autoSpaceDN/>
        <w:bidi w:val="0"/>
        <w:spacing w:line="500" w:lineRule="exact"/>
        <w:textAlignment w:val="auto"/>
        <w:rPr>
          <w:color w:val="auto"/>
          <w:sz w:val="28"/>
          <w:szCs w:val="28"/>
          <w:highlight w:val="none"/>
        </w:rPr>
      </w:pPr>
      <w:r>
        <w:rPr>
          <w:rFonts w:hint="eastAsia" w:ascii="宋体" w:hAnsi="宋体" w:eastAsia="宋体" w:cs="仿宋"/>
          <w:bCs/>
          <w:color w:val="auto"/>
          <w:sz w:val="28"/>
          <w:szCs w:val="28"/>
          <w:highlight w:val="none"/>
        </w:rPr>
        <w:fldChar w:fldCharType="begin"/>
      </w:r>
      <w:r>
        <w:rPr>
          <w:rFonts w:hint="eastAsia" w:ascii="宋体" w:hAnsi="宋体" w:eastAsia="宋体" w:cs="仿宋"/>
          <w:bCs/>
          <w:color w:val="auto"/>
          <w:sz w:val="28"/>
          <w:szCs w:val="28"/>
          <w:highlight w:val="none"/>
        </w:rPr>
        <w:instrText xml:space="preserve"> HYPERLINK \l _Toc11191 </w:instrText>
      </w:r>
      <w:r>
        <w:rPr>
          <w:rFonts w:hint="eastAsia" w:ascii="宋体" w:hAnsi="宋体" w:eastAsia="宋体" w:cs="仿宋"/>
          <w:bCs/>
          <w:color w:val="auto"/>
          <w:sz w:val="28"/>
          <w:szCs w:val="28"/>
          <w:highlight w:val="none"/>
        </w:rPr>
        <w:fldChar w:fldCharType="separate"/>
      </w:r>
      <w:r>
        <w:rPr>
          <w:rFonts w:hint="eastAsia" w:ascii="宋体" w:hAnsi="宋体" w:eastAsia="宋体"/>
          <w:color w:val="auto"/>
          <w:sz w:val="28"/>
          <w:szCs w:val="28"/>
          <w:highlight w:val="none"/>
        </w:rPr>
        <w:t>第四章  评审方法及评审标准</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_Toc11191 </w:instrText>
      </w:r>
      <w:r>
        <w:rPr>
          <w:color w:val="auto"/>
          <w:sz w:val="28"/>
          <w:szCs w:val="28"/>
          <w:highlight w:val="none"/>
        </w:rPr>
        <w:fldChar w:fldCharType="separate"/>
      </w:r>
      <w:r>
        <w:rPr>
          <w:color w:val="auto"/>
          <w:sz w:val="28"/>
          <w:szCs w:val="28"/>
          <w:highlight w:val="none"/>
        </w:rPr>
        <w:t>34</w:t>
      </w:r>
      <w:r>
        <w:rPr>
          <w:color w:val="auto"/>
          <w:sz w:val="28"/>
          <w:szCs w:val="28"/>
          <w:highlight w:val="none"/>
        </w:rPr>
        <w:fldChar w:fldCharType="end"/>
      </w:r>
      <w:r>
        <w:rPr>
          <w:rFonts w:hint="eastAsia" w:ascii="宋体" w:hAnsi="宋体" w:eastAsia="宋体" w:cs="仿宋"/>
          <w:bCs/>
          <w:color w:val="auto"/>
          <w:sz w:val="28"/>
          <w:szCs w:val="28"/>
          <w:highlight w:val="none"/>
        </w:rPr>
        <w:fldChar w:fldCharType="end"/>
      </w:r>
    </w:p>
    <w:p>
      <w:pPr>
        <w:pStyle w:val="31"/>
        <w:keepNext w:val="0"/>
        <w:keepLines w:val="0"/>
        <w:pageBreakBefore w:val="0"/>
        <w:tabs>
          <w:tab w:val="right" w:leader="dot" w:pos="9412"/>
        </w:tabs>
        <w:kinsoku/>
        <w:wordWrap/>
        <w:overflowPunct/>
        <w:topLinePunct w:val="0"/>
        <w:autoSpaceDE/>
        <w:autoSpaceDN/>
        <w:bidi w:val="0"/>
        <w:spacing w:line="500" w:lineRule="exact"/>
        <w:textAlignment w:val="auto"/>
        <w:rPr>
          <w:color w:val="auto"/>
          <w:sz w:val="28"/>
          <w:szCs w:val="28"/>
          <w:highlight w:val="none"/>
        </w:rPr>
      </w:pPr>
      <w:r>
        <w:rPr>
          <w:rFonts w:hint="eastAsia" w:ascii="宋体" w:hAnsi="宋体" w:eastAsia="宋体" w:cs="仿宋"/>
          <w:bCs/>
          <w:color w:val="auto"/>
          <w:sz w:val="28"/>
          <w:szCs w:val="28"/>
          <w:highlight w:val="none"/>
        </w:rPr>
        <w:fldChar w:fldCharType="begin"/>
      </w:r>
      <w:r>
        <w:rPr>
          <w:rFonts w:hint="eastAsia" w:ascii="宋体" w:hAnsi="宋体" w:eastAsia="宋体" w:cs="仿宋"/>
          <w:bCs/>
          <w:color w:val="auto"/>
          <w:sz w:val="28"/>
          <w:szCs w:val="28"/>
          <w:highlight w:val="none"/>
        </w:rPr>
        <w:instrText xml:space="preserve"> HYPERLINK \l _Toc8052 </w:instrText>
      </w:r>
      <w:r>
        <w:rPr>
          <w:rFonts w:hint="eastAsia" w:ascii="宋体" w:hAnsi="宋体" w:eastAsia="宋体" w:cs="仿宋"/>
          <w:bCs/>
          <w:color w:val="auto"/>
          <w:sz w:val="28"/>
          <w:szCs w:val="28"/>
          <w:highlight w:val="none"/>
        </w:rPr>
        <w:fldChar w:fldCharType="separate"/>
      </w:r>
      <w:r>
        <w:rPr>
          <w:rFonts w:hint="eastAsia" w:ascii="宋体" w:hAnsi="宋体" w:eastAsia="宋体" w:cs="Arial"/>
          <w:bCs/>
          <w:color w:val="auto"/>
          <w:sz w:val="28"/>
          <w:szCs w:val="28"/>
          <w:highlight w:val="none"/>
        </w:rPr>
        <w:t>一、评审原则</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_Toc8052 </w:instrText>
      </w:r>
      <w:r>
        <w:rPr>
          <w:color w:val="auto"/>
          <w:sz w:val="28"/>
          <w:szCs w:val="28"/>
          <w:highlight w:val="none"/>
        </w:rPr>
        <w:fldChar w:fldCharType="separate"/>
      </w:r>
      <w:r>
        <w:rPr>
          <w:color w:val="auto"/>
          <w:sz w:val="28"/>
          <w:szCs w:val="28"/>
          <w:highlight w:val="none"/>
        </w:rPr>
        <w:t>34</w:t>
      </w:r>
      <w:r>
        <w:rPr>
          <w:color w:val="auto"/>
          <w:sz w:val="28"/>
          <w:szCs w:val="28"/>
          <w:highlight w:val="none"/>
        </w:rPr>
        <w:fldChar w:fldCharType="end"/>
      </w:r>
      <w:r>
        <w:rPr>
          <w:rFonts w:hint="eastAsia" w:ascii="宋体" w:hAnsi="宋体" w:eastAsia="宋体" w:cs="仿宋"/>
          <w:bCs/>
          <w:color w:val="auto"/>
          <w:sz w:val="28"/>
          <w:szCs w:val="28"/>
          <w:highlight w:val="none"/>
        </w:rPr>
        <w:fldChar w:fldCharType="end"/>
      </w:r>
    </w:p>
    <w:p>
      <w:pPr>
        <w:pStyle w:val="31"/>
        <w:keepNext w:val="0"/>
        <w:keepLines w:val="0"/>
        <w:pageBreakBefore w:val="0"/>
        <w:tabs>
          <w:tab w:val="right" w:leader="dot" w:pos="9412"/>
        </w:tabs>
        <w:kinsoku/>
        <w:wordWrap/>
        <w:overflowPunct/>
        <w:topLinePunct w:val="0"/>
        <w:autoSpaceDE/>
        <w:autoSpaceDN/>
        <w:bidi w:val="0"/>
        <w:spacing w:line="500" w:lineRule="exact"/>
        <w:textAlignment w:val="auto"/>
        <w:rPr>
          <w:color w:val="auto"/>
          <w:sz w:val="28"/>
          <w:szCs w:val="28"/>
          <w:highlight w:val="none"/>
        </w:rPr>
      </w:pPr>
      <w:r>
        <w:rPr>
          <w:rFonts w:hint="eastAsia" w:ascii="宋体" w:hAnsi="宋体" w:eastAsia="宋体" w:cs="仿宋"/>
          <w:bCs/>
          <w:color w:val="auto"/>
          <w:sz w:val="28"/>
          <w:szCs w:val="28"/>
          <w:highlight w:val="none"/>
        </w:rPr>
        <w:fldChar w:fldCharType="begin"/>
      </w:r>
      <w:r>
        <w:rPr>
          <w:rFonts w:hint="eastAsia" w:ascii="宋体" w:hAnsi="宋体" w:eastAsia="宋体" w:cs="仿宋"/>
          <w:bCs/>
          <w:color w:val="auto"/>
          <w:sz w:val="28"/>
          <w:szCs w:val="28"/>
          <w:highlight w:val="none"/>
        </w:rPr>
        <w:instrText xml:space="preserve"> HYPERLINK \l _Toc17167 </w:instrText>
      </w:r>
      <w:r>
        <w:rPr>
          <w:rFonts w:hint="eastAsia" w:ascii="宋体" w:hAnsi="宋体" w:eastAsia="宋体" w:cs="仿宋"/>
          <w:bCs/>
          <w:color w:val="auto"/>
          <w:sz w:val="28"/>
          <w:szCs w:val="28"/>
          <w:highlight w:val="none"/>
        </w:rPr>
        <w:fldChar w:fldCharType="separate"/>
      </w:r>
      <w:r>
        <w:rPr>
          <w:rFonts w:hint="eastAsia" w:ascii="宋体" w:hAnsi="宋体" w:eastAsia="宋体" w:cs="Arial"/>
          <w:bCs/>
          <w:color w:val="auto"/>
          <w:sz w:val="28"/>
          <w:szCs w:val="28"/>
          <w:highlight w:val="none"/>
        </w:rPr>
        <w:t>二、评审标准</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_Toc17167 </w:instrText>
      </w:r>
      <w:r>
        <w:rPr>
          <w:color w:val="auto"/>
          <w:sz w:val="28"/>
          <w:szCs w:val="28"/>
          <w:highlight w:val="none"/>
        </w:rPr>
        <w:fldChar w:fldCharType="separate"/>
      </w:r>
      <w:r>
        <w:rPr>
          <w:color w:val="auto"/>
          <w:sz w:val="28"/>
          <w:szCs w:val="28"/>
          <w:highlight w:val="none"/>
        </w:rPr>
        <w:t>34</w:t>
      </w:r>
      <w:r>
        <w:rPr>
          <w:color w:val="auto"/>
          <w:sz w:val="28"/>
          <w:szCs w:val="28"/>
          <w:highlight w:val="none"/>
        </w:rPr>
        <w:fldChar w:fldCharType="end"/>
      </w:r>
      <w:r>
        <w:rPr>
          <w:rFonts w:hint="eastAsia" w:ascii="宋体" w:hAnsi="宋体" w:eastAsia="宋体" w:cs="仿宋"/>
          <w:bCs/>
          <w:color w:val="auto"/>
          <w:sz w:val="28"/>
          <w:szCs w:val="28"/>
          <w:highlight w:val="none"/>
        </w:rPr>
        <w:fldChar w:fldCharType="end"/>
      </w:r>
    </w:p>
    <w:p>
      <w:pPr>
        <w:pStyle w:val="31"/>
        <w:keepNext w:val="0"/>
        <w:keepLines w:val="0"/>
        <w:pageBreakBefore w:val="0"/>
        <w:tabs>
          <w:tab w:val="right" w:leader="dot" w:pos="9412"/>
        </w:tabs>
        <w:kinsoku/>
        <w:wordWrap/>
        <w:overflowPunct/>
        <w:topLinePunct w:val="0"/>
        <w:autoSpaceDE/>
        <w:autoSpaceDN/>
        <w:bidi w:val="0"/>
        <w:spacing w:line="500" w:lineRule="exact"/>
        <w:textAlignment w:val="auto"/>
        <w:rPr>
          <w:color w:val="auto"/>
          <w:sz w:val="28"/>
          <w:szCs w:val="28"/>
          <w:highlight w:val="none"/>
        </w:rPr>
      </w:pPr>
      <w:r>
        <w:rPr>
          <w:rFonts w:hint="eastAsia" w:ascii="宋体" w:hAnsi="宋体" w:eastAsia="宋体" w:cs="仿宋"/>
          <w:bCs/>
          <w:color w:val="auto"/>
          <w:sz w:val="28"/>
          <w:szCs w:val="28"/>
          <w:highlight w:val="none"/>
        </w:rPr>
        <w:fldChar w:fldCharType="begin"/>
      </w:r>
      <w:r>
        <w:rPr>
          <w:rFonts w:hint="eastAsia" w:ascii="宋体" w:hAnsi="宋体" w:eastAsia="宋体" w:cs="仿宋"/>
          <w:bCs/>
          <w:color w:val="auto"/>
          <w:sz w:val="28"/>
          <w:szCs w:val="28"/>
          <w:highlight w:val="none"/>
        </w:rPr>
        <w:instrText xml:space="preserve"> HYPERLINK \l _Toc23866 </w:instrText>
      </w:r>
      <w:r>
        <w:rPr>
          <w:rFonts w:hint="eastAsia" w:ascii="宋体" w:hAnsi="宋体" w:eastAsia="宋体" w:cs="仿宋"/>
          <w:bCs/>
          <w:color w:val="auto"/>
          <w:sz w:val="28"/>
          <w:szCs w:val="28"/>
          <w:highlight w:val="none"/>
        </w:rPr>
        <w:fldChar w:fldCharType="separate"/>
      </w:r>
      <w:r>
        <w:rPr>
          <w:rFonts w:hint="eastAsia" w:ascii="宋体" w:hAnsi="宋体" w:eastAsia="宋体" w:cs="Arial"/>
          <w:bCs/>
          <w:color w:val="auto"/>
          <w:sz w:val="28"/>
          <w:szCs w:val="28"/>
          <w:highlight w:val="none"/>
        </w:rPr>
        <w:t>三、确定成交供应商</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_Toc23866 </w:instrText>
      </w:r>
      <w:r>
        <w:rPr>
          <w:color w:val="auto"/>
          <w:sz w:val="28"/>
          <w:szCs w:val="28"/>
          <w:highlight w:val="none"/>
        </w:rPr>
        <w:fldChar w:fldCharType="separate"/>
      </w:r>
      <w:r>
        <w:rPr>
          <w:color w:val="auto"/>
          <w:sz w:val="28"/>
          <w:szCs w:val="28"/>
          <w:highlight w:val="none"/>
        </w:rPr>
        <w:t>37</w:t>
      </w:r>
      <w:r>
        <w:rPr>
          <w:color w:val="auto"/>
          <w:sz w:val="28"/>
          <w:szCs w:val="28"/>
          <w:highlight w:val="none"/>
        </w:rPr>
        <w:fldChar w:fldCharType="end"/>
      </w:r>
      <w:r>
        <w:rPr>
          <w:rFonts w:hint="eastAsia" w:ascii="宋体" w:hAnsi="宋体" w:eastAsia="宋体" w:cs="仿宋"/>
          <w:bCs/>
          <w:color w:val="auto"/>
          <w:sz w:val="28"/>
          <w:szCs w:val="28"/>
          <w:highlight w:val="none"/>
        </w:rPr>
        <w:fldChar w:fldCharType="end"/>
      </w:r>
    </w:p>
    <w:p>
      <w:pPr>
        <w:pStyle w:val="26"/>
        <w:keepNext w:val="0"/>
        <w:keepLines w:val="0"/>
        <w:pageBreakBefore w:val="0"/>
        <w:tabs>
          <w:tab w:val="right" w:leader="dot" w:pos="9412"/>
        </w:tabs>
        <w:kinsoku/>
        <w:wordWrap/>
        <w:overflowPunct/>
        <w:topLinePunct w:val="0"/>
        <w:autoSpaceDE/>
        <w:autoSpaceDN/>
        <w:bidi w:val="0"/>
        <w:spacing w:line="500" w:lineRule="exact"/>
        <w:textAlignment w:val="auto"/>
        <w:rPr>
          <w:color w:val="auto"/>
          <w:sz w:val="28"/>
          <w:szCs w:val="28"/>
          <w:highlight w:val="none"/>
        </w:rPr>
      </w:pPr>
      <w:r>
        <w:rPr>
          <w:rFonts w:hint="eastAsia" w:ascii="宋体" w:hAnsi="宋体" w:eastAsia="宋体" w:cs="仿宋"/>
          <w:bCs/>
          <w:color w:val="auto"/>
          <w:sz w:val="28"/>
          <w:szCs w:val="28"/>
          <w:highlight w:val="none"/>
        </w:rPr>
        <w:fldChar w:fldCharType="begin"/>
      </w:r>
      <w:r>
        <w:rPr>
          <w:rFonts w:hint="eastAsia" w:ascii="宋体" w:hAnsi="宋体" w:eastAsia="宋体" w:cs="仿宋"/>
          <w:bCs/>
          <w:color w:val="auto"/>
          <w:sz w:val="28"/>
          <w:szCs w:val="28"/>
          <w:highlight w:val="none"/>
        </w:rPr>
        <w:instrText xml:space="preserve"> HYPERLINK \l _Toc15224 </w:instrText>
      </w:r>
      <w:r>
        <w:rPr>
          <w:rFonts w:hint="eastAsia" w:ascii="宋体" w:hAnsi="宋体" w:eastAsia="宋体" w:cs="仿宋"/>
          <w:bCs/>
          <w:color w:val="auto"/>
          <w:sz w:val="28"/>
          <w:szCs w:val="28"/>
          <w:highlight w:val="none"/>
        </w:rPr>
        <w:fldChar w:fldCharType="separate"/>
      </w:r>
      <w:r>
        <w:rPr>
          <w:rFonts w:hint="eastAsia" w:ascii="宋体" w:hAnsi="宋体" w:eastAsia="宋体"/>
          <w:bCs/>
          <w:color w:val="auto"/>
          <w:sz w:val="28"/>
          <w:szCs w:val="28"/>
          <w:highlight w:val="none"/>
        </w:rPr>
        <w:t>第五章  合同条款</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_Toc15224 </w:instrText>
      </w:r>
      <w:r>
        <w:rPr>
          <w:color w:val="auto"/>
          <w:sz w:val="28"/>
          <w:szCs w:val="28"/>
          <w:highlight w:val="none"/>
        </w:rPr>
        <w:fldChar w:fldCharType="separate"/>
      </w:r>
      <w:r>
        <w:rPr>
          <w:color w:val="auto"/>
          <w:sz w:val="28"/>
          <w:szCs w:val="28"/>
          <w:highlight w:val="none"/>
        </w:rPr>
        <w:t>38</w:t>
      </w:r>
      <w:r>
        <w:rPr>
          <w:color w:val="auto"/>
          <w:sz w:val="28"/>
          <w:szCs w:val="28"/>
          <w:highlight w:val="none"/>
        </w:rPr>
        <w:fldChar w:fldCharType="end"/>
      </w:r>
      <w:r>
        <w:rPr>
          <w:rFonts w:hint="eastAsia" w:ascii="宋体" w:hAnsi="宋体" w:eastAsia="宋体" w:cs="仿宋"/>
          <w:bCs/>
          <w:color w:val="auto"/>
          <w:sz w:val="28"/>
          <w:szCs w:val="28"/>
          <w:highlight w:val="none"/>
        </w:rPr>
        <w:fldChar w:fldCharType="end"/>
      </w:r>
    </w:p>
    <w:p>
      <w:pPr>
        <w:pStyle w:val="26"/>
        <w:keepNext w:val="0"/>
        <w:keepLines w:val="0"/>
        <w:pageBreakBefore w:val="0"/>
        <w:tabs>
          <w:tab w:val="right" w:leader="dot" w:pos="9412"/>
        </w:tabs>
        <w:kinsoku/>
        <w:wordWrap/>
        <w:overflowPunct/>
        <w:topLinePunct w:val="0"/>
        <w:autoSpaceDE/>
        <w:autoSpaceDN/>
        <w:bidi w:val="0"/>
        <w:spacing w:line="500" w:lineRule="exact"/>
        <w:textAlignment w:val="auto"/>
        <w:rPr>
          <w:color w:val="auto"/>
          <w:highlight w:val="none"/>
        </w:rPr>
      </w:pPr>
      <w:r>
        <w:rPr>
          <w:rFonts w:hint="eastAsia" w:ascii="宋体" w:hAnsi="宋体" w:eastAsia="宋体" w:cs="仿宋"/>
          <w:bCs/>
          <w:color w:val="auto"/>
          <w:sz w:val="28"/>
          <w:szCs w:val="28"/>
          <w:highlight w:val="none"/>
        </w:rPr>
        <w:fldChar w:fldCharType="begin"/>
      </w:r>
      <w:r>
        <w:rPr>
          <w:rFonts w:hint="eastAsia" w:ascii="宋体" w:hAnsi="宋体" w:eastAsia="宋体" w:cs="仿宋"/>
          <w:bCs/>
          <w:color w:val="auto"/>
          <w:sz w:val="28"/>
          <w:szCs w:val="28"/>
          <w:highlight w:val="none"/>
        </w:rPr>
        <w:instrText xml:space="preserve"> HYPERLINK \l _Toc10098 </w:instrText>
      </w:r>
      <w:r>
        <w:rPr>
          <w:rFonts w:hint="eastAsia" w:ascii="宋体" w:hAnsi="宋体" w:eastAsia="宋体" w:cs="仿宋"/>
          <w:bCs/>
          <w:color w:val="auto"/>
          <w:sz w:val="28"/>
          <w:szCs w:val="28"/>
          <w:highlight w:val="none"/>
        </w:rPr>
        <w:fldChar w:fldCharType="separate"/>
      </w:r>
      <w:r>
        <w:rPr>
          <w:rFonts w:hint="eastAsia" w:ascii="宋体" w:hAnsi="宋体" w:eastAsia="宋体"/>
          <w:color w:val="auto"/>
          <w:sz w:val="28"/>
          <w:szCs w:val="28"/>
          <w:highlight w:val="none"/>
        </w:rPr>
        <w:t>第六章  响应文件格式</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_Toc10098 </w:instrText>
      </w:r>
      <w:r>
        <w:rPr>
          <w:color w:val="auto"/>
          <w:sz w:val="28"/>
          <w:szCs w:val="28"/>
          <w:highlight w:val="none"/>
        </w:rPr>
        <w:fldChar w:fldCharType="separate"/>
      </w:r>
      <w:r>
        <w:rPr>
          <w:color w:val="auto"/>
          <w:sz w:val="28"/>
          <w:szCs w:val="28"/>
          <w:highlight w:val="none"/>
        </w:rPr>
        <w:t>48</w:t>
      </w:r>
      <w:r>
        <w:rPr>
          <w:color w:val="auto"/>
          <w:sz w:val="28"/>
          <w:szCs w:val="28"/>
          <w:highlight w:val="none"/>
        </w:rPr>
        <w:fldChar w:fldCharType="end"/>
      </w:r>
      <w:r>
        <w:rPr>
          <w:rFonts w:hint="eastAsia" w:ascii="宋体" w:hAnsi="宋体" w:eastAsia="宋体" w:cs="仿宋"/>
          <w:bCs/>
          <w:color w:val="auto"/>
          <w:sz w:val="28"/>
          <w:szCs w:val="28"/>
          <w:highlight w:val="none"/>
        </w:rPr>
        <w:fldChar w:fldCharType="end"/>
      </w:r>
    </w:p>
    <w:p>
      <w:pPr>
        <w:keepNext w:val="0"/>
        <w:keepLines w:val="0"/>
        <w:pageBreakBefore w:val="0"/>
        <w:kinsoku/>
        <w:wordWrap/>
        <w:overflowPunct/>
        <w:topLinePunct w:val="0"/>
        <w:autoSpaceDE/>
        <w:autoSpaceDN/>
        <w:bidi w:val="0"/>
        <w:spacing w:after="0" w:line="500" w:lineRule="exact"/>
        <w:ind w:firstLine="220" w:firstLineChars="100"/>
        <w:textAlignment w:val="auto"/>
        <w:rPr>
          <w:rFonts w:ascii="宋体" w:hAnsi="宋体" w:eastAsia="宋体"/>
          <w:color w:val="auto"/>
          <w:sz w:val="20"/>
          <w:szCs w:val="20"/>
          <w:highlight w:val="none"/>
        </w:rPr>
        <w:sectPr>
          <w:headerReference r:id="rId7" w:type="first"/>
          <w:footerReference r:id="rId8" w:type="first"/>
          <w:pgSz w:w="11907" w:h="16840"/>
          <w:pgMar w:top="1077" w:right="1418" w:bottom="1418" w:left="1077" w:header="624" w:footer="737" w:gutter="0"/>
          <w:pgNumType w:start="1"/>
          <w:cols w:space="720" w:num="1"/>
          <w:docGrid w:linePitch="312" w:charSpace="0"/>
        </w:sectPr>
      </w:pPr>
      <w:r>
        <w:rPr>
          <w:rFonts w:hint="eastAsia" w:ascii="宋体" w:hAnsi="宋体" w:eastAsia="宋体" w:cs="仿宋"/>
          <w:bCs/>
          <w:color w:val="auto"/>
          <w:szCs w:val="28"/>
          <w:highlight w:val="none"/>
        </w:rPr>
        <w:fldChar w:fldCharType="end"/>
      </w:r>
    </w:p>
    <w:bookmarkEnd w:id="0"/>
    <w:bookmarkEnd w:id="1"/>
    <w:bookmarkEnd w:id="2"/>
    <w:p>
      <w:pPr>
        <w:pStyle w:val="3"/>
        <w:rPr>
          <w:rFonts w:hint="eastAsia"/>
          <w:color w:val="auto"/>
          <w:highlight w:val="none"/>
        </w:rPr>
      </w:pPr>
      <w:r>
        <w:rPr>
          <w:rFonts w:hint="eastAsia"/>
          <w:color w:val="auto"/>
          <w:highlight w:val="none"/>
          <w:lang w:eastAsia="zh-CN"/>
        </w:rPr>
        <w:t>第一章</w:t>
      </w:r>
      <w:r>
        <w:rPr>
          <w:rFonts w:hint="eastAsia"/>
          <w:color w:val="auto"/>
          <w:highlight w:val="none"/>
          <w:lang w:val="en-US" w:eastAsia="zh-CN"/>
        </w:rPr>
        <w:t xml:space="preserve">  </w:t>
      </w:r>
      <w:r>
        <w:rPr>
          <w:rFonts w:hint="eastAsia"/>
          <w:color w:val="auto"/>
          <w:highlight w:val="none"/>
        </w:rPr>
        <w:t>竞争性谈判公告</w:t>
      </w:r>
    </w:p>
    <w:p>
      <w:pPr>
        <w:pStyle w:val="36"/>
        <w:ind w:left="0" w:leftChars="0" w:firstLine="0" w:firstLineChars="0"/>
        <w:jc w:val="center"/>
        <w:rPr>
          <w:rFonts w:hint="eastAsia" w:ascii="宋体"/>
          <w:b/>
          <w:color w:val="auto"/>
          <w:szCs w:val="28"/>
          <w:highlight w:val="none"/>
          <w:lang w:eastAsia="zh-CN"/>
        </w:rPr>
      </w:pPr>
      <w:r>
        <w:rPr>
          <w:rFonts w:hint="eastAsia" w:ascii="宋体"/>
          <w:b/>
          <w:color w:val="auto"/>
          <w:szCs w:val="28"/>
          <w:highlight w:val="none"/>
          <w:lang w:eastAsia="zh-CN"/>
        </w:rPr>
        <w:t xml:space="preserve">大化县公安局办公设备、户籍设备、刑事技术设备采购  </w:t>
      </w:r>
    </w:p>
    <w:p>
      <w:pPr>
        <w:pStyle w:val="36"/>
        <w:ind w:left="0" w:leftChars="0" w:firstLine="0" w:firstLineChars="0"/>
        <w:jc w:val="center"/>
        <w:rPr>
          <w:rFonts w:hint="eastAsia" w:ascii="宋体"/>
          <w:b/>
          <w:color w:val="auto"/>
          <w:szCs w:val="28"/>
          <w:highlight w:val="none"/>
        </w:rPr>
      </w:pPr>
      <w:r>
        <w:rPr>
          <w:rFonts w:hint="eastAsia" w:ascii="宋体"/>
          <w:b/>
          <w:color w:val="auto"/>
          <w:szCs w:val="28"/>
          <w:highlight w:val="none"/>
        </w:rPr>
        <w:t>竞争性谈判公告</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spacing w:line="400" w:lineRule="exact"/>
        <w:ind w:firstLine="480" w:firstLineChars="200"/>
        <w:outlineLvl w:val="9"/>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项目概况：</w:t>
      </w:r>
      <w:r>
        <w:rPr>
          <w:rFonts w:hint="eastAsia" w:ascii="宋体" w:hAnsi="宋体" w:eastAsia="宋体" w:cs="宋体"/>
          <w:color w:val="auto"/>
          <w:sz w:val="24"/>
          <w:szCs w:val="24"/>
          <w:highlight w:val="none"/>
          <w:u w:val="single"/>
          <w:lang w:eastAsia="zh-CN"/>
        </w:rPr>
        <w:t xml:space="preserve">大化县公安局办公设备、户籍设备、刑事技术设备采购  </w:t>
      </w:r>
      <w:r>
        <w:rPr>
          <w:rFonts w:hint="eastAsia" w:ascii="宋体" w:hAnsi="宋体" w:eastAsia="宋体" w:cs="宋体"/>
          <w:color w:val="auto"/>
          <w:sz w:val="24"/>
          <w:szCs w:val="24"/>
          <w:highlight w:val="none"/>
        </w:rPr>
        <w:t>项目已经依法获得采购人和评审专家分别书面推荐的供应商</w:t>
      </w:r>
      <w:r>
        <w:rPr>
          <w:rFonts w:hint="eastAsia" w:ascii="宋体" w:hAnsi="宋体" w:eastAsia="宋体" w:cs="宋体"/>
          <w:color w:val="auto"/>
          <w:sz w:val="24"/>
          <w:szCs w:val="24"/>
          <w:highlight w:val="none"/>
          <w:u w:val="none"/>
        </w:rPr>
        <w:t>应在河池市公共资源交易中心网（http：//www.hcjyxxw.com）</w:t>
      </w:r>
      <w:r>
        <w:rPr>
          <w:rFonts w:hint="eastAsia" w:ascii="宋体" w:hAnsi="宋体" w:eastAsia="宋体" w:cs="宋体"/>
          <w:color w:val="auto"/>
          <w:sz w:val="24"/>
          <w:szCs w:val="24"/>
          <w:highlight w:val="none"/>
          <w:u w:val="none"/>
          <w:lang w:eastAsia="zh-CN"/>
        </w:rPr>
        <w:t>及</w:t>
      </w:r>
      <w:r>
        <w:rPr>
          <w:rFonts w:hint="eastAsia" w:ascii="宋体" w:hAnsi="宋体" w:eastAsia="宋体" w:cs="宋体"/>
          <w:color w:val="auto"/>
          <w:sz w:val="24"/>
          <w:szCs w:val="24"/>
          <w:highlight w:val="none"/>
          <w:u w:val="none"/>
        </w:rPr>
        <w:t>政府采购</w:t>
      </w:r>
      <w:r>
        <w:rPr>
          <w:rFonts w:hint="eastAsia" w:ascii="宋体" w:hAnsi="宋体" w:eastAsia="宋体" w:cs="宋体"/>
          <w:color w:val="auto"/>
          <w:sz w:val="24"/>
          <w:szCs w:val="24"/>
          <w:highlight w:val="none"/>
          <w:u w:val="none"/>
          <w:lang w:eastAsia="zh-CN"/>
        </w:rPr>
        <w:t>云</w:t>
      </w:r>
      <w:r>
        <w:rPr>
          <w:rFonts w:hint="eastAsia" w:ascii="宋体" w:hAnsi="宋体" w:eastAsia="宋体" w:cs="宋体"/>
          <w:color w:val="auto"/>
          <w:sz w:val="24"/>
          <w:szCs w:val="24"/>
          <w:highlight w:val="none"/>
          <w:u w:val="none"/>
        </w:rPr>
        <w:t>平台（http://www.zcygov.cn/】</w:t>
      </w:r>
      <w:r>
        <w:rPr>
          <w:rFonts w:hint="eastAsia" w:ascii="宋体" w:hAnsi="宋体" w:eastAsia="宋体" w:cs="宋体"/>
          <w:color w:val="auto"/>
          <w:sz w:val="24"/>
          <w:szCs w:val="24"/>
          <w:highlight w:val="none"/>
          <w:u w:val="none"/>
          <w:lang w:eastAsia="zh-CN"/>
        </w:rPr>
        <w:t>注册并</w:t>
      </w:r>
      <w:r>
        <w:rPr>
          <w:rFonts w:hint="eastAsia" w:ascii="宋体" w:hAnsi="宋体" w:eastAsia="宋体" w:cs="宋体"/>
          <w:color w:val="auto"/>
          <w:sz w:val="24"/>
          <w:szCs w:val="24"/>
          <w:highlight w:val="none"/>
          <w:u w:val="none"/>
        </w:rPr>
        <w:t>获取采购文件</w:t>
      </w:r>
      <w:r>
        <w:rPr>
          <w:rFonts w:hint="eastAsia" w:ascii="宋体" w:hAnsi="宋体" w:eastAsia="宋体" w:cs="宋体"/>
          <w:color w:val="auto"/>
          <w:sz w:val="24"/>
          <w:szCs w:val="24"/>
          <w:highlight w:val="none"/>
        </w:rPr>
        <w:t>，并于</w:t>
      </w:r>
      <w:r>
        <w:rPr>
          <w:rFonts w:hint="eastAsia" w:ascii="宋体" w:hAnsi="宋体" w:eastAsia="宋体" w:cs="宋体"/>
          <w:color w:val="auto"/>
          <w:sz w:val="24"/>
          <w:szCs w:val="24"/>
          <w:highlight w:val="none"/>
          <w:u w:val="single"/>
        </w:rPr>
        <w:t>2020年</w:t>
      </w:r>
      <w:r>
        <w:rPr>
          <w:rFonts w:hint="eastAsia" w:ascii="宋体" w:hAnsi="宋体" w:eastAsia="宋体" w:cs="宋体"/>
          <w:color w:val="auto"/>
          <w:sz w:val="24"/>
          <w:szCs w:val="24"/>
          <w:highlight w:val="none"/>
          <w:u w:val="single"/>
          <w:lang w:val="en-US" w:eastAsia="zh-CN"/>
        </w:rPr>
        <w:t xml:space="preserve"> 12 </w:t>
      </w:r>
      <w:r>
        <w:rPr>
          <w:rFonts w:hint="eastAsia" w:ascii="宋体" w:hAnsi="宋体" w:eastAsia="宋体" w:cs="宋体"/>
          <w:color w:val="auto"/>
          <w:sz w:val="24"/>
          <w:szCs w:val="24"/>
          <w:highlight w:val="none"/>
          <w:u w:val="single"/>
        </w:rPr>
        <w:t xml:space="preserve">月 </w:t>
      </w:r>
      <w:r>
        <w:rPr>
          <w:rFonts w:hint="eastAsia" w:ascii="宋体" w:hAnsi="宋体" w:eastAsia="宋体" w:cs="宋体"/>
          <w:color w:val="auto"/>
          <w:sz w:val="24"/>
          <w:szCs w:val="24"/>
          <w:highlight w:val="none"/>
          <w:u w:val="single"/>
          <w:lang w:val="en-US" w:eastAsia="zh-CN"/>
        </w:rPr>
        <w:t xml:space="preserve">15 </w:t>
      </w:r>
      <w:r>
        <w:rPr>
          <w:rFonts w:hint="eastAsia" w:ascii="宋体" w:hAnsi="宋体" w:eastAsia="宋体" w:cs="宋体"/>
          <w:color w:val="auto"/>
          <w:sz w:val="24"/>
          <w:szCs w:val="24"/>
          <w:highlight w:val="none"/>
          <w:u w:val="single"/>
        </w:rPr>
        <w:t xml:space="preserve">日 </w:t>
      </w:r>
      <w:r>
        <w:rPr>
          <w:rFonts w:hint="eastAsia" w:ascii="宋体" w:hAnsi="宋体" w:eastAsia="宋体" w:cs="宋体"/>
          <w:color w:val="auto"/>
          <w:sz w:val="24"/>
          <w:szCs w:val="24"/>
          <w:highlight w:val="none"/>
          <w:u w:val="single"/>
          <w:lang w:val="en-US" w:eastAsia="zh-CN"/>
        </w:rPr>
        <w:t xml:space="preserve">14 </w:t>
      </w:r>
      <w:r>
        <w:rPr>
          <w:rFonts w:hint="eastAsia" w:ascii="宋体" w:hAnsi="宋体" w:eastAsia="宋体" w:cs="宋体"/>
          <w:color w:val="auto"/>
          <w:sz w:val="24"/>
          <w:szCs w:val="24"/>
          <w:highlight w:val="none"/>
          <w:u w:val="single"/>
        </w:rPr>
        <w:t>点</w:t>
      </w:r>
      <w:r>
        <w:rPr>
          <w:rFonts w:hint="eastAsia" w:ascii="宋体" w:hAnsi="宋体" w:eastAsia="宋体" w:cs="宋体"/>
          <w:color w:val="auto"/>
          <w:sz w:val="24"/>
          <w:szCs w:val="24"/>
          <w:highlight w:val="none"/>
          <w:u w:val="single"/>
          <w:lang w:val="en-US" w:eastAsia="zh-CN"/>
        </w:rPr>
        <w:t xml:space="preserve"> 00</w:t>
      </w:r>
      <w:r>
        <w:rPr>
          <w:rFonts w:hint="eastAsia" w:ascii="宋体" w:hAnsi="宋体" w:eastAsia="宋体" w:cs="宋体"/>
          <w:color w:val="auto"/>
          <w:sz w:val="24"/>
          <w:szCs w:val="24"/>
          <w:highlight w:val="none"/>
          <w:u w:val="single"/>
        </w:rPr>
        <w:t xml:space="preserve"> 分</w:t>
      </w:r>
      <w:r>
        <w:rPr>
          <w:rFonts w:hint="eastAsia" w:ascii="宋体" w:hAnsi="宋体" w:eastAsia="宋体" w:cs="宋体"/>
          <w:bCs/>
          <w:color w:val="auto"/>
          <w:sz w:val="24"/>
          <w:szCs w:val="24"/>
          <w:highlight w:val="none"/>
        </w:rPr>
        <w:t>（北京时间）前提交响应文件</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autoSpaceDE/>
        <w:autoSpaceDN/>
        <w:bidi w:val="0"/>
        <w:adjustRightInd w:val="0"/>
        <w:snapToGrid w:val="0"/>
        <w:spacing w:after="0" w:line="440" w:lineRule="exact"/>
        <w:textAlignment w:val="auto"/>
        <w:outlineLvl w:val="9"/>
        <w:rPr>
          <w:rFonts w:ascii="宋体" w:hAnsi="宋体" w:eastAsia="宋体" w:cs="宋体"/>
          <w:color w:val="auto"/>
          <w:sz w:val="24"/>
          <w:szCs w:val="24"/>
          <w:highlight w:val="none"/>
        </w:rPr>
      </w:pPr>
      <w:bookmarkStart w:id="3" w:name="_Toc28359012"/>
      <w:bookmarkStart w:id="4" w:name="_Toc35393629"/>
      <w:bookmarkStart w:id="5" w:name="_Toc35393798"/>
      <w:bookmarkStart w:id="6" w:name="_Toc28359089"/>
      <w:r>
        <w:rPr>
          <w:rFonts w:hint="eastAsia" w:ascii="宋体" w:hAnsi="宋体" w:eastAsia="宋体" w:cs="宋体"/>
          <w:color w:val="auto"/>
          <w:sz w:val="24"/>
          <w:szCs w:val="24"/>
          <w:highlight w:val="none"/>
        </w:rPr>
        <w:t>一、项目基本情况</w:t>
      </w:r>
      <w:bookmarkEnd w:id="3"/>
      <w:bookmarkEnd w:id="4"/>
      <w:bookmarkEnd w:id="5"/>
      <w:bookmarkEnd w:id="6"/>
    </w:p>
    <w:p>
      <w:pPr>
        <w:keepNext w:val="0"/>
        <w:keepLines w:val="0"/>
        <w:pageBreakBefore w:val="0"/>
        <w:widowControl w:val="0"/>
        <w:kinsoku/>
        <w:wordWrap/>
        <w:overflowPunct/>
        <w:topLinePunct w:val="0"/>
        <w:autoSpaceDE/>
        <w:autoSpaceDN/>
        <w:bidi w:val="0"/>
        <w:adjustRightInd w:val="0"/>
        <w:snapToGrid w:val="0"/>
        <w:spacing w:after="0" w:line="440" w:lineRule="exact"/>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项目编号：</w:t>
      </w:r>
      <w:r>
        <w:rPr>
          <w:rFonts w:hint="eastAsia" w:ascii="宋体" w:hAnsi="宋体" w:eastAsia="宋体" w:cs="宋体"/>
          <w:color w:val="auto"/>
          <w:sz w:val="24"/>
          <w:szCs w:val="24"/>
          <w:highlight w:val="none"/>
          <w:lang w:eastAsia="zh-CN"/>
        </w:rPr>
        <w:t>HCZC2020-J1-290331-GXRY</w:t>
      </w:r>
      <w:r>
        <w:rPr>
          <w:rFonts w:hint="eastAsia" w:ascii="宋体" w:hAnsi="宋体" w:eastAsia="宋体" w:cs="宋体"/>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after="0" w:line="440" w:lineRule="exact"/>
        <w:textAlignment w:val="auto"/>
        <w:outlineLvl w:val="9"/>
        <w:rPr>
          <w:rFonts w:hint="eastAsia" w:ascii="宋体" w:hAnsi="宋体" w:eastAsia="宋体" w:cs="宋体"/>
          <w:color w:val="auto"/>
          <w:sz w:val="24"/>
          <w:szCs w:val="24"/>
          <w:highlight w:val="none"/>
          <w:u w:val="single"/>
          <w:lang w:eastAsia="zh-CN"/>
        </w:rPr>
      </w:pP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lang w:eastAsia="zh-CN"/>
        </w:rPr>
        <w:t xml:space="preserve">大化县公安局办公设备、户籍设备、刑事技术设备采购  </w:t>
      </w:r>
    </w:p>
    <w:p>
      <w:pPr>
        <w:keepNext w:val="0"/>
        <w:keepLines w:val="0"/>
        <w:pageBreakBefore w:val="0"/>
        <w:widowControl w:val="0"/>
        <w:kinsoku/>
        <w:wordWrap/>
        <w:overflowPunct/>
        <w:topLinePunct w:val="0"/>
        <w:autoSpaceDE/>
        <w:autoSpaceDN/>
        <w:bidi w:val="0"/>
        <w:adjustRightInd w:val="0"/>
        <w:snapToGrid w:val="0"/>
        <w:spacing w:after="0" w:line="440" w:lineRule="exact"/>
        <w:textAlignment w:val="auto"/>
        <w:outlineLvl w:val="9"/>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采购方式：竞争性谈判</w:t>
      </w:r>
    </w:p>
    <w:p>
      <w:pPr>
        <w:keepNext w:val="0"/>
        <w:keepLines w:val="0"/>
        <w:pageBreakBefore w:val="0"/>
        <w:widowControl w:val="0"/>
        <w:kinsoku/>
        <w:wordWrap/>
        <w:overflowPunct/>
        <w:topLinePunct w:val="0"/>
        <w:autoSpaceDE/>
        <w:autoSpaceDN/>
        <w:bidi w:val="0"/>
        <w:adjustRightInd w:val="0"/>
        <w:snapToGrid w:val="0"/>
        <w:spacing w:after="0" w:line="440" w:lineRule="exact"/>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预算金额：</w:t>
      </w:r>
      <w:r>
        <w:rPr>
          <w:rFonts w:hint="eastAsia" w:ascii="宋体" w:hAnsi="宋体" w:eastAsia="宋体" w:cs="宋体"/>
          <w:color w:val="auto"/>
          <w:sz w:val="24"/>
          <w:szCs w:val="24"/>
          <w:highlight w:val="none"/>
          <w:lang w:val="en-US" w:eastAsia="zh-CN"/>
        </w:rPr>
        <w:t>1560626.00元（其中A标段390000.00</w:t>
      </w:r>
      <w:r>
        <w:rPr>
          <w:rFonts w:hint="eastAsia" w:ascii="宋体" w:hAnsi="宋体" w:eastAsia="宋体" w:cs="宋体"/>
          <w:color w:val="auto"/>
          <w:sz w:val="24"/>
          <w:szCs w:val="24"/>
          <w:highlight w:val="none"/>
        </w:rPr>
        <w:t>元</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B标段：1170626.00元）</w:t>
      </w:r>
    </w:p>
    <w:p>
      <w:pPr>
        <w:keepNext w:val="0"/>
        <w:keepLines w:val="0"/>
        <w:pageBreakBefore w:val="0"/>
        <w:widowControl w:val="0"/>
        <w:kinsoku/>
        <w:wordWrap/>
        <w:overflowPunct/>
        <w:topLinePunct w:val="0"/>
        <w:autoSpaceDE/>
        <w:autoSpaceDN/>
        <w:bidi w:val="0"/>
        <w:adjustRightInd w:val="0"/>
        <w:snapToGrid w:val="0"/>
        <w:spacing w:after="0" w:line="440" w:lineRule="exact"/>
        <w:textAlignment w:val="auto"/>
        <w:outlineLvl w:val="9"/>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最高限价（如有）：/</w:t>
      </w:r>
    </w:p>
    <w:p>
      <w:pPr>
        <w:keepNext w:val="0"/>
        <w:keepLines w:val="0"/>
        <w:pageBreakBefore w:val="0"/>
        <w:widowControl w:val="0"/>
        <w:kinsoku/>
        <w:wordWrap/>
        <w:overflowPunct/>
        <w:topLinePunct w:val="0"/>
        <w:autoSpaceDE/>
        <w:autoSpaceDN/>
        <w:bidi w:val="0"/>
        <w:adjustRightInd w:val="0"/>
        <w:snapToGrid w:val="0"/>
        <w:spacing w:after="0" w:line="44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采购需求：</w:t>
      </w:r>
    </w:p>
    <w:tbl>
      <w:tblPr>
        <w:tblStyle w:val="38"/>
        <w:tblW w:w="9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1245"/>
        <w:gridCol w:w="6008"/>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9014"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30"/>
                <w:szCs w:val="30"/>
                <w:highlight w:val="none"/>
                <w:lang w:val="en-US" w:eastAsia="zh-CN"/>
              </w:rPr>
              <w:t>A标段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51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序号</w:t>
            </w:r>
          </w:p>
        </w:tc>
        <w:tc>
          <w:tcPr>
            <w:tcW w:w="12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货物名称</w:t>
            </w:r>
          </w:p>
        </w:tc>
        <w:tc>
          <w:tcPr>
            <w:tcW w:w="600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技术参数及功能（配置）要求</w:t>
            </w:r>
          </w:p>
        </w:tc>
        <w:tc>
          <w:tcPr>
            <w:tcW w:w="125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51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w:t>
            </w:r>
          </w:p>
        </w:tc>
        <w:tc>
          <w:tcPr>
            <w:tcW w:w="12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指掌纹采集仪</w:t>
            </w:r>
          </w:p>
        </w:tc>
        <w:tc>
          <w:tcPr>
            <w:tcW w:w="600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一、采集设备参数要求</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1、通过GA标准：GA/T625-2010, GA/T626.1-2010, GA/T626.2-2010,GA/T864-2010, GA/T865-2010, GA/T866-2010；</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2、配置液晶触控屏幕，可独立使用，亦可配合一体化采集设备分屏使用，提高采集效率和工作的便捷性。</w:t>
            </w:r>
          </w:p>
          <w:p>
            <w:pPr>
              <w:jc w:val="left"/>
              <w:rPr>
                <w:rFonts w:hint="eastAsia" w:ascii="宋体" w:hAnsi="宋体" w:eastAsia="宋体" w:cs="宋体"/>
                <w:color w:val="auto"/>
                <w:kern w:val="0"/>
                <w:sz w:val="24"/>
                <w:szCs w:val="24"/>
                <w:highlight w:val="none"/>
              </w:rPr>
            </w:pPr>
            <w:r>
              <w:rPr>
                <w:rFonts w:hint="eastAsia" w:ascii="宋体" w:hAnsi="宋体" w:eastAsia="宋体" w:cs="宋体"/>
                <w:i w:val="0"/>
                <w:color w:val="auto"/>
                <w:kern w:val="0"/>
                <w:sz w:val="21"/>
                <w:szCs w:val="21"/>
                <w:highlight w:val="none"/>
                <w:u w:val="none"/>
                <w:lang w:val="en-US" w:eastAsia="zh-CN" w:bidi="ar"/>
              </w:rPr>
              <w:t>……具体内容详见谈判文件货物需求一览表。</w:t>
            </w:r>
          </w:p>
        </w:tc>
        <w:tc>
          <w:tcPr>
            <w:tcW w:w="12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51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2</w:t>
            </w:r>
          </w:p>
        </w:tc>
        <w:tc>
          <w:tcPr>
            <w:tcW w:w="12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手机采集仪</w:t>
            </w:r>
          </w:p>
        </w:tc>
        <w:tc>
          <w:tcPr>
            <w:tcW w:w="600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kern w:val="0"/>
                <w:sz w:val="24"/>
                <w:szCs w:val="24"/>
                <w:highlight w:val="none"/>
              </w:rPr>
            </w:pPr>
            <w:r>
              <w:rPr>
                <w:rFonts w:hint="eastAsia" w:ascii="宋体" w:hAnsi="宋体" w:eastAsia="宋体" w:cs="宋体"/>
                <w:bCs/>
                <w:color w:val="auto"/>
                <w:sz w:val="24"/>
                <w:szCs w:val="24"/>
                <w:highlight w:val="none"/>
              </w:rPr>
              <w:t>一、性能参数要求</w:t>
            </w:r>
            <w:r>
              <w:rPr>
                <w:rFonts w:hint="eastAsia" w:ascii="宋体" w:hAnsi="宋体" w:eastAsia="宋体" w:cs="宋体"/>
                <w:bCs/>
                <w:color w:val="auto"/>
                <w:sz w:val="24"/>
                <w:szCs w:val="24"/>
                <w:highlight w:val="none"/>
              </w:rPr>
              <w:br w:type="textWrapping"/>
            </w:r>
            <w:r>
              <w:rPr>
                <w:rFonts w:hint="eastAsia" w:ascii="宋体" w:hAnsi="宋体" w:eastAsia="宋体" w:cs="宋体"/>
                <w:bCs/>
                <w:color w:val="auto"/>
                <w:sz w:val="24"/>
                <w:szCs w:val="24"/>
                <w:highlight w:val="none"/>
              </w:rPr>
              <w:t>1. 产品应采用一体化设计，统一的工作平台。</w:t>
            </w:r>
            <w:r>
              <w:rPr>
                <w:rFonts w:hint="eastAsia" w:ascii="宋体" w:hAnsi="宋体" w:eastAsia="宋体" w:cs="宋体"/>
                <w:bCs/>
                <w:color w:val="auto"/>
                <w:sz w:val="24"/>
                <w:szCs w:val="24"/>
                <w:highlight w:val="none"/>
              </w:rPr>
              <w:br w:type="textWrapping"/>
            </w:r>
            <w:r>
              <w:rPr>
                <w:rFonts w:hint="eastAsia" w:ascii="宋体" w:hAnsi="宋体" w:eastAsia="宋体" w:cs="宋体"/>
                <w:bCs/>
                <w:color w:val="auto"/>
                <w:sz w:val="24"/>
                <w:szCs w:val="24"/>
                <w:highlight w:val="none"/>
              </w:rPr>
              <w:t>2. 产品应包含专业计算机、物品图像快采设备、多功能读卡设备、高级侦测接口等硬件结构集成于一体，由系统软件统一控制，只留用户接口供用户使用；</w:t>
            </w:r>
            <w:r>
              <w:rPr>
                <w:rFonts w:hint="eastAsia" w:ascii="宋体" w:hAnsi="宋体" w:eastAsia="宋体" w:cs="宋体"/>
                <w:bCs/>
                <w:color w:val="auto"/>
                <w:sz w:val="24"/>
                <w:szCs w:val="24"/>
                <w:highlight w:val="none"/>
              </w:rPr>
              <w:br w:type="textWrapping"/>
            </w:r>
            <w:r>
              <w:rPr>
                <w:rFonts w:hint="eastAsia" w:ascii="宋体" w:hAnsi="宋体" w:eastAsia="宋体" w:cs="宋体"/>
                <w:i w:val="0"/>
                <w:color w:val="auto"/>
                <w:kern w:val="0"/>
                <w:sz w:val="21"/>
                <w:szCs w:val="21"/>
                <w:highlight w:val="none"/>
                <w:u w:val="none"/>
                <w:lang w:val="en-US" w:eastAsia="zh-CN" w:bidi="ar"/>
              </w:rPr>
              <w:t>……具体内容详见谈判文件货物需求一览表。</w:t>
            </w:r>
          </w:p>
        </w:tc>
        <w:tc>
          <w:tcPr>
            <w:tcW w:w="12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9014"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30"/>
                <w:szCs w:val="30"/>
                <w:highlight w:val="none"/>
                <w:lang w:val="en-US" w:eastAsia="zh-CN"/>
              </w:rPr>
              <w:t>B标段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51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2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货物名称</w:t>
            </w:r>
          </w:p>
        </w:tc>
        <w:tc>
          <w:tcPr>
            <w:tcW w:w="600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技术参数或功能</w:t>
            </w:r>
            <w:r>
              <w:rPr>
                <w:rFonts w:hint="eastAsia" w:ascii="宋体" w:hAnsi="宋体" w:eastAsia="宋体" w:cs="宋体"/>
                <w:color w:val="auto"/>
                <w:sz w:val="24"/>
                <w:szCs w:val="24"/>
                <w:highlight w:val="none"/>
                <w:lang w:eastAsia="zh-CN"/>
              </w:rPr>
              <w:t>（配置）</w:t>
            </w:r>
            <w:r>
              <w:rPr>
                <w:rFonts w:hint="eastAsia" w:ascii="宋体" w:hAnsi="宋体" w:eastAsia="宋体" w:cs="宋体"/>
                <w:color w:val="auto"/>
                <w:sz w:val="24"/>
                <w:szCs w:val="24"/>
                <w:highlight w:val="none"/>
              </w:rPr>
              <w:t>要求</w:t>
            </w:r>
          </w:p>
        </w:tc>
        <w:tc>
          <w:tcPr>
            <w:tcW w:w="125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2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针式打印机</w:t>
            </w:r>
          </w:p>
        </w:tc>
        <w:tc>
          <w:tcPr>
            <w:tcW w:w="600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24针平推针式打印机</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速度≥248汉字/秒</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单页纸:90-304.8mm</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连续纸;101.6-304.8mm</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打印厚度0.065-0.84mm</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多个标准的双向比特并持接口，一个或以上USB2.0（全速）接口</w:t>
            </w:r>
          </w:p>
        </w:tc>
        <w:tc>
          <w:tcPr>
            <w:tcW w:w="12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2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警用综合扫描仪</w:t>
            </w:r>
          </w:p>
        </w:tc>
        <w:tc>
          <w:tcPr>
            <w:tcW w:w="6008" w:type="dxa"/>
            <w:tcBorders>
              <w:top w:val="single" w:color="auto" w:sz="4" w:space="0"/>
              <w:left w:val="single" w:color="auto" w:sz="4" w:space="0"/>
              <w:bottom w:val="single" w:color="auto" w:sz="4" w:space="0"/>
              <w:right w:val="single" w:color="auto" w:sz="4" w:space="0"/>
            </w:tcBorders>
          </w:tcPr>
          <w:p>
            <w:pPr>
              <w:pStyle w:val="95"/>
              <w:numPr>
                <w:ilvl w:val="0"/>
                <w:numId w:val="1"/>
              </w:numPr>
              <w:ind w:lef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技术参数要求：</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1、支持原稿类型：文档、书籍、立体物品、图片、照片、杂志等；</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2、支持最大尺寸：A4；</w:t>
            </w:r>
          </w:p>
          <w:p>
            <w:pPr>
              <w:pStyle w:val="95"/>
              <w:ind w:firstLine="0" w:firstLineChars="0"/>
              <w:rPr>
                <w:rFonts w:hint="eastAsia" w:ascii="宋体" w:hAnsi="宋体" w:eastAsia="宋体" w:cs="宋体"/>
                <w:color w:val="auto"/>
                <w:sz w:val="24"/>
                <w:szCs w:val="24"/>
                <w:highlight w:val="none"/>
              </w:rPr>
            </w:pPr>
            <w:r>
              <w:rPr>
                <w:rFonts w:hint="eastAsia" w:ascii="宋体" w:hAnsi="宋体" w:eastAsia="宋体" w:cs="宋体"/>
                <w:i w:val="0"/>
                <w:color w:val="auto"/>
                <w:kern w:val="0"/>
                <w:sz w:val="21"/>
                <w:szCs w:val="21"/>
                <w:highlight w:val="none"/>
                <w:u w:val="none"/>
                <w:lang w:val="en-US" w:eastAsia="zh-CN" w:bidi="ar"/>
              </w:rPr>
              <w:t>……具体内容详见谈判文件货物需求一览表。</w:t>
            </w:r>
          </w:p>
        </w:tc>
        <w:tc>
          <w:tcPr>
            <w:tcW w:w="12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5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2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UPS不间断电源</w:t>
            </w:r>
          </w:p>
        </w:tc>
        <w:tc>
          <w:tcPr>
            <w:tcW w:w="6008"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容量≥1000VA/800W </w:t>
            </w:r>
            <w:r>
              <w:rPr>
                <w:rFonts w:hint="eastAsia" w:ascii="宋体" w:hAnsi="宋体" w:eastAsia="宋体" w:cs="宋体"/>
                <w:color w:val="auto"/>
                <w:sz w:val="24"/>
                <w:szCs w:val="24"/>
                <w:highlight w:val="none"/>
              </w:rPr>
              <w:tab/>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输入电压范围115~300VAC</w:t>
            </w:r>
            <w:r>
              <w:rPr>
                <w:rFonts w:hint="eastAsia" w:ascii="宋体" w:hAnsi="宋体" w:eastAsia="宋体" w:cs="宋体"/>
                <w:color w:val="auto"/>
                <w:sz w:val="24"/>
                <w:szCs w:val="24"/>
                <w:highlight w:val="none"/>
              </w:rPr>
              <w:tab/>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频率范围40Hz-70HZ</w:t>
            </w:r>
            <w:r>
              <w:rPr>
                <w:rFonts w:hint="eastAsia" w:ascii="宋体" w:hAnsi="宋体" w:eastAsia="宋体" w:cs="宋体"/>
                <w:color w:val="auto"/>
                <w:sz w:val="24"/>
                <w:szCs w:val="24"/>
                <w:highlight w:val="none"/>
              </w:rPr>
              <w:tab/>
            </w:r>
          </w:p>
          <w:p>
            <w:pPr>
              <w:rPr>
                <w:rFonts w:hint="eastAsia" w:ascii="宋体" w:hAnsi="宋体" w:eastAsia="宋体" w:cs="宋体"/>
                <w:color w:val="auto"/>
                <w:sz w:val="24"/>
                <w:szCs w:val="24"/>
                <w:highlight w:val="none"/>
              </w:rPr>
            </w:pPr>
            <w:r>
              <w:rPr>
                <w:rFonts w:hint="eastAsia" w:ascii="宋体" w:hAnsi="宋体" w:eastAsia="宋体" w:cs="宋体"/>
                <w:i w:val="0"/>
                <w:color w:val="auto"/>
                <w:kern w:val="0"/>
                <w:sz w:val="21"/>
                <w:szCs w:val="21"/>
                <w:highlight w:val="none"/>
                <w:u w:val="none"/>
                <w:lang w:val="en-US" w:eastAsia="zh-CN" w:bidi="ar"/>
              </w:rPr>
              <w:t>……具体内容详见谈判文件货物需求一览表。</w:t>
            </w:r>
          </w:p>
        </w:tc>
        <w:tc>
          <w:tcPr>
            <w:tcW w:w="12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5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2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GPS定位仪</w:t>
            </w:r>
          </w:p>
        </w:tc>
        <w:tc>
          <w:tcPr>
            <w:tcW w:w="6008" w:type="dxa"/>
            <w:tcBorders>
              <w:top w:val="single" w:color="auto" w:sz="4" w:space="0"/>
              <w:left w:val="single" w:color="auto" w:sz="4" w:space="0"/>
              <w:bottom w:val="single" w:color="auto" w:sz="4" w:space="0"/>
              <w:right w:val="single" w:color="auto" w:sz="4" w:space="0"/>
            </w:tcBorders>
          </w:tcPr>
          <w:p>
            <w:pPr>
              <w:tabs>
                <w:tab w:val="left" w:pos="1595"/>
              </w:tabs>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尺寸&lt;106.7*66.2*31.7 电池容量≥12000mAh </w:t>
            </w:r>
          </w:p>
          <w:p>
            <w:pPr>
              <w:tabs>
                <w:tab w:val="left" w:pos="1595"/>
              </w:tabs>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支持GPS/云计算WIFIAGPS/盲点补传EBS/北斗/陀螺仪/加速度传感器超强磁免安装</w:t>
            </w:r>
          </w:p>
          <w:p>
            <w:pPr>
              <w:tabs>
                <w:tab w:val="left" w:pos="1595"/>
              </w:tabs>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支持双进口硅麦</w:t>
            </w:r>
          </w:p>
          <w:p>
            <w:pPr>
              <w:tabs>
                <w:tab w:val="left" w:pos="1595"/>
              </w:tabs>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支持生活防水</w:t>
            </w:r>
          </w:p>
        </w:tc>
        <w:tc>
          <w:tcPr>
            <w:tcW w:w="12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jc w:val="center"/>
        </w:trPr>
        <w:tc>
          <w:tcPr>
            <w:tcW w:w="5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2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刻录机</w:t>
            </w:r>
          </w:p>
        </w:tc>
        <w:tc>
          <w:tcPr>
            <w:tcW w:w="6008"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光驱类型∶外置蓝光刻录机</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刻录DVD/CD∶支持</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刻录BD∶支持</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支持读盘∶DVD、CD、BD、BDXL</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刻录速度∶DVD-8X、CD-24X、BD-6X、BDXL-4</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支持系统∶Win7/8/10/ </w:t>
            </w:r>
          </w:p>
        </w:tc>
        <w:tc>
          <w:tcPr>
            <w:tcW w:w="12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5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2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外置闪光灯</w:t>
            </w:r>
          </w:p>
        </w:tc>
        <w:tc>
          <w:tcPr>
            <w:tcW w:w="6008"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涵盖范围 ：20-200mm </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闪光指数：最大闪光指数≥60（ISO 100，以米为单位） </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回电时间：≤5秒 </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适用电池：适配</w:t>
            </w:r>
          </w:p>
        </w:tc>
        <w:tc>
          <w:tcPr>
            <w:tcW w:w="12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5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12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照相机镜头（中距）</w:t>
            </w:r>
          </w:p>
        </w:tc>
        <w:tc>
          <w:tcPr>
            <w:tcW w:w="6008"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镜头画幅：100-135mm全画幅镜头</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镜头分类：单反镜头</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镜头用途：标准镜头</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镜头类型：变焦</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对焦方式：全时手动对焦</w:t>
            </w:r>
            <w:r>
              <w:rPr>
                <w:rFonts w:hint="eastAsia" w:ascii="宋体" w:hAnsi="宋体" w:eastAsia="宋体" w:cs="宋体"/>
                <w:color w:val="auto"/>
                <w:sz w:val="24"/>
                <w:szCs w:val="24"/>
                <w:highlight w:val="none"/>
              </w:rPr>
              <w:br w:type="textWrapping"/>
            </w:r>
            <w:r>
              <w:rPr>
                <w:rFonts w:hint="eastAsia" w:ascii="宋体" w:hAnsi="宋体" w:eastAsia="宋体" w:cs="宋体"/>
                <w:i w:val="0"/>
                <w:color w:val="auto"/>
                <w:kern w:val="0"/>
                <w:sz w:val="24"/>
                <w:szCs w:val="24"/>
                <w:highlight w:val="none"/>
                <w:u w:val="none"/>
                <w:lang w:val="en-US" w:eastAsia="zh-CN" w:bidi="ar"/>
              </w:rPr>
              <w:t>……具体内容详见谈判文件货物需求一览表。</w:t>
            </w:r>
          </w:p>
        </w:tc>
        <w:tc>
          <w:tcPr>
            <w:tcW w:w="12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1" w:hRule="atLeast"/>
          <w:jc w:val="center"/>
        </w:trPr>
        <w:tc>
          <w:tcPr>
            <w:tcW w:w="5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12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照相机镜头（短距）</w:t>
            </w:r>
          </w:p>
        </w:tc>
        <w:tc>
          <w:tcPr>
            <w:tcW w:w="6008"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镜头画幅：135mm全画幅镜头 </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镜头分类：单反镜头 </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镜头用途：标准镜头 </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镜头类型：变焦 </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镜头结构：16组20片 </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滤镜尺寸：≥80mm </w:t>
            </w:r>
          </w:p>
          <w:p>
            <w:pP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……具体内容详见谈判文件货物需求一览表。</w:t>
            </w:r>
          </w:p>
        </w:tc>
        <w:tc>
          <w:tcPr>
            <w:tcW w:w="12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5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w:t>
            </w:r>
          </w:p>
        </w:tc>
        <w:tc>
          <w:tcPr>
            <w:tcW w:w="12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大型复印机</w:t>
            </w:r>
          </w:p>
        </w:tc>
        <w:tc>
          <w:tcPr>
            <w:tcW w:w="600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速度：</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rPr>
              <w:t>28页每分钟 ；</w:t>
            </w:r>
          </w:p>
          <w:p>
            <w:pPr>
              <w:widowControl/>
              <w:jc w:val="left"/>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配置：</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rPr>
              <w:t>2个500张供纸盒 ，100张手送台，1个2500张大纸盒，网络打印卡，全彩色网络扫描 +PCL+USB打印；</w:t>
            </w:r>
          </w:p>
          <w:p>
            <w:pPr>
              <w:widowControl/>
              <w:jc w:val="left"/>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分辨率600dpi*600dpi、1～9999连续复印</w:t>
            </w:r>
          </w:p>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标配：内存</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rPr>
              <w:t>2G，预热时间小于15秒。</w:t>
            </w:r>
          </w:p>
        </w:tc>
        <w:tc>
          <w:tcPr>
            <w:tcW w:w="12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5" w:hRule="atLeast"/>
          <w:jc w:val="center"/>
        </w:trPr>
        <w:tc>
          <w:tcPr>
            <w:tcW w:w="5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12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图像扫描仪</w:t>
            </w:r>
          </w:p>
        </w:tc>
        <w:tc>
          <w:tcPr>
            <w:tcW w:w="6008"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支持双面扫描速度大于22ppm/8ipm*</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支持USB3.0*A4 200/300dpi下</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产品类型：A4 ADF+平板高速彩色文档扫描仪 </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具有双面扫描功能 </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扫描方式：ADF+平板扫描仪</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扫描速度：≥200/300dpi </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要求支持扫描幅面：A4</w:t>
            </w:r>
          </w:p>
        </w:tc>
        <w:tc>
          <w:tcPr>
            <w:tcW w:w="12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5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p>
        </w:tc>
        <w:tc>
          <w:tcPr>
            <w:tcW w:w="12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便携式喷墨打印机</w:t>
            </w:r>
          </w:p>
        </w:tc>
        <w:tc>
          <w:tcPr>
            <w:tcW w:w="600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打印速度：黑白：</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rPr>
              <w:t>8.0ipm，彩色：</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rPr>
              <w:t>5ipm，照片（4"x6"图像）：</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rPr>
              <w:t>50秒。</w:t>
            </w:r>
          </w:p>
          <w:p>
            <w:pPr>
              <w:widowControl/>
              <w:jc w:val="left"/>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最高分辨率达到 9600×2400dpi</w:t>
            </w:r>
          </w:p>
          <w:p>
            <w:pPr>
              <w:widowControl/>
              <w:jc w:val="left"/>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支持打印幅面：A4</w:t>
            </w:r>
          </w:p>
          <w:p>
            <w:pPr>
              <w:widowControl/>
              <w:jc w:val="left"/>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打印负荷 ：</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rPr>
              <w:t>250页/月，</w:t>
            </w:r>
          </w:p>
          <w:p>
            <w:pPr>
              <w:widowControl/>
              <w:jc w:val="left"/>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接口类型：支持USB。</w:t>
            </w:r>
          </w:p>
        </w:tc>
        <w:tc>
          <w:tcPr>
            <w:tcW w:w="12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5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w:t>
            </w:r>
          </w:p>
        </w:tc>
        <w:tc>
          <w:tcPr>
            <w:tcW w:w="12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彩色喷墨打印机</w:t>
            </w:r>
          </w:p>
        </w:tc>
        <w:tc>
          <w:tcPr>
            <w:tcW w:w="600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黑白打印速度：A4文本：</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rPr>
              <w:t>10ppm/ipm</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彩色打印速度：A4文本：</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rPr>
              <w:t>5ppm/ipm</w:t>
            </w:r>
            <w:r>
              <w:rPr>
                <w:rFonts w:hint="eastAsia" w:ascii="宋体" w:hAnsi="宋体" w:eastAsia="宋体" w:cs="宋体"/>
                <w:color w:val="auto"/>
                <w:kern w:val="0"/>
                <w:sz w:val="24"/>
                <w:szCs w:val="24"/>
                <w:highlight w:val="none"/>
              </w:rPr>
              <w:br w:type="textWrapping"/>
            </w:r>
            <w:r>
              <w:rPr>
                <w:rFonts w:hint="eastAsia" w:ascii="宋体" w:hAnsi="宋体" w:eastAsia="宋体" w:cs="宋体"/>
                <w:i w:val="0"/>
                <w:color w:val="auto"/>
                <w:kern w:val="0"/>
                <w:sz w:val="24"/>
                <w:szCs w:val="24"/>
                <w:highlight w:val="none"/>
                <w:u w:val="none"/>
                <w:lang w:val="en-US" w:eastAsia="zh-CN" w:bidi="ar"/>
              </w:rPr>
              <w:t>……具体内容详见谈判文件货物需求一览表。</w:t>
            </w:r>
          </w:p>
        </w:tc>
        <w:tc>
          <w:tcPr>
            <w:tcW w:w="12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5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w:t>
            </w:r>
          </w:p>
        </w:tc>
        <w:tc>
          <w:tcPr>
            <w:tcW w:w="12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打印复印一体机</w:t>
            </w:r>
          </w:p>
        </w:tc>
        <w:tc>
          <w:tcPr>
            <w:tcW w:w="600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产品类型：黑白激光多功能一体机</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涵盖功能：打印/复印/扫描</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支持处理幅面：A4</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耗材类型要求:鼓粉分离</w:t>
            </w:r>
            <w:r>
              <w:rPr>
                <w:rFonts w:hint="eastAsia" w:ascii="宋体" w:hAnsi="宋体" w:eastAsia="宋体" w:cs="宋体"/>
                <w:color w:val="auto"/>
                <w:kern w:val="0"/>
                <w:sz w:val="24"/>
                <w:szCs w:val="24"/>
                <w:highlight w:val="none"/>
              </w:rPr>
              <w:br w:type="textWrapping"/>
            </w:r>
            <w:r>
              <w:rPr>
                <w:rFonts w:hint="eastAsia" w:ascii="宋体" w:hAnsi="宋体" w:eastAsia="宋体" w:cs="宋体"/>
                <w:i w:val="0"/>
                <w:color w:val="auto"/>
                <w:kern w:val="0"/>
                <w:sz w:val="24"/>
                <w:szCs w:val="24"/>
                <w:highlight w:val="none"/>
                <w:u w:val="none"/>
                <w:lang w:val="en-US" w:eastAsia="zh-CN" w:bidi="ar"/>
              </w:rPr>
              <w:t>……具体内容详见谈判文件货物需求一览表。</w:t>
            </w:r>
          </w:p>
        </w:tc>
        <w:tc>
          <w:tcPr>
            <w:tcW w:w="12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5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w:t>
            </w:r>
          </w:p>
        </w:tc>
        <w:tc>
          <w:tcPr>
            <w:tcW w:w="12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彩色激光打印机</w:t>
            </w:r>
          </w:p>
        </w:tc>
        <w:tc>
          <w:tcPr>
            <w:tcW w:w="600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产品类型:彩色激光多功能一体机</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涵盖功能:打印/复印/扫描</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最大处理幅面:A4</w:t>
            </w:r>
          </w:p>
          <w:p>
            <w:pPr>
              <w:widowControl/>
              <w:jc w:val="left"/>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网络功能:支持无线/有线网络打印</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黑白打印速度:A4：</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rPr>
              <w:t>18ppm</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彩色打印速度:A4：</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rPr>
              <w:t>4ppm</w:t>
            </w:r>
          </w:p>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内存标配：</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rPr>
              <w:t>128MB</w:t>
            </w:r>
          </w:p>
        </w:tc>
        <w:tc>
          <w:tcPr>
            <w:tcW w:w="12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5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w:t>
            </w:r>
          </w:p>
        </w:tc>
        <w:tc>
          <w:tcPr>
            <w:tcW w:w="12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黑白打印机</w:t>
            </w:r>
          </w:p>
        </w:tc>
        <w:tc>
          <w:tcPr>
            <w:tcW w:w="600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黑白激光打印机 </w:t>
            </w:r>
          </w:p>
          <w:p>
            <w:pPr>
              <w:widowControl/>
              <w:jc w:val="left"/>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最大支持打印幅面：A4</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 xml:space="preserve">最高分辨率：支持600×600dpi  </w:t>
            </w:r>
          </w:p>
          <w:p>
            <w:pPr>
              <w:widowControl/>
              <w:jc w:val="left"/>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打印速度：</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rPr>
              <w:t xml:space="preserve">12ppm  </w:t>
            </w:r>
          </w:p>
          <w:p>
            <w:pPr>
              <w:widowControl/>
              <w:jc w:val="left"/>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内存标配：</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rPr>
              <w:t xml:space="preserve">2MB </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 xml:space="preserve">预热时间：≤10秒 </w:t>
            </w:r>
          </w:p>
        </w:tc>
        <w:tc>
          <w:tcPr>
            <w:tcW w:w="12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5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w:t>
            </w:r>
          </w:p>
        </w:tc>
        <w:tc>
          <w:tcPr>
            <w:tcW w:w="12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摄像机</w:t>
            </w:r>
          </w:p>
        </w:tc>
        <w:tc>
          <w:tcPr>
            <w:tcW w:w="600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传感器类型 Exmor R CMOS</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传感器尺寸 （1/5.8）英寸</w:t>
            </w:r>
            <w:r>
              <w:rPr>
                <w:rFonts w:hint="eastAsia" w:ascii="宋体" w:hAnsi="宋体" w:eastAsia="宋体" w:cs="宋体"/>
                <w:color w:val="auto"/>
                <w:kern w:val="0"/>
                <w:sz w:val="24"/>
                <w:szCs w:val="24"/>
                <w:highlight w:val="none"/>
              </w:rPr>
              <w:br w:type="textWrapping"/>
            </w:r>
            <w:r>
              <w:rPr>
                <w:rFonts w:hint="eastAsia" w:ascii="宋体" w:hAnsi="宋体" w:eastAsia="宋体" w:cs="宋体"/>
                <w:i w:val="0"/>
                <w:color w:val="auto"/>
                <w:kern w:val="0"/>
                <w:sz w:val="24"/>
                <w:szCs w:val="24"/>
                <w:highlight w:val="none"/>
                <w:u w:val="none"/>
                <w:lang w:val="en-US" w:eastAsia="zh-CN" w:bidi="ar"/>
              </w:rPr>
              <w:t>……具体内容详见谈判文件货物需求一览表。</w:t>
            </w:r>
          </w:p>
        </w:tc>
        <w:tc>
          <w:tcPr>
            <w:tcW w:w="12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jc w:val="center"/>
        </w:trPr>
        <w:tc>
          <w:tcPr>
            <w:tcW w:w="5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w:t>
            </w:r>
          </w:p>
        </w:tc>
        <w:tc>
          <w:tcPr>
            <w:tcW w:w="12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照相机</w:t>
            </w:r>
          </w:p>
        </w:tc>
        <w:tc>
          <w:tcPr>
            <w:tcW w:w="6008"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产品类型 长焦 </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操作方式 全自动操作   </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传感器尺寸 1/2.3英寸  </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最大像素数 ≥2110万  </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有效像素 ≥1820万  </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光学变焦 ≥20倍  </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数码变焦 ≥80倍   </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最高分辨率 4896×367全高清（1080） </w:t>
            </w:r>
          </w:p>
          <w:p>
            <w:pP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……具体内容详见谈判文件货物需求一览表。</w:t>
            </w:r>
          </w:p>
        </w:tc>
        <w:tc>
          <w:tcPr>
            <w:tcW w:w="12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5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w:t>
            </w:r>
          </w:p>
        </w:tc>
        <w:tc>
          <w:tcPr>
            <w:tcW w:w="12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电脑</w:t>
            </w:r>
          </w:p>
        </w:tc>
        <w:tc>
          <w:tcPr>
            <w:tcW w:w="6008" w:type="dxa"/>
            <w:tcBorders>
              <w:top w:val="single" w:color="auto" w:sz="4" w:space="0"/>
              <w:left w:val="single" w:color="auto" w:sz="4" w:space="0"/>
              <w:bottom w:val="single" w:color="auto" w:sz="4" w:space="0"/>
              <w:right w:val="single" w:color="auto" w:sz="4" w:space="0"/>
            </w:tcBorders>
          </w:tcPr>
          <w:p>
            <w:pPr>
              <w:pStyle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1.CPU≥英特尔酷睿九代 处理器9400（2.9GHz/6核/9M缓存）</w:t>
            </w:r>
          </w:p>
          <w:p>
            <w:pPr>
              <w:pStyle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2.内存≥8G DDR4</w:t>
            </w:r>
          </w:p>
          <w:p>
            <w:pPr>
              <w:pStyle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3.硬盘≥1000G SATA硬盘</w:t>
            </w:r>
          </w:p>
          <w:p>
            <w:pPr>
              <w:pStyle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4.显卡：集成高性能显卡</w:t>
            </w:r>
          </w:p>
          <w:p>
            <w:pPr>
              <w:pStyle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5.网卡：集成千兆网卡</w:t>
            </w:r>
          </w:p>
          <w:p>
            <w:pPr>
              <w:pStyle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……具体内容详见谈判文件货物需求一览表。</w:t>
            </w:r>
          </w:p>
        </w:tc>
        <w:tc>
          <w:tcPr>
            <w:tcW w:w="12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5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w:t>
            </w:r>
          </w:p>
        </w:tc>
        <w:tc>
          <w:tcPr>
            <w:tcW w:w="12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bCs/>
                <w:color w:val="auto"/>
                <w:kern w:val="0"/>
                <w:sz w:val="24"/>
                <w:szCs w:val="24"/>
                <w:highlight w:val="none"/>
                <w:lang w:bidi="ar"/>
              </w:rPr>
              <w:t>夜视仪</w:t>
            </w:r>
          </w:p>
        </w:tc>
        <w:tc>
          <w:tcPr>
            <w:tcW w:w="6008"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bCs/>
                <w:color w:val="auto"/>
                <w:kern w:val="0"/>
                <w:sz w:val="24"/>
                <w:szCs w:val="24"/>
                <w:highlight w:val="none"/>
                <w:lang w:bidi="ar"/>
              </w:rPr>
            </w:pPr>
            <w:r>
              <w:rPr>
                <w:rFonts w:hint="eastAsia" w:ascii="宋体" w:hAnsi="宋体" w:eastAsia="宋体" w:cs="宋体"/>
                <w:bCs/>
                <w:color w:val="auto"/>
                <w:kern w:val="0"/>
                <w:sz w:val="24"/>
                <w:szCs w:val="24"/>
                <w:highlight w:val="none"/>
                <w:lang w:bidi="ar"/>
              </w:rPr>
              <w:t>传感器类型：非制冷型氧化钒探测器</w:t>
            </w:r>
            <w:r>
              <w:rPr>
                <w:rFonts w:hint="eastAsia" w:ascii="宋体" w:hAnsi="宋体" w:eastAsia="宋体" w:cs="宋体"/>
                <w:bCs/>
                <w:color w:val="auto"/>
                <w:kern w:val="0"/>
                <w:sz w:val="24"/>
                <w:szCs w:val="24"/>
                <w:highlight w:val="none"/>
                <w:lang w:bidi="ar"/>
              </w:rPr>
              <w:br w:type="textWrapping"/>
            </w:r>
            <w:r>
              <w:rPr>
                <w:rFonts w:hint="eastAsia" w:ascii="宋体" w:hAnsi="宋体" w:eastAsia="宋体" w:cs="宋体"/>
                <w:bCs/>
                <w:color w:val="auto"/>
                <w:kern w:val="0"/>
                <w:sz w:val="24"/>
                <w:szCs w:val="24"/>
                <w:highlight w:val="none"/>
                <w:lang w:bidi="ar"/>
              </w:rPr>
              <w:t>最大图像支持尺寸：384ｘ288</w:t>
            </w:r>
          </w:p>
          <w:p>
            <w:pPr>
              <w:jc w:val="left"/>
              <w:rPr>
                <w:rFonts w:hint="eastAsia" w:ascii="宋体" w:hAnsi="宋体" w:eastAsia="宋体" w:cs="宋体"/>
                <w:color w:val="auto"/>
                <w:sz w:val="24"/>
                <w:szCs w:val="24"/>
                <w:highlight w:val="none"/>
              </w:rPr>
            </w:pPr>
            <w:r>
              <w:rPr>
                <w:rFonts w:hint="eastAsia" w:ascii="宋体" w:hAnsi="宋体" w:eastAsia="宋体" w:cs="宋体"/>
                <w:bCs/>
                <w:color w:val="auto"/>
                <w:kern w:val="0"/>
                <w:sz w:val="24"/>
                <w:szCs w:val="24"/>
                <w:highlight w:val="none"/>
                <w:lang w:bidi="ar"/>
              </w:rPr>
              <w:t>响应波段：</w:t>
            </w:r>
            <w:r>
              <w:rPr>
                <w:rFonts w:hint="eastAsia" w:ascii="宋体" w:hAnsi="宋体" w:eastAsia="宋体" w:cs="宋体"/>
                <w:color w:val="auto"/>
                <w:sz w:val="24"/>
                <w:szCs w:val="24"/>
                <w:highlight w:val="none"/>
              </w:rPr>
              <w:t>≥</w:t>
            </w:r>
            <w:r>
              <w:rPr>
                <w:rFonts w:hint="eastAsia" w:ascii="宋体" w:hAnsi="宋体" w:eastAsia="宋体" w:cs="宋体"/>
                <w:bCs/>
                <w:color w:val="auto"/>
                <w:kern w:val="0"/>
                <w:sz w:val="24"/>
                <w:szCs w:val="24"/>
                <w:highlight w:val="none"/>
                <w:lang w:bidi="ar"/>
              </w:rPr>
              <w:t>8~14μm</w:t>
            </w:r>
            <w:r>
              <w:rPr>
                <w:rFonts w:hint="eastAsia" w:ascii="宋体" w:hAnsi="宋体" w:eastAsia="宋体" w:cs="宋体"/>
                <w:bCs/>
                <w:color w:val="auto"/>
                <w:kern w:val="0"/>
                <w:sz w:val="24"/>
                <w:szCs w:val="24"/>
                <w:highlight w:val="none"/>
                <w:lang w:bidi="ar"/>
              </w:rPr>
              <w:br w:type="textWrapping"/>
            </w:r>
            <w:r>
              <w:rPr>
                <w:rFonts w:hint="eastAsia" w:ascii="宋体" w:hAnsi="宋体" w:eastAsia="宋体" w:cs="宋体"/>
                <w:bCs/>
                <w:color w:val="auto"/>
                <w:kern w:val="0"/>
                <w:sz w:val="24"/>
                <w:szCs w:val="24"/>
                <w:highlight w:val="none"/>
                <w:lang w:bidi="ar"/>
              </w:rPr>
              <w:t>MRTD(最小可分辨温差)：500mk</w:t>
            </w:r>
            <w:r>
              <w:rPr>
                <w:rFonts w:hint="eastAsia" w:ascii="宋体" w:hAnsi="宋体" w:eastAsia="宋体" w:cs="宋体"/>
                <w:bCs/>
                <w:color w:val="auto"/>
                <w:kern w:val="0"/>
                <w:sz w:val="24"/>
                <w:szCs w:val="24"/>
                <w:highlight w:val="none"/>
                <w:lang w:bidi="ar"/>
              </w:rPr>
              <w:br w:type="textWrapping"/>
            </w:r>
            <w:r>
              <w:rPr>
                <w:rFonts w:hint="eastAsia" w:ascii="宋体" w:hAnsi="宋体" w:eastAsia="宋体" w:cs="宋体"/>
                <w:bCs/>
                <w:color w:val="auto"/>
                <w:kern w:val="0"/>
                <w:sz w:val="24"/>
                <w:szCs w:val="24"/>
                <w:highlight w:val="none"/>
                <w:lang w:bidi="ar"/>
              </w:rPr>
              <w:t>热成像镜头焦距：≥15mm</w:t>
            </w:r>
            <w:r>
              <w:rPr>
                <w:rFonts w:hint="eastAsia" w:ascii="宋体" w:hAnsi="宋体" w:eastAsia="宋体" w:cs="宋体"/>
                <w:bCs/>
                <w:color w:val="auto"/>
                <w:kern w:val="0"/>
                <w:sz w:val="24"/>
                <w:szCs w:val="24"/>
                <w:highlight w:val="none"/>
                <w:lang w:bidi="ar"/>
              </w:rPr>
              <w:br w:type="textWrapping"/>
            </w:r>
            <w:r>
              <w:rPr>
                <w:rFonts w:hint="eastAsia" w:ascii="宋体" w:hAnsi="宋体" w:eastAsia="宋体" w:cs="宋体"/>
                <w:bCs/>
                <w:color w:val="auto"/>
                <w:kern w:val="0"/>
                <w:sz w:val="24"/>
                <w:szCs w:val="24"/>
                <w:highlight w:val="none"/>
                <w:lang w:bidi="ar"/>
              </w:rPr>
              <w:t>目标距离：  探测  识别</w:t>
            </w:r>
            <w:r>
              <w:rPr>
                <w:rFonts w:hint="eastAsia" w:ascii="宋体" w:hAnsi="宋体" w:eastAsia="宋体" w:cs="宋体"/>
                <w:bCs/>
                <w:color w:val="auto"/>
                <w:kern w:val="0"/>
                <w:sz w:val="24"/>
                <w:szCs w:val="24"/>
                <w:highlight w:val="none"/>
                <w:lang w:bidi="ar"/>
              </w:rPr>
              <w:br w:type="textWrapping"/>
            </w:r>
            <w:r>
              <w:rPr>
                <w:rFonts w:hint="eastAsia" w:ascii="宋体" w:hAnsi="宋体" w:eastAsia="宋体" w:cs="宋体"/>
                <w:i w:val="0"/>
                <w:color w:val="auto"/>
                <w:kern w:val="0"/>
                <w:sz w:val="24"/>
                <w:szCs w:val="24"/>
                <w:highlight w:val="none"/>
                <w:u w:val="none"/>
                <w:lang w:val="en-US" w:eastAsia="zh-CN" w:bidi="ar"/>
              </w:rPr>
              <w:t>……具体内容详见谈判文件货物需求一览表。</w:t>
            </w:r>
          </w:p>
        </w:tc>
        <w:tc>
          <w:tcPr>
            <w:tcW w:w="12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5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w:t>
            </w:r>
          </w:p>
        </w:tc>
        <w:tc>
          <w:tcPr>
            <w:tcW w:w="12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color w:val="auto"/>
                <w:kern w:val="0"/>
                <w:sz w:val="24"/>
                <w:szCs w:val="24"/>
                <w:highlight w:val="none"/>
                <w:lang w:bidi="ar"/>
              </w:rPr>
            </w:pPr>
            <w:r>
              <w:rPr>
                <w:rFonts w:hint="eastAsia" w:ascii="宋体" w:hAnsi="宋体" w:eastAsia="宋体" w:cs="宋体"/>
                <w:bCs/>
                <w:color w:val="auto"/>
                <w:kern w:val="0"/>
                <w:sz w:val="24"/>
                <w:szCs w:val="24"/>
                <w:highlight w:val="none"/>
                <w:lang w:bidi="ar"/>
              </w:rPr>
              <w:t>单目激光测距仪</w:t>
            </w:r>
          </w:p>
        </w:tc>
        <w:tc>
          <w:tcPr>
            <w:tcW w:w="6008"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bCs/>
                <w:color w:val="auto"/>
                <w:kern w:val="0"/>
                <w:sz w:val="24"/>
                <w:szCs w:val="24"/>
                <w:highlight w:val="none"/>
                <w:lang w:bidi="ar"/>
              </w:rPr>
            </w:pPr>
            <w:r>
              <w:rPr>
                <w:rFonts w:hint="eastAsia" w:ascii="宋体" w:hAnsi="宋体" w:eastAsia="宋体" w:cs="宋体"/>
                <w:bCs/>
                <w:color w:val="auto"/>
                <w:kern w:val="0"/>
                <w:sz w:val="24"/>
                <w:szCs w:val="24"/>
                <w:highlight w:val="none"/>
                <w:lang w:bidi="ar"/>
              </w:rPr>
              <w:t xml:space="preserve">量程1： 1000m+        </w:t>
            </w:r>
            <w:r>
              <w:rPr>
                <w:rFonts w:hint="eastAsia" w:ascii="宋体" w:hAnsi="宋体" w:eastAsia="宋体" w:cs="宋体"/>
                <w:bCs/>
                <w:color w:val="auto"/>
                <w:kern w:val="0"/>
                <w:sz w:val="24"/>
                <w:szCs w:val="24"/>
                <w:highlight w:val="none"/>
                <w:lang w:bidi="ar"/>
              </w:rPr>
              <w:br w:type="textWrapping"/>
            </w:r>
            <w:r>
              <w:rPr>
                <w:rFonts w:hint="eastAsia" w:ascii="宋体" w:hAnsi="宋体" w:eastAsia="宋体" w:cs="宋体"/>
                <w:bCs/>
                <w:color w:val="auto"/>
                <w:kern w:val="0"/>
                <w:sz w:val="24"/>
                <w:szCs w:val="24"/>
                <w:highlight w:val="none"/>
                <w:lang w:bidi="ar"/>
              </w:rPr>
              <w:t>测量单位：米（m）、码（Yd）</w:t>
            </w:r>
            <w:r>
              <w:rPr>
                <w:rFonts w:hint="eastAsia" w:ascii="宋体" w:hAnsi="宋体" w:eastAsia="宋体" w:cs="宋体"/>
                <w:bCs/>
                <w:color w:val="auto"/>
                <w:kern w:val="0"/>
                <w:sz w:val="24"/>
                <w:szCs w:val="24"/>
                <w:highlight w:val="none"/>
                <w:lang w:bidi="ar"/>
              </w:rPr>
              <w:br w:type="textWrapping"/>
            </w:r>
            <w:r>
              <w:rPr>
                <w:rFonts w:hint="eastAsia" w:ascii="宋体" w:hAnsi="宋体" w:eastAsia="宋体" w:cs="宋体"/>
                <w:bCs/>
                <w:color w:val="auto"/>
                <w:kern w:val="0"/>
                <w:sz w:val="24"/>
                <w:szCs w:val="24"/>
                <w:highlight w:val="none"/>
                <w:lang w:bidi="ar"/>
              </w:rPr>
              <w:t>测距误差：±0.5m</w:t>
            </w:r>
            <w:r>
              <w:rPr>
                <w:rFonts w:hint="eastAsia" w:ascii="宋体" w:hAnsi="宋体" w:eastAsia="宋体" w:cs="宋体"/>
                <w:bCs/>
                <w:color w:val="auto"/>
                <w:kern w:val="0"/>
                <w:sz w:val="24"/>
                <w:szCs w:val="24"/>
                <w:highlight w:val="none"/>
                <w:lang w:bidi="ar"/>
              </w:rPr>
              <w:br w:type="textWrapping"/>
            </w:r>
            <w:r>
              <w:rPr>
                <w:rFonts w:hint="eastAsia" w:ascii="宋体" w:hAnsi="宋体" w:eastAsia="宋体" w:cs="宋体"/>
                <w:bCs/>
                <w:color w:val="auto"/>
                <w:kern w:val="0"/>
                <w:sz w:val="24"/>
                <w:szCs w:val="24"/>
                <w:highlight w:val="none"/>
                <w:lang w:bidi="ar"/>
              </w:rPr>
              <w:t>测量角度范围：-45º~45º</w:t>
            </w:r>
            <w:r>
              <w:rPr>
                <w:rFonts w:hint="eastAsia" w:ascii="宋体" w:hAnsi="宋体" w:eastAsia="宋体" w:cs="宋体"/>
                <w:bCs/>
                <w:color w:val="auto"/>
                <w:kern w:val="0"/>
                <w:sz w:val="24"/>
                <w:szCs w:val="24"/>
                <w:highlight w:val="none"/>
                <w:lang w:bidi="ar"/>
              </w:rPr>
              <w:br w:type="textWrapping"/>
            </w:r>
            <w:r>
              <w:rPr>
                <w:rFonts w:hint="eastAsia" w:ascii="宋体" w:hAnsi="宋体" w:eastAsia="宋体" w:cs="宋体"/>
                <w:bCs/>
                <w:color w:val="auto"/>
                <w:kern w:val="0"/>
                <w:sz w:val="24"/>
                <w:szCs w:val="24"/>
                <w:highlight w:val="none"/>
                <w:lang w:bidi="ar"/>
              </w:rPr>
              <w:t xml:space="preserve">测角误差：±1º   </w:t>
            </w:r>
            <w:r>
              <w:rPr>
                <w:rFonts w:hint="eastAsia" w:ascii="宋体" w:hAnsi="宋体" w:eastAsia="宋体" w:cs="宋体"/>
                <w:bCs/>
                <w:color w:val="auto"/>
                <w:kern w:val="0"/>
                <w:sz w:val="24"/>
                <w:szCs w:val="24"/>
                <w:highlight w:val="none"/>
                <w:lang w:bidi="ar"/>
              </w:rPr>
              <w:br w:type="textWrapping"/>
            </w:r>
            <w:r>
              <w:rPr>
                <w:rFonts w:hint="eastAsia" w:ascii="宋体" w:hAnsi="宋体" w:eastAsia="宋体" w:cs="宋体"/>
                <w:bCs/>
                <w:color w:val="auto"/>
                <w:kern w:val="0"/>
                <w:sz w:val="24"/>
                <w:szCs w:val="24"/>
                <w:highlight w:val="none"/>
                <w:lang w:bidi="ar"/>
              </w:rPr>
              <w:t xml:space="preserve">视场： </w:t>
            </w:r>
            <w:r>
              <w:rPr>
                <w:rFonts w:hint="eastAsia" w:ascii="宋体" w:hAnsi="宋体" w:eastAsia="宋体" w:cs="宋体"/>
                <w:color w:val="auto"/>
                <w:sz w:val="24"/>
                <w:szCs w:val="24"/>
                <w:highlight w:val="none"/>
              </w:rPr>
              <w:t>≥</w:t>
            </w:r>
            <w:r>
              <w:rPr>
                <w:rFonts w:hint="eastAsia" w:ascii="宋体" w:hAnsi="宋体" w:eastAsia="宋体" w:cs="宋体"/>
                <w:bCs/>
                <w:color w:val="auto"/>
                <w:kern w:val="0"/>
                <w:sz w:val="24"/>
                <w:szCs w:val="24"/>
                <w:highlight w:val="none"/>
                <w:lang w:bidi="ar"/>
              </w:rPr>
              <w:t xml:space="preserve">7º     </w:t>
            </w:r>
            <w:r>
              <w:rPr>
                <w:rFonts w:hint="eastAsia" w:ascii="宋体" w:hAnsi="宋体" w:eastAsia="宋体" w:cs="宋体"/>
                <w:bCs/>
                <w:color w:val="auto"/>
                <w:kern w:val="0"/>
                <w:sz w:val="24"/>
                <w:szCs w:val="24"/>
                <w:highlight w:val="none"/>
                <w:lang w:bidi="ar"/>
              </w:rPr>
              <w:br w:type="textWrapping"/>
            </w:r>
            <w:r>
              <w:rPr>
                <w:rFonts w:hint="eastAsia" w:ascii="宋体" w:hAnsi="宋体" w:eastAsia="宋体" w:cs="宋体"/>
                <w:i w:val="0"/>
                <w:color w:val="auto"/>
                <w:kern w:val="0"/>
                <w:sz w:val="24"/>
                <w:szCs w:val="24"/>
                <w:highlight w:val="none"/>
                <w:u w:val="none"/>
                <w:lang w:val="en-US" w:eastAsia="zh-CN" w:bidi="ar"/>
              </w:rPr>
              <w:t>……具体内容详见谈判文件货物需求一览表。</w:t>
            </w:r>
          </w:p>
        </w:tc>
        <w:tc>
          <w:tcPr>
            <w:tcW w:w="12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51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w:t>
            </w:r>
          </w:p>
        </w:tc>
        <w:tc>
          <w:tcPr>
            <w:tcW w:w="12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身份证人像检测修复前端系统（含 技术服务）与设备</w:t>
            </w:r>
          </w:p>
        </w:tc>
        <w:tc>
          <w:tcPr>
            <w:tcW w:w="600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一、技术服务：（含系统开发及升级改造）</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软件参数： </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系统具备与自治区公安厅居住身份证制证中心相片检测修复系统无缝连接，采集的相片自动上传到区厅身份证制证相片检测中心进行实时的相片检测。采集端实时显示相片的检测结果，不合格的相片马上重拍，方便群众办证。检测合格相片无需保存至本地，受理时直接从区厅身份证制证相片检测中心平台提取合格相片。</w:t>
            </w:r>
          </w:p>
          <w:p>
            <w:pPr>
              <w:rPr>
                <w:rFonts w:hint="eastAsia" w:ascii="宋体" w:hAnsi="宋体" w:eastAsia="宋体" w:cs="宋体"/>
                <w:color w:val="auto"/>
                <w:kern w:val="0"/>
                <w:sz w:val="24"/>
                <w:szCs w:val="24"/>
                <w:highlight w:val="none"/>
              </w:rPr>
            </w:pPr>
            <w:r>
              <w:rPr>
                <w:rFonts w:hint="eastAsia" w:ascii="宋体" w:hAnsi="宋体" w:eastAsia="宋体" w:cs="宋体"/>
                <w:i w:val="0"/>
                <w:color w:val="auto"/>
                <w:kern w:val="0"/>
                <w:sz w:val="24"/>
                <w:szCs w:val="24"/>
                <w:highlight w:val="none"/>
                <w:u w:val="none"/>
                <w:lang w:val="en-US" w:eastAsia="zh-CN" w:bidi="ar"/>
              </w:rPr>
              <w:t>……具体内容详见谈判文件货物需求一览表。</w:t>
            </w:r>
          </w:p>
        </w:tc>
        <w:tc>
          <w:tcPr>
            <w:tcW w:w="12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18套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51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22</w:t>
            </w:r>
          </w:p>
        </w:tc>
        <w:tc>
          <w:tcPr>
            <w:tcW w:w="12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临时身份证制证设备（含技术服务）</w:t>
            </w:r>
          </w:p>
        </w:tc>
        <w:tc>
          <w:tcPr>
            <w:tcW w:w="600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一、技术服务：（含系统开发及升级改造）</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1、制作信息全面记录跟踪；</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2、通过OCR实现临证卡体芯片信息的自动登记（OCR部件可选配）；</w:t>
            </w:r>
          </w:p>
          <w:p>
            <w:pPr>
              <w:rPr>
                <w:rFonts w:hint="eastAsia" w:ascii="宋体" w:hAnsi="宋体" w:eastAsia="宋体" w:cs="宋体"/>
                <w:color w:val="auto"/>
                <w:kern w:val="0"/>
                <w:sz w:val="24"/>
                <w:szCs w:val="24"/>
                <w:highlight w:val="none"/>
              </w:rPr>
            </w:pPr>
            <w:r>
              <w:rPr>
                <w:rFonts w:hint="eastAsia" w:ascii="宋体" w:hAnsi="宋体" w:eastAsia="宋体" w:cs="宋体"/>
                <w:i w:val="0"/>
                <w:color w:val="auto"/>
                <w:kern w:val="0"/>
                <w:sz w:val="24"/>
                <w:szCs w:val="24"/>
                <w:highlight w:val="none"/>
                <w:u w:val="none"/>
                <w:lang w:val="en-US" w:eastAsia="zh-CN" w:bidi="ar"/>
              </w:rPr>
              <w:t>……具体内容详见谈判文件货物需求一览表。</w:t>
            </w:r>
          </w:p>
        </w:tc>
        <w:tc>
          <w:tcPr>
            <w:tcW w:w="12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1台</w:t>
            </w:r>
          </w:p>
        </w:tc>
      </w:tr>
    </w:tbl>
    <w:p>
      <w:pPr>
        <w:pStyle w:val="22"/>
        <w:rPr>
          <w:rFonts w:hint="eastAsia"/>
          <w:color w:val="auto"/>
          <w:highlight w:val="none"/>
        </w:rPr>
      </w:pPr>
    </w:p>
    <w:p>
      <w:pPr>
        <w:keepNext w:val="0"/>
        <w:keepLines w:val="0"/>
        <w:pageBreakBefore w:val="0"/>
        <w:widowControl w:val="0"/>
        <w:kinsoku/>
        <w:wordWrap/>
        <w:overflowPunct/>
        <w:topLinePunct w:val="0"/>
        <w:autoSpaceDE/>
        <w:autoSpaceDN/>
        <w:bidi w:val="0"/>
        <w:adjustRightInd w:val="0"/>
        <w:snapToGrid w:val="0"/>
        <w:spacing w:after="0" w:line="440" w:lineRule="exact"/>
        <w:textAlignment w:val="auto"/>
        <w:outlineLvl w:val="9"/>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合同履行期限：自签订合同之日起</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0天内交货并安装调试完毕。</w:t>
      </w:r>
    </w:p>
    <w:p>
      <w:pPr>
        <w:keepNext w:val="0"/>
        <w:keepLines w:val="0"/>
        <w:pageBreakBefore w:val="0"/>
        <w:widowControl w:val="0"/>
        <w:kinsoku/>
        <w:wordWrap/>
        <w:overflowPunct/>
        <w:topLinePunct w:val="0"/>
        <w:autoSpaceDE/>
        <w:autoSpaceDN/>
        <w:bidi w:val="0"/>
        <w:adjustRightInd w:val="0"/>
        <w:snapToGrid w:val="0"/>
        <w:spacing w:after="0" w:line="440" w:lineRule="exact"/>
        <w:textAlignment w:val="auto"/>
        <w:outlineLvl w:val="9"/>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本项目（否）接受联合体。</w:t>
      </w:r>
    </w:p>
    <w:p>
      <w:pPr>
        <w:keepNext w:val="0"/>
        <w:keepLines w:val="0"/>
        <w:pageBreakBefore w:val="0"/>
        <w:kinsoku/>
        <w:wordWrap/>
        <w:overflowPunct/>
        <w:topLinePunct w:val="0"/>
        <w:autoSpaceDE/>
        <w:autoSpaceDN/>
        <w:bidi w:val="0"/>
        <w:adjustRightInd w:val="0"/>
        <w:snapToGrid w:val="0"/>
        <w:spacing w:after="0" w:line="440" w:lineRule="exact"/>
        <w:textAlignment w:val="auto"/>
        <w:outlineLvl w:val="9"/>
        <w:rPr>
          <w:rFonts w:ascii="宋体" w:hAnsi="宋体" w:eastAsia="宋体" w:cs="宋体"/>
          <w:b/>
          <w:bCs/>
          <w:color w:val="auto"/>
          <w:sz w:val="24"/>
          <w:szCs w:val="24"/>
          <w:highlight w:val="none"/>
        </w:rPr>
      </w:pPr>
      <w:bookmarkStart w:id="7" w:name="_Toc35393630"/>
      <w:bookmarkStart w:id="8" w:name="_Toc35393799"/>
      <w:bookmarkStart w:id="9" w:name="_Toc28359013"/>
      <w:bookmarkStart w:id="10" w:name="_Toc28359090"/>
      <w:r>
        <w:rPr>
          <w:rFonts w:hint="eastAsia" w:ascii="宋体" w:hAnsi="宋体" w:eastAsia="宋体" w:cs="宋体"/>
          <w:b/>
          <w:bCs/>
          <w:color w:val="auto"/>
          <w:sz w:val="24"/>
          <w:szCs w:val="24"/>
          <w:highlight w:val="none"/>
        </w:rPr>
        <w:t>二、申请人的资格要求：</w:t>
      </w:r>
      <w:bookmarkEnd w:id="7"/>
      <w:bookmarkEnd w:id="8"/>
      <w:bookmarkEnd w:id="9"/>
      <w:bookmarkEnd w:id="10"/>
    </w:p>
    <w:p>
      <w:pPr>
        <w:keepNext w:val="0"/>
        <w:keepLines w:val="0"/>
        <w:pageBreakBefore w:val="0"/>
        <w:widowControl w:val="0"/>
        <w:kinsoku/>
        <w:wordWrap/>
        <w:overflowPunct/>
        <w:topLinePunct w:val="0"/>
        <w:autoSpaceDE/>
        <w:autoSpaceDN/>
        <w:bidi w:val="0"/>
        <w:adjustRightInd w:val="0"/>
        <w:snapToGrid w:val="0"/>
        <w:spacing w:after="0" w:line="440" w:lineRule="exact"/>
        <w:ind w:left="0" w:leftChars="0" w:firstLine="439" w:firstLineChars="183"/>
        <w:textAlignment w:val="auto"/>
        <w:outlineLvl w:val="9"/>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1.满足《中华人民共和国政府采购法》第二十二条规定；</w:t>
      </w:r>
    </w:p>
    <w:p>
      <w:pPr>
        <w:keepNext w:val="0"/>
        <w:keepLines w:val="0"/>
        <w:pageBreakBefore w:val="0"/>
        <w:widowControl w:val="0"/>
        <w:kinsoku/>
        <w:wordWrap/>
        <w:overflowPunct/>
        <w:topLinePunct w:val="0"/>
        <w:autoSpaceDE/>
        <w:autoSpaceDN/>
        <w:bidi w:val="0"/>
        <w:adjustRightInd w:val="0"/>
        <w:snapToGrid w:val="0"/>
        <w:spacing w:after="0" w:line="440" w:lineRule="exact"/>
        <w:ind w:left="0" w:leftChars="0" w:firstLine="439" w:firstLineChars="183"/>
        <w:textAlignment w:val="auto"/>
        <w:outlineLvl w:val="9"/>
        <w:rPr>
          <w:rFonts w:ascii="宋体" w:hAnsi="宋体" w:eastAsia="宋体" w:cs="宋体"/>
          <w:color w:val="auto"/>
          <w:sz w:val="24"/>
          <w:szCs w:val="24"/>
          <w:highlight w:val="none"/>
        </w:rPr>
      </w:pPr>
      <w:bookmarkStart w:id="11" w:name="_Toc28359014"/>
      <w:bookmarkStart w:id="12" w:name="_Toc28359091"/>
      <w:r>
        <w:rPr>
          <w:rFonts w:hint="eastAsia" w:ascii="宋体" w:hAnsi="宋体" w:eastAsia="宋体" w:cs="宋体"/>
          <w:color w:val="auto"/>
          <w:sz w:val="24"/>
          <w:szCs w:val="24"/>
          <w:highlight w:val="none"/>
        </w:rPr>
        <w:t>2.落实政府采购政策需满足的资格要求：本项目属于非专门面向中小企业采购的项目。</w:t>
      </w:r>
    </w:p>
    <w:p>
      <w:pPr>
        <w:keepNext w:val="0"/>
        <w:keepLines w:val="0"/>
        <w:pageBreakBefore w:val="0"/>
        <w:widowControl w:val="0"/>
        <w:kinsoku/>
        <w:wordWrap/>
        <w:overflowPunct/>
        <w:topLinePunct w:val="0"/>
        <w:autoSpaceDE/>
        <w:autoSpaceDN/>
        <w:bidi w:val="0"/>
        <w:adjustRightInd w:val="0"/>
        <w:snapToGrid w:val="0"/>
        <w:spacing w:after="0" w:line="440" w:lineRule="exact"/>
        <w:ind w:left="0" w:leftChars="0" w:firstLine="439" w:firstLineChars="183"/>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3.本项目的特定资格要求：已经依法获得采购人和评审专家分别书面推荐的供应商并在规定时间内获取采购文件的供应商才有资格参与谈判；</w:t>
      </w:r>
    </w:p>
    <w:p>
      <w:pPr>
        <w:pStyle w:val="22"/>
        <w:keepNext w:val="0"/>
        <w:keepLines w:val="0"/>
        <w:pageBreakBefore w:val="0"/>
        <w:kinsoku/>
        <w:wordWrap/>
        <w:overflowPunct/>
        <w:topLinePunct w:val="0"/>
        <w:autoSpaceDE/>
        <w:autoSpaceDN/>
        <w:bidi w:val="0"/>
        <w:spacing w:line="400" w:lineRule="exact"/>
        <w:ind w:firstLine="480" w:firstLineChars="200"/>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4</w:t>
      </w:r>
      <w:r>
        <w:rPr>
          <w:rFonts w:hint="eastAsia" w:ascii="宋体" w:hAnsi="宋体" w:cs="宋体"/>
          <w:color w:val="auto"/>
          <w:kern w:val="0"/>
          <w:sz w:val="24"/>
          <w:szCs w:val="24"/>
          <w:highlight w:val="none"/>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22"/>
        <w:keepNext w:val="0"/>
        <w:keepLines w:val="0"/>
        <w:pageBreakBefore w:val="0"/>
        <w:kinsoku/>
        <w:wordWrap/>
        <w:overflowPunct/>
        <w:topLinePunct w:val="0"/>
        <w:autoSpaceDE/>
        <w:autoSpaceDN/>
        <w:bidi w:val="0"/>
        <w:spacing w:line="400" w:lineRule="exact"/>
        <w:ind w:firstLine="480" w:firstLineChars="200"/>
        <w:outlineLvl w:val="9"/>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lang w:val="en-US" w:eastAsia="zh-CN"/>
        </w:rPr>
        <w:t>5</w:t>
      </w:r>
      <w:r>
        <w:rPr>
          <w:rFonts w:hint="eastAsia" w:ascii="宋体" w:hAnsi="宋体" w:cs="宋体"/>
          <w:color w:val="auto"/>
          <w:kern w:val="0"/>
          <w:sz w:val="24"/>
          <w:szCs w:val="24"/>
          <w:highlight w:val="none"/>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r>
        <w:rPr>
          <w:rFonts w:hint="eastAsia" w:ascii="宋体" w:hAnsi="宋体" w:cs="宋体"/>
          <w:color w:val="auto"/>
          <w:kern w:val="0"/>
          <w:sz w:val="24"/>
          <w:szCs w:val="24"/>
          <w:highlight w:val="none"/>
          <w:lang w:eastAsia="zh-CN"/>
        </w:rPr>
        <w:t>。</w:t>
      </w:r>
    </w:p>
    <w:p>
      <w:pPr>
        <w:keepNext w:val="0"/>
        <w:keepLines w:val="0"/>
        <w:pageBreakBefore w:val="0"/>
        <w:kinsoku/>
        <w:wordWrap/>
        <w:overflowPunct/>
        <w:topLinePunct w:val="0"/>
        <w:autoSpaceDE/>
        <w:autoSpaceDN/>
        <w:bidi w:val="0"/>
        <w:spacing w:line="400" w:lineRule="exact"/>
        <w:outlineLvl w:val="9"/>
        <w:rPr>
          <w:rFonts w:ascii="宋体" w:hAnsi="宋体" w:eastAsia="宋体" w:cs="宋体"/>
          <w:b/>
          <w:bCs/>
          <w:color w:val="auto"/>
          <w:sz w:val="24"/>
          <w:szCs w:val="24"/>
          <w:highlight w:val="none"/>
        </w:rPr>
      </w:pPr>
      <w:bookmarkStart w:id="13" w:name="_Toc35393631"/>
      <w:bookmarkStart w:id="14" w:name="_Toc35393800"/>
      <w:r>
        <w:rPr>
          <w:rFonts w:hint="eastAsia" w:ascii="宋体" w:hAnsi="宋体" w:eastAsia="宋体" w:cs="宋体"/>
          <w:b/>
          <w:bCs/>
          <w:color w:val="auto"/>
          <w:sz w:val="24"/>
          <w:szCs w:val="24"/>
          <w:highlight w:val="none"/>
        </w:rPr>
        <w:t>三、获取采购文件</w:t>
      </w:r>
      <w:bookmarkEnd w:id="11"/>
      <w:bookmarkEnd w:id="12"/>
      <w:bookmarkEnd w:id="13"/>
      <w:bookmarkEnd w:id="14"/>
    </w:p>
    <w:p>
      <w:pPr>
        <w:keepNext w:val="0"/>
        <w:keepLines w:val="0"/>
        <w:pageBreakBefore w:val="0"/>
        <w:widowControl w:val="0"/>
        <w:kinsoku/>
        <w:wordWrap/>
        <w:overflowPunct/>
        <w:topLinePunct w:val="0"/>
        <w:autoSpaceDE/>
        <w:autoSpaceDN/>
        <w:bidi w:val="0"/>
        <w:adjustRightInd w:val="0"/>
        <w:snapToGrid w:val="0"/>
        <w:spacing w:after="0" w:line="440" w:lineRule="exact"/>
        <w:ind w:firstLine="480" w:firstLineChars="200"/>
        <w:textAlignment w:val="auto"/>
        <w:outlineLvl w:val="9"/>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时间：</w:t>
      </w:r>
      <w:r>
        <w:rPr>
          <w:rFonts w:hint="eastAsia" w:ascii="宋体" w:hAnsi="宋体" w:eastAsia="宋体" w:cs="宋体"/>
          <w:color w:val="auto"/>
          <w:sz w:val="24"/>
          <w:szCs w:val="24"/>
          <w:highlight w:val="none"/>
          <w:u w:val="single"/>
        </w:rPr>
        <w:t>2020年</w:t>
      </w:r>
      <w:r>
        <w:rPr>
          <w:rFonts w:hint="eastAsia" w:ascii="宋体" w:hAnsi="宋体" w:eastAsia="宋体" w:cs="宋体"/>
          <w:color w:val="auto"/>
          <w:sz w:val="24"/>
          <w:szCs w:val="24"/>
          <w:highlight w:val="none"/>
          <w:u w:val="single"/>
          <w:lang w:val="en-US" w:eastAsia="zh-CN"/>
        </w:rPr>
        <w:t xml:space="preserve"> 12 </w:t>
      </w:r>
      <w:r>
        <w:rPr>
          <w:rFonts w:hint="eastAsia" w:ascii="宋体" w:hAnsi="宋体" w:eastAsia="宋体" w:cs="宋体"/>
          <w:color w:val="auto"/>
          <w:sz w:val="24"/>
          <w:szCs w:val="24"/>
          <w:highlight w:val="none"/>
          <w:u w:val="single"/>
        </w:rPr>
        <w:t>月</w:t>
      </w:r>
      <w:r>
        <w:rPr>
          <w:rFonts w:hint="eastAsia" w:ascii="宋体" w:hAnsi="宋体" w:eastAsia="宋体" w:cs="宋体"/>
          <w:color w:val="auto"/>
          <w:sz w:val="24"/>
          <w:szCs w:val="24"/>
          <w:highlight w:val="none"/>
          <w:u w:val="single"/>
          <w:lang w:val="en-US" w:eastAsia="zh-CN"/>
        </w:rPr>
        <w:t xml:space="preserve"> 07</w:t>
      </w:r>
      <w:r>
        <w:rPr>
          <w:rFonts w:hint="eastAsia" w:ascii="宋体" w:hAnsi="宋体" w:eastAsia="宋体" w:cs="宋体"/>
          <w:color w:val="auto"/>
          <w:sz w:val="24"/>
          <w:szCs w:val="24"/>
          <w:highlight w:val="none"/>
          <w:u w:val="single"/>
        </w:rPr>
        <w:t xml:space="preserve"> 日</w:t>
      </w:r>
      <w:r>
        <w:rPr>
          <w:rFonts w:hint="eastAsia" w:ascii="宋体" w:hAnsi="宋体" w:eastAsia="宋体" w:cs="宋体"/>
          <w:color w:val="auto"/>
          <w:sz w:val="24"/>
          <w:szCs w:val="24"/>
          <w:highlight w:val="none"/>
        </w:rPr>
        <w:t>至响应文件递交截止时间前，每天上午</w:t>
      </w:r>
      <w:r>
        <w:rPr>
          <w:rFonts w:hint="eastAsia" w:ascii="宋体" w:hAnsi="宋体" w:eastAsia="宋体" w:cs="宋体"/>
          <w:color w:val="auto"/>
          <w:sz w:val="24"/>
          <w:szCs w:val="24"/>
          <w:highlight w:val="none"/>
          <w:u w:val="single"/>
        </w:rPr>
        <w:t>9：00时</w:t>
      </w:r>
      <w:r>
        <w:rPr>
          <w:rFonts w:hint="eastAsia" w:ascii="宋体" w:hAnsi="宋体" w:eastAsia="宋体" w:cs="宋体"/>
          <w:color w:val="auto"/>
          <w:sz w:val="24"/>
          <w:szCs w:val="24"/>
          <w:highlight w:val="none"/>
        </w:rPr>
        <w:t>至</w:t>
      </w:r>
      <w:r>
        <w:rPr>
          <w:rFonts w:hint="eastAsia" w:ascii="宋体" w:hAnsi="宋体" w:eastAsia="宋体" w:cs="宋体"/>
          <w:color w:val="auto"/>
          <w:sz w:val="24"/>
          <w:szCs w:val="24"/>
          <w:highlight w:val="none"/>
          <w:u w:val="single"/>
        </w:rPr>
        <w:t>12：00时</w:t>
      </w:r>
      <w:r>
        <w:rPr>
          <w:rFonts w:hint="eastAsia" w:ascii="宋体" w:hAnsi="宋体" w:eastAsia="宋体" w:cs="宋体"/>
          <w:color w:val="auto"/>
          <w:sz w:val="24"/>
          <w:szCs w:val="24"/>
          <w:highlight w:val="none"/>
        </w:rPr>
        <w:t>，下午</w:t>
      </w:r>
      <w:r>
        <w:rPr>
          <w:rFonts w:hint="eastAsia" w:ascii="宋体" w:hAnsi="宋体" w:eastAsia="宋体" w:cs="宋体"/>
          <w:color w:val="auto"/>
          <w:sz w:val="24"/>
          <w:szCs w:val="24"/>
          <w:highlight w:val="none"/>
          <w:u w:val="single"/>
        </w:rPr>
        <w:t>15：00时</w:t>
      </w:r>
      <w:r>
        <w:rPr>
          <w:rFonts w:hint="eastAsia" w:ascii="宋体" w:hAnsi="宋体" w:eastAsia="宋体" w:cs="宋体"/>
          <w:color w:val="auto"/>
          <w:sz w:val="24"/>
          <w:szCs w:val="24"/>
          <w:highlight w:val="none"/>
        </w:rPr>
        <w:t>至</w:t>
      </w:r>
      <w:r>
        <w:rPr>
          <w:rFonts w:hint="eastAsia" w:ascii="宋体" w:hAnsi="宋体" w:eastAsia="宋体" w:cs="宋体"/>
          <w:color w:val="auto"/>
          <w:sz w:val="24"/>
          <w:szCs w:val="24"/>
          <w:highlight w:val="none"/>
          <w:u w:val="single"/>
        </w:rPr>
        <w:t>18：00时</w:t>
      </w:r>
      <w:r>
        <w:rPr>
          <w:rFonts w:hint="eastAsia" w:ascii="宋体" w:hAnsi="宋体" w:eastAsia="宋体" w:cs="宋体"/>
          <w:color w:val="auto"/>
          <w:sz w:val="24"/>
          <w:szCs w:val="24"/>
          <w:highlight w:val="none"/>
        </w:rPr>
        <w:t>（北京时间，法定节假日除外）</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480" w:firstLineChars="200"/>
        <w:textAlignment w:val="auto"/>
        <w:outlineLvl w:val="9"/>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地点、</w:t>
      </w:r>
      <w:r>
        <w:rPr>
          <w:rFonts w:hint="eastAsia" w:ascii="宋体" w:hAnsi="宋体" w:eastAsia="宋体" w:cs="宋体"/>
          <w:color w:val="auto"/>
          <w:sz w:val="24"/>
          <w:szCs w:val="24"/>
          <w:highlight w:val="none"/>
        </w:rPr>
        <w:t>方式：自</w:t>
      </w:r>
      <w:r>
        <w:rPr>
          <w:rFonts w:hint="eastAsia" w:ascii="宋体" w:hAnsi="宋体" w:eastAsia="宋体" w:cs="宋体"/>
          <w:color w:val="auto"/>
          <w:sz w:val="24"/>
          <w:szCs w:val="24"/>
          <w:highlight w:val="none"/>
          <w:u w:val="single"/>
        </w:rPr>
        <w:t>2020年</w:t>
      </w:r>
      <w:r>
        <w:rPr>
          <w:rFonts w:hint="eastAsia" w:ascii="宋体" w:hAnsi="宋体" w:eastAsia="宋体" w:cs="宋体"/>
          <w:color w:val="auto"/>
          <w:sz w:val="24"/>
          <w:szCs w:val="24"/>
          <w:highlight w:val="none"/>
          <w:u w:val="single"/>
          <w:lang w:val="en-US" w:eastAsia="zh-CN"/>
        </w:rPr>
        <w:t xml:space="preserve"> 12</w:t>
      </w:r>
      <w:r>
        <w:rPr>
          <w:rFonts w:hint="eastAsia" w:ascii="宋体" w:hAnsi="宋体" w:eastAsia="宋体" w:cs="宋体"/>
          <w:color w:val="auto"/>
          <w:sz w:val="24"/>
          <w:szCs w:val="24"/>
          <w:highlight w:val="none"/>
          <w:u w:val="single"/>
        </w:rPr>
        <w:t xml:space="preserve"> 月</w:t>
      </w:r>
      <w:r>
        <w:rPr>
          <w:rFonts w:hint="eastAsia" w:ascii="宋体" w:hAnsi="宋体" w:eastAsia="宋体" w:cs="宋体"/>
          <w:color w:val="auto"/>
          <w:sz w:val="24"/>
          <w:szCs w:val="24"/>
          <w:highlight w:val="none"/>
          <w:u w:val="single"/>
          <w:lang w:val="en-US" w:eastAsia="zh-CN"/>
        </w:rPr>
        <w:t xml:space="preserve"> 07 </w:t>
      </w:r>
      <w:r>
        <w:rPr>
          <w:rFonts w:hint="eastAsia" w:ascii="宋体" w:hAnsi="宋体" w:eastAsia="宋体" w:cs="宋体"/>
          <w:color w:val="auto"/>
          <w:sz w:val="24"/>
          <w:szCs w:val="24"/>
          <w:highlight w:val="none"/>
          <w:u w:val="single"/>
        </w:rPr>
        <w:t xml:space="preserve"> 日</w:t>
      </w:r>
      <w:r>
        <w:rPr>
          <w:rFonts w:hint="eastAsia" w:ascii="宋体" w:hAnsi="宋体" w:eastAsia="宋体" w:cs="宋体"/>
          <w:color w:val="auto"/>
          <w:sz w:val="24"/>
          <w:szCs w:val="24"/>
          <w:highlight w:val="none"/>
        </w:rPr>
        <w:t>至响应文件递交截止时间前应在</w:t>
      </w:r>
      <w:r>
        <w:rPr>
          <w:rFonts w:hint="eastAsia" w:ascii="宋体" w:hAnsi="宋体" w:eastAsia="宋体" w:cs="宋体"/>
          <w:color w:val="auto"/>
          <w:sz w:val="24"/>
          <w:szCs w:val="24"/>
          <w:highlight w:val="none"/>
          <w:u w:val="none"/>
        </w:rPr>
        <w:t>河池市公共资源交易中心网（http：//www.hcjyxxw.com），同时在政府采购</w:t>
      </w:r>
      <w:r>
        <w:rPr>
          <w:rFonts w:hint="eastAsia" w:ascii="宋体" w:hAnsi="宋体" w:eastAsia="宋体" w:cs="宋体"/>
          <w:color w:val="auto"/>
          <w:sz w:val="24"/>
          <w:szCs w:val="24"/>
          <w:highlight w:val="none"/>
          <w:u w:val="none"/>
          <w:lang w:eastAsia="zh-CN"/>
        </w:rPr>
        <w:t>云</w:t>
      </w:r>
      <w:r>
        <w:rPr>
          <w:rFonts w:hint="eastAsia" w:ascii="宋体" w:hAnsi="宋体" w:eastAsia="宋体" w:cs="宋体"/>
          <w:color w:val="auto"/>
          <w:sz w:val="24"/>
          <w:szCs w:val="24"/>
          <w:highlight w:val="none"/>
          <w:u w:val="none"/>
        </w:rPr>
        <w:t>平台（http://www.zcygov.cn/】</w:t>
      </w:r>
      <w:r>
        <w:rPr>
          <w:rFonts w:hint="eastAsia" w:ascii="宋体" w:hAnsi="宋体" w:eastAsia="宋体" w:cs="宋体"/>
          <w:color w:val="auto"/>
          <w:sz w:val="24"/>
          <w:szCs w:val="24"/>
          <w:highlight w:val="none"/>
          <w:u w:val="none"/>
          <w:lang w:eastAsia="zh-CN"/>
        </w:rPr>
        <w:t>注册并</w:t>
      </w:r>
      <w:r>
        <w:rPr>
          <w:rFonts w:hint="eastAsia" w:ascii="宋体" w:hAnsi="宋体" w:eastAsia="宋体" w:cs="宋体"/>
          <w:color w:val="auto"/>
          <w:sz w:val="24"/>
          <w:szCs w:val="24"/>
          <w:highlight w:val="none"/>
          <w:u w:val="none"/>
        </w:rPr>
        <w:t>获取采购文件</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after="0" w:line="440" w:lineRule="exact"/>
        <w:textAlignment w:val="auto"/>
        <w:outlineLvl w:val="9"/>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售价：0元</w:t>
      </w:r>
    </w:p>
    <w:p>
      <w:pPr>
        <w:keepNext w:val="0"/>
        <w:keepLines w:val="0"/>
        <w:pageBreakBefore w:val="0"/>
        <w:kinsoku/>
        <w:wordWrap/>
        <w:overflowPunct/>
        <w:topLinePunct w:val="0"/>
        <w:autoSpaceDE/>
        <w:autoSpaceDN/>
        <w:bidi w:val="0"/>
        <w:spacing w:line="400" w:lineRule="exact"/>
        <w:outlineLvl w:val="9"/>
        <w:rPr>
          <w:rFonts w:ascii="宋体" w:hAnsi="宋体" w:eastAsia="宋体" w:cs="宋体"/>
          <w:b/>
          <w:bCs/>
          <w:color w:val="auto"/>
          <w:sz w:val="24"/>
          <w:szCs w:val="24"/>
          <w:highlight w:val="none"/>
        </w:rPr>
      </w:pPr>
      <w:bookmarkStart w:id="15" w:name="_Toc35393632"/>
      <w:bookmarkStart w:id="16" w:name="_Toc35393801"/>
      <w:bookmarkStart w:id="17" w:name="_Toc28359092"/>
      <w:bookmarkStart w:id="18" w:name="_Toc28359015"/>
      <w:r>
        <w:rPr>
          <w:rFonts w:hint="eastAsia" w:ascii="宋体" w:hAnsi="宋体" w:eastAsia="宋体" w:cs="宋体"/>
          <w:b/>
          <w:bCs/>
          <w:color w:val="auto"/>
          <w:sz w:val="24"/>
          <w:szCs w:val="24"/>
          <w:highlight w:val="none"/>
        </w:rPr>
        <w:t>四、响应文件提交</w:t>
      </w:r>
      <w:bookmarkEnd w:id="15"/>
      <w:bookmarkEnd w:id="16"/>
      <w:bookmarkEnd w:id="17"/>
      <w:bookmarkEnd w:id="18"/>
    </w:p>
    <w:p>
      <w:pPr>
        <w:keepNext w:val="0"/>
        <w:keepLines w:val="0"/>
        <w:pageBreakBefore w:val="0"/>
        <w:widowControl w:val="0"/>
        <w:kinsoku/>
        <w:wordWrap/>
        <w:overflowPunct/>
        <w:topLinePunct w:val="0"/>
        <w:autoSpaceDE/>
        <w:autoSpaceDN/>
        <w:bidi w:val="0"/>
        <w:adjustRightInd w:val="0"/>
        <w:snapToGrid w:val="0"/>
        <w:spacing w:after="0" w:line="440" w:lineRule="exact"/>
        <w:ind w:firstLine="480" w:firstLineChars="200"/>
        <w:textAlignment w:val="auto"/>
        <w:outlineLvl w:val="9"/>
        <w:rPr>
          <w:rFonts w:ascii="宋体" w:hAnsi="宋体" w:eastAsia="宋体" w:cs="宋体"/>
          <w:bCs/>
          <w:color w:val="auto"/>
          <w:sz w:val="24"/>
          <w:szCs w:val="24"/>
          <w:highlight w:val="none"/>
          <w:u w:val="single"/>
        </w:rPr>
      </w:pPr>
      <w:r>
        <w:rPr>
          <w:rFonts w:hint="eastAsia" w:ascii="宋体" w:hAnsi="宋体" w:eastAsia="宋体" w:cs="宋体"/>
          <w:color w:val="auto"/>
          <w:sz w:val="24"/>
          <w:szCs w:val="24"/>
          <w:highlight w:val="none"/>
        </w:rPr>
        <w:t>截止时间：</w:t>
      </w:r>
      <w:r>
        <w:rPr>
          <w:rFonts w:hint="eastAsia" w:ascii="宋体" w:hAnsi="宋体" w:eastAsia="宋体" w:cs="宋体"/>
          <w:color w:val="auto"/>
          <w:sz w:val="24"/>
          <w:szCs w:val="24"/>
          <w:highlight w:val="none"/>
          <w:u w:val="single"/>
        </w:rPr>
        <w:t xml:space="preserve">2020年 </w:t>
      </w:r>
      <w:r>
        <w:rPr>
          <w:rFonts w:hint="eastAsia" w:ascii="宋体" w:hAnsi="宋体" w:eastAsia="宋体" w:cs="宋体"/>
          <w:color w:val="auto"/>
          <w:sz w:val="24"/>
          <w:szCs w:val="24"/>
          <w:highlight w:val="none"/>
          <w:u w:val="single"/>
          <w:lang w:val="en-US" w:eastAsia="zh-CN"/>
        </w:rPr>
        <w:t xml:space="preserve">12 </w:t>
      </w:r>
      <w:r>
        <w:rPr>
          <w:rFonts w:hint="eastAsia" w:ascii="宋体" w:hAnsi="宋体" w:eastAsia="宋体" w:cs="宋体"/>
          <w:color w:val="auto"/>
          <w:sz w:val="24"/>
          <w:szCs w:val="24"/>
          <w:highlight w:val="none"/>
          <w:u w:val="single"/>
        </w:rPr>
        <w:t>月</w:t>
      </w:r>
      <w:r>
        <w:rPr>
          <w:rFonts w:hint="eastAsia" w:ascii="宋体" w:hAnsi="宋体" w:eastAsia="宋体" w:cs="宋体"/>
          <w:color w:val="auto"/>
          <w:sz w:val="24"/>
          <w:szCs w:val="24"/>
          <w:highlight w:val="none"/>
          <w:u w:val="single"/>
          <w:lang w:val="en-US" w:eastAsia="zh-CN"/>
        </w:rPr>
        <w:t xml:space="preserve"> 15 </w:t>
      </w:r>
      <w:r>
        <w:rPr>
          <w:rFonts w:hint="eastAsia" w:ascii="宋体" w:hAnsi="宋体" w:eastAsia="宋体" w:cs="宋体"/>
          <w:color w:val="auto"/>
          <w:sz w:val="24"/>
          <w:szCs w:val="24"/>
          <w:highlight w:val="none"/>
          <w:u w:val="single"/>
        </w:rPr>
        <w:t>日</w:t>
      </w:r>
      <w:r>
        <w:rPr>
          <w:rFonts w:hint="eastAsia" w:ascii="宋体" w:hAnsi="宋体" w:eastAsia="宋体" w:cs="宋体"/>
          <w:color w:val="auto"/>
          <w:sz w:val="24"/>
          <w:szCs w:val="24"/>
          <w:highlight w:val="none"/>
          <w:u w:val="single"/>
          <w:lang w:val="en-US" w:eastAsia="zh-CN"/>
        </w:rPr>
        <w:t xml:space="preserve"> 14 </w:t>
      </w:r>
      <w:r>
        <w:rPr>
          <w:rFonts w:hint="eastAsia" w:ascii="宋体" w:hAnsi="宋体" w:eastAsia="宋体" w:cs="宋体"/>
          <w:color w:val="auto"/>
          <w:sz w:val="24"/>
          <w:szCs w:val="24"/>
          <w:highlight w:val="none"/>
          <w:u w:val="single"/>
        </w:rPr>
        <w:t>点</w:t>
      </w:r>
      <w:r>
        <w:rPr>
          <w:rFonts w:hint="eastAsia" w:ascii="宋体" w:hAnsi="宋体" w:eastAsia="宋体" w:cs="宋体"/>
          <w:color w:val="auto"/>
          <w:sz w:val="24"/>
          <w:szCs w:val="24"/>
          <w:highlight w:val="none"/>
          <w:u w:val="single"/>
          <w:lang w:val="en-US" w:eastAsia="zh-CN"/>
        </w:rPr>
        <w:t xml:space="preserve"> 00</w:t>
      </w:r>
      <w:r>
        <w:rPr>
          <w:rFonts w:hint="eastAsia" w:ascii="宋体" w:hAnsi="宋体" w:eastAsia="宋体" w:cs="宋体"/>
          <w:color w:val="auto"/>
          <w:sz w:val="24"/>
          <w:szCs w:val="24"/>
          <w:highlight w:val="none"/>
          <w:u w:val="single"/>
        </w:rPr>
        <w:t xml:space="preserve"> 分</w:t>
      </w:r>
      <w:r>
        <w:rPr>
          <w:rFonts w:hint="eastAsia" w:ascii="宋体" w:hAnsi="宋体" w:eastAsia="宋体" w:cs="宋体"/>
          <w:bCs/>
          <w:color w:val="auto"/>
          <w:sz w:val="24"/>
          <w:szCs w:val="24"/>
          <w:highlight w:val="none"/>
        </w:rPr>
        <w:t>（北京时间），逾期送达或未密封的竞争性谈判响应文件将予以拒收（或作无效竞争性谈判响应文件处理）。</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480" w:firstLineChars="200"/>
        <w:textAlignment w:val="auto"/>
        <w:outlineLvl w:val="9"/>
        <w:rPr>
          <w:rFonts w:hint="eastAsia" w:ascii="宋体" w:hAnsi="宋体" w:eastAsia="宋体" w:cs="宋体"/>
          <w:bCs/>
          <w:color w:val="auto"/>
          <w:sz w:val="24"/>
          <w:szCs w:val="24"/>
          <w:highlight w:val="none"/>
          <w:u w:val="single"/>
          <w:lang w:eastAsia="zh-CN"/>
        </w:rPr>
      </w:pPr>
      <w:r>
        <w:rPr>
          <w:rFonts w:hint="eastAsia" w:ascii="宋体" w:hAnsi="宋体" w:eastAsia="宋体" w:cs="宋体"/>
          <w:color w:val="auto"/>
          <w:sz w:val="24"/>
          <w:szCs w:val="24"/>
          <w:highlight w:val="none"/>
        </w:rPr>
        <w:t>地点：河池市公共资源交易中心开标厅【河池市金城江区城东新区肯旺桥西侧北面市工人文化宫办公大楼五楼，具体开标室见当天的电子LED大屏安排】</w:t>
      </w:r>
    </w:p>
    <w:p>
      <w:pPr>
        <w:keepNext w:val="0"/>
        <w:keepLines w:val="0"/>
        <w:pageBreakBefore w:val="0"/>
        <w:kinsoku/>
        <w:wordWrap/>
        <w:overflowPunct/>
        <w:topLinePunct w:val="0"/>
        <w:autoSpaceDE/>
        <w:autoSpaceDN/>
        <w:bidi w:val="0"/>
        <w:spacing w:line="400" w:lineRule="exact"/>
        <w:outlineLvl w:val="9"/>
        <w:rPr>
          <w:rFonts w:ascii="宋体" w:hAnsi="宋体" w:eastAsia="宋体" w:cs="宋体"/>
          <w:b/>
          <w:bCs/>
          <w:color w:val="auto"/>
          <w:sz w:val="24"/>
          <w:szCs w:val="24"/>
          <w:highlight w:val="none"/>
        </w:rPr>
      </w:pPr>
      <w:bookmarkStart w:id="19" w:name="_Toc35393633"/>
      <w:bookmarkStart w:id="20" w:name="_Toc35393802"/>
      <w:bookmarkStart w:id="21" w:name="_Toc28359093"/>
      <w:bookmarkStart w:id="22" w:name="_Toc28359016"/>
      <w:r>
        <w:rPr>
          <w:rFonts w:hint="eastAsia" w:ascii="宋体" w:hAnsi="宋体" w:eastAsia="宋体" w:cs="宋体"/>
          <w:b/>
          <w:bCs/>
          <w:color w:val="auto"/>
          <w:sz w:val="24"/>
          <w:szCs w:val="24"/>
          <w:highlight w:val="none"/>
        </w:rPr>
        <w:t>五、开启</w:t>
      </w:r>
      <w:bookmarkEnd w:id="19"/>
      <w:bookmarkEnd w:id="20"/>
      <w:bookmarkEnd w:id="21"/>
      <w:bookmarkEnd w:id="22"/>
    </w:p>
    <w:p>
      <w:pPr>
        <w:keepNext w:val="0"/>
        <w:keepLines w:val="0"/>
        <w:pageBreakBefore w:val="0"/>
        <w:widowControl w:val="0"/>
        <w:kinsoku/>
        <w:wordWrap/>
        <w:overflowPunct/>
        <w:topLinePunct w:val="0"/>
        <w:autoSpaceDE/>
        <w:autoSpaceDN/>
        <w:bidi w:val="0"/>
        <w:adjustRightInd w:val="0"/>
        <w:snapToGrid w:val="0"/>
        <w:spacing w:after="0" w:line="440" w:lineRule="exact"/>
        <w:ind w:left="0" w:leftChars="0" w:firstLine="439" w:firstLineChars="183"/>
        <w:textAlignment w:val="auto"/>
        <w:outlineLvl w:val="9"/>
        <w:rPr>
          <w:rFonts w:ascii="宋体" w:hAnsi="宋体" w:eastAsia="宋体" w:cs="宋体"/>
          <w:bCs/>
          <w:color w:val="auto"/>
          <w:sz w:val="24"/>
          <w:szCs w:val="24"/>
          <w:highlight w:val="none"/>
          <w:u w:val="single"/>
        </w:rPr>
      </w:pPr>
      <w:r>
        <w:rPr>
          <w:rFonts w:hint="eastAsia" w:ascii="宋体" w:hAnsi="宋体" w:eastAsia="宋体" w:cs="宋体"/>
          <w:color w:val="auto"/>
          <w:sz w:val="24"/>
          <w:szCs w:val="24"/>
          <w:highlight w:val="none"/>
        </w:rPr>
        <w:t>时间：</w:t>
      </w:r>
      <w:r>
        <w:rPr>
          <w:rFonts w:hint="eastAsia" w:ascii="宋体" w:hAnsi="宋体" w:eastAsia="宋体" w:cs="宋体"/>
          <w:color w:val="auto"/>
          <w:sz w:val="24"/>
          <w:szCs w:val="24"/>
          <w:highlight w:val="none"/>
          <w:u w:val="single"/>
        </w:rPr>
        <w:t>2020年</w:t>
      </w:r>
      <w:r>
        <w:rPr>
          <w:rFonts w:hint="eastAsia" w:ascii="宋体" w:hAnsi="宋体" w:eastAsia="宋体" w:cs="宋体"/>
          <w:color w:val="auto"/>
          <w:sz w:val="24"/>
          <w:szCs w:val="24"/>
          <w:highlight w:val="none"/>
          <w:u w:val="single"/>
          <w:lang w:val="en-US" w:eastAsia="zh-CN"/>
        </w:rPr>
        <w:t xml:space="preserve"> 12 </w:t>
      </w:r>
      <w:r>
        <w:rPr>
          <w:rFonts w:hint="eastAsia" w:ascii="宋体" w:hAnsi="宋体" w:eastAsia="宋体" w:cs="宋体"/>
          <w:color w:val="auto"/>
          <w:sz w:val="24"/>
          <w:szCs w:val="24"/>
          <w:highlight w:val="none"/>
          <w:u w:val="single"/>
        </w:rPr>
        <w:t>月</w:t>
      </w:r>
      <w:r>
        <w:rPr>
          <w:rFonts w:hint="eastAsia" w:ascii="宋体" w:hAnsi="宋体" w:eastAsia="宋体" w:cs="宋体"/>
          <w:color w:val="auto"/>
          <w:sz w:val="24"/>
          <w:szCs w:val="24"/>
          <w:highlight w:val="none"/>
          <w:u w:val="single"/>
          <w:lang w:val="en-US" w:eastAsia="zh-CN"/>
        </w:rPr>
        <w:t xml:space="preserve"> 15 </w:t>
      </w:r>
      <w:r>
        <w:rPr>
          <w:rFonts w:hint="eastAsia" w:ascii="宋体" w:hAnsi="宋体" w:eastAsia="宋体" w:cs="宋体"/>
          <w:color w:val="auto"/>
          <w:sz w:val="24"/>
          <w:szCs w:val="24"/>
          <w:highlight w:val="none"/>
          <w:u w:val="single"/>
        </w:rPr>
        <w:t xml:space="preserve">日 </w:t>
      </w:r>
      <w:r>
        <w:rPr>
          <w:rFonts w:hint="eastAsia" w:ascii="宋体" w:hAnsi="宋体" w:eastAsia="宋体" w:cs="宋体"/>
          <w:color w:val="auto"/>
          <w:sz w:val="24"/>
          <w:szCs w:val="24"/>
          <w:highlight w:val="none"/>
          <w:u w:val="single"/>
          <w:lang w:val="en-US" w:eastAsia="zh-CN"/>
        </w:rPr>
        <w:t>14</w:t>
      </w:r>
      <w:r>
        <w:rPr>
          <w:rFonts w:hint="eastAsia" w:ascii="宋体" w:hAnsi="宋体" w:eastAsia="宋体" w:cs="宋体"/>
          <w:color w:val="auto"/>
          <w:sz w:val="24"/>
          <w:szCs w:val="24"/>
          <w:highlight w:val="none"/>
          <w:u w:val="single"/>
        </w:rPr>
        <w:t xml:space="preserve"> 点 </w:t>
      </w:r>
      <w:r>
        <w:rPr>
          <w:rFonts w:hint="eastAsia" w:ascii="宋体" w:hAnsi="宋体" w:eastAsia="宋体" w:cs="宋体"/>
          <w:color w:val="auto"/>
          <w:sz w:val="24"/>
          <w:szCs w:val="24"/>
          <w:highlight w:val="none"/>
          <w:u w:val="single"/>
          <w:lang w:val="en-US" w:eastAsia="zh-CN"/>
        </w:rPr>
        <w:t>00</w:t>
      </w:r>
      <w:r>
        <w:rPr>
          <w:rFonts w:hint="eastAsia" w:ascii="宋体" w:hAnsi="宋体" w:eastAsia="宋体" w:cs="宋体"/>
          <w:color w:val="auto"/>
          <w:sz w:val="24"/>
          <w:szCs w:val="24"/>
          <w:highlight w:val="none"/>
          <w:u w:val="single"/>
        </w:rPr>
        <w:t xml:space="preserve"> 分</w:t>
      </w:r>
      <w:r>
        <w:rPr>
          <w:rFonts w:hint="eastAsia" w:ascii="宋体" w:hAnsi="宋体" w:eastAsia="宋体" w:cs="宋体"/>
          <w:bCs/>
          <w:color w:val="auto"/>
          <w:sz w:val="24"/>
          <w:szCs w:val="24"/>
          <w:highlight w:val="none"/>
        </w:rPr>
        <w:t>（北京时间）</w:t>
      </w:r>
    </w:p>
    <w:p>
      <w:pPr>
        <w:keepNext w:val="0"/>
        <w:keepLines w:val="0"/>
        <w:pageBreakBefore w:val="0"/>
        <w:widowControl w:val="0"/>
        <w:kinsoku/>
        <w:wordWrap/>
        <w:overflowPunct/>
        <w:topLinePunct w:val="0"/>
        <w:autoSpaceDE/>
        <w:autoSpaceDN/>
        <w:bidi w:val="0"/>
        <w:adjustRightInd w:val="0"/>
        <w:snapToGrid w:val="0"/>
        <w:spacing w:after="0" w:line="440" w:lineRule="exact"/>
        <w:ind w:left="0" w:leftChars="0" w:firstLine="439" w:firstLineChars="183"/>
        <w:textAlignment w:val="auto"/>
        <w:outlineLvl w:val="9"/>
        <w:rPr>
          <w:rFonts w:hint="eastAsia" w:ascii="宋体" w:hAnsi="宋体" w:eastAsia="宋体" w:cs="宋体"/>
          <w:bCs/>
          <w:color w:val="auto"/>
          <w:sz w:val="24"/>
          <w:szCs w:val="24"/>
          <w:highlight w:val="none"/>
          <w:u w:val="single"/>
          <w:lang w:eastAsia="zh-CN"/>
        </w:rPr>
      </w:pPr>
      <w:r>
        <w:rPr>
          <w:rFonts w:hint="eastAsia" w:ascii="宋体" w:hAnsi="宋体" w:eastAsia="宋体" w:cs="宋体"/>
          <w:color w:val="auto"/>
          <w:sz w:val="24"/>
          <w:szCs w:val="24"/>
          <w:highlight w:val="none"/>
        </w:rPr>
        <w:t>地点：</w:t>
      </w:r>
      <w:r>
        <w:rPr>
          <w:rFonts w:hint="eastAsia" w:ascii="宋体" w:hAnsi="宋体" w:eastAsia="宋体" w:cs="宋体"/>
          <w:color w:val="auto"/>
          <w:sz w:val="24"/>
          <w:szCs w:val="24"/>
          <w:highlight w:val="none"/>
          <w:lang w:eastAsia="zh-CN"/>
        </w:rPr>
        <w:t>河池市公共资源交易中心开标厅【河池市金城江区城东新区肯旺桥西侧北面市工人文化宫办公大楼五楼，具体开标室见当天的电子LED大屏安排】</w:t>
      </w:r>
    </w:p>
    <w:p>
      <w:pPr>
        <w:keepNext w:val="0"/>
        <w:keepLines w:val="0"/>
        <w:pageBreakBefore w:val="0"/>
        <w:kinsoku/>
        <w:wordWrap/>
        <w:overflowPunct/>
        <w:topLinePunct w:val="0"/>
        <w:autoSpaceDE/>
        <w:autoSpaceDN/>
        <w:bidi w:val="0"/>
        <w:spacing w:line="400" w:lineRule="exact"/>
        <w:outlineLvl w:val="9"/>
        <w:rPr>
          <w:rFonts w:ascii="宋体" w:hAnsi="宋体" w:eastAsia="宋体" w:cs="宋体"/>
          <w:b/>
          <w:bCs/>
          <w:color w:val="auto"/>
          <w:sz w:val="24"/>
          <w:szCs w:val="24"/>
          <w:highlight w:val="none"/>
        </w:rPr>
      </w:pPr>
      <w:bookmarkStart w:id="23" w:name="_Toc35393803"/>
      <w:bookmarkStart w:id="24" w:name="_Toc28359017"/>
      <w:bookmarkStart w:id="25" w:name="_Toc28359094"/>
      <w:bookmarkStart w:id="26" w:name="_Toc35393634"/>
      <w:r>
        <w:rPr>
          <w:rFonts w:hint="eastAsia" w:ascii="宋体" w:hAnsi="宋体" w:eastAsia="宋体" w:cs="宋体"/>
          <w:b/>
          <w:bCs/>
          <w:color w:val="auto"/>
          <w:sz w:val="24"/>
          <w:szCs w:val="24"/>
          <w:highlight w:val="none"/>
        </w:rPr>
        <w:t>六、公告期限</w:t>
      </w:r>
      <w:bookmarkEnd w:id="23"/>
      <w:bookmarkEnd w:id="24"/>
      <w:bookmarkEnd w:id="25"/>
      <w:bookmarkEnd w:id="26"/>
    </w:p>
    <w:p>
      <w:pPr>
        <w:keepNext w:val="0"/>
        <w:keepLines w:val="0"/>
        <w:pageBreakBefore w:val="0"/>
        <w:widowControl w:val="0"/>
        <w:kinsoku/>
        <w:wordWrap/>
        <w:overflowPunct/>
        <w:topLinePunct w:val="0"/>
        <w:autoSpaceDE/>
        <w:autoSpaceDN/>
        <w:bidi w:val="0"/>
        <w:spacing w:line="400" w:lineRule="exact"/>
        <w:ind w:firstLine="480" w:firstLineChars="200"/>
        <w:outlineLvl w:val="9"/>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自本公告发布之日起3个工作日。</w:t>
      </w:r>
    </w:p>
    <w:p>
      <w:pPr>
        <w:keepNext w:val="0"/>
        <w:keepLines w:val="0"/>
        <w:pageBreakBefore w:val="0"/>
        <w:widowControl w:val="0"/>
        <w:kinsoku/>
        <w:wordWrap/>
        <w:overflowPunct/>
        <w:topLinePunct w:val="0"/>
        <w:autoSpaceDE/>
        <w:autoSpaceDN/>
        <w:bidi w:val="0"/>
        <w:spacing w:line="400" w:lineRule="exact"/>
        <w:outlineLvl w:val="9"/>
        <w:rPr>
          <w:rFonts w:ascii="宋体" w:hAnsi="宋体" w:eastAsia="宋体" w:cs="宋体"/>
          <w:b/>
          <w:bCs/>
          <w:color w:val="auto"/>
          <w:sz w:val="24"/>
          <w:szCs w:val="24"/>
          <w:highlight w:val="none"/>
        </w:rPr>
      </w:pPr>
      <w:bookmarkStart w:id="27" w:name="_Toc35393804"/>
      <w:bookmarkStart w:id="28" w:name="_Toc35393635"/>
      <w:r>
        <w:rPr>
          <w:rFonts w:hint="eastAsia" w:ascii="宋体" w:hAnsi="宋体" w:eastAsia="宋体" w:cs="宋体"/>
          <w:b/>
          <w:bCs/>
          <w:color w:val="auto"/>
          <w:sz w:val="24"/>
          <w:szCs w:val="24"/>
          <w:highlight w:val="none"/>
        </w:rPr>
        <w:t>七、其他补充事宜</w:t>
      </w:r>
      <w:bookmarkEnd w:id="27"/>
      <w:bookmarkEnd w:id="28"/>
    </w:p>
    <w:p>
      <w:pPr>
        <w:pStyle w:val="22"/>
        <w:keepNext w:val="0"/>
        <w:keepLines w:val="0"/>
        <w:pageBreakBefore w:val="0"/>
        <w:kinsoku/>
        <w:wordWrap/>
        <w:overflowPunct/>
        <w:topLinePunct w:val="0"/>
        <w:autoSpaceDE/>
        <w:autoSpaceDN/>
        <w:bidi w:val="0"/>
        <w:spacing w:line="400" w:lineRule="exact"/>
        <w:ind w:left="0" w:leftChars="0" w:firstLine="439" w:firstLineChars="183"/>
        <w:outlineLvl w:val="9"/>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1、.根据《政府采购非招标采购方式管理办法》第二章第十二条的相关规定，本项目已依法获得采购人和评审专家分别书面推荐的供应商，供应商是：A标段：南宁合伙人信息科技有限公司、广西泓博信息技术有限公司、北京海鑫高科指纹技术有限公司B标段：广西孚赛特科技有限公司、广西南宁九尺龙商贸有限公司、南宁戎马科技有限公司，被书面推荐的供应商满足资格要求，信誉良好，有较好的履约能力，现推荐该公司参与本项目的竞标活动。</w:t>
      </w:r>
    </w:p>
    <w:p>
      <w:pPr>
        <w:pStyle w:val="22"/>
        <w:keepNext w:val="0"/>
        <w:keepLines w:val="0"/>
        <w:pageBreakBefore w:val="0"/>
        <w:kinsoku/>
        <w:wordWrap/>
        <w:overflowPunct/>
        <w:topLinePunct w:val="0"/>
        <w:autoSpaceDE/>
        <w:autoSpaceDN/>
        <w:bidi w:val="0"/>
        <w:spacing w:line="400" w:lineRule="exact"/>
        <w:ind w:left="0" w:leftChars="0" w:firstLine="439" w:firstLineChars="183"/>
        <w:outlineLvl w:val="9"/>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2、采购项目需要落实的政府采购政策：</w:t>
      </w:r>
    </w:p>
    <w:p>
      <w:pPr>
        <w:pStyle w:val="22"/>
        <w:keepNext w:val="0"/>
        <w:keepLines w:val="0"/>
        <w:pageBreakBefore w:val="0"/>
        <w:kinsoku/>
        <w:wordWrap/>
        <w:overflowPunct/>
        <w:topLinePunct w:val="0"/>
        <w:autoSpaceDE/>
        <w:autoSpaceDN/>
        <w:bidi w:val="0"/>
        <w:spacing w:line="400" w:lineRule="exact"/>
        <w:ind w:left="0" w:leftChars="0" w:firstLine="439" w:firstLineChars="183"/>
        <w:outlineLvl w:val="9"/>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（1）政府采购促进中小企业发展。（2）政府采购支持采用本国产品的政策。（3）强制采购、优先采购环境标志产品、节能产品。（4）政府采购促进残疾人就业政策。（5）政府采购支持监狱企业发展。</w:t>
      </w:r>
    </w:p>
    <w:p>
      <w:pPr>
        <w:pStyle w:val="22"/>
        <w:keepNext w:val="0"/>
        <w:keepLines w:val="0"/>
        <w:pageBreakBefore w:val="0"/>
        <w:kinsoku/>
        <w:wordWrap/>
        <w:overflowPunct/>
        <w:topLinePunct w:val="0"/>
        <w:autoSpaceDE/>
        <w:autoSpaceDN/>
        <w:bidi w:val="0"/>
        <w:spacing w:line="400" w:lineRule="exact"/>
        <w:ind w:left="0" w:leftChars="0" w:firstLine="439" w:firstLineChars="183"/>
        <w:outlineLvl w:val="9"/>
        <w:rPr>
          <w:rFonts w:hint="eastAsia" w:ascii="宋体" w:hAnsi="宋体" w:eastAsia="宋体" w:cs="宋体"/>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3、</w:t>
      </w:r>
      <w:r>
        <w:rPr>
          <w:rFonts w:hint="eastAsia" w:ascii="宋体" w:hAnsi="宋体" w:cs="宋体"/>
          <w:b w:val="0"/>
          <w:bCs w:val="0"/>
          <w:color w:val="auto"/>
          <w:sz w:val="24"/>
          <w:szCs w:val="24"/>
          <w:highlight w:val="none"/>
        </w:rPr>
        <w:t>查询公告地址：</w:t>
      </w:r>
      <w:bookmarkStart w:id="29" w:name="_Toc28359018"/>
      <w:bookmarkStart w:id="30" w:name="_Toc28359095"/>
      <w:bookmarkStart w:id="31" w:name="_Toc35393805"/>
      <w:bookmarkStart w:id="32" w:name="_Toc35393636"/>
      <w:r>
        <w:rPr>
          <w:rFonts w:hint="eastAsia" w:ascii="宋体" w:hAnsi="宋体" w:cs="宋体"/>
          <w:color w:val="auto"/>
          <w:sz w:val="24"/>
          <w:szCs w:val="24"/>
          <w:highlight w:val="none"/>
        </w:rPr>
        <w:t>中国政府采购网(</w:t>
      </w:r>
      <w:r>
        <w:rPr>
          <w:color w:val="auto"/>
          <w:sz w:val="24"/>
          <w:szCs w:val="24"/>
          <w:highlight w:val="none"/>
        </w:rPr>
        <w:fldChar w:fldCharType="begin"/>
      </w:r>
      <w:r>
        <w:rPr>
          <w:color w:val="auto"/>
          <w:sz w:val="24"/>
          <w:szCs w:val="24"/>
          <w:highlight w:val="none"/>
        </w:rPr>
        <w:instrText xml:space="preserve"> HYPERLINK "http://www.ccgp.gov.cn)、" </w:instrText>
      </w:r>
      <w:r>
        <w:rPr>
          <w:color w:val="auto"/>
          <w:sz w:val="24"/>
          <w:szCs w:val="24"/>
          <w:highlight w:val="none"/>
        </w:rPr>
        <w:fldChar w:fldCharType="separate"/>
      </w:r>
      <w:r>
        <w:rPr>
          <w:rStyle w:val="44"/>
          <w:rFonts w:hint="eastAsia" w:ascii="宋体" w:hAnsi="宋体" w:cs="宋体"/>
          <w:color w:val="auto"/>
          <w:sz w:val="24"/>
          <w:szCs w:val="24"/>
          <w:highlight w:val="none"/>
          <w:u w:val="none"/>
        </w:rPr>
        <w:t>www.ccgp.gov.cn)、</w:t>
      </w:r>
      <w:r>
        <w:rPr>
          <w:rStyle w:val="44"/>
          <w:rFonts w:hint="eastAsia" w:ascii="宋体" w:hAnsi="宋体" w:cs="宋体"/>
          <w:color w:val="auto"/>
          <w:sz w:val="24"/>
          <w:szCs w:val="24"/>
          <w:highlight w:val="none"/>
          <w:u w:val="none"/>
        </w:rPr>
        <w:fldChar w:fldCharType="end"/>
      </w:r>
      <w:r>
        <w:rPr>
          <w:rFonts w:hint="eastAsia" w:ascii="宋体" w:hAnsi="宋体" w:cs="宋体"/>
          <w:color w:val="auto"/>
          <w:sz w:val="24"/>
          <w:szCs w:val="24"/>
          <w:highlight w:val="none"/>
        </w:rPr>
        <w:t>广西壮族自治区政府采购网（http：//zfcg.gxzf.gov.cn）</w:t>
      </w:r>
      <w:r>
        <w:rPr>
          <w:rFonts w:hint="eastAsia" w:ascii="宋体" w:hAnsi="宋体" w:cs="宋体"/>
          <w:color w:val="auto"/>
          <w:sz w:val="24"/>
          <w:szCs w:val="24"/>
          <w:highlight w:val="none"/>
          <w:lang w:eastAsia="zh-CN"/>
        </w:rPr>
        <w:t>、河池市公共资源交易中心网（http://www.hcjyxxw.com）</w:t>
      </w:r>
    </w:p>
    <w:p>
      <w:pPr>
        <w:keepNext w:val="0"/>
        <w:keepLines w:val="0"/>
        <w:pageBreakBefore w:val="0"/>
        <w:widowControl w:val="0"/>
        <w:kinsoku/>
        <w:wordWrap/>
        <w:overflowPunct/>
        <w:topLinePunct w:val="0"/>
        <w:autoSpaceDE/>
        <w:autoSpaceDN/>
        <w:bidi w:val="0"/>
        <w:spacing w:line="400" w:lineRule="exact"/>
        <w:outlineLvl w:val="9"/>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八、凡对本次采购提出询问，请按以下方式联系。</w:t>
      </w:r>
      <w:bookmarkEnd w:id="29"/>
      <w:bookmarkEnd w:id="30"/>
      <w:bookmarkEnd w:id="31"/>
      <w:bookmarkEnd w:id="32"/>
    </w:p>
    <w:p>
      <w:pPr>
        <w:keepNext w:val="0"/>
        <w:keepLines w:val="0"/>
        <w:pageBreakBefore w:val="0"/>
        <w:widowControl w:val="0"/>
        <w:kinsoku/>
        <w:wordWrap/>
        <w:overflowPunct/>
        <w:topLinePunct w:val="0"/>
        <w:autoSpaceDE/>
        <w:autoSpaceDN/>
        <w:bidi w:val="0"/>
        <w:adjustRightInd w:val="0"/>
        <w:snapToGrid w:val="0"/>
        <w:spacing w:after="0" w:line="440" w:lineRule="exact"/>
        <w:textAlignment w:val="auto"/>
        <w:outlineLvl w:val="9"/>
        <w:rPr>
          <w:rFonts w:ascii="宋体" w:hAnsi="宋体" w:eastAsia="宋体" w:cs="宋体"/>
          <w:color w:val="auto"/>
          <w:sz w:val="24"/>
          <w:szCs w:val="24"/>
          <w:highlight w:val="none"/>
        </w:rPr>
      </w:pPr>
      <w:bookmarkStart w:id="33" w:name="_Toc28359096"/>
      <w:bookmarkStart w:id="34" w:name="_Toc35393806"/>
      <w:bookmarkStart w:id="35" w:name="_Toc35393637"/>
      <w:bookmarkStart w:id="36" w:name="_Toc28359019"/>
      <w:r>
        <w:rPr>
          <w:rFonts w:hint="eastAsia" w:ascii="宋体" w:hAnsi="宋体" w:eastAsia="宋体" w:cs="宋体"/>
          <w:color w:val="auto"/>
          <w:sz w:val="24"/>
          <w:szCs w:val="24"/>
          <w:highlight w:val="none"/>
        </w:rPr>
        <w:t>1.采购人信息</w:t>
      </w:r>
      <w:bookmarkEnd w:id="33"/>
      <w:bookmarkEnd w:id="34"/>
      <w:bookmarkEnd w:id="35"/>
      <w:bookmarkEnd w:id="36"/>
    </w:p>
    <w:p>
      <w:pPr>
        <w:keepNext w:val="0"/>
        <w:keepLines w:val="0"/>
        <w:pageBreakBefore w:val="0"/>
        <w:widowControl w:val="0"/>
        <w:kinsoku/>
        <w:wordWrap/>
        <w:overflowPunct/>
        <w:topLinePunct w:val="0"/>
        <w:autoSpaceDE/>
        <w:autoSpaceDN/>
        <w:bidi w:val="0"/>
        <w:adjustRightInd w:val="0"/>
        <w:snapToGrid w:val="0"/>
        <w:spacing w:after="0" w:line="440" w:lineRule="exact"/>
        <w:textAlignment w:val="auto"/>
        <w:outlineLvl w:val="9"/>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名称：</w:t>
      </w:r>
      <w:r>
        <w:rPr>
          <w:rFonts w:hint="eastAsia" w:ascii="宋体" w:hAnsi="宋体" w:eastAsia="宋体" w:cs="宋体"/>
          <w:color w:val="auto"/>
          <w:sz w:val="24"/>
          <w:szCs w:val="24"/>
          <w:highlight w:val="none"/>
          <w:u w:val="none"/>
          <w:lang w:eastAsia="zh-CN"/>
        </w:rPr>
        <w:t>大化瑶族自治县公安局</w:t>
      </w:r>
    </w:p>
    <w:p>
      <w:pPr>
        <w:keepNext w:val="0"/>
        <w:keepLines w:val="0"/>
        <w:pageBreakBefore w:val="0"/>
        <w:widowControl w:val="0"/>
        <w:kinsoku/>
        <w:wordWrap/>
        <w:overflowPunct/>
        <w:topLinePunct w:val="0"/>
        <w:autoSpaceDE/>
        <w:autoSpaceDN/>
        <w:bidi w:val="0"/>
        <w:adjustRightInd w:val="0"/>
        <w:snapToGrid w:val="0"/>
        <w:spacing w:after="0" w:line="440" w:lineRule="exact"/>
        <w:textAlignment w:val="auto"/>
        <w:outlineLvl w:val="9"/>
        <w:rPr>
          <w:rFonts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地址：河池市大化瑶族自治县大化镇建丰路96号</w:t>
      </w:r>
    </w:p>
    <w:p>
      <w:pPr>
        <w:keepNext w:val="0"/>
        <w:keepLines w:val="0"/>
        <w:pageBreakBefore w:val="0"/>
        <w:widowControl w:val="0"/>
        <w:kinsoku/>
        <w:wordWrap/>
        <w:overflowPunct/>
        <w:topLinePunct w:val="0"/>
        <w:autoSpaceDE/>
        <w:autoSpaceDN/>
        <w:bidi w:val="0"/>
        <w:adjustRightInd w:val="0"/>
        <w:snapToGrid w:val="0"/>
        <w:spacing w:after="0" w:line="440" w:lineRule="exact"/>
        <w:textAlignment w:val="auto"/>
        <w:outlineLvl w:val="9"/>
        <w:rPr>
          <w:rFonts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 xml:space="preserve">联系方式：0778－5815590                  </w:t>
      </w:r>
    </w:p>
    <w:p>
      <w:pPr>
        <w:keepNext w:val="0"/>
        <w:keepLines w:val="0"/>
        <w:pageBreakBefore w:val="0"/>
        <w:widowControl w:val="0"/>
        <w:kinsoku/>
        <w:wordWrap/>
        <w:overflowPunct/>
        <w:topLinePunct w:val="0"/>
        <w:autoSpaceDE/>
        <w:autoSpaceDN/>
        <w:bidi w:val="0"/>
        <w:adjustRightInd w:val="0"/>
        <w:snapToGrid w:val="0"/>
        <w:spacing w:after="0" w:line="440" w:lineRule="exact"/>
        <w:textAlignment w:val="auto"/>
        <w:outlineLvl w:val="9"/>
        <w:rPr>
          <w:rFonts w:hint="eastAsia" w:ascii="宋体" w:hAnsi="宋体" w:eastAsia="宋体" w:cs="宋体"/>
          <w:color w:val="auto"/>
          <w:sz w:val="24"/>
          <w:szCs w:val="24"/>
          <w:highlight w:val="none"/>
          <w:u w:val="none"/>
        </w:rPr>
      </w:pPr>
      <w:bookmarkStart w:id="37" w:name="_Toc28359097"/>
      <w:bookmarkStart w:id="38" w:name="_Toc28359020"/>
      <w:bookmarkStart w:id="39" w:name="_Toc35393638"/>
      <w:bookmarkStart w:id="40" w:name="_Toc35393807"/>
      <w:r>
        <w:rPr>
          <w:rFonts w:hint="eastAsia" w:ascii="宋体" w:hAnsi="宋体" w:eastAsia="宋体" w:cs="宋体"/>
          <w:color w:val="auto"/>
          <w:sz w:val="24"/>
          <w:szCs w:val="24"/>
          <w:highlight w:val="none"/>
          <w:u w:val="none"/>
        </w:rPr>
        <w:t>2.采购代理机构信息</w:t>
      </w:r>
      <w:bookmarkEnd w:id="37"/>
      <w:bookmarkEnd w:id="38"/>
      <w:bookmarkEnd w:id="39"/>
      <w:bookmarkEnd w:id="40"/>
    </w:p>
    <w:p>
      <w:pPr>
        <w:keepNext w:val="0"/>
        <w:keepLines w:val="0"/>
        <w:pageBreakBefore w:val="0"/>
        <w:widowControl w:val="0"/>
        <w:kinsoku/>
        <w:wordWrap/>
        <w:overflowPunct/>
        <w:topLinePunct w:val="0"/>
        <w:autoSpaceDE/>
        <w:autoSpaceDN/>
        <w:bidi w:val="0"/>
        <w:adjustRightInd w:val="0"/>
        <w:snapToGrid w:val="0"/>
        <w:spacing w:after="0" w:line="44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名称：广西睿翼工程咨询有限公司　</w:t>
      </w:r>
    </w:p>
    <w:p>
      <w:pPr>
        <w:keepNext w:val="0"/>
        <w:keepLines w:val="0"/>
        <w:pageBreakBefore w:val="0"/>
        <w:widowControl w:val="0"/>
        <w:kinsoku/>
        <w:wordWrap/>
        <w:overflowPunct/>
        <w:topLinePunct w:val="0"/>
        <w:autoSpaceDE/>
        <w:autoSpaceDN/>
        <w:bidi w:val="0"/>
        <w:adjustRightInd w:val="0"/>
        <w:snapToGrid w:val="0"/>
        <w:spacing w:after="0" w:line="44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地址：河池市金城江区金城中路2-4号铜鼓园写字楼3楼　</w:t>
      </w:r>
    </w:p>
    <w:p>
      <w:pPr>
        <w:keepNext w:val="0"/>
        <w:keepLines w:val="0"/>
        <w:pageBreakBefore w:val="0"/>
        <w:widowControl w:val="0"/>
        <w:kinsoku/>
        <w:wordWrap/>
        <w:overflowPunct/>
        <w:topLinePunct w:val="0"/>
        <w:autoSpaceDE/>
        <w:autoSpaceDN/>
        <w:bidi w:val="0"/>
        <w:adjustRightInd w:val="0"/>
        <w:snapToGrid w:val="0"/>
        <w:spacing w:after="0" w:line="44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联系方式：0778-2211981  　</w:t>
      </w:r>
    </w:p>
    <w:p>
      <w:pPr>
        <w:keepNext w:val="0"/>
        <w:keepLines w:val="0"/>
        <w:pageBreakBefore w:val="0"/>
        <w:widowControl w:val="0"/>
        <w:kinsoku/>
        <w:wordWrap/>
        <w:overflowPunct/>
        <w:topLinePunct w:val="0"/>
        <w:autoSpaceDE/>
        <w:autoSpaceDN/>
        <w:bidi w:val="0"/>
        <w:adjustRightInd w:val="0"/>
        <w:snapToGrid w:val="0"/>
        <w:spacing w:after="0" w:line="440" w:lineRule="exact"/>
        <w:textAlignment w:val="auto"/>
        <w:outlineLvl w:val="9"/>
        <w:rPr>
          <w:rFonts w:hint="eastAsia" w:ascii="宋体" w:hAnsi="宋体" w:eastAsia="宋体" w:cs="宋体"/>
          <w:color w:val="auto"/>
          <w:sz w:val="24"/>
          <w:szCs w:val="24"/>
          <w:highlight w:val="none"/>
        </w:rPr>
      </w:pPr>
      <w:bookmarkStart w:id="41" w:name="_Toc28359021"/>
      <w:bookmarkStart w:id="42" w:name="_Toc35393639"/>
      <w:bookmarkStart w:id="43" w:name="_Toc28359098"/>
      <w:bookmarkStart w:id="44" w:name="_Toc35393808"/>
      <w:r>
        <w:rPr>
          <w:rFonts w:hint="eastAsia" w:ascii="宋体" w:hAnsi="宋体" w:eastAsia="宋体" w:cs="宋体"/>
          <w:color w:val="auto"/>
          <w:sz w:val="24"/>
          <w:szCs w:val="24"/>
          <w:highlight w:val="none"/>
        </w:rPr>
        <w:t>3.项目联系方式</w:t>
      </w:r>
      <w:bookmarkEnd w:id="41"/>
      <w:bookmarkEnd w:id="42"/>
      <w:bookmarkEnd w:id="43"/>
      <w:bookmarkEnd w:id="44"/>
    </w:p>
    <w:p>
      <w:pPr>
        <w:keepNext w:val="0"/>
        <w:keepLines w:val="0"/>
        <w:pageBreakBefore w:val="0"/>
        <w:widowControl w:val="0"/>
        <w:kinsoku/>
        <w:wordWrap/>
        <w:overflowPunct/>
        <w:topLinePunct w:val="0"/>
        <w:autoSpaceDE/>
        <w:autoSpaceDN/>
        <w:bidi w:val="0"/>
        <w:adjustRightInd w:val="0"/>
        <w:snapToGrid w:val="0"/>
        <w:spacing w:after="0" w:line="44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项目联系人：万</w:t>
      </w:r>
      <w:r>
        <w:rPr>
          <w:rFonts w:hint="eastAsia" w:ascii="宋体" w:hAnsi="宋体" w:eastAsia="宋体" w:cs="宋体"/>
          <w:color w:val="auto"/>
          <w:sz w:val="24"/>
          <w:szCs w:val="24"/>
          <w:highlight w:val="none"/>
          <w:lang w:eastAsia="zh-CN"/>
        </w:rPr>
        <w:t>永凤</w:t>
      </w: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after="0" w:line="44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电话：0778-2211981　</w:t>
      </w:r>
    </w:p>
    <w:p>
      <w:pPr>
        <w:keepNext w:val="0"/>
        <w:keepLines w:val="0"/>
        <w:pageBreakBefore w:val="0"/>
        <w:widowControl w:val="0"/>
        <w:kinsoku/>
        <w:wordWrap/>
        <w:overflowPunct/>
        <w:topLinePunct w:val="0"/>
        <w:autoSpaceDE/>
        <w:autoSpaceDN/>
        <w:bidi w:val="0"/>
        <w:adjustRightInd w:val="0"/>
        <w:snapToGrid w:val="0"/>
        <w:spacing w:after="0" w:line="440" w:lineRule="exact"/>
        <w:ind w:left="20" w:leftChars="9" w:firstLine="19" w:firstLineChars="8"/>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监督部门：大化瑶族自治县人民政府采购办公室   </w:t>
      </w:r>
      <w:r>
        <w:rPr>
          <w:rFonts w:hint="eastAsia" w:ascii="宋体" w:hAnsi="宋体" w:eastAsia="宋体" w:cs="宋体"/>
          <w:color w:val="auto"/>
          <w:sz w:val="24"/>
          <w:szCs w:val="24"/>
          <w:highlight w:val="none"/>
          <w:lang w:eastAsia="zh-CN"/>
        </w:rPr>
        <w:t>联系方式：</w:t>
      </w:r>
      <w:r>
        <w:rPr>
          <w:rFonts w:hint="eastAsia" w:ascii="宋体" w:hAnsi="宋体" w:eastAsia="宋体" w:cs="宋体"/>
          <w:color w:val="auto"/>
          <w:sz w:val="24"/>
          <w:szCs w:val="24"/>
          <w:highlight w:val="none"/>
        </w:rPr>
        <w:t>0778-5827660</w:t>
      </w:r>
    </w:p>
    <w:p>
      <w:pPr>
        <w:keepNext w:val="0"/>
        <w:keepLines w:val="0"/>
        <w:pageBreakBefore w:val="0"/>
        <w:widowControl w:val="0"/>
        <w:kinsoku/>
        <w:wordWrap/>
        <w:overflowPunct/>
        <w:topLinePunct w:val="0"/>
        <w:autoSpaceDE/>
        <w:autoSpaceDN/>
        <w:bidi w:val="0"/>
        <w:adjustRightInd w:val="0"/>
        <w:snapToGrid w:val="0"/>
        <w:spacing w:after="0" w:line="440" w:lineRule="exact"/>
        <w:ind w:left="20" w:leftChars="9" w:firstLine="19" w:firstLineChars="8"/>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交易服务单位：河池市公共资源交易中心（交易服务部）联系电话：0778-2302718</w:t>
      </w:r>
    </w:p>
    <w:p>
      <w:pPr>
        <w:keepNext w:val="0"/>
        <w:keepLines w:val="0"/>
        <w:pageBreakBefore w:val="0"/>
        <w:widowControl w:val="0"/>
        <w:kinsoku/>
        <w:wordWrap/>
        <w:overflowPunct/>
        <w:topLinePunct w:val="0"/>
        <w:autoSpaceDE/>
        <w:autoSpaceDN/>
        <w:bidi w:val="0"/>
        <w:adjustRightInd w:val="0"/>
        <w:snapToGrid w:val="0"/>
        <w:spacing w:after="0" w:line="440" w:lineRule="exact"/>
        <w:ind w:left="20" w:leftChars="9" w:firstLine="19" w:firstLineChars="8"/>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（财务室）联系电话：0778-2301278</w:t>
      </w:r>
    </w:p>
    <w:p>
      <w:pPr>
        <w:keepNext w:val="0"/>
        <w:keepLines w:val="0"/>
        <w:pageBreakBefore w:val="0"/>
        <w:widowControl w:val="0"/>
        <w:kinsoku/>
        <w:wordWrap/>
        <w:overflowPunct/>
        <w:topLinePunct w:val="0"/>
        <w:autoSpaceDE/>
        <w:autoSpaceDN/>
        <w:bidi w:val="0"/>
        <w:adjustRightInd w:val="0"/>
        <w:snapToGrid w:val="0"/>
        <w:spacing w:after="0" w:line="440" w:lineRule="exact"/>
        <w:ind w:left="20" w:leftChars="9" w:firstLine="19" w:firstLineChars="8"/>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after="0" w:line="440" w:lineRule="exact"/>
        <w:ind w:left="20" w:leftChars="9" w:firstLine="19" w:firstLineChars="8"/>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after="0" w:line="440" w:lineRule="exact"/>
        <w:ind w:left="20" w:leftChars="9" w:firstLine="19" w:firstLineChars="8"/>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w:t>
      </w:r>
      <w:r>
        <w:rPr>
          <w:rFonts w:hint="eastAsia" w:ascii="宋体" w:hAnsi="宋体" w:eastAsia="宋体" w:cs="宋体"/>
          <w:color w:val="auto"/>
          <w:sz w:val="24"/>
          <w:szCs w:val="24"/>
          <w:highlight w:val="none"/>
          <w:lang w:eastAsia="zh-CN"/>
        </w:rPr>
        <w:t>：大化瑶族自治县公安局</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u w:val="none"/>
        </w:rPr>
        <w:t>采购代理机构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广西睿翼工程咨询有限公司</w:t>
      </w:r>
    </w:p>
    <w:p>
      <w:pPr>
        <w:pStyle w:val="2"/>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after="0" w:line="440" w:lineRule="exact"/>
        <w:ind w:firstLine="720" w:firstLineChars="3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2020年 </w:t>
      </w:r>
      <w:r>
        <w:rPr>
          <w:rFonts w:hint="eastAsia" w:ascii="宋体" w:hAnsi="宋体" w:eastAsia="宋体" w:cs="宋体"/>
          <w:color w:val="auto"/>
          <w:sz w:val="24"/>
          <w:szCs w:val="24"/>
          <w:highlight w:val="none"/>
          <w:lang w:val="en-US" w:eastAsia="zh-CN"/>
        </w:rPr>
        <w:t xml:space="preserve">12  </w:t>
      </w:r>
      <w:r>
        <w:rPr>
          <w:rFonts w:hint="eastAsia" w:ascii="宋体" w:hAnsi="宋体" w:eastAsia="宋体" w:cs="宋体"/>
          <w:color w:val="auto"/>
          <w:sz w:val="24"/>
          <w:szCs w:val="24"/>
          <w:highlight w:val="none"/>
        </w:rPr>
        <w:t xml:space="preserve">月 </w:t>
      </w:r>
      <w:r>
        <w:rPr>
          <w:rFonts w:hint="eastAsia" w:ascii="宋体" w:hAnsi="宋体" w:eastAsia="宋体" w:cs="宋体"/>
          <w:color w:val="auto"/>
          <w:sz w:val="24"/>
          <w:szCs w:val="24"/>
          <w:highlight w:val="none"/>
          <w:lang w:val="en-US" w:eastAsia="zh-CN"/>
        </w:rPr>
        <w:t xml:space="preserve">07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2020年</w:t>
      </w:r>
      <w:r>
        <w:rPr>
          <w:rFonts w:hint="eastAsia" w:ascii="宋体" w:hAnsi="宋体" w:eastAsia="宋体" w:cs="宋体"/>
          <w:color w:val="auto"/>
          <w:sz w:val="24"/>
          <w:szCs w:val="24"/>
          <w:highlight w:val="none"/>
          <w:lang w:val="en-US" w:eastAsia="zh-CN"/>
        </w:rPr>
        <w:t xml:space="preserve"> 12</w:t>
      </w:r>
      <w:r>
        <w:rPr>
          <w:rFonts w:hint="eastAsia" w:ascii="宋体" w:hAnsi="宋体" w:eastAsia="宋体" w:cs="宋体"/>
          <w:color w:val="auto"/>
          <w:sz w:val="24"/>
          <w:szCs w:val="24"/>
          <w:highlight w:val="none"/>
        </w:rPr>
        <w:t xml:space="preserve"> 月</w:t>
      </w:r>
      <w:r>
        <w:rPr>
          <w:rFonts w:hint="eastAsia" w:ascii="宋体" w:hAnsi="宋体" w:eastAsia="宋体" w:cs="宋体"/>
          <w:color w:val="auto"/>
          <w:sz w:val="24"/>
          <w:szCs w:val="24"/>
          <w:highlight w:val="none"/>
          <w:lang w:val="en-US" w:eastAsia="zh-CN"/>
        </w:rPr>
        <w:t xml:space="preserve">  07</w:t>
      </w:r>
      <w:r>
        <w:rPr>
          <w:rFonts w:hint="eastAsia" w:ascii="宋体" w:hAnsi="宋体" w:eastAsia="宋体" w:cs="宋体"/>
          <w:color w:val="auto"/>
          <w:sz w:val="24"/>
          <w:szCs w:val="24"/>
          <w:highlight w:val="none"/>
        </w:rPr>
        <w:t xml:space="preserve"> 日</w:t>
      </w:r>
    </w:p>
    <w:p>
      <w:pPr>
        <w:rPr>
          <w:rFonts w:hint="eastAsia" w:ascii="宋体" w:hAnsi="宋体"/>
          <w:b/>
          <w:color w:val="auto"/>
          <w:highlight w:val="none"/>
        </w:rPr>
      </w:pPr>
    </w:p>
    <w:p>
      <w:pPr>
        <w:pStyle w:val="2"/>
        <w:rPr>
          <w:rFonts w:hint="eastAsia"/>
          <w:color w:val="auto"/>
          <w:highlight w:val="none"/>
        </w:rPr>
      </w:pPr>
    </w:p>
    <w:p>
      <w:pPr>
        <w:pStyle w:val="3"/>
        <w:spacing w:beforeLines="100" w:afterLines="100"/>
        <w:ind w:firstLine="1084" w:firstLineChars="300"/>
        <w:rPr>
          <w:rFonts w:ascii="宋体" w:hAnsi="宋体" w:eastAsia="宋体"/>
          <w:color w:val="auto"/>
          <w:highlight w:val="none"/>
        </w:rPr>
      </w:pPr>
      <w:bookmarkStart w:id="45" w:name="_Toc246095514"/>
      <w:bookmarkStart w:id="46" w:name="_Toc13678"/>
      <w:bookmarkStart w:id="47" w:name="_Toc246095452"/>
      <w:bookmarkStart w:id="48" w:name="_Toc246094908"/>
      <w:r>
        <w:rPr>
          <w:rFonts w:hint="eastAsia" w:ascii="宋体" w:hAnsi="宋体" w:eastAsia="宋体"/>
          <w:b/>
          <w:bCs/>
          <w:color w:val="auto"/>
          <w:highlight w:val="none"/>
        </w:rPr>
        <w:t>第二章  供应商须知</w:t>
      </w:r>
      <w:bookmarkEnd w:id="45"/>
      <w:bookmarkEnd w:id="46"/>
      <w:bookmarkEnd w:id="47"/>
      <w:bookmarkEnd w:id="48"/>
    </w:p>
    <w:p>
      <w:pPr>
        <w:pStyle w:val="4"/>
        <w:spacing w:afterLines="100" w:line="400" w:lineRule="exact"/>
        <w:ind w:firstLine="640" w:firstLineChars="200"/>
        <w:rPr>
          <w:rFonts w:ascii="宋体" w:hAnsi="宋体" w:eastAsia="宋体"/>
          <w:color w:val="auto"/>
          <w:highlight w:val="none"/>
        </w:rPr>
      </w:pPr>
      <w:bookmarkStart w:id="49" w:name="_Toc246094909"/>
      <w:bookmarkStart w:id="50" w:name="_Toc31896"/>
      <w:bookmarkStart w:id="51" w:name="_Toc246095453"/>
      <w:bookmarkStart w:id="52" w:name="_Toc246095515"/>
      <w:r>
        <w:rPr>
          <w:rFonts w:hint="eastAsia" w:ascii="宋体" w:hAnsi="宋体" w:eastAsia="宋体"/>
          <w:color w:val="auto"/>
          <w:highlight w:val="none"/>
        </w:rPr>
        <w:t>供应商须知前附表</w:t>
      </w:r>
      <w:bookmarkEnd w:id="49"/>
      <w:bookmarkEnd w:id="50"/>
      <w:bookmarkEnd w:id="51"/>
      <w:bookmarkEnd w:id="52"/>
    </w:p>
    <w:tbl>
      <w:tblPr>
        <w:tblStyle w:val="38"/>
        <w:tblW w:w="9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625"/>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blHeader/>
          <w:jc w:val="center"/>
        </w:trPr>
        <w:tc>
          <w:tcPr>
            <w:tcW w:w="1030" w:type="dxa"/>
            <w:vAlign w:val="center"/>
          </w:tcPr>
          <w:p>
            <w:pPr>
              <w:spacing w:after="0" w:line="360" w:lineRule="exact"/>
              <w:jc w:val="center"/>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w:t>
            </w:r>
          </w:p>
        </w:tc>
        <w:tc>
          <w:tcPr>
            <w:tcW w:w="1625" w:type="dxa"/>
            <w:vAlign w:val="center"/>
          </w:tcPr>
          <w:p>
            <w:pPr>
              <w:spacing w:after="0" w:line="360" w:lineRule="exact"/>
              <w:jc w:val="center"/>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条款名称</w:t>
            </w:r>
          </w:p>
        </w:tc>
        <w:tc>
          <w:tcPr>
            <w:tcW w:w="7226" w:type="dxa"/>
            <w:vAlign w:val="center"/>
          </w:tcPr>
          <w:p>
            <w:pPr>
              <w:spacing w:after="0" w:line="360" w:lineRule="exact"/>
              <w:ind w:firstLine="422" w:firstLineChars="200"/>
              <w:jc w:val="center"/>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030"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1.2</w:t>
            </w:r>
          </w:p>
        </w:tc>
        <w:tc>
          <w:tcPr>
            <w:tcW w:w="1625"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w:t>
            </w:r>
          </w:p>
        </w:tc>
        <w:tc>
          <w:tcPr>
            <w:tcW w:w="7226" w:type="dxa"/>
            <w:vAlign w:val="center"/>
          </w:tcPr>
          <w:p>
            <w:pPr>
              <w:spacing w:after="0" w:line="360" w:lineRule="exact"/>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rPr>
              <w:t>名称：</w:t>
            </w:r>
            <w:r>
              <w:rPr>
                <w:rFonts w:hint="eastAsia" w:ascii="宋体" w:hAnsi="宋体" w:eastAsia="宋体"/>
                <w:color w:val="auto"/>
                <w:sz w:val="21"/>
                <w:szCs w:val="21"/>
                <w:highlight w:val="none"/>
                <w:lang w:eastAsia="zh-CN"/>
              </w:rPr>
              <w:t>大化瑶族自治县公安局</w:t>
            </w:r>
          </w:p>
          <w:p>
            <w:pPr>
              <w:spacing w:after="0" w:line="360" w:lineRule="exact"/>
              <w:rPr>
                <w:rFonts w:ascii="宋体" w:hAnsi="宋体" w:eastAsia="宋体"/>
                <w:color w:val="auto"/>
                <w:sz w:val="21"/>
                <w:szCs w:val="21"/>
                <w:highlight w:val="none"/>
              </w:rPr>
            </w:pPr>
            <w:r>
              <w:rPr>
                <w:rFonts w:hint="eastAsia" w:ascii="宋体" w:hAnsi="宋体" w:eastAsia="宋体"/>
                <w:color w:val="auto"/>
                <w:sz w:val="21"/>
                <w:szCs w:val="21"/>
                <w:highlight w:val="none"/>
              </w:rPr>
              <w:t>联系地址：河池市大化瑶族自治县大化镇建丰路96号</w:t>
            </w:r>
          </w:p>
          <w:p>
            <w:pPr>
              <w:spacing w:after="0" w:line="360" w:lineRule="exact"/>
              <w:rPr>
                <w:rFonts w:hint="eastAsia" w:ascii="宋体" w:hAnsi="宋体" w:eastAsia="宋体" w:cs="宋体"/>
                <w:color w:val="auto"/>
                <w:sz w:val="21"/>
                <w:szCs w:val="21"/>
                <w:highlight w:val="none"/>
                <w:lang w:eastAsia="zh-CN"/>
              </w:rPr>
            </w:pPr>
            <w:r>
              <w:rPr>
                <w:rFonts w:hint="eastAsia" w:ascii="宋体" w:hAnsi="宋体" w:eastAsia="宋体"/>
                <w:color w:val="auto"/>
                <w:sz w:val="21"/>
                <w:szCs w:val="21"/>
                <w:highlight w:val="none"/>
              </w:rPr>
              <w:t>联系人：</w:t>
            </w:r>
            <w:r>
              <w:rPr>
                <w:rFonts w:hint="eastAsia" w:ascii="宋体" w:hAnsi="宋体" w:eastAsia="宋体"/>
                <w:color w:val="auto"/>
                <w:sz w:val="21"/>
                <w:szCs w:val="21"/>
                <w:highlight w:val="none"/>
                <w:lang w:eastAsia="zh-CN"/>
              </w:rPr>
              <w:t>陆海军</w:t>
            </w:r>
            <w:r>
              <w:rPr>
                <w:rFonts w:hint="eastAsia" w:ascii="宋体" w:hAnsi="宋体" w:eastAsia="宋体"/>
                <w:color w:val="auto"/>
                <w:sz w:val="21"/>
                <w:szCs w:val="21"/>
                <w:highlight w:val="none"/>
              </w:rPr>
              <w:t xml:space="preserve"> ；     联系电话：0778－5815590 </w:t>
            </w:r>
            <w:r>
              <w:rPr>
                <w:rFonts w:hint="eastAsia" w:ascii="宋体" w:hAnsi="宋体" w:eastAsia="宋体"/>
                <w:color w:val="auto"/>
                <w:sz w:val="21"/>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1.3</w:t>
            </w:r>
          </w:p>
        </w:tc>
        <w:tc>
          <w:tcPr>
            <w:tcW w:w="1625"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bCs/>
                <w:color w:val="auto"/>
                <w:sz w:val="21"/>
                <w:szCs w:val="21"/>
                <w:highlight w:val="none"/>
              </w:rPr>
              <w:t>采购代理机构</w:t>
            </w:r>
          </w:p>
        </w:tc>
        <w:tc>
          <w:tcPr>
            <w:tcW w:w="7226" w:type="dxa"/>
            <w:vAlign w:val="center"/>
          </w:tcPr>
          <w:p>
            <w:pPr>
              <w:spacing w:after="0" w:line="360" w:lineRule="exact"/>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名称：广西睿翼工程咨询有限公司</w:t>
            </w:r>
          </w:p>
          <w:p>
            <w:pPr>
              <w:spacing w:after="0" w:line="360" w:lineRule="exact"/>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河池市金城江区金城中路2-4号铜鼓园写字楼3楼</w:t>
            </w:r>
          </w:p>
          <w:p>
            <w:pPr>
              <w:spacing w:after="0" w:line="360" w:lineRule="exact"/>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联系人：万永凤        联系电话：0778-2211981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1.4</w:t>
            </w:r>
          </w:p>
        </w:tc>
        <w:tc>
          <w:tcPr>
            <w:tcW w:w="1625"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w:t>
            </w:r>
          </w:p>
        </w:tc>
        <w:tc>
          <w:tcPr>
            <w:tcW w:w="7226" w:type="dxa"/>
            <w:vAlign w:val="center"/>
          </w:tcPr>
          <w:p>
            <w:pPr>
              <w:spacing w:after="0" w:line="360" w:lineRule="exac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xml:space="preserve">大化县公安局办公设备、户籍设备、刑事技术设备采购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p>
        </w:tc>
        <w:tc>
          <w:tcPr>
            <w:tcW w:w="1625"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采购编号</w:t>
            </w:r>
          </w:p>
        </w:tc>
        <w:tc>
          <w:tcPr>
            <w:tcW w:w="7226" w:type="dxa"/>
            <w:vAlign w:val="center"/>
          </w:tcPr>
          <w:p>
            <w:pPr>
              <w:spacing w:after="0" w:line="360" w:lineRule="exact"/>
              <w:rPr>
                <w:rFonts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HCZC2020-J1-290331-GXRY</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1.6</w:t>
            </w:r>
          </w:p>
        </w:tc>
        <w:tc>
          <w:tcPr>
            <w:tcW w:w="1625"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bCs/>
                <w:color w:val="auto"/>
                <w:sz w:val="21"/>
                <w:szCs w:val="21"/>
                <w:highlight w:val="none"/>
              </w:rPr>
              <w:t>采购预算</w:t>
            </w:r>
          </w:p>
        </w:tc>
        <w:tc>
          <w:tcPr>
            <w:tcW w:w="7226" w:type="dxa"/>
            <w:vAlign w:val="center"/>
          </w:tcPr>
          <w:p>
            <w:pPr>
              <w:spacing w:after="0" w:line="360" w:lineRule="exact"/>
              <w:rPr>
                <w:rFonts w:ascii="宋体" w:hAnsi="宋体" w:eastAsia="宋体" w:cs="Arial"/>
                <w:bCs/>
                <w:color w:val="auto"/>
                <w:sz w:val="21"/>
                <w:szCs w:val="21"/>
                <w:highlight w:val="none"/>
              </w:rPr>
            </w:pPr>
            <w:r>
              <w:rPr>
                <w:rFonts w:hint="eastAsia" w:ascii="宋体" w:hAnsi="宋体" w:eastAsia="宋体" w:cs="Arial"/>
                <w:bCs/>
                <w:color w:val="auto"/>
                <w:sz w:val="21"/>
                <w:szCs w:val="21"/>
                <w:highlight w:val="none"/>
              </w:rPr>
              <w:t>人民币</w:t>
            </w:r>
            <w:r>
              <w:rPr>
                <w:rFonts w:hint="eastAsia" w:ascii="宋体" w:hAnsi="宋体" w:eastAsia="宋体" w:cs="Arial"/>
                <w:bCs/>
                <w:color w:val="auto"/>
                <w:sz w:val="21"/>
                <w:szCs w:val="21"/>
                <w:highlight w:val="none"/>
                <w:lang w:val="en-US" w:eastAsia="zh-CN"/>
              </w:rPr>
              <w:t>1560626.00元（其中A标段390000.00</w:t>
            </w:r>
            <w:r>
              <w:rPr>
                <w:rFonts w:hint="eastAsia" w:ascii="宋体" w:hAnsi="宋体" w:eastAsia="宋体" w:cs="Arial"/>
                <w:bCs/>
                <w:color w:val="auto"/>
                <w:sz w:val="21"/>
                <w:szCs w:val="21"/>
                <w:highlight w:val="none"/>
              </w:rPr>
              <w:t>元</w:t>
            </w:r>
            <w:r>
              <w:rPr>
                <w:rFonts w:hint="eastAsia" w:ascii="宋体" w:hAnsi="宋体" w:eastAsia="宋体" w:cs="Arial"/>
                <w:bCs/>
                <w:color w:val="auto"/>
                <w:sz w:val="21"/>
                <w:szCs w:val="21"/>
                <w:highlight w:val="none"/>
                <w:lang w:eastAsia="zh-CN"/>
              </w:rPr>
              <w:t>；</w:t>
            </w:r>
            <w:r>
              <w:rPr>
                <w:rFonts w:hint="eastAsia" w:ascii="宋体" w:hAnsi="宋体" w:eastAsia="宋体" w:cs="Arial"/>
                <w:bCs/>
                <w:color w:val="auto"/>
                <w:sz w:val="21"/>
                <w:szCs w:val="21"/>
                <w:highlight w:val="none"/>
                <w:lang w:val="en-US" w:eastAsia="zh-CN"/>
              </w:rPr>
              <w:t>B标段：1170626.00元）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030"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1.7</w:t>
            </w:r>
          </w:p>
        </w:tc>
        <w:tc>
          <w:tcPr>
            <w:tcW w:w="1625"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bCs/>
                <w:color w:val="auto"/>
                <w:sz w:val="21"/>
                <w:szCs w:val="21"/>
                <w:highlight w:val="none"/>
              </w:rPr>
              <w:t>资金来源</w:t>
            </w:r>
          </w:p>
        </w:tc>
        <w:tc>
          <w:tcPr>
            <w:tcW w:w="7226" w:type="dxa"/>
            <w:vAlign w:val="center"/>
          </w:tcPr>
          <w:p>
            <w:pPr>
              <w:spacing w:after="0" w:line="360" w:lineRule="exact"/>
              <w:rPr>
                <w:rFonts w:ascii="宋体" w:hAnsi="宋体" w:eastAsia="宋体" w:cs="宋体"/>
                <w:color w:val="auto"/>
                <w:sz w:val="21"/>
                <w:szCs w:val="21"/>
                <w:highlight w:val="none"/>
              </w:rPr>
            </w:pPr>
            <w:r>
              <w:rPr>
                <w:rFonts w:hint="eastAsia" w:ascii="宋体" w:hAnsi="宋体" w:eastAsia="宋体" w:cs="宋体"/>
                <w:bCs/>
                <w:color w:val="auto"/>
                <w:sz w:val="21"/>
                <w:szCs w:val="21"/>
                <w:highlight w:val="none"/>
              </w:rPr>
              <w:t>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pStyle w:val="19"/>
              <w:spacing w:line="360" w:lineRule="exact"/>
              <w:jc w:val="center"/>
              <w:rPr>
                <w:rFonts w:hAnsi="宋体" w:cs="宋体"/>
                <w:bCs/>
                <w:color w:val="auto"/>
                <w:kern w:val="0"/>
                <w:szCs w:val="21"/>
                <w:highlight w:val="none"/>
              </w:rPr>
            </w:pPr>
            <w:r>
              <w:rPr>
                <w:rFonts w:hint="eastAsia" w:hAnsi="宋体" w:cs="宋体"/>
                <w:bCs/>
                <w:color w:val="auto"/>
                <w:kern w:val="0"/>
                <w:szCs w:val="21"/>
                <w:highlight w:val="none"/>
              </w:rPr>
              <w:t>1.8</w:t>
            </w:r>
          </w:p>
        </w:tc>
        <w:tc>
          <w:tcPr>
            <w:tcW w:w="1625" w:type="dxa"/>
            <w:vAlign w:val="center"/>
          </w:tcPr>
          <w:p>
            <w:pPr>
              <w:pStyle w:val="19"/>
              <w:spacing w:line="360" w:lineRule="exact"/>
              <w:jc w:val="center"/>
              <w:rPr>
                <w:rFonts w:hAnsi="宋体" w:cs="宋体"/>
                <w:bCs/>
                <w:color w:val="auto"/>
                <w:kern w:val="0"/>
                <w:szCs w:val="21"/>
                <w:highlight w:val="none"/>
              </w:rPr>
            </w:pPr>
            <w:r>
              <w:rPr>
                <w:rFonts w:hint="eastAsia" w:hAnsi="宋体" w:cs="宋体"/>
                <w:bCs/>
                <w:color w:val="auto"/>
                <w:kern w:val="0"/>
                <w:szCs w:val="21"/>
                <w:highlight w:val="none"/>
              </w:rPr>
              <w:t>预留采购份额</w:t>
            </w:r>
          </w:p>
        </w:tc>
        <w:tc>
          <w:tcPr>
            <w:tcW w:w="7226" w:type="dxa"/>
            <w:vAlign w:val="center"/>
          </w:tcPr>
          <w:p>
            <w:pPr>
              <w:pStyle w:val="19"/>
              <w:spacing w:line="360" w:lineRule="exact"/>
              <w:ind w:left="596" w:hanging="596" w:hangingChars="284"/>
              <w:rPr>
                <w:rFonts w:hAnsi="宋体" w:cs="宋体"/>
                <w:bCs/>
                <w:color w:val="auto"/>
                <w:kern w:val="0"/>
                <w:szCs w:val="21"/>
                <w:highlight w:val="none"/>
              </w:rPr>
            </w:pPr>
            <w:r>
              <w:rPr>
                <w:rFonts w:hint="eastAsia" w:hAnsi="宋体" w:cs="宋体"/>
                <w:bCs/>
                <w:color w:val="auto"/>
                <w:kern w:val="0"/>
                <w:szCs w:val="21"/>
                <w:highlight w:val="none"/>
              </w:rPr>
              <w:t>本项目非专门面向中小企业采购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3.1</w:t>
            </w:r>
          </w:p>
        </w:tc>
        <w:tc>
          <w:tcPr>
            <w:tcW w:w="1625"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供应商资格条件</w:t>
            </w:r>
          </w:p>
        </w:tc>
        <w:tc>
          <w:tcPr>
            <w:tcW w:w="7226" w:type="dxa"/>
            <w:vAlign w:val="center"/>
          </w:tcPr>
          <w:p>
            <w:pPr>
              <w:widowControl w:val="0"/>
              <w:autoSpaceDE w:val="0"/>
              <w:adjustRightInd/>
              <w:snapToGrid/>
              <w:spacing w:after="0" w:line="380" w:lineRule="exact"/>
              <w:ind w:firstLine="420" w:firstLineChars="200"/>
              <w:jc w:val="both"/>
              <w:rPr>
                <w:rFonts w:ascii="宋体" w:hAnsi="宋体" w:eastAsia="宋体"/>
                <w:color w:val="auto"/>
                <w:sz w:val="21"/>
                <w:szCs w:val="21"/>
                <w:highlight w:val="none"/>
              </w:rPr>
            </w:pPr>
            <w:r>
              <w:rPr>
                <w:rFonts w:hint="eastAsia" w:ascii="宋体" w:hAnsi="宋体" w:eastAsia="宋体"/>
                <w:color w:val="auto"/>
                <w:sz w:val="21"/>
                <w:szCs w:val="21"/>
                <w:highlight w:val="none"/>
              </w:rPr>
              <w:t>1.满足《中华人民共和国政府采购法》第二十二条规定；</w:t>
            </w:r>
          </w:p>
          <w:p>
            <w:pPr>
              <w:widowControl w:val="0"/>
              <w:autoSpaceDE w:val="0"/>
              <w:adjustRightInd/>
              <w:snapToGrid/>
              <w:spacing w:after="0" w:line="380" w:lineRule="exact"/>
              <w:ind w:firstLine="420" w:firstLineChars="200"/>
              <w:jc w:val="both"/>
              <w:rPr>
                <w:rFonts w:ascii="宋体" w:hAnsi="宋体" w:eastAsia="宋体"/>
                <w:color w:val="auto"/>
                <w:sz w:val="21"/>
                <w:szCs w:val="21"/>
                <w:highlight w:val="none"/>
              </w:rPr>
            </w:pPr>
            <w:r>
              <w:rPr>
                <w:rFonts w:hint="eastAsia" w:ascii="宋体" w:hAnsi="宋体" w:eastAsia="宋体"/>
                <w:color w:val="auto"/>
                <w:sz w:val="21"/>
                <w:szCs w:val="21"/>
                <w:highlight w:val="none"/>
              </w:rPr>
              <w:t>2.落实政府采购政策需满足的资格要求：本项目属于非专门面向中小企业采购的项目。</w:t>
            </w:r>
          </w:p>
          <w:p>
            <w:pPr>
              <w:widowControl w:val="0"/>
              <w:autoSpaceDE w:val="0"/>
              <w:adjustRightInd/>
              <w:snapToGrid/>
              <w:spacing w:after="0" w:line="380" w:lineRule="exact"/>
              <w:ind w:firstLine="420" w:firstLineChars="200"/>
              <w:jc w:val="both"/>
              <w:rPr>
                <w:rFonts w:hint="eastAsia" w:ascii="宋体" w:hAnsi="宋体" w:eastAsia="宋体"/>
                <w:color w:val="auto"/>
                <w:sz w:val="21"/>
                <w:szCs w:val="21"/>
                <w:highlight w:val="none"/>
              </w:rPr>
            </w:pPr>
            <w:r>
              <w:rPr>
                <w:rFonts w:hint="eastAsia" w:ascii="宋体" w:hAnsi="宋体" w:eastAsia="宋体"/>
                <w:color w:val="auto"/>
                <w:sz w:val="21"/>
                <w:szCs w:val="21"/>
                <w:highlight w:val="none"/>
              </w:rPr>
              <w:t>3.本项目的特定资格要求：已经依法获得采购人和评审专家分别书面推荐的供应商并在规定时间内获取采购文件的供应商才有资格参与谈判；</w:t>
            </w:r>
          </w:p>
          <w:p>
            <w:pPr>
              <w:widowControl w:val="0"/>
              <w:autoSpaceDE w:val="0"/>
              <w:adjustRightInd/>
              <w:snapToGrid/>
              <w:spacing w:after="0" w:line="380" w:lineRule="exact"/>
              <w:ind w:firstLine="420" w:firstLineChars="200"/>
              <w:jc w:val="both"/>
              <w:rPr>
                <w:rFonts w:ascii="宋体" w:hAnsi="宋体" w:eastAsia="宋体"/>
                <w:color w:val="auto"/>
                <w:sz w:val="21"/>
                <w:szCs w:val="21"/>
                <w:highlight w:val="none"/>
              </w:rPr>
            </w:pPr>
            <w:r>
              <w:rPr>
                <w:rFonts w:hint="eastAsia" w:ascii="宋体" w:hAnsi="宋体" w:eastAsia="宋体"/>
                <w:color w:val="auto"/>
                <w:sz w:val="21"/>
                <w:szCs w:val="21"/>
                <w:highlight w:val="none"/>
                <w:lang w:val="en-US" w:eastAsia="zh-CN"/>
              </w:rPr>
              <w:t>4</w:t>
            </w:r>
            <w:r>
              <w:rPr>
                <w:rFonts w:hint="eastAsia" w:ascii="宋体" w:hAnsi="宋体" w:eastAsia="宋体"/>
                <w:color w:val="auto"/>
                <w:sz w:val="21"/>
                <w:szCs w:val="21"/>
                <w:highlight w:val="none"/>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widowControl w:val="0"/>
              <w:autoSpaceDE w:val="0"/>
              <w:adjustRightInd/>
              <w:snapToGrid/>
              <w:spacing w:after="0" w:line="380" w:lineRule="exact"/>
              <w:ind w:firstLine="420" w:firstLineChars="200"/>
              <w:jc w:val="both"/>
              <w:rPr>
                <w:rFonts w:ascii="宋体" w:hAnsi="宋体" w:eastAsia="宋体"/>
                <w:color w:val="auto"/>
                <w:sz w:val="21"/>
                <w:szCs w:val="21"/>
                <w:highlight w:val="none"/>
              </w:rPr>
            </w:pPr>
            <w:r>
              <w:rPr>
                <w:rFonts w:hint="eastAsia" w:ascii="宋体" w:hAnsi="宋体" w:eastAsia="宋体"/>
                <w:color w:val="auto"/>
                <w:sz w:val="21"/>
                <w:szCs w:val="21"/>
                <w:highlight w:val="none"/>
                <w:lang w:val="en-US" w:eastAsia="zh-CN"/>
              </w:rPr>
              <w:t>5</w:t>
            </w:r>
            <w:r>
              <w:rPr>
                <w:rFonts w:hint="eastAsia" w:ascii="宋体" w:hAnsi="宋体" w:eastAsia="宋体"/>
                <w:color w:val="auto"/>
                <w:sz w:val="21"/>
                <w:szCs w:val="21"/>
                <w:highlight w:val="none"/>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r>
              <w:rPr>
                <w:rFonts w:hint="eastAsia" w:ascii="宋体" w:hAnsi="宋体" w:eastAsia="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5.2</w:t>
            </w:r>
          </w:p>
        </w:tc>
        <w:tc>
          <w:tcPr>
            <w:tcW w:w="1625"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olor w:val="auto"/>
                <w:sz w:val="21"/>
                <w:szCs w:val="21"/>
                <w:highlight w:val="none"/>
              </w:rPr>
              <w:t>招标代理服务费</w:t>
            </w:r>
          </w:p>
        </w:tc>
        <w:tc>
          <w:tcPr>
            <w:tcW w:w="7226" w:type="dxa"/>
            <w:vAlign w:val="center"/>
          </w:tcPr>
          <w:p>
            <w:pPr>
              <w:autoSpaceDE w:val="0"/>
              <w:autoSpaceDN w:val="0"/>
              <w:spacing w:after="0" w:line="36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本项目招标代理服务费按本章第33条规定的费率标准，按差额定率累进法计算。成交人领取成交通知书前，应向采购代理机构一次付清招标代理服务费。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6.1</w:t>
            </w:r>
          </w:p>
        </w:tc>
        <w:tc>
          <w:tcPr>
            <w:tcW w:w="1625"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现场勘察</w:t>
            </w:r>
          </w:p>
        </w:tc>
        <w:tc>
          <w:tcPr>
            <w:tcW w:w="7226" w:type="dxa"/>
            <w:vAlign w:val="center"/>
          </w:tcPr>
          <w:p>
            <w:pPr>
              <w:autoSpaceDE w:val="0"/>
              <w:autoSpaceDN w:val="0"/>
              <w:spacing w:after="0" w:line="36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drawing>
                <wp:inline distT="0" distB="0" distL="0" distR="0">
                  <wp:extent cx="152400" cy="152400"/>
                  <wp:effectExtent l="19050" t="0" r="0" b="0"/>
                  <wp:docPr id="1" name="图片 1" descr="未标题-2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2 拷贝"/>
                          <pic:cNvPicPr>
                            <a:picLocks noChangeAspect="1" noChangeArrowheads="1"/>
                          </pic:cNvPicPr>
                        </pic:nvPicPr>
                        <pic:blipFill>
                          <a:blip r:embed="rId13" cstate="print"/>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olor w:val="auto"/>
                <w:sz w:val="21"/>
                <w:szCs w:val="21"/>
                <w:highlight w:val="none"/>
              </w:rPr>
              <w:t>不组织。由供应商自行决定是否勘察现场，建议供应商自行对项目现场和其周围环境进行现场勘察，以获取有关编制响应文件和签署实施项目合同所需的各种资料。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30"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olor w:val="auto"/>
                <w:sz w:val="21"/>
                <w:szCs w:val="21"/>
                <w:highlight w:val="none"/>
              </w:rPr>
              <w:t>10.1.1</w:t>
            </w:r>
          </w:p>
        </w:tc>
        <w:tc>
          <w:tcPr>
            <w:tcW w:w="1625"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olor w:val="auto"/>
                <w:sz w:val="21"/>
                <w:szCs w:val="21"/>
                <w:highlight w:val="none"/>
              </w:rPr>
              <w:t>价格文件组成内容</w:t>
            </w:r>
          </w:p>
        </w:tc>
        <w:tc>
          <w:tcPr>
            <w:tcW w:w="7226" w:type="dxa"/>
            <w:vAlign w:val="center"/>
          </w:tcPr>
          <w:p>
            <w:pPr>
              <w:autoSpaceDE w:val="0"/>
              <w:autoSpaceDN w:val="0"/>
              <w:spacing w:after="0" w:line="360" w:lineRule="exact"/>
              <w:ind w:firstLine="422" w:firstLineChars="200"/>
              <w:rPr>
                <w:rFonts w:ascii="宋体" w:hAnsi="宋体" w:eastAsia="宋体" w:cs="宋体"/>
                <w:color w:val="auto"/>
                <w:sz w:val="21"/>
                <w:szCs w:val="21"/>
                <w:highlight w:val="none"/>
              </w:rPr>
            </w:pPr>
            <w:r>
              <w:rPr>
                <w:rFonts w:hint="eastAsia" w:ascii="宋体" w:hAnsi="宋体" w:eastAsia="宋体" w:cs="宋体"/>
                <w:b/>
                <w:color w:val="auto"/>
                <w:sz w:val="21"/>
                <w:szCs w:val="21"/>
                <w:highlight w:val="none"/>
              </w:rPr>
              <w:t>价格文件（下列文件列明“必须提供”的，须加盖公章按要求提供，否则作竞标无效处理）</w:t>
            </w:r>
            <w:r>
              <w:rPr>
                <w:rFonts w:hint="eastAsia" w:ascii="宋体" w:hAnsi="宋体" w:eastAsia="宋体" w:cs="宋体"/>
                <w:color w:val="auto"/>
                <w:sz w:val="21"/>
                <w:szCs w:val="21"/>
                <w:highlight w:val="none"/>
              </w:rPr>
              <w:t>：</w:t>
            </w:r>
          </w:p>
          <w:p>
            <w:pPr>
              <w:pStyle w:val="95"/>
              <w:numPr>
                <w:ilvl w:val="0"/>
                <w:numId w:val="2"/>
              </w:numPr>
              <w:autoSpaceDE w:val="0"/>
              <w:autoSpaceDN w:val="0"/>
              <w:spacing w:after="0" w:line="360" w:lineRule="exact"/>
              <w:ind w:firstLineChars="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谈判报价表；（格式见附件，</w:t>
            </w:r>
            <w:r>
              <w:rPr>
                <w:rFonts w:hint="eastAsia" w:ascii="宋体" w:hAnsi="宋体" w:eastAsia="宋体" w:cs="宋体"/>
                <w:b/>
                <w:color w:val="auto"/>
                <w:sz w:val="21"/>
                <w:szCs w:val="21"/>
                <w:highlight w:val="none"/>
              </w:rPr>
              <w:t>必须提供)</w:t>
            </w:r>
          </w:p>
          <w:p>
            <w:pPr>
              <w:autoSpaceDE w:val="0"/>
              <w:autoSpaceDN w:val="0"/>
              <w:spacing w:after="0" w:line="360" w:lineRule="exact"/>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2）供应商针对报价需要说明的其他文件和说明（格式自拟）。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360" w:lineRule="exact"/>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10.1.2</w:t>
            </w:r>
          </w:p>
        </w:tc>
        <w:tc>
          <w:tcPr>
            <w:tcW w:w="1625" w:type="dxa"/>
            <w:vAlign w:val="center"/>
          </w:tcPr>
          <w:p>
            <w:pPr>
              <w:spacing w:after="0" w:line="360" w:lineRule="exact"/>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商务技术文件组成内容</w:t>
            </w:r>
          </w:p>
        </w:tc>
        <w:tc>
          <w:tcPr>
            <w:tcW w:w="7226" w:type="dxa"/>
            <w:vAlign w:val="center"/>
          </w:tcPr>
          <w:p>
            <w:pPr>
              <w:topLinePunct/>
              <w:adjustRightInd/>
              <w:spacing w:after="0" w:line="360" w:lineRule="exact"/>
              <w:ind w:firstLine="422" w:firstLineChars="200"/>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商务技术文件（下列文件列明“必须提供”的，须加盖公章按要求提供，否则作竞标无效处理；其余项结合第三章“项目采购需求和说明”要求提供，要求“必须提供”的，如未提供，谈判小组有权拒绝其响应文件。</w:t>
            </w:r>
            <w:r>
              <w:rPr>
                <w:rFonts w:hint="eastAsia" w:ascii="宋体" w:hAnsi="宋体" w:eastAsia="宋体" w:cs="宋体"/>
                <w:b/>
                <w:color w:val="auto"/>
                <w:sz w:val="21"/>
                <w:szCs w:val="21"/>
                <w:highlight w:val="none"/>
                <w:u w:val="single"/>
              </w:rPr>
              <w:t>供应商所提供的材料不完整，或模糊不清以致关键信息无法辨认的，谈判小组有权认定该材料无效</w:t>
            </w:r>
            <w:r>
              <w:rPr>
                <w:rFonts w:hint="eastAsia" w:ascii="宋体" w:hAnsi="宋体" w:eastAsia="宋体" w:cs="宋体"/>
                <w:b/>
                <w:color w:val="auto"/>
                <w:sz w:val="21"/>
                <w:szCs w:val="21"/>
                <w:highlight w:val="none"/>
              </w:rPr>
              <w:t>。其他如有请提供）</w:t>
            </w:r>
          </w:p>
          <w:p>
            <w:pPr>
              <w:pStyle w:val="95"/>
              <w:numPr>
                <w:ilvl w:val="0"/>
                <w:numId w:val="3"/>
              </w:numPr>
              <w:autoSpaceDE w:val="0"/>
              <w:autoSpaceDN w:val="0"/>
              <w:spacing w:after="0" w:line="360" w:lineRule="exact"/>
              <w:ind w:left="0" w:firstLine="420"/>
              <w:rPr>
                <w:rFonts w:ascii="宋体" w:hAnsi="宋体" w:eastAsia="宋体" w:cs="宋体"/>
                <w:color w:val="auto"/>
                <w:sz w:val="21"/>
                <w:szCs w:val="21"/>
                <w:highlight w:val="none"/>
              </w:rPr>
            </w:pPr>
            <w:bookmarkStart w:id="53" w:name="_Hlk38193327"/>
            <w:r>
              <w:rPr>
                <w:rFonts w:hint="eastAsia" w:ascii="宋体" w:hAnsi="宋体" w:eastAsia="宋体" w:cs="宋体"/>
                <w:color w:val="auto"/>
                <w:sz w:val="21"/>
                <w:szCs w:val="21"/>
                <w:highlight w:val="none"/>
              </w:rPr>
              <w:t>谈判书；（格式见附件，</w:t>
            </w:r>
            <w:r>
              <w:rPr>
                <w:rFonts w:hint="eastAsia" w:ascii="宋体" w:hAnsi="宋体" w:eastAsia="宋体" w:cs="宋体"/>
                <w:b/>
                <w:color w:val="auto"/>
                <w:sz w:val="21"/>
                <w:szCs w:val="21"/>
                <w:highlight w:val="none"/>
              </w:rPr>
              <w:t>必须提供)</w:t>
            </w:r>
          </w:p>
          <w:p>
            <w:pPr>
              <w:pStyle w:val="95"/>
              <w:numPr>
                <w:ilvl w:val="0"/>
                <w:numId w:val="3"/>
              </w:numPr>
              <w:autoSpaceDE w:val="0"/>
              <w:autoSpaceDN w:val="0"/>
              <w:spacing w:after="0" w:line="360" w:lineRule="exact"/>
              <w:ind w:left="0" w:firstLine="42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竞标声明书；（格式见附件，</w:t>
            </w:r>
            <w:r>
              <w:rPr>
                <w:rFonts w:hint="eastAsia" w:ascii="宋体" w:hAnsi="宋体" w:eastAsia="宋体" w:cs="宋体"/>
                <w:b/>
                <w:color w:val="auto"/>
                <w:sz w:val="21"/>
                <w:szCs w:val="21"/>
                <w:highlight w:val="none"/>
              </w:rPr>
              <w:t>必须提供)</w:t>
            </w:r>
          </w:p>
          <w:p>
            <w:pPr>
              <w:pStyle w:val="95"/>
              <w:numPr>
                <w:ilvl w:val="0"/>
                <w:numId w:val="3"/>
              </w:numPr>
              <w:autoSpaceDE w:val="0"/>
              <w:autoSpaceDN w:val="0"/>
              <w:spacing w:after="0" w:line="360" w:lineRule="exact"/>
              <w:ind w:left="0" w:firstLine="42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谈判保证金交纳证明材料；</w:t>
            </w:r>
            <w:r>
              <w:rPr>
                <w:rFonts w:hint="eastAsia" w:ascii="宋体" w:hAnsi="宋体" w:eastAsia="宋体" w:cs="宋体"/>
                <w:b/>
                <w:color w:val="auto"/>
                <w:sz w:val="21"/>
                <w:szCs w:val="21"/>
                <w:highlight w:val="none"/>
              </w:rPr>
              <w:t>(</w:t>
            </w:r>
            <w:r>
              <w:rPr>
                <w:rFonts w:hint="eastAsia" w:ascii="宋体" w:hAnsi="宋体" w:eastAsia="宋体" w:cs="宋体"/>
                <w:color w:val="auto"/>
                <w:sz w:val="21"/>
                <w:szCs w:val="21"/>
                <w:highlight w:val="none"/>
              </w:rPr>
              <w:t>格式见附件，</w:t>
            </w:r>
            <w:r>
              <w:rPr>
                <w:rFonts w:hint="eastAsia" w:ascii="宋体" w:hAnsi="宋体" w:eastAsia="宋体" w:cs="宋体"/>
                <w:b/>
                <w:color w:val="auto"/>
                <w:sz w:val="21"/>
                <w:szCs w:val="21"/>
                <w:highlight w:val="none"/>
              </w:rPr>
              <w:t>必须提供)</w:t>
            </w:r>
          </w:p>
          <w:p>
            <w:pPr>
              <w:pStyle w:val="95"/>
              <w:numPr>
                <w:ilvl w:val="0"/>
                <w:numId w:val="3"/>
              </w:numPr>
              <w:autoSpaceDE w:val="0"/>
              <w:autoSpaceDN w:val="0"/>
              <w:spacing w:after="0" w:line="360" w:lineRule="exact"/>
              <w:ind w:left="0" w:firstLine="42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技术响应、偏离情况说明表及商务偏离表；（格式见附件，</w:t>
            </w:r>
            <w:r>
              <w:rPr>
                <w:rFonts w:hint="eastAsia" w:ascii="宋体" w:hAnsi="宋体" w:eastAsia="宋体" w:cs="宋体"/>
                <w:b/>
                <w:color w:val="auto"/>
                <w:sz w:val="21"/>
                <w:szCs w:val="21"/>
                <w:highlight w:val="none"/>
              </w:rPr>
              <w:t>必须提供)</w:t>
            </w:r>
          </w:p>
          <w:p>
            <w:pPr>
              <w:pStyle w:val="95"/>
              <w:numPr>
                <w:ilvl w:val="0"/>
                <w:numId w:val="3"/>
              </w:numPr>
              <w:autoSpaceDE w:val="0"/>
              <w:autoSpaceDN w:val="0"/>
              <w:spacing w:after="0" w:line="360" w:lineRule="exact"/>
              <w:ind w:left="0" w:firstLine="42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售后服务承诺（由供应商按本项目竞争性谈判文件第三章“项目采购需求和说明”要求自行编制）；</w:t>
            </w:r>
            <w:r>
              <w:rPr>
                <w:rFonts w:hint="eastAsia" w:ascii="宋体" w:hAnsi="宋体" w:eastAsia="宋体" w:cs="宋体"/>
                <w:b/>
                <w:color w:val="auto"/>
                <w:sz w:val="21"/>
                <w:szCs w:val="21"/>
                <w:highlight w:val="none"/>
              </w:rPr>
              <w:t>（必须提供）</w:t>
            </w:r>
          </w:p>
          <w:p>
            <w:pPr>
              <w:pStyle w:val="95"/>
              <w:numPr>
                <w:ilvl w:val="0"/>
                <w:numId w:val="3"/>
              </w:numPr>
              <w:autoSpaceDE w:val="0"/>
              <w:autoSpaceDN w:val="0"/>
              <w:spacing w:after="0" w:line="360" w:lineRule="exact"/>
              <w:ind w:left="0" w:firstLine="42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有效的“营业执照”正本或副本复印件</w:t>
            </w:r>
            <w:r>
              <w:rPr>
                <w:rFonts w:ascii="宋体" w:hAnsi="宋体" w:eastAsia="宋体" w:cs="宋体"/>
                <w:color w:val="auto"/>
                <w:sz w:val="21"/>
                <w:szCs w:val="21"/>
                <w:highlight w:val="none"/>
              </w:rPr>
              <w:t>(</w:t>
            </w:r>
            <w:r>
              <w:rPr>
                <w:rFonts w:hint="eastAsia" w:ascii="宋体" w:hAnsi="宋体" w:eastAsia="宋体" w:cs="宋体"/>
                <w:color w:val="auto"/>
                <w:sz w:val="21"/>
                <w:szCs w:val="21"/>
                <w:highlight w:val="none"/>
              </w:rPr>
              <w:t>事业单位提供事业单位法人证书）；</w:t>
            </w:r>
            <w:r>
              <w:rPr>
                <w:rFonts w:hint="eastAsia" w:ascii="宋体" w:hAnsi="宋体" w:eastAsia="宋体" w:cs="宋体"/>
                <w:b/>
                <w:color w:val="auto"/>
                <w:sz w:val="21"/>
                <w:szCs w:val="21"/>
                <w:highlight w:val="none"/>
              </w:rPr>
              <w:t>(必须提供)</w:t>
            </w:r>
          </w:p>
          <w:p>
            <w:pPr>
              <w:pStyle w:val="95"/>
              <w:numPr>
                <w:ilvl w:val="0"/>
                <w:numId w:val="3"/>
              </w:numPr>
              <w:autoSpaceDE w:val="0"/>
              <w:autoSpaceDN w:val="0"/>
              <w:spacing w:after="0" w:line="360" w:lineRule="exact"/>
              <w:ind w:left="0" w:firstLine="42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提交响应文件截止之日前三个月内任意一个月的依法缴纳税费或依法免缴税费（包括无纳税记录或零报税）的证明（新成立的且不足一个月的企业按实际提供），证明材料可以是：银行已缴纳税费凭证复印件或第三方有效的相关业务托缴凭证或其他有效证明，或供应商所在地税务部门出具的有效证明（复印件）；</w:t>
            </w:r>
            <w:r>
              <w:rPr>
                <w:rFonts w:hint="eastAsia" w:ascii="宋体" w:hAnsi="宋体" w:eastAsia="宋体" w:cs="宋体"/>
                <w:b/>
                <w:color w:val="auto"/>
                <w:sz w:val="21"/>
                <w:szCs w:val="21"/>
                <w:highlight w:val="none"/>
              </w:rPr>
              <w:t>(必须提供)</w:t>
            </w:r>
          </w:p>
          <w:p>
            <w:pPr>
              <w:pStyle w:val="95"/>
              <w:numPr>
                <w:ilvl w:val="0"/>
                <w:numId w:val="3"/>
              </w:numPr>
              <w:autoSpaceDE w:val="0"/>
              <w:autoSpaceDN w:val="0"/>
              <w:spacing w:after="0" w:line="360" w:lineRule="exact"/>
              <w:ind w:left="0" w:firstLine="42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提交响应文件截止之日前三个月内任意一个月的依法缴纳社会保险费或依法免缴社保费的相关证明（新成立的且不足一个月的企业按实际提供），证明材料可以是：银行已缴纳依法免缴社保费复印件或第三方有效的相关业务托缴凭证或其他有效证明；不需要缴纳社会保险金的应提供供应商所在地有关行政主管部门出具相应的文件证明（复印件）；</w:t>
            </w:r>
            <w:r>
              <w:rPr>
                <w:rFonts w:hint="eastAsia" w:ascii="宋体" w:hAnsi="宋体" w:eastAsia="宋体" w:cs="宋体"/>
                <w:b/>
                <w:color w:val="auto"/>
                <w:sz w:val="21"/>
                <w:szCs w:val="21"/>
                <w:highlight w:val="none"/>
              </w:rPr>
              <w:t>（必须提供）</w:t>
            </w:r>
          </w:p>
          <w:p>
            <w:pPr>
              <w:pStyle w:val="95"/>
              <w:numPr>
                <w:ilvl w:val="0"/>
                <w:numId w:val="3"/>
              </w:numPr>
              <w:autoSpaceDE w:val="0"/>
              <w:autoSpaceDN w:val="0"/>
              <w:spacing w:after="0" w:line="360" w:lineRule="exact"/>
              <w:ind w:left="0" w:firstLine="42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竞标人经第三方审计的2019年度的财务报表（账务报表至少包含资产负债表、利润表、现金流量表及其附注、审计报告）</w:t>
            </w:r>
            <w:r>
              <w:rPr>
                <w:rFonts w:hint="eastAsia" w:ascii="宋体" w:hAnsi="宋体" w:eastAsia="宋体" w:cs="宋体"/>
                <w:color w:val="auto"/>
                <w:sz w:val="21"/>
                <w:szCs w:val="21"/>
                <w:highlight w:val="none"/>
              </w:rPr>
              <w:t>复印件（新成立的公司提供公司成立日之后次月起到响应文件递交截止前一个月的财务报表复印件）或供应商提交响应文件截止之日前三个月内其基本开户银行出具的银行资信证明（仅提供银行出具的存款证明不能作为其银行资信证明）复印件；</w:t>
            </w:r>
            <w:r>
              <w:rPr>
                <w:rFonts w:hint="eastAsia" w:ascii="宋体" w:hAnsi="宋体" w:eastAsia="宋体" w:cs="宋体"/>
                <w:b/>
                <w:color w:val="auto"/>
                <w:sz w:val="21"/>
                <w:szCs w:val="21"/>
                <w:highlight w:val="none"/>
              </w:rPr>
              <w:t>（必须提供）</w:t>
            </w:r>
          </w:p>
          <w:p>
            <w:pPr>
              <w:pStyle w:val="95"/>
              <w:numPr>
                <w:ilvl w:val="0"/>
                <w:numId w:val="3"/>
              </w:numPr>
              <w:autoSpaceDE w:val="0"/>
              <w:autoSpaceDN w:val="0"/>
              <w:spacing w:after="0" w:line="360" w:lineRule="exact"/>
              <w:ind w:left="0" w:firstLine="42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具备履行合同所必需的设备和专业技术服务能力的承诺书（格式见附件）；</w:t>
            </w:r>
            <w:r>
              <w:rPr>
                <w:rFonts w:hint="eastAsia" w:ascii="宋体" w:hAnsi="宋体" w:eastAsia="宋体" w:cs="宋体"/>
                <w:b/>
                <w:color w:val="auto"/>
                <w:sz w:val="21"/>
                <w:szCs w:val="21"/>
                <w:highlight w:val="none"/>
              </w:rPr>
              <w:t>（必须提供）</w:t>
            </w:r>
          </w:p>
          <w:p>
            <w:pPr>
              <w:pStyle w:val="95"/>
              <w:numPr>
                <w:ilvl w:val="0"/>
                <w:numId w:val="3"/>
              </w:numPr>
              <w:autoSpaceDE w:val="0"/>
              <w:autoSpaceDN w:val="0"/>
              <w:spacing w:after="0" w:line="360" w:lineRule="exact"/>
              <w:ind w:left="0" w:firstLine="420"/>
              <w:rPr>
                <w:rFonts w:ascii="宋体" w:hAnsi="宋体" w:eastAsia="宋体" w:cs="宋体"/>
                <w:color w:val="auto"/>
                <w:sz w:val="21"/>
                <w:szCs w:val="21"/>
                <w:highlight w:val="none"/>
              </w:rPr>
            </w:pPr>
            <w:r>
              <w:rPr>
                <w:rFonts w:hint="eastAsia" w:ascii="宋体" w:hAnsi="宋体" w:eastAsia="宋体"/>
                <w:color w:val="auto"/>
                <w:sz w:val="21"/>
                <w:szCs w:val="21"/>
                <w:highlight w:val="none"/>
              </w:rPr>
              <w:t>参加本次政府采购活动前三年内在经营活动中无重大违法记录</w:t>
            </w:r>
            <w:r>
              <w:rPr>
                <w:rFonts w:hint="eastAsia" w:ascii="宋体" w:hAnsi="宋体" w:eastAsia="宋体" w:cs="宋体"/>
                <w:color w:val="auto"/>
                <w:sz w:val="21"/>
                <w:szCs w:val="21"/>
                <w:highlight w:val="none"/>
              </w:rPr>
              <w:t>的书面声明原件；（格式见附件，</w:t>
            </w:r>
            <w:r>
              <w:rPr>
                <w:rFonts w:hint="eastAsia" w:ascii="宋体" w:hAnsi="宋体" w:eastAsia="宋体" w:cs="宋体"/>
                <w:b/>
                <w:color w:val="auto"/>
                <w:sz w:val="21"/>
                <w:szCs w:val="21"/>
                <w:highlight w:val="none"/>
              </w:rPr>
              <w:t>必须提供）</w:t>
            </w:r>
          </w:p>
          <w:p>
            <w:pPr>
              <w:pStyle w:val="95"/>
              <w:numPr>
                <w:ilvl w:val="0"/>
                <w:numId w:val="3"/>
              </w:numPr>
              <w:autoSpaceDE w:val="0"/>
              <w:autoSpaceDN w:val="0"/>
              <w:spacing w:after="0" w:line="360" w:lineRule="exact"/>
              <w:ind w:left="0" w:firstLine="42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本须知3.1款对</w:t>
            </w:r>
            <w:r>
              <w:rPr>
                <w:rFonts w:hint="eastAsia" w:ascii="宋体" w:hAnsi="宋体" w:eastAsia="宋体"/>
                <w:color w:val="auto"/>
                <w:sz w:val="21"/>
                <w:szCs w:val="21"/>
                <w:highlight w:val="none"/>
              </w:rPr>
              <w:t>供应商特定要求的证明材料</w:t>
            </w:r>
            <w:r>
              <w:rPr>
                <w:rFonts w:hint="eastAsia" w:ascii="宋体" w:hAnsi="宋体" w:eastAsia="宋体" w:cs="宋体"/>
                <w:b/>
                <w:color w:val="auto"/>
                <w:sz w:val="21"/>
                <w:szCs w:val="21"/>
                <w:highlight w:val="none"/>
              </w:rPr>
              <w:t>（如有要求的，必须提供）</w:t>
            </w:r>
          </w:p>
          <w:p>
            <w:pPr>
              <w:pStyle w:val="95"/>
              <w:numPr>
                <w:ilvl w:val="0"/>
                <w:numId w:val="3"/>
              </w:numPr>
              <w:autoSpaceDE w:val="0"/>
              <w:autoSpaceDN w:val="0"/>
              <w:spacing w:after="0" w:line="360" w:lineRule="exact"/>
              <w:ind w:left="0" w:firstLine="42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供应商控股及管理关系情况申报表；（格式见附件，</w:t>
            </w:r>
            <w:r>
              <w:rPr>
                <w:rFonts w:hint="eastAsia" w:ascii="宋体" w:hAnsi="宋体" w:eastAsia="宋体" w:cs="宋体"/>
                <w:b/>
                <w:color w:val="auto"/>
                <w:sz w:val="21"/>
                <w:szCs w:val="21"/>
                <w:highlight w:val="none"/>
              </w:rPr>
              <w:t>必须提供)</w:t>
            </w:r>
          </w:p>
          <w:p>
            <w:pPr>
              <w:pStyle w:val="95"/>
              <w:numPr>
                <w:ilvl w:val="0"/>
                <w:numId w:val="3"/>
              </w:numPr>
              <w:autoSpaceDE w:val="0"/>
              <w:autoSpaceDN w:val="0"/>
              <w:spacing w:after="0" w:line="360" w:lineRule="exact"/>
              <w:ind w:left="0" w:firstLine="42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法定代表人身份证明书原件及法定代表人有效身份证正反面复印件；（格式见附件）</w:t>
            </w:r>
            <w:r>
              <w:rPr>
                <w:rFonts w:hint="eastAsia" w:ascii="宋体" w:hAnsi="宋体" w:eastAsia="宋体" w:cs="宋体"/>
                <w:b/>
                <w:color w:val="auto"/>
                <w:sz w:val="21"/>
                <w:szCs w:val="21"/>
                <w:highlight w:val="none"/>
              </w:rPr>
              <w:t>（必须提供）</w:t>
            </w:r>
          </w:p>
          <w:p>
            <w:pPr>
              <w:pStyle w:val="95"/>
              <w:numPr>
                <w:ilvl w:val="0"/>
                <w:numId w:val="3"/>
              </w:numPr>
              <w:autoSpaceDE w:val="0"/>
              <w:autoSpaceDN w:val="0"/>
              <w:spacing w:after="0" w:line="360" w:lineRule="exact"/>
              <w:ind w:left="0" w:firstLine="42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法定代表人授权委托书原件及被授权人有效身份证正反面复印件；（格式见附件，</w:t>
            </w:r>
            <w:r>
              <w:rPr>
                <w:rFonts w:hint="eastAsia" w:ascii="宋体" w:hAnsi="宋体" w:eastAsia="宋体" w:cs="宋体"/>
                <w:b/>
                <w:color w:val="auto"/>
                <w:sz w:val="21"/>
                <w:szCs w:val="21"/>
                <w:highlight w:val="none"/>
              </w:rPr>
              <w:t>委托时必须提供，否则竞标无效）</w:t>
            </w:r>
          </w:p>
          <w:p>
            <w:pPr>
              <w:pStyle w:val="95"/>
              <w:numPr>
                <w:ilvl w:val="0"/>
                <w:numId w:val="3"/>
              </w:numPr>
              <w:autoSpaceDE w:val="0"/>
              <w:autoSpaceDN w:val="0"/>
              <w:spacing w:after="0" w:line="360" w:lineRule="exact"/>
              <w:ind w:left="0" w:firstLine="42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认为需要提供的有关资料、文件、说明（如货物认证、检测报告、鉴定证书；产品获奖证书；产品样本、使用保养说明书、图纸等技术资料；竞标产品如属于小型、微型企业的，须提供《中小企业声明函》(格式见附件)；属监狱企业的，请提供由省级以上监狱管理局、戒毒管理局（含新疆生产建设兵团）出具的属于监狱企业的证明文件；属于残疾人福利性单位的，请提供《残疾人福利性单位声明函》(格式见附件)等）。</w:t>
            </w:r>
            <w:bookmarkEnd w:id="5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360" w:lineRule="exact"/>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10.1.3</w:t>
            </w:r>
          </w:p>
        </w:tc>
        <w:tc>
          <w:tcPr>
            <w:tcW w:w="1625" w:type="dxa"/>
            <w:vAlign w:val="center"/>
          </w:tcPr>
          <w:p>
            <w:pPr>
              <w:spacing w:after="0" w:line="360" w:lineRule="exact"/>
              <w:jc w:val="center"/>
              <w:rPr>
                <w:rFonts w:ascii="宋体" w:hAnsi="宋体" w:eastAsia="宋体"/>
                <w:color w:val="auto"/>
                <w:sz w:val="21"/>
                <w:szCs w:val="21"/>
                <w:highlight w:val="none"/>
              </w:rPr>
            </w:pPr>
            <w:r>
              <w:rPr>
                <w:rFonts w:hint="eastAsia" w:ascii="宋体" w:hAnsi="宋体" w:eastAsia="宋体" w:cs="宋体"/>
                <w:color w:val="auto"/>
                <w:sz w:val="21"/>
                <w:szCs w:val="21"/>
                <w:highlight w:val="none"/>
              </w:rPr>
              <w:t>响应文件电子版</w:t>
            </w:r>
          </w:p>
        </w:tc>
        <w:tc>
          <w:tcPr>
            <w:tcW w:w="7226" w:type="dxa"/>
            <w:vAlign w:val="center"/>
          </w:tcPr>
          <w:p>
            <w:pPr>
              <w:autoSpaceDE w:val="0"/>
              <w:autoSpaceDN w:val="0"/>
              <w:spacing w:after="0" w:line="360" w:lineRule="exact"/>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供应商在递交响应文件时，需同时递交响应文件电子版。具体要求：</w:t>
            </w:r>
          </w:p>
          <w:p>
            <w:pPr>
              <w:autoSpaceDE w:val="0"/>
              <w:autoSpaceDN w:val="0"/>
              <w:spacing w:after="0" w:line="360" w:lineRule="exact"/>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（1）响应文件电子版内容：与全部响应文件正本内容一致；</w:t>
            </w:r>
          </w:p>
          <w:p>
            <w:pPr>
              <w:autoSpaceDE w:val="0"/>
              <w:autoSpaceDN w:val="0"/>
              <w:spacing w:after="0" w:line="360" w:lineRule="exact"/>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（2）响应文件电子版份数：1份；</w:t>
            </w:r>
          </w:p>
          <w:p>
            <w:pPr>
              <w:autoSpaceDE w:val="0"/>
              <w:autoSpaceDN w:val="0"/>
              <w:spacing w:after="0" w:line="360" w:lineRule="exact"/>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（3）响应文件电子版形式：已签字盖章且未加密的PDF格式响应文件电子版光盘（或U盘）。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030"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12.1</w:t>
            </w:r>
          </w:p>
        </w:tc>
        <w:tc>
          <w:tcPr>
            <w:tcW w:w="1625"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响应有效期</w:t>
            </w:r>
          </w:p>
        </w:tc>
        <w:tc>
          <w:tcPr>
            <w:tcW w:w="7226" w:type="dxa"/>
            <w:vAlign w:val="center"/>
          </w:tcPr>
          <w:p>
            <w:pPr>
              <w:spacing w:after="0" w:line="360" w:lineRule="exact"/>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自响应文件提交截止之日起60 天（日历天）内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13.1</w:t>
            </w:r>
          </w:p>
        </w:tc>
        <w:tc>
          <w:tcPr>
            <w:tcW w:w="1625"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谈判保证金</w:t>
            </w:r>
          </w:p>
        </w:tc>
        <w:tc>
          <w:tcPr>
            <w:tcW w:w="7226" w:type="dxa"/>
            <w:vAlign w:val="center"/>
          </w:tcPr>
          <w:p>
            <w:pPr>
              <w:spacing w:after="0" w:line="36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竞标保证金金额：</w:t>
            </w:r>
            <w:r>
              <w:rPr>
                <w:rFonts w:hint="eastAsia" w:ascii="宋体" w:hAnsi="宋体" w:eastAsia="宋体" w:cs="宋体"/>
                <w:color w:val="auto"/>
                <w:sz w:val="21"/>
                <w:szCs w:val="21"/>
                <w:highlight w:val="none"/>
                <w:lang w:eastAsia="zh-CN"/>
              </w:rPr>
              <w:t>叁</w:t>
            </w:r>
            <w:r>
              <w:rPr>
                <w:rFonts w:hint="eastAsia" w:ascii="宋体" w:hAnsi="宋体" w:eastAsia="宋体" w:cs="宋体"/>
                <w:color w:val="auto"/>
                <w:sz w:val="21"/>
                <w:szCs w:val="21"/>
                <w:highlight w:val="none"/>
              </w:rPr>
              <w:t>仟元整（</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000.00</w:t>
            </w:r>
            <w:r>
              <w:rPr>
                <w:rFonts w:hint="eastAsia" w:ascii="宋体" w:hAnsi="宋体" w:eastAsia="宋体" w:cs="宋体"/>
                <w:color w:val="auto"/>
                <w:sz w:val="21"/>
                <w:szCs w:val="21"/>
                <w:highlight w:val="none"/>
                <w:lang w:eastAsia="zh-CN"/>
              </w:rPr>
              <w:t>元</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/标</w:t>
            </w:r>
          </w:p>
          <w:p>
            <w:pPr>
              <w:spacing w:after="0" w:line="360" w:lineRule="exact"/>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竞标保证金交纳形式：转账或电汇或保函等方式提交</w:t>
            </w:r>
          </w:p>
          <w:p>
            <w:pPr>
              <w:spacing w:after="0" w:line="360" w:lineRule="exact"/>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如采用银行转账、电汇形式缴纳的，必须在竞标截止时间前将竞标保证金交到以下指定账户，因银行流程或谈判供应商办理不及时等原因导致收款人财务部门未能及时收到保证金，其责任由谈判供应商自行承担，在竞标截止时间前于开标现场查验银行转帐底单原件（备注：电子转账的底单原件可采用彩色打印件并加盖转账单位公章），复印件加盖谈判供应商公章装入竞争性谈判响应文件，否则采购人有权拒绝接受竞标。</w:t>
            </w:r>
          </w:p>
          <w:p>
            <w:pPr>
              <w:spacing w:after="0" w:line="36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A标段：</w:t>
            </w:r>
          </w:p>
          <w:p>
            <w:pPr>
              <w:spacing w:after="0" w:line="360" w:lineRule="exact"/>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户  名：河池市公共资源交易中心         </w:t>
            </w:r>
          </w:p>
          <w:p>
            <w:pPr>
              <w:spacing w:after="0" w:line="360" w:lineRule="exact"/>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开户行：河池市区农村信用合作联社兴业信用社             </w:t>
            </w:r>
          </w:p>
          <w:p>
            <w:pPr>
              <w:spacing w:after="0" w:line="360" w:lineRule="exact"/>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帐  号：20401333455003931</w:t>
            </w:r>
          </w:p>
          <w:p>
            <w:pPr>
              <w:spacing w:after="0" w:line="36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B标段：</w:t>
            </w:r>
          </w:p>
          <w:p>
            <w:pPr>
              <w:spacing w:after="0" w:line="360" w:lineRule="exact"/>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户  名：河池市公共资源交易中心         </w:t>
            </w:r>
          </w:p>
          <w:p>
            <w:pPr>
              <w:spacing w:after="0" w:line="360" w:lineRule="exact"/>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开户行：河池市区农村信用合作联社兴业信用社             </w:t>
            </w:r>
          </w:p>
          <w:p>
            <w:pPr>
              <w:spacing w:after="0" w:line="360" w:lineRule="exact"/>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帐  号：20401333455003930</w:t>
            </w:r>
          </w:p>
          <w:p>
            <w:pPr>
              <w:spacing w:after="0" w:line="360" w:lineRule="exact"/>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本项目不接受现金形式或从个人账户转出的竞标保证金。凡未在规定时间内足额交纳竞标保证金的均视为无效。</w:t>
            </w:r>
          </w:p>
          <w:p>
            <w:pPr>
              <w:spacing w:after="0" w:line="3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办竞标保证金缴纳手续时，请务必在银行进帐单或电汇单的用途或空白栏上注明项目名称（简称即可）或项目编号，以免耽误竞标。</w:t>
            </w:r>
          </w:p>
          <w:p>
            <w:pPr>
              <w:spacing w:after="0" w:line="360" w:lineRule="exact"/>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项目成交通知书发出后，由采购代理机构向河池市公共资源交易中心财务部提交申请办理退还保证金事宜。退保证金咨询：河池市公共资源交易中心财务部电话：0778-2301278。</w:t>
            </w:r>
          </w:p>
          <w:p>
            <w:pPr>
              <w:spacing w:after="0" w:line="360" w:lineRule="exact"/>
              <w:ind w:firstLine="420" w:firstLineChars="200"/>
              <w:rPr>
                <w:rFonts w:ascii="宋体" w:hAnsi="宋体" w:eastAsia="宋体"/>
                <w:color w:val="auto"/>
                <w:sz w:val="21"/>
                <w:szCs w:val="21"/>
                <w:highlight w:val="none"/>
              </w:rPr>
            </w:pPr>
            <w:r>
              <w:rPr>
                <w:rFonts w:hint="eastAsia" w:ascii="宋体" w:hAnsi="宋体" w:eastAsia="宋体" w:cs="宋体"/>
                <w:color w:val="auto"/>
                <w:sz w:val="21"/>
                <w:szCs w:val="21"/>
                <w:highlight w:val="none"/>
              </w:rPr>
              <w:t>如采用保函方式的，必须为无条件保函，保函有效期不得低于竞标有效期【备注：开标现场谈判供应商将开具的无条件保函原件提交给采购人，复印件需加盖谈判供应商公章并装订入竞争性谈判响应文件】，否则采购人有权拒绝接受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14.4</w:t>
            </w:r>
          </w:p>
        </w:tc>
        <w:tc>
          <w:tcPr>
            <w:tcW w:w="1625"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响应文件份数</w:t>
            </w:r>
          </w:p>
        </w:tc>
        <w:tc>
          <w:tcPr>
            <w:tcW w:w="7226" w:type="dxa"/>
            <w:vAlign w:val="center"/>
          </w:tcPr>
          <w:p>
            <w:pPr>
              <w:spacing w:after="0" w:line="360" w:lineRule="exact"/>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正本一份、副本二份。即：“价格文件”正本一份，副本</w:t>
            </w:r>
            <w:r>
              <w:rPr>
                <w:rFonts w:hint="eastAsia" w:ascii="宋体" w:hAnsi="宋体" w:eastAsia="宋体" w:cs="宋体"/>
                <w:color w:val="auto"/>
                <w:sz w:val="21"/>
                <w:szCs w:val="21"/>
                <w:highlight w:val="none"/>
                <w:u w:val="single"/>
              </w:rPr>
              <w:t xml:space="preserve"> 二</w:t>
            </w:r>
            <w:r>
              <w:rPr>
                <w:rFonts w:hint="eastAsia" w:ascii="宋体" w:hAnsi="宋体" w:eastAsia="宋体" w:cs="宋体"/>
                <w:color w:val="auto"/>
                <w:sz w:val="21"/>
                <w:szCs w:val="21"/>
                <w:highlight w:val="none"/>
              </w:rPr>
              <w:t>份；“商务技术文件”正本一份，副本</w:t>
            </w:r>
            <w:r>
              <w:rPr>
                <w:rFonts w:hint="eastAsia" w:ascii="宋体" w:hAnsi="宋体" w:eastAsia="宋体" w:cs="宋体"/>
                <w:color w:val="auto"/>
                <w:sz w:val="21"/>
                <w:szCs w:val="21"/>
                <w:highlight w:val="none"/>
                <w:u w:val="single"/>
              </w:rPr>
              <w:t>二</w:t>
            </w:r>
            <w:r>
              <w:rPr>
                <w:rFonts w:hint="eastAsia" w:ascii="宋体" w:hAnsi="宋体" w:eastAsia="宋体" w:cs="宋体"/>
                <w:color w:val="auto"/>
                <w:sz w:val="21"/>
                <w:szCs w:val="21"/>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16.1</w:t>
            </w:r>
          </w:p>
        </w:tc>
        <w:tc>
          <w:tcPr>
            <w:tcW w:w="1625"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递交响应文件截止时间</w:t>
            </w:r>
          </w:p>
        </w:tc>
        <w:tc>
          <w:tcPr>
            <w:tcW w:w="7226" w:type="dxa"/>
            <w:vAlign w:val="center"/>
          </w:tcPr>
          <w:p>
            <w:pPr>
              <w:spacing w:after="0" w:line="360" w:lineRule="exact"/>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2020年</w:t>
            </w:r>
            <w:r>
              <w:rPr>
                <w:rFonts w:hint="eastAsia" w:ascii="宋体" w:hAnsi="宋体" w:eastAsia="宋体" w:cs="宋体"/>
                <w:color w:val="auto"/>
                <w:sz w:val="21"/>
                <w:szCs w:val="21"/>
                <w:highlight w:val="none"/>
                <w:lang w:val="en-US" w:eastAsia="zh-CN"/>
              </w:rPr>
              <w:t xml:space="preserve"> 12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lang w:val="en-US" w:eastAsia="zh-CN"/>
              </w:rPr>
              <w:t xml:space="preserve"> 15 </w:t>
            </w:r>
            <w:r>
              <w:rPr>
                <w:rFonts w:hint="eastAsia" w:ascii="宋体" w:hAnsi="宋体" w:eastAsia="宋体" w:cs="宋体"/>
                <w:color w:val="auto"/>
                <w:sz w:val="21"/>
                <w:szCs w:val="21"/>
                <w:highlight w:val="none"/>
              </w:rPr>
              <w:t xml:space="preserve">日 </w:t>
            </w:r>
            <w:r>
              <w:rPr>
                <w:rFonts w:hint="eastAsia" w:ascii="宋体" w:hAnsi="宋体" w:eastAsia="宋体" w:cs="宋体"/>
                <w:color w:val="auto"/>
                <w:sz w:val="21"/>
                <w:szCs w:val="21"/>
                <w:highlight w:val="none"/>
                <w:lang w:val="en-US" w:eastAsia="zh-CN"/>
              </w:rPr>
              <w:t xml:space="preserve">14 </w:t>
            </w:r>
            <w:r>
              <w:rPr>
                <w:rFonts w:hint="eastAsia" w:ascii="宋体" w:hAnsi="宋体" w:eastAsia="宋体" w:cs="宋体"/>
                <w:color w:val="auto"/>
                <w:sz w:val="21"/>
                <w:szCs w:val="21"/>
                <w:highlight w:val="none"/>
              </w:rPr>
              <w:t>时</w:t>
            </w:r>
            <w:r>
              <w:rPr>
                <w:rFonts w:hint="eastAsia" w:ascii="宋体" w:hAnsi="宋体" w:eastAsia="宋体" w:cs="宋体"/>
                <w:color w:val="auto"/>
                <w:sz w:val="21"/>
                <w:szCs w:val="21"/>
                <w:highlight w:val="none"/>
                <w:lang w:val="en-US" w:eastAsia="zh-CN"/>
              </w:rPr>
              <w:t xml:space="preserve"> 00 </w:t>
            </w:r>
            <w:r>
              <w:rPr>
                <w:rFonts w:hint="eastAsia" w:ascii="宋体" w:hAnsi="宋体" w:eastAsia="宋体" w:cs="宋体"/>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16.2</w:t>
            </w:r>
          </w:p>
        </w:tc>
        <w:tc>
          <w:tcPr>
            <w:tcW w:w="1625"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响应文件递交地点</w:t>
            </w:r>
          </w:p>
        </w:tc>
        <w:tc>
          <w:tcPr>
            <w:tcW w:w="7226" w:type="dxa"/>
            <w:vAlign w:val="center"/>
          </w:tcPr>
          <w:p>
            <w:pPr>
              <w:spacing w:after="0" w:line="360" w:lineRule="exact"/>
              <w:ind w:firstLine="420" w:firstLineChars="200"/>
              <w:rPr>
                <w:rFonts w:ascii="宋体" w:hAnsi="宋体" w:eastAsia="宋体" w:cs="宋体"/>
                <w:color w:val="auto"/>
                <w:sz w:val="21"/>
                <w:szCs w:val="21"/>
                <w:highlight w:val="none"/>
              </w:rPr>
            </w:pPr>
            <w:r>
              <w:rPr>
                <w:rFonts w:hint="eastAsia" w:ascii="宋体" w:hAnsi="宋体" w:eastAsia="宋体"/>
                <w:color w:val="auto"/>
                <w:sz w:val="21"/>
                <w:szCs w:val="21"/>
                <w:highlight w:val="none"/>
                <w:lang w:eastAsia="zh-CN"/>
              </w:rPr>
              <w:t>河池市公共资源交易中心开标厅【河池市金城江区城东新区肯旺桥西侧北面市工人文化宫办公大楼五楼，具体开标室见当天的电子LED大屏安排】</w:t>
            </w:r>
            <w:r>
              <w:rPr>
                <w:rFonts w:hint="eastAsia" w:ascii="宋体" w:hAnsi="宋体" w:eastAsia="宋体"/>
                <w:color w:val="auto"/>
                <w:sz w:val="21"/>
                <w:szCs w:val="21"/>
                <w:highlight w:val="none"/>
              </w:rPr>
              <w:t>，并由采购代理机构签收。逾期送达或未按要求密封的响应文件将予以拒收或作无效响应文件处理。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ascii="宋体" w:hAnsi="宋体" w:eastAsia="宋体" w:cs="宋体"/>
                <w:color w:val="auto"/>
                <w:sz w:val="21"/>
                <w:szCs w:val="21"/>
                <w:highlight w:val="none"/>
              </w:rPr>
              <w:t>8</w:t>
            </w:r>
            <w:r>
              <w:rPr>
                <w:rFonts w:hint="eastAsia" w:ascii="宋体" w:hAnsi="宋体" w:eastAsia="宋体" w:cs="宋体"/>
                <w:color w:val="auto"/>
                <w:sz w:val="21"/>
                <w:szCs w:val="21"/>
                <w:highlight w:val="none"/>
              </w:rPr>
              <w:t>.1</w:t>
            </w:r>
          </w:p>
        </w:tc>
        <w:tc>
          <w:tcPr>
            <w:tcW w:w="1625"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谈判时间和地点</w:t>
            </w:r>
          </w:p>
        </w:tc>
        <w:tc>
          <w:tcPr>
            <w:tcW w:w="7226" w:type="dxa"/>
            <w:vAlign w:val="center"/>
          </w:tcPr>
          <w:p>
            <w:pPr>
              <w:spacing w:after="0" w:line="360" w:lineRule="exact"/>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谈判时间：2020年</w:t>
            </w:r>
            <w:r>
              <w:rPr>
                <w:rFonts w:hint="eastAsia" w:ascii="宋体" w:hAnsi="宋体" w:eastAsia="宋体" w:cs="宋体"/>
                <w:color w:val="auto"/>
                <w:sz w:val="21"/>
                <w:szCs w:val="21"/>
                <w:highlight w:val="none"/>
                <w:lang w:val="en-US" w:eastAsia="zh-CN"/>
              </w:rPr>
              <w:t xml:space="preserve"> 12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lang w:val="en-US" w:eastAsia="zh-CN"/>
              </w:rPr>
              <w:t xml:space="preserve"> 15 </w:t>
            </w:r>
            <w:r>
              <w:rPr>
                <w:rFonts w:hint="eastAsia" w:ascii="宋体" w:hAnsi="宋体" w:eastAsia="宋体" w:cs="宋体"/>
                <w:color w:val="auto"/>
                <w:sz w:val="21"/>
                <w:szCs w:val="21"/>
                <w:highlight w:val="none"/>
              </w:rPr>
              <w:t>日</w:t>
            </w:r>
            <w:r>
              <w:rPr>
                <w:rFonts w:hint="eastAsia" w:ascii="宋体" w:hAnsi="宋体" w:eastAsia="宋体" w:cs="宋体"/>
                <w:color w:val="auto"/>
                <w:sz w:val="21"/>
                <w:szCs w:val="21"/>
                <w:highlight w:val="none"/>
                <w:lang w:val="en-US" w:eastAsia="zh-CN"/>
              </w:rPr>
              <w:t xml:space="preserve"> 14 </w:t>
            </w:r>
            <w:r>
              <w:rPr>
                <w:rFonts w:hint="eastAsia" w:ascii="宋体" w:hAnsi="宋体" w:eastAsia="宋体" w:cs="宋体"/>
                <w:color w:val="auto"/>
                <w:sz w:val="21"/>
                <w:szCs w:val="21"/>
                <w:highlight w:val="none"/>
              </w:rPr>
              <w:t xml:space="preserve"> 时</w:t>
            </w:r>
            <w:r>
              <w:rPr>
                <w:rFonts w:hint="eastAsia" w:ascii="宋体" w:hAnsi="宋体" w:eastAsia="宋体" w:cs="宋体"/>
                <w:color w:val="auto"/>
                <w:sz w:val="21"/>
                <w:szCs w:val="21"/>
                <w:highlight w:val="none"/>
                <w:lang w:val="en-US" w:eastAsia="zh-CN"/>
              </w:rPr>
              <w:t xml:space="preserve"> 00  </w:t>
            </w:r>
            <w:r>
              <w:rPr>
                <w:rFonts w:hint="eastAsia" w:ascii="宋体" w:hAnsi="宋体" w:eastAsia="宋体" w:cs="宋体"/>
                <w:color w:val="auto"/>
                <w:sz w:val="21"/>
                <w:szCs w:val="21"/>
                <w:highlight w:val="none"/>
              </w:rPr>
              <w:t>分整截标后（具体时间由采购代理机构另行通知）；</w:t>
            </w:r>
          </w:p>
          <w:p>
            <w:pPr>
              <w:spacing w:after="0" w:line="360" w:lineRule="exact"/>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谈判地点：</w:t>
            </w:r>
            <w:r>
              <w:rPr>
                <w:rFonts w:hint="eastAsia" w:ascii="宋体" w:hAnsi="宋体" w:eastAsia="宋体" w:cs="宋体"/>
                <w:color w:val="auto"/>
                <w:sz w:val="21"/>
                <w:szCs w:val="21"/>
                <w:highlight w:val="none"/>
                <w:lang w:eastAsia="zh-CN"/>
              </w:rPr>
              <w:t>河池市公共资源交易中心开标厅【河池市金城江区城东新区肯旺桥西侧北面市工人文化宫办公大楼五楼，具体开标室见当天的电子LED大屏安排】</w:t>
            </w:r>
            <w:r>
              <w:rPr>
                <w:rFonts w:hint="eastAsia" w:ascii="宋体" w:hAnsi="宋体" w:eastAsia="宋体" w:cs="宋体"/>
                <w:color w:val="auto"/>
                <w:sz w:val="21"/>
                <w:szCs w:val="21"/>
                <w:highlight w:val="none"/>
              </w:rPr>
              <w:t>；</w:t>
            </w:r>
          </w:p>
          <w:p>
            <w:pPr>
              <w:spacing w:after="0" w:line="360" w:lineRule="exact"/>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供应商法定代表人或其授权代表必须携带以下有效证件按时参加谈判会议，否则视为自动放弃谈判。有效证件为：</w:t>
            </w:r>
          </w:p>
          <w:p>
            <w:pPr>
              <w:spacing w:after="0" w:line="360" w:lineRule="exact"/>
              <w:ind w:firstLine="422" w:firstLineChars="200"/>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①保证金交款凭证原件（电子转账的底单原件可采用彩色打印加盖转账单位公章）或保函原件；</w:t>
            </w:r>
          </w:p>
          <w:p>
            <w:pPr>
              <w:spacing w:after="0" w:line="360" w:lineRule="exact"/>
              <w:ind w:firstLine="422" w:firstLineChars="200"/>
              <w:rPr>
                <w:rFonts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②如法定代表人参加，则须提供法定代表人身份证明及本人身份证原件；如授权委托代理人参加，则须提供法人授权委托书原件及本人身份证原件；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1030"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ascii="宋体" w:hAnsi="宋体" w:eastAsia="宋体" w:cs="宋体"/>
                <w:color w:val="auto"/>
                <w:sz w:val="21"/>
                <w:szCs w:val="21"/>
                <w:highlight w:val="none"/>
              </w:rPr>
              <w:t>0</w:t>
            </w:r>
            <w:r>
              <w:rPr>
                <w:rFonts w:hint="eastAsia" w:ascii="宋体" w:hAnsi="宋体" w:eastAsia="宋体" w:cs="宋体"/>
                <w:color w:val="auto"/>
                <w:sz w:val="21"/>
                <w:szCs w:val="21"/>
                <w:highlight w:val="none"/>
              </w:rPr>
              <w:t>.2</w:t>
            </w:r>
          </w:p>
        </w:tc>
        <w:tc>
          <w:tcPr>
            <w:tcW w:w="1625"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评标办法</w:t>
            </w:r>
          </w:p>
        </w:tc>
        <w:tc>
          <w:tcPr>
            <w:tcW w:w="7226" w:type="dxa"/>
            <w:vAlign w:val="center"/>
          </w:tcPr>
          <w:p>
            <w:pPr>
              <w:spacing w:after="0" w:line="360" w:lineRule="exact"/>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30.1</w:t>
            </w:r>
          </w:p>
        </w:tc>
        <w:tc>
          <w:tcPr>
            <w:tcW w:w="1625"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bCs/>
                <w:color w:val="auto"/>
                <w:sz w:val="21"/>
                <w:szCs w:val="21"/>
                <w:highlight w:val="none"/>
              </w:rPr>
              <w:t>履约保证金</w:t>
            </w:r>
          </w:p>
        </w:tc>
        <w:tc>
          <w:tcPr>
            <w:tcW w:w="7226" w:type="dxa"/>
            <w:vAlign w:val="center"/>
          </w:tcPr>
          <w:p>
            <w:pPr>
              <w:spacing w:after="0" w:line="360" w:lineRule="exact"/>
              <w:rPr>
                <w:rFonts w:hint="eastAsia" w:ascii="宋体" w:hAnsi="宋体" w:eastAsia="宋体" w:cs="宋体"/>
                <w:color w:val="auto"/>
                <w:sz w:val="21"/>
                <w:szCs w:val="21"/>
                <w:highlight w:val="none"/>
                <w:lang w:eastAsia="zh-CN"/>
              </w:rPr>
            </w:pPr>
            <w:r>
              <w:rPr>
                <w:rFonts w:hint="eastAsia" w:ascii="宋体" w:hAnsi="宋体" w:eastAsia="宋体" w:cs="宋体"/>
                <w:bCs/>
                <w:color w:val="auto"/>
                <w:sz w:val="21"/>
                <w:szCs w:val="21"/>
                <w:highlight w:val="no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33</w:t>
            </w:r>
          </w:p>
        </w:tc>
        <w:tc>
          <w:tcPr>
            <w:tcW w:w="1625"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olor w:val="auto"/>
                <w:sz w:val="21"/>
                <w:szCs w:val="21"/>
                <w:highlight w:val="none"/>
              </w:rPr>
              <w:t>招标代理服务费</w:t>
            </w:r>
          </w:p>
        </w:tc>
        <w:tc>
          <w:tcPr>
            <w:tcW w:w="7226" w:type="dxa"/>
            <w:vAlign w:val="center"/>
          </w:tcPr>
          <w:p>
            <w:pPr>
              <w:autoSpaceDE w:val="0"/>
              <w:autoSpaceDN w:val="0"/>
              <w:spacing w:after="0" w:line="360" w:lineRule="exact"/>
              <w:ind w:firstLine="420" w:firstLineChars="200"/>
              <w:textAlignment w:val="bottom"/>
              <w:rPr>
                <w:rFonts w:ascii="宋体" w:hAnsi="宋体" w:eastAsia="宋体"/>
                <w:color w:val="auto"/>
                <w:sz w:val="21"/>
                <w:szCs w:val="21"/>
                <w:highlight w:val="none"/>
              </w:rPr>
            </w:pPr>
            <w:r>
              <w:rPr>
                <w:rFonts w:hint="eastAsia" w:ascii="宋体" w:hAnsi="宋体" w:eastAsia="宋体"/>
                <w:color w:val="auto"/>
                <w:sz w:val="21"/>
                <w:szCs w:val="21"/>
                <w:highlight w:val="none"/>
              </w:rPr>
              <w:t>招标代理服务费由成交人支付。</w:t>
            </w:r>
          </w:p>
          <w:p>
            <w:pPr>
              <w:autoSpaceDE w:val="0"/>
              <w:autoSpaceDN w:val="0"/>
              <w:spacing w:after="0" w:line="360" w:lineRule="exact"/>
              <w:ind w:firstLine="420" w:firstLineChars="200"/>
              <w:textAlignment w:val="bottom"/>
              <w:rPr>
                <w:rFonts w:ascii="宋体" w:hAnsi="宋体" w:eastAsia="宋体"/>
                <w:color w:val="auto"/>
                <w:sz w:val="21"/>
                <w:szCs w:val="21"/>
                <w:highlight w:val="none"/>
              </w:rPr>
            </w:pPr>
            <w:r>
              <w:rPr>
                <w:rFonts w:hint="eastAsia" w:ascii="宋体" w:hAnsi="宋体" w:eastAsia="宋体"/>
                <w:color w:val="auto"/>
                <w:sz w:val="21"/>
                <w:szCs w:val="21"/>
                <w:highlight w:val="none"/>
              </w:rPr>
              <w:t>（1）成交人领取成交通知书前，应向采购代理机构一次付清招标代理服务费，代理服务收费按下述标准（货物招标）以差额定率累进法计算收取，具体标准如下：</w:t>
            </w:r>
          </w:p>
          <w:tbl>
            <w:tblPr>
              <w:tblStyle w:val="38"/>
              <w:tblW w:w="6315" w:type="dxa"/>
              <w:tblInd w:w="3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7"/>
              <w:gridCol w:w="1329"/>
              <w:gridCol w:w="1208"/>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2497" w:type="dxa"/>
                  <w:tcBorders>
                    <w:tl2br w:val="single" w:color="auto" w:sz="4" w:space="0"/>
                  </w:tcBorders>
                </w:tcPr>
                <w:p>
                  <w:pPr>
                    <w:spacing w:after="0"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费率</w:t>
                  </w:r>
                </w:p>
                <w:p>
                  <w:pPr>
                    <w:spacing w:after="0"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中标金额</w:t>
                  </w:r>
                </w:p>
              </w:tc>
              <w:tc>
                <w:tcPr>
                  <w:tcW w:w="1329" w:type="dxa"/>
                  <w:vAlign w:val="center"/>
                </w:tcPr>
                <w:p>
                  <w:pPr>
                    <w:spacing w:after="0"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货物招标</w:t>
                  </w:r>
                </w:p>
              </w:tc>
              <w:tc>
                <w:tcPr>
                  <w:tcW w:w="1208" w:type="dxa"/>
                  <w:vAlign w:val="center"/>
                </w:tcPr>
                <w:p>
                  <w:pPr>
                    <w:spacing w:after="0"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服务招标</w:t>
                  </w:r>
                </w:p>
              </w:tc>
              <w:tc>
                <w:tcPr>
                  <w:tcW w:w="1281" w:type="dxa"/>
                  <w:vAlign w:val="center"/>
                </w:tcPr>
                <w:p>
                  <w:pPr>
                    <w:spacing w:after="0"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97" w:type="dxa"/>
                </w:tcPr>
                <w:p>
                  <w:pPr>
                    <w:spacing w:after="0"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100万元以下</w:t>
                  </w:r>
                </w:p>
              </w:tc>
              <w:tc>
                <w:tcPr>
                  <w:tcW w:w="1329" w:type="dxa"/>
                </w:tcPr>
                <w:p>
                  <w:pPr>
                    <w:spacing w:after="0" w:line="3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p>
              </w:tc>
              <w:tc>
                <w:tcPr>
                  <w:tcW w:w="1208" w:type="dxa"/>
                </w:tcPr>
                <w:p>
                  <w:pPr>
                    <w:spacing w:after="0" w:line="3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p>
              </w:tc>
              <w:tc>
                <w:tcPr>
                  <w:tcW w:w="1281" w:type="dxa"/>
                </w:tcPr>
                <w:p>
                  <w:pPr>
                    <w:spacing w:after="0" w:line="3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97" w:type="dxa"/>
                </w:tcPr>
                <w:p>
                  <w:pPr>
                    <w:spacing w:after="0"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100～500万元</w:t>
                  </w:r>
                </w:p>
              </w:tc>
              <w:tc>
                <w:tcPr>
                  <w:tcW w:w="1329" w:type="dxa"/>
                </w:tcPr>
                <w:p>
                  <w:pPr>
                    <w:spacing w:after="0" w:line="3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p>
              </w:tc>
              <w:tc>
                <w:tcPr>
                  <w:tcW w:w="1208" w:type="dxa"/>
                </w:tcPr>
                <w:p>
                  <w:pPr>
                    <w:spacing w:after="0" w:line="3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0.8%</w:t>
                  </w:r>
                </w:p>
              </w:tc>
              <w:tc>
                <w:tcPr>
                  <w:tcW w:w="1281" w:type="dxa"/>
                </w:tcPr>
                <w:p>
                  <w:pPr>
                    <w:spacing w:after="0" w:line="3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0.7%</w:t>
                  </w:r>
                </w:p>
              </w:tc>
            </w:tr>
          </w:tbl>
          <w:p>
            <w:pPr>
              <w:spacing w:after="0"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例如：某服务招标代理业务中标金额为300万元，招标代理服务费金额按如下计算：</w:t>
            </w:r>
          </w:p>
          <w:p>
            <w:pPr>
              <w:spacing w:after="0"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100万元×1.5%＝1.5 万元</w:t>
            </w:r>
          </w:p>
          <w:p>
            <w:pPr>
              <w:spacing w:after="0"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（300－100）万元×0.8%＝1.6万元</w:t>
            </w:r>
          </w:p>
          <w:p>
            <w:pPr>
              <w:adjustRightInd/>
              <w:spacing w:after="0" w:line="360" w:lineRule="exact"/>
              <w:ind w:firstLine="420" w:firstLineChars="200"/>
              <w:jc w:val="both"/>
              <w:rPr>
                <w:rFonts w:ascii="宋体" w:hAnsi="宋体" w:eastAsia="宋体"/>
                <w:color w:val="auto"/>
                <w:sz w:val="21"/>
                <w:szCs w:val="21"/>
                <w:highlight w:val="none"/>
              </w:rPr>
            </w:pPr>
            <w:r>
              <w:rPr>
                <w:rFonts w:hint="eastAsia" w:ascii="宋体" w:hAnsi="宋体" w:eastAsia="宋体" w:cs="宋体"/>
                <w:color w:val="auto"/>
                <w:sz w:val="21"/>
                <w:szCs w:val="21"/>
                <w:highlight w:val="none"/>
              </w:rPr>
              <w:t>合计收费＝1.5＋1.6=3.1万元</w:t>
            </w:r>
            <w:r>
              <w:rPr>
                <w:rFonts w:hint="eastAsia" w:ascii="宋体" w:hAnsi="宋体" w:eastAsia="宋体"/>
                <w:color w:val="auto"/>
                <w:sz w:val="21"/>
                <w:szCs w:val="21"/>
                <w:highlight w:val="none"/>
              </w:rPr>
              <w:t>例如：某货物招标代理业务成交金额为</w:t>
            </w:r>
            <w:r>
              <w:rPr>
                <w:rFonts w:ascii="宋体" w:hAnsi="宋体" w:eastAsia="宋体"/>
                <w:color w:val="auto"/>
                <w:sz w:val="21"/>
                <w:szCs w:val="21"/>
                <w:highlight w:val="none"/>
              </w:rPr>
              <w:t>300</w:t>
            </w:r>
            <w:r>
              <w:rPr>
                <w:rFonts w:hint="eastAsia" w:ascii="宋体" w:hAnsi="宋体" w:eastAsia="宋体"/>
                <w:color w:val="auto"/>
                <w:sz w:val="21"/>
                <w:szCs w:val="21"/>
                <w:highlight w:val="none"/>
              </w:rPr>
              <w:t>万元，招标代理服务费金额按如下计算：</w:t>
            </w:r>
          </w:p>
          <w:p>
            <w:pPr>
              <w:adjustRightInd/>
              <w:spacing w:after="0" w:line="360" w:lineRule="exact"/>
              <w:ind w:firstLine="420" w:firstLineChars="200"/>
              <w:jc w:val="both"/>
              <w:rPr>
                <w:rFonts w:ascii="宋体" w:hAnsi="宋体" w:eastAsia="宋体"/>
                <w:color w:val="auto"/>
                <w:sz w:val="21"/>
                <w:szCs w:val="21"/>
                <w:highlight w:val="none"/>
              </w:rPr>
            </w:pPr>
            <w:r>
              <w:rPr>
                <w:rFonts w:ascii="宋体" w:hAnsi="宋体" w:eastAsia="宋体"/>
                <w:color w:val="auto"/>
                <w:sz w:val="21"/>
                <w:szCs w:val="21"/>
                <w:highlight w:val="none"/>
              </w:rPr>
              <w:t>100</w:t>
            </w:r>
            <w:r>
              <w:rPr>
                <w:rFonts w:hint="eastAsia" w:ascii="宋体" w:hAnsi="宋体" w:eastAsia="宋体"/>
                <w:color w:val="auto"/>
                <w:sz w:val="21"/>
                <w:szCs w:val="21"/>
                <w:highlight w:val="none"/>
              </w:rPr>
              <w:t>万元×</w:t>
            </w:r>
            <w:r>
              <w:rPr>
                <w:rFonts w:ascii="宋体" w:hAnsi="宋体" w:eastAsia="宋体"/>
                <w:color w:val="auto"/>
                <w:sz w:val="21"/>
                <w:szCs w:val="21"/>
                <w:highlight w:val="none"/>
              </w:rPr>
              <w:t>1.5%</w:t>
            </w:r>
            <w:r>
              <w:rPr>
                <w:rFonts w:hint="eastAsia" w:ascii="宋体" w:hAnsi="宋体" w:eastAsia="宋体"/>
                <w:color w:val="auto"/>
                <w:sz w:val="21"/>
                <w:szCs w:val="21"/>
                <w:highlight w:val="none"/>
              </w:rPr>
              <w:t>＝</w:t>
            </w:r>
            <w:r>
              <w:rPr>
                <w:rFonts w:ascii="宋体" w:hAnsi="宋体" w:eastAsia="宋体"/>
                <w:color w:val="auto"/>
                <w:sz w:val="21"/>
                <w:szCs w:val="21"/>
                <w:highlight w:val="none"/>
              </w:rPr>
              <w:t xml:space="preserve">1.5 </w:t>
            </w:r>
            <w:r>
              <w:rPr>
                <w:rFonts w:hint="eastAsia" w:ascii="宋体" w:hAnsi="宋体" w:eastAsia="宋体"/>
                <w:color w:val="auto"/>
                <w:sz w:val="21"/>
                <w:szCs w:val="21"/>
                <w:highlight w:val="none"/>
              </w:rPr>
              <w:t>万元</w:t>
            </w:r>
          </w:p>
          <w:p>
            <w:pPr>
              <w:spacing w:after="0" w:line="360" w:lineRule="exact"/>
              <w:ind w:firstLine="420" w:firstLineChars="200"/>
              <w:rPr>
                <w:rFonts w:ascii="宋体" w:hAnsi="宋体" w:eastAsia="宋体"/>
                <w:color w:val="auto"/>
                <w:sz w:val="21"/>
                <w:szCs w:val="21"/>
                <w:highlight w:val="none"/>
              </w:rPr>
            </w:pPr>
            <w:r>
              <w:rPr>
                <w:rFonts w:hint="eastAsia" w:ascii="宋体" w:hAnsi="宋体" w:eastAsia="宋体" w:cs="Courier New"/>
                <w:color w:val="auto"/>
                <w:sz w:val="21"/>
                <w:szCs w:val="21"/>
                <w:highlight w:val="none"/>
              </w:rPr>
              <w:t>（2）</w:t>
            </w:r>
            <w:r>
              <w:rPr>
                <w:rFonts w:hint="eastAsia" w:ascii="宋体" w:hAnsi="宋体" w:eastAsia="宋体"/>
                <w:color w:val="auto"/>
                <w:sz w:val="21"/>
                <w:szCs w:val="21"/>
                <w:highlight w:val="none"/>
              </w:rPr>
              <w:t>采购代理机构指定的收取招标代理服务费的银行账户：</w:t>
            </w:r>
          </w:p>
          <w:p>
            <w:pPr>
              <w:spacing w:after="0" w:line="36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户  名：广西睿翼工程咨询有限公司河池分公司</w:t>
            </w:r>
          </w:p>
          <w:p>
            <w:pPr>
              <w:spacing w:after="0" w:line="36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账  号：2114810709300060820</w:t>
            </w:r>
          </w:p>
          <w:p>
            <w:pPr>
              <w:autoSpaceDE w:val="0"/>
              <w:autoSpaceDN w:val="0"/>
              <w:spacing w:after="0" w:line="360" w:lineRule="exact"/>
              <w:ind w:firstLine="420" w:firstLineChars="200"/>
              <w:textAlignment w:val="bottom"/>
              <w:rPr>
                <w:rFonts w:ascii="宋体" w:hAnsi="宋体" w:eastAsia="宋体"/>
                <w:color w:val="auto"/>
                <w:sz w:val="21"/>
                <w:szCs w:val="21"/>
                <w:highlight w:val="none"/>
              </w:rPr>
            </w:pPr>
            <w:r>
              <w:rPr>
                <w:rFonts w:hint="eastAsia" w:ascii="宋体" w:hAnsi="宋体" w:eastAsia="宋体"/>
                <w:color w:val="auto"/>
                <w:sz w:val="21"/>
                <w:szCs w:val="21"/>
                <w:highlight w:val="none"/>
              </w:rPr>
              <w:t>开户行：工行河池市金城江区金龙湾支行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34</w:t>
            </w:r>
          </w:p>
        </w:tc>
        <w:tc>
          <w:tcPr>
            <w:tcW w:w="1625" w:type="dxa"/>
            <w:vAlign w:val="center"/>
          </w:tcPr>
          <w:p>
            <w:pPr>
              <w:spacing w:after="0" w:line="360" w:lineRule="exact"/>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质疑函接收及联系方式</w:t>
            </w:r>
          </w:p>
        </w:tc>
        <w:tc>
          <w:tcPr>
            <w:tcW w:w="7226" w:type="dxa"/>
            <w:vAlign w:val="center"/>
          </w:tcPr>
          <w:p>
            <w:pPr>
              <w:spacing w:after="0" w:line="360" w:lineRule="exact"/>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接收质疑函的方式</w:t>
            </w:r>
            <w:r>
              <w:rPr>
                <w:rFonts w:hint="eastAsia" w:ascii="宋体" w:hAnsi="宋体" w:eastAsia="宋体"/>
                <w:color w:val="auto"/>
                <w:sz w:val="21"/>
                <w:szCs w:val="21"/>
                <w:highlight w:val="none"/>
              </w:rPr>
              <w:t>：接收供应商或其委托代理人以书面形式递交的质疑函原件，委托</w:t>
            </w:r>
            <w:r>
              <w:rPr>
                <w:rFonts w:ascii="宋体" w:hAnsi="宋体" w:eastAsia="宋体"/>
                <w:color w:val="auto"/>
                <w:sz w:val="21"/>
                <w:szCs w:val="21"/>
                <w:highlight w:val="none"/>
              </w:rPr>
              <w:t>代理人提出质疑</w:t>
            </w:r>
            <w:r>
              <w:rPr>
                <w:rFonts w:hint="eastAsia" w:ascii="宋体" w:hAnsi="宋体" w:eastAsia="宋体"/>
                <w:color w:val="auto"/>
                <w:sz w:val="21"/>
                <w:szCs w:val="21"/>
                <w:highlight w:val="none"/>
              </w:rPr>
              <w:t>的</w:t>
            </w:r>
            <w:r>
              <w:rPr>
                <w:rFonts w:ascii="宋体" w:hAnsi="宋体" w:eastAsia="宋体"/>
                <w:color w:val="auto"/>
                <w:sz w:val="21"/>
                <w:szCs w:val="21"/>
                <w:highlight w:val="none"/>
              </w:rPr>
              <w:t>，</w:t>
            </w:r>
            <w:r>
              <w:rPr>
                <w:rFonts w:hint="eastAsia" w:ascii="宋体" w:hAnsi="宋体" w:eastAsia="宋体"/>
                <w:color w:val="auto"/>
                <w:sz w:val="21"/>
                <w:szCs w:val="21"/>
                <w:highlight w:val="none"/>
              </w:rPr>
              <w:t>还</w:t>
            </w:r>
            <w:r>
              <w:rPr>
                <w:rFonts w:ascii="宋体" w:hAnsi="宋体" w:eastAsia="宋体"/>
                <w:color w:val="auto"/>
                <w:sz w:val="21"/>
                <w:szCs w:val="21"/>
                <w:highlight w:val="none"/>
              </w:rPr>
              <w:t>应当提交供应商签署的授权委托书</w:t>
            </w:r>
            <w:r>
              <w:rPr>
                <w:rFonts w:hint="eastAsia" w:ascii="宋体" w:hAnsi="宋体" w:eastAsia="宋体"/>
                <w:color w:val="auto"/>
                <w:sz w:val="21"/>
                <w:szCs w:val="21"/>
                <w:highlight w:val="none"/>
              </w:rPr>
              <w:t>。</w:t>
            </w:r>
          </w:p>
          <w:p>
            <w:pPr>
              <w:spacing w:after="0" w:line="360" w:lineRule="exact"/>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联系部门</w:t>
            </w:r>
            <w:r>
              <w:rPr>
                <w:rFonts w:hint="eastAsia" w:ascii="宋体" w:hAnsi="宋体" w:eastAsia="宋体"/>
                <w:color w:val="auto"/>
                <w:sz w:val="21"/>
                <w:szCs w:val="21"/>
                <w:highlight w:val="none"/>
              </w:rPr>
              <w:t>：广西睿翼工程咨询有限公司</w:t>
            </w:r>
          </w:p>
          <w:p>
            <w:pPr>
              <w:spacing w:after="0" w:line="36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联系电话：</w:t>
            </w:r>
            <w:r>
              <w:rPr>
                <w:rFonts w:ascii="宋体" w:hAnsi="宋体" w:eastAsia="宋体"/>
                <w:color w:val="auto"/>
                <w:sz w:val="21"/>
                <w:szCs w:val="21"/>
                <w:highlight w:val="none"/>
              </w:rPr>
              <w:t>0778</w:t>
            </w:r>
            <w:r>
              <w:rPr>
                <w:rFonts w:hint="eastAsia" w:ascii="宋体" w:hAnsi="宋体" w:eastAsia="宋体"/>
                <w:color w:val="auto"/>
                <w:sz w:val="21"/>
                <w:szCs w:val="21"/>
                <w:highlight w:val="none"/>
              </w:rPr>
              <w:t>-</w:t>
            </w:r>
            <w:r>
              <w:rPr>
                <w:rFonts w:ascii="宋体" w:hAnsi="宋体" w:eastAsia="宋体"/>
                <w:color w:val="auto"/>
                <w:sz w:val="21"/>
                <w:szCs w:val="21"/>
                <w:highlight w:val="none"/>
              </w:rPr>
              <w:t>2211981</w:t>
            </w:r>
          </w:p>
          <w:p>
            <w:pPr>
              <w:spacing w:after="0" w:line="36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通讯地址：金城江区金城中路2-4号铜鼓园写字楼3楼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ascii="宋体" w:hAnsi="宋体" w:eastAsia="宋体" w:cs="宋体"/>
                <w:color w:val="auto"/>
                <w:sz w:val="21"/>
                <w:szCs w:val="21"/>
                <w:highlight w:val="none"/>
              </w:rPr>
              <w:t>5</w:t>
            </w:r>
          </w:p>
        </w:tc>
        <w:tc>
          <w:tcPr>
            <w:tcW w:w="1625"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theme="minorEastAsia"/>
                <w:color w:val="auto"/>
                <w:sz w:val="21"/>
                <w:szCs w:val="21"/>
                <w:highlight w:val="none"/>
              </w:rPr>
              <w:t>公章及签字</w:t>
            </w:r>
          </w:p>
        </w:tc>
        <w:tc>
          <w:tcPr>
            <w:tcW w:w="7226" w:type="dxa"/>
            <w:vAlign w:val="center"/>
          </w:tcPr>
          <w:p>
            <w:pPr>
              <w:spacing w:after="0" w:line="360" w:lineRule="exact"/>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ascii="宋体" w:hAnsi="宋体" w:eastAsia="宋体" w:cs="宋体"/>
                <w:color w:val="auto"/>
                <w:sz w:val="21"/>
                <w:szCs w:val="21"/>
                <w:highlight w:val="none"/>
              </w:rPr>
              <w:t>本文件中描述</w:t>
            </w:r>
            <w:r>
              <w:rPr>
                <w:rFonts w:hint="eastAsia" w:ascii="宋体" w:hAnsi="宋体" w:eastAsia="宋体" w:cs="宋体"/>
                <w:color w:val="auto"/>
                <w:sz w:val="21"/>
                <w:szCs w:val="21"/>
                <w:highlight w:val="none"/>
              </w:rPr>
              <w:t>供应商</w:t>
            </w:r>
            <w:r>
              <w:rPr>
                <w:rFonts w:ascii="宋体" w:hAnsi="宋体" w:eastAsia="宋体" w:cs="宋体"/>
                <w:color w:val="auto"/>
                <w:sz w:val="21"/>
                <w:szCs w:val="21"/>
                <w:highlight w:val="none"/>
              </w:rPr>
              <w:t>的“公章”是指根据我国对公章的管理规定，用</w:t>
            </w:r>
            <w:r>
              <w:rPr>
                <w:rFonts w:hint="eastAsia" w:ascii="宋体" w:hAnsi="宋体" w:eastAsia="宋体" w:cs="宋体"/>
                <w:color w:val="auto"/>
                <w:sz w:val="21"/>
                <w:szCs w:val="21"/>
                <w:highlight w:val="none"/>
              </w:rPr>
              <w:t>供应商</w:t>
            </w:r>
            <w:r>
              <w:rPr>
                <w:rFonts w:ascii="宋体" w:hAnsi="宋体" w:eastAsia="宋体" w:cs="宋体"/>
                <w:color w:val="auto"/>
                <w:sz w:val="21"/>
                <w:szCs w:val="21"/>
                <w:highlight w:val="none"/>
              </w:rPr>
              <w:t>法定主体行为名称制作的印章，除本文件有特殊规定外，</w:t>
            </w:r>
            <w:r>
              <w:rPr>
                <w:rFonts w:hint="eastAsia" w:ascii="宋体" w:hAnsi="宋体" w:eastAsia="宋体" w:cs="宋体"/>
                <w:color w:val="auto"/>
                <w:sz w:val="21"/>
                <w:szCs w:val="21"/>
                <w:highlight w:val="none"/>
              </w:rPr>
              <w:t>供应商</w:t>
            </w:r>
            <w:r>
              <w:rPr>
                <w:rFonts w:ascii="宋体" w:hAnsi="宋体" w:eastAsia="宋体" w:cs="宋体"/>
                <w:color w:val="auto"/>
                <w:sz w:val="21"/>
                <w:szCs w:val="21"/>
                <w:highlight w:val="none"/>
              </w:rPr>
              <w:t>的财务章、部门章、分公司章、工会章、合同章、</w:t>
            </w:r>
            <w:r>
              <w:rPr>
                <w:rFonts w:hint="eastAsia" w:ascii="宋体" w:hAnsi="宋体" w:eastAsia="宋体" w:cs="宋体"/>
                <w:color w:val="auto"/>
                <w:sz w:val="21"/>
                <w:szCs w:val="21"/>
                <w:highlight w:val="none"/>
              </w:rPr>
              <w:t>竞标</w:t>
            </w:r>
            <w:r>
              <w:rPr>
                <w:rFonts w:ascii="宋体" w:hAnsi="宋体" w:eastAsia="宋体" w:cs="宋体"/>
                <w:color w:val="auto"/>
                <w:sz w:val="21"/>
                <w:szCs w:val="21"/>
                <w:highlight w:val="none"/>
              </w:rPr>
              <w:t>专用章、业务专用章及银行的转账章、现金收讫章、现金付讫章等其它形式印章均不能代替公章。</w:t>
            </w:r>
            <w:r>
              <w:rPr>
                <w:rFonts w:hint="eastAsia" w:ascii="宋体" w:hAnsi="宋体" w:eastAsia="宋体" w:cs="宋体"/>
                <w:b/>
                <w:color w:val="auto"/>
                <w:sz w:val="21"/>
                <w:szCs w:val="21"/>
                <w:highlight w:val="none"/>
              </w:rPr>
              <w:t>不符合要求的作竞标无效处理。</w:t>
            </w:r>
          </w:p>
          <w:p>
            <w:pPr>
              <w:spacing w:after="0" w:line="360" w:lineRule="exact"/>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ascii="宋体" w:hAnsi="宋体" w:eastAsia="宋体" w:cs="宋体"/>
                <w:color w:val="auto"/>
                <w:sz w:val="21"/>
                <w:szCs w:val="21"/>
                <w:highlight w:val="none"/>
              </w:rPr>
              <w:t>本文件中描述</w:t>
            </w:r>
            <w:r>
              <w:rPr>
                <w:rFonts w:hint="eastAsia" w:ascii="宋体" w:hAnsi="宋体" w:eastAsia="宋体" w:cs="宋体"/>
                <w:color w:val="auto"/>
                <w:sz w:val="21"/>
                <w:szCs w:val="21"/>
                <w:highlight w:val="none"/>
              </w:rPr>
              <w:t>供应商</w:t>
            </w:r>
            <w:r>
              <w:rPr>
                <w:rFonts w:ascii="宋体" w:hAnsi="宋体" w:eastAsia="宋体" w:cs="宋体"/>
                <w:color w:val="auto"/>
                <w:sz w:val="21"/>
                <w:szCs w:val="21"/>
                <w:highlight w:val="none"/>
              </w:rPr>
              <w:t>的“</w:t>
            </w:r>
            <w:r>
              <w:rPr>
                <w:rFonts w:hint="eastAsia" w:ascii="宋体" w:hAnsi="宋体" w:eastAsia="宋体" w:cs="宋体"/>
                <w:color w:val="auto"/>
                <w:sz w:val="21"/>
                <w:szCs w:val="21"/>
                <w:highlight w:val="none"/>
              </w:rPr>
              <w:t>签字</w:t>
            </w:r>
            <w:r>
              <w:rPr>
                <w:rFonts w:ascii="宋体" w:hAnsi="宋体" w:eastAsia="宋体" w:cs="宋体"/>
                <w:color w:val="auto"/>
                <w:sz w:val="21"/>
                <w:szCs w:val="21"/>
                <w:highlight w:val="none"/>
              </w:rPr>
              <w:t>”是指</w:t>
            </w:r>
            <w:r>
              <w:rPr>
                <w:rFonts w:hint="eastAsia" w:ascii="宋体" w:hAnsi="宋体" w:eastAsia="宋体" w:cs="宋体"/>
                <w:color w:val="auto"/>
                <w:sz w:val="21"/>
                <w:szCs w:val="21"/>
                <w:highlight w:val="none"/>
              </w:rPr>
              <w:t>供应商的法定代表人或被授权人亲自在文件规定签署处亲笔写上个人的名字的行为，私章、签字章、印鉴、影印等其它形式</w:t>
            </w:r>
            <w:r>
              <w:rPr>
                <w:rFonts w:ascii="宋体" w:hAnsi="宋体" w:eastAsia="宋体" w:cs="宋体"/>
                <w:color w:val="auto"/>
                <w:sz w:val="21"/>
                <w:szCs w:val="21"/>
                <w:highlight w:val="none"/>
              </w:rPr>
              <w:t>均不能代替</w:t>
            </w:r>
            <w:r>
              <w:rPr>
                <w:rFonts w:hint="eastAsia" w:ascii="宋体" w:hAnsi="宋体" w:eastAsia="宋体" w:cs="宋体"/>
                <w:color w:val="auto"/>
                <w:sz w:val="21"/>
                <w:szCs w:val="21"/>
                <w:highlight w:val="none"/>
              </w:rPr>
              <w:t>亲笔签字</w:t>
            </w:r>
            <w:r>
              <w:rPr>
                <w:rFonts w:ascii="宋体" w:hAnsi="宋体" w:eastAsia="宋体" w:cs="宋体"/>
                <w:color w:val="auto"/>
                <w:sz w:val="21"/>
                <w:szCs w:val="21"/>
                <w:highlight w:val="none"/>
              </w:rPr>
              <w:t>。</w:t>
            </w:r>
            <w:r>
              <w:rPr>
                <w:rFonts w:hint="eastAsia" w:ascii="宋体" w:hAnsi="宋体" w:eastAsia="宋体" w:cs="宋体"/>
                <w:b/>
                <w:color w:val="auto"/>
                <w:sz w:val="21"/>
                <w:szCs w:val="21"/>
                <w:highlight w:val="none"/>
              </w:rPr>
              <w:t>不符合要求的或漏签的作竞标无效处理。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ascii="宋体" w:hAnsi="宋体" w:eastAsia="宋体" w:cs="宋体"/>
                <w:color w:val="auto"/>
                <w:sz w:val="21"/>
                <w:szCs w:val="21"/>
                <w:highlight w:val="none"/>
              </w:rPr>
              <w:t>6</w:t>
            </w:r>
          </w:p>
        </w:tc>
        <w:tc>
          <w:tcPr>
            <w:tcW w:w="1625"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信用查询</w:t>
            </w:r>
          </w:p>
        </w:tc>
        <w:tc>
          <w:tcPr>
            <w:tcW w:w="7226" w:type="dxa"/>
            <w:vAlign w:val="center"/>
          </w:tcPr>
          <w:p>
            <w:pPr>
              <w:spacing w:after="0" w:line="360" w:lineRule="exact"/>
              <w:ind w:firstLine="420" w:firstLineChars="20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递交响应文件截止时间后，由采购人或采购代理机构对供应商进行信用信息查询，具体规定如下：</w:t>
            </w:r>
          </w:p>
          <w:p>
            <w:pPr>
              <w:spacing w:after="0" w:line="360" w:lineRule="exact"/>
              <w:ind w:firstLine="420" w:firstLineChars="20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查询渠道：“</w:t>
            </w:r>
            <w:r>
              <w:rPr>
                <w:rFonts w:ascii="宋体" w:hAnsi="宋体" w:eastAsia="宋体" w:cs="仿宋"/>
                <w:color w:val="auto"/>
                <w:sz w:val="21"/>
                <w:szCs w:val="21"/>
                <w:highlight w:val="none"/>
              </w:rPr>
              <w:t>信用中国</w:t>
            </w:r>
            <w:r>
              <w:rPr>
                <w:rFonts w:hint="eastAsia" w:ascii="宋体" w:hAnsi="宋体" w:eastAsia="宋体" w:cs="仿宋"/>
                <w:color w:val="auto"/>
                <w:sz w:val="21"/>
                <w:szCs w:val="21"/>
                <w:highlight w:val="none"/>
              </w:rPr>
              <w:t>”</w:t>
            </w:r>
            <w:r>
              <w:rPr>
                <w:rFonts w:ascii="宋体" w:hAnsi="宋体" w:eastAsia="宋体" w:cs="仿宋"/>
                <w:color w:val="auto"/>
                <w:sz w:val="21"/>
                <w:szCs w:val="21"/>
                <w:highlight w:val="none"/>
              </w:rPr>
              <w:t>网站(www.creditchina.gov.cn)、中国政府采购网(</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Fonts w:ascii="宋体" w:hAnsi="宋体" w:eastAsia="宋体" w:cs="仿宋"/>
                <w:color w:val="auto"/>
                <w:sz w:val="21"/>
                <w:szCs w:val="21"/>
                <w:highlight w:val="none"/>
              </w:rPr>
              <w:t>www.ccgp.gov.cn</w:t>
            </w:r>
            <w:r>
              <w:rPr>
                <w:rFonts w:ascii="宋体" w:hAnsi="宋体" w:eastAsia="宋体" w:cs="仿宋"/>
                <w:color w:val="auto"/>
                <w:sz w:val="21"/>
                <w:szCs w:val="21"/>
                <w:highlight w:val="none"/>
              </w:rPr>
              <w:fldChar w:fldCharType="end"/>
            </w:r>
            <w:r>
              <w:rPr>
                <w:rFonts w:ascii="宋体" w:hAnsi="宋体" w:eastAsia="宋体" w:cs="仿宋"/>
                <w:color w:val="auto"/>
                <w:sz w:val="21"/>
                <w:szCs w:val="21"/>
                <w:highlight w:val="none"/>
              </w:rPr>
              <w:t>)</w:t>
            </w:r>
            <w:r>
              <w:rPr>
                <w:rFonts w:hint="eastAsia" w:ascii="宋体" w:hAnsi="宋体" w:eastAsia="宋体" w:cs="仿宋"/>
                <w:color w:val="auto"/>
                <w:sz w:val="21"/>
                <w:szCs w:val="21"/>
                <w:highlight w:val="none"/>
              </w:rPr>
              <w:t>等。</w:t>
            </w:r>
          </w:p>
          <w:p>
            <w:pPr>
              <w:spacing w:after="0" w:line="360" w:lineRule="exact"/>
              <w:ind w:firstLine="420" w:firstLineChars="20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w:t>
            </w:r>
            <w:r>
              <w:rPr>
                <w:rFonts w:ascii="宋体" w:hAnsi="宋体" w:eastAsia="宋体" w:cs="仿宋"/>
                <w:color w:val="auto"/>
                <w:sz w:val="21"/>
                <w:szCs w:val="21"/>
                <w:highlight w:val="none"/>
              </w:rPr>
              <w:t>信用中国</w:t>
            </w:r>
            <w:r>
              <w:rPr>
                <w:rFonts w:hint="eastAsia" w:ascii="宋体" w:hAnsi="宋体" w:eastAsia="宋体" w:cs="仿宋"/>
                <w:color w:val="auto"/>
                <w:sz w:val="21"/>
                <w:szCs w:val="21"/>
                <w:highlight w:val="none"/>
              </w:rPr>
              <w:t>”</w:t>
            </w:r>
            <w:r>
              <w:rPr>
                <w:rFonts w:ascii="宋体" w:hAnsi="宋体" w:eastAsia="宋体" w:cs="仿宋"/>
                <w:color w:val="auto"/>
                <w:sz w:val="21"/>
                <w:szCs w:val="21"/>
                <w:highlight w:val="none"/>
              </w:rPr>
              <w:t>网站</w:t>
            </w:r>
            <w:r>
              <w:rPr>
                <w:rFonts w:hint="eastAsia" w:ascii="宋体" w:hAnsi="宋体" w:eastAsia="宋体" w:cs="仿宋"/>
                <w:color w:val="auto"/>
                <w:sz w:val="21"/>
                <w:szCs w:val="21"/>
                <w:highlight w:val="none"/>
              </w:rPr>
              <w:t>查询内容：失信被执行人、重大税收违法案件当事人名单、政府采购严重违法失信行为记录名单</w:t>
            </w:r>
            <w:r>
              <w:rPr>
                <w:rFonts w:ascii="宋体" w:hAnsi="宋体" w:eastAsia="宋体" w:cs="仿宋"/>
                <w:color w:val="auto"/>
                <w:sz w:val="21"/>
                <w:szCs w:val="21"/>
                <w:highlight w:val="none"/>
              </w:rPr>
              <w:t>查询结果或界面截图</w:t>
            </w:r>
            <w:r>
              <w:rPr>
                <w:rFonts w:hint="eastAsia" w:ascii="宋体" w:hAnsi="宋体" w:eastAsia="宋体" w:cs="仿宋"/>
                <w:color w:val="auto"/>
                <w:sz w:val="21"/>
                <w:szCs w:val="21"/>
                <w:highlight w:val="none"/>
              </w:rPr>
              <w:t>；查询或打印截止时点：递交响应文件截止时间。</w:t>
            </w:r>
          </w:p>
          <w:p>
            <w:pPr>
              <w:spacing w:after="0" w:line="360" w:lineRule="exact"/>
              <w:ind w:firstLine="420" w:firstLineChars="20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w:t>
            </w:r>
            <w:r>
              <w:rPr>
                <w:rFonts w:ascii="宋体" w:hAnsi="宋体" w:eastAsia="宋体" w:cs="仿宋"/>
                <w:color w:val="auto"/>
                <w:sz w:val="21"/>
                <w:szCs w:val="21"/>
                <w:highlight w:val="none"/>
              </w:rPr>
              <w:t>中国政府采购网</w:t>
            </w:r>
            <w:r>
              <w:rPr>
                <w:rFonts w:hint="eastAsia" w:ascii="宋体" w:hAnsi="宋体" w:eastAsia="宋体" w:cs="仿宋"/>
                <w:color w:val="auto"/>
                <w:sz w:val="21"/>
                <w:szCs w:val="21"/>
                <w:highlight w:val="none"/>
              </w:rPr>
              <w:t>”</w:t>
            </w:r>
            <w:r>
              <w:rPr>
                <w:rFonts w:ascii="宋体" w:hAnsi="宋体" w:eastAsia="宋体" w:cs="仿宋"/>
                <w:color w:val="auto"/>
                <w:sz w:val="21"/>
                <w:szCs w:val="21"/>
                <w:highlight w:val="none"/>
              </w:rPr>
              <w:t>的查询内容：政府采购严重违法失信行为信息记录；查询时间：</w:t>
            </w:r>
            <w:r>
              <w:rPr>
                <w:rFonts w:hint="eastAsia" w:ascii="宋体" w:hAnsi="宋体" w:eastAsia="宋体" w:cs="仿宋"/>
                <w:color w:val="auto"/>
                <w:sz w:val="21"/>
                <w:szCs w:val="21"/>
                <w:highlight w:val="none"/>
              </w:rPr>
              <w:t>递交响应文件截止时间前</w:t>
            </w:r>
            <w:r>
              <w:rPr>
                <w:rFonts w:ascii="宋体" w:hAnsi="宋体" w:eastAsia="宋体" w:cs="仿宋"/>
                <w:color w:val="auto"/>
                <w:sz w:val="21"/>
                <w:szCs w:val="21"/>
                <w:highlight w:val="none"/>
              </w:rPr>
              <w:t>三年</w:t>
            </w:r>
            <w:r>
              <w:rPr>
                <w:rFonts w:hint="eastAsia" w:ascii="宋体" w:hAnsi="宋体" w:eastAsia="宋体" w:cs="仿宋"/>
                <w:color w:val="auto"/>
                <w:sz w:val="21"/>
                <w:szCs w:val="21"/>
                <w:highlight w:val="none"/>
              </w:rPr>
              <w:t>内</w:t>
            </w:r>
            <w:r>
              <w:rPr>
                <w:rFonts w:ascii="宋体" w:hAnsi="宋体" w:eastAsia="宋体" w:cs="仿宋"/>
                <w:color w:val="auto"/>
                <w:sz w:val="21"/>
                <w:szCs w:val="21"/>
                <w:highlight w:val="none"/>
              </w:rPr>
              <w:t>。</w:t>
            </w:r>
          </w:p>
          <w:p>
            <w:pPr>
              <w:spacing w:after="0" w:line="360" w:lineRule="exact"/>
              <w:ind w:firstLine="420" w:firstLineChars="20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查询记录和证据留存方式：在查询网站中直接打印查询记录，打印材料作为评审资料保存。</w:t>
            </w:r>
          </w:p>
          <w:p>
            <w:pPr>
              <w:spacing w:after="0" w:line="360" w:lineRule="exact"/>
              <w:ind w:firstLine="420" w:firstLineChars="200"/>
              <w:jc w:val="both"/>
              <w:rPr>
                <w:rFonts w:ascii="宋体" w:hAnsi="宋体" w:eastAsia="宋体" w:cs="宋体"/>
                <w:color w:val="auto"/>
                <w:sz w:val="21"/>
                <w:szCs w:val="21"/>
                <w:highlight w:val="none"/>
              </w:rPr>
            </w:pPr>
            <w:r>
              <w:rPr>
                <w:rFonts w:hint="eastAsia" w:ascii="宋体" w:hAnsi="宋体" w:eastAsia="宋体" w:cs="仿宋"/>
                <w:color w:val="auto"/>
                <w:sz w:val="21"/>
                <w:szCs w:val="21"/>
                <w:highlight w:val="none"/>
              </w:rPr>
              <w:t>信用信息使用规则：对在“</w:t>
            </w:r>
            <w:r>
              <w:rPr>
                <w:rFonts w:ascii="宋体" w:hAnsi="宋体" w:eastAsia="宋体" w:cs="仿宋"/>
                <w:color w:val="auto"/>
                <w:sz w:val="21"/>
                <w:szCs w:val="21"/>
                <w:highlight w:val="none"/>
              </w:rPr>
              <w:t>信用中国</w:t>
            </w:r>
            <w:r>
              <w:rPr>
                <w:rFonts w:hint="eastAsia" w:ascii="宋体" w:hAnsi="宋体" w:eastAsia="宋体" w:cs="仿宋"/>
                <w:color w:val="auto"/>
                <w:sz w:val="21"/>
                <w:szCs w:val="21"/>
                <w:highlight w:val="none"/>
              </w:rPr>
              <w:t>”</w:t>
            </w:r>
            <w:r>
              <w:rPr>
                <w:rFonts w:ascii="宋体" w:hAnsi="宋体" w:eastAsia="宋体" w:cs="仿宋"/>
                <w:color w:val="auto"/>
                <w:sz w:val="21"/>
                <w:szCs w:val="21"/>
                <w:highlight w:val="none"/>
              </w:rPr>
              <w:t>网站(www.creditchina.gov.cn)、中国政府采购网(www.ccgp.gov.cn)等渠道</w:t>
            </w:r>
            <w:r>
              <w:rPr>
                <w:rFonts w:hint="eastAsia" w:ascii="宋体" w:hAnsi="宋体" w:eastAsia="宋体" w:cs="仿宋"/>
                <w:color w:val="auto"/>
                <w:sz w:val="21"/>
                <w:szCs w:val="21"/>
                <w:highlight w:val="none"/>
              </w:rPr>
              <w:t>列入失信被执行人、重大税收违法案件当事人名单、政府采购严重违法失信行为记录名单及其他不符合《中华人民共和国政府采购法》第二十二条规定条件的供应商，资格审查不通过，不得参与政府采购活动。</w:t>
            </w:r>
            <w:r>
              <w:rPr>
                <w:rFonts w:ascii="宋体" w:hAnsi="宋体" w:eastAsia="宋体" w:cs="仿宋"/>
                <w:color w:val="auto"/>
                <w:sz w:val="21"/>
                <w:szCs w:val="21"/>
                <w:highlight w:val="none"/>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bl>
    <w:p>
      <w:pPr>
        <w:pStyle w:val="4"/>
        <w:spacing w:beforeLines="100" w:line="400" w:lineRule="exact"/>
        <w:rPr>
          <w:rFonts w:ascii="宋体" w:hAnsi="宋体" w:eastAsia="宋体"/>
          <w:color w:val="auto"/>
          <w:highlight w:val="none"/>
        </w:rPr>
      </w:pPr>
      <w:bookmarkStart w:id="54" w:name="_Toc246095454"/>
      <w:bookmarkStart w:id="55" w:name="_Toc246095516"/>
      <w:bookmarkStart w:id="56" w:name="_Toc246094910"/>
      <w:r>
        <w:rPr>
          <w:rFonts w:hint="eastAsia" w:ascii="宋体" w:hAnsi="宋体" w:eastAsia="宋体"/>
          <w:color w:val="auto"/>
          <w:highlight w:val="none"/>
        </w:rPr>
        <w:br w:type="page"/>
      </w:r>
      <w:bookmarkStart w:id="57" w:name="_Toc23082"/>
      <w:r>
        <w:rPr>
          <w:rFonts w:hint="eastAsia" w:ascii="宋体" w:hAnsi="宋体" w:eastAsia="宋体"/>
          <w:color w:val="auto"/>
          <w:highlight w:val="none"/>
        </w:rPr>
        <w:t>一、总则</w:t>
      </w:r>
      <w:bookmarkEnd w:id="54"/>
      <w:bookmarkEnd w:id="55"/>
      <w:bookmarkEnd w:id="56"/>
      <w:bookmarkEnd w:id="57"/>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l. 项目概况</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1.1适用范围：本文件仅适用于本文件中所叙述的货物类政府采购项目。</w:t>
      </w:r>
    </w:p>
    <w:p>
      <w:pPr>
        <w:spacing w:after="0" w:line="400" w:lineRule="exact"/>
        <w:ind w:firstLine="480" w:firstLineChars="200"/>
        <w:rPr>
          <w:rFonts w:ascii="宋体" w:hAnsi="宋体" w:eastAsia="宋体"/>
          <w:bCs/>
          <w:color w:val="auto"/>
          <w:sz w:val="24"/>
          <w:highlight w:val="none"/>
        </w:rPr>
      </w:pPr>
      <w:r>
        <w:rPr>
          <w:rFonts w:hint="eastAsia" w:ascii="宋体" w:hAnsi="宋体" w:eastAsia="宋体"/>
          <w:bCs/>
          <w:color w:val="auto"/>
          <w:sz w:val="24"/>
          <w:highlight w:val="none"/>
        </w:rPr>
        <w:t>1.2  采购人：见供应商须知前附表。</w:t>
      </w:r>
    </w:p>
    <w:p>
      <w:pPr>
        <w:spacing w:after="0" w:line="400" w:lineRule="exact"/>
        <w:ind w:firstLine="480" w:firstLineChars="200"/>
        <w:rPr>
          <w:rFonts w:ascii="宋体" w:hAnsi="宋体" w:eastAsia="宋体"/>
          <w:bCs/>
          <w:color w:val="auto"/>
          <w:sz w:val="24"/>
          <w:highlight w:val="none"/>
        </w:rPr>
      </w:pPr>
      <w:r>
        <w:rPr>
          <w:rFonts w:hint="eastAsia" w:ascii="宋体" w:hAnsi="宋体" w:eastAsia="宋体"/>
          <w:bCs/>
          <w:color w:val="auto"/>
          <w:sz w:val="24"/>
          <w:highlight w:val="none"/>
        </w:rPr>
        <w:t>1.3  采购代理机构：见供应商须知前附表。</w:t>
      </w:r>
    </w:p>
    <w:p>
      <w:pPr>
        <w:spacing w:after="0" w:line="400" w:lineRule="exact"/>
        <w:ind w:firstLine="480" w:firstLineChars="200"/>
        <w:rPr>
          <w:rFonts w:ascii="宋体" w:hAnsi="宋体" w:eastAsia="宋体"/>
          <w:bCs/>
          <w:color w:val="auto"/>
          <w:sz w:val="24"/>
          <w:highlight w:val="none"/>
        </w:rPr>
      </w:pPr>
      <w:r>
        <w:rPr>
          <w:rFonts w:hint="eastAsia" w:ascii="宋体" w:hAnsi="宋体" w:eastAsia="宋体"/>
          <w:color w:val="auto"/>
          <w:sz w:val="24"/>
          <w:highlight w:val="none"/>
        </w:rPr>
        <w:t>1.4  项目名称：</w:t>
      </w:r>
      <w:r>
        <w:rPr>
          <w:rFonts w:hint="eastAsia" w:ascii="宋体" w:hAnsi="宋体" w:eastAsia="宋体"/>
          <w:bCs/>
          <w:color w:val="auto"/>
          <w:sz w:val="24"/>
          <w:highlight w:val="none"/>
        </w:rPr>
        <w:t>见供应商须知前附表。</w:t>
      </w:r>
    </w:p>
    <w:p>
      <w:pPr>
        <w:spacing w:after="0" w:line="400" w:lineRule="exact"/>
        <w:ind w:firstLine="480" w:firstLineChars="200"/>
        <w:rPr>
          <w:rFonts w:ascii="宋体" w:hAnsi="宋体" w:eastAsia="宋体"/>
          <w:bCs/>
          <w:color w:val="auto"/>
          <w:sz w:val="24"/>
          <w:highlight w:val="none"/>
        </w:rPr>
      </w:pPr>
      <w:r>
        <w:rPr>
          <w:rFonts w:hint="eastAsia" w:ascii="宋体" w:hAnsi="宋体" w:eastAsia="宋体"/>
          <w:color w:val="auto"/>
          <w:sz w:val="24"/>
          <w:highlight w:val="none"/>
        </w:rPr>
        <w:t>1.5  采购编号：</w:t>
      </w:r>
      <w:r>
        <w:rPr>
          <w:rFonts w:hint="eastAsia" w:ascii="宋体" w:hAnsi="宋体" w:eastAsia="宋体"/>
          <w:bCs/>
          <w:color w:val="auto"/>
          <w:sz w:val="24"/>
          <w:highlight w:val="none"/>
        </w:rPr>
        <w:t>见供应商须知前附表。</w:t>
      </w:r>
    </w:p>
    <w:p>
      <w:pPr>
        <w:spacing w:after="0" w:line="400" w:lineRule="exact"/>
        <w:ind w:firstLine="480" w:firstLineChars="200"/>
        <w:rPr>
          <w:rFonts w:ascii="宋体" w:hAnsi="宋体" w:eastAsia="宋体"/>
          <w:bCs/>
          <w:color w:val="auto"/>
          <w:sz w:val="24"/>
          <w:highlight w:val="none"/>
        </w:rPr>
      </w:pPr>
      <w:r>
        <w:rPr>
          <w:rFonts w:hint="eastAsia" w:ascii="宋体" w:hAnsi="宋体" w:eastAsia="宋体"/>
          <w:bCs/>
          <w:color w:val="auto"/>
          <w:sz w:val="24"/>
          <w:highlight w:val="none"/>
        </w:rPr>
        <w:t>1.6  采购预算：见供应商须知前附表。</w:t>
      </w:r>
    </w:p>
    <w:p>
      <w:pPr>
        <w:spacing w:after="0" w:line="400" w:lineRule="exact"/>
        <w:ind w:firstLine="480" w:firstLineChars="200"/>
        <w:rPr>
          <w:rFonts w:ascii="宋体" w:hAnsi="宋体" w:eastAsia="宋体"/>
          <w:bCs/>
          <w:color w:val="auto"/>
          <w:sz w:val="24"/>
          <w:highlight w:val="none"/>
        </w:rPr>
      </w:pPr>
      <w:r>
        <w:rPr>
          <w:rFonts w:hint="eastAsia" w:ascii="宋体" w:hAnsi="宋体" w:eastAsia="宋体"/>
          <w:bCs/>
          <w:color w:val="auto"/>
          <w:sz w:val="24"/>
          <w:highlight w:val="none"/>
        </w:rPr>
        <w:t>1.7  资金来源：见供应商须知前附表。</w:t>
      </w:r>
    </w:p>
    <w:p>
      <w:pPr>
        <w:spacing w:after="0" w:line="400" w:lineRule="exact"/>
        <w:ind w:firstLine="480" w:firstLineChars="200"/>
        <w:rPr>
          <w:rFonts w:ascii="宋体" w:hAnsi="宋体" w:eastAsia="宋体" w:cs="宋体"/>
          <w:bCs/>
          <w:color w:val="auto"/>
          <w:highlight w:val="none"/>
        </w:rPr>
      </w:pPr>
      <w:r>
        <w:rPr>
          <w:rFonts w:hint="eastAsia" w:ascii="宋体" w:hAnsi="宋体" w:eastAsia="宋体"/>
          <w:bCs/>
          <w:color w:val="auto"/>
          <w:sz w:val="24"/>
          <w:highlight w:val="none"/>
        </w:rPr>
        <w:t>1.8  预留采购份额：见供应商须知前附表。</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2.定义</w:t>
      </w:r>
    </w:p>
    <w:p>
      <w:pPr>
        <w:spacing w:after="0" w:line="40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2.1 “采购人"是指依法进行政府采购的国家机关、事业单位、团体组织。</w:t>
      </w:r>
    </w:p>
    <w:p>
      <w:pPr>
        <w:spacing w:after="0" w:line="40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2.2 “采购代理机构”是指依法设立、从事采购代理业务并提供相关服务的社会中介机构。</w:t>
      </w:r>
    </w:p>
    <w:p>
      <w:pPr>
        <w:spacing w:after="0" w:line="40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2.3 “供应商”是指响应本文件要求，参加谈判的法人、其他组织或者自然人。如果该供应商在本次谈判中成交，即成为"成交供应商"。法人包括企业法人、机关法人、事业单位法人和社会团体法人。其他组织包括合伙企业、非企业专业服务机构、个体工商户、农村承包经营户及国家有关法律法规规定的组织。自然人是指中国公民。</w:t>
      </w:r>
    </w:p>
    <w:p>
      <w:pPr>
        <w:spacing w:after="0" w:line="40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2.4“货物”是指各种形态和种类的物品，包括原材料、燃料、设备、产品等。</w:t>
      </w:r>
    </w:p>
    <w:p>
      <w:pPr>
        <w:spacing w:after="0" w:line="40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2.</w:t>
      </w:r>
      <w:r>
        <w:rPr>
          <w:rFonts w:ascii="宋体" w:hAnsi="宋体" w:eastAsia="宋体" w:cs="Arial"/>
          <w:color w:val="auto"/>
          <w:sz w:val="24"/>
          <w:highlight w:val="none"/>
        </w:rPr>
        <w:t>5</w:t>
      </w:r>
      <w:r>
        <w:rPr>
          <w:rFonts w:hint="eastAsia" w:ascii="宋体" w:hAnsi="宋体" w:eastAsia="宋体" w:cs="Arial"/>
          <w:color w:val="auto"/>
          <w:sz w:val="24"/>
          <w:highlight w:val="none"/>
        </w:rPr>
        <w:t>“服务”系指除货物和工程以外的其他政府采购对象。</w:t>
      </w:r>
    </w:p>
    <w:p>
      <w:pPr>
        <w:spacing w:after="0" w:line="40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2.</w:t>
      </w:r>
      <w:r>
        <w:rPr>
          <w:rFonts w:ascii="宋体" w:hAnsi="宋体" w:eastAsia="宋体" w:cs="Arial"/>
          <w:color w:val="auto"/>
          <w:sz w:val="24"/>
          <w:highlight w:val="none"/>
        </w:rPr>
        <w:t>6</w:t>
      </w:r>
      <w:r>
        <w:rPr>
          <w:rFonts w:hint="eastAsia" w:ascii="宋体" w:hAnsi="宋体" w:eastAsia="宋体" w:cs="Arial"/>
          <w:color w:val="auto"/>
          <w:sz w:val="24"/>
          <w:highlight w:val="none"/>
        </w:rPr>
        <w:t>“响应文件”是指供应商根据本文件要求，编制包含报价、技术和服务等所有内容的文件。</w:t>
      </w:r>
    </w:p>
    <w:p>
      <w:pPr>
        <w:spacing w:after="0" w:line="40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2.7“书面形式”如无特殊规定，“书面形式”是指信函和数据电文（包括地表现所载内容的形式。采购文件如有特殊规定，以采购文件规定为准。</w:t>
      </w:r>
    </w:p>
    <w:p>
      <w:pPr>
        <w:spacing w:after="0" w:line="400" w:lineRule="exact"/>
        <w:ind w:firstLine="480" w:firstLineChars="200"/>
        <w:rPr>
          <w:rFonts w:ascii="宋体" w:hAnsi="宋体" w:eastAsia="宋体" w:cs="Arial"/>
          <w:color w:val="auto"/>
          <w:sz w:val="24"/>
          <w:highlight w:val="none"/>
        </w:rPr>
      </w:pPr>
      <w:r>
        <w:rPr>
          <w:rFonts w:ascii="宋体" w:hAnsi="宋体" w:eastAsia="宋体" w:cs="Arial"/>
          <w:color w:val="auto"/>
          <w:sz w:val="24"/>
          <w:highlight w:val="none"/>
        </w:rPr>
        <w:t>2.8</w:t>
      </w:r>
      <w:r>
        <w:rPr>
          <w:rFonts w:hint="eastAsia" w:ascii="宋体" w:hAnsi="宋体" w:eastAsia="宋体" w:cs="Arial"/>
          <w:color w:val="auto"/>
          <w:sz w:val="24"/>
          <w:highlight w:val="none"/>
        </w:rPr>
        <w:t>本文件中的“法定代表人”若法律法规无特别规定，当供应商是企业的，是指企业法人营业执照上的法定代表人；当供应商是事业单位的，是指事业单位法人证书上的法定代表人；当供应商是社会团体、民办非企业的，是指法人登记证书中的法定代表人；当供应商是个体工商户的，是指个体工商户营业执照上的经营者；当供应商是自然人的，是指参与本项目响应的自然人本人。</w:t>
      </w:r>
    </w:p>
    <w:p>
      <w:pPr>
        <w:spacing w:after="0" w:line="40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2.</w:t>
      </w:r>
      <w:r>
        <w:rPr>
          <w:rFonts w:ascii="宋体" w:hAnsi="宋体" w:eastAsia="宋体" w:cs="Arial"/>
          <w:color w:val="auto"/>
          <w:sz w:val="24"/>
          <w:highlight w:val="none"/>
        </w:rPr>
        <w:t>9</w:t>
      </w:r>
      <w:r>
        <w:rPr>
          <w:rFonts w:hint="eastAsia" w:ascii="宋体" w:hAnsi="宋体" w:eastAsia="宋体" w:cs="Arial"/>
          <w:color w:val="auto"/>
          <w:sz w:val="24"/>
          <w:highlight w:val="none"/>
        </w:rPr>
        <w:t>标注“</w:t>
      </w:r>
      <w:r>
        <w:rPr>
          <w:rFonts w:hint="eastAsia" w:ascii="宋体" w:hAnsi="宋体" w:eastAsia="宋体" w:cs="宋体"/>
          <w:color w:val="auto"/>
          <w:sz w:val="21"/>
          <w:szCs w:val="21"/>
          <w:highlight w:val="none"/>
        </w:rPr>
        <w:t>▲</w:t>
      </w:r>
      <w:r>
        <w:rPr>
          <w:rFonts w:hint="eastAsia" w:ascii="宋体" w:hAnsi="宋体" w:eastAsia="宋体" w:cs="Arial"/>
          <w:color w:val="auto"/>
          <w:sz w:val="24"/>
          <w:highlight w:val="none"/>
        </w:rPr>
        <w:t>”号的条款或要求系指实质性条款或实质性要求。</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3. 供应商资格条件</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3.1 基本资格条件：见“供应商须知前附表”规定。</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3.2 供应商的特定要求：见“供应商须知前附表”规定。</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 xml:space="preserve">3.3 存在下列情形之一的供应商不得参加资格性审查： </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 xml:space="preserve">（1）单位负责人为同一人或者存在直接控股、管理关系的不同供应商，不得参加本项目同一合同项下的政府采购活动。为本项目提供整体设计、规范编制或者项目管理、监理、检测等服务的供应商，不得再参加本项目的采购活动。 </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（2）在财政部门禁止参加政府采购活动期限以内的。</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 xml:space="preserve">3.4 按本项目采购公告规定方式获得竞争性谈判文件。 </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3.5 本项目是否接受联合体竞标，见“供应商须知前附表”规定。</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4. 语言文字及计量单位</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除专用术语外，与采购有关的语言均使用中文。必要时专用术语应附有中文注释。所有计量均采用中华人民共和国法定计量单位。</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5. 竞标费用</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5.1供应商应自行承担所有与编写和提交响应文件有关的费用，不论谈判结果如何，采购人和采购代理机构在任何情况下无义务和责任承担此类费用。</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5.2本项目的招标代理服务费按须知</w:t>
      </w:r>
      <w:r>
        <w:rPr>
          <w:rFonts w:hint="eastAsia" w:ascii="宋体" w:hAnsi="宋体" w:eastAsia="宋体"/>
          <w:b/>
          <w:bCs/>
          <w:color w:val="auto"/>
          <w:sz w:val="24"/>
          <w:highlight w:val="none"/>
        </w:rPr>
        <w:t>前附表</w:t>
      </w:r>
      <w:r>
        <w:rPr>
          <w:rFonts w:hint="eastAsia" w:ascii="宋体" w:hAnsi="宋体" w:eastAsia="宋体"/>
          <w:color w:val="auto"/>
          <w:sz w:val="24"/>
          <w:highlight w:val="none"/>
        </w:rPr>
        <w:t>的规定执行，由成交供应商在领取成交通知书前，一次性向采购代理机构支付。</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6. 现场勘察</w:t>
      </w:r>
    </w:p>
    <w:p>
      <w:pPr>
        <w:spacing w:after="0" w:line="400" w:lineRule="exact"/>
        <w:ind w:firstLine="480" w:firstLineChars="200"/>
        <w:rPr>
          <w:rFonts w:ascii="宋体" w:hAnsi="宋体" w:eastAsia="宋体" w:cs="Arial"/>
          <w:color w:val="auto"/>
          <w:sz w:val="24"/>
          <w:highlight w:val="none"/>
        </w:rPr>
      </w:pPr>
      <w:r>
        <w:rPr>
          <w:rFonts w:hint="eastAsia" w:ascii="宋体" w:hAnsi="宋体" w:eastAsia="宋体"/>
          <w:color w:val="auto"/>
          <w:sz w:val="24"/>
          <w:highlight w:val="none"/>
        </w:rPr>
        <w:t>6.1</w:t>
      </w:r>
      <w:r>
        <w:rPr>
          <w:rFonts w:hint="eastAsia" w:ascii="宋体" w:hAnsi="宋体" w:eastAsia="宋体" w:cs="Arial"/>
          <w:color w:val="auto"/>
          <w:sz w:val="24"/>
          <w:highlight w:val="none"/>
        </w:rPr>
        <w:t>前附表如规定现场踏勘的，供应商应按规定时间地点参加踏勘。</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6.2 供应商应承担现场勘察的责任和风险。勘查现场的费用由供应商自己承担。采购人</w:t>
      </w:r>
      <w:r>
        <w:rPr>
          <w:rFonts w:ascii="宋体" w:hAnsi="宋体" w:eastAsia="宋体"/>
          <w:color w:val="auto"/>
          <w:sz w:val="24"/>
          <w:highlight w:val="none"/>
        </w:rPr>
        <w:t>对</w:t>
      </w:r>
      <w:r>
        <w:rPr>
          <w:rFonts w:hint="eastAsia" w:ascii="宋体" w:hAnsi="宋体" w:eastAsia="宋体"/>
          <w:color w:val="auto"/>
          <w:sz w:val="24"/>
          <w:highlight w:val="none"/>
        </w:rPr>
        <w:t>供应商</w:t>
      </w:r>
      <w:r>
        <w:rPr>
          <w:rFonts w:ascii="宋体" w:hAnsi="宋体" w:eastAsia="宋体"/>
          <w:color w:val="auto"/>
          <w:sz w:val="24"/>
          <w:highlight w:val="none"/>
        </w:rPr>
        <w:t>由此而做出的推论、理解和结论概不负责。</w:t>
      </w:r>
    </w:p>
    <w:p>
      <w:pPr>
        <w:pStyle w:val="4"/>
        <w:spacing w:beforeLines="100" w:line="400" w:lineRule="exact"/>
        <w:rPr>
          <w:rFonts w:ascii="宋体" w:hAnsi="宋体" w:eastAsia="宋体"/>
          <w:color w:val="auto"/>
          <w:highlight w:val="none"/>
        </w:rPr>
      </w:pPr>
      <w:bookmarkStart w:id="58" w:name="_Toc246094911"/>
      <w:bookmarkStart w:id="59" w:name="_Toc246095517"/>
      <w:bookmarkStart w:id="60" w:name="_Toc13358"/>
      <w:bookmarkStart w:id="61" w:name="_Toc246095455"/>
      <w:r>
        <w:rPr>
          <w:rFonts w:hint="eastAsia" w:ascii="宋体" w:hAnsi="宋体" w:eastAsia="宋体"/>
          <w:color w:val="auto"/>
          <w:highlight w:val="none"/>
        </w:rPr>
        <w:t>二、竞争性谈判文件</w:t>
      </w:r>
      <w:bookmarkEnd w:id="58"/>
      <w:bookmarkEnd w:id="59"/>
      <w:bookmarkEnd w:id="60"/>
      <w:bookmarkEnd w:id="61"/>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7. 竞争性谈判文件的组成</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7.1 竞争性谈判文件包括下列内容：</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第一章 竞争性谈判公告</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第二章 供应商须知</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第三章 项目采购需求和说明</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第四章 评标办法</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第五章 合同条款</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第六章 响应文件格式</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7.2 除本供应商须知第7.1款所述的竞争性谈判文件内容外，采购人在采购期间、符合法定时间发出的答疑、澄清、修改或补充内容，均是竞争性谈判文件的组成部分，对采购人和供应商起约束作用。根据本章第8条、第9条对竞争性谈判文件所作的澄清、修改，构成竞争性谈判文件的组成部分。</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7.3 供应商应认真审阅竞争性谈判文件。如果供应商编制的响应文件不符合竞争性谈判文件的要求，责任由供应商自负。实质上不响应竞争性谈判文件要求的响应文件将被采购人拒绝。</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8. 竞争性谈判文件的澄清</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8.1 供应商应仔细阅读和检查竞争性谈判文件的全部内容。如发现缺页、</w:t>
      </w:r>
      <w:r>
        <w:rPr>
          <w:rFonts w:hint="eastAsia" w:ascii="宋体" w:hAnsi="宋体" w:eastAsia="宋体" w:cs="Arial"/>
          <w:color w:val="auto"/>
          <w:sz w:val="24"/>
          <w:highlight w:val="none"/>
        </w:rPr>
        <w:t>有误或有不合理要求的</w:t>
      </w:r>
      <w:r>
        <w:rPr>
          <w:rFonts w:hint="eastAsia" w:ascii="宋体" w:hAnsi="宋体" w:eastAsia="宋体"/>
          <w:color w:val="auto"/>
          <w:sz w:val="24"/>
          <w:highlight w:val="none"/>
        </w:rPr>
        <w:t>，供应商必须在</w:t>
      </w:r>
      <w:r>
        <w:rPr>
          <w:rFonts w:ascii="宋体" w:hAnsi="宋体" w:eastAsia="宋体"/>
          <w:color w:val="auto"/>
          <w:sz w:val="24"/>
          <w:highlight w:val="none"/>
        </w:rPr>
        <w:t>提交首次响应文件截止之日前</w:t>
      </w:r>
      <w:r>
        <w:rPr>
          <w:rFonts w:hint="eastAsia" w:ascii="宋体" w:hAnsi="宋体" w:eastAsia="宋体"/>
          <w:color w:val="auto"/>
          <w:sz w:val="24"/>
          <w:highlight w:val="none"/>
        </w:rPr>
        <w:t>，以书面形式要求</w:t>
      </w:r>
      <w:r>
        <w:rPr>
          <w:rFonts w:ascii="宋体" w:hAnsi="宋体" w:eastAsia="宋体"/>
          <w:color w:val="auto"/>
          <w:sz w:val="24"/>
          <w:highlight w:val="none"/>
        </w:rPr>
        <w:t>采购人</w:t>
      </w:r>
      <w:r>
        <w:rPr>
          <w:rFonts w:hint="eastAsia" w:ascii="宋体" w:hAnsi="宋体" w:eastAsia="宋体"/>
          <w:color w:val="auto"/>
          <w:sz w:val="24"/>
          <w:highlight w:val="none"/>
        </w:rPr>
        <w:t>或</w:t>
      </w:r>
      <w:r>
        <w:rPr>
          <w:rFonts w:ascii="宋体" w:hAnsi="宋体" w:eastAsia="宋体"/>
          <w:color w:val="auto"/>
          <w:sz w:val="24"/>
          <w:highlight w:val="none"/>
        </w:rPr>
        <w:t>采购代理机构</w:t>
      </w:r>
      <w:r>
        <w:rPr>
          <w:rFonts w:hint="eastAsia" w:ascii="宋体" w:hAnsi="宋体" w:eastAsia="宋体"/>
          <w:color w:val="auto"/>
          <w:sz w:val="24"/>
          <w:highlight w:val="none"/>
        </w:rPr>
        <w:t>澄清。逾期不提出澄清要求视为对竞争性谈判文件无异议。</w:t>
      </w:r>
    </w:p>
    <w:p>
      <w:pPr>
        <w:spacing w:after="0" w:line="400" w:lineRule="exact"/>
        <w:ind w:firstLine="480" w:firstLineChars="200"/>
        <w:rPr>
          <w:rFonts w:ascii="宋体" w:hAnsi="宋体" w:eastAsia="宋体" w:cs="Arial"/>
          <w:color w:val="auto"/>
          <w:sz w:val="24"/>
          <w:highlight w:val="none"/>
        </w:rPr>
      </w:pPr>
      <w:r>
        <w:rPr>
          <w:rFonts w:hint="eastAsia" w:ascii="宋体" w:hAnsi="宋体" w:eastAsia="宋体"/>
          <w:color w:val="auto"/>
          <w:sz w:val="24"/>
          <w:highlight w:val="none"/>
        </w:rPr>
        <w:t>8.2</w:t>
      </w:r>
      <w:r>
        <w:rPr>
          <w:rFonts w:ascii="宋体" w:hAnsi="宋体" w:eastAsia="宋体"/>
          <w:color w:val="auto"/>
          <w:sz w:val="24"/>
          <w:highlight w:val="none"/>
        </w:rPr>
        <w:t>采购人、采购代理机构可以对已发出的谈判文件进行必要的澄清，澄清的内容作为谈判文件的组成部分。澄清的内容可能影响响应文件编制的，</w:t>
      </w:r>
      <w:r>
        <w:rPr>
          <w:rFonts w:hint="eastAsia" w:ascii="宋体" w:hAnsi="宋体" w:eastAsia="宋体"/>
          <w:color w:val="auto"/>
          <w:sz w:val="24"/>
          <w:highlight w:val="none"/>
        </w:rPr>
        <w:t>谈判文件的澄清将在</w:t>
      </w:r>
      <w:r>
        <w:rPr>
          <w:rFonts w:hint="eastAsia" w:ascii="宋体" w:hAnsi="宋体" w:eastAsia="宋体" w:cs="Arial"/>
          <w:color w:val="auto"/>
          <w:sz w:val="24"/>
          <w:highlight w:val="none"/>
        </w:rPr>
        <w:t>提交首次响应文件截止之日3</w:t>
      </w:r>
      <w:r>
        <w:rPr>
          <w:rFonts w:hint="eastAsia" w:ascii="宋体" w:hAnsi="宋体" w:eastAsia="宋体"/>
          <w:color w:val="auto"/>
          <w:sz w:val="24"/>
          <w:highlight w:val="none"/>
        </w:rPr>
        <w:t>个工作日前以书面形式（</w:t>
      </w:r>
      <w:r>
        <w:rPr>
          <w:rFonts w:hint="eastAsia" w:ascii="宋体" w:hAnsi="宋体" w:eastAsia="宋体" w:cs="Arial"/>
          <w:color w:val="auto"/>
          <w:sz w:val="24"/>
          <w:highlight w:val="none"/>
        </w:rPr>
        <w:t>在发布竞争性谈判公告的政府采购信息发布媒体上发布</w:t>
      </w:r>
      <w:r>
        <w:rPr>
          <w:rFonts w:hint="eastAsia" w:ascii="宋体" w:hAnsi="宋体" w:eastAsia="宋体"/>
          <w:color w:val="auto"/>
          <w:sz w:val="24"/>
          <w:highlight w:val="none"/>
        </w:rPr>
        <w:t>）发给所有购买竞争性谈判文件的供应商，但不指明澄清问题的来源，供应商未及时关注采购代理机构在公告发布媒介上发布的澄清文件造成的损失，由供应商自行负责。</w:t>
      </w:r>
      <w:r>
        <w:rPr>
          <w:rFonts w:ascii="宋体" w:hAnsi="宋体" w:eastAsia="宋体"/>
          <w:color w:val="auto"/>
          <w:sz w:val="24"/>
          <w:highlight w:val="none"/>
        </w:rPr>
        <w:t>不足3个工作日的，</w:t>
      </w:r>
      <w:r>
        <w:rPr>
          <w:rFonts w:hint="eastAsia" w:ascii="宋体" w:hAnsi="宋体" w:eastAsia="宋体"/>
          <w:color w:val="auto"/>
          <w:sz w:val="24"/>
          <w:highlight w:val="none"/>
        </w:rPr>
        <w:t>将</w:t>
      </w:r>
      <w:r>
        <w:rPr>
          <w:rFonts w:ascii="宋体" w:hAnsi="宋体" w:eastAsia="宋体"/>
          <w:color w:val="auto"/>
          <w:sz w:val="24"/>
          <w:highlight w:val="none"/>
        </w:rPr>
        <w:t>顺延提交首次响应文件截止之日</w:t>
      </w:r>
      <w:r>
        <w:rPr>
          <w:rFonts w:hint="eastAsia" w:ascii="宋体" w:hAnsi="宋体" w:eastAsia="宋体"/>
          <w:color w:val="auto"/>
          <w:sz w:val="24"/>
          <w:highlight w:val="none"/>
        </w:rPr>
        <w:t>。</w:t>
      </w:r>
      <w:r>
        <w:rPr>
          <w:rFonts w:hint="eastAsia" w:ascii="宋体" w:hAnsi="宋体" w:eastAsia="宋体" w:cs="Arial"/>
          <w:color w:val="auto"/>
          <w:sz w:val="24"/>
          <w:highlight w:val="none"/>
        </w:rPr>
        <w:t>该澄清的内容为谈判文件的组成部分。</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s="Arial"/>
          <w:color w:val="auto"/>
          <w:sz w:val="24"/>
          <w:highlight w:val="none"/>
        </w:rPr>
        <w:t>8.3当谈判文件与谈判文件的澄清就同一内容的表述不一致时，以最后发出的公告或书面文件为准。</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9. 竞争性谈判文件的修改</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9.1</w:t>
      </w:r>
      <w:r>
        <w:rPr>
          <w:rFonts w:ascii="宋体" w:hAnsi="宋体" w:eastAsia="宋体"/>
          <w:color w:val="auto"/>
          <w:sz w:val="24"/>
          <w:highlight w:val="none"/>
        </w:rPr>
        <w:t>采购人、采购代理机构可以对已发出的谈判文件进行必要的</w:t>
      </w:r>
      <w:r>
        <w:rPr>
          <w:rFonts w:hint="eastAsia" w:ascii="宋体" w:hAnsi="宋体" w:eastAsia="宋体"/>
          <w:color w:val="auto"/>
          <w:sz w:val="24"/>
          <w:highlight w:val="none"/>
        </w:rPr>
        <w:t>修改</w:t>
      </w:r>
      <w:r>
        <w:rPr>
          <w:rFonts w:ascii="宋体" w:hAnsi="宋体" w:eastAsia="宋体"/>
          <w:color w:val="auto"/>
          <w:sz w:val="24"/>
          <w:highlight w:val="none"/>
        </w:rPr>
        <w:t>，</w:t>
      </w:r>
      <w:r>
        <w:rPr>
          <w:rFonts w:hint="eastAsia" w:ascii="宋体" w:hAnsi="宋体" w:eastAsia="宋体"/>
          <w:color w:val="auto"/>
          <w:sz w:val="24"/>
          <w:highlight w:val="none"/>
        </w:rPr>
        <w:t>修改</w:t>
      </w:r>
      <w:r>
        <w:rPr>
          <w:rFonts w:ascii="宋体" w:hAnsi="宋体" w:eastAsia="宋体"/>
          <w:color w:val="auto"/>
          <w:sz w:val="24"/>
          <w:highlight w:val="none"/>
        </w:rPr>
        <w:t>的内容作为谈判文件的组成部分。</w:t>
      </w:r>
      <w:r>
        <w:rPr>
          <w:rFonts w:hint="eastAsia" w:ascii="宋体" w:hAnsi="宋体" w:eastAsia="宋体"/>
          <w:color w:val="auto"/>
          <w:sz w:val="24"/>
          <w:highlight w:val="none"/>
        </w:rPr>
        <w:t>修改</w:t>
      </w:r>
      <w:r>
        <w:rPr>
          <w:rFonts w:ascii="宋体" w:hAnsi="宋体" w:eastAsia="宋体"/>
          <w:color w:val="auto"/>
          <w:sz w:val="24"/>
          <w:highlight w:val="none"/>
        </w:rPr>
        <w:t>的内容可能影响响应文件编制的，</w:t>
      </w:r>
      <w:r>
        <w:rPr>
          <w:rFonts w:hint="eastAsia" w:ascii="宋体" w:hAnsi="宋体" w:eastAsia="宋体"/>
          <w:color w:val="auto"/>
          <w:sz w:val="24"/>
          <w:highlight w:val="none"/>
        </w:rPr>
        <w:t>谈判文件的修改将在</w:t>
      </w:r>
      <w:r>
        <w:rPr>
          <w:rFonts w:hint="eastAsia" w:ascii="宋体" w:hAnsi="宋体" w:eastAsia="宋体" w:cs="Arial"/>
          <w:color w:val="auto"/>
          <w:sz w:val="24"/>
          <w:highlight w:val="none"/>
        </w:rPr>
        <w:t>提交首次响应文件截止之日3</w:t>
      </w:r>
      <w:r>
        <w:rPr>
          <w:rFonts w:hint="eastAsia" w:ascii="宋体" w:hAnsi="宋体" w:eastAsia="宋体"/>
          <w:color w:val="auto"/>
          <w:sz w:val="24"/>
          <w:highlight w:val="none"/>
        </w:rPr>
        <w:t>个工作日前以书面形式（</w:t>
      </w:r>
      <w:r>
        <w:rPr>
          <w:rFonts w:hint="eastAsia" w:ascii="宋体" w:hAnsi="宋体" w:eastAsia="宋体" w:cs="Arial"/>
          <w:color w:val="auto"/>
          <w:sz w:val="24"/>
          <w:highlight w:val="none"/>
        </w:rPr>
        <w:t>在发布竞争性谈判公告的政府采购信息发布媒体上发布</w:t>
      </w:r>
      <w:r>
        <w:rPr>
          <w:rFonts w:hint="eastAsia" w:ascii="宋体" w:hAnsi="宋体" w:eastAsia="宋体"/>
          <w:color w:val="auto"/>
          <w:sz w:val="24"/>
          <w:highlight w:val="none"/>
        </w:rPr>
        <w:t>）发给所有购买竞争性谈判文件的供应商，供应商未及时关注采购代理机构在公告发布媒介上发布的修改文件造成的损失，由供应商自行负责。</w:t>
      </w:r>
      <w:r>
        <w:rPr>
          <w:rFonts w:ascii="宋体" w:hAnsi="宋体" w:eastAsia="宋体"/>
          <w:color w:val="auto"/>
          <w:sz w:val="24"/>
          <w:highlight w:val="none"/>
        </w:rPr>
        <w:t>不足3个工作日的，</w:t>
      </w:r>
      <w:r>
        <w:rPr>
          <w:rFonts w:hint="eastAsia" w:ascii="宋体" w:hAnsi="宋体" w:eastAsia="宋体"/>
          <w:color w:val="auto"/>
          <w:sz w:val="24"/>
          <w:highlight w:val="none"/>
        </w:rPr>
        <w:t>将</w:t>
      </w:r>
      <w:r>
        <w:rPr>
          <w:rFonts w:ascii="宋体" w:hAnsi="宋体" w:eastAsia="宋体"/>
          <w:color w:val="auto"/>
          <w:sz w:val="24"/>
          <w:highlight w:val="none"/>
        </w:rPr>
        <w:t>顺延提交首次响应文件截止之日</w:t>
      </w:r>
      <w:r>
        <w:rPr>
          <w:rFonts w:hint="eastAsia" w:ascii="宋体" w:hAnsi="宋体" w:eastAsia="宋体"/>
          <w:color w:val="auto"/>
          <w:sz w:val="24"/>
          <w:highlight w:val="none"/>
        </w:rPr>
        <w:t>。</w:t>
      </w:r>
      <w:r>
        <w:rPr>
          <w:rFonts w:hint="eastAsia" w:ascii="宋体" w:hAnsi="宋体" w:eastAsia="宋体" w:cs="Arial"/>
          <w:color w:val="auto"/>
          <w:sz w:val="24"/>
          <w:highlight w:val="none"/>
        </w:rPr>
        <w:t>该修改的内容为谈判文件的组成部分。</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9.2</w:t>
      </w:r>
      <w:r>
        <w:rPr>
          <w:rFonts w:hint="eastAsia" w:ascii="宋体" w:hAnsi="宋体" w:eastAsia="宋体" w:cs="Arial"/>
          <w:color w:val="auto"/>
          <w:sz w:val="24"/>
          <w:highlight w:val="none"/>
        </w:rPr>
        <w:t>当谈判文件与谈判文件的修改就同一内容的表述不一致时，以最后发出的公告或书面文件为准。</w:t>
      </w:r>
    </w:p>
    <w:p>
      <w:pPr>
        <w:pStyle w:val="4"/>
        <w:spacing w:beforeLines="100" w:line="400" w:lineRule="exact"/>
        <w:rPr>
          <w:rFonts w:ascii="宋体" w:hAnsi="宋体" w:eastAsia="宋体"/>
          <w:color w:val="auto"/>
          <w:highlight w:val="none"/>
        </w:rPr>
      </w:pPr>
      <w:bookmarkStart w:id="62" w:name="_Toc246094912"/>
      <w:bookmarkStart w:id="63" w:name="_Toc246095518"/>
      <w:bookmarkStart w:id="64" w:name="_Toc246095456"/>
      <w:bookmarkStart w:id="65" w:name="_Toc27175"/>
      <w:r>
        <w:rPr>
          <w:rFonts w:hint="eastAsia" w:ascii="宋体" w:hAnsi="宋体" w:eastAsia="宋体"/>
          <w:color w:val="auto"/>
          <w:highlight w:val="none"/>
        </w:rPr>
        <w:t>三、响应文件</w:t>
      </w:r>
      <w:bookmarkEnd w:id="62"/>
      <w:bookmarkEnd w:id="63"/>
      <w:bookmarkEnd w:id="64"/>
      <w:bookmarkEnd w:id="65"/>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10. 响应文件的组成</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10.1响应文件应分为价格文件和商务技术文件两个部分组成。</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10.1.1价格文件：</w:t>
      </w:r>
      <w:r>
        <w:rPr>
          <w:rFonts w:ascii="宋体" w:hAnsi="宋体" w:eastAsia="宋体"/>
          <w:color w:val="auto"/>
          <w:sz w:val="24"/>
          <w:highlight w:val="none"/>
        </w:rPr>
        <w:t>具体材料见“</w:t>
      </w:r>
      <w:r>
        <w:rPr>
          <w:rFonts w:hint="eastAsia" w:ascii="宋体" w:hAnsi="宋体" w:eastAsia="宋体"/>
          <w:color w:val="auto"/>
          <w:sz w:val="24"/>
          <w:highlight w:val="none"/>
        </w:rPr>
        <w:t>供应商</w:t>
      </w:r>
      <w:r>
        <w:rPr>
          <w:rFonts w:ascii="宋体" w:hAnsi="宋体" w:eastAsia="宋体"/>
          <w:color w:val="auto"/>
          <w:sz w:val="24"/>
          <w:highlight w:val="none"/>
        </w:rPr>
        <w:t>须知前附表”</w:t>
      </w:r>
      <w:r>
        <w:rPr>
          <w:rFonts w:hint="eastAsia" w:ascii="宋体" w:hAnsi="宋体" w:eastAsia="宋体"/>
          <w:color w:val="auto"/>
          <w:sz w:val="24"/>
          <w:highlight w:val="none"/>
        </w:rPr>
        <w:t>。</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10.1.2 商务技术文件：</w:t>
      </w:r>
      <w:r>
        <w:rPr>
          <w:rFonts w:ascii="宋体" w:hAnsi="宋体" w:eastAsia="宋体"/>
          <w:color w:val="auto"/>
          <w:sz w:val="24"/>
          <w:highlight w:val="none"/>
        </w:rPr>
        <w:t>具体材料见“</w:t>
      </w:r>
      <w:r>
        <w:rPr>
          <w:rFonts w:hint="eastAsia" w:ascii="宋体" w:hAnsi="宋体" w:eastAsia="宋体"/>
          <w:color w:val="auto"/>
          <w:sz w:val="24"/>
          <w:highlight w:val="none"/>
        </w:rPr>
        <w:t>供应商</w:t>
      </w:r>
      <w:r>
        <w:rPr>
          <w:rFonts w:ascii="宋体" w:hAnsi="宋体" w:eastAsia="宋体"/>
          <w:color w:val="auto"/>
          <w:sz w:val="24"/>
          <w:highlight w:val="none"/>
        </w:rPr>
        <w:t>须知前附表”</w:t>
      </w:r>
      <w:r>
        <w:rPr>
          <w:rFonts w:hint="eastAsia" w:ascii="宋体" w:hAnsi="宋体" w:eastAsia="宋体"/>
          <w:color w:val="auto"/>
          <w:sz w:val="24"/>
          <w:highlight w:val="none"/>
        </w:rPr>
        <w:t>。</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10.1.3 响应文件电子版：</w:t>
      </w:r>
      <w:r>
        <w:rPr>
          <w:rFonts w:ascii="宋体" w:hAnsi="宋体" w:eastAsia="宋体"/>
          <w:color w:val="auto"/>
          <w:sz w:val="24"/>
          <w:highlight w:val="none"/>
        </w:rPr>
        <w:t>具体材料见“</w:t>
      </w:r>
      <w:r>
        <w:rPr>
          <w:rFonts w:hint="eastAsia" w:ascii="宋体" w:hAnsi="宋体" w:eastAsia="宋体"/>
          <w:color w:val="auto"/>
          <w:sz w:val="24"/>
          <w:highlight w:val="none"/>
        </w:rPr>
        <w:t>供应商</w:t>
      </w:r>
      <w:r>
        <w:rPr>
          <w:rFonts w:ascii="宋体" w:hAnsi="宋体" w:eastAsia="宋体"/>
          <w:color w:val="auto"/>
          <w:sz w:val="24"/>
          <w:highlight w:val="none"/>
        </w:rPr>
        <w:t>须知前附表”</w:t>
      </w:r>
      <w:r>
        <w:rPr>
          <w:rFonts w:hint="eastAsia" w:ascii="宋体" w:hAnsi="宋体" w:eastAsia="宋体"/>
          <w:color w:val="auto"/>
          <w:sz w:val="24"/>
          <w:highlight w:val="none"/>
        </w:rPr>
        <w:t>。</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10.2 供应商应按照采购人提供的响应文件格式和顺序，自行编制响应文件，响应文件应包含本须知第10.1条中规定的内容，但表格可以按同样格式扩展。</w:t>
      </w:r>
      <w:bookmarkStart w:id="66" w:name="_Toc219773118"/>
    </w:p>
    <w:bookmarkEnd w:id="66"/>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11. 谈判报价</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11.1响应文件中的报价均采用人民币表示。谈判报价应按谈判文件中相关附表格式填写。</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11.2</w:t>
      </w:r>
      <w:r>
        <w:rPr>
          <w:rFonts w:hint="eastAsia" w:ascii="宋体" w:hAnsi="宋体" w:eastAsia="宋体" w:cs="Arial"/>
          <w:color w:val="auto"/>
          <w:sz w:val="24"/>
          <w:highlight w:val="none"/>
        </w:rPr>
        <w:t>最后谈判报价是履行合同的最终价格。应包括第三章“</w:t>
      </w:r>
      <w:r>
        <w:rPr>
          <w:rFonts w:hint="eastAsia" w:ascii="宋体" w:hAnsi="宋体" w:eastAsia="宋体"/>
          <w:color w:val="auto"/>
          <w:sz w:val="24"/>
          <w:highlight w:val="none"/>
        </w:rPr>
        <w:t>项目采购需求和说明</w:t>
      </w:r>
      <w:r>
        <w:rPr>
          <w:rFonts w:hint="eastAsia" w:ascii="宋体" w:hAnsi="宋体" w:eastAsia="宋体" w:cs="Arial"/>
          <w:color w:val="auto"/>
          <w:sz w:val="24"/>
          <w:highlight w:val="none"/>
        </w:rPr>
        <w:t>”规定的各项价格</w:t>
      </w:r>
      <w:r>
        <w:rPr>
          <w:rFonts w:hint="eastAsia" w:ascii="宋体" w:hAnsi="宋体" w:eastAsia="宋体"/>
          <w:color w:val="auto"/>
          <w:sz w:val="24"/>
          <w:highlight w:val="none"/>
        </w:rPr>
        <w:t>。若无特殊规定，报价包含完成本项目所有内容所需的一</w:t>
      </w:r>
      <w:r>
        <w:rPr>
          <w:rFonts w:hint="eastAsia" w:ascii="宋体" w:hAnsi="宋体" w:eastAsia="宋体" w:cs="Arial"/>
          <w:color w:val="auto"/>
          <w:sz w:val="24"/>
          <w:highlight w:val="none"/>
        </w:rPr>
        <w:t>切费用（包括但不限于货物、货物标准附件、备品备件、专用工具、设备安装辅材、施工辅材、包装、运输、装卸、保险、货到就位的各种费用以及安装、调试、本采购文件所列设备材料需进行补充完善才能完成本项目的或实际采购中产品材料有任何遗漏的费用（含本项目需要但本文件中未列出的设备材料）、税金、售后服务、技术培训及其他所有成本费用，以及合同明示或暗示的所有责任</w:t>
      </w:r>
      <w:r>
        <w:rPr>
          <w:rFonts w:hint="eastAsia" w:ascii="宋体" w:hAnsi="宋体" w:eastAsia="宋体"/>
          <w:color w:val="auto"/>
          <w:sz w:val="24"/>
          <w:highlight w:val="none"/>
        </w:rPr>
        <w:t>、义务和一般风险等一切费用。</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11.3对于本文件中未列明，而供应商认为必需的费用也需列入总报价。在合同实施时，采购人将不予支付成交供应商没有列入的项目费用，并认为此项目的费用已包括在总报价中。</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11.4供应商必须就所竞项目（或分标）的全部内容作完整唯一报价，漏项报价的或有选择的或有条件的报价，其竞标将视为无效。</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11.5供应商的报价超出采购预算价或最高限价（如有）的，其竞标无效。</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12. 响应有效期</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12.1在供应商须知前附表规定的响应有效期内，供应商不得要求撤销或修改其响应文件。</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12.2 出现特殊情况需要延长响应有效期的，采购人以书面形式通知所有供应商延长响应有效期。供应商同意延长的，应相应延长其谈判保证金的有效期，但不得要求或被允许修改或撤销其响应文件；供应商拒绝延长的，其报价失效，但供应商有权收回其谈判保证金。</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13. 谈判保证金</w:t>
      </w:r>
    </w:p>
    <w:p>
      <w:pPr>
        <w:spacing w:after="0" w:line="400" w:lineRule="exact"/>
        <w:ind w:firstLine="480" w:firstLineChars="200"/>
        <w:rPr>
          <w:rFonts w:ascii="宋体" w:hAnsi="宋体" w:eastAsia="宋体"/>
          <w:b/>
          <w:color w:val="auto"/>
          <w:sz w:val="24"/>
          <w:highlight w:val="none"/>
        </w:rPr>
      </w:pPr>
      <w:r>
        <w:rPr>
          <w:rFonts w:hint="eastAsia" w:ascii="宋体" w:hAnsi="宋体" w:eastAsia="宋体"/>
          <w:color w:val="auto"/>
          <w:sz w:val="24"/>
          <w:highlight w:val="none"/>
        </w:rPr>
        <w:t>13.1 供应商应按供应商须知前附表规定的数额、方式要求交纳谈判保证金，</w:t>
      </w:r>
      <w:r>
        <w:rPr>
          <w:rFonts w:hint="eastAsia" w:ascii="宋体" w:hAnsi="宋体" w:eastAsia="宋体"/>
          <w:b/>
          <w:color w:val="auto"/>
          <w:sz w:val="24"/>
          <w:highlight w:val="none"/>
        </w:rPr>
        <w:t>否则其竞标无效。</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13.2办理谈判保证金手续时，请务必在银行进账单或电汇单的用途或空白栏上注明项目名称或采购编号，以免耽误谈判。对未按采购文件要求缴纳谈判保证金的响应文件，采购代理机构将视其为不响应谈判条件而予以拒绝。</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13.3</w:t>
      </w:r>
      <w:r>
        <w:rPr>
          <w:rFonts w:hint="eastAsia" w:ascii="宋体" w:hAnsi="宋体" w:eastAsia="宋体" w:cs="Arial"/>
          <w:color w:val="auto"/>
          <w:sz w:val="24"/>
          <w:highlight w:val="none"/>
        </w:rPr>
        <w:t>未成交供应商的谈判保证金在成交通知书发出后5个工作日内退还</w:t>
      </w:r>
      <w:r>
        <w:rPr>
          <w:rFonts w:hint="eastAsia" w:ascii="宋体" w:hAnsi="宋体" w:eastAsia="宋体"/>
          <w:color w:val="auto"/>
          <w:sz w:val="24"/>
          <w:highlight w:val="none"/>
        </w:rPr>
        <w:t>（不计利息）。成交人的谈判保证金，在成交人与采购人签订合同后 5个工作日内退还。谈判保证金一律以转账方式退还，不计利息。</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13.4 如供应商有下列情形之一的，其谈判保证金将不予退还：</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（一）供应商在提交响应文件截止时间后撤回响应文件的；</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（二）供应商在响应文件中提供虚假材料的；</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（三）除因不可抗力或谈判文件认可的情形以外，成交供应商不与采购人签订合同的；</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（四）供应商与采购人、其他供应商或者采购代理机构恶意串通的；</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（五）成交人在收到成交通知书后，未按竞争性谈判文件规定提交履约保证金；</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s="Arial"/>
          <w:color w:val="auto"/>
          <w:sz w:val="24"/>
          <w:highlight w:val="none"/>
        </w:rPr>
        <w:t>（六）法律法规</w:t>
      </w:r>
      <w:r>
        <w:rPr>
          <w:rFonts w:ascii="宋体" w:hAnsi="宋体" w:eastAsia="宋体" w:cs="Arial"/>
          <w:color w:val="auto"/>
          <w:sz w:val="24"/>
          <w:highlight w:val="none"/>
        </w:rPr>
        <w:t>规定的其他情形</w:t>
      </w:r>
      <w:r>
        <w:rPr>
          <w:rFonts w:hint="eastAsia" w:ascii="宋体" w:hAnsi="宋体" w:eastAsia="宋体" w:cs="Arial"/>
          <w:color w:val="auto"/>
          <w:sz w:val="24"/>
          <w:highlight w:val="none"/>
        </w:rPr>
        <w:t>。</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14. 响应文件编制</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14.1 响应文件应按第六章“响应文件格式”进行编写，如有必要，可以增加附页，作为响应文件的组成部分。</w:t>
      </w:r>
    </w:p>
    <w:p>
      <w:pPr>
        <w:spacing w:after="0" w:line="400" w:lineRule="exact"/>
        <w:ind w:firstLine="480" w:firstLineChars="200"/>
        <w:rPr>
          <w:rFonts w:ascii="宋体" w:hAnsi="宋体" w:eastAsia="宋体"/>
          <w:color w:val="auto"/>
          <w:sz w:val="24"/>
          <w:highlight w:val="none"/>
        </w:rPr>
      </w:pPr>
      <w:r>
        <w:rPr>
          <w:rFonts w:ascii="宋体" w:hAnsi="宋体" w:eastAsia="宋体"/>
          <w:color w:val="auto"/>
          <w:sz w:val="24"/>
          <w:highlight w:val="none"/>
        </w:rPr>
        <w:t xml:space="preserve">14.2 </w:t>
      </w:r>
      <w:r>
        <w:rPr>
          <w:rFonts w:hint="eastAsia" w:ascii="宋体" w:hAnsi="宋体" w:eastAsia="宋体"/>
          <w:color w:val="auto"/>
          <w:sz w:val="24"/>
          <w:highlight w:val="none"/>
        </w:rPr>
        <w:t>供应商应按本文件规定的格式和顺序编制、装订响应文件并编制完整的页码、目录，响应文件内容不完整、编排混乱导致响应文件被误读、漏读或者查找不到相关内容，后果由供应商自行负责。</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14.3 响应文件应无涂改、行间插字或删除，如果出现上述情况，改动之处应加盖单位章或由供应商的法定代表人或其授权的代理人签字确认。响应文件因字迹潦草或表达不清所引起的后果由供应商负责。</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14.4 响应文件正本一份，副本份数见供应商须知前附表。正本和副本的封面上应清楚地标记“正本”或“副本”的字样。</w:t>
      </w:r>
      <w:r>
        <w:rPr>
          <w:rFonts w:hint="eastAsia" w:ascii="宋体" w:hAnsi="宋体" w:eastAsia="宋体"/>
          <w:b/>
          <w:color w:val="auto"/>
          <w:sz w:val="24"/>
          <w:highlight w:val="none"/>
        </w:rPr>
        <w:t>副本可为已按要求签字盖章的正本的复印件</w:t>
      </w:r>
      <w:r>
        <w:rPr>
          <w:rFonts w:hint="eastAsia" w:ascii="宋体" w:hAnsi="宋体" w:eastAsia="宋体"/>
          <w:color w:val="auto"/>
          <w:sz w:val="24"/>
          <w:highlight w:val="none"/>
        </w:rPr>
        <w:t>，当副本和正本不一致时，以正本为准。</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14.5响应文件的正本与副本应分别装订成册，并编制目录和页码。</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15. 响应文件的密封和标识</w:t>
      </w:r>
    </w:p>
    <w:p>
      <w:pPr>
        <w:spacing w:after="0" w:line="400" w:lineRule="exact"/>
        <w:ind w:firstLine="488" w:firstLineChars="200"/>
        <w:rPr>
          <w:rFonts w:ascii="宋体" w:hAnsi="宋体" w:eastAsia="宋体"/>
          <w:color w:val="auto"/>
          <w:sz w:val="24"/>
          <w:highlight w:val="none"/>
        </w:rPr>
      </w:pPr>
      <w:r>
        <w:rPr>
          <w:rFonts w:hint="eastAsia" w:ascii="宋体" w:hAnsi="宋体" w:eastAsia="宋体" w:cs="Courier New"/>
          <w:color w:val="auto"/>
          <w:spacing w:val="2"/>
          <w:sz w:val="24"/>
          <w:highlight w:val="none"/>
        </w:rPr>
        <w:t>15.1 将响应文件</w:t>
      </w:r>
      <w:r>
        <w:rPr>
          <w:rFonts w:hint="eastAsia" w:ascii="宋体" w:hAnsi="宋体" w:eastAsia="宋体" w:cs="宋体"/>
          <w:color w:val="auto"/>
          <w:sz w:val="24"/>
          <w:highlight w:val="none"/>
        </w:rPr>
        <w:t>“价格文件”书面版本</w:t>
      </w:r>
      <w:r>
        <w:rPr>
          <w:rFonts w:hint="eastAsia" w:ascii="宋体" w:hAnsi="宋体" w:eastAsia="宋体" w:cs="Courier New"/>
          <w:color w:val="auto"/>
          <w:spacing w:val="2"/>
          <w:sz w:val="24"/>
          <w:highlight w:val="none"/>
        </w:rPr>
        <w:t>的正本和全部副本</w:t>
      </w:r>
      <w:r>
        <w:rPr>
          <w:rFonts w:hint="eastAsia" w:ascii="宋体" w:hAnsi="宋体" w:eastAsia="宋体"/>
          <w:color w:val="auto"/>
          <w:sz w:val="24"/>
          <w:highlight w:val="none"/>
        </w:rPr>
        <w:t>密封在一个包封内。</w:t>
      </w:r>
      <w:r>
        <w:rPr>
          <w:rFonts w:hint="eastAsia" w:ascii="宋体" w:hAnsi="宋体" w:eastAsia="宋体" w:cs="Courier New"/>
          <w:color w:val="auto"/>
          <w:spacing w:val="2"/>
          <w:sz w:val="24"/>
          <w:highlight w:val="none"/>
        </w:rPr>
        <w:t>内层包封上应写明“</w:t>
      </w:r>
      <w:r>
        <w:rPr>
          <w:rFonts w:hint="eastAsia" w:ascii="宋体" w:hAnsi="宋体" w:eastAsia="宋体" w:cs="宋体"/>
          <w:color w:val="auto"/>
          <w:sz w:val="24"/>
          <w:highlight w:val="none"/>
        </w:rPr>
        <w:t>价格文件、</w:t>
      </w:r>
      <w:r>
        <w:rPr>
          <w:rFonts w:hint="eastAsia" w:ascii="宋体" w:hAnsi="宋体" w:eastAsia="宋体" w:cs="Courier New"/>
          <w:color w:val="auto"/>
          <w:spacing w:val="2"/>
          <w:sz w:val="24"/>
          <w:highlight w:val="none"/>
        </w:rPr>
        <w:t>供应商名称和地址、项目名称、采购编号”</w:t>
      </w:r>
      <w:r>
        <w:rPr>
          <w:rFonts w:hint="eastAsia" w:ascii="宋体" w:hAnsi="宋体" w:eastAsia="宋体"/>
          <w:color w:val="auto"/>
          <w:sz w:val="24"/>
          <w:highlight w:val="none"/>
        </w:rPr>
        <w:t>字样；</w:t>
      </w:r>
    </w:p>
    <w:p>
      <w:pPr>
        <w:spacing w:after="0" w:line="400" w:lineRule="exact"/>
        <w:ind w:firstLine="488" w:firstLineChars="200"/>
        <w:rPr>
          <w:rFonts w:ascii="宋体" w:hAnsi="宋体" w:eastAsia="宋体"/>
          <w:color w:val="auto"/>
          <w:sz w:val="24"/>
          <w:highlight w:val="none"/>
        </w:rPr>
      </w:pPr>
      <w:r>
        <w:rPr>
          <w:rFonts w:hint="eastAsia" w:ascii="宋体" w:hAnsi="宋体" w:eastAsia="宋体" w:cs="Courier New"/>
          <w:color w:val="auto"/>
          <w:spacing w:val="2"/>
          <w:sz w:val="24"/>
          <w:highlight w:val="none"/>
        </w:rPr>
        <w:t>15.2 将响应文件</w:t>
      </w:r>
      <w:r>
        <w:rPr>
          <w:rFonts w:hint="eastAsia" w:ascii="宋体" w:hAnsi="宋体" w:eastAsia="宋体" w:cs="宋体"/>
          <w:color w:val="auto"/>
          <w:sz w:val="24"/>
          <w:highlight w:val="none"/>
        </w:rPr>
        <w:t>“商务技术文件”书面版本</w:t>
      </w:r>
      <w:r>
        <w:rPr>
          <w:rFonts w:hint="eastAsia" w:ascii="宋体" w:hAnsi="宋体" w:eastAsia="宋体" w:cs="Courier New"/>
          <w:color w:val="auto"/>
          <w:spacing w:val="2"/>
          <w:sz w:val="24"/>
          <w:highlight w:val="none"/>
        </w:rPr>
        <w:t>的正本和全部副本</w:t>
      </w:r>
      <w:r>
        <w:rPr>
          <w:rFonts w:hint="eastAsia" w:ascii="宋体" w:hAnsi="宋体" w:eastAsia="宋体"/>
          <w:color w:val="auto"/>
          <w:sz w:val="24"/>
          <w:highlight w:val="none"/>
        </w:rPr>
        <w:t>密封在一个包封内。</w:t>
      </w:r>
      <w:r>
        <w:rPr>
          <w:rFonts w:hint="eastAsia" w:ascii="宋体" w:hAnsi="宋体" w:eastAsia="宋体" w:cs="Courier New"/>
          <w:color w:val="auto"/>
          <w:spacing w:val="2"/>
          <w:sz w:val="24"/>
          <w:highlight w:val="none"/>
        </w:rPr>
        <w:t>内层包封上应写明“</w:t>
      </w:r>
      <w:r>
        <w:rPr>
          <w:rFonts w:hint="eastAsia" w:ascii="宋体" w:hAnsi="宋体" w:eastAsia="宋体" w:cs="宋体"/>
          <w:color w:val="auto"/>
          <w:sz w:val="24"/>
          <w:highlight w:val="none"/>
        </w:rPr>
        <w:t>商务技术文件、</w:t>
      </w:r>
      <w:r>
        <w:rPr>
          <w:rFonts w:hint="eastAsia" w:ascii="宋体" w:hAnsi="宋体" w:eastAsia="宋体" w:cs="Courier New"/>
          <w:color w:val="auto"/>
          <w:spacing w:val="2"/>
          <w:sz w:val="24"/>
          <w:highlight w:val="none"/>
        </w:rPr>
        <w:t>供应商名称和地址、项目名称、采购编号”</w:t>
      </w:r>
      <w:r>
        <w:rPr>
          <w:rFonts w:hint="eastAsia" w:ascii="宋体" w:hAnsi="宋体" w:eastAsia="宋体"/>
          <w:color w:val="auto"/>
          <w:sz w:val="24"/>
          <w:highlight w:val="none"/>
        </w:rPr>
        <w:t>字样；</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 xml:space="preserve">15.3 </w:t>
      </w:r>
      <w:r>
        <w:rPr>
          <w:rFonts w:hint="eastAsia" w:ascii="宋体" w:hAnsi="宋体" w:eastAsia="宋体"/>
          <w:bCs/>
          <w:color w:val="auto"/>
          <w:sz w:val="24"/>
          <w:highlight w:val="none"/>
        </w:rPr>
        <w:t>将</w:t>
      </w:r>
      <w:r>
        <w:rPr>
          <w:rFonts w:hint="eastAsia" w:ascii="宋体" w:hAnsi="宋体" w:eastAsia="宋体"/>
          <w:color w:val="auto"/>
          <w:sz w:val="24"/>
          <w:highlight w:val="none"/>
        </w:rPr>
        <w:t>响应文件电子版U盘单独包封，包封上标明“响应文件电子版、</w:t>
      </w:r>
      <w:r>
        <w:rPr>
          <w:rFonts w:hint="eastAsia" w:ascii="宋体" w:hAnsi="宋体" w:eastAsia="宋体" w:cs="Courier New"/>
          <w:color w:val="auto"/>
          <w:spacing w:val="2"/>
          <w:sz w:val="24"/>
          <w:highlight w:val="none"/>
        </w:rPr>
        <w:t>供应商名称和地址、项目名称、采购编号</w:t>
      </w:r>
      <w:r>
        <w:rPr>
          <w:rFonts w:hint="eastAsia" w:ascii="宋体" w:hAnsi="宋体" w:eastAsia="宋体"/>
          <w:color w:val="auto"/>
          <w:sz w:val="24"/>
          <w:highlight w:val="none"/>
        </w:rPr>
        <w:t>”；</w:t>
      </w:r>
    </w:p>
    <w:p>
      <w:pPr>
        <w:spacing w:after="0" w:line="400" w:lineRule="exact"/>
        <w:ind w:firstLine="488" w:firstLineChars="200"/>
        <w:rPr>
          <w:rFonts w:ascii="宋体" w:hAnsi="宋体" w:eastAsia="宋体"/>
          <w:color w:val="auto"/>
          <w:sz w:val="24"/>
          <w:highlight w:val="none"/>
        </w:rPr>
      </w:pPr>
      <w:r>
        <w:rPr>
          <w:rFonts w:hint="eastAsia" w:ascii="宋体" w:hAnsi="宋体" w:eastAsia="宋体" w:cs="Courier New"/>
          <w:color w:val="auto"/>
          <w:spacing w:val="2"/>
          <w:sz w:val="24"/>
          <w:highlight w:val="none"/>
        </w:rPr>
        <w:t xml:space="preserve">15.4 </w:t>
      </w:r>
      <w:r>
        <w:rPr>
          <w:rFonts w:hint="eastAsia" w:ascii="宋体" w:hAnsi="宋体" w:eastAsia="宋体"/>
          <w:color w:val="auto"/>
          <w:sz w:val="24"/>
          <w:highlight w:val="none"/>
        </w:rPr>
        <w:t>将按上述第15.1项至第15.3项的规定包封好的“</w:t>
      </w:r>
      <w:r>
        <w:rPr>
          <w:rFonts w:hint="eastAsia" w:ascii="宋体" w:hAnsi="宋体" w:eastAsia="宋体" w:cs="宋体"/>
          <w:color w:val="auto"/>
          <w:sz w:val="24"/>
          <w:highlight w:val="none"/>
        </w:rPr>
        <w:t>价格文件</w:t>
      </w:r>
      <w:r>
        <w:rPr>
          <w:rFonts w:hint="eastAsia" w:ascii="宋体" w:hAnsi="宋体" w:eastAsia="宋体"/>
          <w:color w:val="auto"/>
          <w:sz w:val="24"/>
          <w:highlight w:val="none"/>
        </w:rPr>
        <w:t>”、“</w:t>
      </w:r>
      <w:r>
        <w:rPr>
          <w:rFonts w:hint="eastAsia" w:ascii="宋体" w:hAnsi="宋体" w:eastAsia="宋体" w:cs="宋体"/>
          <w:color w:val="auto"/>
          <w:sz w:val="24"/>
          <w:highlight w:val="none"/>
        </w:rPr>
        <w:t>商务技术文件</w:t>
      </w:r>
      <w:r>
        <w:rPr>
          <w:rFonts w:hint="eastAsia" w:ascii="宋体" w:hAnsi="宋体" w:eastAsia="宋体"/>
          <w:color w:val="auto"/>
          <w:sz w:val="24"/>
          <w:highlight w:val="none"/>
        </w:rPr>
        <w:t>”和“响应文件电子版U盘”全部密封在一个外层包封内</w:t>
      </w:r>
      <w:r>
        <w:rPr>
          <w:rFonts w:hint="eastAsia" w:ascii="宋体" w:hAnsi="宋体" w:eastAsia="宋体" w:cs="Courier New"/>
          <w:color w:val="auto"/>
          <w:spacing w:val="2"/>
          <w:sz w:val="24"/>
          <w:highlight w:val="none"/>
        </w:rPr>
        <w:t>（即采用双层包封法密封）</w:t>
      </w:r>
      <w:r>
        <w:rPr>
          <w:rFonts w:hint="eastAsia" w:ascii="宋体" w:hAnsi="宋体" w:eastAsia="宋体"/>
          <w:color w:val="auto"/>
          <w:sz w:val="24"/>
          <w:highlight w:val="none"/>
        </w:rPr>
        <w:t>。在外层包封上写明</w:t>
      </w:r>
      <w:r>
        <w:rPr>
          <w:rFonts w:hint="eastAsia" w:ascii="宋体" w:hAnsi="宋体" w:eastAsia="宋体" w:cs="Arial"/>
          <w:color w:val="auto"/>
          <w:sz w:val="24"/>
          <w:highlight w:val="none"/>
        </w:rPr>
        <w:t>供应商名称、供应商地址、项目名称、采购编号、分包号或标段号（如有）等字样，并加盖供应商公章。</w:t>
      </w:r>
    </w:p>
    <w:p>
      <w:pPr>
        <w:spacing w:after="0" w:line="400" w:lineRule="exact"/>
        <w:ind w:firstLine="490" w:firstLineChars="200"/>
        <w:rPr>
          <w:rFonts w:ascii="宋体" w:hAnsi="宋体" w:eastAsia="宋体" w:cs="Courier New"/>
          <w:b/>
          <w:color w:val="auto"/>
          <w:spacing w:val="2"/>
          <w:sz w:val="24"/>
          <w:highlight w:val="none"/>
        </w:rPr>
      </w:pPr>
      <w:r>
        <w:rPr>
          <w:rFonts w:hint="eastAsia" w:ascii="宋体" w:hAnsi="宋体" w:eastAsia="宋体" w:cs="Courier New"/>
          <w:b/>
          <w:color w:val="auto"/>
          <w:spacing w:val="2"/>
          <w:sz w:val="24"/>
          <w:highlight w:val="none"/>
        </w:rPr>
        <w:t>外包封必须加盖供应商公章或由供应商法定代表人（或授权代表）签字以示密封。</w:t>
      </w:r>
    </w:p>
    <w:p>
      <w:pPr>
        <w:spacing w:after="0" w:line="400" w:lineRule="exact"/>
        <w:ind w:firstLine="488" w:firstLineChars="200"/>
        <w:rPr>
          <w:rFonts w:ascii="宋体" w:hAnsi="宋体" w:eastAsia="宋体" w:cs="Courier New"/>
          <w:color w:val="auto"/>
          <w:spacing w:val="2"/>
          <w:sz w:val="24"/>
          <w:highlight w:val="none"/>
        </w:rPr>
      </w:pPr>
      <w:r>
        <w:rPr>
          <w:rFonts w:hint="eastAsia" w:ascii="宋体" w:hAnsi="宋体" w:eastAsia="宋体" w:cs="Courier New"/>
          <w:color w:val="auto"/>
          <w:spacing w:val="2"/>
          <w:sz w:val="24"/>
          <w:highlight w:val="none"/>
        </w:rPr>
        <w:t>15.5 未按本章第15.1条或15.4条要求密封和加写标记，作无效响应文件处理。</w:t>
      </w:r>
    </w:p>
    <w:p>
      <w:pPr>
        <w:spacing w:after="0" w:line="400" w:lineRule="exact"/>
        <w:ind w:firstLine="490" w:firstLineChars="200"/>
        <w:rPr>
          <w:rFonts w:ascii="宋体" w:hAnsi="宋体" w:eastAsia="宋体" w:cs="Courier New"/>
          <w:b/>
          <w:bCs/>
          <w:color w:val="auto"/>
          <w:spacing w:val="2"/>
          <w:sz w:val="24"/>
          <w:highlight w:val="none"/>
        </w:rPr>
      </w:pPr>
      <w:r>
        <w:rPr>
          <w:rFonts w:hint="eastAsia" w:ascii="宋体" w:hAnsi="宋体" w:eastAsia="宋体" w:cs="Courier New"/>
          <w:b/>
          <w:bCs/>
          <w:color w:val="auto"/>
          <w:spacing w:val="2"/>
          <w:sz w:val="24"/>
          <w:highlight w:val="none"/>
        </w:rPr>
        <w:t>16. 响应文件的递交</w:t>
      </w:r>
    </w:p>
    <w:p>
      <w:pPr>
        <w:spacing w:after="0" w:line="400" w:lineRule="exact"/>
        <w:ind w:firstLine="488" w:firstLineChars="200"/>
        <w:rPr>
          <w:rFonts w:ascii="宋体" w:hAnsi="宋体" w:eastAsia="宋体" w:cs="Courier New"/>
          <w:color w:val="auto"/>
          <w:spacing w:val="2"/>
          <w:sz w:val="24"/>
          <w:highlight w:val="none"/>
        </w:rPr>
      </w:pPr>
      <w:r>
        <w:rPr>
          <w:rFonts w:hint="eastAsia" w:ascii="宋体" w:hAnsi="宋体" w:eastAsia="宋体" w:cs="Courier New"/>
          <w:bCs/>
          <w:color w:val="auto"/>
          <w:spacing w:val="2"/>
          <w:sz w:val="24"/>
          <w:highlight w:val="none"/>
        </w:rPr>
        <w:t xml:space="preserve">16.1 </w:t>
      </w:r>
      <w:r>
        <w:rPr>
          <w:rFonts w:hint="eastAsia" w:ascii="宋体" w:hAnsi="宋体" w:eastAsia="宋体" w:cs="Courier New"/>
          <w:color w:val="auto"/>
          <w:spacing w:val="2"/>
          <w:sz w:val="24"/>
          <w:highlight w:val="none"/>
        </w:rPr>
        <w:t>供应商应在</w:t>
      </w:r>
      <w:r>
        <w:rPr>
          <w:rFonts w:hint="eastAsia" w:ascii="宋体" w:hAnsi="宋体" w:eastAsia="宋体"/>
          <w:color w:val="auto"/>
          <w:sz w:val="24"/>
          <w:highlight w:val="none"/>
        </w:rPr>
        <w:t>供应商须知前附表</w:t>
      </w:r>
      <w:r>
        <w:rPr>
          <w:rFonts w:hint="eastAsia" w:ascii="宋体" w:hAnsi="宋体" w:eastAsia="宋体" w:cs="Courier New"/>
          <w:color w:val="auto"/>
          <w:spacing w:val="2"/>
          <w:sz w:val="24"/>
          <w:highlight w:val="none"/>
        </w:rPr>
        <w:t>规定的截止时间前递交响应文件。凡逾期送达的响应文件将视为无效响应文件处理。</w:t>
      </w:r>
    </w:p>
    <w:p>
      <w:pPr>
        <w:spacing w:after="0" w:line="400" w:lineRule="exact"/>
        <w:ind w:firstLine="488" w:firstLineChars="200"/>
        <w:rPr>
          <w:rFonts w:ascii="宋体" w:hAnsi="宋体" w:eastAsia="宋体" w:cs="Courier New"/>
          <w:bCs/>
          <w:color w:val="auto"/>
          <w:spacing w:val="2"/>
          <w:sz w:val="24"/>
          <w:highlight w:val="none"/>
        </w:rPr>
      </w:pPr>
      <w:r>
        <w:rPr>
          <w:rFonts w:hint="eastAsia" w:ascii="宋体" w:hAnsi="宋体" w:eastAsia="宋体" w:cs="Courier New"/>
          <w:bCs/>
          <w:color w:val="auto"/>
          <w:spacing w:val="2"/>
          <w:sz w:val="24"/>
          <w:highlight w:val="none"/>
        </w:rPr>
        <w:t>16.2 供应商按</w:t>
      </w:r>
      <w:r>
        <w:rPr>
          <w:rFonts w:hint="eastAsia" w:ascii="宋体" w:hAnsi="宋体" w:eastAsia="宋体"/>
          <w:color w:val="auto"/>
          <w:sz w:val="24"/>
          <w:highlight w:val="none"/>
        </w:rPr>
        <w:t>供应商须知前附表</w:t>
      </w:r>
      <w:r>
        <w:rPr>
          <w:rFonts w:hint="eastAsia" w:ascii="宋体" w:hAnsi="宋体" w:eastAsia="宋体" w:cs="Courier New"/>
          <w:color w:val="auto"/>
          <w:spacing w:val="2"/>
          <w:sz w:val="24"/>
          <w:highlight w:val="none"/>
        </w:rPr>
        <w:t>规定的地点</w:t>
      </w:r>
      <w:r>
        <w:rPr>
          <w:rFonts w:hint="eastAsia" w:ascii="宋体" w:hAnsi="宋体" w:eastAsia="宋体" w:cs="Courier New"/>
          <w:bCs/>
          <w:color w:val="auto"/>
          <w:spacing w:val="2"/>
          <w:sz w:val="24"/>
          <w:highlight w:val="none"/>
        </w:rPr>
        <w:t>递交响应文件，并由采购人或采购代理机构</w:t>
      </w:r>
      <w:r>
        <w:rPr>
          <w:rFonts w:hint="eastAsia" w:ascii="宋体" w:hAnsi="宋体" w:eastAsia="宋体" w:cs="Courier New"/>
          <w:color w:val="auto"/>
          <w:spacing w:val="2"/>
          <w:sz w:val="24"/>
          <w:highlight w:val="none"/>
        </w:rPr>
        <w:t>签收</w:t>
      </w:r>
      <w:r>
        <w:rPr>
          <w:rFonts w:hint="eastAsia" w:ascii="宋体" w:hAnsi="宋体" w:eastAsia="宋体" w:cs="Courier New"/>
          <w:b/>
          <w:color w:val="auto"/>
          <w:spacing w:val="2"/>
          <w:sz w:val="24"/>
          <w:highlight w:val="none"/>
        </w:rPr>
        <w:t>。</w:t>
      </w:r>
    </w:p>
    <w:p>
      <w:pPr>
        <w:spacing w:after="0" w:line="400" w:lineRule="exact"/>
        <w:ind w:firstLine="488" w:firstLineChars="200"/>
        <w:rPr>
          <w:rFonts w:ascii="宋体" w:hAnsi="宋体" w:eastAsia="宋体" w:cs="Courier New"/>
          <w:bCs/>
          <w:color w:val="auto"/>
          <w:spacing w:val="2"/>
          <w:sz w:val="24"/>
          <w:highlight w:val="none"/>
        </w:rPr>
      </w:pPr>
      <w:r>
        <w:rPr>
          <w:rFonts w:hint="eastAsia" w:ascii="宋体" w:hAnsi="宋体" w:eastAsia="宋体" w:cs="Courier New"/>
          <w:bCs/>
          <w:color w:val="auto"/>
          <w:spacing w:val="2"/>
          <w:sz w:val="24"/>
          <w:highlight w:val="none"/>
        </w:rPr>
        <w:t>16.3 除竞争性谈判文件另有规定外，供应商所递交的响应文件不予退还。</w:t>
      </w:r>
    </w:p>
    <w:p>
      <w:pPr>
        <w:spacing w:after="0" w:line="400" w:lineRule="exact"/>
        <w:ind w:firstLine="488" w:firstLineChars="200"/>
        <w:rPr>
          <w:rFonts w:ascii="宋体" w:hAnsi="宋体" w:eastAsia="宋体" w:cs="Courier New"/>
          <w:bCs/>
          <w:color w:val="auto"/>
          <w:spacing w:val="2"/>
          <w:sz w:val="24"/>
          <w:highlight w:val="none"/>
        </w:rPr>
      </w:pPr>
      <w:r>
        <w:rPr>
          <w:rFonts w:hint="eastAsia" w:ascii="宋体" w:hAnsi="宋体" w:eastAsia="宋体" w:cs="Courier New"/>
          <w:bCs/>
          <w:color w:val="auto"/>
          <w:spacing w:val="2"/>
          <w:sz w:val="24"/>
          <w:highlight w:val="none"/>
        </w:rPr>
        <w:t>16.4 逾期送达的或者未送达指定地点的响应文件，</w:t>
      </w:r>
      <w:r>
        <w:rPr>
          <w:rFonts w:hint="eastAsia" w:ascii="宋体" w:hAnsi="宋体" w:eastAsia="宋体" w:cs="Courier New"/>
          <w:color w:val="auto"/>
          <w:spacing w:val="2"/>
          <w:sz w:val="24"/>
          <w:highlight w:val="none"/>
        </w:rPr>
        <w:t>采购代理机构将拒绝接收</w:t>
      </w:r>
      <w:r>
        <w:rPr>
          <w:rFonts w:hint="eastAsia" w:ascii="宋体" w:hAnsi="宋体" w:eastAsia="宋体" w:cs="Courier New"/>
          <w:bCs/>
          <w:color w:val="auto"/>
          <w:spacing w:val="2"/>
          <w:sz w:val="24"/>
          <w:highlight w:val="none"/>
        </w:rPr>
        <w:t>。</w:t>
      </w:r>
    </w:p>
    <w:p>
      <w:pPr>
        <w:spacing w:after="0" w:line="400" w:lineRule="exact"/>
        <w:ind w:firstLine="490" w:firstLineChars="200"/>
        <w:rPr>
          <w:rFonts w:ascii="宋体" w:hAnsi="宋体" w:eastAsia="宋体" w:cs="Courier New"/>
          <w:b/>
          <w:bCs/>
          <w:color w:val="auto"/>
          <w:spacing w:val="2"/>
          <w:sz w:val="24"/>
          <w:highlight w:val="none"/>
        </w:rPr>
      </w:pPr>
      <w:r>
        <w:rPr>
          <w:rFonts w:hint="eastAsia" w:ascii="宋体" w:hAnsi="宋体" w:eastAsia="宋体" w:cs="Courier New"/>
          <w:b/>
          <w:bCs/>
          <w:color w:val="auto"/>
          <w:spacing w:val="2"/>
          <w:sz w:val="24"/>
          <w:highlight w:val="none"/>
        </w:rPr>
        <w:t>17. 响应文件的修改和撤回</w:t>
      </w:r>
    </w:p>
    <w:p>
      <w:pPr>
        <w:spacing w:after="0" w:line="400" w:lineRule="exact"/>
        <w:ind w:firstLine="488" w:firstLineChars="200"/>
        <w:rPr>
          <w:rFonts w:ascii="宋体" w:hAnsi="宋体" w:eastAsia="宋体" w:cs="Courier New"/>
          <w:color w:val="auto"/>
          <w:spacing w:val="2"/>
          <w:sz w:val="24"/>
          <w:highlight w:val="none"/>
        </w:rPr>
      </w:pPr>
      <w:r>
        <w:rPr>
          <w:rFonts w:hint="eastAsia" w:ascii="宋体" w:hAnsi="宋体" w:eastAsia="宋体" w:cs="Courier New"/>
          <w:color w:val="auto"/>
          <w:spacing w:val="2"/>
          <w:sz w:val="24"/>
          <w:highlight w:val="none"/>
        </w:rPr>
        <w:t>17.1 在</w:t>
      </w:r>
      <w:r>
        <w:rPr>
          <w:rFonts w:hint="eastAsia" w:ascii="宋体" w:hAnsi="宋体" w:eastAsia="宋体"/>
          <w:color w:val="auto"/>
          <w:sz w:val="24"/>
          <w:highlight w:val="none"/>
        </w:rPr>
        <w:t>供应商须知前附表</w:t>
      </w:r>
      <w:r>
        <w:rPr>
          <w:rFonts w:hint="eastAsia" w:ascii="宋体" w:hAnsi="宋体" w:eastAsia="宋体" w:cs="Courier New"/>
          <w:color w:val="auto"/>
          <w:spacing w:val="2"/>
          <w:sz w:val="24"/>
          <w:highlight w:val="none"/>
        </w:rPr>
        <w:t>规定的</w:t>
      </w:r>
      <w:r>
        <w:rPr>
          <w:rFonts w:hint="eastAsia" w:ascii="宋体" w:hAnsi="宋体" w:eastAsia="宋体" w:cs="宋体"/>
          <w:color w:val="auto"/>
          <w:sz w:val="24"/>
          <w:highlight w:val="none"/>
        </w:rPr>
        <w:t>递交响应文件</w:t>
      </w:r>
      <w:r>
        <w:rPr>
          <w:rFonts w:hint="eastAsia" w:ascii="宋体" w:hAnsi="宋体" w:eastAsia="宋体" w:cs="Courier New"/>
          <w:color w:val="auto"/>
          <w:spacing w:val="2"/>
          <w:sz w:val="24"/>
          <w:highlight w:val="none"/>
        </w:rPr>
        <w:t>截止时间前，供应商可以修改或撤回已递交的响应文件，但应以书面形式通知采购人或采购代理机构。</w:t>
      </w:r>
    </w:p>
    <w:p>
      <w:pPr>
        <w:spacing w:after="0" w:line="400" w:lineRule="exact"/>
        <w:ind w:firstLine="488" w:firstLineChars="200"/>
        <w:rPr>
          <w:rFonts w:ascii="宋体" w:hAnsi="宋体" w:eastAsia="宋体" w:cs="Courier New"/>
          <w:color w:val="auto"/>
          <w:spacing w:val="2"/>
          <w:sz w:val="24"/>
          <w:highlight w:val="none"/>
        </w:rPr>
      </w:pPr>
      <w:r>
        <w:rPr>
          <w:rFonts w:hint="eastAsia" w:ascii="宋体" w:hAnsi="宋体" w:eastAsia="宋体" w:cs="Courier New"/>
          <w:color w:val="auto"/>
          <w:spacing w:val="2"/>
          <w:sz w:val="24"/>
          <w:highlight w:val="none"/>
        </w:rPr>
        <w:t>17.2 供应商修改或撤回已递交响应文件的书面通知应按照本章第14.3项的要求签字或盖章。采购人或采购代理机构收到书面通知后，向供应商出具签收凭证。</w:t>
      </w:r>
    </w:p>
    <w:p>
      <w:pPr>
        <w:spacing w:after="0" w:line="400" w:lineRule="exact"/>
        <w:ind w:firstLine="488" w:firstLineChars="200"/>
        <w:rPr>
          <w:rFonts w:ascii="宋体" w:hAnsi="宋体" w:eastAsia="宋体" w:cs="Courier New"/>
          <w:color w:val="auto"/>
          <w:spacing w:val="2"/>
          <w:sz w:val="24"/>
          <w:highlight w:val="none"/>
        </w:rPr>
      </w:pPr>
      <w:r>
        <w:rPr>
          <w:rFonts w:hint="eastAsia" w:ascii="宋体" w:hAnsi="宋体" w:eastAsia="宋体" w:cs="Courier New"/>
          <w:color w:val="auto"/>
          <w:spacing w:val="2"/>
          <w:sz w:val="24"/>
          <w:highlight w:val="none"/>
        </w:rPr>
        <w:t>17.3 修改的内容为响应文件的组成部分。修改的响应文件应按照本章第15条、第16条规定进行编制、密封、标记和递交，并标明“修改”字样。</w:t>
      </w:r>
    </w:p>
    <w:p>
      <w:pPr>
        <w:spacing w:after="0" w:line="400" w:lineRule="exact"/>
        <w:ind w:firstLine="490" w:firstLineChars="200"/>
        <w:rPr>
          <w:rFonts w:ascii="宋体" w:hAnsi="宋体" w:eastAsia="宋体" w:cs="Courier New"/>
          <w:b/>
          <w:bCs/>
          <w:color w:val="auto"/>
          <w:spacing w:val="2"/>
          <w:sz w:val="24"/>
          <w:highlight w:val="none"/>
        </w:rPr>
      </w:pPr>
      <w:r>
        <w:rPr>
          <w:rFonts w:hint="eastAsia" w:ascii="宋体" w:hAnsi="宋体" w:eastAsia="宋体" w:cs="Courier New"/>
          <w:b/>
          <w:bCs/>
          <w:color w:val="auto"/>
          <w:spacing w:val="2"/>
          <w:sz w:val="24"/>
          <w:highlight w:val="none"/>
        </w:rPr>
        <w:t>18.响应文件的编写说明</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18.1 响应文件的复印件均须加盖投标单位的公章。</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18.2 供应商在响应文件中提供不真实的材料，都将视为虚假应标，竞谈无效，并承担由此产生的经济与法律责任。</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18.3 供应商在详细报价中，应按竞争性</w:t>
      </w:r>
      <w:r>
        <w:rPr>
          <w:rFonts w:hint="eastAsia" w:ascii="宋体" w:hAnsi="宋体" w:eastAsia="宋体"/>
          <w:color w:val="auto"/>
          <w:sz w:val="24"/>
          <w:highlight w:val="none"/>
          <w:lang w:eastAsia="zh-CN"/>
        </w:rPr>
        <w:t>谈判</w:t>
      </w:r>
      <w:r>
        <w:rPr>
          <w:rFonts w:hint="eastAsia" w:ascii="宋体" w:hAnsi="宋体" w:eastAsia="宋体"/>
          <w:color w:val="auto"/>
          <w:sz w:val="24"/>
          <w:highlight w:val="none"/>
        </w:rPr>
        <w:t>文件提供的《项目采购需求》进行完整报价。</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18.4 报价栏项目中如出现唯一的数字“0”或空白，则视报价为零。</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18.5供应商必须自行承担因其响应文件中的任何错漏而导致的一切后果。</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18.6 响应文件必须用不褪色的墨水书写或打印，响应文件正本和副本除目录外，须由供应商的法定代表人或其委托代理人逐页签署姓名（本页正文内容已由供应商的法定代表人或其委托代理人签署姓名的可不签署）并逐页加盖供应商单位公章（本页正文内容已加盖单位章的除外），否则视为不响应竞争性谈判文件。</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18.7 响应文件的编制、签署及密封和标记等均要求按本须知15、18.6条规定的要求，否则视为未响应竞争性谈判文件要求。</w:t>
      </w:r>
    </w:p>
    <w:p>
      <w:pPr>
        <w:pStyle w:val="24"/>
        <w:rPr>
          <w:color w:val="auto"/>
          <w:highlight w:val="none"/>
        </w:rPr>
      </w:pPr>
    </w:p>
    <w:p>
      <w:pPr>
        <w:pStyle w:val="4"/>
        <w:spacing w:beforeLines="100" w:line="400" w:lineRule="exact"/>
        <w:rPr>
          <w:rFonts w:ascii="宋体" w:hAnsi="宋体" w:eastAsia="宋体"/>
          <w:color w:val="auto"/>
          <w:highlight w:val="none"/>
        </w:rPr>
      </w:pPr>
      <w:bookmarkStart w:id="67" w:name="_Toc26527"/>
      <w:r>
        <w:rPr>
          <w:rFonts w:hint="eastAsia" w:ascii="宋体" w:hAnsi="宋体" w:eastAsia="宋体"/>
          <w:color w:val="auto"/>
          <w:highlight w:val="none"/>
        </w:rPr>
        <w:t>四、谈判与评审</w:t>
      </w:r>
      <w:bookmarkEnd w:id="67"/>
    </w:p>
    <w:p>
      <w:pPr>
        <w:pStyle w:val="19"/>
        <w:spacing w:line="400" w:lineRule="exact"/>
        <w:ind w:firstLine="482" w:firstLineChars="200"/>
        <w:rPr>
          <w:rFonts w:hAnsi="宋体"/>
          <w:b/>
          <w:color w:val="auto"/>
          <w:sz w:val="24"/>
          <w:highlight w:val="none"/>
        </w:rPr>
      </w:pPr>
      <w:r>
        <w:rPr>
          <w:rFonts w:hint="eastAsia" w:hAnsi="宋体"/>
          <w:b/>
          <w:color w:val="auto"/>
          <w:sz w:val="24"/>
          <w:highlight w:val="none"/>
        </w:rPr>
        <w:t>19. 谈判时间和地点</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19.1 采购代理机构将在供应商须知前附表规定的时间和地点组织谈判，供应商的法定代表人或其授权委托人必须持供应商须知前附表规定的证件依时到现场参加谈判，否则作无效响应处理。</w:t>
      </w:r>
    </w:p>
    <w:p>
      <w:pPr>
        <w:pStyle w:val="19"/>
        <w:spacing w:line="400" w:lineRule="exact"/>
        <w:ind w:firstLine="482" w:firstLineChars="200"/>
        <w:rPr>
          <w:rFonts w:hAnsi="宋体"/>
          <w:b/>
          <w:color w:val="auto"/>
          <w:sz w:val="24"/>
          <w:highlight w:val="none"/>
        </w:rPr>
      </w:pPr>
      <w:r>
        <w:rPr>
          <w:rFonts w:hint="eastAsia" w:hAnsi="宋体"/>
          <w:b/>
          <w:color w:val="auto"/>
          <w:sz w:val="24"/>
          <w:highlight w:val="none"/>
        </w:rPr>
        <w:t>20. 谈判小组成立</w:t>
      </w:r>
    </w:p>
    <w:p>
      <w:pPr>
        <w:pStyle w:val="19"/>
        <w:spacing w:line="400" w:lineRule="exact"/>
        <w:ind w:firstLine="480" w:firstLineChars="200"/>
        <w:rPr>
          <w:rFonts w:hAnsi="宋体"/>
          <w:color w:val="auto"/>
          <w:sz w:val="24"/>
          <w:highlight w:val="none"/>
        </w:rPr>
      </w:pPr>
      <w:r>
        <w:rPr>
          <w:rFonts w:hint="eastAsia" w:hAnsi="宋体"/>
          <w:color w:val="auto"/>
          <w:sz w:val="24"/>
          <w:highlight w:val="none"/>
        </w:rPr>
        <w:t>20.1竞争性谈判小组成立</w:t>
      </w:r>
    </w:p>
    <w:p>
      <w:pPr>
        <w:pStyle w:val="19"/>
        <w:spacing w:line="400" w:lineRule="exact"/>
        <w:ind w:firstLine="480" w:firstLineChars="200"/>
        <w:rPr>
          <w:rFonts w:hAnsi="宋体"/>
          <w:color w:val="auto"/>
          <w:sz w:val="24"/>
          <w:highlight w:val="none"/>
        </w:rPr>
      </w:pPr>
      <w:r>
        <w:rPr>
          <w:rFonts w:hint="eastAsia" w:hAnsi="宋体"/>
          <w:color w:val="auto"/>
          <w:sz w:val="24"/>
          <w:highlight w:val="none"/>
        </w:rPr>
        <w:t>采购代理机构依据法律规定，在政府采购监督部门规定的专家库中上随机抽取政府采购评审专家与采购人组成竞争性谈判小组。</w:t>
      </w:r>
    </w:p>
    <w:p>
      <w:pPr>
        <w:pStyle w:val="19"/>
        <w:spacing w:line="400" w:lineRule="exact"/>
        <w:ind w:firstLine="480" w:firstLineChars="200"/>
        <w:rPr>
          <w:rFonts w:hAnsi="宋体"/>
          <w:color w:val="auto"/>
          <w:sz w:val="24"/>
          <w:highlight w:val="none"/>
        </w:rPr>
      </w:pPr>
      <w:r>
        <w:rPr>
          <w:rFonts w:hint="eastAsia" w:hAnsi="宋体"/>
          <w:color w:val="auto"/>
          <w:sz w:val="24"/>
          <w:highlight w:val="none"/>
        </w:rPr>
        <w:t>20.2 竞争性谈判小组在采购活动过程中应当履行下列职责：</w:t>
      </w:r>
    </w:p>
    <w:p>
      <w:pPr>
        <w:pStyle w:val="19"/>
        <w:spacing w:line="400" w:lineRule="exact"/>
        <w:ind w:firstLine="480" w:firstLineChars="200"/>
        <w:rPr>
          <w:rFonts w:hAnsi="宋体"/>
          <w:color w:val="auto"/>
          <w:sz w:val="24"/>
          <w:highlight w:val="none"/>
        </w:rPr>
      </w:pPr>
      <w:r>
        <w:rPr>
          <w:rFonts w:hint="eastAsia" w:hAnsi="宋体"/>
          <w:color w:val="auto"/>
          <w:sz w:val="24"/>
          <w:highlight w:val="none"/>
        </w:rPr>
        <w:t xml:space="preserve">（1）确认谈判文件； </w:t>
      </w:r>
    </w:p>
    <w:p>
      <w:pPr>
        <w:pStyle w:val="19"/>
        <w:spacing w:line="400" w:lineRule="exact"/>
        <w:ind w:firstLine="480" w:firstLineChars="200"/>
        <w:rPr>
          <w:rFonts w:hAnsi="宋体"/>
          <w:color w:val="auto"/>
          <w:sz w:val="24"/>
          <w:highlight w:val="none"/>
        </w:rPr>
      </w:pPr>
      <w:r>
        <w:rPr>
          <w:rFonts w:hint="eastAsia" w:hAnsi="宋体"/>
          <w:color w:val="auto"/>
          <w:sz w:val="24"/>
          <w:highlight w:val="none"/>
        </w:rPr>
        <w:t>（2）从符合相应资格条件的供应商名单中确定不少于3家的供应商参加谈判；</w:t>
      </w:r>
    </w:p>
    <w:p>
      <w:pPr>
        <w:pStyle w:val="19"/>
        <w:spacing w:line="400" w:lineRule="exact"/>
        <w:ind w:firstLine="480" w:firstLineChars="200"/>
        <w:rPr>
          <w:rFonts w:hAnsi="宋体"/>
          <w:color w:val="auto"/>
          <w:sz w:val="24"/>
          <w:highlight w:val="none"/>
        </w:rPr>
      </w:pPr>
      <w:r>
        <w:rPr>
          <w:rFonts w:hint="eastAsia" w:hAnsi="宋体"/>
          <w:color w:val="auto"/>
          <w:sz w:val="24"/>
          <w:highlight w:val="none"/>
        </w:rPr>
        <w:t>（3）审查供应商的响应文件并作出评价；</w:t>
      </w:r>
    </w:p>
    <w:p>
      <w:pPr>
        <w:pStyle w:val="19"/>
        <w:spacing w:line="400" w:lineRule="exact"/>
        <w:ind w:firstLine="480" w:firstLineChars="200"/>
        <w:rPr>
          <w:rFonts w:hAnsi="宋体"/>
          <w:color w:val="auto"/>
          <w:sz w:val="24"/>
          <w:highlight w:val="none"/>
        </w:rPr>
      </w:pPr>
      <w:r>
        <w:rPr>
          <w:rFonts w:hint="eastAsia" w:hAnsi="宋体"/>
          <w:color w:val="auto"/>
          <w:sz w:val="24"/>
          <w:highlight w:val="none"/>
        </w:rPr>
        <w:t>（4）要求供应商解释或者澄清其响应文件；</w:t>
      </w:r>
    </w:p>
    <w:p>
      <w:pPr>
        <w:pStyle w:val="19"/>
        <w:spacing w:line="400" w:lineRule="exact"/>
        <w:ind w:firstLine="480" w:firstLineChars="200"/>
        <w:rPr>
          <w:rFonts w:hAnsi="宋体"/>
          <w:color w:val="auto"/>
          <w:sz w:val="24"/>
          <w:highlight w:val="none"/>
        </w:rPr>
      </w:pPr>
      <w:r>
        <w:rPr>
          <w:rFonts w:hint="eastAsia" w:hAnsi="宋体"/>
          <w:color w:val="auto"/>
          <w:sz w:val="24"/>
          <w:highlight w:val="none"/>
        </w:rPr>
        <w:t xml:space="preserve">（5）编写评审报告； </w:t>
      </w:r>
    </w:p>
    <w:p>
      <w:pPr>
        <w:pStyle w:val="19"/>
        <w:spacing w:line="400" w:lineRule="exact"/>
        <w:ind w:firstLine="480" w:firstLineChars="200"/>
        <w:rPr>
          <w:rFonts w:hAnsi="宋体"/>
          <w:color w:val="auto"/>
          <w:sz w:val="24"/>
          <w:highlight w:val="none"/>
        </w:rPr>
      </w:pPr>
      <w:r>
        <w:rPr>
          <w:rFonts w:hint="eastAsia" w:hAnsi="宋体"/>
          <w:color w:val="auto"/>
          <w:sz w:val="24"/>
          <w:highlight w:val="none"/>
        </w:rPr>
        <w:t>（6）告知采购人、采购代理机构在评审过程中发现的供应商的违法违规行为。</w:t>
      </w:r>
    </w:p>
    <w:p>
      <w:pPr>
        <w:pStyle w:val="19"/>
        <w:spacing w:line="400" w:lineRule="exact"/>
        <w:ind w:firstLine="480" w:firstLineChars="200"/>
        <w:rPr>
          <w:rFonts w:hAnsi="宋体"/>
          <w:color w:val="auto"/>
          <w:sz w:val="24"/>
          <w:highlight w:val="none"/>
        </w:rPr>
      </w:pPr>
      <w:r>
        <w:rPr>
          <w:rFonts w:hint="eastAsia" w:hAnsi="宋体"/>
          <w:color w:val="auto"/>
          <w:sz w:val="24"/>
          <w:highlight w:val="none"/>
        </w:rPr>
        <w:t>20.3竞争性谈判小组成员应当履行下列义务：</w:t>
      </w:r>
    </w:p>
    <w:p>
      <w:pPr>
        <w:pStyle w:val="19"/>
        <w:spacing w:line="400" w:lineRule="exact"/>
        <w:ind w:firstLine="480" w:firstLineChars="200"/>
        <w:rPr>
          <w:rFonts w:hAnsi="宋体"/>
          <w:color w:val="auto"/>
          <w:sz w:val="24"/>
          <w:highlight w:val="none"/>
        </w:rPr>
      </w:pPr>
      <w:r>
        <w:rPr>
          <w:rFonts w:hint="eastAsia" w:hAnsi="宋体"/>
          <w:color w:val="auto"/>
          <w:sz w:val="24"/>
          <w:highlight w:val="none"/>
        </w:rPr>
        <w:t>（1）遵纪守法，客观、公正、廉洁地履行职责；</w:t>
      </w:r>
    </w:p>
    <w:p>
      <w:pPr>
        <w:pStyle w:val="19"/>
        <w:spacing w:line="400" w:lineRule="exact"/>
        <w:ind w:firstLine="480" w:firstLineChars="200"/>
        <w:rPr>
          <w:rFonts w:hAnsi="宋体"/>
          <w:color w:val="auto"/>
          <w:sz w:val="24"/>
          <w:highlight w:val="none"/>
        </w:rPr>
      </w:pPr>
      <w:r>
        <w:rPr>
          <w:rFonts w:hint="eastAsia" w:hAnsi="宋体"/>
          <w:color w:val="auto"/>
          <w:sz w:val="24"/>
          <w:highlight w:val="none"/>
        </w:rPr>
        <w:t>（2）根据采购文件的规定独立进行评审，对个人的评审意见承担法律责任；</w:t>
      </w:r>
    </w:p>
    <w:p>
      <w:pPr>
        <w:pStyle w:val="19"/>
        <w:spacing w:line="400" w:lineRule="exact"/>
        <w:ind w:firstLine="480" w:firstLineChars="200"/>
        <w:rPr>
          <w:rFonts w:hAnsi="宋体"/>
          <w:color w:val="auto"/>
          <w:sz w:val="24"/>
          <w:highlight w:val="none"/>
        </w:rPr>
      </w:pPr>
      <w:r>
        <w:rPr>
          <w:rFonts w:hint="eastAsia" w:hAnsi="宋体"/>
          <w:color w:val="auto"/>
          <w:sz w:val="24"/>
          <w:highlight w:val="none"/>
        </w:rPr>
        <w:t>（3）参与评审报告的起草；</w:t>
      </w:r>
    </w:p>
    <w:p>
      <w:pPr>
        <w:pStyle w:val="19"/>
        <w:spacing w:line="400" w:lineRule="exact"/>
        <w:ind w:firstLine="480" w:firstLineChars="200"/>
        <w:rPr>
          <w:rFonts w:hAnsi="宋体"/>
          <w:color w:val="auto"/>
          <w:sz w:val="24"/>
          <w:highlight w:val="none"/>
        </w:rPr>
      </w:pPr>
      <w:r>
        <w:rPr>
          <w:rFonts w:hint="eastAsia" w:hAnsi="宋体"/>
          <w:color w:val="auto"/>
          <w:sz w:val="24"/>
          <w:highlight w:val="none"/>
        </w:rPr>
        <w:t>（4）配合采购人、采购代理机构答复供应商提出的质疑；</w:t>
      </w:r>
    </w:p>
    <w:p>
      <w:pPr>
        <w:pStyle w:val="19"/>
        <w:spacing w:line="400" w:lineRule="exact"/>
        <w:ind w:firstLine="480" w:firstLineChars="200"/>
        <w:rPr>
          <w:rFonts w:hAnsi="宋体"/>
          <w:color w:val="auto"/>
          <w:sz w:val="24"/>
          <w:highlight w:val="none"/>
        </w:rPr>
      </w:pPr>
      <w:r>
        <w:rPr>
          <w:rFonts w:hint="eastAsia" w:hAnsi="宋体"/>
          <w:color w:val="auto"/>
          <w:sz w:val="24"/>
          <w:highlight w:val="none"/>
        </w:rPr>
        <w:t>（5）配合财政部门的投诉处理和监督检查工作。</w:t>
      </w:r>
    </w:p>
    <w:p>
      <w:pPr>
        <w:pStyle w:val="19"/>
        <w:spacing w:line="400" w:lineRule="exact"/>
        <w:ind w:firstLine="482" w:firstLineChars="200"/>
        <w:rPr>
          <w:rFonts w:hAnsi="宋体"/>
          <w:b/>
          <w:color w:val="auto"/>
          <w:sz w:val="24"/>
          <w:highlight w:val="none"/>
        </w:rPr>
      </w:pPr>
      <w:r>
        <w:rPr>
          <w:rFonts w:hint="eastAsia" w:hAnsi="宋体"/>
          <w:b/>
          <w:bCs/>
          <w:color w:val="auto"/>
          <w:sz w:val="24"/>
          <w:highlight w:val="none"/>
        </w:rPr>
        <w:t>20.4 评</w:t>
      </w:r>
      <w:r>
        <w:rPr>
          <w:rFonts w:hint="eastAsia" w:hAnsi="宋体"/>
          <w:b/>
          <w:color w:val="auto"/>
          <w:sz w:val="24"/>
          <w:highlight w:val="none"/>
        </w:rPr>
        <w:t>审原则及方法</w:t>
      </w:r>
    </w:p>
    <w:p>
      <w:pPr>
        <w:pStyle w:val="19"/>
        <w:spacing w:line="400" w:lineRule="exact"/>
        <w:ind w:firstLine="480" w:firstLineChars="200"/>
        <w:rPr>
          <w:rFonts w:hAnsi="宋体"/>
          <w:color w:val="auto"/>
          <w:sz w:val="24"/>
          <w:highlight w:val="none"/>
        </w:rPr>
      </w:pPr>
      <w:r>
        <w:rPr>
          <w:rFonts w:hint="eastAsia" w:hAnsi="宋体"/>
          <w:color w:val="auto"/>
          <w:sz w:val="24"/>
          <w:highlight w:val="none"/>
        </w:rPr>
        <w:t>（1）评审原则：</w:t>
      </w:r>
    </w:p>
    <w:p>
      <w:pPr>
        <w:pStyle w:val="19"/>
        <w:spacing w:line="400" w:lineRule="exact"/>
        <w:ind w:firstLine="480" w:firstLineChars="200"/>
        <w:rPr>
          <w:rFonts w:hAnsi="宋体"/>
          <w:color w:val="auto"/>
          <w:sz w:val="24"/>
          <w:highlight w:val="none"/>
        </w:rPr>
      </w:pPr>
      <w:r>
        <w:rPr>
          <w:rFonts w:hint="eastAsia" w:hAnsi="宋体"/>
          <w:color w:val="auto"/>
          <w:sz w:val="24"/>
          <w:highlight w:val="none"/>
        </w:rPr>
        <w:t>评审活动遵循公平、公正、科学和择优的原则。</w:t>
      </w:r>
    </w:p>
    <w:p>
      <w:pPr>
        <w:pStyle w:val="19"/>
        <w:spacing w:line="400" w:lineRule="exact"/>
        <w:ind w:firstLine="480" w:firstLineChars="200"/>
        <w:rPr>
          <w:rFonts w:hAnsi="宋体"/>
          <w:color w:val="auto"/>
          <w:sz w:val="24"/>
          <w:highlight w:val="none"/>
        </w:rPr>
      </w:pPr>
      <w:r>
        <w:rPr>
          <w:rFonts w:hint="eastAsia" w:hAnsi="宋体"/>
          <w:color w:val="auto"/>
          <w:sz w:val="24"/>
          <w:highlight w:val="none"/>
        </w:rPr>
        <w:t>（2）评审方法：</w:t>
      </w:r>
    </w:p>
    <w:p>
      <w:pPr>
        <w:pStyle w:val="19"/>
        <w:spacing w:line="400" w:lineRule="exact"/>
        <w:ind w:firstLine="480" w:firstLineChars="200"/>
        <w:rPr>
          <w:rFonts w:hAnsi="宋体"/>
          <w:color w:val="auto"/>
          <w:sz w:val="24"/>
          <w:highlight w:val="none"/>
        </w:rPr>
      </w:pPr>
      <w:r>
        <w:rPr>
          <w:rFonts w:hint="eastAsia" w:hAnsi="宋体"/>
          <w:color w:val="auto"/>
          <w:sz w:val="24"/>
          <w:highlight w:val="none"/>
        </w:rPr>
        <w:t>谈判小组按照供应商须知前附表和第四章“评审方法及评审标准”规定的方法、评审因素和标准对响应文件进行评审。在评审中，不得改变第四章“评审方法及评审标准”规定的方法、评审因素和标准；第四章“评审方法及评审标准”没有规定的方法、评审因素和标准，不作为评审依据。</w:t>
      </w:r>
    </w:p>
    <w:p>
      <w:pPr>
        <w:pStyle w:val="19"/>
        <w:spacing w:line="400" w:lineRule="exact"/>
        <w:ind w:firstLine="482" w:firstLineChars="200"/>
        <w:rPr>
          <w:rFonts w:hAnsi="宋体"/>
          <w:b/>
          <w:color w:val="auto"/>
          <w:sz w:val="24"/>
          <w:highlight w:val="none"/>
        </w:rPr>
      </w:pPr>
      <w:r>
        <w:rPr>
          <w:rFonts w:hint="eastAsia" w:hAnsi="宋体"/>
          <w:b/>
          <w:color w:val="auto"/>
          <w:sz w:val="24"/>
          <w:highlight w:val="none"/>
        </w:rPr>
        <w:t>2</w:t>
      </w:r>
      <w:r>
        <w:rPr>
          <w:rFonts w:hAnsi="宋体"/>
          <w:b/>
          <w:color w:val="auto"/>
          <w:sz w:val="24"/>
          <w:highlight w:val="none"/>
        </w:rPr>
        <w:t>1</w:t>
      </w:r>
      <w:r>
        <w:rPr>
          <w:rFonts w:hint="eastAsia" w:hAnsi="宋体"/>
          <w:b/>
          <w:color w:val="auto"/>
          <w:sz w:val="24"/>
          <w:highlight w:val="none"/>
        </w:rPr>
        <w:t>. 评审程序</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s="宋体"/>
          <w:color w:val="auto"/>
          <w:sz w:val="24"/>
          <w:highlight w:val="none"/>
        </w:rPr>
        <w:t>2</w:t>
      </w:r>
      <w:r>
        <w:rPr>
          <w:rFonts w:ascii="宋体" w:hAnsi="宋体" w:eastAsia="宋体" w:cs="宋体"/>
          <w:color w:val="auto"/>
          <w:sz w:val="24"/>
          <w:highlight w:val="none"/>
        </w:rPr>
        <w:t>1</w:t>
      </w:r>
      <w:r>
        <w:rPr>
          <w:rFonts w:hint="eastAsia" w:ascii="宋体" w:hAnsi="宋体" w:eastAsia="宋体" w:cs="宋体"/>
          <w:color w:val="auto"/>
          <w:sz w:val="24"/>
          <w:highlight w:val="none"/>
        </w:rPr>
        <w:t>.1</w:t>
      </w:r>
      <w:r>
        <w:rPr>
          <w:rFonts w:hint="eastAsia" w:ascii="宋体" w:hAnsi="宋体" w:eastAsia="宋体"/>
          <w:color w:val="auto"/>
          <w:sz w:val="24"/>
          <w:highlight w:val="none"/>
        </w:rPr>
        <w:t>谈判小组确认竞争性谈判文件。</w:t>
      </w:r>
    </w:p>
    <w:p>
      <w:pPr>
        <w:spacing w:after="0" w:line="4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2</w:t>
      </w:r>
      <w:r>
        <w:rPr>
          <w:rFonts w:ascii="宋体" w:hAnsi="宋体" w:eastAsia="宋体" w:cs="宋体"/>
          <w:color w:val="auto"/>
          <w:sz w:val="24"/>
          <w:highlight w:val="none"/>
        </w:rPr>
        <w:t>1</w:t>
      </w:r>
      <w:r>
        <w:rPr>
          <w:rFonts w:hint="eastAsia" w:ascii="宋体" w:hAnsi="宋体" w:eastAsia="宋体" w:cs="宋体"/>
          <w:color w:val="auto"/>
          <w:sz w:val="24"/>
          <w:highlight w:val="none"/>
        </w:rPr>
        <w:t>.2资格审查和符合性审查</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谈判小组对供应商资格条件及响应文件进行评审，并从符合竞争性谈判文件规定的相应资格条件的供应商名单中确定不少于3家的供应商参加谈判除《政府采购非招标采购方式管理办法》（财政部74号令）第二十七条第二款规定的“公开招标的货物、服务采购项目，招标过程中提交响应文件或者经评审实质性响应采购文件要求的供应商只有两家时，采购人、采购代理机构按照本办法第四条经本级财政部门批准后可以与该两家供应商进行竞争性谈判采购”情形除外，供应商最低数量可以为两家。</w:t>
      </w:r>
    </w:p>
    <w:p>
      <w:pPr>
        <w:spacing w:after="0" w:line="400" w:lineRule="exact"/>
        <w:ind w:firstLine="480" w:firstLineChars="200"/>
        <w:rPr>
          <w:rFonts w:ascii="宋体" w:hAnsi="宋体" w:eastAsia="宋体"/>
          <w:color w:val="auto"/>
          <w:sz w:val="24"/>
          <w:highlight w:val="none"/>
        </w:rPr>
      </w:pPr>
      <w:r>
        <w:rPr>
          <w:rFonts w:ascii="宋体" w:hAnsi="宋体" w:eastAsia="宋体"/>
          <w:color w:val="auto"/>
          <w:sz w:val="24"/>
          <w:highlight w:val="none"/>
        </w:rPr>
        <w:t>资格条件</w:t>
      </w:r>
      <w:r>
        <w:rPr>
          <w:rFonts w:hint="eastAsia" w:ascii="宋体" w:hAnsi="宋体" w:eastAsia="宋体"/>
          <w:color w:val="auto"/>
          <w:sz w:val="24"/>
          <w:highlight w:val="none"/>
        </w:rPr>
        <w:t>不符合</w:t>
      </w:r>
      <w:r>
        <w:rPr>
          <w:rFonts w:ascii="宋体" w:hAnsi="宋体" w:eastAsia="宋体"/>
          <w:color w:val="auto"/>
          <w:sz w:val="24"/>
          <w:highlight w:val="none"/>
        </w:rPr>
        <w:t>的供应商</w:t>
      </w:r>
      <w:r>
        <w:rPr>
          <w:rFonts w:hint="eastAsia" w:ascii="宋体" w:hAnsi="宋体" w:eastAsia="宋体"/>
          <w:color w:val="auto"/>
          <w:sz w:val="24"/>
          <w:highlight w:val="none"/>
        </w:rPr>
        <w:t>或</w:t>
      </w:r>
      <w:r>
        <w:rPr>
          <w:rFonts w:ascii="宋体" w:hAnsi="宋体" w:eastAsia="宋体"/>
          <w:color w:val="auto"/>
          <w:sz w:val="24"/>
          <w:highlight w:val="none"/>
        </w:rPr>
        <w:t>未实质性响应谈判文件的响应文件按无效</w:t>
      </w:r>
      <w:r>
        <w:rPr>
          <w:rFonts w:hint="eastAsia" w:ascii="宋体" w:hAnsi="宋体" w:eastAsia="宋体"/>
          <w:color w:val="auto"/>
          <w:sz w:val="24"/>
          <w:highlight w:val="none"/>
        </w:rPr>
        <w:t>竞标</w:t>
      </w:r>
      <w:r>
        <w:rPr>
          <w:rFonts w:ascii="宋体" w:hAnsi="宋体" w:eastAsia="宋体"/>
          <w:color w:val="auto"/>
          <w:sz w:val="24"/>
          <w:highlight w:val="none"/>
        </w:rPr>
        <w:t>处理，谈判小组告知有关供应商。</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21.2.1资格审查</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供应商有下列情形之一的，资格审查不通过：</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（1）不符合《中华人民共和国政府采购法》第二十二条规定条件的。</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（2）未按本项目采购公告规定方式获得竞争性谈判文件的。</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（3）参加同一合同项下的政府采购活动的不同供应商，单位负责人为同一人或者存在直接控股、管理关系的。</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（4）为本次采购项目提供整体设计、规范编制或者项目管理、监理、检测等服务的。</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（5）在“信用中国”网站(www.creditchina.gov.cn)</w:t>
      </w:r>
      <w:r>
        <w:rPr>
          <w:rFonts w:hint="eastAsia" w:ascii="宋体" w:hAnsi="宋体" w:eastAsia="宋体" w:cs="宋体"/>
          <w:color w:val="auto"/>
          <w:sz w:val="24"/>
          <w:highlight w:val="none"/>
        </w:rPr>
        <w:t>、中国政府采购网（www.ccgp.gov.cn）等</w:t>
      </w:r>
      <w:r>
        <w:rPr>
          <w:rFonts w:hint="eastAsia" w:ascii="宋体" w:hAnsi="宋体" w:eastAsia="宋体"/>
          <w:color w:val="auto"/>
          <w:sz w:val="24"/>
          <w:highlight w:val="none"/>
        </w:rPr>
        <w:t>渠道被列入失信被执行人、重大税收违法案件当事人名单、政府采购严重违法失信行为记录名单的。</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（6）不按照采购文件要求提供合格的资格证明材料的。</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（7）违反国家法律法规规定的其他资格内容的。</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21.2.2符合性审查</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依据采购文件的规定，谈判小组对通过资格审查的供应商的响应文件从有效性、完整性和对采购文件的响应程度等几方面进行审查，以确定是否对采购文件的实质性要求和条件作出响应。</w:t>
      </w:r>
    </w:p>
    <w:p>
      <w:pPr>
        <w:spacing w:after="0" w:line="400" w:lineRule="exact"/>
        <w:ind w:firstLine="480" w:firstLineChars="200"/>
        <w:rPr>
          <w:rFonts w:ascii="宋体" w:hAnsi="宋体" w:eastAsia="宋体"/>
          <w:color w:val="auto"/>
          <w:sz w:val="24"/>
          <w:highlight w:val="none"/>
        </w:rPr>
      </w:pPr>
      <w:r>
        <w:rPr>
          <w:rFonts w:ascii="宋体" w:hAnsi="宋体" w:eastAsia="宋体"/>
          <w:color w:val="auto"/>
          <w:sz w:val="24"/>
          <w:highlight w:val="none"/>
        </w:rPr>
        <w:t>21.3</w:t>
      </w:r>
      <w:r>
        <w:rPr>
          <w:rFonts w:hint="eastAsia" w:ascii="宋体" w:hAnsi="宋体" w:eastAsia="宋体"/>
          <w:color w:val="auto"/>
          <w:sz w:val="24"/>
          <w:highlight w:val="none"/>
        </w:rPr>
        <w:t>澄清有关问题</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对响应文件中含义不明确、同类问题表述不一致或者有明显文字和计算错误的内容，谈判小组可以书面形式（应当由谈判小组专家签字）要求供应商作出必要的澄清、说明或者纠正。供应商的澄清、说明或者纠正应当采用书面形式，由法定代表人或其委托代理人签字或盖章确认，且不得超出响应文件的范围或者改变响应文件的实质性内容。该澄清、说明或者纠正是响应文件的组成部分</w:t>
      </w:r>
    </w:p>
    <w:p>
      <w:pPr>
        <w:spacing w:after="0" w:line="4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2</w:t>
      </w:r>
      <w:r>
        <w:rPr>
          <w:rFonts w:ascii="宋体" w:hAnsi="宋体" w:eastAsia="宋体" w:cs="宋体"/>
          <w:color w:val="auto"/>
          <w:sz w:val="24"/>
          <w:highlight w:val="none"/>
        </w:rPr>
        <w:t>1.4</w:t>
      </w:r>
      <w:r>
        <w:rPr>
          <w:rFonts w:hint="eastAsia" w:ascii="宋体" w:hAnsi="宋体" w:eastAsia="宋体" w:cs="宋体"/>
          <w:color w:val="auto"/>
          <w:sz w:val="24"/>
          <w:highlight w:val="none"/>
        </w:rPr>
        <w:t>谈判</w:t>
      </w:r>
    </w:p>
    <w:p>
      <w:pPr>
        <w:spacing w:after="0" w:line="4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谈判小组按已确定的</w:t>
      </w:r>
      <w:r>
        <w:rPr>
          <w:rFonts w:hint="eastAsia" w:ascii="宋体" w:hAnsi="宋体" w:eastAsia="宋体"/>
          <w:color w:val="auto"/>
          <w:sz w:val="24"/>
          <w:highlight w:val="none"/>
        </w:rPr>
        <w:t>谈判顺序，谈判小组所有成员应当集中与单一供应商分别进行谈判，并给予所有参加谈判的供应商平等的谈判机会。符合谈判资格的供应商未在规定时间内参加谈判的，视同放弃参加谈判权利，其响应文件作无效处理。</w:t>
      </w:r>
    </w:p>
    <w:p>
      <w:pPr>
        <w:spacing w:after="0" w:line="400" w:lineRule="exact"/>
        <w:ind w:firstLine="480" w:firstLineChars="200"/>
        <w:rPr>
          <w:rFonts w:ascii="宋体" w:hAnsi="宋体" w:eastAsia="宋体"/>
          <w:color w:val="auto"/>
          <w:sz w:val="24"/>
          <w:highlight w:val="none"/>
          <w:u w:val="single"/>
        </w:rPr>
      </w:pPr>
      <w:r>
        <w:rPr>
          <w:rFonts w:hint="eastAsia" w:ascii="宋体" w:hAnsi="宋体" w:eastAsia="宋体"/>
          <w:color w:val="auto"/>
          <w:sz w:val="24"/>
          <w:highlight w:val="none"/>
        </w:rPr>
        <w:t>在谈判过程中，</w:t>
      </w:r>
      <w:r>
        <w:rPr>
          <w:rFonts w:hint="eastAsia" w:ascii="宋体" w:hAnsi="宋体" w:eastAsia="宋体"/>
          <w:color w:val="auto"/>
          <w:sz w:val="24"/>
          <w:highlight w:val="none"/>
          <w:u w:val="single"/>
        </w:rPr>
        <w:t>谈判小组可以根据谈判文件和谈判情况实质性变动采购需求中的技术、服务要求以及合同草案条款，但不得变动谈判文件中的其他内容。实质性变动的内容，须经采购人代表确认。</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对谈判文件作出的实质性变动是谈判文件的有效组成部分，谈判小组及时以书面形式同时通知所有参加谈判的供应商。</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参加谈判的供应商未在规定时间内重新提交响应文件的，视同放弃提交权利，其响应文件作无效处理。</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谈判中，谈判的任何一方不得透露与谈判有关的其他供应商的技术资料、价格和其他信息。</w:t>
      </w:r>
    </w:p>
    <w:p>
      <w:pPr>
        <w:tabs>
          <w:tab w:val="left" w:pos="540"/>
        </w:tabs>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采购代理机构对谈判过程和重要谈判内容进行记录，谈判双方在记录上签字确认。</w:t>
      </w:r>
    </w:p>
    <w:p>
      <w:pPr>
        <w:tabs>
          <w:tab w:val="left" w:pos="540"/>
        </w:tabs>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谈判小组一致确定响应供应商符合谈判文件要求的，按谈判文件设定的方法和标准确定成交候选人。第一轮谈判谈判小组未能确定成交候选人的，对谈判文件修正后进行第二轮谈判，以此类推。</w:t>
      </w:r>
    </w:p>
    <w:p>
      <w:pPr>
        <w:tabs>
          <w:tab w:val="left" w:pos="540"/>
        </w:tabs>
        <w:spacing w:after="0" w:line="400" w:lineRule="exact"/>
        <w:ind w:firstLine="480" w:firstLineChars="200"/>
        <w:rPr>
          <w:rFonts w:ascii="宋体" w:hAnsi="宋体" w:eastAsia="宋体"/>
          <w:color w:val="auto"/>
          <w:sz w:val="24"/>
          <w:highlight w:val="none"/>
        </w:rPr>
      </w:pPr>
      <w:r>
        <w:rPr>
          <w:rFonts w:ascii="宋体" w:hAnsi="宋体" w:eastAsia="宋体"/>
          <w:color w:val="auto"/>
          <w:sz w:val="24"/>
          <w:highlight w:val="none"/>
        </w:rPr>
        <w:t>21.5</w:t>
      </w:r>
      <w:r>
        <w:rPr>
          <w:rFonts w:hint="eastAsia" w:ascii="宋体" w:hAnsi="宋体" w:eastAsia="宋体"/>
          <w:color w:val="auto"/>
          <w:sz w:val="24"/>
          <w:highlight w:val="none"/>
        </w:rPr>
        <w:t>最后报价</w:t>
      </w:r>
    </w:p>
    <w:p>
      <w:pPr>
        <w:spacing w:after="0" w:line="400" w:lineRule="exact"/>
        <w:ind w:firstLine="480" w:firstLineChars="200"/>
        <w:rPr>
          <w:rFonts w:ascii="宋体" w:hAnsi="宋体" w:eastAsia="宋体"/>
          <w:color w:val="auto"/>
          <w:sz w:val="24"/>
          <w:highlight w:val="none"/>
        </w:rPr>
      </w:pPr>
      <w:r>
        <w:rPr>
          <w:rFonts w:ascii="宋体" w:hAnsi="宋体" w:eastAsia="宋体"/>
          <w:color w:val="auto"/>
          <w:sz w:val="24"/>
          <w:highlight w:val="none"/>
        </w:rPr>
        <w:t>21.5</w:t>
      </w:r>
      <w:r>
        <w:rPr>
          <w:rFonts w:hint="eastAsia" w:ascii="宋体" w:hAnsi="宋体" w:eastAsia="宋体"/>
          <w:color w:val="auto"/>
          <w:sz w:val="24"/>
          <w:highlight w:val="none"/>
        </w:rPr>
        <w:t>.1 谈判文件能够详细列明采购标的的技术、服务要求的，谈判结束后，谈判小组应当要求所有继续参加谈判的供应商在规定时间内密封提交最后报价，提交最后报价的供应商不得少于3家。</w:t>
      </w:r>
    </w:p>
    <w:p>
      <w:pPr>
        <w:spacing w:after="0" w:line="400" w:lineRule="exact"/>
        <w:ind w:firstLine="480" w:firstLineChars="200"/>
        <w:rPr>
          <w:rFonts w:ascii="宋体" w:hAnsi="宋体" w:eastAsia="宋体"/>
          <w:color w:val="auto"/>
          <w:sz w:val="24"/>
          <w:highlight w:val="none"/>
        </w:rPr>
      </w:pPr>
      <w:r>
        <w:rPr>
          <w:rFonts w:ascii="宋体" w:hAnsi="宋体" w:eastAsia="宋体"/>
          <w:color w:val="auto"/>
          <w:sz w:val="24"/>
          <w:highlight w:val="none"/>
        </w:rPr>
        <w:t>21.5</w:t>
      </w:r>
      <w:r>
        <w:rPr>
          <w:rFonts w:hint="eastAsia" w:ascii="宋体" w:hAnsi="宋体" w:eastAsia="宋体"/>
          <w:color w:val="auto"/>
          <w:sz w:val="24"/>
          <w:highlight w:val="none"/>
        </w:rPr>
        <w:t>.2 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密封提交最后报价。</w:t>
      </w:r>
    </w:p>
    <w:p>
      <w:pPr>
        <w:spacing w:after="0" w:line="400" w:lineRule="exact"/>
        <w:ind w:firstLine="480" w:firstLineChars="200"/>
        <w:rPr>
          <w:rFonts w:ascii="宋体" w:hAnsi="宋体" w:eastAsia="宋体"/>
          <w:color w:val="auto"/>
          <w:sz w:val="24"/>
          <w:highlight w:val="none"/>
        </w:rPr>
      </w:pPr>
      <w:r>
        <w:rPr>
          <w:rFonts w:ascii="宋体" w:hAnsi="宋体" w:eastAsia="宋体"/>
          <w:color w:val="auto"/>
          <w:sz w:val="24"/>
          <w:highlight w:val="none"/>
        </w:rPr>
        <w:t>21.5</w:t>
      </w:r>
      <w:r>
        <w:rPr>
          <w:rFonts w:hint="eastAsia" w:ascii="宋体" w:hAnsi="宋体" w:eastAsia="宋体"/>
          <w:color w:val="auto"/>
          <w:sz w:val="24"/>
          <w:highlight w:val="none"/>
        </w:rPr>
        <w:t>.3 最后报价是供应商响应文件的有效组成部分。</w:t>
      </w:r>
    </w:p>
    <w:p>
      <w:pPr>
        <w:spacing w:after="0" w:line="400" w:lineRule="exact"/>
        <w:ind w:firstLine="480" w:firstLineChars="200"/>
        <w:rPr>
          <w:rFonts w:ascii="宋体" w:hAnsi="宋体" w:eastAsia="宋体"/>
          <w:color w:val="auto"/>
          <w:sz w:val="24"/>
          <w:highlight w:val="none"/>
        </w:rPr>
      </w:pPr>
      <w:r>
        <w:rPr>
          <w:rFonts w:ascii="宋体" w:hAnsi="宋体" w:eastAsia="宋体"/>
          <w:color w:val="auto"/>
          <w:sz w:val="24"/>
          <w:highlight w:val="none"/>
        </w:rPr>
        <w:t>21.5</w:t>
      </w:r>
      <w:r>
        <w:rPr>
          <w:rFonts w:hint="eastAsia" w:ascii="宋体" w:hAnsi="宋体" w:eastAsia="宋体"/>
          <w:color w:val="auto"/>
          <w:sz w:val="24"/>
          <w:highlight w:val="none"/>
        </w:rPr>
        <w:t>.4 已经提交响应文件的供应商，在提交最后报价之前，可以根据谈判情况退出谈判。采购人、采购代理机构将退还退出谈判的供应商的保证金。</w:t>
      </w:r>
    </w:p>
    <w:p>
      <w:pPr>
        <w:tabs>
          <w:tab w:val="left" w:pos="540"/>
        </w:tabs>
        <w:spacing w:after="0" w:line="400" w:lineRule="exact"/>
        <w:ind w:firstLine="480" w:firstLineChars="200"/>
        <w:rPr>
          <w:rFonts w:ascii="宋体" w:hAnsi="宋体" w:eastAsia="宋体"/>
          <w:b/>
          <w:color w:val="auto"/>
          <w:sz w:val="24"/>
          <w:highlight w:val="none"/>
        </w:rPr>
      </w:pPr>
      <w:r>
        <w:rPr>
          <w:rFonts w:ascii="宋体" w:hAnsi="宋体" w:eastAsia="宋体"/>
          <w:color w:val="auto"/>
          <w:sz w:val="24"/>
          <w:highlight w:val="none"/>
        </w:rPr>
        <w:t>21.6</w:t>
      </w:r>
      <w:r>
        <w:rPr>
          <w:rFonts w:hint="eastAsia" w:ascii="宋体" w:hAnsi="宋体" w:eastAsia="宋体"/>
          <w:b/>
          <w:bCs/>
          <w:color w:val="auto"/>
          <w:sz w:val="24"/>
          <w:highlight w:val="none"/>
        </w:rPr>
        <w:t>在谈判过程中出现法律法规和谈判文件均没有明确规定的情形时，由谈判小组现场协商解决，协商不一致的，由全体谈判小组投票表决，以得票率二分之一以上专家的意见为准。</w:t>
      </w:r>
    </w:p>
    <w:p>
      <w:pPr>
        <w:spacing w:after="0" w:line="400" w:lineRule="exact"/>
        <w:ind w:firstLine="482" w:firstLineChars="200"/>
        <w:rPr>
          <w:rFonts w:ascii="宋体" w:hAnsi="宋体" w:eastAsia="宋体"/>
          <w:b/>
          <w:bCs/>
          <w:color w:val="auto"/>
          <w:sz w:val="24"/>
          <w:highlight w:val="none"/>
        </w:rPr>
      </w:pPr>
      <w:r>
        <w:rPr>
          <w:rFonts w:hint="eastAsia" w:ascii="宋体" w:hAnsi="宋体" w:eastAsia="宋体"/>
          <w:b/>
          <w:bCs/>
          <w:color w:val="auto"/>
          <w:sz w:val="24"/>
          <w:highlight w:val="none"/>
        </w:rPr>
        <w:t>2</w:t>
      </w:r>
      <w:r>
        <w:rPr>
          <w:rFonts w:ascii="宋体" w:hAnsi="宋体" w:eastAsia="宋体"/>
          <w:b/>
          <w:bCs/>
          <w:color w:val="auto"/>
          <w:sz w:val="24"/>
          <w:highlight w:val="none"/>
        </w:rPr>
        <w:t>2</w:t>
      </w:r>
      <w:r>
        <w:rPr>
          <w:rFonts w:hint="eastAsia" w:ascii="宋体" w:hAnsi="宋体" w:eastAsia="宋体"/>
          <w:b/>
          <w:bCs/>
          <w:color w:val="auto"/>
          <w:sz w:val="24"/>
          <w:highlight w:val="none"/>
        </w:rPr>
        <w:t>. 错误修正</w:t>
      </w:r>
    </w:p>
    <w:p>
      <w:pPr>
        <w:spacing w:after="0" w:line="40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2</w:t>
      </w:r>
      <w:r>
        <w:rPr>
          <w:rFonts w:ascii="宋体" w:hAnsi="宋体" w:eastAsia="宋体" w:cs="Arial"/>
          <w:color w:val="auto"/>
          <w:sz w:val="24"/>
          <w:highlight w:val="none"/>
        </w:rPr>
        <w:t>2</w:t>
      </w:r>
      <w:r>
        <w:rPr>
          <w:rFonts w:hint="eastAsia" w:ascii="宋体" w:hAnsi="宋体" w:eastAsia="宋体" w:cs="Arial"/>
          <w:color w:val="auto"/>
          <w:sz w:val="24"/>
          <w:highlight w:val="none"/>
        </w:rPr>
        <w:t>.1响应文件如果出现计算或表达上的错误，修正错误的原则如下：</w:t>
      </w:r>
    </w:p>
    <w:p>
      <w:pPr>
        <w:spacing w:after="0" w:line="40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（1）响应文件的大写金额和小写金额不一致的，以大写金额为准；</w:t>
      </w:r>
    </w:p>
    <w:p>
      <w:pPr>
        <w:spacing w:after="0" w:line="40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（2）总价金额与按单价汇总金额不一致的，以单价金额计算结果为准；</w:t>
      </w:r>
    </w:p>
    <w:p>
      <w:pPr>
        <w:spacing w:after="0" w:line="40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（3）单价金额小数点有明显错位的，应以总价为准，并修正单价；</w:t>
      </w:r>
    </w:p>
    <w:p>
      <w:pPr>
        <w:spacing w:after="0" w:line="40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（4）对不同文字文本响应文件的解释发生异议的，以中文文本为准。</w:t>
      </w:r>
    </w:p>
    <w:p>
      <w:pPr>
        <w:pStyle w:val="19"/>
        <w:spacing w:line="400" w:lineRule="exact"/>
        <w:ind w:firstLine="480" w:firstLineChars="200"/>
        <w:rPr>
          <w:rFonts w:hAnsi="宋体"/>
          <w:b/>
          <w:color w:val="auto"/>
          <w:sz w:val="24"/>
          <w:highlight w:val="none"/>
        </w:rPr>
      </w:pPr>
      <w:r>
        <w:rPr>
          <w:rFonts w:hint="eastAsia" w:hAnsi="宋体" w:cs="Arial"/>
          <w:color w:val="auto"/>
          <w:sz w:val="24"/>
          <w:highlight w:val="none"/>
        </w:rPr>
        <w:t>2</w:t>
      </w:r>
      <w:r>
        <w:rPr>
          <w:rFonts w:hAnsi="宋体" w:cs="Arial"/>
          <w:color w:val="auto"/>
          <w:sz w:val="24"/>
          <w:highlight w:val="none"/>
        </w:rPr>
        <w:t>2</w:t>
      </w:r>
      <w:r>
        <w:rPr>
          <w:rFonts w:hint="eastAsia" w:hAnsi="宋体" w:cs="Arial"/>
          <w:color w:val="auto"/>
          <w:sz w:val="24"/>
          <w:highlight w:val="none"/>
        </w:rPr>
        <w:t>.2谈判小组按上述修正错误的原则及方法调整或修正响应文件的响应报价，供应商同意并签字确认后，调整后的响应报价对供应商具有约束作用。如果供应商不接受修正后的报价，则其响应将作为无效响应处理。</w:t>
      </w:r>
    </w:p>
    <w:p>
      <w:pPr>
        <w:spacing w:after="0" w:line="400" w:lineRule="exact"/>
        <w:ind w:firstLine="482" w:firstLineChars="200"/>
        <w:rPr>
          <w:rFonts w:ascii="宋体" w:hAnsi="宋体" w:eastAsia="宋体"/>
          <w:b/>
          <w:bCs/>
          <w:color w:val="auto"/>
          <w:sz w:val="24"/>
          <w:highlight w:val="none"/>
        </w:rPr>
      </w:pPr>
      <w:r>
        <w:rPr>
          <w:rFonts w:hint="eastAsia" w:ascii="宋体" w:hAnsi="宋体" w:eastAsia="宋体"/>
          <w:b/>
          <w:bCs/>
          <w:color w:val="auto"/>
          <w:sz w:val="24"/>
          <w:highlight w:val="none"/>
        </w:rPr>
        <w:t>2</w:t>
      </w:r>
      <w:r>
        <w:rPr>
          <w:rFonts w:ascii="宋体" w:hAnsi="宋体" w:eastAsia="宋体"/>
          <w:b/>
          <w:bCs/>
          <w:color w:val="auto"/>
          <w:sz w:val="24"/>
          <w:highlight w:val="none"/>
        </w:rPr>
        <w:t>3</w:t>
      </w:r>
      <w:r>
        <w:rPr>
          <w:rFonts w:hint="eastAsia" w:ascii="宋体" w:hAnsi="宋体" w:eastAsia="宋体"/>
          <w:b/>
          <w:bCs/>
          <w:color w:val="auto"/>
          <w:sz w:val="24"/>
          <w:highlight w:val="none"/>
        </w:rPr>
        <w:t>. 评审过程的保密</w:t>
      </w:r>
    </w:p>
    <w:p>
      <w:pPr>
        <w:spacing w:after="0" w:line="400" w:lineRule="exact"/>
        <w:ind w:firstLine="480" w:firstLineChars="200"/>
        <w:rPr>
          <w:rFonts w:ascii="宋体" w:hAnsi="宋体" w:eastAsia="宋体"/>
          <w:bCs/>
          <w:color w:val="auto"/>
          <w:sz w:val="24"/>
          <w:highlight w:val="none"/>
        </w:rPr>
      </w:pPr>
      <w:r>
        <w:rPr>
          <w:rFonts w:hint="eastAsia" w:ascii="宋体" w:hAnsi="宋体" w:eastAsia="宋体"/>
          <w:bCs/>
          <w:color w:val="auto"/>
          <w:sz w:val="24"/>
          <w:highlight w:val="none"/>
        </w:rPr>
        <w:t>2</w:t>
      </w:r>
      <w:r>
        <w:rPr>
          <w:rFonts w:ascii="宋体" w:hAnsi="宋体" w:eastAsia="宋体"/>
          <w:bCs/>
          <w:color w:val="auto"/>
          <w:sz w:val="24"/>
          <w:highlight w:val="none"/>
        </w:rPr>
        <w:t>3</w:t>
      </w:r>
      <w:r>
        <w:rPr>
          <w:rFonts w:hint="eastAsia" w:ascii="宋体" w:hAnsi="宋体" w:eastAsia="宋体"/>
          <w:bCs/>
          <w:color w:val="auto"/>
          <w:sz w:val="24"/>
          <w:highlight w:val="none"/>
        </w:rPr>
        <w:t>.1 在评审活动中，凡属于审查、澄清、评价和比较的有关资料及有关授予合同的信息，都不应向供应商或与评审无关的其他人泄露。</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bCs/>
          <w:color w:val="auto"/>
          <w:sz w:val="24"/>
          <w:highlight w:val="none"/>
        </w:rPr>
        <w:t>2</w:t>
      </w:r>
      <w:r>
        <w:rPr>
          <w:rFonts w:ascii="宋体" w:hAnsi="宋体" w:eastAsia="宋体"/>
          <w:bCs/>
          <w:color w:val="auto"/>
          <w:sz w:val="24"/>
          <w:highlight w:val="none"/>
        </w:rPr>
        <w:t>3</w:t>
      </w:r>
      <w:r>
        <w:rPr>
          <w:rFonts w:hint="eastAsia" w:ascii="宋体" w:hAnsi="宋体" w:eastAsia="宋体"/>
          <w:bCs/>
          <w:color w:val="auto"/>
          <w:sz w:val="24"/>
          <w:highlight w:val="none"/>
        </w:rPr>
        <w:t>.2 在响应文件的审查、澄清、评价和比较以及授予合同的过程中，供应商对采购人和谈判小组成员施加影响的任何行为，都将导致被取消谈判资格。</w:t>
      </w:r>
    </w:p>
    <w:p>
      <w:pPr>
        <w:spacing w:after="0" w:line="400" w:lineRule="exact"/>
        <w:ind w:firstLine="480" w:firstLineChars="200"/>
        <w:rPr>
          <w:rFonts w:ascii="宋体" w:hAnsi="宋体" w:eastAsia="宋体"/>
          <w:b/>
          <w:bCs/>
          <w:color w:val="auto"/>
          <w:sz w:val="24"/>
          <w:highlight w:val="none"/>
        </w:rPr>
      </w:pPr>
      <w:r>
        <w:rPr>
          <w:rFonts w:hint="eastAsia" w:ascii="宋体" w:hAnsi="宋体" w:eastAsia="宋体" w:cs="宋体"/>
          <w:color w:val="auto"/>
          <w:sz w:val="24"/>
          <w:highlight w:val="none"/>
        </w:rPr>
        <w:t>▲</w:t>
      </w:r>
      <w:r>
        <w:rPr>
          <w:rFonts w:hint="eastAsia" w:ascii="宋体" w:hAnsi="宋体" w:eastAsia="宋体"/>
          <w:b/>
          <w:bCs/>
          <w:color w:val="auto"/>
          <w:sz w:val="24"/>
          <w:highlight w:val="none"/>
        </w:rPr>
        <w:t>2</w:t>
      </w:r>
      <w:r>
        <w:rPr>
          <w:rFonts w:ascii="宋体" w:hAnsi="宋体" w:eastAsia="宋体"/>
          <w:b/>
          <w:bCs/>
          <w:color w:val="auto"/>
          <w:sz w:val="24"/>
          <w:highlight w:val="none"/>
        </w:rPr>
        <w:t>4</w:t>
      </w:r>
      <w:r>
        <w:rPr>
          <w:rFonts w:hint="eastAsia" w:ascii="宋体" w:hAnsi="宋体" w:eastAsia="宋体"/>
          <w:b/>
          <w:bCs/>
          <w:color w:val="auto"/>
          <w:sz w:val="24"/>
          <w:highlight w:val="none"/>
        </w:rPr>
        <w:t>.</w:t>
      </w:r>
      <w:bookmarkStart w:id="68" w:name="_Toc254970532"/>
      <w:bookmarkStart w:id="69" w:name="_Toc254970673"/>
      <w:r>
        <w:rPr>
          <w:rFonts w:hint="eastAsia" w:ascii="宋体" w:hAnsi="宋体" w:eastAsia="宋体"/>
          <w:b/>
          <w:bCs/>
          <w:color w:val="auto"/>
          <w:sz w:val="24"/>
          <w:highlight w:val="none"/>
        </w:rPr>
        <w:t xml:space="preserve"> 特别说明：</w:t>
      </w:r>
      <w:bookmarkEnd w:id="68"/>
      <w:bookmarkEnd w:id="69"/>
    </w:p>
    <w:p>
      <w:pPr>
        <w:spacing w:after="0" w:line="400" w:lineRule="exact"/>
        <w:ind w:firstLine="480" w:firstLineChars="200"/>
        <w:rPr>
          <w:rFonts w:ascii="宋体" w:hAnsi="宋体" w:eastAsia="宋体"/>
          <w:color w:val="auto"/>
          <w:sz w:val="24"/>
          <w:highlight w:val="none"/>
        </w:rPr>
      </w:pPr>
      <w:r>
        <w:rPr>
          <w:rFonts w:hint="eastAsia" w:ascii="宋体" w:hAnsi="宋体" w:eastAsia="宋体" w:cs="Arial"/>
          <w:color w:val="auto"/>
          <w:sz w:val="24"/>
          <w:highlight w:val="none"/>
        </w:rPr>
        <w:t>（本条款所述竞标人等同于供应商，评标等同于评审，竞标等同于谈判或响应）</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24.1单位负责人为同一人或者存在直接控股、管理关系的，不得参加同一合同项下投标或未划分分标的同一合同项下投标，否则响应文件将被视为无效。</w:t>
      </w:r>
      <w:r>
        <w:rPr>
          <w:rFonts w:hint="eastAsia" w:ascii="宋体" w:hAnsi="宋体" w:eastAsia="宋体"/>
          <w:b/>
          <w:color w:val="auto"/>
          <w:sz w:val="24"/>
          <w:highlight w:val="none"/>
        </w:rPr>
        <w:t>生产厂商授权给供应商后自己不得参加同一合同项下的政府采购活动；生产厂商对同一品牌同一型号的货物，仅能委托一个代理商参加竞标。</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24.2除单一来源采购项目外，为采购项目提供整体设计、规范编制或者项目管理、监理、检测等服务的供应商，不得再参加该采购项目的其他采购活动，否则投标无效。</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24.3出现下列情形之一的，在评审过程中，取其中通过资格审查、符合性审查且报价最低的参加评审；当报价相同时，则由采购人自主选择确定一个参加评审的供应商，其他响应文件无效：</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（1）根据桂财采[2016]42号的规定，提供相同品牌产品的不同</w:t>
      </w:r>
      <w:r>
        <w:rPr>
          <w:rFonts w:hint="eastAsia" w:ascii="宋体" w:hAnsi="宋体" w:eastAsia="宋体"/>
          <w:b/>
          <w:color w:val="auto"/>
          <w:sz w:val="24"/>
          <w:highlight w:val="none"/>
          <w:lang w:eastAsia="zh-CN"/>
        </w:rPr>
        <w:t>竞标人</w:t>
      </w:r>
      <w:r>
        <w:rPr>
          <w:rFonts w:hint="eastAsia" w:ascii="宋体" w:hAnsi="宋体" w:eastAsia="宋体"/>
          <w:b/>
          <w:color w:val="auto"/>
          <w:sz w:val="24"/>
          <w:highlight w:val="none"/>
        </w:rPr>
        <w:t>参加同一合同项下投标的，评审时，按上述规定确定其中一家为有效供应商。</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（2）非单一产品采购项目中，多家</w:t>
      </w:r>
      <w:r>
        <w:rPr>
          <w:rFonts w:hint="eastAsia" w:ascii="宋体" w:hAnsi="宋体" w:eastAsia="宋体"/>
          <w:b/>
          <w:color w:val="auto"/>
          <w:sz w:val="24"/>
          <w:highlight w:val="none"/>
          <w:lang w:eastAsia="zh-CN"/>
        </w:rPr>
        <w:t>竞标人</w:t>
      </w:r>
      <w:r>
        <w:rPr>
          <w:rFonts w:hint="eastAsia" w:ascii="宋体" w:hAnsi="宋体" w:eastAsia="宋体"/>
          <w:b/>
          <w:color w:val="auto"/>
          <w:sz w:val="24"/>
          <w:highlight w:val="none"/>
        </w:rPr>
        <w:t>提供的核心产品相同的，视为提供相同品牌产品，应当按一个供应商认定，评审时，按上述规定确定其中一家为有效供应商。核心产品在谈判文件中写明。</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 xml:space="preserve">24.4 </w:t>
      </w:r>
      <w:r>
        <w:rPr>
          <w:rFonts w:hint="eastAsia" w:ascii="宋体" w:hAnsi="宋体" w:eastAsia="宋体"/>
          <w:color w:val="auto"/>
          <w:sz w:val="24"/>
          <w:highlight w:val="none"/>
          <w:lang w:eastAsia="zh-CN"/>
        </w:rPr>
        <w:t>竞标人</w:t>
      </w:r>
      <w:r>
        <w:rPr>
          <w:rFonts w:hint="eastAsia" w:ascii="宋体" w:hAnsi="宋体" w:eastAsia="宋体"/>
          <w:color w:val="auto"/>
          <w:sz w:val="24"/>
          <w:highlight w:val="none"/>
        </w:rPr>
        <w:t>投标所使用的资格、信誉、荣誉、业绩与企业认证必须为本法人所拥有。</w:t>
      </w:r>
      <w:r>
        <w:rPr>
          <w:rFonts w:hint="eastAsia" w:ascii="宋体" w:hAnsi="宋体" w:eastAsia="宋体"/>
          <w:b/>
          <w:color w:val="auto"/>
          <w:sz w:val="24"/>
          <w:highlight w:val="none"/>
        </w:rPr>
        <w:t>（本采购文件第三章“项目采购需求和说明”另有约定的从其约定）</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 xml:space="preserve">24.5 </w:t>
      </w:r>
      <w:r>
        <w:rPr>
          <w:rFonts w:hint="eastAsia" w:ascii="宋体" w:hAnsi="宋体" w:eastAsia="宋体"/>
          <w:color w:val="auto"/>
          <w:sz w:val="24"/>
          <w:highlight w:val="none"/>
          <w:lang w:eastAsia="zh-CN"/>
        </w:rPr>
        <w:t>竞标人</w:t>
      </w:r>
      <w:r>
        <w:rPr>
          <w:rFonts w:hint="eastAsia" w:ascii="宋体" w:hAnsi="宋体" w:eastAsia="宋体"/>
          <w:color w:val="auto"/>
          <w:sz w:val="24"/>
          <w:highlight w:val="none"/>
        </w:rPr>
        <w:t>应仔细阅读采购文件的所有内容，按照采购文件的要求提交响应文件，并对所提供的全部资料的真实性承担法律责任。</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24.6</w:t>
      </w:r>
      <w:r>
        <w:rPr>
          <w:rFonts w:hint="eastAsia" w:ascii="宋体" w:hAnsi="宋体" w:eastAsia="宋体"/>
          <w:b/>
          <w:color w:val="auto"/>
          <w:sz w:val="24"/>
          <w:highlight w:val="none"/>
          <w:lang w:eastAsia="zh-CN"/>
        </w:rPr>
        <w:t>竞标人</w:t>
      </w:r>
      <w:r>
        <w:rPr>
          <w:rFonts w:hint="eastAsia" w:ascii="宋体" w:hAnsi="宋体" w:eastAsia="宋体"/>
          <w:b/>
          <w:color w:val="auto"/>
          <w:sz w:val="24"/>
          <w:highlight w:val="none"/>
        </w:rPr>
        <w:t>在投标活动中提供任何虚假材料,其投标无效，并报监管部门查处；中标后发现的,成交供应商须依照《中华人民共和国消费者权益保护法》规定赔偿采购人，且民事赔偿并不免除违法</w:t>
      </w:r>
      <w:r>
        <w:rPr>
          <w:rFonts w:hint="eastAsia" w:ascii="宋体" w:hAnsi="宋体" w:eastAsia="宋体"/>
          <w:b/>
          <w:color w:val="auto"/>
          <w:sz w:val="24"/>
          <w:highlight w:val="none"/>
          <w:lang w:eastAsia="zh-CN"/>
        </w:rPr>
        <w:t>竞标人</w:t>
      </w:r>
      <w:r>
        <w:rPr>
          <w:rFonts w:hint="eastAsia" w:ascii="宋体" w:hAnsi="宋体" w:eastAsia="宋体"/>
          <w:b/>
          <w:color w:val="auto"/>
          <w:sz w:val="24"/>
          <w:highlight w:val="none"/>
        </w:rPr>
        <w:t>的行政与刑事责任。</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24.7在政府采购活动中，采购人员及相关人员与</w:t>
      </w:r>
      <w:r>
        <w:rPr>
          <w:rFonts w:hint="eastAsia" w:ascii="宋体" w:hAnsi="宋体" w:eastAsia="宋体"/>
          <w:b/>
          <w:color w:val="auto"/>
          <w:sz w:val="24"/>
          <w:highlight w:val="none"/>
          <w:lang w:eastAsia="zh-CN"/>
        </w:rPr>
        <w:t>竞标人</w:t>
      </w:r>
      <w:r>
        <w:rPr>
          <w:rFonts w:hint="eastAsia" w:ascii="宋体" w:hAnsi="宋体" w:eastAsia="宋体"/>
          <w:b/>
          <w:color w:val="auto"/>
          <w:sz w:val="24"/>
          <w:highlight w:val="none"/>
        </w:rPr>
        <w:t>有下列利害关系之一的，应当回避：</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（1）参加采购活动前3年内与</w:t>
      </w:r>
      <w:r>
        <w:rPr>
          <w:rFonts w:hint="eastAsia" w:ascii="宋体" w:hAnsi="宋体" w:eastAsia="宋体"/>
          <w:b/>
          <w:color w:val="auto"/>
          <w:sz w:val="24"/>
          <w:highlight w:val="none"/>
          <w:lang w:eastAsia="zh-CN"/>
        </w:rPr>
        <w:t>竞标人</w:t>
      </w:r>
      <w:r>
        <w:rPr>
          <w:rFonts w:hint="eastAsia" w:ascii="宋体" w:hAnsi="宋体" w:eastAsia="宋体"/>
          <w:b/>
          <w:color w:val="auto"/>
          <w:sz w:val="24"/>
          <w:highlight w:val="none"/>
        </w:rPr>
        <w:t>存在劳动关系；</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（2）参加采购活动前3年内担任</w:t>
      </w:r>
      <w:r>
        <w:rPr>
          <w:rFonts w:hint="eastAsia" w:ascii="宋体" w:hAnsi="宋体" w:eastAsia="宋体"/>
          <w:b/>
          <w:color w:val="auto"/>
          <w:sz w:val="24"/>
          <w:highlight w:val="none"/>
          <w:lang w:eastAsia="zh-CN"/>
        </w:rPr>
        <w:t>竞标人</w:t>
      </w:r>
      <w:r>
        <w:rPr>
          <w:rFonts w:hint="eastAsia" w:ascii="宋体" w:hAnsi="宋体" w:eastAsia="宋体"/>
          <w:b/>
          <w:color w:val="auto"/>
          <w:sz w:val="24"/>
          <w:highlight w:val="none"/>
        </w:rPr>
        <w:t>的董事、监事；</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（3）参加采购活动前3年内是</w:t>
      </w:r>
      <w:r>
        <w:rPr>
          <w:rFonts w:hint="eastAsia" w:ascii="宋体" w:hAnsi="宋体" w:eastAsia="宋体"/>
          <w:b/>
          <w:color w:val="auto"/>
          <w:sz w:val="24"/>
          <w:highlight w:val="none"/>
          <w:lang w:eastAsia="zh-CN"/>
        </w:rPr>
        <w:t>竞标人</w:t>
      </w:r>
      <w:r>
        <w:rPr>
          <w:rFonts w:hint="eastAsia" w:ascii="宋体" w:hAnsi="宋体" w:eastAsia="宋体"/>
          <w:b/>
          <w:color w:val="auto"/>
          <w:sz w:val="24"/>
          <w:highlight w:val="none"/>
        </w:rPr>
        <w:t>的控股股东或者实际控制人；</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（4）与</w:t>
      </w:r>
      <w:r>
        <w:rPr>
          <w:rFonts w:hint="eastAsia" w:ascii="宋体" w:hAnsi="宋体" w:eastAsia="宋体"/>
          <w:b/>
          <w:color w:val="auto"/>
          <w:sz w:val="24"/>
          <w:highlight w:val="none"/>
          <w:lang w:eastAsia="zh-CN"/>
        </w:rPr>
        <w:t>竞标人</w:t>
      </w:r>
      <w:r>
        <w:rPr>
          <w:rFonts w:hint="eastAsia" w:ascii="宋体" w:hAnsi="宋体" w:eastAsia="宋体"/>
          <w:b/>
          <w:color w:val="auto"/>
          <w:sz w:val="24"/>
          <w:highlight w:val="none"/>
        </w:rPr>
        <w:t>的法定代表人或者负责人有夫妻、直系血亲、三代以内旁系血亲或者近姻亲关系；</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（5）与</w:t>
      </w:r>
      <w:r>
        <w:rPr>
          <w:rFonts w:hint="eastAsia" w:ascii="宋体" w:hAnsi="宋体" w:eastAsia="宋体"/>
          <w:b/>
          <w:color w:val="auto"/>
          <w:sz w:val="24"/>
          <w:highlight w:val="none"/>
          <w:lang w:eastAsia="zh-CN"/>
        </w:rPr>
        <w:t>竞标人</w:t>
      </w:r>
      <w:r>
        <w:rPr>
          <w:rFonts w:hint="eastAsia" w:ascii="宋体" w:hAnsi="宋体" w:eastAsia="宋体"/>
          <w:b/>
          <w:color w:val="auto"/>
          <w:sz w:val="24"/>
          <w:highlight w:val="none"/>
        </w:rPr>
        <w:t>有其他可能影响政府采购活动公平、公正进行的关系。</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lang w:eastAsia="zh-CN"/>
        </w:rPr>
        <w:t>竞标人</w:t>
      </w:r>
      <w:r>
        <w:rPr>
          <w:rFonts w:hint="eastAsia" w:ascii="宋体" w:hAnsi="宋体" w:eastAsia="宋体"/>
          <w:b/>
          <w:color w:val="auto"/>
          <w:sz w:val="24"/>
          <w:highlight w:val="none"/>
        </w:rPr>
        <w:t>认为采购人员及相关人员与其他</w:t>
      </w:r>
      <w:r>
        <w:rPr>
          <w:rFonts w:hint="eastAsia" w:ascii="宋体" w:hAnsi="宋体" w:eastAsia="宋体"/>
          <w:b/>
          <w:color w:val="auto"/>
          <w:sz w:val="24"/>
          <w:highlight w:val="none"/>
          <w:lang w:eastAsia="zh-CN"/>
        </w:rPr>
        <w:t>竞标人</w:t>
      </w:r>
      <w:r>
        <w:rPr>
          <w:rFonts w:hint="eastAsia" w:ascii="宋体" w:hAnsi="宋体" w:eastAsia="宋体"/>
          <w:b/>
          <w:color w:val="auto"/>
          <w:sz w:val="24"/>
          <w:highlight w:val="none"/>
        </w:rPr>
        <w:t>有利害关系的，可以向采购人或者采购代理机构书面提出回避申请，并说明理由。采购人或者采购代理机构应当及时询问被申请回避人员，有利害关系的被申请回避人员应当回避。</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25. 供应商相互串通投标</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有下列情形之一的视为供应商相互串通投标，响应文件将被视为无效：</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（1）不同供应商的响应文件由同一单位或者个人编制；或不同供应商报名的IP地址一致的；</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（2）不同供应商委托同一单位或者个人办理投标事宜；</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（3）不同的供应商的响应文件载明的项目管理员为同一个人；</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（4）不同供应商的响应文件异常一致或投标报价呈规律性差异；</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（5）不同供应商的响应文件相互混装；</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（6）不同供应商的投标保证金从同一单位或者个人账户转出。</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2</w:t>
      </w:r>
      <w:r>
        <w:rPr>
          <w:rFonts w:ascii="宋体" w:hAnsi="宋体" w:eastAsia="宋体"/>
          <w:b/>
          <w:color w:val="auto"/>
          <w:sz w:val="24"/>
          <w:highlight w:val="none"/>
        </w:rPr>
        <w:t xml:space="preserve">6. </w:t>
      </w:r>
      <w:r>
        <w:rPr>
          <w:rFonts w:hint="eastAsia" w:ascii="宋体" w:hAnsi="宋体" w:eastAsia="宋体"/>
          <w:b/>
          <w:color w:val="auto"/>
          <w:sz w:val="24"/>
          <w:highlight w:val="none"/>
        </w:rPr>
        <w:t>供应商恶意串通投标</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供应商有下列情形之一的，属于恶意串通行为：</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（1）供应商直接或者间接从采购人或者采购代理机构处获得其他供应商的相关信息并修改其响应文件或者响应文件：</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（2）供应商按照采购人或者采购代理机构的授意撤换、修改响应文件或者响应文件；</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（3）供应商之间协商报价、技术方案等响应文件或者响应文件的实质性内容；</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（4）属于同一集团、协会、商会等组织成员的供应商按照该组织要求协同参加政府采购活动；</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（5）供应商之间事先约定一致抬高或者压低投标报价,或者在招标项目中事先约定轮流以高价位或者低价位中标,或者事先约定由某一特定供应商中标,然后再参加投标；</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（6）供应商之间商定部分供应商放弃参加政府采购活动或者放弃中标；</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（7）供应商与采购人或者采购代理机构之间、供应商相互之间，为谋求特定供应商中标或者排斥其他供应商的其他串通行为。</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2</w:t>
      </w:r>
      <w:r>
        <w:rPr>
          <w:rFonts w:ascii="宋体" w:hAnsi="宋体" w:eastAsia="宋体"/>
          <w:b/>
          <w:color w:val="auto"/>
          <w:sz w:val="24"/>
          <w:highlight w:val="none"/>
        </w:rPr>
        <w:t>7</w:t>
      </w:r>
      <w:r>
        <w:rPr>
          <w:rFonts w:hint="eastAsia" w:ascii="宋体" w:hAnsi="宋体" w:eastAsia="宋体"/>
          <w:b/>
          <w:color w:val="auto"/>
          <w:sz w:val="24"/>
          <w:highlight w:val="none"/>
        </w:rPr>
        <w:t>. 终止采购</w:t>
      </w:r>
    </w:p>
    <w:p>
      <w:pPr>
        <w:spacing w:after="0" w:line="400" w:lineRule="exact"/>
        <w:ind w:firstLine="480" w:firstLineChars="200"/>
        <w:rPr>
          <w:rFonts w:ascii="宋体" w:hAnsi="宋体" w:eastAsia="宋体"/>
          <w:color w:val="auto"/>
          <w:sz w:val="24"/>
          <w:highlight w:val="none"/>
        </w:rPr>
      </w:pPr>
      <w:r>
        <w:rPr>
          <w:rFonts w:ascii="宋体" w:hAnsi="宋体" w:eastAsia="宋体"/>
          <w:color w:val="auto"/>
          <w:sz w:val="24"/>
          <w:highlight w:val="none"/>
        </w:rPr>
        <w:t>出现下列情形之一的，采购人或者采购代理机构终止竞争性谈判采购活动，发布项目终止公告并说明原因，重新开展采购活动：</w:t>
      </w:r>
    </w:p>
    <w:p>
      <w:pPr>
        <w:spacing w:after="0" w:line="400" w:lineRule="exact"/>
        <w:ind w:firstLine="480" w:firstLineChars="200"/>
        <w:rPr>
          <w:rFonts w:ascii="宋体" w:hAnsi="宋体" w:eastAsia="宋体"/>
          <w:color w:val="auto"/>
          <w:sz w:val="24"/>
          <w:highlight w:val="none"/>
        </w:rPr>
      </w:pPr>
      <w:r>
        <w:rPr>
          <w:rFonts w:ascii="宋体" w:hAnsi="宋体" w:eastAsia="宋体"/>
          <w:color w:val="auto"/>
          <w:sz w:val="24"/>
          <w:highlight w:val="none"/>
        </w:rPr>
        <w:t>（一）因情况变化，不再符合规定的竞争性谈判采购方式适用情形的；</w:t>
      </w:r>
    </w:p>
    <w:p>
      <w:pPr>
        <w:spacing w:after="0" w:line="400" w:lineRule="exact"/>
        <w:ind w:firstLine="480" w:firstLineChars="200"/>
        <w:rPr>
          <w:rFonts w:ascii="宋体" w:hAnsi="宋体" w:eastAsia="宋体"/>
          <w:color w:val="auto"/>
          <w:sz w:val="24"/>
          <w:highlight w:val="none"/>
        </w:rPr>
      </w:pPr>
      <w:r>
        <w:rPr>
          <w:rFonts w:ascii="宋体" w:hAnsi="宋体" w:eastAsia="宋体"/>
          <w:color w:val="auto"/>
          <w:sz w:val="24"/>
          <w:highlight w:val="none"/>
        </w:rPr>
        <w:t>（二）出现影响采购公正的违法、违规行为的；</w:t>
      </w:r>
    </w:p>
    <w:p>
      <w:pPr>
        <w:spacing w:after="0" w:line="400" w:lineRule="exact"/>
        <w:ind w:firstLine="480" w:firstLineChars="200"/>
        <w:rPr>
          <w:rFonts w:ascii="宋体" w:hAnsi="宋体" w:eastAsia="宋体"/>
          <w:color w:val="auto"/>
          <w:sz w:val="24"/>
          <w:highlight w:val="none"/>
        </w:rPr>
      </w:pPr>
      <w:r>
        <w:rPr>
          <w:rFonts w:ascii="宋体" w:hAnsi="宋体" w:eastAsia="宋体"/>
          <w:color w:val="auto"/>
          <w:sz w:val="24"/>
          <w:highlight w:val="none"/>
        </w:rPr>
        <w:t>（三）在采购过程中符合竞争要求的供应商或者报价未超过采购预算的供应商不足3家的，但</w:t>
      </w:r>
      <w:r>
        <w:rPr>
          <w:rFonts w:hint="eastAsia" w:ascii="宋体" w:hAnsi="宋体" w:eastAsia="宋体"/>
          <w:color w:val="auto"/>
          <w:sz w:val="24"/>
          <w:highlight w:val="none"/>
        </w:rPr>
        <w:t>《政府采购非招标采购方式管理办法》</w:t>
      </w:r>
      <w:r>
        <w:rPr>
          <w:rFonts w:ascii="宋体" w:hAnsi="宋体" w:eastAsia="宋体"/>
          <w:color w:val="auto"/>
          <w:sz w:val="24"/>
          <w:highlight w:val="none"/>
        </w:rPr>
        <w:t>第二十七条第二款规定的情形除外。</w:t>
      </w:r>
    </w:p>
    <w:p>
      <w:pPr>
        <w:pStyle w:val="4"/>
        <w:spacing w:beforeLines="50" w:line="400" w:lineRule="exact"/>
        <w:rPr>
          <w:rFonts w:ascii="宋体" w:hAnsi="宋体" w:eastAsia="宋体"/>
          <w:color w:val="auto"/>
          <w:highlight w:val="none"/>
        </w:rPr>
      </w:pPr>
      <w:bookmarkStart w:id="70" w:name="_Toc246095522"/>
      <w:bookmarkStart w:id="71" w:name="_Toc246094916"/>
      <w:bookmarkStart w:id="72" w:name="_Toc246095460"/>
      <w:bookmarkStart w:id="73" w:name="_Toc3773"/>
      <w:r>
        <w:rPr>
          <w:rFonts w:hint="eastAsia" w:ascii="宋体" w:hAnsi="宋体" w:eastAsia="宋体"/>
          <w:color w:val="auto"/>
          <w:highlight w:val="none"/>
        </w:rPr>
        <w:t>五、</w:t>
      </w:r>
      <w:bookmarkEnd w:id="70"/>
      <w:bookmarkEnd w:id="71"/>
      <w:bookmarkEnd w:id="72"/>
      <w:r>
        <w:rPr>
          <w:rFonts w:hint="eastAsia" w:ascii="宋体" w:hAnsi="宋体" w:eastAsia="宋体"/>
          <w:color w:val="auto"/>
          <w:highlight w:val="none"/>
        </w:rPr>
        <w:t>评审结果</w:t>
      </w:r>
      <w:bookmarkEnd w:id="73"/>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2</w:t>
      </w:r>
      <w:r>
        <w:rPr>
          <w:rFonts w:ascii="宋体" w:hAnsi="宋体" w:eastAsia="宋体"/>
          <w:b/>
          <w:color w:val="auto"/>
          <w:sz w:val="24"/>
          <w:highlight w:val="none"/>
        </w:rPr>
        <w:t>8</w:t>
      </w:r>
      <w:r>
        <w:rPr>
          <w:rFonts w:hint="eastAsia" w:ascii="宋体" w:hAnsi="宋体" w:eastAsia="宋体"/>
          <w:b/>
          <w:color w:val="auto"/>
          <w:sz w:val="24"/>
          <w:highlight w:val="none"/>
        </w:rPr>
        <w:t>. 评审结果确定</w:t>
      </w:r>
    </w:p>
    <w:p>
      <w:pPr>
        <w:spacing w:after="0" w:line="40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采购代理机构在评审结束后2个工作日内将评审报告送采购人确认。采购人在收到评审报告后5个工作日内，从评审报告提出的成交候选人中，根据质量和服务均能满足采购文件实质性响应要求且最后报价/评标价最低的原则确定成交供应商（也可以书面授权谈判小组直接确定成交供应商）。采购人逾期未确定成交供应商且不提出异议的，视为确定评审报告提出的评标价最低的供应商为成交供应商。</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2</w:t>
      </w:r>
      <w:r>
        <w:rPr>
          <w:rFonts w:ascii="宋体" w:hAnsi="宋体" w:eastAsia="宋体"/>
          <w:b/>
          <w:color w:val="auto"/>
          <w:sz w:val="24"/>
          <w:highlight w:val="none"/>
        </w:rPr>
        <w:t>9</w:t>
      </w:r>
      <w:r>
        <w:rPr>
          <w:rFonts w:hint="eastAsia" w:ascii="宋体" w:hAnsi="宋体" w:eastAsia="宋体"/>
          <w:b/>
          <w:color w:val="auto"/>
          <w:sz w:val="24"/>
          <w:highlight w:val="none"/>
        </w:rPr>
        <w:t>. 成交通知</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采购代理机构在成交供应商确定后2个工作日内，在省级以上财政部门指定的媒体上公告成交结果，同时向成交供应商发出成交通知书。</w:t>
      </w:r>
    </w:p>
    <w:p>
      <w:pPr>
        <w:pStyle w:val="4"/>
        <w:spacing w:beforeLines="100" w:line="400" w:lineRule="exact"/>
        <w:rPr>
          <w:rFonts w:ascii="宋体" w:hAnsi="宋体" w:eastAsia="宋体"/>
          <w:color w:val="auto"/>
          <w:highlight w:val="none"/>
        </w:rPr>
      </w:pPr>
      <w:bookmarkStart w:id="74" w:name="_Toc453"/>
      <w:r>
        <w:rPr>
          <w:rFonts w:hint="eastAsia" w:ascii="宋体" w:hAnsi="宋体" w:eastAsia="宋体"/>
          <w:color w:val="auto"/>
          <w:highlight w:val="none"/>
        </w:rPr>
        <w:t>六、合同授予</w:t>
      </w:r>
      <w:bookmarkEnd w:id="74"/>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30. 履约保证金</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30.1成交供应商应按供应商须知前附表规定的履约保证金的金额、方式，在签订合同前缴纳给采购人指定账户。否则,不予签订合同。</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30.2 履约保证金作为违约金的一部分及用于补偿采购人因成交供应商不能完成其合同义务而蒙受的损失。如成交供应商不按双方签订的合同规定履约，则不予退还其全部履约保证金，履约保证金不足以赔偿损失的，按实际损失赔偿。</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30.3履约担保的有效期应当自本合同生效之日起至采购人签认验收合格之日止。项目验收合格，成交供应商向采购人办理成果移交手续后，由供应商向采购人提供《政府采购项目履约保证金退付意见书》及《政府采购项目合同验收报告》（详见附件），采购人在收到合格材料后</w:t>
      </w:r>
      <w:r>
        <w:rPr>
          <w:rFonts w:ascii="宋体" w:hAnsi="宋体" w:eastAsia="宋体"/>
          <w:color w:val="auto"/>
          <w:sz w:val="24"/>
          <w:highlight w:val="none"/>
        </w:rPr>
        <w:t>5</w:t>
      </w:r>
      <w:r>
        <w:rPr>
          <w:rFonts w:hint="eastAsia" w:ascii="宋体" w:hAnsi="宋体" w:eastAsia="宋体"/>
          <w:color w:val="auto"/>
          <w:sz w:val="24"/>
          <w:highlight w:val="none"/>
        </w:rPr>
        <w:t>个日历天内扣减成交供应商赔偿金和其他应从成交供应商扣回的款项后，将履约保证金的余额退还给成交供应商（无息）。</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30.4在履约保证金退还日期前，若成交供应商的开户名称、开户银行、账号有变动的，请以书面形式通知采购人，否则由此产生的后果由成交供应商自负。</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31. 签订合同</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31</w:t>
      </w:r>
      <w:r>
        <w:rPr>
          <w:rFonts w:ascii="宋体" w:hAnsi="宋体" w:eastAsia="宋体"/>
          <w:color w:val="auto"/>
          <w:sz w:val="24"/>
          <w:highlight w:val="none"/>
        </w:rPr>
        <w:t>.1</w:t>
      </w:r>
      <w:r>
        <w:rPr>
          <w:rFonts w:hint="eastAsia" w:ascii="宋体" w:hAnsi="宋体" w:eastAsia="宋体"/>
          <w:color w:val="auto"/>
          <w:sz w:val="24"/>
          <w:highlight w:val="none"/>
        </w:rPr>
        <w:t>成交供应商应</w:t>
      </w:r>
      <w:r>
        <w:rPr>
          <w:rFonts w:hint="eastAsia" w:ascii="宋体" w:hAnsi="宋体" w:eastAsia="宋体"/>
          <w:color w:val="auto"/>
          <w:sz w:val="24"/>
          <w:highlight w:val="none"/>
          <w:lang w:eastAsia="zh-CN"/>
        </w:rPr>
        <w:t>在</w:t>
      </w:r>
      <w:r>
        <w:rPr>
          <w:rFonts w:hint="eastAsia" w:ascii="宋体" w:hAnsi="宋体" w:eastAsia="宋体"/>
          <w:color w:val="auto"/>
          <w:sz w:val="24"/>
          <w:highlight w:val="none"/>
        </w:rPr>
        <w:t>成交通知书</w:t>
      </w:r>
      <w:r>
        <w:rPr>
          <w:rFonts w:hint="eastAsia" w:ascii="宋体" w:hAnsi="宋体" w:eastAsia="宋体"/>
          <w:color w:val="auto"/>
          <w:sz w:val="24"/>
          <w:highlight w:val="none"/>
          <w:lang w:eastAsia="zh-CN"/>
        </w:rPr>
        <w:t>发出之日起</w:t>
      </w:r>
      <w:r>
        <w:rPr>
          <w:rFonts w:hint="eastAsia" w:ascii="宋体" w:hAnsi="宋体" w:eastAsia="宋体"/>
          <w:color w:val="auto"/>
          <w:sz w:val="24"/>
          <w:highlight w:val="none"/>
          <w:lang w:val="en-US" w:eastAsia="zh-CN"/>
        </w:rPr>
        <w:t>15天内</w:t>
      </w:r>
      <w:r>
        <w:rPr>
          <w:rFonts w:hint="eastAsia" w:ascii="宋体" w:hAnsi="宋体" w:eastAsia="宋体"/>
          <w:color w:val="auto"/>
          <w:sz w:val="24"/>
          <w:highlight w:val="none"/>
        </w:rPr>
        <w:t>与采购人签订合同。</w:t>
      </w:r>
      <w:r>
        <w:rPr>
          <w:rFonts w:hint="eastAsia" w:ascii="宋体" w:hAnsi="宋体" w:eastAsia="宋体" w:cs="Arial"/>
          <w:color w:val="auto"/>
          <w:sz w:val="24"/>
          <w:highlight w:val="none"/>
        </w:rPr>
        <w:t>谈判文件、成交供应商的响应文件、应答文件等，均为签订政府采购合同的依据。</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31</w:t>
      </w:r>
      <w:r>
        <w:rPr>
          <w:rFonts w:ascii="宋体" w:hAnsi="宋体" w:eastAsia="宋体"/>
          <w:color w:val="auto"/>
          <w:sz w:val="24"/>
          <w:highlight w:val="none"/>
        </w:rPr>
        <w:t>.2</w:t>
      </w:r>
      <w:r>
        <w:rPr>
          <w:rFonts w:hint="eastAsia" w:ascii="宋体" w:hAnsi="宋体" w:eastAsia="宋体"/>
          <w:color w:val="auto"/>
          <w:sz w:val="24"/>
          <w:highlight w:val="none"/>
        </w:rPr>
        <w:t>如成交供应商不按成交通知书的规定签订合同，则按成交供应商违约处理，采购代理机构将不予退还成交供应商谈判保证金并上缴财政国库。</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31</w:t>
      </w:r>
      <w:r>
        <w:rPr>
          <w:rFonts w:ascii="宋体" w:hAnsi="宋体" w:eastAsia="宋体"/>
          <w:color w:val="auto"/>
          <w:sz w:val="24"/>
          <w:highlight w:val="none"/>
        </w:rPr>
        <w:t>.3成交供应商拒绝签订政府采购合同的，</w:t>
      </w:r>
      <w:r>
        <w:rPr>
          <w:rFonts w:hint="eastAsia" w:ascii="宋体" w:hAnsi="宋体" w:eastAsia="宋体"/>
          <w:color w:val="auto"/>
          <w:sz w:val="24"/>
          <w:highlight w:val="none"/>
        </w:rPr>
        <w:t>如</w:t>
      </w:r>
      <w:r>
        <w:rPr>
          <w:rFonts w:ascii="宋体" w:hAnsi="宋体" w:eastAsia="宋体"/>
          <w:color w:val="auto"/>
          <w:sz w:val="24"/>
          <w:highlight w:val="none"/>
        </w:rPr>
        <w:t>政府采购活动或</w:t>
      </w:r>
      <w:r>
        <w:rPr>
          <w:rFonts w:hint="eastAsia" w:ascii="宋体" w:hAnsi="宋体" w:eastAsia="宋体"/>
          <w:color w:val="auto"/>
          <w:sz w:val="24"/>
          <w:highlight w:val="none"/>
        </w:rPr>
        <w:t>成交</w:t>
      </w:r>
      <w:r>
        <w:rPr>
          <w:rFonts w:ascii="宋体" w:hAnsi="宋体" w:eastAsia="宋体"/>
          <w:color w:val="auto"/>
          <w:sz w:val="24"/>
          <w:highlight w:val="none"/>
        </w:rPr>
        <w:t>供应商不存在违法违规情形的，采购人可以根据采购项目的实际情况，综合考虑递补供应商的经济性和效率等因素，自主确定是否重新开展采购活动或确定下一候选人为成交供应商。</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31.</w:t>
      </w:r>
      <w:r>
        <w:rPr>
          <w:rFonts w:ascii="宋体" w:hAnsi="宋体" w:eastAsia="宋体"/>
          <w:color w:val="auto"/>
          <w:sz w:val="24"/>
          <w:highlight w:val="none"/>
        </w:rPr>
        <w:t>4</w:t>
      </w:r>
      <w:r>
        <w:rPr>
          <w:rFonts w:hint="eastAsia" w:ascii="宋体" w:hAnsi="宋体" w:eastAsia="宋体"/>
          <w:color w:val="auto"/>
          <w:sz w:val="24"/>
          <w:highlight w:val="none"/>
        </w:rPr>
        <w:t>采购人或成交供应商不得单方面向合同另一方提出任何竞争性谈判文件没有约定的条件或不合理的要求，作为签订合同的条件，也不得协商另行订立背离竞争性谈判文件和合同实质性内容的协议。</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31.5在合同履行中，采购人需追加与合同标的相同的货物、工程或者服务的，在不改变原合同条款的前提下，可以与供应商协商签订补充合同，但所有补充合同的采购金额不得超过原采购合同金额的10%。</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32. 政府采购合同公告</w:t>
      </w:r>
    </w:p>
    <w:p>
      <w:pPr>
        <w:spacing w:after="0" w:line="40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根据</w:t>
      </w:r>
      <w:r>
        <w:rPr>
          <w:rFonts w:ascii="宋体" w:hAnsi="宋体" w:eastAsia="宋体" w:cs="Arial"/>
          <w:color w:val="auto"/>
          <w:sz w:val="24"/>
          <w:highlight w:val="none"/>
        </w:rPr>
        <w:t>《中华人民共和国政府采购法实施条例》第五十条</w:t>
      </w:r>
      <w:r>
        <w:rPr>
          <w:rFonts w:hint="eastAsia" w:ascii="宋体" w:hAnsi="宋体" w:eastAsia="宋体" w:cs="Arial"/>
          <w:color w:val="auto"/>
          <w:sz w:val="24"/>
          <w:highlight w:val="none"/>
        </w:rPr>
        <w:t>规定，采购人应当自政府采购合同签订之日起2个工作日内，将政府采购合同在省级以上人民政府财政部门指定的媒体上公告，</w:t>
      </w:r>
      <w:r>
        <w:rPr>
          <w:rFonts w:ascii="宋体" w:hAnsi="宋体" w:eastAsia="宋体" w:cs="Arial"/>
          <w:color w:val="auto"/>
          <w:sz w:val="24"/>
          <w:highlight w:val="none"/>
        </w:rPr>
        <w:t>但政府采购合同中涉及国家秘密、商业秘密的内容除外。</w:t>
      </w:r>
    </w:p>
    <w:p>
      <w:pPr>
        <w:pStyle w:val="4"/>
        <w:spacing w:beforeLines="100" w:line="400" w:lineRule="exact"/>
        <w:rPr>
          <w:rFonts w:ascii="宋体" w:hAnsi="宋体" w:eastAsia="宋体"/>
          <w:color w:val="auto"/>
          <w:highlight w:val="none"/>
        </w:rPr>
      </w:pPr>
      <w:bookmarkStart w:id="75" w:name="_Toc246095523"/>
      <w:bookmarkStart w:id="76" w:name="_Toc246095461"/>
      <w:bookmarkStart w:id="77" w:name="_Toc23225"/>
      <w:bookmarkStart w:id="78" w:name="_Toc246094917"/>
      <w:r>
        <w:rPr>
          <w:rFonts w:hint="eastAsia" w:ascii="宋体" w:hAnsi="宋体" w:eastAsia="宋体"/>
          <w:color w:val="auto"/>
          <w:highlight w:val="none"/>
        </w:rPr>
        <w:t>七、其他</w:t>
      </w:r>
      <w:bookmarkEnd w:id="75"/>
      <w:bookmarkEnd w:id="76"/>
      <w:bookmarkEnd w:id="77"/>
      <w:bookmarkEnd w:id="78"/>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33. 招标代理服务费</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33.1本项目招标代理服务费按本章33.2款规定的货物类费率标准，按差额定率累进法计算。成交人领取成交通知书前，应向采购代理机构一次付清招标代理服务费，否则，采购代理机构将视之为违约。</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33.2招标代理服务费标准：</w:t>
      </w:r>
    </w:p>
    <w:tbl>
      <w:tblPr>
        <w:tblStyle w:val="38"/>
        <w:tblW w:w="85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3"/>
        <w:gridCol w:w="1920"/>
        <w:gridCol w:w="1907"/>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3" w:type="dxa"/>
            <w:tcBorders>
              <w:tl2br w:val="single" w:color="auto" w:sz="4" w:space="0"/>
            </w:tcBorders>
          </w:tcPr>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 xml:space="preserve">             费率</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中标金额</w:t>
            </w:r>
          </w:p>
        </w:tc>
        <w:tc>
          <w:tcPr>
            <w:tcW w:w="1920" w:type="dxa"/>
            <w:vAlign w:val="center"/>
          </w:tcPr>
          <w:p>
            <w:pPr>
              <w:spacing w:after="0" w:line="400" w:lineRule="exact"/>
              <w:jc w:val="center"/>
              <w:rPr>
                <w:rFonts w:ascii="宋体" w:hAnsi="宋体" w:eastAsia="宋体"/>
                <w:color w:val="auto"/>
                <w:sz w:val="24"/>
                <w:highlight w:val="none"/>
              </w:rPr>
            </w:pPr>
            <w:r>
              <w:rPr>
                <w:rFonts w:hint="eastAsia" w:ascii="宋体" w:hAnsi="宋体" w:eastAsia="宋体"/>
                <w:color w:val="auto"/>
                <w:sz w:val="24"/>
                <w:highlight w:val="none"/>
              </w:rPr>
              <w:t>货物招标</w:t>
            </w:r>
          </w:p>
        </w:tc>
        <w:tc>
          <w:tcPr>
            <w:tcW w:w="1907" w:type="dxa"/>
            <w:vAlign w:val="center"/>
          </w:tcPr>
          <w:p>
            <w:pPr>
              <w:spacing w:after="0" w:line="400" w:lineRule="exact"/>
              <w:jc w:val="center"/>
              <w:rPr>
                <w:rFonts w:ascii="宋体" w:hAnsi="宋体" w:eastAsia="宋体"/>
                <w:color w:val="auto"/>
                <w:sz w:val="24"/>
                <w:highlight w:val="none"/>
              </w:rPr>
            </w:pPr>
            <w:r>
              <w:rPr>
                <w:rFonts w:hint="eastAsia" w:ascii="宋体" w:hAnsi="宋体" w:eastAsia="宋体"/>
                <w:color w:val="auto"/>
                <w:sz w:val="24"/>
                <w:highlight w:val="none"/>
              </w:rPr>
              <w:t>服务招标</w:t>
            </w:r>
          </w:p>
        </w:tc>
        <w:tc>
          <w:tcPr>
            <w:tcW w:w="1683" w:type="dxa"/>
            <w:vAlign w:val="center"/>
          </w:tcPr>
          <w:p>
            <w:pPr>
              <w:spacing w:after="0" w:line="400" w:lineRule="exact"/>
              <w:jc w:val="center"/>
              <w:rPr>
                <w:rFonts w:ascii="宋体" w:hAnsi="宋体" w:eastAsia="宋体"/>
                <w:color w:val="auto"/>
                <w:sz w:val="24"/>
                <w:highlight w:val="none"/>
              </w:rPr>
            </w:pPr>
            <w:r>
              <w:rPr>
                <w:rFonts w:hint="eastAsia" w:ascii="宋体" w:hAnsi="宋体" w:eastAsia="宋体"/>
                <w:color w:val="auto"/>
                <w:sz w:val="24"/>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043" w:type="dxa"/>
          </w:tcPr>
          <w:p>
            <w:pPr>
              <w:spacing w:after="0" w:line="320" w:lineRule="exact"/>
              <w:jc w:val="center"/>
              <w:rPr>
                <w:rFonts w:ascii="宋体" w:hAnsi="宋体" w:eastAsia="宋体"/>
                <w:color w:val="auto"/>
                <w:sz w:val="24"/>
                <w:highlight w:val="none"/>
              </w:rPr>
            </w:pPr>
            <w:r>
              <w:rPr>
                <w:rFonts w:hint="eastAsia" w:ascii="宋体" w:hAnsi="宋体" w:eastAsia="宋体"/>
                <w:color w:val="auto"/>
                <w:sz w:val="24"/>
                <w:highlight w:val="none"/>
              </w:rPr>
              <w:t>100万元以下</w:t>
            </w:r>
          </w:p>
        </w:tc>
        <w:tc>
          <w:tcPr>
            <w:tcW w:w="1920" w:type="dxa"/>
          </w:tcPr>
          <w:p>
            <w:pPr>
              <w:spacing w:after="0" w:line="320" w:lineRule="exact"/>
              <w:jc w:val="center"/>
              <w:rPr>
                <w:rFonts w:ascii="宋体" w:hAnsi="宋体" w:eastAsia="宋体"/>
                <w:color w:val="auto"/>
                <w:sz w:val="24"/>
                <w:highlight w:val="none"/>
              </w:rPr>
            </w:pPr>
            <w:r>
              <w:rPr>
                <w:rFonts w:hint="eastAsia" w:ascii="宋体" w:hAnsi="宋体" w:eastAsia="宋体"/>
                <w:color w:val="auto"/>
                <w:sz w:val="24"/>
                <w:highlight w:val="none"/>
              </w:rPr>
              <w:t>1.5%</w:t>
            </w:r>
          </w:p>
        </w:tc>
        <w:tc>
          <w:tcPr>
            <w:tcW w:w="1907" w:type="dxa"/>
          </w:tcPr>
          <w:p>
            <w:pPr>
              <w:spacing w:after="0" w:line="320" w:lineRule="exact"/>
              <w:jc w:val="center"/>
              <w:rPr>
                <w:rFonts w:ascii="宋体" w:hAnsi="宋体" w:eastAsia="宋体"/>
                <w:color w:val="auto"/>
                <w:sz w:val="24"/>
                <w:highlight w:val="none"/>
              </w:rPr>
            </w:pPr>
            <w:r>
              <w:rPr>
                <w:rFonts w:hint="eastAsia" w:ascii="宋体" w:hAnsi="宋体" w:eastAsia="宋体"/>
                <w:color w:val="auto"/>
                <w:sz w:val="24"/>
                <w:highlight w:val="none"/>
              </w:rPr>
              <w:t>1.5%</w:t>
            </w:r>
          </w:p>
        </w:tc>
        <w:tc>
          <w:tcPr>
            <w:tcW w:w="1683" w:type="dxa"/>
          </w:tcPr>
          <w:p>
            <w:pPr>
              <w:spacing w:after="0" w:line="320" w:lineRule="exact"/>
              <w:jc w:val="center"/>
              <w:rPr>
                <w:rFonts w:ascii="宋体" w:hAnsi="宋体" w:eastAsia="宋体"/>
                <w:color w:val="auto"/>
                <w:sz w:val="24"/>
                <w:highlight w:val="none"/>
              </w:rPr>
            </w:pPr>
            <w:r>
              <w:rPr>
                <w:rFonts w:hint="eastAsia" w:ascii="宋体" w:hAnsi="宋体" w:eastAsia="宋体"/>
                <w:color w:val="auto"/>
                <w:sz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043" w:type="dxa"/>
            <w:vAlign w:val="center"/>
          </w:tcPr>
          <w:p>
            <w:pPr>
              <w:widowControl/>
              <w:jc w:val="left"/>
              <w:rPr>
                <w:rFonts w:hint="eastAsia" w:ascii="宋体" w:hAnsi="宋体" w:eastAsia="宋体"/>
                <w:color w:val="auto"/>
                <w:sz w:val="24"/>
                <w:highlight w:val="none"/>
              </w:rPr>
            </w:pPr>
            <w:r>
              <w:rPr>
                <w:rFonts w:ascii="??" w:hAnsi="??" w:cs="宋体"/>
                <w:color w:val="auto"/>
                <w:kern w:val="0"/>
                <w:sz w:val="24"/>
                <w:highlight w:val="none"/>
              </w:rPr>
              <w:t>　　</w:t>
            </w:r>
            <w:r>
              <w:rPr>
                <w:rFonts w:hint="eastAsia" w:ascii="??" w:hAnsi="??" w:cs="宋体"/>
                <w:color w:val="auto"/>
                <w:kern w:val="0"/>
                <w:sz w:val="24"/>
                <w:highlight w:val="none"/>
                <w:lang w:val="en-US" w:eastAsia="zh-CN"/>
              </w:rPr>
              <w:t xml:space="preserve">   </w:t>
            </w:r>
            <w:r>
              <w:rPr>
                <w:rFonts w:ascii="??" w:hAnsi="??" w:cs="宋体"/>
                <w:color w:val="auto"/>
                <w:kern w:val="0"/>
                <w:sz w:val="24"/>
                <w:highlight w:val="none"/>
              </w:rPr>
              <w:t>100-500</w:t>
            </w:r>
            <w:r>
              <w:rPr>
                <w:rFonts w:hint="eastAsia" w:ascii="宋体" w:hAnsi="宋体" w:eastAsia="宋体"/>
                <w:color w:val="auto"/>
                <w:sz w:val="24"/>
                <w:highlight w:val="none"/>
              </w:rPr>
              <w:t>万元</w:t>
            </w:r>
          </w:p>
        </w:tc>
        <w:tc>
          <w:tcPr>
            <w:tcW w:w="1920" w:type="dxa"/>
            <w:vAlign w:val="center"/>
          </w:tcPr>
          <w:p>
            <w:pPr>
              <w:widowControl/>
              <w:jc w:val="left"/>
              <w:rPr>
                <w:rFonts w:hint="eastAsia" w:ascii="宋体" w:hAnsi="宋体" w:eastAsia="宋体"/>
                <w:color w:val="auto"/>
                <w:sz w:val="24"/>
                <w:highlight w:val="none"/>
              </w:rPr>
            </w:pPr>
            <w:r>
              <w:rPr>
                <w:rFonts w:ascii="??" w:hAnsi="??" w:cs="宋体"/>
                <w:color w:val="auto"/>
                <w:kern w:val="0"/>
                <w:sz w:val="24"/>
                <w:highlight w:val="none"/>
              </w:rPr>
              <w:t>　　1.1</w:t>
            </w:r>
          </w:p>
        </w:tc>
        <w:tc>
          <w:tcPr>
            <w:tcW w:w="1907" w:type="dxa"/>
            <w:vAlign w:val="center"/>
          </w:tcPr>
          <w:p>
            <w:pPr>
              <w:widowControl/>
              <w:jc w:val="left"/>
              <w:rPr>
                <w:rFonts w:hint="eastAsia" w:ascii="宋体" w:hAnsi="宋体" w:eastAsia="宋体"/>
                <w:color w:val="auto"/>
                <w:sz w:val="24"/>
                <w:highlight w:val="none"/>
              </w:rPr>
            </w:pPr>
            <w:r>
              <w:rPr>
                <w:rFonts w:ascii="??" w:hAnsi="??" w:cs="宋体"/>
                <w:color w:val="auto"/>
                <w:kern w:val="0"/>
                <w:sz w:val="24"/>
                <w:highlight w:val="none"/>
              </w:rPr>
              <w:t>　　0.8</w:t>
            </w:r>
          </w:p>
        </w:tc>
        <w:tc>
          <w:tcPr>
            <w:tcW w:w="1683" w:type="dxa"/>
            <w:vAlign w:val="center"/>
          </w:tcPr>
          <w:p>
            <w:pPr>
              <w:widowControl/>
              <w:jc w:val="left"/>
              <w:rPr>
                <w:rFonts w:hint="eastAsia" w:ascii="宋体" w:hAnsi="宋体" w:eastAsia="宋体"/>
                <w:color w:val="auto"/>
                <w:sz w:val="24"/>
                <w:highlight w:val="none"/>
              </w:rPr>
            </w:pPr>
            <w:r>
              <w:rPr>
                <w:rFonts w:ascii="??" w:hAnsi="??" w:cs="宋体"/>
                <w:color w:val="auto"/>
                <w:kern w:val="0"/>
                <w:sz w:val="24"/>
                <w:highlight w:val="none"/>
              </w:rPr>
              <w:t>　　0.7</w:t>
            </w:r>
          </w:p>
        </w:tc>
      </w:tr>
    </w:tbl>
    <w:p>
      <w:pPr>
        <w:spacing w:after="0" w:line="400" w:lineRule="exact"/>
        <w:ind w:firstLine="482" w:firstLineChars="200"/>
        <w:rPr>
          <w:rFonts w:ascii="宋体" w:hAnsi="宋体" w:eastAsia="宋体"/>
          <w:b/>
          <w:color w:val="auto"/>
          <w:sz w:val="24"/>
          <w:highlight w:val="none"/>
        </w:rPr>
      </w:pP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34. 询问、质疑和投诉</w:t>
      </w:r>
    </w:p>
    <w:p>
      <w:pPr>
        <w:spacing w:after="0" w:line="400" w:lineRule="exact"/>
        <w:ind w:firstLine="480" w:firstLineChars="200"/>
        <w:rPr>
          <w:rFonts w:ascii="宋体" w:hAnsi="宋体" w:eastAsia="宋体" w:cs="Arial"/>
          <w:color w:val="auto"/>
          <w:sz w:val="24"/>
          <w:highlight w:val="none"/>
        </w:rPr>
      </w:pPr>
      <w:r>
        <w:rPr>
          <w:rFonts w:ascii="宋体" w:hAnsi="宋体" w:eastAsia="宋体" w:cs="Arial"/>
          <w:color w:val="auto"/>
          <w:sz w:val="24"/>
          <w:highlight w:val="none"/>
        </w:rPr>
        <w:t>34</w:t>
      </w:r>
      <w:r>
        <w:rPr>
          <w:rFonts w:hint="eastAsia" w:ascii="宋体" w:hAnsi="宋体" w:eastAsia="宋体" w:cs="Arial"/>
          <w:color w:val="auto"/>
          <w:sz w:val="24"/>
          <w:highlight w:val="none"/>
        </w:rPr>
        <w:t>.1供应商对政府采购活动事项有疑问的，可以向采购人、采购代理机构提出询问。</w:t>
      </w:r>
    </w:p>
    <w:p>
      <w:pPr>
        <w:spacing w:after="0" w:line="400" w:lineRule="exact"/>
        <w:ind w:firstLine="480" w:firstLineChars="200"/>
        <w:rPr>
          <w:rFonts w:ascii="宋体" w:hAnsi="宋体" w:eastAsia="宋体" w:cs="Arial"/>
          <w:color w:val="auto"/>
          <w:sz w:val="24"/>
          <w:highlight w:val="none"/>
        </w:rPr>
      </w:pPr>
      <w:r>
        <w:rPr>
          <w:rFonts w:ascii="宋体" w:hAnsi="宋体" w:eastAsia="宋体" w:cs="Arial"/>
          <w:color w:val="auto"/>
          <w:sz w:val="24"/>
          <w:highlight w:val="none"/>
        </w:rPr>
        <w:t>34</w:t>
      </w:r>
      <w:r>
        <w:rPr>
          <w:rFonts w:hint="eastAsia" w:ascii="宋体" w:hAnsi="宋体" w:eastAsia="宋体" w:cs="Arial"/>
          <w:color w:val="auto"/>
          <w:sz w:val="24"/>
          <w:highlight w:val="none"/>
        </w:rPr>
        <w:t>.2供应商认为采购文件、采购过程或成交结果使自己的合法权益受到损害的，应当在知道或者应知其权益受到损害之日起七个工作日内，以书面形式向采购人、采购代理机构提出质疑。具体计算起算时间如下：</w:t>
      </w:r>
    </w:p>
    <w:p>
      <w:pPr>
        <w:spacing w:after="0" w:line="40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（一）对可以质疑的采购文件提出质疑的，为收到采购文件之日或者采购文件公告期限届满之日；</w:t>
      </w:r>
    </w:p>
    <w:p>
      <w:pPr>
        <w:spacing w:after="0" w:line="40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（二）对采购过程提出质疑的，为各采购程序环节结束之日；</w:t>
      </w:r>
    </w:p>
    <w:p>
      <w:pPr>
        <w:spacing w:after="0" w:line="40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（三）对成交结果提出质疑的，为成交结果公告期限届满之日。</w:t>
      </w:r>
    </w:p>
    <w:p>
      <w:pPr>
        <w:spacing w:after="0" w:line="40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采购人或采购代理机构在收到供应商书面质疑后</w:t>
      </w:r>
      <w:r>
        <w:rPr>
          <w:rFonts w:ascii="宋体" w:hAnsi="宋体" w:eastAsia="宋体" w:cs="Arial"/>
          <w:color w:val="auto"/>
          <w:sz w:val="24"/>
          <w:highlight w:val="none"/>
        </w:rPr>
        <w:t>7</w:t>
      </w:r>
      <w:r>
        <w:rPr>
          <w:rFonts w:hint="eastAsia" w:ascii="宋体" w:hAnsi="宋体" w:eastAsia="宋体" w:cs="Arial"/>
          <w:color w:val="auto"/>
          <w:sz w:val="24"/>
          <w:highlight w:val="none"/>
        </w:rPr>
        <w:t>个工作日内，对质疑内容作出答复。供应商对采购人或采购代理机构的质疑答复不满意或者采购人或采购代理机构未在规定时间内作出答复的，可以在答复期满后十五个工作日内向同级采购监管部门投诉。</w:t>
      </w:r>
    </w:p>
    <w:p>
      <w:pPr>
        <w:spacing w:after="0" w:line="400" w:lineRule="exact"/>
        <w:ind w:firstLine="480" w:firstLineChars="200"/>
        <w:rPr>
          <w:rFonts w:ascii="宋体" w:hAnsi="宋体" w:eastAsia="宋体" w:cs="Arial"/>
          <w:color w:val="auto"/>
          <w:sz w:val="24"/>
          <w:highlight w:val="none"/>
        </w:rPr>
      </w:pPr>
      <w:r>
        <w:rPr>
          <w:rFonts w:ascii="宋体" w:hAnsi="宋体" w:eastAsia="宋体" w:cs="Arial"/>
          <w:color w:val="auto"/>
          <w:sz w:val="24"/>
          <w:highlight w:val="none"/>
        </w:rPr>
        <w:t>34</w:t>
      </w:r>
      <w:r>
        <w:rPr>
          <w:rFonts w:hint="eastAsia" w:ascii="宋体" w:hAnsi="宋体" w:eastAsia="宋体" w:cs="Arial"/>
          <w:color w:val="auto"/>
          <w:sz w:val="24"/>
          <w:highlight w:val="none"/>
        </w:rPr>
        <w:t>.3供应商的</w:t>
      </w:r>
      <w:r>
        <w:rPr>
          <w:rFonts w:hint="eastAsia" w:ascii="宋体" w:hAnsi="宋体" w:eastAsia="宋体" w:cs="Arial"/>
          <w:bCs/>
          <w:color w:val="auto"/>
          <w:sz w:val="24"/>
          <w:highlight w:val="none"/>
        </w:rPr>
        <w:t>质疑和投诉行为应当符合《政府采购质疑和投诉办法》（中华人民共和国财政部令第94号）规定。</w:t>
      </w:r>
      <w:r>
        <w:rPr>
          <w:rFonts w:hint="eastAsia" w:ascii="宋体" w:hAnsi="宋体" w:eastAsia="宋体" w:cs="Arial"/>
          <w:color w:val="auto"/>
          <w:sz w:val="24"/>
          <w:highlight w:val="none"/>
        </w:rPr>
        <w:t>质疑、投诉应当采用书面形式，</w:t>
      </w:r>
      <w:r>
        <w:rPr>
          <w:rFonts w:hint="eastAsia" w:ascii="宋体" w:hAnsi="宋体" w:eastAsia="宋体" w:cs="Arial"/>
          <w:bCs/>
          <w:color w:val="auto"/>
          <w:sz w:val="24"/>
          <w:highlight w:val="none"/>
        </w:rPr>
        <w:t>质疑函、投诉书应按财政部发布《政府采购供应商质疑函范本》、《政府采购供应商投诉书范本》编制，</w:t>
      </w:r>
      <w:r>
        <w:rPr>
          <w:rFonts w:hint="eastAsia" w:ascii="宋体" w:hAnsi="宋体" w:eastAsia="宋体" w:cs="Arial"/>
          <w:color w:val="auto"/>
          <w:sz w:val="24"/>
          <w:highlight w:val="none"/>
        </w:rPr>
        <w:t>质疑书、投诉书均应明确阐述采购文件、采购过程、成交结果中使自己合法权益受到损害的实质性内容，提供相关事实、明确的请求、必要的证明材料，便于有关单位调查、答复和处理。</w:t>
      </w:r>
    </w:p>
    <w:p>
      <w:pPr>
        <w:spacing w:after="0" w:line="40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供应商提出质疑应当提交质疑函和必要的证明材料，针对同一采购程序环节的质疑必须在法定质疑期内一次性提出。</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35. 适用法律</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采购当事人的一切活动均适用于《中华人民共和国政府采购法》、《中华人民共和国政府采购法实施条例》、《</w:t>
      </w:r>
      <w:r>
        <w:rPr>
          <w:rFonts w:ascii="宋体" w:hAnsi="宋体" w:eastAsia="宋体"/>
          <w:color w:val="auto"/>
          <w:sz w:val="24"/>
          <w:highlight w:val="none"/>
        </w:rPr>
        <w:t>政府采购非招标采购方式管理办法</w:t>
      </w:r>
      <w:r>
        <w:rPr>
          <w:rFonts w:hint="eastAsia" w:ascii="宋体" w:hAnsi="宋体" w:eastAsia="宋体"/>
          <w:color w:val="auto"/>
          <w:sz w:val="24"/>
          <w:highlight w:val="none"/>
        </w:rPr>
        <w:t>》及相关规定。</w:t>
      </w:r>
    </w:p>
    <w:p>
      <w:pPr>
        <w:spacing w:after="0" w:line="400" w:lineRule="exact"/>
        <w:ind w:firstLine="480" w:firstLineChars="200"/>
        <w:rPr>
          <w:rFonts w:ascii="宋体" w:hAnsi="宋体" w:eastAsia="宋体"/>
          <w:color w:val="auto"/>
          <w:sz w:val="24"/>
          <w:highlight w:val="none"/>
        </w:rPr>
      </w:pPr>
    </w:p>
    <w:p>
      <w:pPr>
        <w:spacing w:after="0" w:line="400" w:lineRule="exact"/>
        <w:ind w:firstLine="440" w:firstLineChars="200"/>
        <w:rPr>
          <w:rFonts w:ascii="宋体" w:hAnsi="宋体" w:eastAsia="宋体"/>
          <w:color w:val="auto"/>
          <w:highlight w:val="none"/>
        </w:rPr>
        <w:sectPr>
          <w:headerReference r:id="rId9" w:type="first"/>
          <w:footerReference r:id="rId10" w:type="default"/>
          <w:footerReference r:id="rId11" w:type="even"/>
          <w:pgSz w:w="11907" w:h="16840"/>
          <w:pgMar w:top="1077" w:right="1275" w:bottom="1418" w:left="1077" w:header="624" w:footer="737" w:gutter="0"/>
          <w:pgNumType w:start="1"/>
          <w:cols w:space="720" w:num="1"/>
          <w:docGrid w:linePitch="312" w:charSpace="0"/>
        </w:sectPr>
      </w:pPr>
    </w:p>
    <w:p>
      <w:pPr>
        <w:pStyle w:val="3"/>
        <w:spacing w:beforeLines="50" w:afterLines="50"/>
        <w:ind w:firstLine="723" w:firstLineChars="200"/>
        <w:rPr>
          <w:rFonts w:ascii="宋体" w:hAnsi="宋体" w:eastAsia="宋体"/>
          <w:b/>
          <w:bCs/>
          <w:color w:val="auto"/>
          <w:highlight w:val="none"/>
        </w:rPr>
      </w:pPr>
      <w:bookmarkStart w:id="79" w:name="_Toc14373"/>
      <w:r>
        <w:rPr>
          <w:rFonts w:hint="eastAsia" w:ascii="宋体" w:hAnsi="宋体" w:eastAsia="宋体"/>
          <w:b/>
          <w:bCs/>
          <w:color w:val="auto"/>
          <w:highlight w:val="none"/>
        </w:rPr>
        <w:t>第三章  项目采购需求和说明</w:t>
      </w:r>
      <w:bookmarkEnd w:id="79"/>
    </w:p>
    <w:p>
      <w:pPr>
        <w:adjustRightInd/>
        <w:snapToGrid/>
        <w:spacing w:line="220" w:lineRule="atLeast"/>
        <w:rPr>
          <w:rFonts w:ascii="宋体" w:hAnsi="宋体" w:eastAsia="宋体"/>
          <w:color w:val="auto"/>
          <w:sz w:val="24"/>
          <w:highlight w:val="none"/>
        </w:rPr>
      </w:pPr>
    </w:p>
    <w:p>
      <w:pPr>
        <w:adjustRightInd/>
        <w:snapToGrid/>
        <w:spacing w:line="220" w:lineRule="atLeast"/>
        <w:jc w:val="center"/>
        <w:rPr>
          <w:rFonts w:ascii="宋体" w:hAnsi="宋体" w:eastAsia="宋体"/>
          <w:b/>
          <w:bCs/>
          <w:color w:val="auto"/>
          <w:sz w:val="32"/>
          <w:szCs w:val="32"/>
          <w:highlight w:val="none"/>
        </w:rPr>
      </w:pPr>
      <w:r>
        <w:rPr>
          <w:rFonts w:hint="eastAsia" w:ascii="宋体" w:hAnsi="宋体" w:eastAsia="宋体"/>
          <w:b/>
          <w:bCs/>
          <w:color w:val="auto"/>
          <w:sz w:val="32"/>
          <w:szCs w:val="32"/>
          <w:highlight w:val="none"/>
        </w:rPr>
        <w:t>采购项目技术规格、参数及要求</w:t>
      </w:r>
    </w:p>
    <w:p>
      <w:pPr>
        <w:spacing w:after="0" w:line="400" w:lineRule="exact"/>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1、本一览表中设备或货物的技术参数及其性能（配置）是本项目的基本要求，竞标人可选优于本一览表的技术参数性能（配置）要求的设备或货物进行应标。 </w:t>
      </w:r>
    </w:p>
    <w:p>
      <w:pPr>
        <w:spacing w:after="0" w:line="400" w:lineRule="exact"/>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2、本项目采购需求中技术参数及需求不明确或有误的，请以详细、正确的技术参数进行响应并承诺，同时填写“技术响应、偏离情况说明表”。</w:t>
      </w:r>
    </w:p>
    <w:p>
      <w:pPr>
        <w:spacing w:after="0" w:line="400" w:lineRule="exact"/>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供应商必须自行为其竞标产品侵犯其他供应商或专利人的专利成果承担相应法律责任；同时，具有产品专利的供应商应在其响应文件中提供与其自有产品专利相关的有效证明材料，否则，不能就其产品的专利在本项目竞标过程中被侵权问题提出异议。</w:t>
      </w:r>
    </w:p>
    <w:p>
      <w:pPr>
        <w:spacing w:after="0" w:line="40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w:t>
      </w:r>
      <w:r>
        <w:rPr>
          <w:rFonts w:hint="eastAsia" w:asciiTheme="minorEastAsia" w:hAnsiTheme="minorEastAsia" w:eastAsiaTheme="minorEastAsia"/>
          <w:color w:val="auto"/>
          <w:sz w:val="24"/>
          <w:highlight w:val="none"/>
          <w:u w:val="single"/>
        </w:rPr>
        <w:t>本次采购将依据强制采购节能产品品目清单和节能产品认证证书实施政府强制采购。若采购货物含有此类产品时，供应商的竞标货物必须使用政府强制采购的节能产品，供应商在响应文件中必须提供所投产品获得国家确定的认证机构出具的、处于有效期之内的节能产品认证证书复印件（加盖供应商单位公章），否则相应竞标无效</w:t>
      </w:r>
      <w:r>
        <w:rPr>
          <w:rFonts w:hint="eastAsia" w:asciiTheme="minorEastAsia" w:hAnsiTheme="minorEastAsia" w:eastAsiaTheme="minorEastAsia"/>
          <w:color w:val="auto"/>
          <w:sz w:val="24"/>
          <w:highlight w:val="none"/>
        </w:rPr>
        <w:t>。</w:t>
      </w:r>
    </w:p>
    <w:p>
      <w:pPr>
        <w:spacing w:after="0" w:line="400" w:lineRule="exact"/>
        <w:ind w:firstLine="480" w:firstLineChars="200"/>
        <w:rPr>
          <w:color w:val="auto"/>
          <w:highlight w:val="none"/>
        </w:rPr>
      </w:pPr>
      <w:r>
        <w:rPr>
          <w:rFonts w:hint="eastAsia" w:asciiTheme="minorEastAsia" w:hAnsiTheme="minorEastAsia" w:eastAsiaTheme="minorEastAsia"/>
          <w:bCs/>
          <w:color w:val="auto"/>
          <w:sz w:val="24"/>
          <w:highlight w:val="none"/>
          <w:u w:val="single"/>
        </w:rPr>
        <w:t>台式计算机、便携式计算机、平板式微型计算机、激光打印机、针式打印机、液晶显示器、制冷压缩机、空调机组、专用制冷、空调设备、镇流器、空调机、电热水器、普通照明用双端荧光灯、电视设备、视频设备以及便器、水嘴均为节能产品政府采购目清单内标注“★”的品目，属于政府强制采购节能产品。</w:t>
      </w:r>
    </w:p>
    <w:p>
      <w:pPr>
        <w:spacing w:after="0" w:line="400" w:lineRule="exact"/>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5、竞争性谈判文件中所要求提供的证明材料，如为英文文本的请同时提供中文译本。</w:t>
      </w:r>
    </w:p>
    <w:p>
      <w:pPr>
        <w:spacing w:after="0" w:line="400" w:lineRule="exact"/>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6、</w:t>
      </w:r>
      <w:r>
        <w:rPr>
          <w:rFonts w:hint="eastAsia" w:asciiTheme="majorEastAsia" w:hAnsiTheme="majorEastAsia" w:eastAsiaTheme="majorEastAsia" w:cstheme="majorEastAsia"/>
          <w:b/>
          <w:color w:val="auto"/>
          <w:sz w:val="24"/>
          <w:highlight w:val="none"/>
          <w:u w:val="single"/>
        </w:rPr>
        <w:t>竞争性谈判文件中标注“</w:t>
      </w:r>
      <w:r>
        <w:rPr>
          <w:rFonts w:hint="eastAsia" w:ascii="宋体" w:hAnsi="宋体" w:eastAsia="宋体" w:cs="宋体"/>
          <w:bCs/>
          <w:color w:val="auto"/>
          <w:sz w:val="24"/>
          <w:highlight w:val="none"/>
          <w:u w:val="single"/>
        </w:rPr>
        <w:t>▲</w:t>
      </w:r>
      <w:r>
        <w:rPr>
          <w:rFonts w:hint="eastAsia" w:asciiTheme="majorEastAsia" w:hAnsiTheme="majorEastAsia" w:eastAsiaTheme="majorEastAsia" w:cstheme="majorEastAsia"/>
          <w:b/>
          <w:color w:val="auto"/>
          <w:sz w:val="24"/>
          <w:highlight w:val="none"/>
          <w:u w:val="single"/>
        </w:rPr>
        <w:t>”号的条款为实质性条款，必须满足或优于，否则竞标无效</w:t>
      </w:r>
      <w:r>
        <w:rPr>
          <w:rFonts w:hint="eastAsia" w:asciiTheme="majorEastAsia" w:hAnsiTheme="majorEastAsia" w:eastAsiaTheme="majorEastAsia" w:cstheme="majorEastAsia"/>
          <w:b/>
          <w:color w:val="auto"/>
          <w:sz w:val="24"/>
          <w:highlight w:val="none"/>
        </w:rPr>
        <w:t>。</w:t>
      </w:r>
    </w:p>
    <w:p>
      <w:pPr>
        <w:spacing w:after="0" w:line="400" w:lineRule="exact"/>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7、供应商所投项目（或分标）货物如国家有强制性要求的应按国家规定执行，并提供相关证明材料。</w:t>
      </w:r>
    </w:p>
    <w:p>
      <w:pPr>
        <w:spacing w:after="0" w:line="400" w:lineRule="exact"/>
        <w:ind w:firstLine="482" w:firstLineChars="200"/>
        <w:rPr>
          <w:color w:val="auto"/>
          <w:highlight w:val="none"/>
        </w:rPr>
      </w:pPr>
      <w:r>
        <w:rPr>
          <w:rFonts w:hint="eastAsia" w:asciiTheme="majorEastAsia" w:hAnsiTheme="majorEastAsia" w:eastAsiaTheme="majorEastAsia" w:cstheme="majorEastAsia"/>
          <w:b/>
          <w:color w:val="auto"/>
          <w:sz w:val="24"/>
          <w:highlight w:val="none"/>
        </w:rPr>
        <w:t>8、最终报价有时间限制，请各供应商事前做好准备，以免耽误报价。最终报价时，供应商只需报一个总价，结算时，各分项单价按最终报价与第一次报价的比例进行调整。</w:t>
      </w:r>
    </w:p>
    <w:p>
      <w:pPr>
        <w:adjustRightInd/>
        <w:snapToGrid/>
        <w:spacing w:line="220" w:lineRule="atLeast"/>
        <w:ind w:firstLine="480" w:firstLineChars="200"/>
        <w:rPr>
          <w:rFonts w:ascii="宋体" w:hAnsi="宋体" w:eastAsia="宋体"/>
          <w:color w:val="auto"/>
          <w:sz w:val="24"/>
          <w:highlight w:val="none"/>
        </w:rPr>
      </w:pPr>
    </w:p>
    <w:p>
      <w:pPr>
        <w:spacing w:after="0" w:line="400" w:lineRule="exact"/>
        <w:ind w:firstLine="480" w:firstLineChars="200"/>
        <w:rPr>
          <w:rFonts w:ascii="宋体" w:hAnsi="宋体" w:eastAsia="宋体"/>
          <w:color w:val="auto"/>
          <w:sz w:val="24"/>
          <w:highlight w:val="none"/>
        </w:rPr>
      </w:pPr>
    </w:p>
    <w:p>
      <w:pPr>
        <w:spacing w:after="0" w:line="400" w:lineRule="exact"/>
        <w:ind w:firstLine="480" w:firstLineChars="200"/>
        <w:rPr>
          <w:rFonts w:ascii="宋体" w:hAnsi="宋体" w:eastAsia="宋体"/>
          <w:color w:val="auto"/>
          <w:sz w:val="24"/>
          <w:highlight w:val="none"/>
        </w:rPr>
      </w:pPr>
    </w:p>
    <w:p>
      <w:pPr>
        <w:spacing w:after="0" w:line="400" w:lineRule="exact"/>
        <w:ind w:firstLine="480" w:firstLineChars="200"/>
        <w:rPr>
          <w:rFonts w:ascii="宋体" w:hAnsi="宋体" w:eastAsia="宋体"/>
          <w:color w:val="auto"/>
          <w:sz w:val="24"/>
          <w:highlight w:val="none"/>
        </w:rPr>
      </w:pPr>
    </w:p>
    <w:p>
      <w:pPr>
        <w:spacing w:after="0" w:line="400" w:lineRule="exact"/>
        <w:ind w:firstLine="480" w:firstLineChars="200"/>
        <w:rPr>
          <w:rFonts w:ascii="宋体" w:hAnsi="宋体" w:eastAsia="宋体"/>
          <w:color w:val="auto"/>
          <w:sz w:val="24"/>
          <w:highlight w:val="none"/>
        </w:rPr>
      </w:pPr>
    </w:p>
    <w:p>
      <w:pPr>
        <w:spacing w:after="0" w:line="400" w:lineRule="exact"/>
        <w:ind w:firstLine="480" w:firstLineChars="200"/>
        <w:rPr>
          <w:rFonts w:ascii="宋体" w:hAnsi="宋体" w:eastAsia="宋体"/>
          <w:color w:val="auto"/>
          <w:sz w:val="24"/>
          <w:highlight w:val="none"/>
        </w:rPr>
      </w:pPr>
    </w:p>
    <w:p>
      <w:pPr>
        <w:spacing w:after="0" w:line="400" w:lineRule="exact"/>
        <w:ind w:firstLine="480" w:firstLineChars="200"/>
        <w:rPr>
          <w:rFonts w:ascii="宋体" w:hAnsi="宋体" w:eastAsia="宋体"/>
          <w:color w:val="auto"/>
          <w:sz w:val="24"/>
          <w:highlight w:val="none"/>
        </w:rPr>
      </w:pPr>
    </w:p>
    <w:p>
      <w:pPr>
        <w:spacing w:after="0" w:line="400" w:lineRule="exact"/>
        <w:ind w:firstLine="480" w:firstLineChars="200"/>
        <w:rPr>
          <w:rFonts w:ascii="宋体" w:hAnsi="宋体" w:eastAsia="宋体"/>
          <w:color w:val="auto"/>
          <w:sz w:val="24"/>
          <w:highlight w:val="none"/>
        </w:rPr>
      </w:pPr>
    </w:p>
    <w:p>
      <w:pPr>
        <w:spacing w:after="0" w:line="400" w:lineRule="exact"/>
        <w:ind w:firstLine="3614" w:firstLineChars="1200"/>
        <w:jc w:val="both"/>
        <w:rPr>
          <w:rFonts w:ascii="宋体" w:hAnsi="宋体" w:eastAsia="宋体"/>
          <w:b/>
          <w:bCs/>
          <w:color w:val="auto"/>
          <w:sz w:val="30"/>
          <w:szCs w:val="30"/>
          <w:highlight w:val="none"/>
        </w:rPr>
      </w:pPr>
      <w:r>
        <w:rPr>
          <w:rFonts w:hint="eastAsia" w:ascii="宋体" w:hAnsi="宋体" w:eastAsia="宋体"/>
          <w:b/>
          <w:bCs/>
          <w:color w:val="auto"/>
          <w:sz w:val="30"/>
          <w:szCs w:val="30"/>
          <w:highlight w:val="none"/>
        </w:rPr>
        <w:t>货物需求一览表</w:t>
      </w:r>
    </w:p>
    <w:tbl>
      <w:tblPr>
        <w:tblStyle w:val="38"/>
        <w:tblW w:w="102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47"/>
        <w:gridCol w:w="1199"/>
        <w:gridCol w:w="5440"/>
        <w:gridCol w:w="705"/>
        <w:gridCol w:w="1185"/>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10272"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A标段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511" w:type="dxa"/>
            <w:gridSpan w:val="2"/>
            <w:tcBorders>
              <w:top w:val="single" w:color="auto" w:sz="4" w:space="0"/>
              <w:left w:val="single" w:color="auto" w:sz="4" w:space="0"/>
              <w:bottom w:val="single" w:color="auto" w:sz="4" w:space="0"/>
              <w:right w:val="single" w:color="auto" w:sz="4" w:space="0"/>
            </w:tcBorders>
            <w:vAlign w:val="center"/>
          </w:tcPr>
          <w:p>
            <w:pPr>
              <w:spacing w:after="0" w:line="340" w:lineRule="exac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eastAsia="zh-CN"/>
              </w:rPr>
              <w:t>序</w:t>
            </w:r>
            <w:r>
              <w:rPr>
                <w:rFonts w:hint="eastAsia" w:ascii="宋体" w:hAnsi="宋体" w:eastAsia="宋体" w:cs="宋体"/>
                <w:b/>
                <w:bCs/>
                <w:color w:val="auto"/>
                <w:sz w:val="21"/>
                <w:szCs w:val="21"/>
                <w:highlight w:val="none"/>
              </w:rPr>
              <w:t>号</w:t>
            </w:r>
          </w:p>
        </w:tc>
        <w:tc>
          <w:tcPr>
            <w:tcW w:w="119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货物名称</w:t>
            </w:r>
          </w:p>
        </w:tc>
        <w:tc>
          <w:tcPr>
            <w:tcW w:w="544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rPr>
              <w:t>技术参数及功能（配置）要求</w:t>
            </w:r>
          </w:p>
        </w:tc>
        <w:tc>
          <w:tcPr>
            <w:tcW w:w="705"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单位</w:t>
            </w:r>
          </w:p>
          <w:p>
            <w:pPr>
              <w:spacing w:after="0" w:line="340" w:lineRule="exact"/>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数量</w:t>
            </w:r>
          </w:p>
        </w:tc>
        <w:tc>
          <w:tcPr>
            <w:tcW w:w="118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单价（元）</w:t>
            </w:r>
          </w:p>
        </w:tc>
        <w:tc>
          <w:tcPr>
            <w:tcW w:w="1232"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511"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1</w:t>
            </w:r>
          </w:p>
        </w:tc>
        <w:tc>
          <w:tcPr>
            <w:tcW w:w="119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指掌纹采集仪</w:t>
            </w:r>
          </w:p>
        </w:tc>
        <w:tc>
          <w:tcPr>
            <w:tcW w:w="544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一、采集设备参数要求</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1、通过GA标准：GA/T625-2010, GA/T626.1-2010, GA/T626.2-2010,GA/T864-2010, GA/T865-2010, GA/T866-2010；</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2、配置液晶触控屏幕，可独立使用，亦可配合一体化采集设备分屏使用，提高采集效率和工作的便捷性。</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3、产品能够根据用户手指的干湿程度自动调节光源的亮度，以适应不同特性手指，大大提高了指掌纹图像的质量和采集效率。</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4、具备智能加热除雾功能，避免冷热温差带来的雾气。 </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5、主要技术指标</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1)采集窗口尺寸：≥133 mm×125 mm</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2)有效图像尺寸：117mm×117mm </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3)指纹采集窗口：≥32.5mm×32.5mm</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4)指纹图像尺寸：32.5mm×32.5mm</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5)图像像素数：2304×2304像素（掌纹）；640×640像素（指纹）</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6)图像畸变：≤1%</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7)分辨率：500 dpi</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8)图像灰度级：8位，256 级灰度</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9)采集速率：指纹采集≥15 帧/秒；四连指和掌纹≥2 帧/秒</w:t>
            </w:r>
          </w:p>
          <w:p>
            <w:pPr>
              <w:spacing w:after="0" w:line="34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二、指（掌）纹活体采集系统软件功能要求</w:t>
            </w:r>
          </w:p>
          <w:p>
            <w:pPr>
              <w:spacing w:after="0" w:line="3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1、支持采集人员的十指平面指纹、滚动指纹和掌纹，提供规范的指掌纹采集流程，按照十指平面指纹、三面滚动指纹、掌纹的顺序进行采集。</w:t>
            </w:r>
          </w:p>
          <w:p>
            <w:pPr>
              <w:spacing w:after="0" w:line="3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2、具备指掌纹质量自动判断功能，对不符合捺印质量的数据限制入库、并具有重新采集的提示功能，提供必要的语音提示。</w:t>
            </w:r>
          </w:p>
          <w:p>
            <w:pPr>
              <w:spacing w:after="0" w:line="340" w:lineRule="exact"/>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3、应在软件界面中显示指掌纹图像质量评价分数，提示是否合格、质量不合格时采集到设定的次数后，可以强制通过，不合格原因可设置为手指变形、脱皮、严重磨损、手指受伤、设备原因、图像质量评价分数不准确等；</w:t>
            </w:r>
          </w:p>
          <w:p>
            <w:pPr>
              <w:spacing w:after="0" w:line="3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4、可设置指掌纹为缺指/伤残掌； </w:t>
            </w:r>
          </w:p>
          <w:p>
            <w:pPr>
              <w:spacing w:after="0" w:line="3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5、应具备指纹一致性校验功能，对滚动指纹图像和平面指纹图像进行一致性校验。</w:t>
            </w:r>
          </w:p>
          <w:p>
            <w:pPr>
              <w:spacing w:after="0" w:line="3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6、应具备指纹重复性校验功能，对滚动指纹图像和平面指纹图像进行重复性校验。</w:t>
            </w:r>
          </w:p>
          <w:p>
            <w:pPr>
              <w:spacing w:after="0" w:line="3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7、应具有左右手指和左右手掌校验功能。</w:t>
            </w:r>
          </w:p>
          <w:p>
            <w:pPr>
              <w:spacing w:after="0" w:line="3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8、可对以采集完成的指纹进行重新采集。</w:t>
            </w:r>
          </w:p>
          <w:p>
            <w:pPr>
              <w:spacing w:after="0" w:line="3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9、单指采集完成应显示指纹缩略图，可点击打开大图预览窗口，显示当前指纹图像及指位、图像质量评价分数、不合格原因（合格指纹不显示）</w:t>
            </w:r>
          </w:p>
          <w:p>
            <w:pPr>
              <w:spacing w:after="0" w:line="3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10、具有指掌纹特征点显示功能。</w:t>
            </w:r>
          </w:p>
          <w:p>
            <w:pPr>
              <w:spacing w:after="0" w:line="340" w:lineRule="exact"/>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11、如果身份证中含有指纹信息，需要将滚动指纹与身份证中指纹信息进行人证核验，验证未通过时应在软件界面中提示；</w:t>
            </w:r>
            <w:r>
              <w:rPr>
                <w:rFonts w:hint="eastAsia" w:ascii="宋体" w:hAnsi="宋体" w:eastAsia="宋体" w:cs="宋体"/>
                <w:color w:val="auto"/>
                <w:kern w:val="0"/>
                <w:sz w:val="21"/>
                <w:szCs w:val="21"/>
                <w:highlight w:val="none"/>
              </w:rPr>
              <w:t xml:space="preserve"> </w:t>
            </w:r>
          </w:p>
          <w:p>
            <w:pPr>
              <w:spacing w:after="0" w:line="3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12、采集过程中应有语音提示，包括：请捺印…指位、质量不合格、重新捺印、请选择不合格原因等。</w:t>
            </w:r>
          </w:p>
          <w:p>
            <w:pPr>
              <w:spacing w:after="0" w:line="3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13、应支持指掌纹标准格式导出，指掌纹信息交换文件格式应符合《指掌纹信息交换文件格式技术规范（版本5.0）》要求。</w:t>
            </w:r>
          </w:p>
          <w:p>
            <w:pPr>
              <w:spacing w:after="0" w:line="340" w:lineRule="exact"/>
              <w:jc w:val="left"/>
              <w:rPr>
                <w:rFonts w:hint="eastAsia" w:ascii="宋体" w:hAnsi="宋体" w:eastAsia="宋体" w:cs="宋体"/>
                <w:color w:val="auto"/>
                <w:kern w:val="0"/>
                <w:sz w:val="21"/>
                <w:szCs w:val="21"/>
                <w:highlight w:val="none"/>
              </w:rPr>
            </w:pPr>
            <w:r>
              <w:rPr>
                <w:rFonts w:hint="eastAsia" w:ascii="宋体" w:hAnsi="宋体" w:eastAsia="宋体" w:cs="宋体"/>
                <w:bCs/>
                <w:color w:val="auto"/>
                <w:sz w:val="21"/>
                <w:szCs w:val="21"/>
                <w:highlight w:val="none"/>
                <w:lang w:bidi="en-US"/>
              </w:rPr>
              <w:t>▲</w:t>
            </w:r>
            <w:r>
              <w:rPr>
                <w:rFonts w:hint="eastAsia" w:ascii="宋体" w:hAnsi="宋体" w:eastAsia="宋体" w:cs="宋体"/>
                <w:color w:val="auto"/>
                <w:sz w:val="21"/>
                <w:szCs w:val="21"/>
                <w:highlight w:val="none"/>
              </w:rPr>
              <w:t>14、为保证系统发挥最大的采比反业务应用及兼容性，</w:t>
            </w:r>
            <w:r>
              <w:rPr>
                <w:rFonts w:hint="eastAsia" w:ascii="宋体" w:hAnsi="宋体" w:eastAsia="宋体" w:cs="宋体"/>
                <w:bCs/>
                <w:color w:val="auto"/>
                <w:kern w:val="0"/>
                <w:sz w:val="21"/>
                <w:szCs w:val="21"/>
                <w:highlight w:val="none"/>
              </w:rPr>
              <w:t>系统须与广西区公安厅用的指掌纹识别系统对接，实现人员指纹查重反馈前科信息、倒查比中案件功能。</w:t>
            </w:r>
          </w:p>
        </w:tc>
        <w:tc>
          <w:tcPr>
            <w:tcW w:w="705"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2台</w:t>
            </w:r>
          </w:p>
        </w:tc>
        <w:tc>
          <w:tcPr>
            <w:tcW w:w="1185"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65000</w:t>
            </w:r>
            <w:r>
              <w:rPr>
                <w:rFonts w:hint="eastAsia" w:ascii="宋体" w:hAnsi="宋体" w:eastAsia="宋体" w:cs="宋体"/>
                <w:color w:val="auto"/>
                <w:kern w:val="0"/>
                <w:sz w:val="21"/>
                <w:szCs w:val="21"/>
                <w:highlight w:val="none"/>
              </w:rPr>
              <w:t>.00</w:t>
            </w:r>
          </w:p>
        </w:tc>
        <w:tc>
          <w:tcPr>
            <w:tcW w:w="1232"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130000</w:t>
            </w:r>
            <w:r>
              <w:rPr>
                <w:rFonts w:hint="eastAsia" w:ascii="宋体" w:hAnsi="宋体" w:eastAsia="宋体" w:cs="宋体"/>
                <w:color w:val="auto"/>
                <w:kern w:val="0"/>
                <w:sz w:val="21"/>
                <w:szCs w:val="21"/>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511"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1199"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手机采集仪</w:t>
            </w:r>
          </w:p>
        </w:tc>
        <w:tc>
          <w:tcPr>
            <w:tcW w:w="5440"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一、性能参数要求</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1. 产品应采用一体化设计，统一的工作平台。</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2. 产品应包含专业计算机、物品图像快采设备、多功能读卡设备、高级侦测接口等硬件结构集成于一体，由系统软件统一控制，只留用户接口供用户使用；</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3. 专业计算机应不低于以下配置要求：</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l CPU类型：Intel Core i7或更高</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l 内存：DDR3 8G</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l 硬盘：1T固态硬盘（可扩展）</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l 12.1英寸4：3高亮度触摸液晶显示器</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4. 数据线应采用高集成设计，采用转换线+多种尾插转接器的方式，可扩展</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5. 物品图像快速采集模块要求：可采原稿类型：文档、书籍、图片、照片、杂志、手机等物品，采集速度，小于2秒；</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6. 多功能读卡器功能要求：兼容国内所有SIM卡，支持各类存储卡（包括：SD/TF/M2/MSPRO）；</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7. 数据同步：配备专用USB安全传输线；</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二、功能参数要求</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1. 智能采集：应支持通过多种连接通道（数据线、蓝牙、物理读取），智能读取出品牌机和智能机型号、操作系统等信息，自动侦测智能平台操作系统类别及山寨机芯片类型。</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2. 并行采集：产品应支持至少3路手机同时采集。</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3. 集成专用的随身物品采集设备，可快速采集手机、发票、通讯簿等各类随身物品图片，便于采集文档及物品特征信息。</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4. 应支持超过110种以上应用信息解析：</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1）基本信息：手机通讯录、通话记录、短信息、日历、系统日志、同步账号、蓝牙信息、SIM卡串号和SIM卡识别码、手机串号、MAC地址、本机号码等数据、WIFI、蓝牙连接记录、程序安装列表的解析和提取。</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2）存储文件：文字、语音、视频、图片文件。</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3）即时通讯：支持手机即时通讯应用程序的痕迹记录解析，并能与聊天记录准确关联。QQ、微信好友及微信聊天记录（文字、语音、视频、图片文件）、TIM、飞信、米聊、陌陌、Skype、Line、易信、点点虫（来往）、旺信、YY、人人、Facebook、Talkbox、Voxer、Viber、WhatsApp、DiDi、遇见、COCO、Zello、Telegram、蜜语、Tango、ooVoo、BBM、比邻、KeeChat、Bria、Connexion、Zalo、钉钉、Kik、探探、有信、微话、百度Hi、ICQ、Pal+、全民K歌、Kakaotalk、Instagram、Blued、安司密信、土豆聊天。</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4）电子商务：淘宝、QQ网购、京东商城、支付宝、财付通、拍拍、天猫、美团、大众点评、京东钱包、京东金融、工商银行、光大银行、农业银行。</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5）微博：腾讯微博、新浪微博、Twitter。</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6）网页历史：QQ浏览器、UC浏览器、Opera、百度浏览器、手机百度、海豚浏览器、Chrome浏览器、联想浏览器、猛犸浏览器、九天浏览器、天天浏览器、GO浏览器、遨游浏览器、搜狗浏览器、搜狗极速版浏览器、猎豹浏览器、今日头条、火狐浏览器、360浏览器、百度贴吧。</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7）位置轨迹：滴滴出行、快的打车、优步Uber、嘀嗒拼车、携程旅行、去哪儿旅行、航旅纵横、途牛旅行、艺龙酒店、谷歌地图、百度地图、高德地图、老虎地图、搜狗地图、凯立德导航、腾讯地图、墨迹天气、WIFI热点记录、照片位置信息、GPS位置信息。</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8）邮箱：Gmail邮箱、139邮箱、189邮箱、沃邮箱、QQ邮箱、尚邮、网易邮箱/大师。</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9）安全软件：360隐私保险箱、来电通、QQ通讯录。</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10）应用分身：支持系统自带的分身工具、分身大师、分身大师多开版、X-分身、双开小助手、双开助手（多开版）、平行空间、微转领袖，对QQ、微信的应用分身、多账号自动解析。</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11）其他应用：茄子快传、快牙、115网盘、百度云盘、腾讯视频。</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5. 密码破解：</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1）针对部分设有开机密码的iPhone,设备应可以破解密码进行数据采集。</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2）应支持针对主流Android系统手机，在设置屏幕锁且调试模式关闭的情况下，可破解密码进行数据采集。</w:t>
            </w:r>
          </w:p>
          <w:p>
            <w:pPr>
              <w:spacing w:line="340" w:lineRule="exact"/>
              <w:rPr>
                <w:rFonts w:hint="eastAsia" w:ascii="宋体" w:hAnsi="宋体" w:eastAsia="宋体" w:cs="宋体"/>
                <w:color w:val="auto"/>
                <w:kern w:val="0"/>
                <w:sz w:val="21"/>
                <w:szCs w:val="21"/>
                <w:highlight w:val="none"/>
              </w:rPr>
            </w:pPr>
            <w:r>
              <w:rPr>
                <w:rFonts w:hint="eastAsia" w:ascii="宋体" w:hAnsi="宋体" w:eastAsia="宋体" w:cs="宋体"/>
                <w:bCs/>
                <w:color w:val="auto"/>
                <w:sz w:val="21"/>
                <w:szCs w:val="21"/>
                <w:highlight w:val="none"/>
              </w:rPr>
              <w:t>3）针对设有开机密码、防盗码和没有电池及没有电量的山寨机，设备应支持直接破解密码并通过采集物理镜像解析出手机数据和部分已删除数据。可支持采集MTK、展讯、MSTAR、Coolsand、英飞凌、Adi等芯片类型的山寨机。</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6. 物理镜像采集：</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1）应支持镜像分区可自定义选择；</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2）应支持生成镜像文件为标准bin镜像格式，无加密，支持主流取证工具导入解析；</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7. 数据恢复及解析：</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1）应支持手机机身电话本、通话记录、短信、日历、记事本、系统日志等基本信息中已有数据的提取及删除数据的恢复。</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2）应支持iOS备份文件读取，包括电脑硬盘及硬盘镜像中备份文件读取，在已知密码情况下实现对iOS加密备份的解析。</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3）应支持Android备份文件一键获取及解析，支持十种以上手机助手工具的备份文件解析。</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4）获取Android 6.0版本以上各类品牌手机的微信数据，并且能够实现删除数据恢复，手机无需root或自带备份等操作。</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5）应支持取证结果中的图片、语音(包含微信语音)、视频等多媒体直接播放；</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6）应支持多语言显示，能显示设备中的中文、英语、藏文等多国语言；</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8. 采集方案：产品应支持多种采集方案，包括默认方案、快速读取、标准读取、深度读取、自定义等，可根据需要读取的手机内容，任选一种方案进行配置采集；</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9. 采集助手：应能根据型号检索该型号手机操作系统类别、上市时间、CPU类型、读取方式、支持读取内容、手机外观图片、对应数据线图片及采集过程手机设置信息，同时引导用户快捷完成数据采集，便于民警快速进行采集操作。</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10. 一键采集：应支持手机通过数据线接入设备后，能弹【信息提示】界面，提示手机驱动的安装情况、手机状态。点击采集后，即可一键采集，引导用户快捷完成数据采集，便于民警快速进行采集操作。</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11. 智能聚合：应支持对通讯设备数据的智能分析，聚合人员身份、交易、活动、轨迹等信息，支撑案件分析研判。</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1）智能人像信息。智能识别手机中的人脸头像。</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2）收付款信息。短信、社交应用等涉及资金往来的收付款交易信息。</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3）时间线分析。以时间为主线，按时序展示手机采集的信息，协助分析在某一时间段的通过手机操作的行为。</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4）应用位置信息。提取带有位置数据的移动应用信息，展示手机内所有的位置信息，包括详细地址、经纬度、时间。</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5）轨迹分析。应支持社交软件应用位置信息采集功能，勾勒出手机的移动轨迹，实现人员活动轨迹的完整刻画；</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12. 支持针对采集的手机数据、人员信息进行关键字检索。</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13. 结果导出：应支持取证结果的一键导出和自定义导出多种导出方式，支持多种报告格式导出，包括PDF,HTML,Excel等常见文件格式；</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14. 产品应支持本地实时分析，至少包含以下功能：通讯信息查询、团伙智能分析、号码智能挖掘、共同关系人分析、新旧号码分析、作息规律分析、通讯频率分析、联系人反查分析、归属地分析、上网频率分析。</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15. 查询、统计功能应设计简洁，可方便的对采集的手机数据、物品信息、号码信息数据进行分类查询和统计，同时，指定权限的用户可以对采集的本地数据进行修改、删除操作。</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16. 设备能自动记录相关采集日志，包括采集日期、帐号、姓名、操作、内容等，便于核查。</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17. 包含系统参数设置、服务器设置、用户权限、修改密码、授权文件配置、应用权限等。</w:t>
            </w:r>
            <w:r>
              <w:rPr>
                <w:rFonts w:hint="eastAsia" w:ascii="宋体" w:hAnsi="宋体" w:eastAsia="宋体" w:cs="宋体"/>
                <w:bCs/>
                <w:color w:val="auto"/>
                <w:sz w:val="21"/>
                <w:szCs w:val="21"/>
                <w:highlight w:val="none"/>
              </w:rPr>
              <w:br w:type="textWrapping"/>
            </w:r>
            <w:r>
              <w:rPr>
                <w:rFonts w:hint="eastAsia" w:ascii="宋体" w:hAnsi="宋体" w:eastAsia="宋体" w:cs="宋体"/>
                <w:bCs/>
                <w:color w:val="auto"/>
                <w:sz w:val="21"/>
                <w:szCs w:val="21"/>
                <w:highlight w:val="none"/>
              </w:rPr>
              <w:t>18. 数据同步：同步方式应包括全量、增量、特定时间段等三种方式。支持网络同步、USB安全传输线（标配硬件）和U盘同步。</w:t>
            </w:r>
          </w:p>
        </w:tc>
        <w:tc>
          <w:tcPr>
            <w:tcW w:w="705"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台</w:t>
            </w:r>
          </w:p>
        </w:tc>
        <w:tc>
          <w:tcPr>
            <w:tcW w:w="1185"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130000</w:t>
            </w:r>
            <w:r>
              <w:rPr>
                <w:rFonts w:hint="eastAsia" w:ascii="宋体" w:hAnsi="宋体" w:eastAsia="宋体" w:cs="宋体"/>
                <w:color w:val="auto"/>
                <w:kern w:val="0"/>
                <w:sz w:val="21"/>
                <w:szCs w:val="21"/>
                <w:highlight w:val="none"/>
              </w:rPr>
              <w:t>.00</w:t>
            </w:r>
          </w:p>
        </w:tc>
        <w:tc>
          <w:tcPr>
            <w:tcW w:w="1232"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260000</w:t>
            </w:r>
            <w:r>
              <w:rPr>
                <w:rFonts w:hint="eastAsia" w:ascii="宋体" w:hAnsi="宋体" w:eastAsia="宋体" w:cs="宋体"/>
                <w:color w:val="auto"/>
                <w:kern w:val="0"/>
                <w:sz w:val="21"/>
                <w:szCs w:val="21"/>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10272"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B标段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64"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124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货物名称</w:t>
            </w:r>
          </w:p>
        </w:tc>
        <w:tc>
          <w:tcPr>
            <w:tcW w:w="5440"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技术参数或功能要求</w:t>
            </w:r>
          </w:p>
        </w:tc>
        <w:tc>
          <w:tcPr>
            <w:tcW w:w="705"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单位数量</w:t>
            </w:r>
          </w:p>
        </w:tc>
        <w:tc>
          <w:tcPr>
            <w:tcW w:w="1185"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单价（元）</w:t>
            </w:r>
          </w:p>
        </w:tc>
        <w:tc>
          <w:tcPr>
            <w:tcW w:w="1232"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6" w:hRule="atLeast"/>
          <w:jc w:val="center"/>
        </w:trPr>
        <w:tc>
          <w:tcPr>
            <w:tcW w:w="46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246" w:type="dxa"/>
            <w:gridSpan w:val="2"/>
            <w:tcBorders>
              <w:top w:val="single" w:color="auto" w:sz="4" w:space="0"/>
              <w:left w:val="single" w:color="auto" w:sz="4" w:space="0"/>
              <w:bottom w:val="single" w:color="auto" w:sz="4" w:space="0"/>
              <w:right w:val="single" w:color="auto" w:sz="4" w:space="0"/>
            </w:tcBorders>
            <w:vAlign w:val="center"/>
          </w:tcPr>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针式打印机</w:t>
            </w:r>
          </w:p>
        </w:tc>
        <w:tc>
          <w:tcPr>
            <w:tcW w:w="544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24针平推针式打印机</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速度≥248汉字/秒</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单页纸:90-304.8mm</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连续纸;101.6-304.8mm</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打印厚度0.065-0.84mm</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多个标准的双向比特并持接口，一个或以上USB2.0（全速）接口</w:t>
            </w:r>
          </w:p>
        </w:tc>
        <w:tc>
          <w:tcPr>
            <w:tcW w:w="70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10套</w:t>
            </w:r>
          </w:p>
        </w:tc>
        <w:tc>
          <w:tcPr>
            <w:tcW w:w="118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3900</w:t>
            </w:r>
          </w:p>
        </w:tc>
        <w:tc>
          <w:tcPr>
            <w:tcW w:w="123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24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警用综合扫描仪</w:t>
            </w:r>
          </w:p>
        </w:tc>
        <w:tc>
          <w:tcPr>
            <w:tcW w:w="5440" w:type="dxa"/>
            <w:tcBorders>
              <w:top w:val="single" w:color="auto" w:sz="4" w:space="0"/>
              <w:left w:val="single" w:color="auto" w:sz="4" w:space="0"/>
              <w:bottom w:val="single" w:color="auto" w:sz="4" w:space="0"/>
              <w:right w:val="single" w:color="auto" w:sz="4" w:space="0"/>
            </w:tcBorders>
          </w:tcPr>
          <w:p>
            <w:pPr>
              <w:pStyle w:val="95"/>
              <w:numPr>
                <w:ilvl w:val="0"/>
                <w:numId w:val="1"/>
              </w:numPr>
              <w:spacing w:line="340" w:lineRule="exact"/>
              <w:ind w:lef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技术参数要求：</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1、支持原稿类型：文档、书籍、立体物品、图片、照片、杂志等；</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2、支持最大尺寸：A4；</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3、采集速度：每页&lt;2秒； </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4、支持文件格式：JPEG、TIF、PDF等；</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5、接口：支持USB 2.0高速接口；</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6、外触发：支持外触发按键</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7、可以实现亮度均衡；</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8、系统：i3或同等级及以上CPU，内存2G，</w:t>
            </w:r>
          </w:p>
          <w:p>
            <w:pPr>
              <w:pStyle w:val="95"/>
              <w:spacing w:line="340" w:lineRule="exact"/>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Microsoft Windows XP/ Windows7 / Windows10/Microsoft Windows2000(SP4)/2003/XP/Vista系统， </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二、结构：</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1、底板：根据A4纸张定型设计；方便整本卷宗采集操作；具有A4纸型及身份证等尺寸定位；外触发按健等；</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2、立柱：具有USB接口和LED电源接口；LED通过安全的DC/9V供电；</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3、横梁：图像采集视频口和LED光源板。</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三、其它要求：</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1、系统提供灵活、丰富的调用接口，可满足各类业务系统的使用。</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2、每套含采集软件、配套光盘等。</w:t>
            </w:r>
          </w:p>
        </w:tc>
        <w:tc>
          <w:tcPr>
            <w:tcW w:w="705"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30台</w:t>
            </w:r>
          </w:p>
        </w:tc>
        <w:tc>
          <w:tcPr>
            <w:tcW w:w="118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2200</w:t>
            </w:r>
          </w:p>
        </w:tc>
        <w:tc>
          <w:tcPr>
            <w:tcW w:w="123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6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1246" w:type="dxa"/>
            <w:gridSpan w:val="2"/>
            <w:tcBorders>
              <w:top w:val="single" w:color="auto" w:sz="4" w:space="0"/>
              <w:left w:val="single" w:color="auto" w:sz="4" w:space="0"/>
              <w:bottom w:val="single" w:color="auto" w:sz="4" w:space="0"/>
              <w:right w:val="single" w:color="auto" w:sz="4" w:space="0"/>
            </w:tcBorders>
            <w:vAlign w:val="center"/>
          </w:tcPr>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UPS不间断电源</w:t>
            </w:r>
          </w:p>
        </w:tc>
        <w:tc>
          <w:tcPr>
            <w:tcW w:w="5440" w:type="dxa"/>
            <w:tcBorders>
              <w:top w:val="single" w:color="auto" w:sz="4" w:space="0"/>
              <w:left w:val="single" w:color="auto" w:sz="4" w:space="0"/>
              <w:bottom w:val="single" w:color="auto" w:sz="4" w:space="0"/>
              <w:right w:val="single" w:color="auto" w:sz="4" w:space="0"/>
            </w:tcBorders>
          </w:tcPr>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容量≥1000VA/800W </w:t>
            </w:r>
            <w:r>
              <w:rPr>
                <w:rFonts w:hint="eastAsia" w:ascii="宋体" w:hAnsi="宋体" w:eastAsia="宋体" w:cs="宋体"/>
                <w:color w:val="auto"/>
                <w:sz w:val="21"/>
                <w:szCs w:val="21"/>
                <w:highlight w:val="none"/>
              </w:rPr>
              <w:tab/>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输入电压范围115~300VAC</w:t>
            </w:r>
            <w:r>
              <w:rPr>
                <w:rFonts w:hint="eastAsia" w:ascii="宋体" w:hAnsi="宋体" w:eastAsia="宋体" w:cs="宋体"/>
                <w:color w:val="auto"/>
                <w:sz w:val="21"/>
                <w:szCs w:val="21"/>
                <w:highlight w:val="none"/>
              </w:rPr>
              <w:tab/>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频率范围40Hz-70HZ</w:t>
            </w:r>
            <w:r>
              <w:rPr>
                <w:rFonts w:hint="eastAsia" w:ascii="宋体" w:hAnsi="宋体" w:eastAsia="宋体" w:cs="宋体"/>
                <w:color w:val="auto"/>
                <w:sz w:val="21"/>
                <w:szCs w:val="21"/>
                <w:highlight w:val="none"/>
              </w:rPr>
              <w:tab/>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输入功率因数≥0.98</w:t>
            </w:r>
            <w:r>
              <w:rPr>
                <w:rFonts w:hint="eastAsia" w:ascii="宋体" w:hAnsi="宋体" w:eastAsia="宋体" w:cs="宋体"/>
                <w:color w:val="auto"/>
                <w:sz w:val="21"/>
                <w:szCs w:val="21"/>
                <w:highlight w:val="none"/>
              </w:rPr>
              <w:tab/>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输出频率（电池模式）50/60Hz±0.05Hz效率 市电模式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&gt;89%</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ab/>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电池及充电参数电池电压24VDC</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电池类型 &gt;9AH</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后备时间</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&gt;4.5min</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回冲时间</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7 小时内回冲至 90%</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转换时间</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电池模式 &lt;--&gt; 市电模式</w:t>
            </w:r>
            <w:r>
              <w:rPr>
                <w:rFonts w:hint="eastAsia" w:ascii="宋体" w:hAnsi="宋体" w:eastAsia="宋体" w:cs="宋体"/>
                <w:color w:val="auto"/>
                <w:sz w:val="21"/>
                <w:szCs w:val="21"/>
                <w:highlight w:val="none"/>
              </w:rPr>
              <w:tab/>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可紧急关断</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ab/>
            </w:r>
          </w:p>
        </w:tc>
        <w:tc>
          <w:tcPr>
            <w:tcW w:w="705"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1套</w:t>
            </w:r>
          </w:p>
        </w:tc>
        <w:tc>
          <w:tcPr>
            <w:tcW w:w="118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7200</w:t>
            </w:r>
          </w:p>
        </w:tc>
        <w:tc>
          <w:tcPr>
            <w:tcW w:w="123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6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124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GPS定位仪</w:t>
            </w:r>
          </w:p>
        </w:tc>
        <w:tc>
          <w:tcPr>
            <w:tcW w:w="5440" w:type="dxa"/>
            <w:tcBorders>
              <w:top w:val="single" w:color="auto" w:sz="4" w:space="0"/>
              <w:left w:val="single" w:color="auto" w:sz="4" w:space="0"/>
              <w:bottom w:val="single" w:color="auto" w:sz="4" w:space="0"/>
              <w:right w:val="single" w:color="auto" w:sz="4" w:space="0"/>
            </w:tcBorders>
          </w:tcPr>
          <w:p>
            <w:pPr>
              <w:tabs>
                <w:tab w:val="left" w:pos="1595"/>
              </w:tabs>
              <w:spacing w:after="0" w:line="3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尺寸&lt;106.7*66.2*31.7 电池容量≥12000mAh </w:t>
            </w:r>
          </w:p>
          <w:p>
            <w:pPr>
              <w:tabs>
                <w:tab w:val="left" w:pos="1595"/>
              </w:tabs>
              <w:spacing w:after="0" w:line="3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支持GPS/云计算WIFIAGPS/盲点补传EBS/北斗/陀螺仪/加速度传感器超强磁免安装</w:t>
            </w:r>
          </w:p>
          <w:p>
            <w:pPr>
              <w:tabs>
                <w:tab w:val="left" w:pos="1595"/>
              </w:tabs>
              <w:spacing w:after="0" w:line="3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支持双进口硅麦</w:t>
            </w:r>
          </w:p>
          <w:p>
            <w:pPr>
              <w:tabs>
                <w:tab w:val="left" w:pos="1595"/>
              </w:tabs>
              <w:spacing w:after="0" w:line="3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支持生活防水</w:t>
            </w:r>
          </w:p>
        </w:tc>
        <w:tc>
          <w:tcPr>
            <w:tcW w:w="705"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4个</w:t>
            </w:r>
          </w:p>
        </w:tc>
        <w:tc>
          <w:tcPr>
            <w:tcW w:w="118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880</w:t>
            </w:r>
          </w:p>
        </w:tc>
        <w:tc>
          <w:tcPr>
            <w:tcW w:w="123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jc w:val="center"/>
        </w:trPr>
        <w:tc>
          <w:tcPr>
            <w:tcW w:w="46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124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刻录机</w:t>
            </w:r>
          </w:p>
        </w:tc>
        <w:tc>
          <w:tcPr>
            <w:tcW w:w="5440" w:type="dxa"/>
            <w:tcBorders>
              <w:top w:val="single" w:color="auto" w:sz="4" w:space="0"/>
              <w:left w:val="single" w:color="auto" w:sz="4" w:space="0"/>
              <w:bottom w:val="single" w:color="auto" w:sz="4" w:space="0"/>
              <w:right w:val="single" w:color="auto" w:sz="4" w:space="0"/>
            </w:tcBorders>
          </w:tcPr>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光驱类型∶外置蓝光刻录机</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刻录DVD/CD∶支持</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刻录BD∶支持</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支持读盘∶DVD、CD、BD、BDXL</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刻录速度∶DVD-8X、CD-24X、BD-6X、BDXL-4</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支持系统∶Win7/8/10/ </w:t>
            </w:r>
          </w:p>
        </w:tc>
        <w:tc>
          <w:tcPr>
            <w:tcW w:w="705"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1个</w:t>
            </w:r>
          </w:p>
        </w:tc>
        <w:tc>
          <w:tcPr>
            <w:tcW w:w="118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650</w:t>
            </w:r>
          </w:p>
        </w:tc>
        <w:tc>
          <w:tcPr>
            <w:tcW w:w="123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6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124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外置闪光灯</w:t>
            </w:r>
          </w:p>
        </w:tc>
        <w:tc>
          <w:tcPr>
            <w:tcW w:w="5440" w:type="dxa"/>
            <w:tcBorders>
              <w:top w:val="single" w:color="auto" w:sz="4" w:space="0"/>
              <w:left w:val="single" w:color="auto" w:sz="4" w:space="0"/>
              <w:bottom w:val="single" w:color="auto" w:sz="4" w:space="0"/>
              <w:right w:val="single" w:color="auto" w:sz="4" w:space="0"/>
            </w:tcBorders>
          </w:tcPr>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涵盖范围 ：20-200mm </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闪光指数：最大闪光指数≥60（ISO 100，以米为单位） </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回电时间：≤5秒 </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适用电池：适配</w:t>
            </w:r>
          </w:p>
        </w:tc>
        <w:tc>
          <w:tcPr>
            <w:tcW w:w="705"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1个</w:t>
            </w:r>
          </w:p>
        </w:tc>
        <w:tc>
          <w:tcPr>
            <w:tcW w:w="118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3400</w:t>
            </w:r>
          </w:p>
        </w:tc>
        <w:tc>
          <w:tcPr>
            <w:tcW w:w="123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6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124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照相机镜头（中距）</w:t>
            </w:r>
          </w:p>
        </w:tc>
        <w:tc>
          <w:tcPr>
            <w:tcW w:w="5440" w:type="dxa"/>
            <w:tcBorders>
              <w:top w:val="single" w:color="auto" w:sz="4" w:space="0"/>
              <w:left w:val="single" w:color="auto" w:sz="4" w:space="0"/>
              <w:bottom w:val="single" w:color="auto" w:sz="4" w:space="0"/>
              <w:right w:val="single" w:color="auto" w:sz="4" w:space="0"/>
            </w:tcBorders>
          </w:tcPr>
          <w:p>
            <w:pPr>
              <w:spacing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镜头画幅：100-135mm全画幅镜头</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镜头分类：单反镜头</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镜头用途：标准镜头</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镜头类型：变焦</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对焦方式：全时手动对焦</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变焦方式：伸缩式镜头</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滤镜尺寸：≥70mm</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驱动马达：USM等</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光圈范围：F4.0~F22.0 </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光圈叶片数：≥10片 </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焦距范围：24-105mm </w:t>
            </w:r>
          </w:p>
        </w:tc>
        <w:tc>
          <w:tcPr>
            <w:tcW w:w="705"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1个</w:t>
            </w:r>
          </w:p>
        </w:tc>
        <w:tc>
          <w:tcPr>
            <w:tcW w:w="118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5500</w:t>
            </w:r>
          </w:p>
        </w:tc>
        <w:tc>
          <w:tcPr>
            <w:tcW w:w="123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1" w:hRule="atLeast"/>
          <w:jc w:val="center"/>
        </w:trPr>
        <w:tc>
          <w:tcPr>
            <w:tcW w:w="46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124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照相机镜头（短距）</w:t>
            </w:r>
          </w:p>
        </w:tc>
        <w:tc>
          <w:tcPr>
            <w:tcW w:w="5440" w:type="dxa"/>
            <w:tcBorders>
              <w:top w:val="single" w:color="auto" w:sz="4" w:space="0"/>
              <w:left w:val="single" w:color="auto" w:sz="4" w:space="0"/>
              <w:bottom w:val="single" w:color="auto" w:sz="4" w:space="0"/>
              <w:right w:val="single" w:color="auto" w:sz="4" w:space="0"/>
            </w:tcBorders>
          </w:tcPr>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镜头画幅：135mm全画幅镜头 </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镜头分类：单反镜头 </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镜头用途：标准镜头 </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镜头类型：变焦 </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镜头结构：16组20片 </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滤镜尺寸：≥80mm </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光圈范围：F2.8-F22 </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光圈叶片数：≥8片（圆形） </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焦距范围：24-70mm </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最近对焦距离：≤0.5m</w:t>
            </w:r>
          </w:p>
        </w:tc>
        <w:tc>
          <w:tcPr>
            <w:tcW w:w="705"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个</w:t>
            </w:r>
          </w:p>
        </w:tc>
        <w:tc>
          <w:tcPr>
            <w:tcW w:w="118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12550</w:t>
            </w:r>
          </w:p>
        </w:tc>
        <w:tc>
          <w:tcPr>
            <w:tcW w:w="123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6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p>
        </w:tc>
        <w:tc>
          <w:tcPr>
            <w:tcW w:w="124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大型复印机</w:t>
            </w:r>
          </w:p>
        </w:tc>
        <w:tc>
          <w:tcPr>
            <w:tcW w:w="5440" w:type="dxa"/>
            <w:tcBorders>
              <w:top w:val="single" w:color="auto" w:sz="4" w:space="0"/>
              <w:left w:val="single" w:color="auto" w:sz="4" w:space="0"/>
              <w:bottom w:val="single" w:color="auto" w:sz="4" w:space="0"/>
              <w:right w:val="single" w:color="auto" w:sz="4" w:space="0"/>
            </w:tcBorders>
            <w:vAlign w:val="center"/>
          </w:tcPr>
          <w:p>
            <w:pPr>
              <w:widowControl/>
              <w:spacing w:after="0" w:line="340" w:lineRule="exact"/>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速度：</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28页每分钟 ；</w:t>
            </w:r>
          </w:p>
          <w:p>
            <w:pPr>
              <w:widowControl/>
              <w:spacing w:after="0" w:line="340" w:lineRule="exact"/>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配置：</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2个500张供纸盒 ，100张手送台，1个2500张大纸盒，网络打印卡，全彩色网络扫描 +PCL+USB打印；</w:t>
            </w:r>
          </w:p>
          <w:p>
            <w:pPr>
              <w:widowControl/>
              <w:spacing w:after="0" w:line="340" w:lineRule="exact"/>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分辨率600dpi*600dpi、1～9999连续复印</w:t>
            </w:r>
          </w:p>
          <w:p>
            <w:pPr>
              <w:widowControl/>
              <w:spacing w:after="0" w:line="34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标配：内存</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2G，预热时间小于15秒。</w:t>
            </w:r>
          </w:p>
        </w:tc>
        <w:tc>
          <w:tcPr>
            <w:tcW w:w="705"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2台</w:t>
            </w:r>
          </w:p>
        </w:tc>
        <w:tc>
          <w:tcPr>
            <w:tcW w:w="118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26700</w:t>
            </w:r>
          </w:p>
        </w:tc>
        <w:tc>
          <w:tcPr>
            <w:tcW w:w="123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5" w:hRule="atLeast"/>
          <w:jc w:val="center"/>
        </w:trPr>
        <w:tc>
          <w:tcPr>
            <w:tcW w:w="46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c>
          <w:tcPr>
            <w:tcW w:w="124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图像扫描仪</w:t>
            </w:r>
          </w:p>
        </w:tc>
        <w:tc>
          <w:tcPr>
            <w:tcW w:w="5440" w:type="dxa"/>
            <w:tcBorders>
              <w:top w:val="single" w:color="auto" w:sz="4" w:space="0"/>
              <w:left w:val="single" w:color="auto" w:sz="4" w:space="0"/>
              <w:bottom w:val="single" w:color="auto" w:sz="4" w:space="0"/>
              <w:right w:val="single" w:color="auto" w:sz="4" w:space="0"/>
            </w:tcBorders>
          </w:tcPr>
          <w:p>
            <w:pPr>
              <w:spacing w:after="0" w:line="3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支持双面扫描速度大于22ppm/8ipm*</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支持USB3.0*A4 200/300dpi下</w:t>
            </w:r>
          </w:p>
          <w:p>
            <w:pPr>
              <w:spacing w:after="0" w:line="3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产品类型：A4 ADF+平板高速彩色文档扫描仪 </w:t>
            </w:r>
          </w:p>
          <w:p>
            <w:pPr>
              <w:spacing w:after="0" w:line="3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具有双面扫描功能 </w:t>
            </w:r>
          </w:p>
          <w:p>
            <w:pPr>
              <w:spacing w:after="0" w:line="3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扫描方式：ADF+平板扫描仪</w:t>
            </w:r>
          </w:p>
          <w:p>
            <w:pPr>
              <w:spacing w:after="0" w:line="3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扫描速度：≥200/300dpi </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要求支持扫描幅面：A4</w:t>
            </w:r>
          </w:p>
        </w:tc>
        <w:tc>
          <w:tcPr>
            <w:tcW w:w="705"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1台</w:t>
            </w:r>
          </w:p>
        </w:tc>
        <w:tc>
          <w:tcPr>
            <w:tcW w:w="118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2810</w:t>
            </w:r>
          </w:p>
        </w:tc>
        <w:tc>
          <w:tcPr>
            <w:tcW w:w="123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6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p>
        </w:tc>
        <w:tc>
          <w:tcPr>
            <w:tcW w:w="124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便携式喷墨打印机</w:t>
            </w:r>
          </w:p>
        </w:tc>
        <w:tc>
          <w:tcPr>
            <w:tcW w:w="5440" w:type="dxa"/>
            <w:tcBorders>
              <w:top w:val="single" w:color="auto" w:sz="4" w:space="0"/>
              <w:left w:val="single" w:color="auto" w:sz="4" w:space="0"/>
              <w:bottom w:val="single" w:color="auto" w:sz="4" w:space="0"/>
              <w:right w:val="single" w:color="auto" w:sz="4" w:space="0"/>
            </w:tcBorders>
            <w:vAlign w:val="center"/>
          </w:tcPr>
          <w:p>
            <w:pPr>
              <w:widowControl/>
              <w:spacing w:after="0" w:line="340" w:lineRule="exact"/>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打印速度：黑白：</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8.0ipm，彩色：</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5ipm，照片（4"x6"图像）：</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50秒。</w:t>
            </w:r>
          </w:p>
          <w:p>
            <w:pPr>
              <w:widowControl/>
              <w:spacing w:after="0" w:line="340" w:lineRule="exact"/>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最高分辨率达到 9600×2400dpi</w:t>
            </w:r>
          </w:p>
          <w:p>
            <w:pPr>
              <w:widowControl/>
              <w:spacing w:after="0" w:line="340" w:lineRule="exact"/>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支持打印幅面：A4</w:t>
            </w:r>
          </w:p>
          <w:p>
            <w:pPr>
              <w:widowControl/>
              <w:spacing w:after="0" w:line="340" w:lineRule="exact"/>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打印负荷 ：</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250页/月，</w:t>
            </w:r>
          </w:p>
          <w:p>
            <w:pPr>
              <w:widowControl/>
              <w:spacing w:after="0" w:line="340" w:lineRule="exact"/>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接口类型：支持USB。</w:t>
            </w:r>
          </w:p>
        </w:tc>
        <w:tc>
          <w:tcPr>
            <w:tcW w:w="705"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15台</w:t>
            </w:r>
          </w:p>
        </w:tc>
        <w:tc>
          <w:tcPr>
            <w:tcW w:w="118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1900</w:t>
            </w:r>
          </w:p>
        </w:tc>
        <w:tc>
          <w:tcPr>
            <w:tcW w:w="123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6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w:t>
            </w:r>
          </w:p>
        </w:tc>
        <w:tc>
          <w:tcPr>
            <w:tcW w:w="124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彩色喷墨打印机</w:t>
            </w:r>
          </w:p>
        </w:tc>
        <w:tc>
          <w:tcPr>
            <w:tcW w:w="544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黑白打印速度：A4文本：</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10ppm/ipm</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彩色打印速度：A4文本：</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5ppm/ipm</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打印分辨率 最大支持5760×1440dpi</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复印分辨率 最大支持600×600dpi（输入），360×360dpi（打印），300×300dpi（输入，平板）</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扫描类型：平板式（彩色图像扫描仪）</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扫描尺寸：最大支持216×297mm（8.5×11.7英寸）</w:t>
            </w:r>
          </w:p>
        </w:tc>
        <w:tc>
          <w:tcPr>
            <w:tcW w:w="705"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7台</w:t>
            </w:r>
          </w:p>
        </w:tc>
        <w:tc>
          <w:tcPr>
            <w:tcW w:w="118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1800</w:t>
            </w:r>
          </w:p>
        </w:tc>
        <w:tc>
          <w:tcPr>
            <w:tcW w:w="123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6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w:t>
            </w:r>
          </w:p>
        </w:tc>
        <w:tc>
          <w:tcPr>
            <w:tcW w:w="124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打印复印一体机</w:t>
            </w:r>
          </w:p>
        </w:tc>
        <w:tc>
          <w:tcPr>
            <w:tcW w:w="544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产品类型：黑白激光多功能一体机</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涵盖功能：打印/复印/扫描</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支持处理幅面：A4</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耗材类型要求:鼓粉分离</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预热时间:＜9秒</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双面功能:支持</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黑白打印速度:</w:t>
            </w:r>
            <w:r>
              <w:rPr>
                <w:rFonts w:hint="eastAsia" w:ascii="宋体" w:hAnsi="宋体" w:eastAsia="宋体" w:cs="宋体"/>
                <w:color w:val="auto"/>
                <w:sz w:val="21"/>
                <w:szCs w:val="21"/>
                <w:highlight w:val="none"/>
              </w:rPr>
              <w:t xml:space="preserve"> ≥</w:t>
            </w:r>
            <w:r>
              <w:rPr>
                <w:rFonts w:hint="eastAsia" w:ascii="宋体" w:hAnsi="宋体" w:eastAsia="宋体" w:cs="宋体"/>
                <w:color w:val="auto"/>
                <w:kern w:val="0"/>
                <w:sz w:val="21"/>
                <w:szCs w:val="21"/>
                <w:highlight w:val="none"/>
              </w:rPr>
              <w:t>30ppm</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复印速度:</w:t>
            </w:r>
            <w:r>
              <w:rPr>
                <w:rFonts w:hint="eastAsia" w:ascii="宋体" w:hAnsi="宋体" w:eastAsia="宋体" w:cs="宋体"/>
                <w:color w:val="auto"/>
                <w:sz w:val="21"/>
                <w:szCs w:val="21"/>
                <w:highlight w:val="none"/>
              </w:rPr>
              <w:t xml:space="preserve"> ≥</w:t>
            </w:r>
            <w:r>
              <w:rPr>
                <w:rFonts w:hint="eastAsia" w:ascii="宋体" w:hAnsi="宋体" w:eastAsia="宋体" w:cs="宋体"/>
                <w:color w:val="auto"/>
                <w:kern w:val="0"/>
                <w:sz w:val="21"/>
                <w:szCs w:val="21"/>
                <w:highlight w:val="none"/>
              </w:rPr>
              <w:t>30cpm</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复印分辨率:600×600dpi</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证卡复印功能:支持身份证双面复印，支持票证复印</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输出容量:</w:t>
            </w:r>
            <w:r>
              <w:rPr>
                <w:rFonts w:hint="eastAsia" w:ascii="宋体" w:hAnsi="宋体" w:eastAsia="宋体" w:cs="宋体"/>
                <w:color w:val="auto"/>
                <w:sz w:val="21"/>
                <w:szCs w:val="21"/>
                <w:highlight w:val="none"/>
              </w:rPr>
              <w:t xml:space="preserve"> ≥</w:t>
            </w:r>
            <w:r>
              <w:rPr>
                <w:rFonts w:hint="eastAsia" w:ascii="宋体" w:hAnsi="宋体" w:eastAsia="宋体" w:cs="宋体"/>
                <w:color w:val="auto"/>
                <w:kern w:val="0"/>
                <w:sz w:val="21"/>
                <w:szCs w:val="21"/>
                <w:highlight w:val="none"/>
              </w:rPr>
              <w:t>100页</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显示屏:10字符双行中文液晶显示屏</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内存标配：</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32MB</w:t>
            </w:r>
          </w:p>
        </w:tc>
        <w:tc>
          <w:tcPr>
            <w:tcW w:w="705"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20台</w:t>
            </w:r>
          </w:p>
        </w:tc>
        <w:tc>
          <w:tcPr>
            <w:tcW w:w="118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1840</w:t>
            </w:r>
          </w:p>
        </w:tc>
        <w:tc>
          <w:tcPr>
            <w:tcW w:w="123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6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w:t>
            </w:r>
          </w:p>
        </w:tc>
        <w:tc>
          <w:tcPr>
            <w:tcW w:w="124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彩色激光打印机</w:t>
            </w:r>
          </w:p>
        </w:tc>
        <w:tc>
          <w:tcPr>
            <w:tcW w:w="5440" w:type="dxa"/>
            <w:tcBorders>
              <w:top w:val="single" w:color="auto" w:sz="4" w:space="0"/>
              <w:left w:val="single" w:color="auto" w:sz="4" w:space="0"/>
              <w:bottom w:val="single" w:color="auto" w:sz="4" w:space="0"/>
              <w:right w:val="single" w:color="auto" w:sz="4" w:space="0"/>
            </w:tcBorders>
            <w:vAlign w:val="center"/>
          </w:tcPr>
          <w:p>
            <w:pPr>
              <w:widowControl/>
              <w:spacing w:after="0" w:line="340" w:lineRule="exact"/>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产品类型:彩色激光多功能一体机</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涵盖功能:打印/复印/扫描</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最大处理幅面:A4</w:t>
            </w:r>
          </w:p>
          <w:p>
            <w:pPr>
              <w:widowControl/>
              <w:spacing w:after="0" w:line="340" w:lineRule="exact"/>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网络功能:支持无线/有线网络打印</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黑白打印速度:A4：</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18ppm</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彩色打印速度:A4：</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4ppm</w:t>
            </w:r>
          </w:p>
          <w:p>
            <w:pPr>
              <w:widowControl/>
              <w:spacing w:after="0" w:line="34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内存标配：</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128MB</w:t>
            </w:r>
          </w:p>
        </w:tc>
        <w:tc>
          <w:tcPr>
            <w:tcW w:w="705"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20台</w:t>
            </w:r>
          </w:p>
        </w:tc>
        <w:tc>
          <w:tcPr>
            <w:tcW w:w="118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2500</w:t>
            </w:r>
          </w:p>
        </w:tc>
        <w:tc>
          <w:tcPr>
            <w:tcW w:w="123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6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p>
        </w:tc>
        <w:tc>
          <w:tcPr>
            <w:tcW w:w="124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黑白打印机</w:t>
            </w:r>
          </w:p>
        </w:tc>
        <w:tc>
          <w:tcPr>
            <w:tcW w:w="5440" w:type="dxa"/>
            <w:tcBorders>
              <w:top w:val="single" w:color="auto" w:sz="4" w:space="0"/>
              <w:left w:val="single" w:color="auto" w:sz="4" w:space="0"/>
              <w:bottom w:val="single" w:color="auto" w:sz="4" w:space="0"/>
              <w:right w:val="single" w:color="auto" w:sz="4" w:space="0"/>
            </w:tcBorders>
            <w:vAlign w:val="center"/>
          </w:tcPr>
          <w:p>
            <w:pPr>
              <w:widowControl/>
              <w:spacing w:after="0" w:line="340" w:lineRule="exact"/>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黑白激光打印机 </w:t>
            </w:r>
          </w:p>
          <w:p>
            <w:pPr>
              <w:widowControl/>
              <w:spacing w:after="0" w:line="340" w:lineRule="exact"/>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最大支持打印幅面：A4</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 xml:space="preserve">最高分辨率：支持600×600dpi  </w:t>
            </w:r>
          </w:p>
          <w:p>
            <w:pPr>
              <w:widowControl/>
              <w:spacing w:after="0" w:line="340" w:lineRule="exact"/>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打印速度：</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 xml:space="preserve">12ppm  </w:t>
            </w:r>
          </w:p>
          <w:p>
            <w:pPr>
              <w:widowControl/>
              <w:spacing w:after="0" w:line="340" w:lineRule="exact"/>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内存标配：</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 xml:space="preserve">2MB </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 xml:space="preserve">预热时间：≤10秒 </w:t>
            </w:r>
          </w:p>
        </w:tc>
        <w:tc>
          <w:tcPr>
            <w:tcW w:w="705"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20台</w:t>
            </w:r>
          </w:p>
        </w:tc>
        <w:tc>
          <w:tcPr>
            <w:tcW w:w="118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1500</w:t>
            </w:r>
          </w:p>
        </w:tc>
        <w:tc>
          <w:tcPr>
            <w:tcW w:w="123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6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w:t>
            </w:r>
          </w:p>
        </w:tc>
        <w:tc>
          <w:tcPr>
            <w:tcW w:w="124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摄像机</w:t>
            </w:r>
          </w:p>
        </w:tc>
        <w:tc>
          <w:tcPr>
            <w:tcW w:w="5440" w:type="dxa"/>
            <w:tcBorders>
              <w:top w:val="single" w:color="auto" w:sz="4" w:space="0"/>
              <w:left w:val="single" w:color="auto" w:sz="4" w:space="0"/>
              <w:bottom w:val="single" w:color="auto" w:sz="4" w:space="0"/>
              <w:right w:val="single" w:color="auto" w:sz="4" w:space="0"/>
            </w:tcBorders>
          </w:tcPr>
          <w:p>
            <w:pPr>
              <w:spacing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传感器类型 Exmor R CMOS</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传感器尺寸 （1/5.8）英寸</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最大像素 251万</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有效像素 229万</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影像处理器 BIONZ X</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光学变焦 ≥30倍</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数字变焦 ≥350倍</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焦距范围 f=1.9-57mm</w:t>
            </w:r>
          </w:p>
          <w:p>
            <w:pPr>
              <w:spacing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光圈范围 F1.8-F4.0</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镜头盖 有</w:t>
            </w:r>
          </w:p>
        </w:tc>
        <w:tc>
          <w:tcPr>
            <w:tcW w:w="705"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25台</w:t>
            </w:r>
          </w:p>
        </w:tc>
        <w:tc>
          <w:tcPr>
            <w:tcW w:w="118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1800</w:t>
            </w:r>
          </w:p>
        </w:tc>
        <w:tc>
          <w:tcPr>
            <w:tcW w:w="123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46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w:t>
            </w:r>
          </w:p>
        </w:tc>
        <w:tc>
          <w:tcPr>
            <w:tcW w:w="124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照相机</w:t>
            </w:r>
          </w:p>
        </w:tc>
        <w:tc>
          <w:tcPr>
            <w:tcW w:w="5440" w:type="dxa"/>
            <w:tcBorders>
              <w:top w:val="single" w:color="auto" w:sz="4" w:space="0"/>
              <w:left w:val="single" w:color="auto" w:sz="4" w:space="0"/>
              <w:bottom w:val="single" w:color="auto" w:sz="4" w:space="0"/>
              <w:right w:val="single" w:color="auto" w:sz="4" w:space="0"/>
            </w:tcBorders>
          </w:tcPr>
          <w:p>
            <w:pPr>
              <w:spacing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产品类型 长焦 </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操作方式 全自动操作   </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传感器尺寸 1/2.3英寸  </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最大像素数 ≥2110万  </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有效像素 ≥1820万  </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光学变焦 ≥20倍  </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数码变焦 ≥80倍   </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最高分辨率 4896×367全高清（1080） </w:t>
            </w:r>
          </w:p>
          <w:p>
            <w:pPr>
              <w:spacing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最大光圈 F3.5-F6.5 </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支持SD/SDHC/SDXC卡/MS记忆棒</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锂电池（NP-BX1）</w:t>
            </w:r>
          </w:p>
        </w:tc>
        <w:tc>
          <w:tcPr>
            <w:tcW w:w="705"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22台</w:t>
            </w:r>
          </w:p>
        </w:tc>
        <w:tc>
          <w:tcPr>
            <w:tcW w:w="118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2400</w:t>
            </w:r>
          </w:p>
        </w:tc>
        <w:tc>
          <w:tcPr>
            <w:tcW w:w="123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6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w:t>
            </w:r>
          </w:p>
        </w:tc>
        <w:tc>
          <w:tcPr>
            <w:tcW w:w="124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台式</w:t>
            </w:r>
            <w:r>
              <w:rPr>
                <w:rFonts w:hint="eastAsia" w:ascii="宋体" w:hAnsi="宋体" w:eastAsia="宋体" w:cs="宋体"/>
                <w:color w:val="auto"/>
                <w:sz w:val="21"/>
                <w:szCs w:val="21"/>
                <w:highlight w:val="none"/>
              </w:rPr>
              <w:t>电脑</w:t>
            </w:r>
          </w:p>
        </w:tc>
        <w:tc>
          <w:tcPr>
            <w:tcW w:w="5440" w:type="dxa"/>
            <w:tcBorders>
              <w:top w:val="single" w:color="auto" w:sz="4" w:space="0"/>
              <w:left w:val="single" w:color="auto" w:sz="4" w:space="0"/>
              <w:bottom w:val="single" w:color="auto" w:sz="4" w:space="0"/>
              <w:right w:val="single" w:color="auto" w:sz="4" w:space="0"/>
            </w:tcBorders>
          </w:tcPr>
          <w:p>
            <w:pPr>
              <w:pStyle w:val="2"/>
              <w:spacing w:line="3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1.CPU≥英特尔酷睿九代 处理器9400（2.9GHz/6核/9M缓存）</w:t>
            </w:r>
          </w:p>
          <w:p>
            <w:pPr>
              <w:pStyle w:val="2"/>
              <w:spacing w:line="3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2.内存≥8G DDR4</w:t>
            </w:r>
          </w:p>
          <w:p>
            <w:pPr>
              <w:pStyle w:val="2"/>
              <w:spacing w:line="3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3.硬盘≥1000G SATA硬盘</w:t>
            </w:r>
          </w:p>
          <w:p>
            <w:pPr>
              <w:pStyle w:val="2"/>
              <w:spacing w:line="3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4.显卡：集成高性能显卡</w:t>
            </w:r>
          </w:p>
          <w:p>
            <w:pPr>
              <w:pStyle w:val="2"/>
              <w:spacing w:line="3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5.网卡：集成千兆网卡</w:t>
            </w:r>
          </w:p>
          <w:p>
            <w:pPr>
              <w:pStyle w:val="2"/>
              <w:spacing w:line="3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6.声卡：集成HD  Audio，支持5.1声道音频输出</w:t>
            </w:r>
          </w:p>
          <w:p>
            <w:pPr>
              <w:pStyle w:val="2"/>
              <w:spacing w:line="3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7.键盘、鼠标：防水抗菌键盘、抗菌鼠标</w:t>
            </w:r>
          </w:p>
          <w:p>
            <w:pPr>
              <w:pStyle w:val="2"/>
              <w:spacing w:line="3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8.显示器≥同一品牌21.5英寸宽屏低蓝光LED液晶显示器</w:t>
            </w:r>
          </w:p>
          <w:p>
            <w:pPr>
              <w:pStyle w:val="2"/>
              <w:spacing w:line="3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9.机箱：≥18L </w:t>
            </w:r>
          </w:p>
          <w:p>
            <w:pPr>
              <w:pStyle w:val="2"/>
              <w:spacing w:line="3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10.接口：前置6个USB接口（4个USB3.0+2个USB3.1Gen2）PCI扩展，便于多种商税板卡扩展支持，VGA接口、HDIM接口</w:t>
            </w:r>
          </w:p>
        </w:tc>
        <w:tc>
          <w:tcPr>
            <w:tcW w:w="705"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100台</w:t>
            </w:r>
          </w:p>
        </w:tc>
        <w:tc>
          <w:tcPr>
            <w:tcW w:w="118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4550</w:t>
            </w:r>
          </w:p>
        </w:tc>
        <w:tc>
          <w:tcPr>
            <w:tcW w:w="123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455000</w:t>
            </w:r>
          </w:p>
          <w:p>
            <w:pPr>
              <w:pStyle w:val="2"/>
              <w:spacing w:line="340" w:lineRule="exac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6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19</w:t>
            </w:r>
          </w:p>
        </w:tc>
        <w:tc>
          <w:tcPr>
            <w:tcW w:w="124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color w:val="auto"/>
                <w:sz w:val="21"/>
                <w:szCs w:val="21"/>
                <w:highlight w:val="none"/>
              </w:rPr>
            </w:pPr>
            <w:r>
              <w:rPr>
                <w:rFonts w:hint="eastAsia" w:ascii="宋体" w:hAnsi="宋体" w:eastAsia="宋体" w:cs="宋体"/>
                <w:bCs/>
                <w:color w:val="auto"/>
                <w:kern w:val="0"/>
                <w:sz w:val="21"/>
                <w:szCs w:val="21"/>
                <w:highlight w:val="none"/>
                <w:lang w:bidi="ar"/>
              </w:rPr>
              <w:t>夜视仪</w:t>
            </w:r>
          </w:p>
        </w:tc>
        <w:tc>
          <w:tcPr>
            <w:tcW w:w="5440" w:type="dxa"/>
            <w:tcBorders>
              <w:top w:val="single" w:color="auto" w:sz="4" w:space="0"/>
              <w:left w:val="single" w:color="auto" w:sz="4" w:space="0"/>
              <w:bottom w:val="single" w:color="auto" w:sz="4" w:space="0"/>
              <w:right w:val="single" w:color="auto" w:sz="4" w:space="0"/>
            </w:tcBorders>
          </w:tcPr>
          <w:p>
            <w:pPr>
              <w:spacing w:line="340" w:lineRule="exact"/>
              <w:jc w:val="left"/>
              <w:rPr>
                <w:rFonts w:hint="eastAsia" w:ascii="宋体" w:hAnsi="宋体" w:eastAsia="宋体" w:cs="宋体"/>
                <w:bCs/>
                <w:color w:val="auto"/>
                <w:kern w:val="0"/>
                <w:sz w:val="21"/>
                <w:szCs w:val="21"/>
                <w:highlight w:val="none"/>
                <w:lang w:bidi="ar"/>
              </w:rPr>
            </w:pPr>
            <w:r>
              <w:rPr>
                <w:rFonts w:hint="eastAsia" w:ascii="宋体" w:hAnsi="宋体" w:eastAsia="宋体" w:cs="宋体"/>
                <w:bCs/>
                <w:color w:val="auto"/>
                <w:kern w:val="0"/>
                <w:sz w:val="21"/>
                <w:szCs w:val="21"/>
                <w:highlight w:val="none"/>
                <w:lang w:bidi="ar"/>
              </w:rPr>
              <w:t>传感器类型：非制冷型氧化钒探测器</w:t>
            </w:r>
            <w:r>
              <w:rPr>
                <w:rFonts w:hint="eastAsia" w:ascii="宋体" w:hAnsi="宋体" w:eastAsia="宋体" w:cs="宋体"/>
                <w:bCs/>
                <w:color w:val="auto"/>
                <w:kern w:val="0"/>
                <w:sz w:val="21"/>
                <w:szCs w:val="21"/>
                <w:highlight w:val="none"/>
                <w:lang w:bidi="ar"/>
              </w:rPr>
              <w:br w:type="textWrapping"/>
            </w:r>
            <w:r>
              <w:rPr>
                <w:rFonts w:hint="eastAsia" w:ascii="宋体" w:hAnsi="宋体" w:eastAsia="宋体" w:cs="宋体"/>
                <w:bCs/>
                <w:color w:val="auto"/>
                <w:kern w:val="0"/>
                <w:sz w:val="21"/>
                <w:szCs w:val="21"/>
                <w:highlight w:val="none"/>
                <w:lang w:bidi="ar"/>
              </w:rPr>
              <w:t>最大图像支持尺寸：384ｘ288</w:t>
            </w:r>
          </w:p>
          <w:p>
            <w:pPr>
              <w:spacing w:line="340" w:lineRule="exact"/>
              <w:jc w:val="left"/>
              <w:rPr>
                <w:rFonts w:hint="eastAsia" w:ascii="宋体" w:hAnsi="宋体" w:eastAsia="宋体" w:cs="宋体"/>
                <w:color w:val="auto"/>
                <w:sz w:val="21"/>
                <w:szCs w:val="21"/>
                <w:highlight w:val="none"/>
              </w:rPr>
            </w:pPr>
            <w:r>
              <w:rPr>
                <w:rFonts w:hint="eastAsia" w:ascii="宋体" w:hAnsi="宋体" w:eastAsia="宋体" w:cs="宋体"/>
                <w:bCs/>
                <w:color w:val="auto"/>
                <w:kern w:val="0"/>
                <w:sz w:val="21"/>
                <w:szCs w:val="21"/>
                <w:highlight w:val="none"/>
                <w:lang w:bidi="ar"/>
              </w:rPr>
              <w:t>响应波段：</w:t>
            </w:r>
            <w:r>
              <w:rPr>
                <w:rFonts w:hint="eastAsia" w:ascii="宋体" w:hAnsi="宋体" w:eastAsia="宋体" w:cs="宋体"/>
                <w:color w:val="auto"/>
                <w:sz w:val="21"/>
                <w:szCs w:val="21"/>
                <w:highlight w:val="none"/>
              </w:rPr>
              <w:t>≥</w:t>
            </w:r>
            <w:r>
              <w:rPr>
                <w:rFonts w:hint="eastAsia" w:ascii="宋体" w:hAnsi="宋体" w:eastAsia="宋体" w:cs="宋体"/>
                <w:bCs/>
                <w:color w:val="auto"/>
                <w:kern w:val="0"/>
                <w:sz w:val="21"/>
                <w:szCs w:val="21"/>
                <w:highlight w:val="none"/>
                <w:lang w:bidi="ar"/>
              </w:rPr>
              <w:t>8~14μm</w:t>
            </w:r>
            <w:r>
              <w:rPr>
                <w:rFonts w:hint="eastAsia" w:ascii="宋体" w:hAnsi="宋体" w:eastAsia="宋体" w:cs="宋体"/>
                <w:bCs/>
                <w:color w:val="auto"/>
                <w:kern w:val="0"/>
                <w:sz w:val="21"/>
                <w:szCs w:val="21"/>
                <w:highlight w:val="none"/>
                <w:lang w:bidi="ar"/>
              </w:rPr>
              <w:br w:type="textWrapping"/>
            </w:r>
            <w:r>
              <w:rPr>
                <w:rFonts w:hint="eastAsia" w:ascii="宋体" w:hAnsi="宋体" w:eastAsia="宋体" w:cs="宋体"/>
                <w:bCs/>
                <w:color w:val="auto"/>
                <w:kern w:val="0"/>
                <w:sz w:val="21"/>
                <w:szCs w:val="21"/>
                <w:highlight w:val="none"/>
                <w:lang w:bidi="ar"/>
              </w:rPr>
              <w:t>MRTD(最小可分辨温差)：500mk</w:t>
            </w:r>
            <w:r>
              <w:rPr>
                <w:rFonts w:hint="eastAsia" w:ascii="宋体" w:hAnsi="宋体" w:eastAsia="宋体" w:cs="宋体"/>
                <w:bCs/>
                <w:color w:val="auto"/>
                <w:kern w:val="0"/>
                <w:sz w:val="21"/>
                <w:szCs w:val="21"/>
                <w:highlight w:val="none"/>
                <w:lang w:bidi="ar"/>
              </w:rPr>
              <w:br w:type="textWrapping"/>
            </w:r>
            <w:r>
              <w:rPr>
                <w:rFonts w:hint="eastAsia" w:ascii="宋体" w:hAnsi="宋体" w:eastAsia="宋体" w:cs="宋体"/>
                <w:bCs/>
                <w:color w:val="auto"/>
                <w:kern w:val="0"/>
                <w:sz w:val="21"/>
                <w:szCs w:val="21"/>
                <w:highlight w:val="none"/>
                <w:lang w:bidi="ar"/>
              </w:rPr>
              <w:t>热成像镜头焦距：≥15mm</w:t>
            </w:r>
            <w:r>
              <w:rPr>
                <w:rFonts w:hint="eastAsia" w:ascii="宋体" w:hAnsi="宋体" w:eastAsia="宋体" w:cs="宋体"/>
                <w:bCs/>
                <w:color w:val="auto"/>
                <w:kern w:val="0"/>
                <w:sz w:val="21"/>
                <w:szCs w:val="21"/>
                <w:highlight w:val="none"/>
                <w:lang w:bidi="ar"/>
              </w:rPr>
              <w:br w:type="textWrapping"/>
            </w:r>
            <w:r>
              <w:rPr>
                <w:rFonts w:hint="eastAsia" w:ascii="宋体" w:hAnsi="宋体" w:eastAsia="宋体" w:cs="宋体"/>
                <w:bCs/>
                <w:color w:val="auto"/>
                <w:kern w:val="0"/>
                <w:sz w:val="21"/>
                <w:szCs w:val="21"/>
                <w:highlight w:val="none"/>
                <w:lang w:bidi="ar"/>
              </w:rPr>
              <w:t>目标距离：  探测  识别</w:t>
            </w:r>
            <w:r>
              <w:rPr>
                <w:rFonts w:hint="eastAsia" w:ascii="宋体" w:hAnsi="宋体" w:eastAsia="宋体" w:cs="宋体"/>
                <w:bCs/>
                <w:color w:val="auto"/>
                <w:kern w:val="0"/>
                <w:sz w:val="21"/>
                <w:szCs w:val="21"/>
                <w:highlight w:val="none"/>
                <w:lang w:bidi="ar"/>
              </w:rPr>
              <w:br w:type="textWrapping"/>
            </w:r>
            <w:r>
              <w:rPr>
                <w:rFonts w:hint="eastAsia" w:ascii="宋体" w:hAnsi="宋体" w:eastAsia="宋体" w:cs="宋体"/>
                <w:bCs/>
                <w:color w:val="auto"/>
                <w:kern w:val="0"/>
                <w:sz w:val="21"/>
                <w:szCs w:val="21"/>
                <w:highlight w:val="none"/>
                <w:lang w:bidi="ar"/>
              </w:rPr>
              <w:t>人：        1000+  300+</w:t>
            </w:r>
            <w:r>
              <w:rPr>
                <w:rFonts w:hint="eastAsia" w:ascii="宋体" w:hAnsi="宋体" w:eastAsia="宋体" w:cs="宋体"/>
                <w:bCs/>
                <w:color w:val="auto"/>
                <w:kern w:val="0"/>
                <w:sz w:val="21"/>
                <w:szCs w:val="21"/>
                <w:highlight w:val="none"/>
                <w:lang w:bidi="ar"/>
              </w:rPr>
              <w:br w:type="textWrapping"/>
            </w:r>
            <w:r>
              <w:rPr>
                <w:rFonts w:hint="eastAsia" w:ascii="宋体" w:hAnsi="宋体" w:eastAsia="宋体" w:cs="宋体"/>
                <w:bCs/>
                <w:color w:val="auto"/>
                <w:kern w:val="0"/>
                <w:sz w:val="21"/>
                <w:szCs w:val="21"/>
                <w:highlight w:val="none"/>
                <w:lang w:bidi="ar"/>
              </w:rPr>
              <w:t>视场角：    24.6°ｘ18.5°</w:t>
            </w:r>
            <w:r>
              <w:rPr>
                <w:rFonts w:hint="eastAsia" w:ascii="宋体" w:hAnsi="宋体" w:eastAsia="宋体" w:cs="宋体"/>
                <w:bCs/>
                <w:color w:val="auto"/>
                <w:kern w:val="0"/>
                <w:sz w:val="21"/>
                <w:szCs w:val="21"/>
                <w:highlight w:val="none"/>
                <w:lang w:bidi="ar"/>
              </w:rPr>
              <w:br w:type="textWrapping"/>
            </w:r>
            <w:r>
              <w:rPr>
                <w:rFonts w:hint="eastAsia" w:ascii="宋体" w:hAnsi="宋体" w:eastAsia="宋体" w:cs="宋体"/>
                <w:bCs/>
                <w:color w:val="auto"/>
                <w:kern w:val="0"/>
                <w:sz w:val="21"/>
                <w:szCs w:val="21"/>
                <w:highlight w:val="none"/>
                <w:lang w:bidi="ar"/>
              </w:rPr>
              <w:t>亮度调节：     1~5挡可调</w:t>
            </w:r>
            <w:r>
              <w:rPr>
                <w:rFonts w:hint="eastAsia" w:ascii="宋体" w:hAnsi="宋体" w:eastAsia="宋体" w:cs="宋体"/>
                <w:bCs/>
                <w:color w:val="auto"/>
                <w:kern w:val="0"/>
                <w:sz w:val="21"/>
                <w:szCs w:val="21"/>
                <w:highlight w:val="none"/>
                <w:lang w:bidi="ar"/>
              </w:rPr>
              <w:br w:type="textWrapping"/>
            </w:r>
            <w:r>
              <w:rPr>
                <w:rFonts w:hint="eastAsia" w:ascii="宋体" w:hAnsi="宋体" w:eastAsia="宋体" w:cs="宋体"/>
                <w:bCs/>
                <w:color w:val="auto"/>
                <w:kern w:val="0"/>
                <w:sz w:val="21"/>
                <w:szCs w:val="21"/>
                <w:highlight w:val="none"/>
                <w:lang w:bidi="ar"/>
              </w:rPr>
              <w:t xml:space="preserve">显示分辨率：   </w:t>
            </w:r>
            <w:r>
              <w:rPr>
                <w:rFonts w:hint="eastAsia" w:ascii="宋体" w:hAnsi="宋体" w:eastAsia="宋体" w:cs="宋体"/>
                <w:color w:val="auto"/>
                <w:sz w:val="21"/>
                <w:szCs w:val="21"/>
                <w:highlight w:val="none"/>
              </w:rPr>
              <w:t>≥</w:t>
            </w:r>
            <w:r>
              <w:rPr>
                <w:rFonts w:hint="eastAsia" w:ascii="宋体" w:hAnsi="宋体" w:eastAsia="宋体" w:cs="宋体"/>
                <w:bCs/>
                <w:color w:val="auto"/>
                <w:kern w:val="0"/>
                <w:sz w:val="21"/>
                <w:szCs w:val="21"/>
                <w:highlight w:val="none"/>
                <w:lang w:bidi="ar"/>
              </w:rPr>
              <w:t>720ｘ540</w:t>
            </w:r>
            <w:r>
              <w:rPr>
                <w:rFonts w:hint="eastAsia" w:ascii="宋体" w:hAnsi="宋体" w:eastAsia="宋体" w:cs="宋体"/>
                <w:bCs/>
                <w:color w:val="auto"/>
                <w:kern w:val="0"/>
                <w:sz w:val="21"/>
                <w:szCs w:val="21"/>
                <w:highlight w:val="none"/>
                <w:lang w:bidi="ar"/>
              </w:rPr>
              <w:br w:type="textWrapping"/>
            </w:r>
            <w:r>
              <w:rPr>
                <w:rFonts w:hint="eastAsia" w:ascii="宋体" w:hAnsi="宋体" w:eastAsia="宋体" w:cs="宋体"/>
                <w:bCs/>
                <w:color w:val="auto"/>
                <w:kern w:val="0"/>
                <w:sz w:val="21"/>
                <w:szCs w:val="21"/>
                <w:highlight w:val="none"/>
                <w:lang w:bidi="ar"/>
              </w:rPr>
              <w:t>图像模式支持： 黑热，白热，红热</w:t>
            </w:r>
            <w:r>
              <w:rPr>
                <w:rFonts w:hint="eastAsia" w:ascii="宋体" w:hAnsi="宋体" w:eastAsia="宋体" w:cs="宋体"/>
                <w:bCs/>
                <w:color w:val="auto"/>
                <w:kern w:val="0"/>
                <w:sz w:val="21"/>
                <w:szCs w:val="21"/>
                <w:highlight w:val="none"/>
                <w:lang w:bidi="ar"/>
              </w:rPr>
              <w:br w:type="textWrapping"/>
            </w:r>
            <w:r>
              <w:rPr>
                <w:rFonts w:hint="eastAsia" w:ascii="宋体" w:hAnsi="宋体" w:eastAsia="宋体" w:cs="宋体"/>
                <w:bCs/>
                <w:color w:val="auto"/>
                <w:kern w:val="0"/>
                <w:sz w:val="21"/>
                <w:szCs w:val="21"/>
                <w:highlight w:val="none"/>
                <w:lang w:bidi="ar"/>
              </w:rPr>
              <w:t xml:space="preserve">电子放大：    1~4ｘ   </w:t>
            </w:r>
            <w:r>
              <w:rPr>
                <w:rFonts w:hint="eastAsia" w:ascii="宋体" w:hAnsi="宋体" w:eastAsia="宋体" w:cs="宋体"/>
                <w:bCs/>
                <w:color w:val="auto"/>
                <w:kern w:val="0"/>
                <w:sz w:val="21"/>
                <w:szCs w:val="21"/>
                <w:highlight w:val="none"/>
                <w:lang w:bidi="ar"/>
              </w:rPr>
              <w:br w:type="textWrapping"/>
            </w:r>
            <w:r>
              <w:rPr>
                <w:rFonts w:hint="eastAsia" w:ascii="宋体" w:hAnsi="宋体" w:eastAsia="宋体" w:cs="宋体"/>
                <w:bCs/>
                <w:color w:val="auto"/>
                <w:kern w:val="0"/>
                <w:sz w:val="21"/>
                <w:szCs w:val="21"/>
                <w:highlight w:val="none"/>
                <w:lang w:bidi="ar"/>
              </w:rPr>
              <w:t>对比度调节：  1~5挡可调</w:t>
            </w:r>
            <w:r>
              <w:rPr>
                <w:rFonts w:hint="eastAsia" w:ascii="宋体" w:hAnsi="宋体" w:eastAsia="宋体" w:cs="宋体"/>
                <w:bCs/>
                <w:color w:val="auto"/>
                <w:kern w:val="0"/>
                <w:sz w:val="21"/>
                <w:szCs w:val="21"/>
                <w:highlight w:val="none"/>
                <w:lang w:bidi="ar"/>
              </w:rPr>
              <w:br w:type="textWrapping"/>
            </w:r>
            <w:r>
              <w:rPr>
                <w:rFonts w:hint="eastAsia" w:ascii="宋体" w:hAnsi="宋体" w:eastAsia="宋体" w:cs="宋体"/>
                <w:bCs/>
                <w:color w:val="auto"/>
                <w:kern w:val="0"/>
                <w:sz w:val="21"/>
                <w:szCs w:val="21"/>
                <w:highlight w:val="none"/>
                <w:lang w:bidi="ar"/>
              </w:rPr>
              <w:t>WIF：         支持</w:t>
            </w:r>
            <w:r>
              <w:rPr>
                <w:rFonts w:hint="eastAsia" w:ascii="宋体" w:hAnsi="宋体" w:eastAsia="宋体" w:cs="宋体"/>
                <w:bCs/>
                <w:color w:val="auto"/>
                <w:kern w:val="0"/>
                <w:sz w:val="21"/>
                <w:szCs w:val="21"/>
                <w:highlight w:val="none"/>
                <w:lang w:bidi="ar"/>
              </w:rPr>
              <w:br w:type="textWrapping"/>
            </w:r>
            <w:r>
              <w:rPr>
                <w:rFonts w:hint="eastAsia" w:ascii="宋体" w:hAnsi="宋体" w:eastAsia="宋体" w:cs="宋体"/>
                <w:bCs/>
                <w:color w:val="auto"/>
                <w:kern w:val="0"/>
                <w:sz w:val="21"/>
                <w:szCs w:val="21"/>
                <w:highlight w:val="none"/>
                <w:lang w:bidi="ar"/>
              </w:rPr>
              <w:t>抓图：         支持</w:t>
            </w:r>
            <w:r>
              <w:rPr>
                <w:rFonts w:hint="eastAsia" w:ascii="宋体" w:hAnsi="宋体" w:eastAsia="宋体" w:cs="宋体"/>
                <w:bCs/>
                <w:color w:val="auto"/>
                <w:kern w:val="0"/>
                <w:sz w:val="21"/>
                <w:szCs w:val="21"/>
                <w:highlight w:val="none"/>
                <w:lang w:bidi="ar"/>
              </w:rPr>
              <w:br w:type="textWrapping"/>
            </w:r>
            <w:r>
              <w:rPr>
                <w:rFonts w:hint="eastAsia" w:ascii="宋体" w:hAnsi="宋体" w:eastAsia="宋体" w:cs="宋体"/>
                <w:bCs/>
                <w:color w:val="auto"/>
                <w:kern w:val="0"/>
                <w:sz w:val="21"/>
                <w:szCs w:val="21"/>
                <w:highlight w:val="none"/>
                <w:lang w:bidi="ar"/>
              </w:rPr>
              <w:t>热点追踪：     支持</w:t>
            </w:r>
            <w:r>
              <w:rPr>
                <w:rFonts w:hint="eastAsia" w:ascii="宋体" w:hAnsi="宋体" w:eastAsia="宋体" w:cs="宋体"/>
                <w:bCs/>
                <w:color w:val="auto"/>
                <w:kern w:val="0"/>
                <w:sz w:val="21"/>
                <w:szCs w:val="21"/>
                <w:highlight w:val="none"/>
                <w:lang w:bidi="ar"/>
              </w:rPr>
              <w:br w:type="textWrapping"/>
            </w:r>
            <w:r>
              <w:rPr>
                <w:rFonts w:hint="eastAsia" w:ascii="宋体" w:hAnsi="宋体" w:eastAsia="宋体" w:cs="宋体"/>
                <w:bCs/>
                <w:color w:val="auto"/>
                <w:kern w:val="0"/>
                <w:sz w:val="21"/>
                <w:szCs w:val="21"/>
                <w:highlight w:val="none"/>
                <w:lang w:bidi="ar"/>
              </w:rPr>
              <w:t>激光指示：     支持</w:t>
            </w:r>
            <w:r>
              <w:rPr>
                <w:rFonts w:hint="eastAsia" w:ascii="宋体" w:hAnsi="宋体" w:eastAsia="宋体" w:cs="宋体"/>
                <w:bCs/>
                <w:color w:val="auto"/>
                <w:kern w:val="0"/>
                <w:sz w:val="21"/>
                <w:szCs w:val="21"/>
                <w:highlight w:val="none"/>
                <w:lang w:bidi="ar"/>
              </w:rPr>
              <w:br w:type="textWrapping"/>
            </w:r>
            <w:r>
              <w:rPr>
                <w:rFonts w:hint="eastAsia" w:ascii="宋体" w:hAnsi="宋体" w:eastAsia="宋体" w:cs="宋体"/>
                <w:bCs/>
                <w:color w:val="auto"/>
                <w:kern w:val="0"/>
                <w:sz w:val="21"/>
                <w:szCs w:val="21"/>
                <w:highlight w:val="none"/>
                <w:lang w:bidi="ar"/>
              </w:rPr>
              <w:t>测距：         支持</w:t>
            </w:r>
            <w:r>
              <w:rPr>
                <w:rFonts w:hint="eastAsia" w:ascii="宋体" w:hAnsi="宋体" w:eastAsia="宋体" w:cs="宋体"/>
                <w:bCs/>
                <w:color w:val="auto"/>
                <w:kern w:val="0"/>
                <w:sz w:val="21"/>
                <w:szCs w:val="21"/>
                <w:highlight w:val="none"/>
                <w:lang w:bidi="ar"/>
              </w:rPr>
              <w:br w:type="textWrapping"/>
            </w:r>
            <w:r>
              <w:rPr>
                <w:rFonts w:hint="eastAsia" w:ascii="宋体" w:hAnsi="宋体" w:eastAsia="宋体" w:cs="宋体"/>
                <w:bCs/>
                <w:color w:val="auto"/>
                <w:kern w:val="0"/>
                <w:sz w:val="21"/>
                <w:szCs w:val="21"/>
                <w:highlight w:val="none"/>
                <w:lang w:bidi="ar"/>
              </w:rPr>
              <w:t>接口：         支持TYPE-C</w:t>
            </w:r>
            <w:r>
              <w:rPr>
                <w:rFonts w:hint="eastAsia" w:ascii="宋体" w:hAnsi="宋体" w:eastAsia="宋体" w:cs="宋体"/>
                <w:bCs/>
                <w:color w:val="auto"/>
                <w:kern w:val="0"/>
                <w:sz w:val="21"/>
                <w:szCs w:val="21"/>
                <w:highlight w:val="none"/>
                <w:lang w:bidi="ar"/>
              </w:rPr>
              <w:br w:type="textWrapping"/>
            </w:r>
            <w:r>
              <w:rPr>
                <w:rFonts w:hint="eastAsia" w:ascii="宋体" w:hAnsi="宋体" w:eastAsia="宋体" w:cs="宋体"/>
                <w:bCs/>
                <w:color w:val="auto"/>
                <w:kern w:val="0"/>
                <w:sz w:val="21"/>
                <w:szCs w:val="21"/>
                <w:highlight w:val="none"/>
                <w:lang w:bidi="ar"/>
              </w:rPr>
              <w:t xml:space="preserve">存储：         </w:t>
            </w:r>
            <w:r>
              <w:rPr>
                <w:rFonts w:hint="eastAsia" w:ascii="宋体" w:hAnsi="宋体" w:eastAsia="宋体" w:cs="宋体"/>
                <w:color w:val="auto"/>
                <w:sz w:val="21"/>
                <w:szCs w:val="21"/>
                <w:highlight w:val="none"/>
              </w:rPr>
              <w:t>≥</w:t>
            </w:r>
            <w:r>
              <w:rPr>
                <w:rFonts w:hint="eastAsia" w:ascii="宋体" w:hAnsi="宋体" w:eastAsia="宋体" w:cs="宋体"/>
                <w:bCs/>
                <w:color w:val="auto"/>
                <w:kern w:val="0"/>
                <w:sz w:val="21"/>
                <w:szCs w:val="21"/>
                <w:highlight w:val="none"/>
                <w:lang w:bidi="ar"/>
              </w:rPr>
              <w:t>16gb</w:t>
            </w:r>
            <w:r>
              <w:rPr>
                <w:rFonts w:hint="eastAsia" w:ascii="宋体" w:hAnsi="宋体" w:eastAsia="宋体" w:cs="宋体"/>
                <w:bCs/>
                <w:color w:val="auto"/>
                <w:kern w:val="0"/>
                <w:sz w:val="21"/>
                <w:szCs w:val="21"/>
                <w:highlight w:val="none"/>
                <w:lang w:bidi="ar"/>
              </w:rPr>
              <w:br w:type="textWrapping"/>
            </w:r>
            <w:r>
              <w:rPr>
                <w:rFonts w:hint="eastAsia" w:ascii="宋体" w:hAnsi="宋体" w:eastAsia="宋体" w:cs="宋体"/>
                <w:bCs/>
                <w:color w:val="auto"/>
                <w:kern w:val="0"/>
                <w:sz w:val="21"/>
                <w:szCs w:val="21"/>
                <w:highlight w:val="none"/>
                <w:lang w:bidi="ar"/>
              </w:rPr>
              <w:t>续航时间：     &gt;5h</w:t>
            </w:r>
            <w:r>
              <w:rPr>
                <w:rFonts w:hint="eastAsia" w:ascii="宋体" w:hAnsi="宋体" w:eastAsia="宋体" w:cs="宋体"/>
                <w:bCs/>
                <w:color w:val="auto"/>
                <w:kern w:val="0"/>
                <w:sz w:val="21"/>
                <w:szCs w:val="21"/>
                <w:highlight w:val="none"/>
                <w:lang w:bidi="ar"/>
              </w:rPr>
              <w:br w:type="textWrapping"/>
            </w:r>
            <w:r>
              <w:rPr>
                <w:rFonts w:hint="eastAsia" w:ascii="宋体" w:hAnsi="宋体" w:eastAsia="宋体" w:cs="宋体"/>
                <w:bCs/>
                <w:color w:val="auto"/>
                <w:kern w:val="0"/>
                <w:sz w:val="21"/>
                <w:szCs w:val="21"/>
                <w:highlight w:val="none"/>
                <w:lang w:bidi="ar"/>
              </w:rPr>
              <w:t>防护等级：     IP67</w:t>
            </w:r>
          </w:p>
        </w:tc>
        <w:tc>
          <w:tcPr>
            <w:tcW w:w="705"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1台</w:t>
            </w:r>
          </w:p>
        </w:tc>
        <w:tc>
          <w:tcPr>
            <w:tcW w:w="118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8300</w:t>
            </w:r>
          </w:p>
        </w:tc>
        <w:tc>
          <w:tcPr>
            <w:tcW w:w="123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6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w:t>
            </w:r>
          </w:p>
        </w:tc>
        <w:tc>
          <w:tcPr>
            <w:tcW w:w="124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bCs/>
                <w:color w:val="auto"/>
                <w:kern w:val="0"/>
                <w:sz w:val="21"/>
                <w:szCs w:val="21"/>
                <w:highlight w:val="none"/>
                <w:lang w:bidi="ar"/>
              </w:rPr>
            </w:pPr>
            <w:r>
              <w:rPr>
                <w:rFonts w:hint="eastAsia" w:ascii="宋体" w:hAnsi="宋体" w:eastAsia="宋体" w:cs="宋体"/>
                <w:bCs/>
                <w:color w:val="auto"/>
                <w:kern w:val="0"/>
                <w:sz w:val="21"/>
                <w:szCs w:val="21"/>
                <w:highlight w:val="none"/>
                <w:lang w:bidi="ar"/>
              </w:rPr>
              <w:t>单目激光测距仪</w:t>
            </w:r>
          </w:p>
        </w:tc>
        <w:tc>
          <w:tcPr>
            <w:tcW w:w="5440" w:type="dxa"/>
            <w:tcBorders>
              <w:top w:val="single" w:color="auto" w:sz="4" w:space="0"/>
              <w:left w:val="single" w:color="auto" w:sz="4" w:space="0"/>
              <w:bottom w:val="single" w:color="auto" w:sz="4" w:space="0"/>
              <w:right w:val="single" w:color="auto" w:sz="4" w:space="0"/>
            </w:tcBorders>
          </w:tcPr>
          <w:p>
            <w:pPr>
              <w:spacing w:line="340" w:lineRule="exact"/>
              <w:jc w:val="left"/>
              <w:rPr>
                <w:rFonts w:hint="eastAsia" w:ascii="宋体" w:hAnsi="宋体" w:eastAsia="宋体" w:cs="宋体"/>
                <w:bCs/>
                <w:color w:val="auto"/>
                <w:kern w:val="0"/>
                <w:sz w:val="21"/>
                <w:szCs w:val="21"/>
                <w:highlight w:val="none"/>
                <w:lang w:bidi="ar"/>
              </w:rPr>
            </w:pPr>
            <w:r>
              <w:rPr>
                <w:rFonts w:hint="eastAsia" w:ascii="宋体" w:hAnsi="宋体" w:eastAsia="宋体" w:cs="宋体"/>
                <w:bCs/>
                <w:color w:val="auto"/>
                <w:kern w:val="0"/>
                <w:sz w:val="21"/>
                <w:szCs w:val="21"/>
                <w:highlight w:val="none"/>
                <w:lang w:bidi="ar"/>
              </w:rPr>
              <w:t xml:space="preserve">量程1： 1000m+        </w:t>
            </w:r>
            <w:r>
              <w:rPr>
                <w:rFonts w:hint="eastAsia" w:ascii="宋体" w:hAnsi="宋体" w:eastAsia="宋体" w:cs="宋体"/>
                <w:bCs/>
                <w:color w:val="auto"/>
                <w:kern w:val="0"/>
                <w:sz w:val="21"/>
                <w:szCs w:val="21"/>
                <w:highlight w:val="none"/>
                <w:lang w:bidi="ar"/>
              </w:rPr>
              <w:br w:type="textWrapping"/>
            </w:r>
            <w:r>
              <w:rPr>
                <w:rFonts w:hint="eastAsia" w:ascii="宋体" w:hAnsi="宋体" w:eastAsia="宋体" w:cs="宋体"/>
                <w:bCs/>
                <w:color w:val="auto"/>
                <w:kern w:val="0"/>
                <w:sz w:val="21"/>
                <w:szCs w:val="21"/>
                <w:highlight w:val="none"/>
                <w:lang w:bidi="ar"/>
              </w:rPr>
              <w:t>测量单位：米（m）、码（Yd）</w:t>
            </w:r>
            <w:r>
              <w:rPr>
                <w:rFonts w:hint="eastAsia" w:ascii="宋体" w:hAnsi="宋体" w:eastAsia="宋体" w:cs="宋体"/>
                <w:bCs/>
                <w:color w:val="auto"/>
                <w:kern w:val="0"/>
                <w:sz w:val="21"/>
                <w:szCs w:val="21"/>
                <w:highlight w:val="none"/>
                <w:lang w:bidi="ar"/>
              </w:rPr>
              <w:br w:type="textWrapping"/>
            </w:r>
            <w:r>
              <w:rPr>
                <w:rFonts w:hint="eastAsia" w:ascii="宋体" w:hAnsi="宋体" w:eastAsia="宋体" w:cs="宋体"/>
                <w:bCs/>
                <w:color w:val="auto"/>
                <w:kern w:val="0"/>
                <w:sz w:val="21"/>
                <w:szCs w:val="21"/>
                <w:highlight w:val="none"/>
                <w:lang w:bidi="ar"/>
              </w:rPr>
              <w:t>测距误差：±0.5m</w:t>
            </w:r>
            <w:r>
              <w:rPr>
                <w:rFonts w:hint="eastAsia" w:ascii="宋体" w:hAnsi="宋体" w:eastAsia="宋体" w:cs="宋体"/>
                <w:bCs/>
                <w:color w:val="auto"/>
                <w:kern w:val="0"/>
                <w:sz w:val="21"/>
                <w:szCs w:val="21"/>
                <w:highlight w:val="none"/>
                <w:lang w:bidi="ar"/>
              </w:rPr>
              <w:br w:type="textWrapping"/>
            </w:r>
            <w:r>
              <w:rPr>
                <w:rFonts w:hint="eastAsia" w:ascii="宋体" w:hAnsi="宋体" w:eastAsia="宋体" w:cs="宋体"/>
                <w:bCs/>
                <w:color w:val="auto"/>
                <w:kern w:val="0"/>
                <w:sz w:val="21"/>
                <w:szCs w:val="21"/>
                <w:highlight w:val="none"/>
                <w:lang w:bidi="ar"/>
              </w:rPr>
              <w:t>测量角度范围：-45º~45º</w:t>
            </w:r>
            <w:r>
              <w:rPr>
                <w:rFonts w:hint="eastAsia" w:ascii="宋体" w:hAnsi="宋体" w:eastAsia="宋体" w:cs="宋体"/>
                <w:bCs/>
                <w:color w:val="auto"/>
                <w:kern w:val="0"/>
                <w:sz w:val="21"/>
                <w:szCs w:val="21"/>
                <w:highlight w:val="none"/>
                <w:lang w:bidi="ar"/>
              </w:rPr>
              <w:br w:type="textWrapping"/>
            </w:r>
            <w:r>
              <w:rPr>
                <w:rFonts w:hint="eastAsia" w:ascii="宋体" w:hAnsi="宋体" w:eastAsia="宋体" w:cs="宋体"/>
                <w:bCs/>
                <w:color w:val="auto"/>
                <w:kern w:val="0"/>
                <w:sz w:val="21"/>
                <w:szCs w:val="21"/>
                <w:highlight w:val="none"/>
                <w:lang w:bidi="ar"/>
              </w:rPr>
              <w:t xml:space="preserve">测角误差：±1º   </w:t>
            </w:r>
            <w:r>
              <w:rPr>
                <w:rFonts w:hint="eastAsia" w:ascii="宋体" w:hAnsi="宋体" w:eastAsia="宋体" w:cs="宋体"/>
                <w:bCs/>
                <w:color w:val="auto"/>
                <w:kern w:val="0"/>
                <w:sz w:val="21"/>
                <w:szCs w:val="21"/>
                <w:highlight w:val="none"/>
                <w:lang w:bidi="ar"/>
              </w:rPr>
              <w:br w:type="textWrapping"/>
            </w:r>
            <w:r>
              <w:rPr>
                <w:rFonts w:hint="eastAsia" w:ascii="宋体" w:hAnsi="宋体" w:eastAsia="宋体" w:cs="宋体"/>
                <w:bCs/>
                <w:color w:val="auto"/>
                <w:kern w:val="0"/>
                <w:sz w:val="21"/>
                <w:szCs w:val="21"/>
                <w:highlight w:val="none"/>
                <w:lang w:bidi="ar"/>
              </w:rPr>
              <w:t xml:space="preserve">视场： </w:t>
            </w:r>
            <w:r>
              <w:rPr>
                <w:rFonts w:hint="eastAsia" w:ascii="宋体" w:hAnsi="宋体" w:eastAsia="宋体" w:cs="宋体"/>
                <w:color w:val="auto"/>
                <w:sz w:val="21"/>
                <w:szCs w:val="21"/>
                <w:highlight w:val="none"/>
              </w:rPr>
              <w:t>≥</w:t>
            </w:r>
            <w:r>
              <w:rPr>
                <w:rFonts w:hint="eastAsia" w:ascii="宋体" w:hAnsi="宋体" w:eastAsia="宋体" w:cs="宋体"/>
                <w:bCs/>
                <w:color w:val="auto"/>
                <w:kern w:val="0"/>
                <w:sz w:val="21"/>
                <w:szCs w:val="21"/>
                <w:highlight w:val="none"/>
                <w:lang w:bidi="ar"/>
              </w:rPr>
              <w:t xml:space="preserve">7º     </w:t>
            </w:r>
            <w:r>
              <w:rPr>
                <w:rFonts w:hint="eastAsia" w:ascii="宋体" w:hAnsi="宋体" w:eastAsia="宋体" w:cs="宋体"/>
                <w:bCs/>
                <w:color w:val="auto"/>
                <w:kern w:val="0"/>
                <w:sz w:val="21"/>
                <w:szCs w:val="21"/>
                <w:highlight w:val="none"/>
                <w:lang w:bidi="ar"/>
              </w:rPr>
              <w:br w:type="textWrapping"/>
            </w:r>
            <w:r>
              <w:rPr>
                <w:rFonts w:hint="eastAsia" w:ascii="宋体" w:hAnsi="宋体" w:eastAsia="宋体" w:cs="宋体"/>
                <w:bCs/>
                <w:color w:val="auto"/>
                <w:kern w:val="0"/>
                <w:sz w:val="21"/>
                <w:szCs w:val="21"/>
                <w:highlight w:val="none"/>
                <w:lang w:bidi="ar"/>
              </w:rPr>
              <w:t xml:space="preserve">望远镜倍率： 6X    </w:t>
            </w:r>
            <w:r>
              <w:rPr>
                <w:rFonts w:hint="eastAsia" w:ascii="宋体" w:hAnsi="宋体" w:eastAsia="宋体" w:cs="宋体"/>
                <w:bCs/>
                <w:color w:val="auto"/>
                <w:kern w:val="0"/>
                <w:sz w:val="21"/>
                <w:szCs w:val="21"/>
                <w:highlight w:val="none"/>
                <w:lang w:bidi="ar"/>
              </w:rPr>
              <w:br w:type="textWrapping"/>
            </w:r>
            <w:r>
              <w:rPr>
                <w:rFonts w:hint="eastAsia" w:ascii="宋体" w:hAnsi="宋体" w:eastAsia="宋体" w:cs="宋体"/>
                <w:bCs/>
                <w:color w:val="auto"/>
                <w:kern w:val="0"/>
                <w:sz w:val="21"/>
                <w:szCs w:val="21"/>
                <w:highlight w:val="none"/>
                <w:lang w:bidi="ar"/>
              </w:rPr>
              <w:t xml:space="preserve">两点测高功能：支持 </w:t>
            </w:r>
            <w:r>
              <w:rPr>
                <w:rFonts w:hint="eastAsia" w:ascii="宋体" w:hAnsi="宋体" w:eastAsia="宋体" w:cs="宋体"/>
                <w:bCs/>
                <w:color w:val="auto"/>
                <w:kern w:val="0"/>
                <w:sz w:val="21"/>
                <w:szCs w:val="21"/>
                <w:highlight w:val="none"/>
                <w:lang w:bidi="ar"/>
              </w:rPr>
              <w:br w:type="textWrapping"/>
            </w:r>
            <w:r>
              <w:rPr>
                <w:rFonts w:hint="eastAsia" w:ascii="宋体" w:hAnsi="宋体" w:eastAsia="宋体" w:cs="宋体"/>
                <w:bCs/>
                <w:color w:val="auto"/>
                <w:kern w:val="0"/>
                <w:sz w:val="21"/>
                <w:szCs w:val="21"/>
                <w:highlight w:val="none"/>
                <w:lang w:bidi="ar"/>
              </w:rPr>
              <w:t>任意两点测距：支持</w:t>
            </w:r>
            <w:r>
              <w:rPr>
                <w:rFonts w:hint="eastAsia" w:ascii="宋体" w:hAnsi="宋体" w:eastAsia="宋体" w:cs="宋体"/>
                <w:bCs/>
                <w:color w:val="auto"/>
                <w:kern w:val="0"/>
                <w:sz w:val="21"/>
                <w:szCs w:val="21"/>
                <w:highlight w:val="none"/>
                <w:lang w:bidi="ar"/>
              </w:rPr>
              <w:br w:type="textWrapping"/>
            </w:r>
            <w:r>
              <w:rPr>
                <w:rFonts w:hint="eastAsia" w:ascii="宋体" w:hAnsi="宋体" w:eastAsia="宋体" w:cs="宋体"/>
                <w:bCs/>
                <w:color w:val="auto"/>
                <w:kern w:val="0"/>
                <w:sz w:val="21"/>
                <w:szCs w:val="21"/>
                <w:highlight w:val="none"/>
                <w:lang w:bidi="ar"/>
              </w:rPr>
              <w:t>连续测距功能：支持</w:t>
            </w:r>
            <w:r>
              <w:rPr>
                <w:rFonts w:hint="eastAsia" w:ascii="宋体" w:hAnsi="宋体" w:eastAsia="宋体" w:cs="宋体"/>
                <w:bCs/>
                <w:color w:val="auto"/>
                <w:kern w:val="0"/>
                <w:sz w:val="21"/>
                <w:szCs w:val="21"/>
                <w:highlight w:val="none"/>
                <w:lang w:bidi="ar"/>
              </w:rPr>
              <w:br w:type="textWrapping"/>
            </w:r>
            <w:r>
              <w:rPr>
                <w:rFonts w:hint="eastAsia" w:ascii="宋体" w:hAnsi="宋体" w:eastAsia="宋体" w:cs="宋体"/>
                <w:bCs/>
                <w:color w:val="auto"/>
                <w:kern w:val="0"/>
                <w:sz w:val="21"/>
                <w:szCs w:val="21"/>
                <w:highlight w:val="none"/>
                <w:lang w:bidi="ar"/>
              </w:rPr>
              <w:t>测角：支持</w:t>
            </w:r>
            <w:r>
              <w:rPr>
                <w:rFonts w:hint="eastAsia" w:ascii="宋体" w:hAnsi="宋体" w:eastAsia="宋体" w:cs="宋体"/>
                <w:bCs/>
                <w:color w:val="auto"/>
                <w:kern w:val="0"/>
                <w:sz w:val="21"/>
                <w:szCs w:val="21"/>
                <w:highlight w:val="none"/>
                <w:lang w:bidi="ar"/>
              </w:rPr>
              <w:br w:type="textWrapping"/>
            </w:r>
            <w:r>
              <w:rPr>
                <w:rFonts w:hint="eastAsia" w:ascii="宋体" w:hAnsi="宋体" w:eastAsia="宋体" w:cs="宋体"/>
                <w:bCs/>
                <w:color w:val="auto"/>
                <w:kern w:val="0"/>
                <w:sz w:val="21"/>
                <w:szCs w:val="21"/>
                <w:highlight w:val="none"/>
                <w:lang w:bidi="ar"/>
              </w:rPr>
              <w:t xml:space="preserve">角度传感器开关：支持 </w:t>
            </w:r>
            <w:r>
              <w:rPr>
                <w:rFonts w:hint="eastAsia" w:ascii="宋体" w:hAnsi="宋体" w:eastAsia="宋体" w:cs="宋体"/>
                <w:bCs/>
                <w:color w:val="auto"/>
                <w:kern w:val="0"/>
                <w:sz w:val="21"/>
                <w:szCs w:val="21"/>
                <w:highlight w:val="none"/>
                <w:lang w:bidi="ar"/>
              </w:rPr>
              <w:br w:type="textWrapping"/>
            </w:r>
            <w:r>
              <w:rPr>
                <w:rFonts w:hint="eastAsia" w:ascii="宋体" w:hAnsi="宋体" w:eastAsia="宋体" w:cs="宋体"/>
                <w:bCs/>
                <w:color w:val="auto"/>
                <w:kern w:val="0"/>
                <w:sz w:val="21"/>
                <w:szCs w:val="21"/>
                <w:highlight w:val="none"/>
                <w:lang w:bidi="ar"/>
              </w:rPr>
              <w:t>测速：支持</w:t>
            </w:r>
            <w:r>
              <w:rPr>
                <w:rFonts w:hint="eastAsia" w:ascii="宋体" w:hAnsi="宋体" w:eastAsia="宋体" w:cs="宋体"/>
                <w:bCs/>
                <w:color w:val="auto"/>
                <w:kern w:val="0"/>
                <w:sz w:val="21"/>
                <w:szCs w:val="21"/>
                <w:highlight w:val="none"/>
                <w:lang w:bidi="ar"/>
              </w:rPr>
              <w:br w:type="textWrapping"/>
            </w:r>
            <w:r>
              <w:rPr>
                <w:rFonts w:hint="eastAsia" w:ascii="宋体" w:hAnsi="宋体" w:eastAsia="宋体" w:cs="宋体"/>
                <w:bCs/>
                <w:color w:val="auto"/>
                <w:kern w:val="0"/>
                <w:sz w:val="21"/>
                <w:szCs w:val="21"/>
                <w:highlight w:val="none"/>
                <w:lang w:bidi="ar"/>
              </w:rPr>
              <w:t>外置显示屏：支持</w:t>
            </w:r>
            <w:r>
              <w:rPr>
                <w:rFonts w:hint="eastAsia" w:ascii="宋体" w:hAnsi="宋体" w:eastAsia="宋体" w:cs="宋体"/>
                <w:bCs/>
                <w:color w:val="auto"/>
                <w:kern w:val="0"/>
                <w:sz w:val="21"/>
                <w:szCs w:val="21"/>
                <w:highlight w:val="none"/>
                <w:lang w:bidi="ar"/>
              </w:rPr>
              <w:br w:type="textWrapping"/>
            </w:r>
            <w:r>
              <w:rPr>
                <w:rFonts w:hint="eastAsia" w:ascii="宋体" w:hAnsi="宋体" w:eastAsia="宋体" w:cs="宋体"/>
                <w:bCs/>
                <w:color w:val="auto"/>
                <w:kern w:val="0"/>
                <w:sz w:val="21"/>
                <w:szCs w:val="21"/>
                <w:highlight w:val="none"/>
                <w:lang w:bidi="ar"/>
              </w:rPr>
              <w:t>外置显示屏开关：支持</w:t>
            </w:r>
            <w:r>
              <w:rPr>
                <w:rFonts w:hint="eastAsia" w:ascii="宋体" w:hAnsi="宋体" w:eastAsia="宋体" w:cs="宋体"/>
                <w:bCs/>
                <w:color w:val="auto"/>
                <w:kern w:val="0"/>
                <w:sz w:val="21"/>
                <w:szCs w:val="21"/>
                <w:highlight w:val="none"/>
                <w:lang w:bidi="ar"/>
              </w:rPr>
              <w:br w:type="textWrapping"/>
            </w:r>
            <w:r>
              <w:rPr>
                <w:rFonts w:hint="eastAsia" w:ascii="宋体" w:hAnsi="宋体" w:eastAsia="宋体" w:cs="宋体"/>
                <w:bCs/>
                <w:color w:val="auto"/>
                <w:kern w:val="0"/>
                <w:sz w:val="21"/>
                <w:szCs w:val="21"/>
                <w:highlight w:val="none"/>
                <w:lang w:bidi="ar"/>
              </w:rPr>
              <w:t xml:space="preserve">测速范围：18~300km/h </w:t>
            </w:r>
            <w:r>
              <w:rPr>
                <w:rFonts w:hint="eastAsia" w:ascii="宋体" w:hAnsi="宋体" w:eastAsia="宋体" w:cs="宋体"/>
                <w:bCs/>
                <w:color w:val="auto"/>
                <w:kern w:val="0"/>
                <w:sz w:val="21"/>
                <w:szCs w:val="21"/>
                <w:highlight w:val="none"/>
                <w:lang w:bidi="ar"/>
              </w:rPr>
              <w:br w:type="textWrapping"/>
            </w:r>
            <w:r>
              <w:rPr>
                <w:rFonts w:hint="eastAsia" w:ascii="宋体" w:hAnsi="宋体" w:eastAsia="宋体" w:cs="宋体"/>
                <w:bCs/>
                <w:color w:val="auto"/>
                <w:kern w:val="0"/>
                <w:sz w:val="21"/>
                <w:szCs w:val="21"/>
                <w:highlight w:val="none"/>
                <w:lang w:bidi="ar"/>
              </w:rPr>
              <w:t>屈光度调整：可调</w:t>
            </w:r>
          </w:p>
        </w:tc>
        <w:tc>
          <w:tcPr>
            <w:tcW w:w="705"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2台</w:t>
            </w:r>
          </w:p>
        </w:tc>
        <w:tc>
          <w:tcPr>
            <w:tcW w:w="118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2098</w:t>
            </w:r>
          </w:p>
        </w:tc>
        <w:tc>
          <w:tcPr>
            <w:tcW w:w="123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511"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21</w:t>
            </w:r>
          </w:p>
        </w:tc>
        <w:tc>
          <w:tcPr>
            <w:tcW w:w="119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身份证人像检测修复前端系统（含 技术服务）与设备</w:t>
            </w:r>
          </w:p>
        </w:tc>
        <w:tc>
          <w:tcPr>
            <w:tcW w:w="544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一、技术服务：（含系统开发及升级改造）</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软件参数： </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系统具备与自治区公安厅居住身份证制证中心相片检测修复系统无缝连接，采集的相片自动上传到区厅身份证制证相片检测中心进行实时的相片检测。采集端实时显示相片的检测结果，不合格的相片马上重拍，方便群众办证。检测合格相片无需保存至本地，受理时直接从区厅身份证制证相片检测中心平台提取合格相片。</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2、系统具备与自治区公安厅居住身份证制证中心历史制证信息人像比对功能，及时发现、杜绝冒领身份证。服务器人像比对疑似不合格的一对相片，在采集端可以实时看到并进行人工判断与确认。</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3.系统具有自动连接相机功能；系统提供最优的数码相机默认参数设置；系统整体性能稳定；</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4.系统采用一键修正功能，对拍摄照片进行自动裁剪和修正；</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5.系统提供了背景去除、智能修正等手动修正处理功能；</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6.相片比对与检测结果自动接收，采集端可进行查询和人工确认；</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7.系统提供多种格式来保存相片；可以支持多种照片打印设备；支持多种品牌打印机；</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8.能与人口、二代证信息管理系统无缝对接，拍摄合格照片在二代证系统中显示并进行受理二代证。</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9.产品符合GA461-2004《居民身份证制证用数字相片技术要求》标准；</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二、设备参数：</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▲硬件接入要求：</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1、设备支持相片与公安厅人像检测平台实时检测和人工修复功能。</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2、提供二代证人像检测修复系统承建商开具的免费配合升级改造的承诺函。</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3、硬件设备与《二代证人像检测修复系统》连接，软件接口须符合广西公安厅制证中心二代证人像检测修复系统软件接口。</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一、人像采集检测修复前端检测软件（系统）=1套</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二、单反数码相机 =1台</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三、相机专用电源适配器=1套</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四、影视数码 =3只</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五、柔光箱50*70 =3只</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六、相机三脚架= 1支</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七、主灯架 =2支</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八、背景灯架= 1支</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九、白色背景布1.3M*1.5M  =1幅</w:t>
            </w:r>
          </w:p>
          <w:p>
            <w:pPr>
              <w:spacing w:after="0" w:line="340" w:lineRule="exac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十、闪光同步器=1个</w:t>
            </w:r>
          </w:p>
        </w:tc>
        <w:tc>
          <w:tcPr>
            <w:tcW w:w="705"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18套</w:t>
            </w:r>
          </w:p>
        </w:tc>
        <w:tc>
          <w:tcPr>
            <w:tcW w:w="1185"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11300.00</w:t>
            </w:r>
          </w:p>
        </w:tc>
        <w:tc>
          <w:tcPr>
            <w:tcW w:w="1232"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511"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22</w:t>
            </w:r>
          </w:p>
        </w:tc>
        <w:tc>
          <w:tcPr>
            <w:tcW w:w="119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临时身份证制证设备（含技术服务）</w:t>
            </w:r>
          </w:p>
        </w:tc>
        <w:tc>
          <w:tcPr>
            <w:tcW w:w="544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一、技术服务：（含系统开发及升级改造）</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1、制作信息全面记录跟踪；</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2、通过OCR实现临证卡体芯片信息的自动登记（OCR部件可选配）；</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3、临时身份证制作流程全面自动化；</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4、制证时间短，可实现临时身份证立等可取；</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5、与各地人口受理系统进行对接；</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6、设备体积小，结构紧凑；</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7、温度精准控制，确保卡体芯片不受损害；</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8、系统登录可选（使用指静脉认证登录可选配） </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二、设备参数：</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手动识别卡体编号：具有卡体检测开关，卡体放在指定位置时紫光灯发光，实现手动识别临时身份证卡体编号.</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制证工艺:符合公安部制证规范，打印模式为喷墨打印，通过打印膜、卡芯、配对层过塑实现制证。</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指示灯:具备正常工作状态指示和故障指示。</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其他：支持一次性加装多张打印膜，减少放膜频率.</w:t>
            </w:r>
          </w:p>
          <w:p>
            <w:pPr>
              <w:spacing w:after="0"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支持系统:Windows XP/Win 7/Win 8。</w:t>
            </w:r>
          </w:p>
          <w:p>
            <w:pPr>
              <w:spacing w:after="0" w:line="340" w:lineRule="exac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通讯接口:USB。</w:t>
            </w:r>
          </w:p>
        </w:tc>
        <w:tc>
          <w:tcPr>
            <w:tcW w:w="705"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1台</w:t>
            </w:r>
          </w:p>
        </w:tc>
        <w:tc>
          <w:tcPr>
            <w:tcW w:w="1185"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50000.00</w:t>
            </w:r>
          </w:p>
        </w:tc>
        <w:tc>
          <w:tcPr>
            <w:tcW w:w="1232"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50000.00</w:t>
            </w:r>
          </w:p>
        </w:tc>
      </w:tr>
    </w:tbl>
    <w:tbl>
      <w:tblPr>
        <w:tblStyle w:val="38"/>
        <w:tblpPr w:leftFromText="180" w:rightFromText="180" w:vertAnchor="text" w:horzAnchor="page" w:tblpX="790" w:tblpY="19"/>
        <w:tblOverlap w:val="never"/>
        <w:tblW w:w="1031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40"/>
        <w:gridCol w:w="85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64" w:hRule="atLeast"/>
        </w:trPr>
        <w:tc>
          <w:tcPr>
            <w:tcW w:w="103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80" w:lineRule="exact"/>
              <w:jc w:val="center"/>
              <w:rPr>
                <w:rFonts w:hint="eastAsia" w:asciiTheme="majorEastAsia" w:hAnsiTheme="majorEastAsia" w:eastAsiaTheme="majorEastAsia" w:cstheme="majorEastAsia"/>
                <w:b w:val="0"/>
                <w:color w:val="auto"/>
                <w:sz w:val="21"/>
                <w:szCs w:val="21"/>
                <w:highlight w:val="none"/>
                <w:lang w:eastAsia="zh-CN"/>
              </w:rPr>
            </w:pPr>
            <w:r>
              <w:rPr>
                <w:rFonts w:hint="eastAsia" w:asciiTheme="majorEastAsia" w:hAnsiTheme="majorEastAsia" w:eastAsiaTheme="majorEastAsia" w:cstheme="majorEastAsia"/>
                <w:b/>
                <w:color w:val="auto"/>
                <w:sz w:val="21"/>
                <w:szCs w:val="21"/>
                <w:highlight w:val="none"/>
              </w:rPr>
              <w:t>二、涉及项目的其他要求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4" w:hRule="atLeast"/>
        </w:trPr>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80" w:lineRule="exact"/>
              <w:jc w:val="cente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采购</w:t>
            </w:r>
            <w:r>
              <w:rPr>
                <w:rFonts w:hint="eastAsia" w:asciiTheme="majorEastAsia" w:hAnsiTheme="majorEastAsia" w:eastAsiaTheme="majorEastAsia" w:cstheme="majorEastAsia"/>
                <w:color w:val="auto"/>
                <w:sz w:val="21"/>
                <w:szCs w:val="21"/>
                <w:highlight w:val="none"/>
                <w:lang w:eastAsia="zh-CN"/>
              </w:rPr>
              <w:t>采购上限控制</w:t>
            </w:r>
            <w:r>
              <w:rPr>
                <w:rFonts w:hint="eastAsia" w:asciiTheme="majorEastAsia" w:hAnsiTheme="majorEastAsia" w:eastAsiaTheme="majorEastAsia" w:cstheme="majorEastAsia"/>
                <w:color w:val="auto"/>
                <w:sz w:val="21"/>
                <w:szCs w:val="21"/>
                <w:highlight w:val="none"/>
              </w:rPr>
              <w:t>价</w:t>
            </w:r>
          </w:p>
        </w:tc>
        <w:tc>
          <w:tcPr>
            <w:tcW w:w="857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80" w:lineRule="exact"/>
              <w:jc w:val="left"/>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b w:val="0"/>
                <w:color w:val="auto"/>
                <w:sz w:val="21"/>
                <w:szCs w:val="21"/>
                <w:highlight w:val="none"/>
                <w:lang w:eastAsia="zh-CN"/>
              </w:rPr>
              <w:t>本项目合计采购上限控制价为人民币</w:t>
            </w:r>
            <w:r>
              <w:rPr>
                <w:rFonts w:hint="eastAsia" w:asciiTheme="majorEastAsia" w:hAnsiTheme="majorEastAsia" w:eastAsiaTheme="majorEastAsia" w:cstheme="majorEastAsia"/>
                <w:b w:val="0"/>
                <w:color w:val="auto"/>
                <w:sz w:val="21"/>
                <w:szCs w:val="21"/>
                <w:highlight w:val="none"/>
                <w:lang w:val="en-US" w:eastAsia="zh-CN"/>
              </w:rPr>
              <w:t>1560626.00元（其中A标段390000.00</w:t>
            </w:r>
            <w:r>
              <w:rPr>
                <w:rFonts w:hint="eastAsia" w:asciiTheme="majorEastAsia" w:hAnsiTheme="majorEastAsia" w:eastAsiaTheme="majorEastAsia" w:cstheme="majorEastAsia"/>
                <w:b w:val="0"/>
                <w:color w:val="auto"/>
                <w:sz w:val="21"/>
                <w:szCs w:val="21"/>
                <w:highlight w:val="none"/>
                <w:lang w:eastAsia="zh-CN"/>
              </w:rPr>
              <w:t>元；</w:t>
            </w:r>
            <w:r>
              <w:rPr>
                <w:rFonts w:hint="eastAsia" w:asciiTheme="majorEastAsia" w:hAnsiTheme="majorEastAsia" w:eastAsiaTheme="majorEastAsia" w:cstheme="majorEastAsia"/>
                <w:b w:val="0"/>
                <w:color w:val="auto"/>
                <w:sz w:val="21"/>
                <w:szCs w:val="21"/>
                <w:highlight w:val="none"/>
                <w:lang w:val="en-US" w:eastAsia="zh-CN"/>
              </w:rPr>
              <w:t>B标段：1170626.00元）</w:t>
            </w:r>
            <w:r>
              <w:rPr>
                <w:rFonts w:hint="eastAsia" w:asciiTheme="majorEastAsia" w:hAnsiTheme="majorEastAsia" w:eastAsiaTheme="majorEastAsia" w:cstheme="majorEastAsia"/>
                <w:b w:val="0"/>
                <w:color w:val="auto"/>
                <w:sz w:val="21"/>
                <w:szCs w:val="21"/>
                <w:highlight w:val="none"/>
              </w:rPr>
              <w:t>有效报价范围为小于或等于采购</w:t>
            </w:r>
            <w:r>
              <w:rPr>
                <w:rFonts w:hint="eastAsia" w:asciiTheme="majorEastAsia" w:hAnsiTheme="majorEastAsia" w:eastAsiaTheme="majorEastAsia" w:cstheme="majorEastAsia"/>
                <w:b w:val="0"/>
                <w:color w:val="auto"/>
                <w:sz w:val="21"/>
                <w:szCs w:val="21"/>
                <w:highlight w:val="none"/>
                <w:lang w:eastAsia="zh-CN"/>
              </w:rPr>
              <w:t>上限</w:t>
            </w:r>
            <w:r>
              <w:rPr>
                <w:rFonts w:hint="eastAsia" w:asciiTheme="majorEastAsia" w:hAnsiTheme="majorEastAsia" w:eastAsiaTheme="majorEastAsia" w:cstheme="majorEastAsia"/>
                <w:b w:val="0"/>
                <w:color w:val="auto"/>
                <w:sz w:val="21"/>
                <w:szCs w:val="21"/>
                <w:highlight w:val="none"/>
              </w:rPr>
              <w:t>控制价</w:t>
            </w:r>
            <w:r>
              <w:rPr>
                <w:rFonts w:hint="eastAsia" w:asciiTheme="majorEastAsia" w:hAnsiTheme="majorEastAsia" w:eastAsiaTheme="majorEastAsia" w:cstheme="majorEastAsia"/>
                <w:b w:val="0"/>
                <w:color w:val="auto"/>
                <w:sz w:val="21"/>
                <w:szCs w:val="21"/>
                <w:highlight w:val="none"/>
                <w:lang w:eastAsia="zh-CN"/>
              </w:rPr>
              <w:t>及对应的单价</w:t>
            </w:r>
            <w:r>
              <w:rPr>
                <w:rFonts w:hint="eastAsia" w:asciiTheme="majorEastAsia" w:hAnsiTheme="majorEastAsia" w:eastAsiaTheme="majorEastAsia" w:cstheme="majorEastAsia"/>
                <w:b w:val="0"/>
                <w:color w:val="auto"/>
                <w:sz w:val="21"/>
                <w:szCs w:val="21"/>
                <w:highlight w:val="none"/>
              </w:rPr>
              <w:t>，大于采购</w:t>
            </w:r>
            <w:r>
              <w:rPr>
                <w:rFonts w:hint="eastAsia" w:asciiTheme="majorEastAsia" w:hAnsiTheme="majorEastAsia" w:eastAsiaTheme="majorEastAsia" w:cstheme="majorEastAsia"/>
                <w:b w:val="0"/>
                <w:color w:val="auto"/>
                <w:sz w:val="21"/>
                <w:szCs w:val="21"/>
                <w:highlight w:val="none"/>
                <w:lang w:eastAsia="zh-CN"/>
              </w:rPr>
              <w:t>上限</w:t>
            </w:r>
            <w:r>
              <w:rPr>
                <w:rFonts w:hint="eastAsia" w:asciiTheme="majorEastAsia" w:hAnsiTheme="majorEastAsia" w:eastAsiaTheme="majorEastAsia" w:cstheme="majorEastAsia"/>
                <w:b w:val="0"/>
                <w:color w:val="auto"/>
                <w:sz w:val="21"/>
                <w:szCs w:val="21"/>
                <w:highlight w:val="none"/>
              </w:rPr>
              <w:t>控制价的为无效竞标。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80" w:lineRule="exact"/>
              <w:jc w:val="cente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为落实政府采购政策需满足的要求</w:t>
            </w:r>
          </w:p>
        </w:tc>
        <w:tc>
          <w:tcPr>
            <w:tcW w:w="857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80" w:lineRule="exact"/>
              <w:ind w:firstLine="0" w:firstLineChars="0"/>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具体见本采购文件“供应商须知”。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80" w:lineRule="exact"/>
              <w:jc w:val="cente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规范标准</w:t>
            </w:r>
          </w:p>
        </w:tc>
        <w:tc>
          <w:tcPr>
            <w:tcW w:w="857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80" w:lineRule="exact"/>
              <w:ind w:firstLine="420" w:firstLineChars="200"/>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采购标的需执行的国家标准、行业标准、地方标准或者其他标准、规范。多项标准的，按最新标准或较高标准执行。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80" w:lineRule="exact"/>
              <w:jc w:val="cente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采购标的需满足的质量、安全、技术规格、物理特性等</w:t>
            </w:r>
          </w:p>
        </w:tc>
        <w:tc>
          <w:tcPr>
            <w:tcW w:w="857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80" w:lineRule="exact"/>
              <w:ind w:firstLine="420" w:firstLineChars="200"/>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见项目采购需求清单表“功能目标及技术指标”。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80" w:lineRule="exact"/>
              <w:jc w:val="cente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采购标的验收标准</w:t>
            </w:r>
          </w:p>
        </w:tc>
        <w:tc>
          <w:tcPr>
            <w:tcW w:w="857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80" w:lineRule="exact"/>
              <w:ind w:firstLine="420" w:firstLineChars="200"/>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货物到达现场后，成交人应在采购人单位人员在场情况下当面开箱，共同清点、检查外观，作出开箱记录，双方签字确认。成交人应保证货物到达采购人所在地完好无损，如有缺漏、损坏，由成交人负责调换、补齐或赔偿。验收过程中所产生的一切费用均由成交人承担，报价时应考虑相关费用。</w:t>
            </w:r>
          </w:p>
          <w:p>
            <w:pPr>
              <w:spacing w:after="0" w:line="380" w:lineRule="exact"/>
              <w:ind w:firstLine="420" w:firstLineChars="200"/>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2、成交人提供的货物需全新、完好、无破损，应提供完备的技术或服务资料、装箱单和合格证等，并派遣专业人员进行现场安装调试。验收合格条件如下：</w:t>
            </w:r>
          </w:p>
          <w:p>
            <w:pPr>
              <w:spacing w:after="0" w:line="380" w:lineRule="exact"/>
              <w:ind w:firstLine="420" w:firstLineChars="200"/>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（1）货物或服务技术参数与采购合同一致，性能或指标达到规定的标准。</w:t>
            </w:r>
          </w:p>
          <w:p>
            <w:pPr>
              <w:spacing w:after="0" w:line="380" w:lineRule="exact"/>
              <w:ind w:firstLine="420" w:firstLineChars="200"/>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（2）技术或资料、装箱单、合格证等资料齐全。</w:t>
            </w:r>
          </w:p>
          <w:p>
            <w:pPr>
              <w:spacing w:after="0" w:line="380" w:lineRule="exact"/>
              <w:ind w:firstLine="420" w:firstLineChars="200"/>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（3）在测试或试运行期间所出现的问题得到解决，并运行或工作正常。</w:t>
            </w:r>
          </w:p>
          <w:p>
            <w:pPr>
              <w:spacing w:after="0" w:line="380" w:lineRule="exact"/>
              <w:ind w:firstLine="420" w:firstLineChars="200"/>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（4）在规定时间内完成交货及验收，并经采购人确认。</w:t>
            </w:r>
          </w:p>
          <w:p>
            <w:pPr>
              <w:spacing w:after="0" w:line="380" w:lineRule="exact"/>
              <w:ind w:firstLine="420" w:firstLineChars="200"/>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3、项目验收应遵循国家及行业相关验收标准：成交人在安装调试完成后需提交全部图纸、配置资料、交验收报告、测试报告（如有）等。</w:t>
            </w:r>
          </w:p>
          <w:p>
            <w:pPr>
              <w:spacing w:after="0" w:line="380" w:lineRule="exact"/>
              <w:ind w:firstLine="420" w:firstLineChars="200"/>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4、在安装调试并试运行符合要求后，才作最终验收。</w:t>
            </w:r>
          </w:p>
          <w:p>
            <w:pPr>
              <w:spacing w:after="0" w:line="380" w:lineRule="exact"/>
              <w:ind w:firstLine="420" w:firstLineChars="200"/>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5、为保证《项目采购需求和说明》中带有“</w:t>
            </w:r>
            <w:r>
              <w:rPr>
                <w:rFonts w:hint="eastAsia" w:ascii="宋体" w:hAnsi="宋体" w:eastAsia="宋体" w:cs="宋体"/>
                <w:color w:val="auto"/>
                <w:sz w:val="21"/>
                <w:szCs w:val="21"/>
                <w:highlight w:val="none"/>
                <w:lang w:eastAsia="zh-CN"/>
              </w:rPr>
              <w:t>▲</w:t>
            </w:r>
            <w:r>
              <w:rPr>
                <w:rFonts w:hint="eastAsia" w:asciiTheme="majorEastAsia" w:hAnsiTheme="majorEastAsia" w:eastAsiaTheme="majorEastAsia" w:cstheme="majorEastAsia"/>
                <w:color w:val="auto"/>
                <w:sz w:val="21"/>
                <w:szCs w:val="21"/>
                <w:highlight w:val="none"/>
              </w:rPr>
              <w:t>”号的技术指标和性能达到采购文件要求及与合同、响应文件相符，如采购人对成交人所竞标货物的技术指标有质疑，供货时须进行现场演示，以确认是否达到合同、采购文件、响应文件中所规定的技术功能要求；成交人未提供的或演示效果达不到合同、采购文件、响应文件中所规定的技术功能要求，则视为合同违约，所有损失由成交人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80" w:lineRule="exact"/>
              <w:jc w:val="cente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其他技术及服务要求</w:t>
            </w:r>
          </w:p>
        </w:tc>
        <w:tc>
          <w:tcPr>
            <w:tcW w:w="857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80" w:lineRule="exact"/>
              <w:ind w:firstLine="420" w:firstLineChars="200"/>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lang w:val="en-US" w:eastAsia="zh-CN"/>
              </w:rPr>
              <w:t>1</w:t>
            </w:r>
            <w:r>
              <w:rPr>
                <w:rFonts w:hint="eastAsia" w:asciiTheme="majorEastAsia" w:hAnsiTheme="majorEastAsia" w:eastAsiaTheme="majorEastAsia" w:cstheme="majorEastAsia"/>
                <w:color w:val="auto"/>
                <w:sz w:val="21"/>
                <w:szCs w:val="21"/>
                <w:highlight w:val="none"/>
              </w:rPr>
              <w:t>、成交供应商接到采购人送货电话或传真，24 小时内送到</w:t>
            </w:r>
            <w:r>
              <w:rPr>
                <w:rFonts w:hint="eastAsia" w:asciiTheme="majorEastAsia" w:hAnsiTheme="majorEastAsia" w:eastAsiaTheme="majorEastAsia" w:cstheme="majorEastAsia"/>
                <w:color w:val="auto"/>
                <w:sz w:val="21"/>
                <w:szCs w:val="21"/>
                <w:highlight w:val="none"/>
                <w:lang w:eastAsia="zh-CN"/>
              </w:rPr>
              <w:t>业主</w:t>
            </w:r>
            <w:r>
              <w:rPr>
                <w:rFonts w:hint="eastAsia" w:asciiTheme="majorEastAsia" w:hAnsiTheme="majorEastAsia" w:eastAsiaTheme="majorEastAsia" w:cstheme="majorEastAsia"/>
                <w:color w:val="auto"/>
                <w:sz w:val="21"/>
                <w:szCs w:val="21"/>
                <w:highlight w:val="none"/>
              </w:rPr>
              <w:t>指定地点。如供货商以数量太少、路途远等为由拒不送货或延迟送货的，由此造成的无法及时维修的实际损失由供应商负责。超过五次以上的，将中止双方合作，直至整改完成为止。</w:t>
            </w:r>
          </w:p>
          <w:p>
            <w:pPr>
              <w:spacing w:after="0" w:line="380" w:lineRule="exact"/>
              <w:ind w:firstLine="420" w:firstLineChars="200"/>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lang w:val="en-US" w:eastAsia="zh-CN"/>
              </w:rPr>
              <w:t>2</w:t>
            </w:r>
            <w:r>
              <w:rPr>
                <w:rFonts w:hint="eastAsia" w:asciiTheme="majorEastAsia" w:hAnsiTheme="majorEastAsia" w:eastAsiaTheme="majorEastAsia" w:cstheme="majorEastAsia"/>
                <w:color w:val="auto"/>
                <w:sz w:val="21"/>
                <w:szCs w:val="21"/>
                <w:highlight w:val="none"/>
              </w:rPr>
              <w:t>、采购人有权对供货商的销货及进货发票进行检查。</w:t>
            </w:r>
          </w:p>
          <w:p>
            <w:pPr>
              <w:spacing w:after="0" w:line="380" w:lineRule="exact"/>
              <w:ind w:firstLine="420" w:firstLineChars="200"/>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lang w:val="en-US" w:eastAsia="zh-CN"/>
              </w:rPr>
              <w:t>3</w:t>
            </w:r>
            <w:r>
              <w:rPr>
                <w:rFonts w:hint="eastAsia" w:asciiTheme="majorEastAsia" w:hAnsiTheme="majorEastAsia" w:eastAsiaTheme="majorEastAsia" w:cstheme="majorEastAsia"/>
                <w:color w:val="auto"/>
                <w:sz w:val="21"/>
                <w:szCs w:val="21"/>
                <w:highlight w:val="none"/>
              </w:rPr>
              <w:t>、供货商在协议有效期内发生转让、兼并、撤销等情况变化时，须提前一个月向采购人提交书面公函，在公函中须明确协议供货商有关权利和义务等继承的方法或终止供应商协议供货申请，采购人在收到公函之日起，在 7个工作日内以书面形式提交回复。</w:t>
            </w:r>
          </w:p>
          <w:p>
            <w:pPr>
              <w:spacing w:after="0" w:line="380" w:lineRule="exact"/>
              <w:ind w:firstLine="420" w:firstLineChars="200"/>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lang w:val="en-US" w:eastAsia="zh-CN"/>
              </w:rPr>
              <w:t>4</w:t>
            </w:r>
            <w:r>
              <w:rPr>
                <w:rFonts w:hint="eastAsia" w:asciiTheme="majorEastAsia" w:hAnsiTheme="majorEastAsia" w:eastAsiaTheme="majorEastAsia" w:cstheme="majorEastAsia"/>
                <w:color w:val="auto"/>
                <w:sz w:val="21"/>
                <w:szCs w:val="21"/>
                <w:highlight w:val="none"/>
              </w:rPr>
              <w:t>、在协议供货有效期内，供货商法人名称、经营场所、联系人等发生变更时，须以书面形式并附证明材料向采购提交变更备案。</w:t>
            </w:r>
          </w:p>
          <w:p>
            <w:pPr>
              <w:spacing w:after="0" w:line="380" w:lineRule="exact"/>
              <w:ind w:firstLine="420" w:firstLineChars="200"/>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lang w:val="en-US" w:eastAsia="zh-CN"/>
              </w:rPr>
              <w:t>5</w:t>
            </w:r>
            <w:r>
              <w:rPr>
                <w:rFonts w:hint="eastAsia" w:asciiTheme="majorEastAsia" w:hAnsiTheme="majorEastAsia" w:eastAsiaTheme="majorEastAsia" w:cstheme="majorEastAsia"/>
                <w:color w:val="auto"/>
                <w:sz w:val="21"/>
                <w:szCs w:val="21"/>
                <w:highlight w:val="none"/>
              </w:rPr>
              <w:t>、采购人可根据项目实际情况增加或减少采购数量，供应商成交单价不得调整，不得因此向采购人进行索赔。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3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80" w:lineRule="exact"/>
              <w:ind w:firstLine="422" w:firstLineChars="200"/>
              <w:jc w:val="center"/>
              <w:rPr>
                <w:rFonts w:asciiTheme="majorEastAsia" w:hAnsiTheme="majorEastAsia" w:eastAsiaTheme="majorEastAsia" w:cstheme="majorEastAsia"/>
                <w:b/>
                <w:color w:val="auto"/>
                <w:sz w:val="21"/>
                <w:szCs w:val="21"/>
                <w:highlight w:val="none"/>
              </w:rPr>
            </w:pPr>
            <w:r>
              <w:rPr>
                <w:rFonts w:hint="eastAsia" w:ascii="宋体" w:hAnsi="宋体" w:eastAsia="宋体" w:cs="宋体"/>
                <w:b/>
                <w:color w:val="auto"/>
                <w:sz w:val="21"/>
                <w:szCs w:val="21"/>
                <w:highlight w:val="none"/>
                <w:lang w:eastAsia="zh-CN"/>
              </w:rPr>
              <w:t>▲</w:t>
            </w:r>
            <w:r>
              <w:rPr>
                <w:rFonts w:hint="eastAsia" w:asciiTheme="majorEastAsia" w:hAnsiTheme="majorEastAsia" w:eastAsiaTheme="majorEastAsia" w:cstheme="majorEastAsia"/>
                <w:b/>
                <w:color w:val="auto"/>
                <w:sz w:val="21"/>
                <w:szCs w:val="21"/>
                <w:highlight w:val="none"/>
              </w:rPr>
              <w:t>三、商务条款（不满足商务要求的竞标无效）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05" w:hRule="atLeast"/>
        </w:trPr>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80" w:lineRule="exact"/>
              <w:jc w:val="cente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质保期</w:t>
            </w:r>
          </w:p>
        </w:tc>
        <w:tc>
          <w:tcPr>
            <w:tcW w:w="857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80" w:lineRule="exact"/>
              <w:ind w:firstLine="420" w:firstLineChars="200"/>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按国家“三包”规定执行“三包”。必须保证所有产品均为正牌厂家生产全新原装产品，并完全符合国家有关产品质量、服务和环保标准，非贴牌产品，非长期积压的污损货品；免费保修期不得低于 3 年（免费保修期从设备验收合格之日起计算）。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80" w:lineRule="exact"/>
              <w:jc w:val="cente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交货时间及地点</w:t>
            </w:r>
          </w:p>
        </w:tc>
        <w:tc>
          <w:tcPr>
            <w:tcW w:w="857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80" w:lineRule="exact"/>
              <w:ind w:firstLine="420" w:firstLineChars="200"/>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w:t>
            </w:r>
            <w:r>
              <w:rPr>
                <w:rFonts w:hint="eastAsia" w:ascii="宋体" w:hAnsi="宋体" w:eastAsia="宋体"/>
                <w:color w:val="auto"/>
                <w:szCs w:val="21"/>
                <w:highlight w:val="none"/>
              </w:rPr>
              <w:t>自签订合同之日起</w:t>
            </w:r>
            <w:r>
              <w:rPr>
                <w:rFonts w:hint="eastAsia" w:ascii="宋体" w:hAnsi="宋体" w:eastAsia="宋体"/>
                <w:color w:val="auto"/>
                <w:szCs w:val="21"/>
                <w:highlight w:val="none"/>
                <w:lang w:val="en-US" w:eastAsia="zh-CN"/>
              </w:rPr>
              <w:t>3</w:t>
            </w:r>
            <w:r>
              <w:rPr>
                <w:rFonts w:hint="eastAsia" w:ascii="宋体" w:hAnsi="宋体" w:eastAsia="宋体"/>
                <w:color w:val="auto"/>
                <w:szCs w:val="21"/>
                <w:highlight w:val="none"/>
              </w:rPr>
              <w:t>0天内交货并安装调试完毕</w:t>
            </w:r>
            <w:r>
              <w:rPr>
                <w:rFonts w:hint="eastAsia" w:asciiTheme="majorEastAsia" w:hAnsiTheme="majorEastAsia" w:eastAsiaTheme="majorEastAsia" w:cstheme="majorEastAsia"/>
                <w:color w:val="auto"/>
                <w:sz w:val="21"/>
                <w:szCs w:val="21"/>
                <w:highlight w:val="none"/>
              </w:rPr>
              <w:t>。</w:t>
            </w:r>
          </w:p>
          <w:p>
            <w:pPr>
              <w:spacing w:after="0" w:line="380" w:lineRule="exact"/>
              <w:ind w:firstLine="420" w:firstLineChars="200"/>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2.交货地点：采购人指定地点。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售后服务要求</w:t>
            </w:r>
          </w:p>
        </w:tc>
        <w:tc>
          <w:tcPr>
            <w:tcW w:w="857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质保期内负责维修、更换零部件，除另行特别注明外，服务内容如下：</w:t>
            </w:r>
          </w:p>
          <w:p>
            <w:pPr>
              <w:spacing w:after="0" w:line="3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（1）负责免费送货上门，负责免费安装调试合格。</w:t>
            </w:r>
          </w:p>
          <w:p>
            <w:pPr>
              <w:spacing w:after="0" w:line="3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（2）免费提供现场技术培训，保证使用人员正常操作设备的各种功能，终身提供免费技术支持。</w:t>
            </w:r>
          </w:p>
          <w:p>
            <w:pPr>
              <w:spacing w:after="0" w:line="3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（3）采购人预定的多余材料，供应商应无条件给予免费退货；</w:t>
            </w:r>
          </w:p>
          <w:p>
            <w:pPr>
              <w:spacing w:after="0" w:line="3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（4）报价所列清单以外的维修材料的采购（如特殊少用维修配件）， 价格由双方协商，由供货商参照市场售价供货，不得高于市场价；</w:t>
            </w:r>
          </w:p>
          <w:p>
            <w:pPr>
              <w:spacing w:after="0" w:line="3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（5）紧急维修所需的材料，无论时间、数量，供应商必须保证及时送达采购人指定地点。如营业点无相关材料的，供应商必须及时调货配送；</w:t>
            </w:r>
          </w:p>
          <w:p>
            <w:pPr>
              <w:spacing w:after="0" w:line="3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（6）因采购材料常用品牌停产或暂时无货，临时更换其他品牌的，其质量必须相当于或者优于原采购品牌的质量。</w:t>
            </w:r>
          </w:p>
          <w:p>
            <w:pPr>
              <w:spacing w:after="0" w:line="3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（7）提供固定送货和维修人员热线电话，接到质量问题通知，必须 1小时内到达现场；</w:t>
            </w:r>
          </w:p>
          <w:p>
            <w:pPr>
              <w:spacing w:after="0" w:line="3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（8）提供货物符合国家有关标准。若供货物出现质量问题，采购人有权要求供应商在 1 个工作日内整改，并发出书面警告通知，所供货物再次出现质量问题，采购人有权取消其定点供应商资格。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80" w:lineRule="exact"/>
              <w:jc w:val="cente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付款方式</w:t>
            </w:r>
          </w:p>
        </w:tc>
        <w:tc>
          <w:tcPr>
            <w:tcW w:w="857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80" w:lineRule="exact"/>
              <w:ind w:firstLine="440" w:firstLineChars="200"/>
              <w:rPr>
                <w:rFonts w:asciiTheme="majorEastAsia" w:hAnsiTheme="majorEastAsia" w:eastAsiaTheme="majorEastAsia" w:cstheme="majorEastAsia"/>
                <w:color w:val="auto"/>
                <w:sz w:val="21"/>
                <w:szCs w:val="21"/>
                <w:highlight w:val="none"/>
              </w:rPr>
            </w:pPr>
            <w:r>
              <w:rPr>
                <w:rFonts w:hint="eastAsia" w:ascii="宋体" w:hAnsi="宋体" w:eastAsia="宋体"/>
                <w:color w:val="auto"/>
                <w:highlight w:val="none"/>
                <w:lang w:eastAsia="zh-CN"/>
              </w:rPr>
              <w:t>本项目签订合同后预付</w:t>
            </w:r>
            <w:r>
              <w:rPr>
                <w:rFonts w:hint="eastAsia" w:ascii="宋体" w:hAnsi="宋体" w:eastAsia="宋体"/>
                <w:color w:val="auto"/>
                <w:highlight w:val="none"/>
                <w:lang w:val="en-US" w:eastAsia="zh-CN"/>
              </w:rPr>
              <w:t>款各标段合同价的30%。</w:t>
            </w:r>
            <w:r>
              <w:rPr>
                <w:rFonts w:hint="eastAsia" w:ascii="宋体" w:hAnsi="宋体" w:eastAsia="宋体"/>
                <w:color w:val="auto"/>
                <w:highlight w:val="none"/>
                <w:lang w:eastAsia="zh-CN"/>
              </w:rPr>
              <w:t>供应商</w:t>
            </w:r>
            <w:r>
              <w:rPr>
                <w:rFonts w:hint="eastAsia" w:ascii="宋体" w:hAnsi="宋体" w:eastAsia="宋体"/>
                <w:color w:val="auto"/>
                <w:highlight w:val="none"/>
              </w:rPr>
              <w:t>在规定的</w:t>
            </w:r>
            <w:r>
              <w:rPr>
                <w:rFonts w:hint="eastAsia" w:ascii="宋体" w:hAnsi="宋体" w:eastAsia="宋体"/>
                <w:color w:val="auto"/>
                <w:highlight w:val="none"/>
                <w:lang w:eastAsia="zh-CN"/>
              </w:rPr>
              <w:t>交货期</w:t>
            </w:r>
            <w:r>
              <w:rPr>
                <w:rFonts w:hint="eastAsia" w:ascii="宋体" w:hAnsi="宋体" w:eastAsia="宋体"/>
                <w:color w:val="auto"/>
                <w:highlight w:val="none"/>
              </w:rPr>
              <w:t>内将</w:t>
            </w:r>
            <w:r>
              <w:rPr>
                <w:rFonts w:hint="eastAsia" w:ascii="宋体" w:hAnsi="宋体" w:eastAsia="宋体"/>
                <w:color w:val="auto"/>
                <w:highlight w:val="none"/>
                <w:lang w:eastAsia="zh-CN"/>
              </w:rPr>
              <w:t>全部</w:t>
            </w:r>
            <w:r>
              <w:rPr>
                <w:rFonts w:hint="eastAsia" w:ascii="宋体" w:hAnsi="宋体" w:eastAsia="宋体"/>
                <w:color w:val="auto"/>
                <w:highlight w:val="none"/>
              </w:rPr>
              <w:t>货物运到业主指定地点</w:t>
            </w:r>
            <w:r>
              <w:rPr>
                <w:rFonts w:hint="eastAsia" w:ascii="宋体" w:hAnsi="宋体" w:eastAsia="宋体"/>
                <w:color w:val="auto"/>
                <w:highlight w:val="none"/>
                <w:lang w:eastAsia="zh-CN"/>
              </w:rPr>
              <w:t>，</w:t>
            </w:r>
            <w:r>
              <w:rPr>
                <w:rFonts w:hint="eastAsia" w:ascii="宋体" w:hAnsi="宋体" w:eastAsia="宋体"/>
                <w:color w:val="auto"/>
                <w:highlight w:val="none"/>
              </w:rPr>
              <w:t>验收并安装调试、培训合格后，</w:t>
            </w:r>
            <w:r>
              <w:rPr>
                <w:rFonts w:hint="eastAsia" w:ascii="宋体" w:hAnsi="宋体" w:eastAsia="宋体"/>
                <w:color w:val="auto"/>
                <w:highlight w:val="none"/>
                <w:lang w:eastAsia="zh-CN"/>
              </w:rPr>
              <w:t>供应商</w:t>
            </w:r>
            <w:r>
              <w:rPr>
                <w:rFonts w:hint="eastAsia" w:ascii="宋体" w:hAnsi="宋体" w:eastAsia="宋体"/>
                <w:color w:val="auto"/>
                <w:highlight w:val="none"/>
              </w:rPr>
              <w:t>将该批设备的增值税发票、清单、质量检验合格证明、货运提单</w:t>
            </w:r>
            <w:r>
              <w:rPr>
                <w:rFonts w:hint="eastAsia" w:ascii="宋体" w:hAnsi="宋体" w:eastAsia="宋体"/>
                <w:color w:val="auto"/>
                <w:highlight w:val="none"/>
                <w:lang w:eastAsia="zh-CN"/>
              </w:rPr>
              <w:t>等材料</w:t>
            </w:r>
            <w:r>
              <w:rPr>
                <w:rFonts w:hint="eastAsia" w:ascii="宋体" w:hAnsi="宋体" w:eastAsia="宋体"/>
                <w:color w:val="auto"/>
                <w:highlight w:val="none"/>
              </w:rPr>
              <w:t>提供给</w:t>
            </w:r>
            <w:r>
              <w:rPr>
                <w:rFonts w:hint="eastAsia" w:ascii="宋体" w:hAnsi="宋体" w:eastAsia="宋体"/>
                <w:color w:val="auto"/>
                <w:highlight w:val="none"/>
                <w:lang w:eastAsia="zh-CN"/>
              </w:rPr>
              <w:t>采购人</w:t>
            </w:r>
            <w:r>
              <w:rPr>
                <w:rFonts w:hint="eastAsia" w:ascii="宋体" w:hAnsi="宋体" w:eastAsia="宋体"/>
                <w:color w:val="auto"/>
                <w:highlight w:val="none"/>
              </w:rPr>
              <w:t>，</w:t>
            </w:r>
            <w:r>
              <w:rPr>
                <w:rFonts w:hint="eastAsia" w:ascii="宋体" w:hAnsi="宋体" w:eastAsia="宋体"/>
                <w:color w:val="auto"/>
                <w:highlight w:val="none"/>
                <w:lang w:eastAsia="zh-CN"/>
              </w:rPr>
              <w:t>采购方</w:t>
            </w:r>
            <w:r>
              <w:rPr>
                <w:rFonts w:hint="eastAsia" w:ascii="宋体" w:hAnsi="宋体" w:eastAsia="宋体"/>
                <w:color w:val="auto"/>
                <w:highlight w:val="none"/>
              </w:rPr>
              <w:t>验明无误后，</w:t>
            </w:r>
            <w:r>
              <w:rPr>
                <w:rFonts w:hint="eastAsia" w:ascii="宋体" w:hAnsi="宋体" w:eastAsia="宋体"/>
                <w:color w:val="auto"/>
                <w:highlight w:val="none"/>
                <w:lang w:eastAsia="zh-CN"/>
              </w:rPr>
              <w:t>向成交供应商支付剩余合同价的</w:t>
            </w:r>
            <w:r>
              <w:rPr>
                <w:rFonts w:hint="eastAsia" w:ascii="宋体" w:hAnsi="宋体" w:eastAsia="宋体"/>
                <w:color w:val="auto"/>
                <w:highlight w:val="none"/>
                <w:lang w:val="en-US" w:eastAsia="zh-CN"/>
              </w:rPr>
              <w:t>95%</w:t>
            </w:r>
            <w:r>
              <w:rPr>
                <w:rFonts w:hint="eastAsia" w:ascii="宋体" w:hAnsi="宋体" w:eastAsia="宋体"/>
                <w:color w:val="auto"/>
                <w:highlight w:val="none"/>
              </w:rPr>
              <w:t>。剩余的合同总金额</w:t>
            </w:r>
            <w:r>
              <w:rPr>
                <w:rFonts w:hint="eastAsia" w:ascii="宋体" w:hAnsi="宋体" w:eastAsia="宋体"/>
                <w:color w:val="auto"/>
                <w:highlight w:val="none"/>
                <w:lang w:val="en-US" w:eastAsia="zh-CN"/>
              </w:rPr>
              <w:t>5</w:t>
            </w:r>
            <w:r>
              <w:rPr>
                <w:rFonts w:hint="eastAsia" w:ascii="宋体" w:hAnsi="宋体" w:eastAsia="宋体"/>
                <w:color w:val="auto"/>
                <w:highlight w:val="none"/>
              </w:rPr>
              <w:t>%的货款作为质保金满一年后支付（自验收合格之日起算，一年后无质量问题无息退还）。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竞标报价</w:t>
            </w:r>
          </w:p>
        </w:tc>
        <w:tc>
          <w:tcPr>
            <w:tcW w:w="857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80" w:lineRule="exact"/>
              <w:ind w:firstLine="420" w:firstLineChars="200"/>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供应商在谈判竞标报价中应包含货物、货物标准附件、备品备件、专用工具、设备安装辅材（线槽/线管及电源）、施工辅材、包装、运输、装卸、保险、货到就位的各种费用以及安装、调试、税金、售后服务、技术培训及其他所有成本费用；采购人不再支付任何费用。如出现参数不满足或由于成交人的原因造成品质不满足采购要求，采购人有权要求更换设备或变更方案，不增加任何费用。</w:t>
            </w:r>
          </w:p>
          <w:p>
            <w:pPr>
              <w:spacing w:after="0" w:line="380" w:lineRule="exact"/>
              <w:ind w:firstLine="420" w:firstLineChars="200"/>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2、供应商负责工人人身、设备安全责任，验收前，设备丢失自行负责。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3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80" w:lineRule="exact"/>
              <w:ind w:firstLine="422" w:firstLineChars="200"/>
              <w:jc w:val="cente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b/>
                <w:color w:val="auto"/>
                <w:sz w:val="21"/>
                <w:szCs w:val="21"/>
                <w:highlight w:val="none"/>
              </w:rPr>
              <w:t>四、采购人对项目的特殊要求及说明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400" w:lineRule="exact"/>
              <w:jc w:val="center"/>
              <w:rPr>
                <w:rFonts w:ascii="宋体" w:hAnsi="宋体" w:eastAsia="宋体" w:cs="宋体"/>
                <w:b/>
                <w:color w:val="auto"/>
                <w:sz w:val="21"/>
                <w:szCs w:val="21"/>
                <w:highlight w:val="none"/>
              </w:rPr>
            </w:pPr>
            <w:r>
              <w:rPr>
                <w:rFonts w:hint="eastAsia" w:asciiTheme="minorEastAsia" w:hAnsiTheme="minorEastAsia" w:eastAsiaTheme="minorEastAsia"/>
                <w:color w:val="auto"/>
                <w:highlight w:val="none"/>
              </w:rPr>
              <w:t>进口产品</w:t>
            </w:r>
          </w:p>
        </w:tc>
        <w:tc>
          <w:tcPr>
            <w:tcW w:w="857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400" w:lineRule="exact"/>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是否接受进口产品：</w:t>
            </w:r>
          </w:p>
          <w:p>
            <w:pPr>
              <w:spacing w:after="0" w:line="400" w:lineRule="exact"/>
              <w:ind w:firstLine="440" w:firstLineChars="200"/>
              <w:rPr>
                <w:rFonts w:ascii="宋体" w:hAnsi="宋体" w:eastAsia="宋体" w:cs="宋体"/>
                <w:b/>
                <w:color w:val="auto"/>
                <w:sz w:val="21"/>
                <w:szCs w:val="21"/>
                <w:highlight w:val="none"/>
              </w:rPr>
            </w:pPr>
            <w:r>
              <w:rPr>
                <w:rFonts w:hint="eastAsia" w:asciiTheme="minorEastAsia" w:hAnsiTheme="minorEastAsia" w:eastAsiaTheme="minorEastAsia"/>
                <w:color w:val="auto"/>
                <w:highlight w:val="none"/>
              </w:rPr>
              <w:sym w:font="Wingdings" w:char="F0FE"/>
            </w:r>
            <w:r>
              <w:rPr>
                <w:rFonts w:hint="eastAsia" w:asciiTheme="minorEastAsia" w:hAnsiTheme="minorEastAsia" w:eastAsiaTheme="minorEastAsia"/>
                <w:color w:val="auto"/>
                <w:highlight w:val="none"/>
              </w:rPr>
              <w:t>否，本项目所有采购货物均不接受进口产品。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400" w:lineRule="exact"/>
              <w:jc w:val="center"/>
              <w:rPr>
                <w:rFonts w:ascii="宋体" w:hAnsi="宋体" w:eastAsia="宋体" w:cs="宋体"/>
                <w:b/>
                <w:color w:val="auto"/>
                <w:sz w:val="21"/>
                <w:szCs w:val="21"/>
                <w:highlight w:val="none"/>
              </w:rPr>
            </w:pPr>
            <w:r>
              <w:rPr>
                <w:rFonts w:hint="eastAsia" w:asciiTheme="minorEastAsia" w:hAnsiTheme="minorEastAsia" w:eastAsiaTheme="minorEastAsia"/>
                <w:color w:val="auto"/>
                <w:highlight w:val="none"/>
              </w:rPr>
              <w:t>样品要求</w:t>
            </w:r>
          </w:p>
        </w:tc>
        <w:tc>
          <w:tcPr>
            <w:tcW w:w="857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400" w:lineRule="exact"/>
              <w:ind w:firstLine="440" w:firstLineChars="200"/>
              <w:rPr>
                <w:rFonts w:cs="Times New Roman" w:asciiTheme="minorEastAsia" w:hAnsiTheme="minorEastAsia" w:eastAsiaTheme="minorEastAsia"/>
                <w:color w:val="auto"/>
                <w:kern w:val="2"/>
                <w:highlight w:val="none"/>
              </w:rPr>
            </w:pPr>
            <w:r>
              <w:rPr>
                <w:rFonts w:hint="eastAsia" w:cs="Times New Roman" w:asciiTheme="minorEastAsia" w:hAnsiTheme="minorEastAsia" w:eastAsiaTheme="minorEastAsia"/>
                <w:color w:val="auto"/>
                <w:kern w:val="2"/>
                <w:highlight w:val="none"/>
              </w:rPr>
              <w:t>是否要求递交样品：</w:t>
            </w:r>
          </w:p>
          <w:p>
            <w:pPr>
              <w:spacing w:after="0" w:line="400" w:lineRule="exact"/>
              <w:ind w:firstLine="440" w:firstLineChars="200"/>
              <w:rPr>
                <w:rFonts w:ascii="宋体" w:hAnsi="宋体" w:eastAsia="宋体" w:cs="宋体"/>
                <w:b/>
                <w:color w:val="auto"/>
                <w:sz w:val="21"/>
                <w:szCs w:val="21"/>
                <w:highlight w:val="none"/>
              </w:rPr>
            </w:pPr>
            <w:r>
              <w:rPr>
                <w:rFonts w:hint="eastAsia" w:cs="Times New Roman" w:asciiTheme="minorEastAsia" w:hAnsiTheme="minorEastAsia" w:eastAsiaTheme="minorEastAsia"/>
                <w:color w:val="auto"/>
                <w:kern w:val="2"/>
                <w:highlight w:val="none"/>
              </w:rPr>
              <w:sym w:font="Wingdings" w:char="F0FE"/>
            </w:r>
            <w:r>
              <w:rPr>
                <w:rFonts w:hint="eastAsia" w:cs="Times New Roman" w:asciiTheme="minorEastAsia" w:hAnsiTheme="minorEastAsia" w:eastAsiaTheme="minorEastAsia"/>
                <w:color w:val="auto"/>
                <w:kern w:val="2"/>
                <w:highlight w:val="none"/>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400" w:lineRule="exact"/>
              <w:jc w:val="center"/>
              <w:rPr>
                <w:rFonts w:ascii="宋体" w:hAnsi="宋体" w:eastAsia="宋体" w:cs="宋体"/>
                <w:b/>
                <w:color w:val="auto"/>
                <w:sz w:val="21"/>
                <w:szCs w:val="21"/>
                <w:highlight w:val="none"/>
              </w:rPr>
            </w:pPr>
            <w:r>
              <w:rPr>
                <w:rFonts w:hint="eastAsia" w:asciiTheme="minorEastAsia" w:hAnsiTheme="minorEastAsia" w:eastAsiaTheme="minorEastAsia"/>
                <w:color w:val="auto"/>
                <w:highlight w:val="none"/>
              </w:rPr>
              <w:t>产品演示要求</w:t>
            </w:r>
          </w:p>
        </w:tc>
        <w:tc>
          <w:tcPr>
            <w:tcW w:w="857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2"/>
              <w:spacing w:line="400" w:lineRule="exact"/>
              <w:jc w:val="both"/>
              <w:rPr>
                <w:rFonts w:asciiTheme="minorEastAsia" w:hAnsiTheme="minorEastAsia" w:eastAsiaTheme="minorEastAsia"/>
                <w:color w:val="auto"/>
                <w:sz w:val="22"/>
                <w:szCs w:val="22"/>
                <w:highlight w:val="none"/>
              </w:rPr>
            </w:pPr>
            <w:r>
              <w:rPr>
                <w:rFonts w:hint="eastAsia" w:asciiTheme="minorEastAsia" w:hAnsiTheme="minorEastAsia" w:eastAsiaTheme="minorEastAsia"/>
                <w:color w:val="auto"/>
                <w:sz w:val="22"/>
                <w:szCs w:val="22"/>
                <w:highlight w:val="none"/>
              </w:rPr>
              <w:t>是否进行产品演示：</w:t>
            </w:r>
          </w:p>
          <w:p>
            <w:pPr>
              <w:pStyle w:val="102"/>
              <w:spacing w:line="400" w:lineRule="exact"/>
              <w:ind w:firstLine="440" w:firstLineChars="200"/>
              <w:jc w:val="both"/>
              <w:rPr>
                <w:rFonts w:hAnsi="宋体"/>
                <w:b/>
                <w:color w:val="auto"/>
                <w:sz w:val="21"/>
                <w:szCs w:val="21"/>
                <w:highlight w:val="none"/>
              </w:rPr>
            </w:pPr>
            <w:r>
              <w:rPr>
                <w:rFonts w:hint="eastAsia" w:asciiTheme="minorEastAsia" w:hAnsiTheme="minorEastAsia" w:eastAsiaTheme="minorEastAsia"/>
                <w:color w:val="auto"/>
                <w:sz w:val="22"/>
                <w:szCs w:val="22"/>
                <w:highlight w:val="none"/>
              </w:rPr>
              <w:sym w:font="Wingdings" w:char="F0FE"/>
            </w:r>
            <w:r>
              <w:rPr>
                <w:rFonts w:hint="eastAsia" w:asciiTheme="minorEastAsia" w:hAnsiTheme="minorEastAsia" w:eastAsiaTheme="minorEastAsia"/>
                <w:color w:val="auto"/>
                <w:sz w:val="22"/>
                <w:szCs w:val="22"/>
                <w:highlight w:val="none"/>
              </w:rPr>
              <w:t>否，本项目所有采购货物均不进行产品演示。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400" w:lineRule="exact"/>
              <w:jc w:val="center"/>
              <w:rPr>
                <w:rFonts w:ascii="宋体" w:hAnsi="宋体" w:eastAsia="宋体" w:cs="宋体"/>
                <w:b/>
                <w:color w:val="auto"/>
                <w:sz w:val="21"/>
                <w:szCs w:val="21"/>
                <w:highlight w:val="none"/>
              </w:rPr>
            </w:pPr>
            <w:r>
              <w:rPr>
                <w:rFonts w:hint="eastAsia" w:asciiTheme="minorEastAsia" w:hAnsiTheme="minorEastAsia" w:eastAsiaTheme="minorEastAsia"/>
                <w:b/>
                <w:color w:val="auto"/>
                <w:highlight w:val="none"/>
              </w:rPr>
              <w:t>核心产品</w:t>
            </w:r>
          </w:p>
        </w:tc>
        <w:tc>
          <w:tcPr>
            <w:tcW w:w="857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80" w:lineRule="exact"/>
              <w:ind w:firstLine="422" w:firstLineChars="200"/>
              <w:rPr>
                <w:rFonts w:asciiTheme="majorEastAsia" w:hAnsiTheme="majorEastAsia" w:eastAsiaTheme="majorEastAsia" w:cstheme="majorEastAsia"/>
                <w:b/>
                <w:color w:val="auto"/>
                <w:sz w:val="21"/>
                <w:szCs w:val="21"/>
                <w:highlight w:val="none"/>
              </w:rPr>
            </w:pPr>
            <w:r>
              <w:rPr>
                <w:rFonts w:hint="eastAsia" w:asciiTheme="majorEastAsia" w:hAnsiTheme="majorEastAsia" w:eastAsiaTheme="majorEastAsia" w:cstheme="majorEastAsia"/>
                <w:b/>
                <w:color w:val="auto"/>
                <w:sz w:val="21"/>
                <w:szCs w:val="21"/>
                <w:highlight w:val="none"/>
                <w:lang w:eastAsia="zh-CN"/>
              </w:rPr>
              <w:t>本项目</w:t>
            </w:r>
            <w:r>
              <w:rPr>
                <w:rFonts w:hint="eastAsia" w:asciiTheme="majorEastAsia" w:hAnsiTheme="majorEastAsia" w:eastAsiaTheme="majorEastAsia" w:cstheme="majorEastAsia"/>
                <w:b/>
                <w:color w:val="auto"/>
                <w:sz w:val="21"/>
                <w:szCs w:val="21"/>
                <w:highlight w:val="none"/>
              </w:rPr>
              <w:t>核心产品</w:t>
            </w:r>
            <w:r>
              <w:rPr>
                <w:rFonts w:hint="eastAsia" w:asciiTheme="majorEastAsia" w:hAnsiTheme="majorEastAsia" w:eastAsiaTheme="majorEastAsia" w:cstheme="majorEastAsia"/>
                <w:b/>
                <w:color w:val="auto"/>
                <w:sz w:val="21"/>
                <w:szCs w:val="21"/>
                <w:highlight w:val="none"/>
                <w:lang w:eastAsia="zh-CN"/>
              </w:rPr>
              <w:t>为：</w:t>
            </w:r>
            <w:r>
              <w:rPr>
                <w:rFonts w:hint="eastAsia" w:asciiTheme="majorEastAsia" w:hAnsiTheme="majorEastAsia" w:eastAsiaTheme="majorEastAsia" w:cstheme="majorEastAsia"/>
                <w:b/>
                <w:color w:val="auto"/>
                <w:sz w:val="21"/>
                <w:szCs w:val="21"/>
                <w:highlight w:val="none"/>
                <w:u w:val="single"/>
                <w:lang w:val="en-US" w:eastAsia="zh-CN"/>
              </w:rPr>
              <w:t xml:space="preserve">A标段：第1项指掌纹采集仪,B标段：第18项台式电脑 </w:t>
            </w:r>
            <w:r>
              <w:rPr>
                <w:rFonts w:hint="eastAsia" w:asciiTheme="majorEastAsia" w:hAnsiTheme="majorEastAsia" w:eastAsiaTheme="majorEastAsia" w:cstheme="majorEastAsia"/>
                <w:b/>
                <w:color w:val="auto"/>
                <w:sz w:val="21"/>
                <w:szCs w:val="21"/>
                <w:highlight w:val="none"/>
              </w:rPr>
              <w:t>。</w:t>
            </w:r>
          </w:p>
          <w:p>
            <w:pPr>
              <w:spacing w:after="0" w:line="400" w:lineRule="exact"/>
              <w:ind w:firstLine="422" w:firstLineChars="200"/>
              <w:rPr>
                <w:rFonts w:ascii="宋体" w:hAnsi="宋体" w:eastAsia="宋体" w:cs="宋体"/>
                <w:b/>
                <w:color w:val="auto"/>
                <w:sz w:val="21"/>
                <w:szCs w:val="21"/>
                <w:highlight w:val="none"/>
              </w:rPr>
            </w:pPr>
            <w:r>
              <w:rPr>
                <w:rFonts w:hint="eastAsia" w:asciiTheme="majorEastAsia" w:hAnsiTheme="majorEastAsia" w:eastAsiaTheme="majorEastAsia" w:cstheme="majorEastAsia"/>
                <w:b/>
                <w:color w:val="auto"/>
                <w:sz w:val="21"/>
                <w:szCs w:val="21"/>
                <w:highlight w:val="none"/>
              </w:rPr>
              <w:t>本项目货物提供相同品牌产品的不同供应商参加单一产品的同一合同项下的政府采购活动的（或非单一产品采购项目中，多家供应商提供的核心产品品牌相同的），取其中质量和服务均能满足谈判文件实质性响应要求且最后竞标总报价最低的供应商参加评审；最后报价相同时，则由采购人自主选择确定一家供应商参加评审，其他竞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400" w:lineRule="exact"/>
              <w:jc w:val="center"/>
              <w:rPr>
                <w:rFonts w:ascii="宋体" w:hAnsi="宋体" w:eastAsia="宋体" w:cs="宋体"/>
                <w:b/>
                <w:color w:val="auto"/>
                <w:sz w:val="21"/>
                <w:szCs w:val="21"/>
                <w:highlight w:val="none"/>
              </w:rPr>
            </w:pPr>
            <w:r>
              <w:rPr>
                <w:rFonts w:hint="eastAsia" w:asciiTheme="minorEastAsia" w:hAnsiTheme="minorEastAsia" w:eastAsiaTheme="minorEastAsia"/>
                <w:color w:val="auto"/>
                <w:highlight w:val="none"/>
              </w:rPr>
              <w:t>备品备件及易损件</w:t>
            </w:r>
          </w:p>
        </w:tc>
        <w:tc>
          <w:tcPr>
            <w:tcW w:w="857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400" w:lineRule="exact"/>
              <w:ind w:firstLine="440" w:firstLineChars="200"/>
              <w:rPr>
                <w:rFonts w:ascii="宋体" w:hAnsi="宋体" w:eastAsia="宋体" w:cs="宋体"/>
                <w:b/>
                <w:color w:val="auto"/>
                <w:sz w:val="21"/>
                <w:szCs w:val="21"/>
                <w:highlight w:val="none"/>
              </w:rPr>
            </w:pPr>
            <w:r>
              <w:rPr>
                <w:rFonts w:hint="eastAsia" w:cs="Times New Roman" w:asciiTheme="minorEastAsia" w:hAnsiTheme="minorEastAsia" w:eastAsiaTheme="minorEastAsia"/>
                <w:color w:val="auto"/>
                <w:kern w:val="2"/>
                <w:highlight w:val="none"/>
              </w:rPr>
              <w:t>成交人售后服务中，维修使用的备品备件及易损件应为原厂配件，未经采购人同意不得使用非原厂配件，质保期内维修使用的备品备件及易损件的费用，由成交人承担。质量保证期过后，采购人需要继续由原成交人提供售后服务的，该成交人应以优惠价格提供售后服务，常用的、容易损坏的备品备件及易损件的优惠价格清单须在响应文件中列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400" w:lineRule="exact"/>
              <w:ind w:firstLine="442" w:firstLineChars="200"/>
              <w:rPr>
                <w:rFonts w:ascii="宋体" w:hAnsi="宋体" w:eastAsia="宋体" w:cs="宋体"/>
                <w:b/>
                <w:color w:val="auto"/>
                <w:sz w:val="21"/>
                <w:szCs w:val="21"/>
                <w:highlight w:val="none"/>
              </w:rPr>
            </w:pPr>
            <w:r>
              <w:rPr>
                <w:rFonts w:hint="eastAsia" w:ascii="宋体" w:hAnsi="宋体" w:eastAsia="宋体" w:cs="宋体"/>
                <w:b/>
                <w:color w:val="auto"/>
                <w:highlight w:val="none"/>
                <w:lang w:eastAsia="zh-CN"/>
              </w:rPr>
              <w:t>▲</w:t>
            </w:r>
            <w:r>
              <w:rPr>
                <w:rFonts w:hint="eastAsia" w:asciiTheme="minorEastAsia" w:hAnsiTheme="minorEastAsia" w:eastAsiaTheme="minorEastAsia"/>
                <w:b/>
                <w:color w:val="auto"/>
                <w:highlight w:val="none"/>
              </w:rPr>
              <w:t>其他</w:t>
            </w:r>
          </w:p>
        </w:tc>
        <w:tc>
          <w:tcPr>
            <w:tcW w:w="857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400" w:lineRule="exact"/>
              <w:ind w:firstLine="422" w:firstLineChars="200"/>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供应商响应文件中必须提供供应产品的品牌和型号（注：如为定制、非标产品可不填写），如不填写视为不满足。</w:t>
            </w:r>
          </w:p>
        </w:tc>
      </w:tr>
    </w:tbl>
    <w:p>
      <w:pPr>
        <w:spacing w:after="0" w:line="400" w:lineRule="exact"/>
        <w:rPr>
          <w:rFonts w:ascii="宋体" w:hAnsi="宋体" w:eastAsia="宋体"/>
          <w:color w:val="auto"/>
          <w:highlight w:val="none"/>
        </w:rPr>
      </w:pPr>
    </w:p>
    <w:p>
      <w:pPr>
        <w:spacing w:after="0" w:line="400" w:lineRule="exact"/>
        <w:ind w:firstLine="440" w:firstLineChars="200"/>
        <w:rPr>
          <w:rFonts w:ascii="宋体" w:hAnsi="宋体" w:eastAsia="宋体"/>
          <w:color w:val="auto"/>
          <w:highlight w:val="none"/>
        </w:rPr>
      </w:pPr>
      <w:bookmarkStart w:id="80" w:name="_Toc246094918"/>
      <w:bookmarkStart w:id="81" w:name="_Toc246095524"/>
      <w:bookmarkStart w:id="82" w:name="_Toc246095462"/>
    </w:p>
    <w:p>
      <w:pPr>
        <w:pStyle w:val="3"/>
        <w:spacing w:line="380" w:lineRule="exact"/>
        <w:rPr>
          <w:rFonts w:ascii="宋体" w:hAnsi="宋体" w:eastAsia="宋体"/>
          <w:color w:val="auto"/>
          <w:highlight w:val="none"/>
        </w:rPr>
      </w:pPr>
    </w:p>
    <w:p>
      <w:pPr>
        <w:pStyle w:val="3"/>
        <w:spacing w:line="380" w:lineRule="exact"/>
        <w:rPr>
          <w:rFonts w:ascii="宋体" w:hAnsi="宋体" w:eastAsia="宋体"/>
          <w:color w:val="auto"/>
          <w:highlight w:val="none"/>
        </w:rPr>
      </w:pPr>
      <w:r>
        <w:rPr>
          <w:rFonts w:hint="eastAsia" w:ascii="宋体" w:hAnsi="宋体" w:eastAsia="宋体"/>
          <w:color w:val="auto"/>
          <w:highlight w:val="none"/>
        </w:rPr>
        <w:br w:type="page"/>
      </w:r>
    </w:p>
    <w:p>
      <w:pPr>
        <w:pStyle w:val="3"/>
        <w:spacing w:line="380" w:lineRule="exact"/>
        <w:rPr>
          <w:rFonts w:ascii="宋体" w:hAnsi="宋体" w:eastAsia="宋体"/>
          <w:color w:val="auto"/>
          <w:highlight w:val="none"/>
        </w:rPr>
      </w:pPr>
      <w:bookmarkStart w:id="83" w:name="_Toc11191"/>
      <w:r>
        <w:rPr>
          <w:rFonts w:hint="eastAsia" w:ascii="宋体" w:hAnsi="宋体" w:eastAsia="宋体"/>
          <w:color w:val="auto"/>
          <w:highlight w:val="none"/>
        </w:rPr>
        <w:t xml:space="preserve">第四章  </w:t>
      </w:r>
      <w:bookmarkEnd w:id="80"/>
      <w:bookmarkEnd w:id="81"/>
      <w:bookmarkEnd w:id="82"/>
      <w:r>
        <w:rPr>
          <w:rFonts w:hint="eastAsia" w:ascii="宋体" w:hAnsi="宋体" w:eastAsia="宋体"/>
          <w:color w:val="auto"/>
          <w:highlight w:val="none"/>
        </w:rPr>
        <w:t>评审方法及评审标准</w:t>
      </w:r>
      <w:bookmarkEnd w:id="83"/>
    </w:p>
    <w:p>
      <w:pPr>
        <w:spacing w:after="0" w:line="380" w:lineRule="exact"/>
        <w:ind w:firstLine="482" w:firstLineChars="200"/>
        <w:outlineLvl w:val="1"/>
        <w:rPr>
          <w:rFonts w:ascii="宋体" w:hAnsi="宋体" w:eastAsia="宋体" w:cs="Arial"/>
          <w:b/>
          <w:bCs/>
          <w:color w:val="auto"/>
          <w:sz w:val="24"/>
          <w:highlight w:val="none"/>
        </w:rPr>
      </w:pPr>
      <w:bookmarkStart w:id="84" w:name="_Toc8052"/>
      <w:r>
        <w:rPr>
          <w:rFonts w:hint="eastAsia" w:ascii="宋体" w:hAnsi="宋体" w:eastAsia="宋体" w:cs="Arial"/>
          <w:b/>
          <w:bCs/>
          <w:color w:val="auto"/>
          <w:sz w:val="24"/>
          <w:highlight w:val="none"/>
        </w:rPr>
        <w:t>一、评审原则</w:t>
      </w:r>
      <w:bookmarkEnd w:id="84"/>
    </w:p>
    <w:p>
      <w:pPr>
        <w:spacing w:after="0" w:line="380" w:lineRule="exact"/>
        <w:ind w:firstLine="480" w:firstLineChars="200"/>
        <w:rPr>
          <w:rFonts w:ascii="宋体" w:hAnsi="宋体" w:eastAsia="宋体" w:cs="Arial"/>
          <w:bCs/>
          <w:color w:val="auto"/>
          <w:sz w:val="24"/>
          <w:highlight w:val="none"/>
        </w:rPr>
      </w:pPr>
      <w:r>
        <w:rPr>
          <w:rFonts w:hint="eastAsia" w:ascii="宋体" w:hAnsi="宋体" w:eastAsia="宋体" w:cs="Arial"/>
          <w:color w:val="auto"/>
          <w:sz w:val="24"/>
          <w:highlight w:val="none"/>
        </w:rPr>
        <w:t>1．</w:t>
      </w:r>
      <w:r>
        <w:rPr>
          <w:rFonts w:hint="eastAsia" w:ascii="宋体" w:hAnsi="宋体" w:eastAsia="宋体" w:cs="Arial"/>
          <w:bCs/>
          <w:color w:val="auto"/>
          <w:sz w:val="24"/>
          <w:highlight w:val="none"/>
        </w:rPr>
        <w:t>谈判小组成员构成：本采购项目的谈判小组成员分别由依法抽取的政府采购评审专家、采购人代表共三人及以上单数构成，其中政府采购评审专家人数不少于谈判小组成员总数的三分之二。</w:t>
      </w:r>
    </w:p>
    <w:p>
      <w:pPr>
        <w:spacing w:after="0" w:line="38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2．</w:t>
      </w:r>
      <w:r>
        <w:rPr>
          <w:rFonts w:hint="eastAsia" w:ascii="宋体" w:hAnsi="宋体" w:eastAsia="宋体" w:cs="Arial"/>
          <w:bCs/>
          <w:color w:val="auto"/>
          <w:sz w:val="24"/>
          <w:highlight w:val="none"/>
        </w:rPr>
        <w:t>评审依据：谈判小组将以竞争性谈判文件为评标依据，对供应商的响应文件进行资格性及符合性审查，以确定其是否符合资格条件及满足采购文件的实质性要求。</w:t>
      </w:r>
    </w:p>
    <w:p>
      <w:pPr>
        <w:spacing w:after="0" w:line="380" w:lineRule="exact"/>
        <w:ind w:firstLine="480" w:firstLineChars="200"/>
        <w:rPr>
          <w:rFonts w:ascii="宋体" w:hAnsi="宋体" w:eastAsia="宋体" w:cs="Arial"/>
          <w:bCs/>
          <w:color w:val="auto"/>
          <w:sz w:val="24"/>
          <w:highlight w:val="none"/>
        </w:rPr>
      </w:pPr>
      <w:r>
        <w:rPr>
          <w:rFonts w:hint="eastAsia" w:ascii="宋体" w:hAnsi="宋体" w:eastAsia="宋体" w:cs="Arial"/>
          <w:color w:val="auto"/>
          <w:sz w:val="24"/>
          <w:highlight w:val="none"/>
        </w:rPr>
        <w:t>3．</w:t>
      </w:r>
      <w:r>
        <w:rPr>
          <w:rFonts w:hint="eastAsia" w:ascii="宋体" w:hAnsi="宋体" w:eastAsia="宋体" w:cs="Arial"/>
          <w:bCs/>
          <w:color w:val="auto"/>
          <w:sz w:val="24"/>
          <w:highlight w:val="none"/>
        </w:rPr>
        <w:t>评审方法：最低评标价法。</w:t>
      </w:r>
    </w:p>
    <w:p>
      <w:pPr>
        <w:spacing w:after="0" w:line="380" w:lineRule="exact"/>
        <w:ind w:firstLine="480" w:firstLineChars="200"/>
        <w:rPr>
          <w:rFonts w:ascii="宋体" w:hAnsi="宋体" w:eastAsia="宋体" w:cs="Arial"/>
          <w:bCs/>
          <w:color w:val="auto"/>
          <w:sz w:val="24"/>
          <w:highlight w:val="none"/>
        </w:rPr>
      </w:pPr>
      <w:r>
        <w:rPr>
          <w:rFonts w:hint="eastAsia" w:ascii="宋体" w:hAnsi="宋体" w:eastAsia="宋体" w:cs="Arial"/>
          <w:bCs/>
          <w:color w:val="auto"/>
          <w:sz w:val="24"/>
          <w:highlight w:val="none"/>
        </w:rPr>
        <w:t>4．评审程序</w:t>
      </w:r>
    </w:p>
    <w:p>
      <w:pPr>
        <w:widowControl w:val="0"/>
        <w:numPr>
          <w:ilvl w:val="0"/>
          <w:numId w:val="4"/>
        </w:numPr>
        <w:adjustRightInd/>
        <w:snapToGrid/>
        <w:spacing w:after="0" w:line="380" w:lineRule="exact"/>
        <w:ind w:left="0"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资格性检查；</w:t>
      </w:r>
    </w:p>
    <w:p>
      <w:pPr>
        <w:widowControl w:val="0"/>
        <w:numPr>
          <w:ilvl w:val="0"/>
          <w:numId w:val="4"/>
        </w:numPr>
        <w:adjustRightInd/>
        <w:snapToGrid/>
        <w:spacing w:after="0" w:line="380" w:lineRule="exact"/>
        <w:ind w:left="0"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符合性检查；</w:t>
      </w:r>
    </w:p>
    <w:p>
      <w:pPr>
        <w:widowControl w:val="0"/>
        <w:numPr>
          <w:ilvl w:val="0"/>
          <w:numId w:val="4"/>
        </w:numPr>
        <w:adjustRightInd/>
        <w:snapToGrid/>
        <w:spacing w:after="0" w:line="380" w:lineRule="exact"/>
        <w:ind w:left="0" w:firstLine="480" w:firstLineChars="200"/>
        <w:rPr>
          <w:rFonts w:ascii="宋体" w:hAnsi="宋体" w:eastAsia="宋体" w:cs="Arial"/>
          <w:color w:val="auto"/>
          <w:sz w:val="24"/>
          <w:highlight w:val="none"/>
        </w:rPr>
      </w:pPr>
      <w:r>
        <w:rPr>
          <w:rFonts w:hint="eastAsia" w:ascii="宋体" w:hAnsi="宋体" w:eastAsia="宋体" w:cs="Arial"/>
          <w:bCs/>
          <w:color w:val="auto"/>
          <w:sz w:val="24"/>
          <w:highlight w:val="none"/>
        </w:rPr>
        <w:t>谈判；</w:t>
      </w:r>
    </w:p>
    <w:p>
      <w:pPr>
        <w:widowControl w:val="0"/>
        <w:numPr>
          <w:ilvl w:val="0"/>
          <w:numId w:val="4"/>
        </w:numPr>
        <w:adjustRightInd/>
        <w:snapToGrid/>
        <w:spacing w:after="0" w:line="380" w:lineRule="exact"/>
        <w:ind w:left="0" w:firstLine="480" w:firstLineChars="200"/>
        <w:rPr>
          <w:rFonts w:ascii="宋体" w:hAnsi="宋体" w:eastAsia="宋体" w:cs="Arial"/>
          <w:color w:val="auto"/>
          <w:sz w:val="24"/>
          <w:highlight w:val="none"/>
        </w:rPr>
      </w:pPr>
      <w:r>
        <w:rPr>
          <w:rFonts w:hint="eastAsia" w:ascii="宋体" w:hAnsi="宋体" w:eastAsia="宋体" w:cs="Arial"/>
          <w:bCs/>
          <w:color w:val="auto"/>
          <w:sz w:val="24"/>
          <w:highlight w:val="none"/>
        </w:rPr>
        <w:t>重新提交响应文件（如谈判文件有实质性变动或谈判后确定最终设计解决方案）；</w:t>
      </w:r>
    </w:p>
    <w:p>
      <w:pPr>
        <w:widowControl w:val="0"/>
        <w:numPr>
          <w:ilvl w:val="0"/>
          <w:numId w:val="4"/>
        </w:numPr>
        <w:adjustRightInd/>
        <w:snapToGrid/>
        <w:spacing w:after="0" w:line="380" w:lineRule="exact"/>
        <w:ind w:left="0" w:firstLine="480" w:firstLineChars="200"/>
        <w:rPr>
          <w:rFonts w:ascii="宋体" w:hAnsi="宋体" w:eastAsia="宋体" w:cs="Arial"/>
          <w:color w:val="auto"/>
          <w:sz w:val="24"/>
          <w:highlight w:val="none"/>
        </w:rPr>
      </w:pPr>
      <w:r>
        <w:rPr>
          <w:rFonts w:hint="eastAsia" w:ascii="宋体" w:hAnsi="宋体" w:eastAsia="宋体" w:cs="Arial"/>
          <w:bCs/>
          <w:color w:val="auto"/>
          <w:sz w:val="24"/>
          <w:highlight w:val="none"/>
        </w:rPr>
        <w:t>最后报价；</w:t>
      </w:r>
    </w:p>
    <w:p>
      <w:pPr>
        <w:widowControl w:val="0"/>
        <w:numPr>
          <w:ilvl w:val="0"/>
          <w:numId w:val="4"/>
        </w:numPr>
        <w:adjustRightInd/>
        <w:snapToGrid/>
        <w:spacing w:after="0" w:line="380" w:lineRule="exact"/>
        <w:ind w:left="0" w:firstLine="480" w:firstLineChars="200"/>
        <w:rPr>
          <w:rFonts w:ascii="宋体" w:hAnsi="宋体" w:eastAsia="宋体" w:cs="Arial"/>
          <w:color w:val="auto"/>
          <w:sz w:val="24"/>
          <w:highlight w:val="none"/>
        </w:rPr>
      </w:pPr>
      <w:r>
        <w:rPr>
          <w:rFonts w:hint="eastAsia" w:ascii="宋体" w:hAnsi="宋体" w:eastAsia="宋体" w:cs="Arial"/>
          <w:bCs/>
          <w:color w:val="auto"/>
          <w:sz w:val="24"/>
          <w:highlight w:val="none"/>
        </w:rPr>
        <w:t>推荐成交候选供应商名单。</w:t>
      </w:r>
    </w:p>
    <w:p>
      <w:pPr>
        <w:spacing w:after="0" w:line="380" w:lineRule="exact"/>
        <w:ind w:firstLine="482" w:firstLineChars="200"/>
        <w:outlineLvl w:val="1"/>
        <w:rPr>
          <w:rFonts w:ascii="宋体" w:hAnsi="宋体" w:eastAsia="宋体" w:cs="Arial"/>
          <w:b/>
          <w:bCs/>
          <w:color w:val="auto"/>
          <w:sz w:val="24"/>
          <w:highlight w:val="none"/>
        </w:rPr>
      </w:pPr>
      <w:bookmarkStart w:id="85" w:name="_Toc17167"/>
      <w:r>
        <w:rPr>
          <w:rFonts w:hint="eastAsia" w:ascii="宋体" w:hAnsi="宋体" w:eastAsia="宋体" w:cs="Arial"/>
          <w:b/>
          <w:bCs/>
          <w:color w:val="auto"/>
          <w:sz w:val="24"/>
          <w:highlight w:val="none"/>
        </w:rPr>
        <w:t>二、评审标准</w:t>
      </w:r>
      <w:bookmarkEnd w:id="85"/>
    </w:p>
    <w:p>
      <w:pPr>
        <w:spacing w:after="0" w:line="380" w:lineRule="exact"/>
        <w:ind w:firstLine="482" w:firstLineChars="200"/>
        <w:rPr>
          <w:rFonts w:ascii="宋体" w:hAnsi="宋体" w:eastAsia="宋体" w:cs="Arial"/>
          <w:b/>
          <w:color w:val="auto"/>
          <w:sz w:val="24"/>
          <w:highlight w:val="none"/>
        </w:rPr>
      </w:pPr>
      <w:r>
        <w:rPr>
          <w:rFonts w:hint="eastAsia" w:ascii="宋体" w:hAnsi="宋体" w:eastAsia="宋体" w:cs="Arial"/>
          <w:b/>
          <w:color w:val="auto"/>
          <w:sz w:val="24"/>
          <w:highlight w:val="none"/>
        </w:rPr>
        <w:t>1、资格性检查</w:t>
      </w:r>
    </w:p>
    <w:p>
      <w:pPr>
        <w:spacing w:after="0" w:line="38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由谈判小组对所有供应商的响应文件进行资格审查。以确定供应商是否具备竞标资格。资格性检查表如下，缺少任何一项或有任何一项不合格者，其资格性审查视为不合格。</w:t>
      </w:r>
    </w:p>
    <w:tbl>
      <w:tblPr>
        <w:tblStyle w:val="38"/>
        <w:tblW w:w="9721" w:type="dxa"/>
        <w:jc w:val="center"/>
        <w:tblLayout w:type="fixed"/>
        <w:tblCellMar>
          <w:top w:w="0" w:type="dxa"/>
          <w:left w:w="108" w:type="dxa"/>
          <w:bottom w:w="0" w:type="dxa"/>
          <w:right w:w="108" w:type="dxa"/>
        </w:tblCellMar>
      </w:tblPr>
      <w:tblGrid>
        <w:gridCol w:w="742"/>
        <w:gridCol w:w="1101"/>
        <w:gridCol w:w="1956"/>
        <w:gridCol w:w="5922"/>
      </w:tblGrid>
      <w:tr>
        <w:tblPrEx>
          <w:tblCellMar>
            <w:top w:w="0" w:type="dxa"/>
            <w:left w:w="108" w:type="dxa"/>
            <w:bottom w:w="0" w:type="dxa"/>
            <w:right w:w="108" w:type="dxa"/>
          </w:tblCellMar>
        </w:tblPrEx>
        <w:trPr>
          <w:trHeight w:val="510" w:hRule="atLeast"/>
          <w:tblHeader/>
          <w:jc w:val="center"/>
        </w:trPr>
        <w:tc>
          <w:tcPr>
            <w:tcW w:w="74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3057" w:type="dxa"/>
            <w:gridSpan w:val="2"/>
            <w:tcBorders>
              <w:top w:val="single" w:color="auto" w:sz="4" w:space="0"/>
              <w:left w:val="nil"/>
              <w:bottom w:val="single" w:color="auto" w:sz="4" w:space="0"/>
              <w:right w:val="single" w:color="auto" w:sz="4" w:space="0"/>
            </w:tcBorders>
            <w:shd w:val="clear" w:color="auto" w:fill="auto"/>
            <w:vAlign w:val="center"/>
          </w:tcPr>
          <w:p>
            <w:pPr>
              <w:adjustRightInd/>
              <w:snapToGrid/>
              <w:spacing w:after="0" w:line="36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评审因素</w:t>
            </w:r>
          </w:p>
        </w:tc>
        <w:tc>
          <w:tcPr>
            <w:tcW w:w="5922"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line="36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评审内容及评审标准</w:t>
            </w:r>
          </w:p>
        </w:tc>
      </w:tr>
      <w:tr>
        <w:tblPrEx>
          <w:tblCellMar>
            <w:top w:w="0" w:type="dxa"/>
            <w:left w:w="108" w:type="dxa"/>
            <w:bottom w:w="0" w:type="dxa"/>
            <w:right w:w="108" w:type="dxa"/>
          </w:tblCellMar>
        </w:tblPrEx>
        <w:trPr>
          <w:trHeight w:val="2241" w:hRule="atLeast"/>
          <w:jc w:val="center"/>
        </w:trPr>
        <w:tc>
          <w:tcPr>
            <w:tcW w:w="742"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101"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供应商应符合的基本资格条件</w:t>
            </w:r>
          </w:p>
        </w:tc>
        <w:tc>
          <w:tcPr>
            <w:tcW w:w="1956" w:type="dxa"/>
            <w:tcBorders>
              <w:top w:val="nil"/>
              <w:left w:val="nil"/>
              <w:bottom w:val="single" w:color="auto" w:sz="4" w:space="0"/>
              <w:right w:val="single" w:color="auto" w:sz="4" w:space="0"/>
            </w:tcBorders>
            <w:shd w:val="clear" w:color="auto" w:fill="auto"/>
            <w:vAlign w:val="center"/>
          </w:tcPr>
          <w:p>
            <w:pPr>
              <w:adjustRightInd/>
              <w:snapToGrid/>
              <w:spacing w:after="0" w:line="36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（1）具有独立承担民事责任的能力</w:t>
            </w:r>
          </w:p>
        </w:tc>
        <w:tc>
          <w:tcPr>
            <w:tcW w:w="5922" w:type="dxa"/>
            <w:tcBorders>
              <w:top w:val="nil"/>
              <w:left w:val="nil"/>
              <w:bottom w:val="single" w:color="auto" w:sz="4" w:space="0"/>
              <w:right w:val="single" w:color="auto" w:sz="4" w:space="0"/>
            </w:tcBorders>
            <w:shd w:val="clear" w:color="auto" w:fill="auto"/>
            <w:vAlign w:val="center"/>
          </w:tcPr>
          <w:p>
            <w:pPr>
              <w:adjustRightInd/>
              <w:snapToGrid/>
              <w:spacing w:after="0" w:line="360" w:lineRule="exact"/>
              <w:ind w:firstLine="45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审查法人或者其他组织的营业执照等证明文件、自然人的身份证明。须按以下要求提供，材料须有效。</w:t>
            </w:r>
          </w:p>
          <w:p>
            <w:pPr>
              <w:adjustRightInd/>
              <w:snapToGrid/>
              <w:spacing w:after="0" w:line="360" w:lineRule="exact"/>
              <w:ind w:firstLine="45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供应商是企业则审查营业执照 （副本） 复印件；供应商是事业单位，则审查事业单位法人证书（副本）复印件；供应商是非企业专业服务机构的，则审查执业许可证等证明文件复印件；供应商是个体工商户，则审查个体工商户营业执照复印件；供应商是自然人，则审查自然人身份证明复印件；如供应商不是以上所列的法人、组织、自然人的，则提供国家规定的相关证明材料。</w:t>
            </w:r>
          </w:p>
        </w:tc>
      </w:tr>
      <w:tr>
        <w:tblPrEx>
          <w:tblCellMar>
            <w:top w:w="0" w:type="dxa"/>
            <w:left w:w="108" w:type="dxa"/>
            <w:bottom w:w="0" w:type="dxa"/>
            <w:right w:w="108" w:type="dxa"/>
          </w:tblCellMar>
        </w:tblPrEx>
        <w:trPr>
          <w:jc w:val="center"/>
        </w:trPr>
        <w:tc>
          <w:tcPr>
            <w:tcW w:w="742" w:type="dxa"/>
            <w:vMerge w:val="continue"/>
            <w:tcBorders>
              <w:top w:val="nil"/>
              <w:left w:val="single" w:color="auto" w:sz="4" w:space="0"/>
              <w:bottom w:val="single" w:color="auto" w:sz="4" w:space="0"/>
              <w:right w:val="single" w:color="auto" w:sz="4" w:space="0"/>
            </w:tcBorders>
            <w:vAlign w:val="center"/>
          </w:tcPr>
          <w:p>
            <w:pPr>
              <w:adjustRightInd/>
              <w:snapToGrid/>
              <w:spacing w:after="0" w:line="360" w:lineRule="exact"/>
              <w:rPr>
                <w:rFonts w:ascii="宋体" w:hAnsi="宋体" w:eastAsia="宋体" w:cs="宋体"/>
                <w:color w:val="auto"/>
                <w:sz w:val="24"/>
                <w:szCs w:val="24"/>
                <w:highlight w:val="none"/>
              </w:rPr>
            </w:pPr>
          </w:p>
        </w:tc>
        <w:tc>
          <w:tcPr>
            <w:tcW w:w="1101" w:type="dxa"/>
            <w:vMerge w:val="continue"/>
            <w:tcBorders>
              <w:top w:val="nil"/>
              <w:left w:val="single" w:color="auto" w:sz="4" w:space="0"/>
              <w:bottom w:val="single" w:color="auto" w:sz="4" w:space="0"/>
              <w:right w:val="single" w:color="auto" w:sz="4" w:space="0"/>
            </w:tcBorders>
            <w:vAlign w:val="center"/>
          </w:tcPr>
          <w:p>
            <w:pPr>
              <w:adjustRightInd/>
              <w:snapToGrid/>
              <w:spacing w:after="0" w:line="360" w:lineRule="exact"/>
              <w:rPr>
                <w:rFonts w:ascii="宋体" w:hAnsi="宋体" w:eastAsia="宋体" w:cs="宋体"/>
                <w:color w:val="auto"/>
                <w:sz w:val="24"/>
                <w:szCs w:val="24"/>
                <w:highlight w:val="none"/>
              </w:rPr>
            </w:pPr>
          </w:p>
        </w:tc>
        <w:tc>
          <w:tcPr>
            <w:tcW w:w="1956" w:type="dxa"/>
            <w:tcBorders>
              <w:top w:val="nil"/>
              <w:left w:val="nil"/>
              <w:bottom w:val="single" w:color="auto" w:sz="4" w:space="0"/>
              <w:right w:val="single" w:color="auto" w:sz="4" w:space="0"/>
            </w:tcBorders>
            <w:shd w:val="clear" w:color="auto" w:fill="auto"/>
            <w:vAlign w:val="center"/>
          </w:tcPr>
          <w:p>
            <w:pPr>
              <w:adjustRightInd/>
              <w:snapToGrid/>
              <w:spacing w:after="0" w:line="36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（2）具有良好的商业信誉和健全的财务会计制度</w:t>
            </w:r>
          </w:p>
        </w:tc>
        <w:tc>
          <w:tcPr>
            <w:tcW w:w="5922" w:type="dxa"/>
            <w:tcBorders>
              <w:top w:val="nil"/>
              <w:left w:val="nil"/>
              <w:bottom w:val="single" w:color="auto" w:sz="4" w:space="0"/>
              <w:right w:val="single" w:color="auto" w:sz="4" w:space="0"/>
            </w:tcBorders>
            <w:shd w:val="clear" w:color="auto" w:fill="auto"/>
            <w:vAlign w:val="center"/>
          </w:tcPr>
          <w:p>
            <w:pPr>
              <w:adjustRightInd/>
              <w:snapToGrid/>
              <w:spacing w:after="0" w:line="360" w:lineRule="exact"/>
              <w:ind w:firstLine="45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审查</w:t>
            </w:r>
            <w:r>
              <w:rPr>
                <w:rFonts w:hint="eastAsia" w:ascii="宋体" w:hAnsi="宋体" w:eastAsia="宋体" w:cs="宋体"/>
                <w:color w:val="auto"/>
                <w:sz w:val="24"/>
                <w:szCs w:val="24"/>
                <w:highlight w:val="none"/>
                <w:lang w:eastAsia="zh-CN"/>
              </w:rPr>
              <w:t>经第三方审计的2019年度的财务报表（账务报表至少包含资产负债表、利润表、现金流量表及其附注、审计报告）</w:t>
            </w:r>
            <w:r>
              <w:rPr>
                <w:rFonts w:hint="eastAsia" w:ascii="宋体" w:hAnsi="宋体" w:eastAsia="宋体" w:cs="宋体"/>
                <w:color w:val="auto"/>
                <w:sz w:val="24"/>
                <w:szCs w:val="24"/>
                <w:highlight w:val="none"/>
              </w:rPr>
              <w:t>复印件（新成立的公司提供公司成立日之后次月起到响应文件递交截止前一个月的财务报表复印件）或供应商提交响应文件截止之日前三个月内其基本开户银行出具的银行资信证明（仅提供银行出具的存款证明不能作为其银行资信证明）复印件；</w:t>
            </w:r>
          </w:p>
        </w:tc>
      </w:tr>
      <w:tr>
        <w:tblPrEx>
          <w:tblCellMar>
            <w:top w:w="0" w:type="dxa"/>
            <w:left w:w="108" w:type="dxa"/>
            <w:bottom w:w="0" w:type="dxa"/>
            <w:right w:w="108" w:type="dxa"/>
          </w:tblCellMar>
        </w:tblPrEx>
        <w:trPr>
          <w:trHeight w:val="810" w:hRule="atLeast"/>
          <w:jc w:val="center"/>
        </w:trPr>
        <w:tc>
          <w:tcPr>
            <w:tcW w:w="742" w:type="dxa"/>
            <w:vMerge w:val="continue"/>
            <w:tcBorders>
              <w:top w:val="nil"/>
              <w:left w:val="single" w:color="auto" w:sz="4" w:space="0"/>
              <w:bottom w:val="single" w:color="auto" w:sz="4" w:space="0"/>
              <w:right w:val="single" w:color="auto" w:sz="4" w:space="0"/>
            </w:tcBorders>
            <w:vAlign w:val="center"/>
          </w:tcPr>
          <w:p>
            <w:pPr>
              <w:adjustRightInd/>
              <w:snapToGrid/>
              <w:spacing w:after="0" w:line="360" w:lineRule="exact"/>
              <w:rPr>
                <w:rFonts w:ascii="宋体" w:hAnsi="宋体" w:eastAsia="宋体" w:cs="宋体"/>
                <w:color w:val="auto"/>
                <w:sz w:val="24"/>
                <w:szCs w:val="24"/>
                <w:highlight w:val="none"/>
              </w:rPr>
            </w:pPr>
          </w:p>
        </w:tc>
        <w:tc>
          <w:tcPr>
            <w:tcW w:w="1101" w:type="dxa"/>
            <w:vMerge w:val="continue"/>
            <w:tcBorders>
              <w:top w:val="nil"/>
              <w:left w:val="single" w:color="auto" w:sz="4" w:space="0"/>
              <w:bottom w:val="single" w:color="auto" w:sz="4" w:space="0"/>
              <w:right w:val="single" w:color="auto" w:sz="4" w:space="0"/>
            </w:tcBorders>
            <w:vAlign w:val="center"/>
          </w:tcPr>
          <w:p>
            <w:pPr>
              <w:adjustRightInd/>
              <w:snapToGrid/>
              <w:spacing w:after="0" w:line="360" w:lineRule="exact"/>
              <w:rPr>
                <w:rFonts w:ascii="宋体" w:hAnsi="宋体" w:eastAsia="宋体" w:cs="宋体"/>
                <w:color w:val="auto"/>
                <w:sz w:val="24"/>
                <w:szCs w:val="24"/>
                <w:highlight w:val="none"/>
              </w:rPr>
            </w:pPr>
          </w:p>
        </w:tc>
        <w:tc>
          <w:tcPr>
            <w:tcW w:w="1956" w:type="dxa"/>
            <w:tcBorders>
              <w:top w:val="nil"/>
              <w:left w:val="nil"/>
              <w:bottom w:val="single" w:color="auto" w:sz="4" w:space="0"/>
              <w:right w:val="single" w:color="auto" w:sz="4" w:space="0"/>
            </w:tcBorders>
            <w:shd w:val="clear" w:color="auto" w:fill="auto"/>
            <w:vAlign w:val="center"/>
          </w:tcPr>
          <w:p>
            <w:pPr>
              <w:adjustRightInd/>
              <w:snapToGrid/>
              <w:spacing w:after="0" w:line="36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（3）具有履行合同所必需的设备和专业技术能力</w:t>
            </w:r>
          </w:p>
        </w:tc>
        <w:tc>
          <w:tcPr>
            <w:tcW w:w="5922" w:type="dxa"/>
            <w:tcBorders>
              <w:top w:val="nil"/>
              <w:left w:val="nil"/>
              <w:bottom w:val="single" w:color="auto" w:sz="4" w:space="0"/>
              <w:right w:val="single" w:color="auto" w:sz="4" w:space="0"/>
            </w:tcBorders>
            <w:shd w:val="clear" w:color="auto" w:fill="auto"/>
            <w:vAlign w:val="center"/>
          </w:tcPr>
          <w:p>
            <w:pPr>
              <w:adjustRightInd/>
              <w:snapToGrid/>
              <w:spacing w:after="0" w:line="36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审查“具备履行合同所必需的设备和专业技术服务能力的承诺书”。</w:t>
            </w:r>
          </w:p>
        </w:tc>
      </w:tr>
      <w:tr>
        <w:tblPrEx>
          <w:tblCellMar>
            <w:top w:w="0" w:type="dxa"/>
            <w:left w:w="108" w:type="dxa"/>
            <w:bottom w:w="0" w:type="dxa"/>
            <w:right w:w="108" w:type="dxa"/>
          </w:tblCellMar>
        </w:tblPrEx>
        <w:trPr>
          <w:trHeight w:val="2200" w:hRule="atLeast"/>
          <w:jc w:val="center"/>
        </w:trPr>
        <w:tc>
          <w:tcPr>
            <w:tcW w:w="742" w:type="dxa"/>
            <w:vMerge w:val="continue"/>
            <w:tcBorders>
              <w:top w:val="nil"/>
              <w:left w:val="single" w:color="auto" w:sz="4" w:space="0"/>
              <w:bottom w:val="single" w:color="auto" w:sz="4" w:space="0"/>
              <w:right w:val="single" w:color="auto" w:sz="4" w:space="0"/>
            </w:tcBorders>
            <w:vAlign w:val="center"/>
          </w:tcPr>
          <w:p>
            <w:pPr>
              <w:adjustRightInd/>
              <w:snapToGrid/>
              <w:spacing w:after="0" w:line="360" w:lineRule="exact"/>
              <w:rPr>
                <w:rFonts w:ascii="宋体" w:hAnsi="宋体" w:eastAsia="宋体" w:cs="宋体"/>
                <w:color w:val="auto"/>
                <w:sz w:val="24"/>
                <w:szCs w:val="24"/>
                <w:highlight w:val="none"/>
              </w:rPr>
            </w:pPr>
          </w:p>
        </w:tc>
        <w:tc>
          <w:tcPr>
            <w:tcW w:w="1101" w:type="dxa"/>
            <w:vMerge w:val="continue"/>
            <w:tcBorders>
              <w:top w:val="nil"/>
              <w:left w:val="single" w:color="auto" w:sz="4" w:space="0"/>
              <w:bottom w:val="single" w:color="auto" w:sz="4" w:space="0"/>
              <w:right w:val="single" w:color="auto" w:sz="4" w:space="0"/>
            </w:tcBorders>
            <w:vAlign w:val="center"/>
          </w:tcPr>
          <w:p>
            <w:pPr>
              <w:adjustRightInd/>
              <w:snapToGrid/>
              <w:spacing w:after="0" w:line="360" w:lineRule="exact"/>
              <w:rPr>
                <w:rFonts w:ascii="宋体" w:hAnsi="宋体" w:eastAsia="宋体" w:cs="宋体"/>
                <w:color w:val="auto"/>
                <w:sz w:val="24"/>
                <w:szCs w:val="24"/>
                <w:highlight w:val="none"/>
              </w:rPr>
            </w:pPr>
          </w:p>
        </w:tc>
        <w:tc>
          <w:tcPr>
            <w:tcW w:w="1956" w:type="dxa"/>
            <w:tcBorders>
              <w:top w:val="nil"/>
              <w:left w:val="nil"/>
              <w:bottom w:val="single" w:color="auto" w:sz="4" w:space="0"/>
              <w:right w:val="single" w:color="auto" w:sz="4" w:space="0"/>
            </w:tcBorders>
            <w:shd w:val="clear" w:color="auto" w:fill="auto"/>
            <w:vAlign w:val="center"/>
          </w:tcPr>
          <w:p>
            <w:pPr>
              <w:adjustRightInd/>
              <w:snapToGrid/>
              <w:spacing w:after="0" w:line="36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（4）有依法缴纳税收和社会保障资金的良好记录</w:t>
            </w:r>
          </w:p>
        </w:tc>
        <w:tc>
          <w:tcPr>
            <w:tcW w:w="5922" w:type="dxa"/>
            <w:tcBorders>
              <w:top w:val="nil"/>
              <w:left w:val="nil"/>
              <w:bottom w:val="single" w:color="auto" w:sz="4" w:space="0"/>
              <w:right w:val="single" w:color="auto" w:sz="4" w:space="0"/>
            </w:tcBorders>
            <w:shd w:val="clear" w:color="auto" w:fill="auto"/>
            <w:vAlign w:val="center"/>
          </w:tcPr>
          <w:p>
            <w:pPr>
              <w:adjustRightInd/>
              <w:snapToGrid/>
              <w:spacing w:after="0" w:line="36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①审查提交响应文件截止之日</w:t>
            </w:r>
            <w:r>
              <w:rPr>
                <w:rFonts w:hint="eastAsia" w:ascii="宋体" w:hAnsi="宋体" w:eastAsia="宋体" w:cs="宋体"/>
                <w:color w:val="auto"/>
                <w:sz w:val="24"/>
                <w:highlight w:val="none"/>
              </w:rPr>
              <w:t>前三个月内任意一个月</w:t>
            </w:r>
            <w:r>
              <w:rPr>
                <w:rFonts w:hint="eastAsia" w:ascii="宋体" w:hAnsi="宋体" w:eastAsia="宋体" w:cs="宋体"/>
                <w:color w:val="auto"/>
                <w:sz w:val="24"/>
                <w:szCs w:val="24"/>
                <w:highlight w:val="none"/>
              </w:rPr>
              <w:t>的依法缴纳税费证明复印件。</w:t>
            </w:r>
          </w:p>
          <w:p>
            <w:pPr>
              <w:adjustRightInd/>
              <w:snapToGrid/>
              <w:spacing w:after="0" w:line="36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②审查提交响应文件截止之日前</w:t>
            </w:r>
            <w:r>
              <w:rPr>
                <w:rFonts w:hint="eastAsia" w:ascii="宋体" w:hAnsi="宋体" w:eastAsia="宋体" w:cs="宋体"/>
                <w:color w:val="auto"/>
                <w:sz w:val="24"/>
                <w:highlight w:val="none"/>
              </w:rPr>
              <w:t>前三个月内任意一个月</w:t>
            </w:r>
            <w:r>
              <w:rPr>
                <w:rFonts w:hint="eastAsia" w:ascii="宋体" w:hAnsi="宋体" w:eastAsia="宋体" w:cs="宋体"/>
                <w:color w:val="auto"/>
                <w:sz w:val="24"/>
                <w:szCs w:val="24"/>
                <w:highlight w:val="none"/>
              </w:rPr>
              <w:t>的依法缴纳社会保险费证明记录复印件。</w:t>
            </w:r>
          </w:p>
          <w:p>
            <w:pPr>
              <w:adjustRightInd/>
              <w:snapToGrid/>
              <w:spacing w:after="0" w:line="36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供应商成立不足</w:t>
            </w:r>
            <w:r>
              <w:rPr>
                <w:rFonts w:hint="eastAsia" w:ascii="宋体" w:hAnsi="宋体" w:eastAsia="宋体" w:cs="宋体"/>
                <w:color w:val="auto"/>
                <w:sz w:val="24"/>
                <w:szCs w:val="24"/>
                <w:highlight w:val="none"/>
                <w:lang w:eastAsia="zh-CN"/>
              </w:rPr>
              <w:t>1</w:t>
            </w:r>
            <w:r>
              <w:rPr>
                <w:rFonts w:hint="eastAsia" w:ascii="宋体" w:hAnsi="宋体" w:eastAsia="宋体" w:cs="宋体"/>
                <w:color w:val="auto"/>
                <w:sz w:val="24"/>
                <w:szCs w:val="24"/>
                <w:highlight w:val="none"/>
              </w:rPr>
              <w:t>个月的，无须提供缴纳税费证明及社保缴费证明。依法免税的供应商，须提供相应文件证明其依法免税</w:t>
            </w:r>
          </w:p>
        </w:tc>
      </w:tr>
      <w:tr>
        <w:tblPrEx>
          <w:tblCellMar>
            <w:top w:w="0" w:type="dxa"/>
            <w:left w:w="108" w:type="dxa"/>
            <w:bottom w:w="0" w:type="dxa"/>
            <w:right w:w="108" w:type="dxa"/>
          </w:tblCellMar>
        </w:tblPrEx>
        <w:trPr>
          <w:trHeight w:val="810" w:hRule="atLeast"/>
          <w:jc w:val="center"/>
        </w:trPr>
        <w:tc>
          <w:tcPr>
            <w:tcW w:w="742" w:type="dxa"/>
            <w:vMerge w:val="continue"/>
            <w:tcBorders>
              <w:top w:val="nil"/>
              <w:left w:val="single" w:color="auto" w:sz="4" w:space="0"/>
              <w:bottom w:val="single" w:color="auto" w:sz="4" w:space="0"/>
              <w:right w:val="single" w:color="auto" w:sz="4" w:space="0"/>
            </w:tcBorders>
            <w:vAlign w:val="center"/>
          </w:tcPr>
          <w:p>
            <w:pPr>
              <w:adjustRightInd/>
              <w:snapToGrid/>
              <w:spacing w:after="0" w:line="360" w:lineRule="exact"/>
              <w:rPr>
                <w:rFonts w:ascii="宋体" w:hAnsi="宋体" w:eastAsia="宋体" w:cs="宋体"/>
                <w:color w:val="auto"/>
                <w:sz w:val="24"/>
                <w:szCs w:val="24"/>
                <w:highlight w:val="none"/>
              </w:rPr>
            </w:pPr>
          </w:p>
        </w:tc>
        <w:tc>
          <w:tcPr>
            <w:tcW w:w="1101" w:type="dxa"/>
            <w:vMerge w:val="continue"/>
            <w:tcBorders>
              <w:top w:val="nil"/>
              <w:left w:val="single" w:color="auto" w:sz="4" w:space="0"/>
              <w:bottom w:val="single" w:color="auto" w:sz="4" w:space="0"/>
              <w:right w:val="single" w:color="auto" w:sz="4" w:space="0"/>
            </w:tcBorders>
            <w:vAlign w:val="center"/>
          </w:tcPr>
          <w:p>
            <w:pPr>
              <w:adjustRightInd/>
              <w:snapToGrid/>
              <w:spacing w:after="0" w:line="360" w:lineRule="exact"/>
              <w:rPr>
                <w:rFonts w:ascii="宋体" w:hAnsi="宋体" w:eastAsia="宋体" w:cs="宋体"/>
                <w:color w:val="auto"/>
                <w:sz w:val="24"/>
                <w:szCs w:val="24"/>
                <w:highlight w:val="none"/>
              </w:rPr>
            </w:pPr>
          </w:p>
        </w:tc>
        <w:tc>
          <w:tcPr>
            <w:tcW w:w="1956" w:type="dxa"/>
            <w:tcBorders>
              <w:top w:val="nil"/>
              <w:left w:val="nil"/>
              <w:bottom w:val="single" w:color="auto" w:sz="4" w:space="0"/>
              <w:right w:val="single" w:color="auto" w:sz="4" w:space="0"/>
            </w:tcBorders>
            <w:shd w:val="clear" w:color="auto" w:fill="auto"/>
            <w:vAlign w:val="center"/>
          </w:tcPr>
          <w:p>
            <w:pPr>
              <w:adjustRightInd/>
              <w:snapToGrid/>
              <w:spacing w:after="0" w:line="36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（5）参加政府采购活动前三年内，在经营活动中没有重大违法记录</w:t>
            </w:r>
          </w:p>
        </w:tc>
        <w:tc>
          <w:tcPr>
            <w:tcW w:w="5922" w:type="dxa"/>
            <w:tcBorders>
              <w:top w:val="nil"/>
              <w:left w:val="nil"/>
              <w:bottom w:val="single" w:color="auto" w:sz="4" w:space="0"/>
              <w:right w:val="single" w:color="auto" w:sz="4" w:space="0"/>
            </w:tcBorders>
            <w:shd w:val="clear" w:color="auto" w:fill="auto"/>
            <w:vAlign w:val="center"/>
          </w:tcPr>
          <w:p>
            <w:pPr>
              <w:adjustRightInd/>
              <w:snapToGrid/>
              <w:spacing w:after="0" w:line="36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审查无重大违法记录声明，格式见第六章响应文件格式“参加政府采购活动前三年内在经营活动中没有重大违法记录的书面声明”。</w:t>
            </w:r>
          </w:p>
        </w:tc>
      </w:tr>
      <w:tr>
        <w:tblPrEx>
          <w:tblCellMar>
            <w:top w:w="0" w:type="dxa"/>
            <w:left w:w="108" w:type="dxa"/>
            <w:bottom w:w="0" w:type="dxa"/>
            <w:right w:w="108" w:type="dxa"/>
          </w:tblCellMar>
        </w:tblPrEx>
        <w:trPr>
          <w:jc w:val="center"/>
        </w:trPr>
        <w:tc>
          <w:tcPr>
            <w:tcW w:w="742" w:type="dxa"/>
            <w:vMerge w:val="continue"/>
            <w:tcBorders>
              <w:top w:val="nil"/>
              <w:left w:val="single" w:color="auto" w:sz="4" w:space="0"/>
              <w:bottom w:val="single" w:color="auto" w:sz="4" w:space="0"/>
              <w:right w:val="single" w:color="auto" w:sz="4" w:space="0"/>
            </w:tcBorders>
            <w:vAlign w:val="center"/>
          </w:tcPr>
          <w:p>
            <w:pPr>
              <w:adjustRightInd/>
              <w:snapToGrid/>
              <w:spacing w:after="0" w:line="360" w:lineRule="exact"/>
              <w:rPr>
                <w:rFonts w:ascii="宋体" w:hAnsi="宋体" w:eastAsia="宋体" w:cs="宋体"/>
                <w:color w:val="auto"/>
                <w:sz w:val="24"/>
                <w:szCs w:val="24"/>
                <w:highlight w:val="none"/>
              </w:rPr>
            </w:pPr>
          </w:p>
        </w:tc>
        <w:tc>
          <w:tcPr>
            <w:tcW w:w="1101" w:type="dxa"/>
            <w:vMerge w:val="continue"/>
            <w:tcBorders>
              <w:top w:val="nil"/>
              <w:left w:val="single" w:color="auto" w:sz="4" w:space="0"/>
              <w:bottom w:val="single" w:color="auto" w:sz="4" w:space="0"/>
              <w:right w:val="single" w:color="auto" w:sz="4" w:space="0"/>
            </w:tcBorders>
            <w:vAlign w:val="center"/>
          </w:tcPr>
          <w:p>
            <w:pPr>
              <w:adjustRightInd/>
              <w:snapToGrid/>
              <w:spacing w:after="0" w:line="360" w:lineRule="exact"/>
              <w:rPr>
                <w:rFonts w:ascii="宋体" w:hAnsi="宋体" w:eastAsia="宋体" w:cs="宋体"/>
                <w:color w:val="auto"/>
                <w:sz w:val="24"/>
                <w:szCs w:val="24"/>
                <w:highlight w:val="none"/>
              </w:rPr>
            </w:pPr>
          </w:p>
        </w:tc>
        <w:tc>
          <w:tcPr>
            <w:tcW w:w="1956" w:type="dxa"/>
            <w:tcBorders>
              <w:top w:val="nil"/>
              <w:left w:val="nil"/>
              <w:bottom w:val="single" w:color="auto" w:sz="4" w:space="0"/>
              <w:right w:val="single" w:color="auto" w:sz="4" w:space="0"/>
            </w:tcBorders>
            <w:shd w:val="clear" w:color="auto" w:fill="auto"/>
            <w:vAlign w:val="center"/>
          </w:tcPr>
          <w:p>
            <w:pPr>
              <w:adjustRightInd/>
              <w:snapToGrid/>
              <w:spacing w:after="0" w:line="36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（6）诚信要求</w:t>
            </w:r>
          </w:p>
        </w:tc>
        <w:tc>
          <w:tcPr>
            <w:tcW w:w="5922" w:type="dxa"/>
            <w:tcBorders>
              <w:top w:val="nil"/>
              <w:left w:val="nil"/>
              <w:bottom w:val="single" w:color="auto" w:sz="4" w:space="0"/>
              <w:right w:val="single" w:color="auto" w:sz="4" w:space="0"/>
            </w:tcBorders>
            <w:shd w:val="clear" w:color="auto" w:fill="auto"/>
            <w:vAlign w:val="center"/>
          </w:tcPr>
          <w:p>
            <w:pPr>
              <w:adjustRightInd/>
              <w:snapToGrid/>
              <w:spacing w:after="0" w:line="360" w:lineRule="exact"/>
              <w:ind w:firstLine="45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A</w:t>
            </w:r>
            <w:r>
              <w:rPr>
                <w:rFonts w:ascii="宋体" w:hAnsi="宋体" w:eastAsia="宋体" w:cs="宋体"/>
                <w:color w:val="auto"/>
                <w:sz w:val="24"/>
                <w:szCs w:val="24"/>
                <w:highlight w:val="none"/>
              </w:rPr>
              <w:t>、</w:t>
            </w:r>
            <w:r>
              <w:rPr>
                <w:rFonts w:hint="eastAsia" w:ascii="宋体" w:hAnsi="宋体" w:eastAsia="宋体" w:cs="宋体"/>
                <w:color w:val="auto"/>
                <w:sz w:val="24"/>
                <w:szCs w:val="24"/>
                <w:highlight w:val="none"/>
              </w:rPr>
              <w:t>审核要求：供应商未被列入失信被执行人、重大税收违法案件当事人名单、政府采购严重违法失信行为记录名单。</w:t>
            </w:r>
          </w:p>
          <w:p>
            <w:pPr>
              <w:adjustRightInd/>
              <w:snapToGrid/>
              <w:spacing w:after="0" w:line="360" w:lineRule="exact"/>
              <w:ind w:firstLine="45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B、审核内容：供应商在“信用中国”网站（www.creditchina.gov.cn）、中国政府采购网（www.ccgp.gov.cn）的主体信用记录</w:t>
            </w:r>
            <w:r>
              <w:rPr>
                <w:rFonts w:ascii="宋体" w:hAnsi="宋体" w:eastAsia="宋体" w:cs="宋体"/>
                <w:color w:val="auto"/>
                <w:sz w:val="24"/>
                <w:szCs w:val="24"/>
                <w:highlight w:val="none"/>
              </w:rPr>
              <w:t>查询结果或界面截图（</w:t>
            </w:r>
            <w:r>
              <w:rPr>
                <w:rFonts w:hint="eastAsia" w:ascii="宋体" w:hAnsi="宋体" w:eastAsia="宋体" w:cs="仿宋"/>
                <w:color w:val="auto"/>
                <w:sz w:val="24"/>
                <w:highlight w:val="none"/>
              </w:rPr>
              <w:t>由采购人或采购代理机构对供应商进行信用信息查询，并将查询结果提供给谈判小组</w:t>
            </w:r>
            <w:r>
              <w:rPr>
                <w:rFonts w:ascii="宋体" w:hAnsi="宋体" w:eastAsia="宋体" w:cs="宋体"/>
                <w:color w:val="auto"/>
                <w:sz w:val="24"/>
                <w:szCs w:val="24"/>
                <w:highlight w:val="none"/>
              </w:rPr>
              <w:t>）</w:t>
            </w:r>
            <w:r>
              <w:rPr>
                <w:rFonts w:hint="eastAsia" w:ascii="宋体" w:hAnsi="宋体" w:eastAsia="宋体" w:cs="宋体"/>
                <w:color w:val="auto"/>
                <w:sz w:val="24"/>
                <w:szCs w:val="24"/>
                <w:highlight w:val="none"/>
              </w:rPr>
              <w:t>。</w:t>
            </w:r>
          </w:p>
          <w:p>
            <w:pPr>
              <w:adjustRightInd/>
              <w:snapToGrid/>
              <w:spacing w:after="0" w:line="360" w:lineRule="exact"/>
              <w:ind w:firstLine="45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①“信用中国”查询内容：失信被执行人、重大税收违法案件当事人名单、政府采购严重违法失信行为记录名单</w:t>
            </w:r>
            <w:r>
              <w:rPr>
                <w:rFonts w:ascii="宋体" w:hAnsi="宋体" w:eastAsia="宋体" w:cs="宋体"/>
                <w:color w:val="auto"/>
                <w:sz w:val="24"/>
                <w:szCs w:val="24"/>
                <w:highlight w:val="none"/>
              </w:rPr>
              <w:t>查询结果或界面截图</w:t>
            </w:r>
            <w:r>
              <w:rPr>
                <w:rFonts w:hint="eastAsia" w:ascii="宋体" w:hAnsi="宋体" w:eastAsia="宋体" w:cs="宋体"/>
                <w:color w:val="auto"/>
                <w:sz w:val="24"/>
                <w:szCs w:val="24"/>
                <w:highlight w:val="none"/>
              </w:rPr>
              <w:t>；查询或打印截止时点：</w:t>
            </w:r>
            <w:r>
              <w:rPr>
                <w:rFonts w:hint="eastAsia" w:ascii="宋体" w:hAnsi="宋体" w:eastAsia="宋体" w:cs="仿宋"/>
                <w:color w:val="auto"/>
                <w:sz w:val="24"/>
                <w:highlight w:val="none"/>
              </w:rPr>
              <w:t>递交响应文件截止时间</w:t>
            </w:r>
            <w:r>
              <w:rPr>
                <w:rFonts w:hint="eastAsia" w:ascii="宋体" w:hAnsi="宋体" w:eastAsia="宋体" w:cs="宋体"/>
                <w:color w:val="auto"/>
                <w:sz w:val="24"/>
                <w:szCs w:val="24"/>
                <w:highlight w:val="none"/>
              </w:rPr>
              <w:t>。</w:t>
            </w:r>
          </w:p>
          <w:p>
            <w:pPr>
              <w:adjustRightInd/>
              <w:snapToGrid/>
              <w:spacing w:after="0" w:line="360" w:lineRule="exact"/>
              <w:ind w:firstLine="45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②“中国政府采购网”的查询内容：政府采购严重违法失信行为信息记录</w:t>
            </w:r>
            <w:r>
              <w:rPr>
                <w:rFonts w:ascii="宋体" w:hAnsi="宋体" w:eastAsia="宋体" w:cs="宋体"/>
                <w:color w:val="auto"/>
                <w:sz w:val="24"/>
                <w:szCs w:val="24"/>
                <w:highlight w:val="none"/>
              </w:rPr>
              <w:t>（查询界面截图须显示</w:t>
            </w:r>
            <w:r>
              <w:rPr>
                <w:rFonts w:hint="eastAsia" w:ascii="宋体" w:hAnsi="宋体" w:eastAsia="宋体" w:cs="宋体"/>
                <w:color w:val="auto"/>
                <w:sz w:val="24"/>
                <w:szCs w:val="24"/>
                <w:highlight w:val="none"/>
                <w:lang w:eastAsia="zh-CN"/>
              </w:rPr>
              <w:t>竞标人</w:t>
            </w:r>
            <w:r>
              <w:rPr>
                <w:rFonts w:ascii="宋体" w:hAnsi="宋体" w:eastAsia="宋体" w:cs="宋体"/>
                <w:color w:val="auto"/>
                <w:sz w:val="24"/>
                <w:szCs w:val="24"/>
                <w:highlight w:val="none"/>
              </w:rPr>
              <w:t>名称以及查询结果）；查询时间：</w:t>
            </w:r>
            <w:r>
              <w:rPr>
                <w:rFonts w:hint="eastAsia" w:ascii="宋体" w:hAnsi="宋体" w:eastAsia="宋体" w:cs="仿宋"/>
                <w:color w:val="auto"/>
                <w:sz w:val="24"/>
                <w:highlight w:val="none"/>
              </w:rPr>
              <w:t>递交响应文件截止时间前</w:t>
            </w:r>
            <w:r>
              <w:rPr>
                <w:rFonts w:ascii="宋体" w:hAnsi="宋体" w:eastAsia="宋体" w:cs="仿宋"/>
                <w:color w:val="auto"/>
                <w:sz w:val="24"/>
                <w:highlight w:val="none"/>
              </w:rPr>
              <w:t>三年</w:t>
            </w:r>
            <w:r>
              <w:rPr>
                <w:rFonts w:hint="eastAsia" w:ascii="宋体" w:hAnsi="宋体" w:eastAsia="宋体" w:cs="仿宋"/>
                <w:color w:val="auto"/>
                <w:sz w:val="24"/>
                <w:highlight w:val="none"/>
              </w:rPr>
              <w:t>内</w:t>
            </w:r>
            <w:r>
              <w:rPr>
                <w:rFonts w:ascii="宋体" w:hAnsi="宋体" w:eastAsia="宋体" w:cs="宋体"/>
                <w:color w:val="auto"/>
                <w:sz w:val="24"/>
                <w:szCs w:val="24"/>
                <w:highlight w:val="none"/>
              </w:rPr>
              <w:t>。</w:t>
            </w:r>
          </w:p>
        </w:tc>
      </w:tr>
      <w:tr>
        <w:tblPrEx>
          <w:tblCellMar>
            <w:top w:w="0" w:type="dxa"/>
            <w:left w:w="108" w:type="dxa"/>
            <w:bottom w:w="0" w:type="dxa"/>
            <w:right w:w="108" w:type="dxa"/>
          </w:tblCellMar>
        </w:tblPrEx>
        <w:trPr>
          <w:trHeight w:val="540" w:hRule="atLeast"/>
          <w:jc w:val="center"/>
        </w:trPr>
        <w:tc>
          <w:tcPr>
            <w:tcW w:w="742" w:type="dxa"/>
            <w:vMerge w:val="continue"/>
            <w:tcBorders>
              <w:top w:val="nil"/>
              <w:left w:val="single" w:color="auto" w:sz="4" w:space="0"/>
              <w:bottom w:val="single" w:color="auto" w:sz="4" w:space="0"/>
              <w:right w:val="single" w:color="auto" w:sz="4" w:space="0"/>
            </w:tcBorders>
            <w:vAlign w:val="center"/>
          </w:tcPr>
          <w:p>
            <w:pPr>
              <w:adjustRightInd/>
              <w:snapToGrid/>
              <w:spacing w:after="0" w:line="360" w:lineRule="exact"/>
              <w:rPr>
                <w:rFonts w:ascii="宋体" w:hAnsi="宋体" w:eastAsia="宋体" w:cs="宋体"/>
                <w:color w:val="auto"/>
                <w:sz w:val="24"/>
                <w:szCs w:val="24"/>
                <w:highlight w:val="none"/>
              </w:rPr>
            </w:pPr>
          </w:p>
        </w:tc>
        <w:tc>
          <w:tcPr>
            <w:tcW w:w="1101" w:type="dxa"/>
            <w:vMerge w:val="continue"/>
            <w:tcBorders>
              <w:top w:val="nil"/>
              <w:left w:val="single" w:color="auto" w:sz="4" w:space="0"/>
              <w:bottom w:val="single" w:color="auto" w:sz="4" w:space="0"/>
              <w:right w:val="single" w:color="auto" w:sz="4" w:space="0"/>
            </w:tcBorders>
            <w:vAlign w:val="center"/>
          </w:tcPr>
          <w:p>
            <w:pPr>
              <w:adjustRightInd/>
              <w:snapToGrid/>
              <w:spacing w:after="0" w:line="360" w:lineRule="exact"/>
              <w:rPr>
                <w:rFonts w:ascii="宋体" w:hAnsi="宋体" w:eastAsia="宋体" w:cs="宋体"/>
                <w:color w:val="auto"/>
                <w:sz w:val="24"/>
                <w:szCs w:val="24"/>
                <w:highlight w:val="none"/>
              </w:rPr>
            </w:pPr>
          </w:p>
        </w:tc>
        <w:tc>
          <w:tcPr>
            <w:tcW w:w="1956" w:type="dxa"/>
            <w:tcBorders>
              <w:top w:val="nil"/>
              <w:left w:val="nil"/>
              <w:bottom w:val="single" w:color="auto" w:sz="4" w:space="0"/>
              <w:right w:val="single" w:color="auto" w:sz="4" w:space="0"/>
            </w:tcBorders>
            <w:shd w:val="clear" w:color="auto" w:fill="auto"/>
            <w:vAlign w:val="center"/>
          </w:tcPr>
          <w:p>
            <w:pPr>
              <w:adjustRightInd/>
              <w:snapToGrid/>
              <w:spacing w:after="0" w:line="36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（7）法律、行政法规规定的其他条件</w:t>
            </w:r>
          </w:p>
        </w:tc>
        <w:tc>
          <w:tcPr>
            <w:tcW w:w="5922" w:type="dxa"/>
            <w:tcBorders>
              <w:top w:val="nil"/>
              <w:left w:val="nil"/>
              <w:bottom w:val="single" w:color="auto" w:sz="4" w:space="0"/>
              <w:right w:val="single" w:color="auto" w:sz="4" w:space="0"/>
            </w:tcBorders>
            <w:shd w:val="clear" w:color="auto" w:fill="auto"/>
            <w:vAlign w:val="center"/>
          </w:tcPr>
          <w:p>
            <w:pPr>
              <w:adjustRightInd/>
              <w:snapToGrid/>
              <w:spacing w:after="0" w:line="36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无</w:t>
            </w:r>
          </w:p>
        </w:tc>
      </w:tr>
      <w:tr>
        <w:tblPrEx>
          <w:tblCellMar>
            <w:top w:w="0" w:type="dxa"/>
            <w:left w:w="108" w:type="dxa"/>
            <w:bottom w:w="0" w:type="dxa"/>
            <w:right w:w="108" w:type="dxa"/>
          </w:tblCellMar>
        </w:tblPrEx>
        <w:trPr>
          <w:trHeight w:val="1129" w:hRule="atLeast"/>
          <w:jc w:val="center"/>
        </w:trPr>
        <w:tc>
          <w:tcPr>
            <w:tcW w:w="742"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305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6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供应商不得参加资格性审查的情形</w:t>
            </w:r>
          </w:p>
        </w:tc>
        <w:tc>
          <w:tcPr>
            <w:tcW w:w="5922" w:type="dxa"/>
            <w:tcBorders>
              <w:top w:val="nil"/>
              <w:left w:val="nil"/>
              <w:bottom w:val="single" w:color="auto" w:sz="4" w:space="0"/>
              <w:right w:val="single" w:color="auto" w:sz="4" w:space="0"/>
            </w:tcBorders>
            <w:shd w:val="clear" w:color="auto" w:fill="auto"/>
            <w:vAlign w:val="center"/>
          </w:tcPr>
          <w:p>
            <w:pPr>
              <w:adjustRightInd/>
              <w:snapToGrid/>
              <w:spacing w:after="0" w:line="36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单位负责人为同一人或者存在直接控股、管理关系的不同供应商，不得参加本项目同一合同项下的政府采购活动。为本项目提供整体设计、规范编制或者项目管理、监理、检测等服务的供应商，不得再参加本项目的采购活动。见第六章响应文件格式“供应商控股及管理关系情况申报表”</w:t>
            </w:r>
          </w:p>
        </w:tc>
      </w:tr>
      <w:tr>
        <w:tblPrEx>
          <w:tblCellMar>
            <w:top w:w="0" w:type="dxa"/>
            <w:left w:w="108" w:type="dxa"/>
            <w:bottom w:w="0" w:type="dxa"/>
            <w:right w:w="108" w:type="dxa"/>
          </w:tblCellMar>
        </w:tblPrEx>
        <w:trPr>
          <w:trHeight w:val="908" w:hRule="atLeast"/>
          <w:jc w:val="center"/>
        </w:trPr>
        <w:tc>
          <w:tcPr>
            <w:tcW w:w="742" w:type="dxa"/>
            <w:vMerge w:val="continue"/>
            <w:tcBorders>
              <w:top w:val="nil"/>
              <w:left w:val="single" w:color="auto" w:sz="4" w:space="0"/>
              <w:bottom w:val="single" w:color="auto" w:sz="4" w:space="0"/>
              <w:right w:val="single" w:color="auto" w:sz="4" w:space="0"/>
            </w:tcBorders>
            <w:vAlign w:val="center"/>
          </w:tcPr>
          <w:p>
            <w:pPr>
              <w:adjustRightInd/>
              <w:snapToGrid/>
              <w:spacing w:after="0" w:line="360" w:lineRule="exact"/>
              <w:rPr>
                <w:rFonts w:ascii="宋体" w:hAnsi="宋体" w:eastAsia="宋体" w:cs="宋体"/>
                <w:color w:val="auto"/>
                <w:sz w:val="24"/>
                <w:szCs w:val="24"/>
                <w:highlight w:val="none"/>
              </w:rPr>
            </w:pPr>
          </w:p>
        </w:tc>
        <w:tc>
          <w:tcPr>
            <w:tcW w:w="3057"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60" w:lineRule="exact"/>
              <w:rPr>
                <w:rFonts w:ascii="宋体" w:hAnsi="宋体" w:eastAsia="宋体" w:cs="宋体"/>
                <w:color w:val="auto"/>
                <w:sz w:val="24"/>
                <w:szCs w:val="24"/>
                <w:highlight w:val="none"/>
              </w:rPr>
            </w:pPr>
          </w:p>
        </w:tc>
        <w:tc>
          <w:tcPr>
            <w:tcW w:w="5922" w:type="dxa"/>
            <w:tcBorders>
              <w:top w:val="nil"/>
              <w:left w:val="nil"/>
              <w:bottom w:val="single" w:color="auto" w:sz="4" w:space="0"/>
              <w:right w:val="single" w:color="auto" w:sz="4" w:space="0"/>
            </w:tcBorders>
            <w:shd w:val="clear" w:color="auto" w:fill="auto"/>
            <w:vAlign w:val="center"/>
          </w:tcPr>
          <w:p>
            <w:pPr>
              <w:adjustRightInd/>
              <w:snapToGrid/>
              <w:spacing w:after="0" w:line="36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（2）在财政部门禁止参加政府采购活动期限以内的。</w:t>
            </w:r>
          </w:p>
        </w:tc>
      </w:tr>
      <w:tr>
        <w:tblPrEx>
          <w:tblCellMar>
            <w:top w:w="0" w:type="dxa"/>
            <w:left w:w="108" w:type="dxa"/>
            <w:bottom w:w="0" w:type="dxa"/>
            <w:right w:w="108" w:type="dxa"/>
          </w:tblCellMar>
        </w:tblPrEx>
        <w:trPr>
          <w:trHeight w:val="631" w:hRule="atLeast"/>
          <w:jc w:val="center"/>
        </w:trPr>
        <w:tc>
          <w:tcPr>
            <w:tcW w:w="742"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101"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line="36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供应商应符合的供应商的特定要求</w:t>
            </w:r>
          </w:p>
        </w:tc>
        <w:tc>
          <w:tcPr>
            <w:tcW w:w="1956" w:type="dxa"/>
            <w:tcBorders>
              <w:top w:val="nil"/>
              <w:left w:val="nil"/>
              <w:bottom w:val="single" w:color="auto" w:sz="4" w:space="0"/>
              <w:right w:val="single" w:color="auto" w:sz="4" w:space="0"/>
            </w:tcBorders>
            <w:shd w:val="clear" w:color="auto" w:fill="auto"/>
            <w:vAlign w:val="center"/>
          </w:tcPr>
          <w:p>
            <w:pPr>
              <w:adjustRightInd/>
              <w:snapToGrid/>
              <w:spacing w:after="0" w:line="36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（1）资质条件</w:t>
            </w:r>
          </w:p>
        </w:tc>
        <w:tc>
          <w:tcPr>
            <w:tcW w:w="5922" w:type="dxa"/>
            <w:tcBorders>
              <w:top w:val="nil"/>
              <w:left w:val="nil"/>
              <w:bottom w:val="single" w:color="auto" w:sz="4" w:space="0"/>
              <w:right w:val="single" w:color="auto" w:sz="4" w:space="0"/>
            </w:tcBorders>
            <w:shd w:val="clear" w:color="auto" w:fill="auto"/>
            <w:vAlign w:val="center"/>
          </w:tcPr>
          <w:p>
            <w:pPr>
              <w:adjustRightInd/>
              <w:snapToGrid/>
              <w:spacing w:after="0" w:line="36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须符合“供应商须知前附表”3.1的要求</w:t>
            </w:r>
          </w:p>
        </w:tc>
      </w:tr>
      <w:tr>
        <w:tblPrEx>
          <w:tblCellMar>
            <w:top w:w="0" w:type="dxa"/>
            <w:left w:w="108" w:type="dxa"/>
            <w:bottom w:w="0" w:type="dxa"/>
            <w:right w:w="108" w:type="dxa"/>
          </w:tblCellMar>
        </w:tblPrEx>
        <w:trPr>
          <w:trHeight w:val="450" w:hRule="atLeast"/>
          <w:jc w:val="center"/>
        </w:trPr>
        <w:tc>
          <w:tcPr>
            <w:tcW w:w="742" w:type="dxa"/>
            <w:vMerge w:val="continue"/>
            <w:tcBorders>
              <w:top w:val="nil"/>
              <w:left w:val="single" w:color="auto" w:sz="4" w:space="0"/>
              <w:bottom w:val="single" w:color="auto" w:sz="4" w:space="0"/>
              <w:right w:val="single" w:color="auto" w:sz="4" w:space="0"/>
            </w:tcBorders>
            <w:vAlign w:val="center"/>
          </w:tcPr>
          <w:p>
            <w:pPr>
              <w:adjustRightInd/>
              <w:snapToGrid/>
              <w:spacing w:after="0" w:line="360" w:lineRule="exact"/>
              <w:rPr>
                <w:rFonts w:ascii="宋体" w:hAnsi="宋体" w:eastAsia="宋体" w:cs="宋体"/>
                <w:color w:val="auto"/>
                <w:sz w:val="24"/>
                <w:szCs w:val="24"/>
                <w:highlight w:val="none"/>
              </w:rPr>
            </w:pPr>
          </w:p>
        </w:tc>
        <w:tc>
          <w:tcPr>
            <w:tcW w:w="1101" w:type="dxa"/>
            <w:vMerge w:val="continue"/>
            <w:tcBorders>
              <w:top w:val="nil"/>
              <w:left w:val="single" w:color="auto" w:sz="4" w:space="0"/>
              <w:bottom w:val="single" w:color="auto" w:sz="4" w:space="0"/>
              <w:right w:val="single" w:color="auto" w:sz="4" w:space="0"/>
            </w:tcBorders>
            <w:vAlign w:val="center"/>
          </w:tcPr>
          <w:p>
            <w:pPr>
              <w:adjustRightInd/>
              <w:snapToGrid/>
              <w:spacing w:after="0" w:line="360" w:lineRule="exact"/>
              <w:rPr>
                <w:rFonts w:ascii="宋体" w:hAnsi="宋体" w:eastAsia="宋体" w:cs="宋体"/>
                <w:color w:val="auto"/>
                <w:sz w:val="24"/>
                <w:szCs w:val="24"/>
                <w:highlight w:val="none"/>
              </w:rPr>
            </w:pPr>
          </w:p>
        </w:tc>
        <w:tc>
          <w:tcPr>
            <w:tcW w:w="1956" w:type="dxa"/>
            <w:tcBorders>
              <w:top w:val="nil"/>
              <w:left w:val="nil"/>
              <w:bottom w:val="single" w:color="auto" w:sz="4" w:space="0"/>
              <w:right w:val="single" w:color="auto" w:sz="4" w:space="0"/>
            </w:tcBorders>
            <w:shd w:val="clear" w:color="auto" w:fill="auto"/>
            <w:vAlign w:val="center"/>
          </w:tcPr>
          <w:p>
            <w:pPr>
              <w:adjustRightInd/>
              <w:snapToGrid/>
              <w:spacing w:after="0" w:line="36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2</w:t>
            </w:r>
            <w:r>
              <w:rPr>
                <w:rFonts w:hint="eastAsia" w:ascii="宋体" w:hAnsi="宋体" w:eastAsia="宋体" w:cs="宋体"/>
                <w:color w:val="auto"/>
                <w:sz w:val="24"/>
                <w:szCs w:val="24"/>
                <w:highlight w:val="none"/>
              </w:rPr>
              <w:t>）其他要求</w:t>
            </w:r>
          </w:p>
        </w:tc>
        <w:tc>
          <w:tcPr>
            <w:tcW w:w="5922" w:type="dxa"/>
            <w:tcBorders>
              <w:top w:val="nil"/>
              <w:left w:val="nil"/>
              <w:bottom w:val="single" w:color="auto" w:sz="4" w:space="0"/>
              <w:right w:val="single" w:color="auto" w:sz="4" w:space="0"/>
            </w:tcBorders>
            <w:shd w:val="clear" w:color="auto" w:fill="auto"/>
            <w:vAlign w:val="center"/>
          </w:tcPr>
          <w:p>
            <w:pPr>
              <w:adjustRightInd/>
              <w:snapToGrid/>
              <w:spacing w:after="0" w:line="36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须符合“供应商须知前附表”3.1的要求</w:t>
            </w:r>
          </w:p>
        </w:tc>
      </w:tr>
    </w:tbl>
    <w:p>
      <w:pPr>
        <w:spacing w:after="0" w:line="380" w:lineRule="exact"/>
        <w:ind w:firstLine="480" w:firstLineChars="200"/>
        <w:rPr>
          <w:rFonts w:ascii="宋体" w:hAnsi="宋体" w:eastAsia="宋体" w:cs="Arial"/>
          <w:color w:val="auto"/>
          <w:sz w:val="24"/>
          <w:highlight w:val="none"/>
        </w:rPr>
      </w:pPr>
    </w:p>
    <w:p>
      <w:pPr>
        <w:spacing w:after="0" w:line="380" w:lineRule="exact"/>
        <w:ind w:firstLine="482" w:firstLineChars="200"/>
        <w:rPr>
          <w:rFonts w:ascii="宋体" w:hAnsi="宋体" w:eastAsia="宋体" w:cs="Arial"/>
          <w:b/>
          <w:color w:val="auto"/>
          <w:sz w:val="24"/>
          <w:highlight w:val="none"/>
        </w:rPr>
      </w:pPr>
      <w:r>
        <w:rPr>
          <w:rFonts w:hint="eastAsia" w:ascii="宋体" w:hAnsi="宋体" w:eastAsia="宋体" w:cs="Arial"/>
          <w:b/>
          <w:color w:val="auto"/>
          <w:sz w:val="24"/>
          <w:highlight w:val="none"/>
        </w:rPr>
        <w:t xml:space="preserve">2、符合性检查 </w:t>
      </w:r>
    </w:p>
    <w:p>
      <w:pPr>
        <w:spacing w:after="0" w:line="38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资格性审查结束后，由谈判小组对通过资格性审查的供应商的响应文件进行符合性审查，以确定供应商是否满足采购文件的实质性要求。符合性检查资料表如下，缺少任何一项或有任何一项不合格者，其符合性审查视为不合格。</w:t>
      </w:r>
    </w:p>
    <w:tbl>
      <w:tblPr>
        <w:tblStyle w:val="38"/>
        <w:tblW w:w="9813" w:type="dxa"/>
        <w:jc w:val="center"/>
        <w:tblLayout w:type="fixed"/>
        <w:tblCellMar>
          <w:top w:w="0" w:type="dxa"/>
          <w:left w:w="108" w:type="dxa"/>
          <w:bottom w:w="0" w:type="dxa"/>
          <w:right w:w="108" w:type="dxa"/>
        </w:tblCellMar>
      </w:tblPr>
      <w:tblGrid>
        <w:gridCol w:w="574"/>
        <w:gridCol w:w="955"/>
        <w:gridCol w:w="2010"/>
        <w:gridCol w:w="6274"/>
      </w:tblGrid>
      <w:tr>
        <w:tblPrEx>
          <w:tblCellMar>
            <w:top w:w="0" w:type="dxa"/>
            <w:left w:w="108" w:type="dxa"/>
            <w:bottom w:w="0" w:type="dxa"/>
            <w:right w:w="108" w:type="dxa"/>
          </w:tblCellMar>
        </w:tblPrEx>
        <w:trPr>
          <w:trHeight w:val="495" w:hRule="atLeast"/>
          <w:tblHeader/>
          <w:jc w:val="center"/>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80" w:lineRule="exact"/>
              <w:jc w:val="center"/>
              <w:rPr>
                <w:rFonts w:ascii="宋体" w:hAnsi="宋体" w:eastAsia="宋体" w:cs="Arial"/>
                <w:color w:val="auto"/>
                <w:sz w:val="24"/>
                <w:highlight w:val="none"/>
              </w:rPr>
            </w:pPr>
            <w:r>
              <w:rPr>
                <w:rFonts w:hint="eastAsia" w:ascii="宋体" w:hAnsi="宋体" w:eastAsia="宋体" w:cs="Arial"/>
                <w:color w:val="auto"/>
                <w:sz w:val="24"/>
                <w:highlight w:val="none"/>
              </w:rPr>
              <w:t>序号</w:t>
            </w:r>
          </w:p>
        </w:tc>
        <w:tc>
          <w:tcPr>
            <w:tcW w:w="2965" w:type="dxa"/>
            <w:gridSpan w:val="2"/>
            <w:tcBorders>
              <w:top w:val="single" w:color="auto" w:sz="4" w:space="0"/>
              <w:left w:val="nil"/>
              <w:bottom w:val="single" w:color="auto" w:sz="4" w:space="0"/>
              <w:right w:val="single" w:color="auto" w:sz="4" w:space="0"/>
            </w:tcBorders>
            <w:shd w:val="clear" w:color="auto" w:fill="auto"/>
            <w:vAlign w:val="center"/>
          </w:tcPr>
          <w:p>
            <w:pPr>
              <w:adjustRightInd/>
              <w:snapToGrid/>
              <w:spacing w:after="0" w:line="380" w:lineRule="exact"/>
              <w:jc w:val="center"/>
              <w:rPr>
                <w:rFonts w:ascii="宋体" w:hAnsi="宋体" w:eastAsia="宋体" w:cs="Arial"/>
                <w:color w:val="auto"/>
                <w:sz w:val="24"/>
                <w:highlight w:val="none"/>
              </w:rPr>
            </w:pPr>
            <w:r>
              <w:rPr>
                <w:rFonts w:hint="eastAsia" w:ascii="宋体" w:hAnsi="宋体" w:eastAsia="宋体" w:cs="Arial"/>
                <w:color w:val="auto"/>
                <w:sz w:val="24"/>
                <w:highlight w:val="none"/>
              </w:rPr>
              <w:t>评审因素</w:t>
            </w:r>
          </w:p>
        </w:tc>
        <w:tc>
          <w:tcPr>
            <w:tcW w:w="6274"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line="380" w:lineRule="exact"/>
              <w:jc w:val="center"/>
              <w:rPr>
                <w:rFonts w:ascii="宋体" w:hAnsi="宋体" w:eastAsia="宋体" w:cs="Arial"/>
                <w:color w:val="auto"/>
                <w:sz w:val="24"/>
                <w:highlight w:val="none"/>
              </w:rPr>
            </w:pPr>
            <w:r>
              <w:rPr>
                <w:rFonts w:hint="eastAsia" w:ascii="宋体" w:hAnsi="宋体" w:eastAsia="宋体" w:cs="Arial"/>
                <w:color w:val="auto"/>
                <w:sz w:val="24"/>
                <w:highlight w:val="none"/>
              </w:rPr>
              <w:t>评审内容及评审标准</w:t>
            </w:r>
          </w:p>
        </w:tc>
      </w:tr>
      <w:tr>
        <w:tblPrEx>
          <w:tblCellMar>
            <w:top w:w="0" w:type="dxa"/>
            <w:left w:w="108" w:type="dxa"/>
            <w:bottom w:w="0" w:type="dxa"/>
            <w:right w:w="108" w:type="dxa"/>
          </w:tblCellMar>
        </w:tblPrEx>
        <w:trPr>
          <w:trHeight w:val="540" w:hRule="atLeast"/>
          <w:jc w:val="center"/>
        </w:trPr>
        <w:tc>
          <w:tcPr>
            <w:tcW w:w="574"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line="380" w:lineRule="exact"/>
              <w:jc w:val="center"/>
              <w:rPr>
                <w:rFonts w:ascii="宋体" w:hAnsi="宋体" w:eastAsia="宋体" w:cs="Arial"/>
                <w:color w:val="auto"/>
                <w:sz w:val="24"/>
                <w:highlight w:val="none"/>
              </w:rPr>
            </w:pPr>
            <w:r>
              <w:rPr>
                <w:rFonts w:hint="eastAsia" w:ascii="宋体" w:hAnsi="宋体" w:eastAsia="宋体" w:cs="Arial"/>
                <w:color w:val="auto"/>
                <w:sz w:val="24"/>
                <w:highlight w:val="none"/>
              </w:rPr>
              <w:t>1</w:t>
            </w:r>
          </w:p>
        </w:tc>
        <w:tc>
          <w:tcPr>
            <w:tcW w:w="955" w:type="dxa"/>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line="380" w:lineRule="exact"/>
              <w:jc w:val="center"/>
              <w:rPr>
                <w:rFonts w:ascii="宋体" w:hAnsi="宋体" w:eastAsia="宋体" w:cs="Arial"/>
                <w:color w:val="auto"/>
                <w:sz w:val="24"/>
                <w:highlight w:val="none"/>
              </w:rPr>
            </w:pPr>
            <w:r>
              <w:rPr>
                <w:rFonts w:hint="eastAsia" w:ascii="宋体" w:hAnsi="宋体" w:eastAsia="宋体" w:cs="Arial"/>
                <w:color w:val="auto"/>
                <w:sz w:val="24"/>
                <w:highlight w:val="none"/>
              </w:rPr>
              <w:t>有效性审查</w:t>
            </w:r>
          </w:p>
        </w:tc>
        <w:tc>
          <w:tcPr>
            <w:tcW w:w="2010" w:type="dxa"/>
            <w:tcBorders>
              <w:top w:val="nil"/>
              <w:left w:val="nil"/>
              <w:bottom w:val="single" w:color="auto" w:sz="4" w:space="0"/>
              <w:right w:val="single" w:color="auto" w:sz="4" w:space="0"/>
            </w:tcBorders>
            <w:shd w:val="clear" w:color="auto" w:fill="auto"/>
            <w:vAlign w:val="center"/>
          </w:tcPr>
          <w:p>
            <w:pPr>
              <w:adjustRightInd/>
              <w:snapToGrid/>
              <w:spacing w:after="0" w:line="380" w:lineRule="exact"/>
              <w:rPr>
                <w:rFonts w:ascii="宋体" w:hAnsi="宋体" w:eastAsia="宋体" w:cs="Arial"/>
                <w:color w:val="auto"/>
                <w:sz w:val="24"/>
                <w:highlight w:val="none"/>
              </w:rPr>
            </w:pPr>
            <w:r>
              <w:rPr>
                <w:rFonts w:hint="eastAsia" w:ascii="宋体" w:hAnsi="宋体" w:eastAsia="宋体" w:cs="Arial"/>
                <w:color w:val="auto"/>
                <w:sz w:val="24"/>
                <w:highlight w:val="none"/>
              </w:rPr>
              <w:t>响应文件签署</w:t>
            </w:r>
          </w:p>
        </w:tc>
        <w:tc>
          <w:tcPr>
            <w:tcW w:w="6274" w:type="dxa"/>
            <w:tcBorders>
              <w:top w:val="nil"/>
              <w:left w:val="nil"/>
              <w:bottom w:val="single" w:color="auto" w:sz="4" w:space="0"/>
              <w:right w:val="single" w:color="auto" w:sz="4" w:space="0"/>
            </w:tcBorders>
            <w:shd w:val="clear" w:color="auto" w:fill="auto"/>
            <w:vAlign w:val="center"/>
          </w:tcPr>
          <w:p>
            <w:pPr>
              <w:adjustRightInd/>
              <w:snapToGrid/>
              <w:spacing w:after="0" w:line="38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 xml:space="preserve">法定代表人或其授权代表人已按要求签字盖章。 </w:t>
            </w:r>
          </w:p>
        </w:tc>
      </w:tr>
      <w:tr>
        <w:tblPrEx>
          <w:tblCellMar>
            <w:top w:w="0" w:type="dxa"/>
            <w:left w:w="108" w:type="dxa"/>
            <w:bottom w:w="0" w:type="dxa"/>
            <w:right w:w="108" w:type="dxa"/>
          </w:tblCellMar>
        </w:tblPrEx>
        <w:trPr>
          <w:trHeight w:val="1072" w:hRule="atLeast"/>
          <w:jc w:val="center"/>
        </w:trPr>
        <w:tc>
          <w:tcPr>
            <w:tcW w:w="574" w:type="dxa"/>
            <w:vMerge w:val="continue"/>
            <w:tcBorders>
              <w:top w:val="nil"/>
              <w:left w:val="single" w:color="auto" w:sz="4" w:space="0"/>
              <w:bottom w:val="single" w:color="auto" w:sz="4" w:space="0"/>
              <w:right w:val="single" w:color="auto" w:sz="4" w:space="0"/>
            </w:tcBorders>
            <w:vAlign w:val="center"/>
          </w:tcPr>
          <w:p>
            <w:pPr>
              <w:adjustRightInd/>
              <w:snapToGrid/>
              <w:spacing w:after="0" w:line="380" w:lineRule="exact"/>
              <w:rPr>
                <w:rFonts w:ascii="宋体" w:hAnsi="宋体" w:eastAsia="宋体" w:cs="Arial"/>
                <w:color w:val="auto"/>
                <w:sz w:val="24"/>
                <w:highlight w:val="none"/>
              </w:rPr>
            </w:pPr>
          </w:p>
        </w:tc>
        <w:tc>
          <w:tcPr>
            <w:tcW w:w="955" w:type="dxa"/>
            <w:vMerge w:val="continue"/>
            <w:tcBorders>
              <w:top w:val="nil"/>
              <w:left w:val="single" w:color="auto" w:sz="4" w:space="0"/>
              <w:bottom w:val="single" w:color="000000" w:sz="4" w:space="0"/>
              <w:right w:val="single" w:color="auto" w:sz="4" w:space="0"/>
            </w:tcBorders>
            <w:vAlign w:val="center"/>
          </w:tcPr>
          <w:p>
            <w:pPr>
              <w:adjustRightInd/>
              <w:snapToGrid/>
              <w:spacing w:after="0" w:line="380" w:lineRule="exact"/>
              <w:rPr>
                <w:rFonts w:ascii="宋体" w:hAnsi="宋体" w:eastAsia="宋体" w:cs="Arial"/>
                <w:color w:val="auto"/>
                <w:sz w:val="24"/>
                <w:highlight w:val="none"/>
              </w:rPr>
            </w:pPr>
          </w:p>
        </w:tc>
        <w:tc>
          <w:tcPr>
            <w:tcW w:w="2010" w:type="dxa"/>
            <w:tcBorders>
              <w:top w:val="nil"/>
              <w:left w:val="nil"/>
              <w:bottom w:val="single" w:color="auto" w:sz="4" w:space="0"/>
              <w:right w:val="single" w:color="auto" w:sz="4" w:space="0"/>
            </w:tcBorders>
            <w:shd w:val="clear" w:color="auto" w:fill="auto"/>
            <w:vAlign w:val="center"/>
          </w:tcPr>
          <w:p>
            <w:pPr>
              <w:adjustRightInd/>
              <w:snapToGrid/>
              <w:spacing w:after="0" w:line="380" w:lineRule="exact"/>
              <w:rPr>
                <w:rFonts w:ascii="宋体" w:hAnsi="宋体" w:eastAsia="宋体" w:cs="Arial"/>
                <w:color w:val="auto"/>
                <w:sz w:val="24"/>
                <w:highlight w:val="none"/>
              </w:rPr>
            </w:pPr>
            <w:r>
              <w:rPr>
                <w:rFonts w:hint="eastAsia" w:ascii="宋体" w:hAnsi="宋体" w:eastAsia="宋体" w:cs="Arial"/>
                <w:color w:val="auto"/>
                <w:sz w:val="24"/>
                <w:highlight w:val="none"/>
              </w:rPr>
              <w:t>法定代表人身份证明及授权委托书</w:t>
            </w:r>
          </w:p>
        </w:tc>
        <w:tc>
          <w:tcPr>
            <w:tcW w:w="6274" w:type="dxa"/>
            <w:tcBorders>
              <w:top w:val="nil"/>
              <w:left w:val="nil"/>
              <w:bottom w:val="single" w:color="auto" w:sz="4" w:space="0"/>
              <w:right w:val="single" w:color="auto" w:sz="4" w:space="0"/>
            </w:tcBorders>
            <w:shd w:val="clear" w:color="auto" w:fill="auto"/>
            <w:vAlign w:val="center"/>
          </w:tcPr>
          <w:p>
            <w:pPr>
              <w:adjustRightInd/>
              <w:snapToGrid/>
              <w:spacing w:after="0" w:line="380" w:lineRule="exact"/>
              <w:ind w:firstLine="450"/>
              <w:rPr>
                <w:rFonts w:ascii="宋体" w:hAnsi="宋体" w:eastAsia="宋体" w:cs="Arial"/>
                <w:color w:val="auto"/>
                <w:sz w:val="24"/>
                <w:highlight w:val="none"/>
              </w:rPr>
            </w:pPr>
            <w:r>
              <w:rPr>
                <w:rFonts w:hint="eastAsia" w:ascii="宋体" w:hAnsi="宋体" w:eastAsia="宋体" w:cs="Arial"/>
                <w:color w:val="auto"/>
                <w:sz w:val="24"/>
                <w:highlight w:val="none"/>
              </w:rPr>
              <w:t>法定代表人身份证明及授权委托书须有效，符合采购文件规定的格式，签字或盖章齐全。</w:t>
            </w:r>
          </w:p>
        </w:tc>
      </w:tr>
      <w:tr>
        <w:tblPrEx>
          <w:tblCellMar>
            <w:top w:w="0" w:type="dxa"/>
            <w:left w:w="108" w:type="dxa"/>
            <w:bottom w:w="0" w:type="dxa"/>
            <w:right w:w="108" w:type="dxa"/>
          </w:tblCellMar>
        </w:tblPrEx>
        <w:trPr>
          <w:trHeight w:val="540" w:hRule="atLeast"/>
          <w:jc w:val="center"/>
        </w:trPr>
        <w:tc>
          <w:tcPr>
            <w:tcW w:w="574" w:type="dxa"/>
            <w:vMerge w:val="continue"/>
            <w:tcBorders>
              <w:top w:val="nil"/>
              <w:left w:val="single" w:color="auto" w:sz="4" w:space="0"/>
              <w:bottom w:val="single" w:color="auto" w:sz="4" w:space="0"/>
              <w:right w:val="single" w:color="auto" w:sz="4" w:space="0"/>
            </w:tcBorders>
            <w:vAlign w:val="center"/>
          </w:tcPr>
          <w:p>
            <w:pPr>
              <w:adjustRightInd/>
              <w:snapToGrid/>
              <w:spacing w:after="0" w:line="380" w:lineRule="exact"/>
              <w:rPr>
                <w:rFonts w:ascii="宋体" w:hAnsi="宋体" w:eastAsia="宋体" w:cs="Arial"/>
                <w:color w:val="auto"/>
                <w:sz w:val="24"/>
                <w:highlight w:val="none"/>
              </w:rPr>
            </w:pPr>
          </w:p>
        </w:tc>
        <w:tc>
          <w:tcPr>
            <w:tcW w:w="955" w:type="dxa"/>
            <w:vMerge w:val="continue"/>
            <w:tcBorders>
              <w:top w:val="nil"/>
              <w:left w:val="single" w:color="auto" w:sz="4" w:space="0"/>
              <w:bottom w:val="single" w:color="000000" w:sz="4" w:space="0"/>
              <w:right w:val="single" w:color="auto" w:sz="4" w:space="0"/>
            </w:tcBorders>
            <w:vAlign w:val="center"/>
          </w:tcPr>
          <w:p>
            <w:pPr>
              <w:adjustRightInd/>
              <w:snapToGrid/>
              <w:spacing w:after="0" w:line="380" w:lineRule="exact"/>
              <w:rPr>
                <w:rFonts w:ascii="宋体" w:hAnsi="宋体" w:eastAsia="宋体" w:cs="Arial"/>
                <w:color w:val="auto"/>
                <w:sz w:val="24"/>
                <w:highlight w:val="none"/>
              </w:rPr>
            </w:pPr>
          </w:p>
        </w:tc>
        <w:tc>
          <w:tcPr>
            <w:tcW w:w="2010" w:type="dxa"/>
            <w:tcBorders>
              <w:top w:val="nil"/>
              <w:left w:val="nil"/>
              <w:bottom w:val="single" w:color="auto" w:sz="4" w:space="0"/>
              <w:right w:val="single" w:color="auto" w:sz="4" w:space="0"/>
            </w:tcBorders>
            <w:shd w:val="clear" w:color="auto" w:fill="auto"/>
            <w:vAlign w:val="center"/>
          </w:tcPr>
          <w:p>
            <w:pPr>
              <w:adjustRightInd/>
              <w:snapToGrid/>
              <w:spacing w:after="0" w:line="380" w:lineRule="exact"/>
              <w:rPr>
                <w:rFonts w:ascii="宋体" w:hAnsi="宋体" w:eastAsia="宋体" w:cs="Arial"/>
                <w:color w:val="auto"/>
                <w:sz w:val="24"/>
                <w:highlight w:val="none"/>
              </w:rPr>
            </w:pPr>
            <w:r>
              <w:rPr>
                <w:rFonts w:hint="eastAsia" w:ascii="宋体" w:hAnsi="宋体" w:eastAsia="宋体" w:cs="Arial"/>
                <w:color w:val="auto"/>
                <w:sz w:val="24"/>
                <w:highlight w:val="none"/>
              </w:rPr>
              <w:t>响应文件或竞标报价唯一性</w:t>
            </w:r>
          </w:p>
        </w:tc>
        <w:tc>
          <w:tcPr>
            <w:tcW w:w="6274" w:type="dxa"/>
            <w:tcBorders>
              <w:top w:val="nil"/>
              <w:left w:val="nil"/>
              <w:bottom w:val="single" w:color="auto" w:sz="4" w:space="0"/>
              <w:right w:val="single" w:color="auto" w:sz="4" w:space="0"/>
            </w:tcBorders>
            <w:shd w:val="clear" w:color="auto" w:fill="auto"/>
            <w:vAlign w:val="center"/>
          </w:tcPr>
          <w:p>
            <w:pPr>
              <w:adjustRightInd/>
              <w:snapToGrid/>
              <w:spacing w:after="0" w:line="38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同一供应商不得提交两个以上不同的响应文件或者竞标报价，但采购文件要求提交备选竞标的除外。</w:t>
            </w:r>
          </w:p>
        </w:tc>
      </w:tr>
      <w:tr>
        <w:tblPrEx>
          <w:tblCellMar>
            <w:top w:w="0" w:type="dxa"/>
            <w:left w:w="108" w:type="dxa"/>
            <w:bottom w:w="0" w:type="dxa"/>
            <w:right w:w="108" w:type="dxa"/>
          </w:tblCellMar>
        </w:tblPrEx>
        <w:trPr>
          <w:trHeight w:val="389" w:hRule="atLeast"/>
          <w:jc w:val="center"/>
        </w:trPr>
        <w:tc>
          <w:tcPr>
            <w:tcW w:w="574" w:type="dxa"/>
            <w:vMerge w:val="continue"/>
            <w:tcBorders>
              <w:top w:val="nil"/>
              <w:left w:val="single" w:color="auto" w:sz="4" w:space="0"/>
              <w:bottom w:val="single" w:color="auto" w:sz="4" w:space="0"/>
              <w:right w:val="single" w:color="auto" w:sz="4" w:space="0"/>
            </w:tcBorders>
            <w:vAlign w:val="center"/>
          </w:tcPr>
          <w:p>
            <w:pPr>
              <w:adjustRightInd/>
              <w:snapToGrid/>
              <w:spacing w:after="0" w:line="380" w:lineRule="exact"/>
              <w:rPr>
                <w:rFonts w:ascii="宋体" w:hAnsi="宋体" w:eastAsia="宋体" w:cs="Arial"/>
                <w:color w:val="auto"/>
                <w:sz w:val="24"/>
                <w:highlight w:val="none"/>
              </w:rPr>
            </w:pPr>
          </w:p>
        </w:tc>
        <w:tc>
          <w:tcPr>
            <w:tcW w:w="955" w:type="dxa"/>
            <w:vMerge w:val="continue"/>
            <w:tcBorders>
              <w:top w:val="nil"/>
              <w:left w:val="single" w:color="auto" w:sz="4" w:space="0"/>
              <w:bottom w:val="single" w:color="000000" w:sz="4" w:space="0"/>
              <w:right w:val="single" w:color="auto" w:sz="4" w:space="0"/>
            </w:tcBorders>
            <w:vAlign w:val="center"/>
          </w:tcPr>
          <w:p>
            <w:pPr>
              <w:adjustRightInd/>
              <w:snapToGrid/>
              <w:spacing w:after="0" w:line="380" w:lineRule="exact"/>
              <w:rPr>
                <w:rFonts w:ascii="宋体" w:hAnsi="宋体" w:eastAsia="宋体" w:cs="Arial"/>
                <w:color w:val="auto"/>
                <w:sz w:val="24"/>
                <w:highlight w:val="none"/>
              </w:rPr>
            </w:pPr>
          </w:p>
        </w:tc>
        <w:tc>
          <w:tcPr>
            <w:tcW w:w="2010" w:type="dxa"/>
            <w:tcBorders>
              <w:top w:val="nil"/>
              <w:left w:val="nil"/>
              <w:bottom w:val="single" w:color="auto" w:sz="4" w:space="0"/>
              <w:right w:val="single" w:color="auto" w:sz="4" w:space="0"/>
            </w:tcBorders>
            <w:shd w:val="clear" w:color="auto" w:fill="auto"/>
            <w:vAlign w:val="center"/>
          </w:tcPr>
          <w:p>
            <w:pPr>
              <w:adjustRightInd/>
              <w:snapToGrid/>
              <w:spacing w:after="0" w:line="380" w:lineRule="exact"/>
              <w:rPr>
                <w:rFonts w:ascii="宋体" w:hAnsi="宋体" w:eastAsia="宋体" w:cs="Arial"/>
                <w:color w:val="auto"/>
                <w:sz w:val="24"/>
                <w:highlight w:val="none"/>
              </w:rPr>
            </w:pPr>
            <w:r>
              <w:rPr>
                <w:rFonts w:hint="eastAsia" w:ascii="宋体" w:hAnsi="宋体" w:eastAsia="宋体" w:cs="Arial"/>
                <w:color w:val="auto"/>
                <w:sz w:val="24"/>
                <w:highlight w:val="none"/>
              </w:rPr>
              <w:t>附加条件</w:t>
            </w:r>
          </w:p>
        </w:tc>
        <w:tc>
          <w:tcPr>
            <w:tcW w:w="6274" w:type="dxa"/>
            <w:tcBorders>
              <w:top w:val="nil"/>
              <w:left w:val="nil"/>
              <w:bottom w:val="single" w:color="auto" w:sz="4" w:space="0"/>
              <w:right w:val="single" w:color="auto" w:sz="4" w:space="0"/>
            </w:tcBorders>
            <w:shd w:val="clear" w:color="auto" w:fill="auto"/>
            <w:vAlign w:val="center"/>
          </w:tcPr>
          <w:p>
            <w:pPr>
              <w:adjustRightInd/>
              <w:snapToGrid/>
              <w:spacing w:after="0" w:line="380" w:lineRule="exact"/>
              <w:rPr>
                <w:rFonts w:ascii="宋体" w:hAnsi="宋体" w:eastAsia="宋体" w:cs="Arial"/>
                <w:color w:val="auto"/>
                <w:sz w:val="24"/>
                <w:highlight w:val="none"/>
              </w:rPr>
            </w:pPr>
            <w:r>
              <w:rPr>
                <w:rFonts w:hint="eastAsia" w:ascii="宋体" w:hAnsi="宋体" w:eastAsia="宋体" w:cs="Arial"/>
                <w:color w:val="auto"/>
                <w:sz w:val="24"/>
                <w:highlight w:val="none"/>
              </w:rPr>
              <w:t xml:space="preserve">    响应文件不得含有招标不能接受的附加条件。</w:t>
            </w:r>
          </w:p>
        </w:tc>
      </w:tr>
      <w:tr>
        <w:tblPrEx>
          <w:tblCellMar>
            <w:top w:w="0" w:type="dxa"/>
            <w:left w:w="108" w:type="dxa"/>
            <w:bottom w:w="0" w:type="dxa"/>
            <w:right w:w="108" w:type="dxa"/>
          </w:tblCellMar>
        </w:tblPrEx>
        <w:trPr>
          <w:trHeight w:val="810" w:hRule="atLeast"/>
          <w:jc w:val="center"/>
        </w:trPr>
        <w:tc>
          <w:tcPr>
            <w:tcW w:w="574" w:type="dxa"/>
            <w:vMerge w:val="continue"/>
            <w:tcBorders>
              <w:top w:val="nil"/>
              <w:left w:val="single" w:color="auto" w:sz="4" w:space="0"/>
              <w:bottom w:val="single" w:color="auto" w:sz="4" w:space="0"/>
              <w:right w:val="single" w:color="auto" w:sz="4" w:space="0"/>
            </w:tcBorders>
            <w:vAlign w:val="center"/>
          </w:tcPr>
          <w:p>
            <w:pPr>
              <w:adjustRightInd/>
              <w:snapToGrid/>
              <w:spacing w:after="0" w:line="380" w:lineRule="exact"/>
              <w:rPr>
                <w:rFonts w:ascii="宋体" w:hAnsi="宋体" w:eastAsia="宋体" w:cs="Arial"/>
                <w:color w:val="auto"/>
                <w:sz w:val="24"/>
                <w:highlight w:val="none"/>
              </w:rPr>
            </w:pPr>
          </w:p>
        </w:tc>
        <w:tc>
          <w:tcPr>
            <w:tcW w:w="955" w:type="dxa"/>
            <w:vMerge w:val="continue"/>
            <w:tcBorders>
              <w:top w:val="nil"/>
              <w:left w:val="single" w:color="auto" w:sz="4" w:space="0"/>
              <w:bottom w:val="single" w:color="000000" w:sz="4" w:space="0"/>
              <w:right w:val="single" w:color="auto" w:sz="4" w:space="0"/>
            </w:tcBorders>
            <w:vAlign w:val="center"/>
          </w:tcPr>
          <w:p>
            <w:pPr>
              <w:adjustRightInd/>
              <w:snapToGrid/>
              <w:spacing w:after="0" w:line="380" w:lineRule="exact"/>
              <w:rPr>
                <w:rFonts w:ascii="宋体" w:hAnsi="宋体" w:eastAsia="宋体" w:cs="Arial"/>
                <w:color w:val="auto"/>
                <w:sz w:val="24"/>
                <w:highlight w:val="none"/>
              </w:rPr>
            </w:pPr>
          </w:p>
        </w:tc>
        <w:tc>
          <w:tcPr>
            <w:tcW w:w="2010" w:type="dxa"/>
            <w:tcBorders>
              <w:top w:val="nil"/>
              <w:left w:val="nil"/>
              <w:bottom w:val="single" w:color="auto" w:sz="4" w:space="0"/>
              <w:right w:val="single" w:color="auto" w:sz="4" w:space="0"/>
            </w:tcBorders>
            <w:shd w:val="clear" w:color="auto" w:fill="auto"/>
            <w:vAlign w:val="center"/>
          </w:tcPr>
          <w:p>
            <w:pPr>
              <w:adjustRightInd/>
              <w:snapToGrid/>
              <w:spacing w:after="0" w:line="380" w:lineRule="exact"/>
              <w:rPr>
                <w:rFonts w:ascii="宋体" w:hAnsi="宋体" w:eastAsia="宋体" w:cs="Arial"/>
                <w:color w:val="auto"/>
                <w:sz w:val="24"/>
                <w:highlight w:val="none"/>
              </w:rPr>
            </w:pPr>
            <w:r>
              <w:rPr>
                <w:rFonts w:hint="eastAsia" w:ascii="宋体" w:hAnsi="宋体" w:eastAsia="宋体" w:cs="Arial"/>
                <w:color w:val="auto"/>
                <w:sz w:val="24"/>
                <w:highlight w:val="none"/>
              </w:rPr>
              <w:t>竞标报价</w:t>
            </w:r>
          </w:p>
        </w:tc>
        <w:tc>
          <w:tcPr>
            <w:tcW w:w="6274" w:type="dxa"/>
            <w:tcBorders>
              <w:top w:val="nil"/>
              <w:left w:val="nil"/>
              <w:bottom w:val="single" w:color="auto" w:sz="4" w:space="0"/>
              <w:right w:val="single" w:color="auto" w:sz="4" w:space="0"/>
            </w:tcBorders>
            <w:shd w:val="clear" w:color="auto" w:fill="auto"/>
            <w:vAlign w:val="center"/>
          </w:tcPr>
          <w:p>
            <w:pPr>
              <w:adjustRightInd/>
              <w:snapToGrid/>
              <w:spacing w:after="0" w:line="380" w:lineRule="exact"/>
              <w:rPr>
                <w:rFonts w:ascii="宋体" w:hAnsi="宋体" w:eastAsia="宋体" w:cs="Arial"/>
                <w:color w:val="auto"/>
                <w:sz w:val="24"/>
                <w:highlight w:val="none"/>
              </w:rPr>
            </w:pPr>
            <w:r>
              <w:rPr>
                <w:rFonts w:hint="eastAsia" w:ascii="宋体" w:hAnsi="宋体" w:eastAsia="宋体" w:cs="Arial"/>
                <w:color w:val="auto"/>
                <w:sz w:val="24"/>
                <w:highlight w:val="none"/>
              </w:rPr>
              <w:t xml:space="preserve">    报价超出采购预算金额或最高限价（如有）的，竞标无效。提交选择性报价的，竞标无效。</w:t>
            </w:r>
          </w:p>
        </w:tc>
      </w:tr>
      <w:tr>
        <w:tblPrEx>
          <w:tblCellMar>
            <w:top w:w="0" w:type="dxa"/>
            <w:left w:w="108" w:type="dxa"/>
            <w:bottom w:w="0" w:type="dxa"/>
            <w:right w:w="108" w:type="dxa"/>
          </w:tblCellMar>
        </w:tblPrEx>
        <w:trPr>
          <w:trHeight w:val="540" w:hRule="atLeast"/>
          <w:jc w:val="center"/>
        </w:trPr>
        <w:tc>
          <w:tcPr>
            <w:tcW w:w="574" w:type="dxa"/>
            <w:vMerge w:val="continue"/>
            <w:tcBorders>
              <w:top w:val="nil"/>
              <w:left w:val="single" w:color="auto" w:sz="4" w:space="0"/>
              <w:bottom w:val="single" w:color="auto" w:sz="4" w:space="0"/>
              <w:right w:val="single" w:color="auto" w:sz="4" w:space="0"/>
            </w:tcBorders>
            <w:vAlign w:val="center"/>
          </w:tcPr>
          <w:p>
            <w:pPr>
              <w:adjustRightInd/>
              <w:snapToGrid/>
              <w:spacing w:after="0" w:line="380" w:lineRule="exact"/>
              <w:rPr>
                <w:rFonts w:ascii="宋体" w:hAnsi="宋体" w:eastAsia="宋体" w:cs="Arial"/>
                <w:color w:val="auto"/>
                <w:sz w:val="24"/>
                <w:highlight w:val="none"/>
              </w:rPr>
            </w:pPr>
          </w:p>
        </w:tc>
        <w:tc>
          <w:tcPr>
            <w:tcW w:w="955" w:type="dxa"/>
            <w:vMerge w:val="continue"/>
            <w:tcBorders>
              <w:top w:val="nil"/>
              <w:left w:val="single" w:color="auto" w:sz="4" w:space="0"/>
              <w:bottom w:val="single" w:color="000000" w:sz="4" w:space="0"/>
              <w:right w:val="single" w:color="auto" w:sz="4" w:space="0"/>
            </w:tcBorders>
            <w:vAlign w:val="center"/>
          </w:tcPr>
          <w:p>
            <w:pPr>
              <w:adjustRightInd/>
              <w:snapToGrid/>
              <w:spacing w:after="0" w:line="380" w:lineRule="exact"/>
              <w:rPr>
                <w:rFonts w:ascii="宋体" w:hAnsi="宋体" w:eastAsia="宋体" w:cs="Arial"/>
                <w:color w:val="auto"/>
                <w:sz w:val="24"/>
                <w:highlight w:val="none"/>
              </w:rPr>
            </w:pPr>
          </w:p>
        </w:tc>
        <w:tc>
          <w:tcPr>
            <w:tcW w:w="2010" w:type="dxa"/>
            <w:tcBorders>
              <w:top w:val="nil"/>
              <w:left w:val="nil"/>
              <w:bottom w:val="single" w:color="auto" w:sz="4" w:space="0"/>
              <w:right w:val="single" w:color="auto" w:sz="4" w:space="0"/>
            </w:tcBorders>
            <w:shd w:val="clear" w:color="auto" w:fill="auto"/>
            <w:vAlign w:val="center"/>
          </w:tcPr>
          <w:p>
            <w:pPr>
              <w:adjustRightInd/>
              <w:snapToGrid/>
              <w:spacing w:after="0" w:line="380" w:lineRule="exact"/>
              <w:rPr>
                <w:rFonts w:ascii="宋体" w:hAnsi="宋体" w:eastAsia="宋体" w:cs="Arial"/>
                <w:color w:val="auto"/>
                <w:sz w:val="24"/>
                <w:highlight w:val="none"/>
              </w:rPr>
            </w:pPr>
            <w:r>
              <w:rPr>
                <w:rFonts w:hint="eastAsia" w:ascii="宋体" w:hAnsi="宋体" w:eastAsia="宋体" w:cs="Arial"/>
                <w:color w:val="auto"/>
                <w:sz w:val="24"/>
                <w:highlight w:val="none"/>
              </w:rPr>
              <w:t xml:space="preserve">联合体供应商（如允许） </w:t>
            </w:r>
          </w:p>
        </w:tc>
        <w:tc>
          <w:tcPr>
            <w:tcW w:w="6274" w:type="dxa"/>
            <w:tcBorders>
              <w:top w:val="nil"/>
              <w:left w:val="nil"/>
              <w:bottom w:val="single" w:color="auto" w:sz="4" w:space="0"/>
              <w:right w:val="single" w:color="auto" w:sz="4" w:space="0"/>
            </w:tcBorders>
            <w:shd w:val="clear" w:color="auto" w:fill="auto"/>
            <w:vAlign w:val="center"/>
          </w:tcPr>
          <w:p>
            <w:pPr>
              <w:adjustRightInd/>
              <w:snapToGrid/>
              <w:spacing w:after="0" w:line="380" w:lineRule="exact"/>
              <w:rPr>
                <w:rFonts w:ascii="宋体" w:hAnsi="宋体" w:eastAsia="宋体" w:cs="Arial"/>
                <w:color w:val="auto"/>
                <w:sz w:val="24"/>
                <w:highlight w:val="none"/>
              </w:rPr>
            </w:pPr>
            <w:r>
              <w:rPr>
                <w:rFonts w:hint="eastAsia" w:ascii="宋体" w:hAnsi="宋体" w:eastAsia="宋体" w:cs="Arial"/>
                <w:color w:val="auto"/>
                <w:sz w:val="24"/>
                <w:highlight w:val="none"/>
              </w:rPr>
              <w:t xml:space="preserve">    提交联合体协议书，并明确联合体牵头人，并符合采购文件规定。</w:t>
            </w:r>
          </w:p>
        </w:tc>
      </w:tr>
      <w:tr>
        <w:tblPrEx>
          <w:tblCellMar>
            <w:top w:w="0" w:type="dxa"/>
            <w:left w:w="108" w:type="dxa"/>
            <w:bottom w:w="0" w:type="dxa"/>
            <w:right w:w="108" w:type="dxa"/>
          </w:tblCellMar>
        </w:tblPrEx>
        <w:trPr>
          <w:trHeight w:val="435" w:hRule="atLeast"/>
          <w:jc w:val="center"/>
        </w:trPr>
        <w:tc>
          <w:tcPr>
            <w:tcW w:w="574"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line="380" w:lineRule="exact"/>
              <w:jc w:val="center"/>
              <w:rPr>
                <w:rFonts w:ascii="宋体" w:hAnsi="宋体" w:eastAsia="宋体" w:cs="Arial"/>
                <w:color w:val="auto"/>
                <w:sz w:val="24"/>
                <w:highlight w:val="none"/>
              </w:rPr>
            </w:pPr>
            <w:r>
              <w:rPr>
                <w:rFonts w:hint="eastAsia" w:ascii="宋体" w:hAnsi="宋体" w:eastAsia="宋体" w:cs="Arial"/>
                <w:color w:val="auto"/>
                <w:sz w:val="24"/>
                <w:highlight w:val="none"/>
              </w:rPr>
              <w:t>2</w:t>
            </w:r>
          </w:p>
        </w:tc>
        <w:tc>
          <w:tcPr>
            <w:tcW w:w="955" w:type="dxa"/>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line="380" w:lineRule="exact"/>
              <w:jc w:val="center"/>
              <w:rPr>
                <w:rFonts w:ascii="宋体" w:hAnsi="宋体" w:eastAsia="宋体" w:cs="Arial"/>
                <w:color w:val="auto"/>
                <w:sz w:val="24"/>
                <w:highlight w:val="none"/>
              </w:rPr>
            </w:pPr>
            <w:r>
              <w:rPr>
                <w:rFonts w:hint="eastAsia" w:ascii="宋体" w:hAnsi="宋体" w:eastAsia="宋体" w:cs="Arial"/>
                <w:color w:val="auto"/>
                <w:sz w:val="24"/>
                <w:highlight w:val="none"/>
              </w:rPr>
              <w:t>完整性审查</w:t>
            </w:r>
          </w:p>
        </w:tc>
        <w:tc>
          <w:tcPr>
            <w:tcW w:w="2010" w:type="dxa"/>
            <w:tcBorders>
              <w:top w:val="nil"/>
              <w:left w:val="nil"/>
              <w:bottom w:val="single" w:color="auto" w:sz="4" w:space="0"/>
              <w:right w:val="single" w:color="auto" w:sz="4" w:space="0"/>
            </w:tcBorders>
            <w:shd w:val="clear" w:color="auto" w:fill="auto"/>
            <w:vAlign w:val="center"/>
          </w:tcPr>
          <w:p>
            <w:pPr>
              <w:adjustRightInd/>
              <w:snapToGrid/>
              <w:spacing w:after="0" w:line="380" w:lineRule="exact"/>
              <w:rPr>
                <w:rFonts w:ascii="宋体" w:hAnsi="宋体" w:eastAsia="宋体" w:cs="Arial"/>
                <w:color w:val="auto"/>
                <w:sz w:val="24"/>
                <w:highlight w:val="none"/>
              </w:rPr>
            </w:pPr>
            <w:r>
              <w:rPr>
                <w:rFonts w:hint="eastAsia" w:ascii="宋体" w:hAnsi="宋体" w:eastAsia="宋体" w:cs="Arial"/>
                <w:color w:val="auto"/>
                <w:sz w:val="24"/>
                <w:highlight w:val="none"/>
              </w:rPr>
              <w:t>响应文件份数</w:t>
            </w:r>
          </w:p>
        </w:tc>
        <w:tc>
          <w:tcPr>
            <w:tcW w:w="6274" w:type="dxa"/>
            <w:tcBorders>
              <w:top w:val="nil"/>
              <w:left w:val="nil"/>
              <w:bottom w:val="single" w:color="auto" w:sz="4" w:space="0"/>
              <w:right w:val="single" w:color="auto" w:sz="4" w:space="0"/>
            </w:tcBorders>
            <w:shd w:val="clear" w:color="auto" w:fill="auto"/>
            <w:vAlign w:val="center"/>
          </w:tcPr>
          <w:p>
            <w:pPr>
              <w:adjustRightInd/>
              <w:snapToGrid/>
              <w:spacing w:after="0" w:line="380" w:lineRule="exact"/>
              <w:rPr>
                <w:rFonts w:ascii="宋体" w:hAnsi="宋体" w:eastAsia="宋体" w:cs="Arial"/>
                <w:color w:val="auto"/>
                <w:sz w:val="24"/>
                <w:highlight w:val="none"/>
              </w:rPr>
            </w:pPr>
            <w:r>
              <w:rPr>
                <w:rFonts w:hint="eastAsia" w:ascii="宋体" w:hAnsi="宋体" w:eastAsia="宋体" w:cs="Arial"/>
                <w:color w:val="auto"/>
                <w:sz w:val="24"/>
                <w:highlight w:val="none"/>
              </w:rPr>
              <w:t xml:space="preserve">    响应文件正、副本数量符合采购文件要求。</w:t>
            </w:r>
          </w:p>
        </w:tc>
      </w:tr>
      <w:tr>
        <w:tblPrEx>
          <w:tblCellMar>
            <w:top w:w="0" w:type="dxa"/>
            <w:left w:w="108" w:type="dxa"/>
            <w:bottom w:w="0" w:type="dxa"/>
            <w:right w:w="108" w:type="dxa"/>
          </w:tblCellMar>
        </w:tblPrEx>
        <w:trPr>
          <w:trHeight w:val="435" w:hRule="atLeast"/>
          <w:jc w:val="center"/>
        </w:trPr>
        <w:tc>
          <w:tcPr>
            <w:tcW w:w="574" w:type="dxa"/>
            <w:vMerge w:val="continue"/>
            <w:tcBorders>
              <w:top w:val="nil"/>
              <w:left w:val="single" w:color="auto" w:sz="4" w:space="0"/>
              <w:bottom w:val="single" w:color="auto" w:sz="4" w:space="0"/>
              <w:right w:val="single" w:color="auto" w:sz="4" w:space="0"/>
            </w:tcBorders>
            <w:vAlign w:val="center"/>
          </w:tcPr>
          <w:p>
            <w:pPr>
              <w:adjustRightInd/>
              <w:snapToGrid/>
              <w:spacing w:after="0" w:line="380" w:lineRule="exact"/>
              <w:rPr>
                <w:rFonts w:ascii="宋体" w:hAnsi="宋体" w:eastAsia="宋体" w:cs="Arial"/>
                <w:color w:val="auto"/>
                <w:sz w:val="24"/>
                <w:highlight w:val="none"/>
              </w:rPr>
            </w:pPr>
          </w:p>
        </w:tc>
        <w:tc>
          <w:tcPr>
            <w:tcW w:w="955" w:type="dxa"/>
            <w:vMerge w:val="continue"/>
            <w:tcBorders>
              <w:top w:val="nil"/>
              <w:left w:val="single" w:color="auto" w:sz="4" w:space="0"/>
              <w:bottom w:val="single" w:color="auto" w:sz="4" w:space="0"/>
              <w:right w:val="single" w:color="auto" w:sz="4" w:space="0"/>
            </w:tcBorders>
            <w:vAlign w:val="center"/>
          </w:tcPr>
          <w:p>
            <w:pPr>
              <w:adjustRightInd/>
              <w:snapToGrid/>
              <w:spacing w:after="0" w:line="380" w:lineRule="exact"/>
              <w:rPr>
                <w:rFonts w:ascii="宋体" w:hAnsi="宋体" w:eastAsia="宋体" w:cs="Arial"/>
                <w:color w:val="auto"/>
                <w:sz w:val="24"/>
                <w:highlight w:val="none"/>
              </w:rPr>
            </w:pPr>
          </w:p>
        </w:tc>
        <w:tc>
          <w:tcPr>
            <w:tcW w:w="2010" w:type="dxa"/>
            <w:tcBorders>
              <w:top w:val="nil"/>
              <w:left w:val="nil"/>
              <w:bottom w:val="single" w:color="auto" w:sz="4" w:space="0"/>
              <w:right w:val="single" w:color="auto" w:sz="4" w:space="0"/>
            </w:tcBorders>
            <w:shd w:val="clear" w:color="auto" w:fill="auto"/>
            <w:vAlign w:val="center"/>
          </w:tcPr>
          <w:p>
            <w:pPr>
              <w:adjustRightInd/>
              <w:snapToGrid/>
              <w:spacing w:after="0" w:line="380" w:lineRule="exact"/>
              <w:rPr>
                <w:rFonts w:ascii="宋体" w:hAnsi="宋体" w:eastAsia="宋体" w:cs="Arial"/>
                <w:color w:val="auto"/>
                <w:sz w:val="24"/>
                <w:highlight w:val="none"/>
              </w:rPr>
            </w:pPr>
            <w:r>
              <w:rPr>
                <w:rFonts w:hint="eastAsia" w:ascii="宋体" w:hAnsi="宋体" w:eastAsia="宋体" w:cs="Arial"/>
                <w:color w:val="auto"/>
                <w:sz w:val="24"/>
                <w:highlight w:val="none"/>
              </w:rPr>
              <w:t>响应文件内容</w:t>
            </w:r>
          </w:p>
        </w:tc>
        <w:tc>
          <w:tcPr>
            <w:tcW w:w="6274" w:type="dxa"/>
            <w:tcBorders>
              <w:top w:val="nil"/>
              <w:left w:val="nil"/>
              <w:bottom w:val="single" w:color="auto" w:sz="4" w:space="0"/>
              <w:right w:val="single" w:color="auto" w:sz="4" w:space="0"/>
            </w:tcBorders>
            <w:shd w:val="clear" w:color="auto" w:fill="auto"/>
            <w:vAlign w:val="center"/>
          </w:tcPr>
          <w:p>
            <w:pPr>
              <w:adjustRightInd/>
              <w:snapToGrid/>
              <w:spacing w:after="0" w:line="380" w:lineRule="exact"/>
              <w:rPr>
                <w:rFonts w:ascii="宋体" w:hAnsi="宋体" w:eastAsia="宋体" w:cs="Arial"/>
                <w:color w:val="auto"/>
                <w:sz w:val="24"/>
                <w:highlight w:val="none"/>
              </w:rPr>
            </w:pPr>
            <w:r>
              <w:rPr>
                <w:rFonts w:hint="eastAsia" w:ascii="宋体" w:hAnsi="宋体" w:eastAsia="宋体" w:cs="Arial"/>
                <w:color w:val="auto"/>
                <w:sz w:val="24"/>
                <w:highlight w:val="none"/>
              </w:rPr>
              <w:t xml:space="preserve">    响应文件内容齐全、无遗漏。</w:t>
            </w:r>
          </w:p>
        </w:tc>
      </w:tr>
      <w:tr>
        <w:tblPrEx>
          <w:tblCellMar>
            <w:top w:w="0" w:type="dxa"/>
            <w:left w:w="108" w:type="dxa"/>
            <w:bottom w:w="0" w:type="dxa"/>
            <w:right w:w="108" w:type="dxa"/>
          </w:tblCellMar>
        </w:tblPrEx>
        <w:trPr>
          <w:trHeight w:val="540" w:hRule="atLeast"/>
          <w:jc w:val="center"/>
        </w:trPr>
        <w:tc>
          <w:tcPr>
            <w:tcW w:w="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80" w:lineRule="exact"/>
              <w:jc w:val="center"/>
              <w:rPr>
                <w:rFonts w:ascii="宋体" w:hAnsi="宋体" w:eastAsia="宋体" w:cs="Arial"/>
                <w:color w:val="auto"/>
                <w:sz w:val="24"/>
                <w:highlight w:val="none"/>
              </w:rPr>
            </w:pPr>
            <w:r>
              <w:rPr>
                <w:rFonts w:hint="eastAsia" w:ascii="宋体" w:hAnsi="宋体" w:eastAsia="宋体" w:cs="Arial"/>
                <w:color w:val="auto"/>
                <w:sz w:val="24"/>
                <w:highlight w:val="none"/>
              </w:rPr>
              <w:t>3</w:t>
            </w:r>
          </w:p>
        </w:tc>
        <w:tc>
          <w:tcPr>
            <w:tcW w:w="9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80" w:lineRule="exact"/>
              <w:rPr>
                <w:rFonts w:ascii="宋体" w:hAnsi="宋体" w:eastAsia="宋体" w:cs="Arial"/>
                <w:color w:val="auto"/>
                <w:sz w:val="24"/>
                <w:highlight w:val="none"/>
              </w:rPr>
            </w:pPr>
            <w:r>
              <w:rPr>
                <w:rFonts w:hint="eastAsia" w:ascii="宋体" w:hAnsi="宋体" w:eastAsia="宋体" w:cs="Arial"/>
                <w:color w:val="auto"/>
                <w:sz w:val="24"/>
                <w:highlight w:val="none"/>
              </w:rPr>
              <w:t xml:space="preserve">对采购文件的响应程度审查 </w:t>
            </w:r>
          </w:p>
        </w:tc>
        <w:tc>
          <w:tcPr>
            <w:tcW w:w="201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line="380" w:lineRule="exact"/>
              <w:rPr>
                <w:rFonts w:ascii="宋体" w:hAnsi="宋体" w:eastAsia="宋体" w:cs="Arial"/>
                <w:color w:val="auto"/>
                <w:sz w:val="24"/>
                <w:highlight w:val="none"/>
              </w:rPr>
            </w:pPr>
            <w:r>
              <w:rPr>
                <w:rFonts w:hint="eastAsia" w:ascii="宋体" w:hAnsi="宋体" w:eastAsia="宋体" w:cs="Arial"/>
                <w:color w:val="auto"/>
                <w:sz w:val="24"/>
                <w:highlight w:val="none"/>
              </w:rPr>
              <w:t>实质性条款响应</w:t>
            </w:r>
          </w:p>
        </w:tc>
        <w:tc>
          <w:tcPr>
            <w:tcW w:w="6274"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line="380" w:lineRule="exact"/>
              <w:rPr>
                <w:rFonts w:ascii="宋体" w:hAnsi="宋体" w:eastAsia="宋体" w:cs="Arial"/>
                <w:color w:val="auto"/>
                <w:sz w:val="24"/>
                <w:highlight w:val="none"/>
              </w:rPr>
            </w:pPr>
            <w:r>
              <w:rPr>
                <w:rFonts w:hint="eastAsia" w:ascii="宋体" w:hAnsi="宋体" w:eastAsia="宋体" w:cs="Arial"/>
                <w:color w:val="auto"/>
                <w:sz w:val="24"/>
                <w:highlight w:val="none"/>
              </w:rPr>
              <w:t xml:space="preserve">    对采购文件中所有标注“</w:t>
            </w:r>
            <w:r>
              <w:rPr>
                <w:rFonts w:hint="eastAsia" w:ascii="宋体" w:hAnsi="宋体" w:eastAsia="宋体" w:cs="宋体"/>
                <w:color w:val="auto"/>
                <w:sz w:val="21"/>
                <w:szCs w:val="21"/>
                <w:highlight w:val="none"/>
              </w:rPr>
              <w:t>▲</w:t>
            </w:r>
            <w:r>
              <w:rPr>
                <w:rFonts w:hint="eastAsia" w:ascii="宋体" w:hAnsi="宋体" w:eastAsia="宋体" w:cs="Arial"/>
                <w:color w:val="auto"/>
                <w:sz w:val="24"/>
                <w:highlight w:val="none"/>
              </w:rPr>
              <w:t>”号的实质性条款要求响应均无负偏离。</w:t>
            </w:r>
          </w:p>
        </w:tc>
      </w:tr>
      <w:tr>
        <w:tblPrEx>
          <w:tblCellMar>
            <w:top w:w="0" w:type="dxa"/>
            <w:left w:w="108" w:type="dxa"/>
            <w:bottom w:w="0" w:type="dxa"/>
            <w:right w:w="108" w:type="dxa"/>
          </w:tblCellMar>
        </w:tblPrEx>
        <w:trPr>
          <w:trHeight w:val="810" w:hRule="atLeast"/>
          <w:jc w:val="center"/>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80" w:lineRule="exact"/>
              <w:rPr>
                <w:rFonts w:ascii="宋体" w:hAnsi="宋体" w:eastAsia="宋体" w:cs="Arial"/>
                <w:color w:val="auto"/>
                <w:sz w:val="24"/>
                <w:highlight w:val="none"/>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80" w:lineRule="exact"/>
              <w:rPr>
                <w:rFonts w:ascii="宋体" w:hAnsi="宋体" w:eastAsia="宋体" w:cs="Arial"/>
                <w:color w:val="auto"/>
                <w:sz w:val="24"/>
                <w:highlight w:val="none"/>
              </w:rPr>
            </w:pPr>
          </w:p>
        </w:tc>
        <w:tc>
          <w:tcPr>
            <w:tcW w:w="201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line="380" w:lineRule="exact"/>
              <w:rPr>
                <w:rFonts w:ascii="宋体" w:hAnsi="宋体" w:eastAsia="宋体" w:cs="Arial"/>
                <w:color w:val="auto"/>
                <w:sz w:val="24"/>
                <w:highlight w:val="none"/>
              </w:rPr>
            </w:pPr>
            <w:r>
              <w:rPr>
                <w:rFonts w:hint="eastAsia" w:ascii="宋体" w:hAnsi="宋体" w:eastAsia="宋体" w:cs="Arial"/>
                <w:color w:val="auto"/>
                <w:sz w:val="24"/>
                <w:highlight w:val="none"/>
              </w:rPr>
              <w:t>第三章《项目采购需求和说明》允许负偏离项数</w:t>
            </w:r>
          </w:p>
        </w:tc>
        <w:tc>
          <w:tcPr>
            <w:tcW w:w="6274"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line="380" w:lineRule="exact"/>
              <w:rPr>
                <w:rFonts w:ascii="宋体" w:hAnsi="宋体" w:eastAsia="宋体" w:cs="Arial"/>
                <w:color w:val="auto"/>
                <w:sz w:val="24"/>
                <w:highlight w:val="none"/>
              </w:rPr>
            </w:pPr>
            <w:r>
              <w:rPr>
                <w:rFonts w:hint="eastAsia" w:ascii="宋体" w:hAnsi="宋体" w:eastAsia="宋体" w:cs="Arial"/>
                <w:color w:val="auto"/>
                <w:sz w:val="24"/>
                <w:highlight w:val="none"/>
              </w:rPr>
              <w:t xml:space="preserve">    非“</w:t>
            </w:r>
            <w:r>
              <w:rPr>
                <w:rFonts w:hint="eastAsia" w:ascii="宋体" w:hAnsi="宋体" w:eastAsia="宋体" w:cs="宋体"/>
                <w:color w:val="auto"/>
                <w:sz w:val="21"/>
                <w:szCs w:val="21"/>
                <w:highlight w:val="none"/>
              </w:rPr>
              <w:t>▲</w:t>
            </w:r>
            <w:r>
              <w:rPr>
                <w:rFonts w:hint="eastAsia" w:ascii="宋体" w:hAnsi="宋体" w:eastAsia="宋体" w:cs="Arial"/>
                <w:color w:val="auto"/>
                <w:sz w:val="24"/>
                <w:highlight w:val="none"/>
              </w:rPr>
              <w:t>”号要求或技术指标发生负偏离或不响应达到“项目采购需求和说明”规定的项数的，竞标无效。</w:t>
            </w:r>
          </w:p>
        </w:tc>
      </w:tr>
      <w:tr>
        <w:tblPrEx>
          <w:tblCellMar>
            <w:top w:w="0" w:type="dxa"/>
            <w:left w:w="108" w:type="dxa"/>
            <w:bottom w:w="0" w:type="dxa"/>
            <w:right w:w="108" w:type="dxa"/>
          </w:tblCellMar>
        </w:tblPrEx>
        <w:trPr>
          <w:trHeight w:val="540" w:hRule="atLeast"/>
          <w:jc w:val="center"/>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80" w:lineRule="exact"/>
              <w:rPr>
                <w:rFonts w:ascii="宋体" w:hAnsi="宋体" w:eastAsia="宋体" w:cs="Arial"/>
                <w:color w:val="auto"/>
                <w:sz w:val="24"/>
                <w:highlight w:val="none"/>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80" w:lineRule="exact"/>
              <w:rPr>
                <w:rFonts w:ascii="宋体" w:hAnsi="宋体" w:eastAsia="宋体" w:cs="Arial"/>
                <w:color w:val="auto"/>
                <w:sz w:val="24"/>
                <w:highlight w:val="none"/>
              </w:rPr>
            </w:pPr>
          </w:p>
        </w:tc>
        <w:tc>
          <w:tcPr>
            <w:tcW w:w="201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line="380" w:lineRule="exact"/>
              <w:rPr>
                <w:rFonts w:ascii="宋体" w:hAnsi="宋体" w:eastAsia="宋体" w:cs="Arial"/>
                <w:color w:val="auto"/>
                <w:sz w:val="24"/>
                <w:highlight w:val="none"/>
              </w:rPr>
            </w:pPr>
            <w:r>
              <w:rPr>
                <w:rFonts w:hint="eastAsia" w:ascii="宋体" w:hAnsi="宋体" w:eastAsia="宋体" w:cs="Arial"/>
                <w:color w:val="auto"/>
                <w:sz w:val="24"/>
                <w:highlight w:val="none"/>
              </w:rPr>
              <w:t>响应文件格式</w:t>
            </w:r>
          </w:p>
        </w:tc>
        <w:tc>
          <w:tcPr>
            <w:tcW w:w="6274"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line="380" w:lineRule="exact"/>
              <w:rPr>
                <w:rFonts w:ascii="宋体" w:hAnsi="宋体" w:eastAsia="宋体" w:cs="Arial"/>
                <w:color w:val="auto"/>
                <w:sz w:val="24"/>
                <w:highlight w:val="none"/>
              </w:rPr>
            </w:pPr>
            <w:r>
              <w:rPr>
                <w:rFonts w:hint="eastAsia" w:ascii="宋体" w:hAnsi="宋体" w:eastAsia="宋体" w:cs="Arial"/>
                <w:color w:val="auto"/>
                <w:sz w:val="24"/>
                <w:highlight w:val="none"/>
              </w:rPr>
              <w:t xml:space="preserve">    响应文件未按第二章第10.1项和第六章“响应文件格式”的规定编写和提供。</w:t>
            </w:r>
          </w:p>
        </w:tc>
      </w:tr>
      <w:tr>
        <w:tblPrEx>
          <w:tblCellMar>
            <w:top w:w="0" w:type="dxa"/>
            <w:left w:w="108" w:type="dxa"/>
            <w:bottom w:w="0" w:type="dxa"/>
            <w:right w:w="108" w:type="dxa"/>
          </w:tblCellMar>
        </w:tblPrEx>
        <w:trPr>
          <w:trHeight w:val="540" w:hRule="atLeast"/>
          <w:jc w:val="center"/>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80" w:lineRule="exact"/>
              <w:rPr>
                <w:rFonts w:ascii="宋体" w:hAnsi="宋体" w:eastAsia="宋体" w:cs="Arial"/>
                <w:color w:val="auto"/>
                <w:sz w:val="24"/>
                <w:highlight w:val="none"/>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80" w:lineRule="exact"/>
              <w:rPr>
                <w:rFonts w:ascii="宋体" w:hAnsi="宋体" w:eastAsia="宋体" w:cs="Arial"/>
                <w:color w:val="auto"/>
                <w:sz w:val="24"/>
                <w:highlight w:val="none"/>
              </w:rPr>
            </w:pPr>
          </w:p>
        </w:tc>
        <w:tc>
          <w:tcPr>
            <w:tcW w:w="201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line="380" w:lineRule="exact"/>
              <w:rPr>
                <w:rFonts w:ascii="宋体" w:hAnsi="宋体" w:eastAsia="宋体" w:cs="Arial"/>
                <w:color w:val="auto"/>
                <w:sz w:val="24"/>
                <w:highlight w:val="none"/>
              </w:rPr>
            </w:pPr>
            <w:r>
              <w:rPr>
                <w:rFonts w:hint="eastAsia" w:ascii="宋体" w:hAnsi="宋体" w:eastAsia="宋体" w:cs="Arial"/>
                <w:color w:val="auto"/>
                <w:sz w:val="24"/>
                <w:highlight w:val="none"/>
              </w:rPr>
              <w:t>竞标保证金</w:t>
            </w:r>
          </w:p>
        </w:tc>
        <w:tc>
          <w:tcPr>
            <w:tcW w:w="6274"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line="38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足额、及时缴纳竞标保证金</w:t>
            </w:r>
          </w:p>
        </w:tc>
      </w:tr>
      <w:tr>
        <w:tblPrEx>
          <w:tblCellMar>
            <w:top w:w="0" w:type="dxa"/>
            <w:left w:w="108" w:type="dxa"/>
            <w:bottom w:w="0" w:type="dxa"/>
            <w:right w:w="108" w:type="dxa"/>
          </w:tblCellMar>
        </w:tblPrEx>
        <w:trPr>
          <w:jc w:val="center"/>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80" w:lineRule="exact"/>
              <w:rPr>
                <w:rFonts w:ascii="宋体" w:hAnsi="宋体" w:eastAsia="宋体" w:cs="Arial"/>
                <w:color w:val="auto"/>
                <w:sz w:val="24"/>
                <w:highlight w:val="none"/>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80" w:lineRule="exact"/>
              <w:rPr>
                <w:rFonts w:ascii="宋体" w:hAnsi="宋体" w:eastAsia="宋体" w:cs="Arial"/>
                <w:color w:val="auto"/>
                <w:sz w:val="24"/>
                <w:highlight w:val="none"/>
              </w:rPr>
            </w:pPr>
          </w:p>
        </w:tc>
        <w:tc>
          <w:tcPr>
            <w:tcW w:w="201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line="380" w:lineRule="exact"/>
              <w:jc w:val="both"/>
              <w:rPr>
                <w:rFonts w:ascii="宋体" w:hAnsi="宋体" w:eastAsia="宋体" w:cs="Arial"/>
                <w:color w:val="auto"/>
                <w:sz w:val="24"/>
                <w:highlight w:val="none"/>
              </w:rPr>
            </w:pPr>
            <w:r>
              <w:rPr>
                <w:rFonts w:hint="eastAsia" w:ascii="宋体" w:hAnsi="宋体" w:eastAsia="宋体" w:cs="Arial"/>
                <w:color w:val="auto"/>
                <w:sz w:val="24"/>
                <w:highlight w:val="none"/>
              </w:rPr>
              <w:t xml:space="preserve">竞标有效期 </w:t>
            </w:r>
          </w:p>
        </w:tc>
        <w:tc>
          <w:tcPr>
            <w:tcW w:w="6274"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line="380" w:lineRule="exact"/>
              <w:jc w:val="both"/>
              <w:rPr>
                <w:rFonts w:ascii="宋体" w:hAnsi="宋体" w:eastAsia="宋体" w:cs="Arial"/>
                <w:color w:val="auto"/>
                <w:sz w:val="24"/>
                <w:highlight w:val="none"/>
              </w:rPr>
            </w:pPr>
            <w:r>
              <w:rPr>
                <w:rFonts w:hint="eastAsia" w:ascii="宋体" w:hAnsi="宋体" w:eastAsia="宋体" w:cs="Arial"/>
                <w:color w:val="auto"/>
                <w:sz w:val="24"/>
                <w:highlight w:val="none"/>
              </w:rPr>
              <w:t xml:space="preserve">    满足采购文件规定并在第六章“响应文件格式”谈判书做出响应的。</w:t>
            </w:r>
          </w:p>
        </w:tc>
      </w:tr>
    </w:tbl>
    <w:p>
      <w:pPr>
        <w:spacing w:after="0" w:line="380" w:lineRule="exact"/>
        <w:ind w:firstLine="480" w:firstLineChars="200"/>
        <w:rPr>
          <w:rFonts w:ascii="宋体" w:hAnsi="宋体" w:eastAsia="宋体" w:cs="Arial"/>
          <w:color w:val="auto"/>
          <w:sz w:val="24"/>
          <w:highlight w:val="none"/>
        </w:rPr>
      </w:pPr>
    </w:p>
    <w:p>
      <w:pPr>
        <w:spacing w:after="0" w:line="380" w:lineRule="exact"/>
        <w:ind w:firstLine="482" w:firstLineChars="200"/>
        <w:rPr>
          <w:rFonts w:ascii="宋体" w:hAnsi="宋体" w:eastAsia="宋体" w:cs="Arial"/>
          <w:b/>
          <w:color w:val="auto"/>
          <w:sz w:val="24"/>
          <w:highlight w:val="none"/>
        </w:rPr>
      </w:pPr>
      <w:r>
        <w:rPr>
          <w:rFonts w:hint="eastAsia" w:ascii="宋体" w:hAnsi="宋体" w:eastAsia="宋体" w:cs="Arial"/>
          <w:b/>
          <w:color w:val="auto"/>
          <w:sz w:val="24"/>
          <w:highlight w:val="none"/>
        </w:rPr>
        <w:t>3、详细评审</w:t>
      </w:r>
    </w:p>
    <w:p>
      <w:pPr>
        <w:spacing w:after="0" w:line="38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谈判小组按谈判文件规定的程序与供应商进行谈判。对实质性响应谈判文件的供应商最后报价进行评审。</w:t>
      </w:r>
    </w:p>
    <w:p>
      <w:pPr>
        <w:spacing w:after="0" w:line="38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（1）谈判小组将依照本谈判文件相关规定对质量和服务均能满足竞争性谈判实质性要求的供应商所提交的最后报价进行政策性扣除，即</w:t>
      </w:r>
      <w:r>
        <w:rPr>
          <w:rFonts w:hint="eastAsia" w:ascii="宋体" w:hAnsi="宋体" w:eastAsia="宋体" w:cs="Arial"/>
          <w:color w:val="auto"/>
          <w:sz w:val="24"/>
          <w:highlight w:val="none"/>
          <w:u w:val="single"/>
        </w:rPr>
        <w:t>评标价=最后报价×（1—小型和微型企业政策性扣除）</w:t>
      </w:r>
      <w:r>
        <w:rPr>
          <w:rFonts w:hint="eastAsia" w:ascii="宋体" w:hAnsi="宋体" w:eastAsia="宋体" w:cs="Arial"/>
          <w:color w:val="auto"/>
          <w:sz w:val="24"/>
          <w:highlight w:val="none"/>
        </w:rPr>
        <w:t>。依据</w:t>
      </w:r>
      <w:r>
        <w:rPr>
          <w:rFonts w:hint="eastAsia" w:ascii="宋体" w:hAnsi="宋体" w:eastAsia="宋体" w:cs="Arial"/>
          <w:color w:val="auto"/>
          <w:sz w:val="24"/>
          <w:highlight w:val="none"/>
          <w:u w:val="single"/>
        </w:rPr>
        <w:t>评标价</w:t>
      </w:r>
      <w:r>
        <w:rPr>
          <w:rFonts w:hint="eastAsia" w:ascii="宋体" w:hAnsi="宋体" w:eastAsia="宋体" w:cs="Arial"/>
          <w:color w:val="auto"/>
          <w:sz w:val="24"/>
          <w:highlight w:val="none"/>
        </w:rPr>
        <w:t>按照由低到高的顺序提出3名以上成交候选人，并编写评审报告。</w:t>
      </w:r>
    </w:p>
    <w:p>
      <w:pPr>
        <w:spacing w:after="0" w:line="38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（2）小型和微型企业最终报价扣除计算</w:t>
      </w:r>
    </w:p>
    <w:p>
      <w:pPr>
        <w:spacing w:after="0" w:line="38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①按照《政府采购促进中小企业发展暂行办法》（财库[2011]181号），对小型和微型企业产品的最后报价给予</w:t>
      </w:r>
      <w:r>
        <w:rPr>
          <w:rFonts w:hint="eastAsia" w:ascii="宋体" w:hAnsi="宋体" w:eastAsia="宋体" w:cs="Arial"/>
          <w:color w:val="auto"/>
          <w:sz w:val="24"/>
          <w:highlight w:val="none"/>
          <w:lang w:val="en-US" w:eastAsia="zh-CN"/>
        </w:rPr>
        <w:t>10</w:t>
      </w:r>
      <w:r>
        <w:rPr>
          <w:rFonts w:hint="eastAsia" w:ascii="宋体" w:hAnsi="宋体" w:eastAsia="宋体" w:cs="Arial"/>
          <w:color w:val="auto"/>
          <w:sz w:val="24"/>
          <w:highlight w:val="none"/>
        </w:rPr>
        <w:t>%的扣除，扣除后的价格为评标报价，即评标报价=最终报价×（1-</w:t>
      </w:r>
      <w:r>
        <w:rPr>
          <w:rFonts w:hint="eastAsia" w:ascii="宋体" w:hAnsi="宋体" w:eastAsia="宋体" w:cs="Arial"/>
          <w:color w:val="auto"/>
          <w:sz w:val="24"/>
          <w:highlight w:val="none"/>
          <w:lang w:val="en-US" w:eastAsia="zh-CN"/>
        </w:rPr>
        <w:t>10</w:t>
      </w:r>
      <w:r>
        <w:rPr>
          <w:rFonts w:hint="eastAsia" w:ascii="宋体" w:hAnsi="宋体" w:eastAsia="宋体" w:cs="Arial"/>
          <w:color w:val="auto"/>
          <w:sz w:val="24"/>
          <w:highlight w:val="none"/>
        </w:rPr>
        <w:t>%）；大中型企业与小型、微型企业组成联合体竞标，其中小型、微型企业的协议合同金额占到联合体协议合同总金额30%以上的，联合体最终报价给予2%的扣除，扣除后的价格为评标报价，即评标报价=最终报价×（1-2%）。</w:t>
      </w:r>
    </w:p>
    <w:p>
      <w:pPr>
        <w:spacing w:after="0" w:line="38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②按照《财政部、司法部关于政府采购支持监狱企业发展有关问题的通知》（财库〔2014〕68号）之规定，监狱企业视同小型、微型企业，享受预留份额、评审中价格扣除等政府采购政策。</w:t>
      </w:r>
    </w:p>
    <w:p>
      <w:pPr>
        <w:spacing w:after="0" w:line="38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③按照《关于促进残疾人就业政府采购政策的通知》（财库〔2017〕141号）的规定，残疾人福利性单位视同小型、微型企业，享受预留份额、评审中价格扣除等促进中小企业发展的政府采购政策。残疾人福利性单位属于小型、微型企业的，不重复享受政策。</w:t>
      </w:r>
    </w:p>
    <w:p>
      <w:pPr>
        <w:spacing w:after="0" w:line="38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除上述情况外，评标价=最后报价</w:t>
      </w:r>
    </w:p>
    <w:p>
      <w:pPr>
        <w:spacing w:after="0" w:line="38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w:t>
      </w:r>
      <w:r>
        <w:rPr>
          <w:rFonts w:ascii="宋体" w:hAnsi="宋体" w:eastAsia="宋体" w:cs="Arial"/>
          <w:color w:val="auto"/>
          <w:sz w:val="24"/>
          <w:highlight w:val="none"/>
        </w:rPr>
        <w:t>3</w:t>
      </w:r>
      <w:r>
        <w:rPr>
          <w:rFonts w:hint="eastAsia" w:ascii="宋体" w:hAnsi="宋体" w:eastAsia="宋体" w:cs="Arial"/>
          <w:color w:val="auto"/>
          <w:sz w:val="24"/>
          <w:highlight w:val="none"/>
        </w:rPr>
        <w:t>）</w:t>
      </w:r>
      <w:r>
        <w:rPr>
          <w:rFonts w:ascii="宋体" w:hAnsi="宋体" w:eastAsia="宋体" w:cs="Arial"/>
          <w:color w:val="auto"/>
          <w:sz w:val="24"/>
          <w:highlight w:val="none"/>
        </w:rPr>
        <w:t>谈判小组从质量和服务均能满足</w:t>
      </w:r>
      <w:r>
        <w:rPr>
          <w:rFonts w:hint="eastAsia" w:ascii="宋体" w:hAnsi="宋体" w:eastAsia="宋体" w:cs="Arial"/>
          <w:color w:val="auto"/>
          <w:sz w:val="24"/>
          <w:highlight w:val="none"/>
        </w:rPr>
        <w:t>谈判</w:t>
      </w:r>
      <w:r>
        <w:rPr>
          <w:rFonts w:ascii="宋体" w:hAnsi="宋体" w:eastAsia="宋体" w:cs="Arial"/>
          <w:color w:val="auto"/>
          <w:sz w:val="24"/>
          <w:highlight w:val="none"/>
        </w:rPr>
        <w:t>文件实质性响应要求的</w:t>
      </w:r>
      <w:r>
        <w:rPr>
          <w:rFonts w:hint="eastAsia" w:ascii="宋体" w:hAnsi="宋体" w:eastAsia="宋体" w:cs="Arial"/>
          <w:color w:val="auto"/>
          <w:sz w:val="24"/>
          <w:highlight w:val="none"/>
        </w:rPr>
        <w:t>供应商</w:t>
      </w:r>
      <w:r>
        <w:rPr>
          <w:rFonts w:ascii="宋体" w:hAnsi="宋体" w:eastAsia="宋体" w:cs="Arial"/>
          <w:color w:val="auto"/>
          <w:sz w:val="24"/>
          <w:highlight w:val="none"/>
        </w:rPr>
        <w:t>中，按照</w:t>
      </w:r>
      <w:r>
        <w:rPr>
          <w:rFonts w:hint="eastAsia" w:ascii="宋体" w:hAnsi="宋体" w:eastAsia="宋体" w:cs="Arial"/>
          <w:color w:val="auto"/>
          <w:sz w:val="24"/>
          <w:highlight w:val="none"/>
        </w:rPr>
        <w:t>最后评标价</w:t>
      </w:r>
      <w:r>
        <w:rPr>
          <w:rFonts w:ascii="宋体" w:hAnsi="宋体" w:eastAsia="宋体" w:cs="Arial"/>
          <w:color w:val="auto"/>
          <w:sz w:val="24"/>
          <w:highlight w:val="none"/>
        </w:rPr>
        <w:t>由低到高的顺序提出3名以上成交候选人</w:t>
      </w:r>
      <w:r>
        <w:rPr>
          <w:rFonts w:hint="eastAsia" w:ascii="宋体" w:hAnsi="宋体" w:eastAsia="宋体" w:cs="Arial"/>
          <w:color w:val="auto"/>
          <w:sz w:val="24"/>
          <w:highlight w:val="none"/>
        </w:rPr>
        <w:t>（评标价相同时，依次按最后报价由低到高、节能环保产品优先、技术指标高优先、质量保证期长优先、交货期短优先的顺序排列；报价相同且前述指标均相同时，由谈判小组各成员对相关供应商当场投票表决，得票多者优先；按前述程序仍无法确定供应商排名顺序的，由谈判小组抽签决定）。</w:t>
      </w:r>
    </w:p>
    <w:p>
      <w:pPr>
        <w:spacing w:after="0" w:line="38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w:t>
      </w:r>
      <w:r>
        <w:rPr>
          <w:rFonts w:ascii="宋体" w:hAnsi="宋体" w:eastAsia="宋体" w:cs="Arial"/>
          <w:color w:val="auto"/>
          <w:sz w:val="24"/>
          <w:highlight w:val="none"/>
        </w:rPr>
        <w:t>4</w:t>
      </w:r>
      <w:r>
        <w:rPr>
          <w:rFonts w:hint="eastAsia" w:ascii="宋体" w:hAnsi="宋体" w:eastAsia="宋体" w:cs="Arial"/>
          <w:color w:val="auto"/>
          <w:sz w:val="24"/>
          <w:highlight w:val="none"/>
        </w:rPr>
        <w:t>）成交价格=成交供应商的最后报价。</w:t>
      </w:r>
    </w:p>
    <w:p>
      <w:pPr>
        <w:spacing w:after="0" w:line="38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5</w:t>
      </w:r>
      <w:r>
        <w:rPr>
          <w:rFonts w:hint="eastAsia" w:ascii="宋体" w:hAnsi="宋体" w:eastAsia="宋体"/>
          <w:color w:val="auto"/>
          <w:sz w:val="24"/>
          <w:highlight w:val="none"/>
        </w:rPr>
        <w:t>）谈判小组完成评标后，向采购人提交书面评审报告。</w:t>
      </w:r>
    </w:p>
    <w:p>
      <w:pPr>
        <w:spacing w:after="0" w:line="380" w:lineRule="exact"/>
        <w:ind w:firstLine="482" w:firstLineChars="200"/>
        <w:outlineLvl w:val="1"/>
        <w:rPr>
          <w:rFonts w:ascii="宋体" w:hAnsi="宋体" w:eastAsia="宋体" w:cs="Arial"/>
          <w:b/>
          <w:bCs/>
          <w:color w:val="auto"/>
          <w:sz w:val="24"/>
          <w:highlight w:val="none"/>
        </w:rPr>
      </w:pPr>
      <w:bookmarkStart w:id="86" w:name="_Toc23866"/>
      <w:r>
        <w:rPr>
          <w:rFonts w:hint="eastAsia" w:ascii="宋体" w:hAnsi="宋体" w:eastAsia="宋体" w:cs="Arial"/>
          <w:b/>
          <w:bCs/>
          <w:color w:val="auto"/>
          <w:sz w:val="24"/>
          <w:highlight w:val="none"/>
        </w:rPr>
        <w:t>三、确定成交供应商</w:t>
      </w:r>
      <w:bookmarkEnd w:id="86"/>
    </w:p>
    <w:p>
      <w:pPr>
        <w:pStyle w:val="19"/>
        <w:tabs>
          <w:tab w:val="left" w:pos="4214"/>
        </w:tabs>
        <w:spacing w:line="380" w:lineRule="exact"/>
        <w:ind w:firstLine="480" w:firstLineChars="200"/>
        <w:rPr>
          <w:rFonts w:hAnsi="宋体"/>
          <w:color w:val="auto"/>
          <w:sz w:val="24"/>
          <w:szCs w:val="24"/>
          <w:highlight w:val="none"/>
        </w:rPr>
      </w:pPr>
      <w:r>
        <w:rPr>
          <w:rFonts w:hint="eastAsia" w:hAnsi="宋体"/>
          <w:color w:val="auto"/>
          <w:sz w:val="24"/>
          <w:szCs w:val="24"/>
          <w:highlight w:val="none"/>
        </w:rPr>
        <w:t>1、采购人应当确定谈判小组推荐排名第一的供应商为成交供应商。</w:t>
      </w:r>
    </w:p>
    <w:p>
      <w:pPr>
        <w:pStyle w:val="19"/>
        <w:spacing w:line="380" w:lineRule="exact"/>
        <w:ind w:firstLine="480" w:firstLineChars="200"/>
        <w:rPr>
          <w:rFonts w:hAnsi="宋体"/>
          <w:color w:val="auto"/>
          <w:sz w:val="24"/>
          <w:szCs w:val="24"/>
          <w:highlight w:val="none"/>
        </w:rPr>
      </w:pPr>
      <w:r>
        <w:rPr>
          <w:rFonts w:hint="eastAsia" w:hAnsi="宋体"/>
          <w:color w:val="auto"/>
          <w:sz w:val="24"/>
          <w:szCs w:val="24"/>
          <w:highlight w:val="none"/>
        </w:rPr>
        <w:t>2、</w:t>
      </w:r>
      <w:bookmarkStart w:id="87" w:name="_Toc430011367"/>
      <w:r>
        <w:rPr>
          <w:rFonts w:hint="eastAsia" w:hAnsi="宋体"/>
          <w:color w:val="auto"/>
          <w:sz w:val="24"/>
          <w:szCs w:val="24"/>
          <w:highlight w:val="none"/>
        </w:rPr>
        <w:t>如排名第一的成交候选人拒绝与采购人签订合同的，采购人按“供应商须知”第31.3款处理。</w:t>
      </w:r>
    </w:p>
    <w:bookmarkEnd w:id="87"/>
    <w:p>
      <w:pPr>
        <w:rPr>
          <w:rFonts w:ascii="宋体" w:hAnsi="宋体" w:eastAsia="宋体"/>
          <w:color w:val="auto"/>
          <w:highlight w:val="none"/>
        </w:rPr>
        <w:sectPr>
          <w:pgSz w:w="11907" w:h="16840"/>
          <w:pgMar w:top="1077" w:right="1275" w:bottom="1418" w:left="1077" w:header="624" w:footer="737" w:gutter="0"/>
          <w:cols w:space="720" w:num="1"/>
          <w:docGrid w:linePitch="312" w:charSpace="0"/>
        </w:sectPr>
      </w:pPr>
      <w:bookmarkStart w:id="88" w:name="_Toc246095525"/>
      <w:bookmarkStart w:id="89" w:name="_Toc246095463"/>
      <w:bookmarkStart w:id="90" w:name="_Toc246094919"/>
    </w:p>
    <w:p>
      <w:pPr>
        <w:pStyle w:val="3"/>
        <w:spacing w:beforeLines="100" w:afterLines="100" w:line="580" w:lineRule="exact"/>
        <w:rPr>
          <w:rFonts w:ascii="宋体" w:hAnsi="宋体" w:eastAsia="宋体"/>
          <w:b/>
          <w:bCs/>
          <w:color w:val="auto"/>
          <w:highlight w:val="none"/>
        </w:rPr>
      </w:pPr>
      <w:bookmarkStart w:id="91" w:name="_Toc15224"/>
      <w:r>
        <w:rPr>
          <w:rFonts w:hint="eastAsia" w:ascii="宋体" w:hAnsi="宋体" w:eastAsia="宋体"/>
          <w:b/>
          <w:bCs/>
          <w:color w:val="auto"/>
          <w:highlight w:val="none"/>
        </w:rPr>
        <w:t>第五章  合同条款</w:t>
      </w:r>
      <w:bookmarkEnd w:id="88"/>
      <w:bookmarkEnd w:id="89"/>
      <w:bookmarkEnd w:id="90"/>
      <w:bookmarkEnd w:id="91"/>
    </w:p>
    <w:p>
      <w:pPr>
        <w:spacing w:line="500" w:lineRule="exact"/>
        <w:jc w:val="center"/>
        <w:rPr>
          <w:rFonts w:ascii="宋体" w:hAnsi="宋体" w:eastAsia="宋体"/>
          <w:b/>
          <w:bCs/>
          <w:color w:val="auto"/>
          <w:sz w:val="32"/>
          <w:szCs w:val="32"/>
          <w:highlight w:val="none"/>
        </w:rPr>
      </w:pPr>
      <w:r>
        <w:rPr>
          <w:rFonts w:hint="eastAsia" w:ascii="宋体" w:hAnsi="宋体" w:eastAsia="宋体"/>
          <w:b/>
          <w:bCs/>
          <w:color w:val="auto"/>
          <w:sz w:val="32"/>
          <w:szCs w:val="32"/>
          <w:highlight w:val="none"/>
        </w:rPr>
        <w:t>《广西壮族自治区政府采购合同》</w:t>
      </w:r>
    </w:p>
    <w:p>
      <w:pPr>
        <w:spacing w:line="500" w:lineRule="exact"/>
        <w:jc w:val="center"/>
        <w:rPr>
          <w:rFonts w:ascii="宋体" w:hAnsi="宋体" w:eastAsia="宋体"/>
          <w:bCs/>
          <w:color w:val="auto"/>
          <w:sz w:val="24"/>
          <w:highlight w:val="none"/>
          <w:u w:val="single"/>
        </w:rPr>
      </w:pPr>
      <w:r>
        <w:rPr>
          <w:rFonts w:hint="eastAsia" w:ascii="宋体" w:hAnsi="宋体" w:eastAsia="宋体"/>
          <w:bCs/>
          <w:color w:val="auto"/>
          <w:sz w:val="24"/>
          <w:highlight w:val="none"/>
        </w:rPr>
        <w:t>合同编号：</w:t>
      </w:r>
    </w:p>
    <w:p>
      <w:pPr>
        <w:spacing w:after="0" w:line="460" w:lineRule="exact"/>
        <w:rPr>
          <w:rFonts w:ascii="宋体" w:hAnsi="宋体" w:eastAsia="宋体"/>
          <w:color w:val="auto"/>
          <w:sz w:val="24"/>
          <w:highlight w:val="none"/>
          <w:u w:val="single"/>
        </w:rPr>
      </w:pPr>
      <w:r>
        <w:rPr>
          <w:rFonts w:hint="eastAsia" w:ascii="宋体" w:hAnsi="宋体" w:eastAsia="宋体"/>
          <w:color w:val="auto"/>
          <w:sz w:val="24"/>
          <w:highlight w:val="none"/>
        </w:rPr>
        <w:t>采购人（甲方）  采 购 计 划 号</w:t>
      </w:r>
    </w:p>
    <w:p>
      <w:pPr>
        <w:spacing w:after="0" w:line="460" w:lineRule="exact"/>
        <w:rPr>
          <w:rFonts w:ascii="宋体" w:hAnsi="宋体" w:eastAsia="宋体"/>
          <w:color w:val="auto"/>
          <w:sz w:val="24"/>
          <w:highlight w:val="none"/>
        </w:rPr>
      </w:pPr>
      <w:r>
        <w:rPr>
          <w:rFonts w:hint="eastAsia" w:ascii="宋体" w:hAnsi="宋体" w:eastAsia="宋体"/>
          <w:color w:val="auto"/>
          <w:sz w:val="24"/>
          <w:highlight w:val="none"/>
        </w:rPr>
        <w:t>供 应 商（乙方）</w:t>
      </w:r>
    </w:p>
    <w:p>
      <w:pPr>
        <w:spacing w:after="0" w:line="460" w:lineRule="exact"/>
        <w:rPr>
          <w:rFonts w:ascii="宋体" w:hAnsi="宋体" w:eastAsia="宋体"/>
          <w:color w:val="auto"/>
          <w:sz w:val="24"/>
          <w:highlight w:val="none"/>
          <w:u w:val="single"/>
        </w:rPr>
      </w:pPr>
      <w:r>
        <w:rPr>
          <w:rFonts w:hint="eastAsia" w:ascii="宋体" w:hAnsi="宋体" w:eastAsia="宋体"/>
          <w:color w:val="auto"/>
          <w:sz w:val="24"/>
          <w:highlight w:val="none"/>
        </w:rPr>
        <w:t>项目名称：</w:t>
      </w:r>
    </w:p>
    <w:p>
      <w:pPr>
        <w:spacing w:after="0" w:line="460" w:lineRule="exact"/>
        <w:rPr>
          <w:rFonts w:ascii="宋体" w:hAnsi="宋体" w:eastAsia="宋体"/>
          <w:color w:val="auto"/>
          <w:sz w:val="24"/>
          <w:highlight w:val="none"/>
          <w:u w:val="single"/>
        </w:rPr>
      </w:pPr>
      <w:r>
        <w:rPr>
          <w:rFonts w:hint="eastAsia" w:ascii="宋体" w:hAnsi="宋体" w:eastAsia="宋体"/>
          <w:color w:val="auto"/>
          <w:sz w:val="24"/>
          <w:highlight w:val="none"/>
        </w:rPr>
        <w:t>采购编号：</w:t>
      </w:r>
    </w:p>
    <w:p>
      <w:pPr>
        <w:spacing w:after="0" w:line="460" w:lineRule="exact"/>
        <w:rPr>
          <w:rFonts w:ascii="宋体" w:hAnsi="宋体" w:eastAsia="宋体"/>
          <w:color w:val="auto"/>
          <w:sz w:val="24"/>
          <w:highlight w:val="none"/>
        </w:rPr>
      </w:pPr>
      <w:r>
        <w:rPr>
          <w:rFonts w:hint="eastAsia" w:ascii="宋体" w:hAnsi="宋体" w:eastAsia="宋体"/>
          <w:color w:val="auto"/>
          <w:sz w:val="24"/>
          <w:highlight w:val="none"/>
        </w:rPr>
        <w:t>签订地点：</w:t>
      </w:r>
    </w:p>
    <w:p>
      <w:pPr>
        <w:spacing w:after="0" w:line="460" w:lineRule="exact"/>
        <w:rPr>
          <w:rFonts w:ascii="宋体" w:hAnsi="宋体" w:eastAsia="宋体"/>
          <w:color w:val="auto"/>
          <w:sz w:val="24"/>
          <w:highlight w:val="none"/>
          <w:u w:val="single"/>
        </w:rPr>
      </w:pPr>
      <w:r>
        <w:rPr>
          <w:rFonts w:hint="eastAsia" w:ascii="宋体" w:hAnsi="宋体" w:eastAsia="宋体"/>
          <w:color w:val="auto"/>
          <w:sz w:val="24"/>
          <w:highlight w:val="none"/>
        </w:rPr>
        <w:t>签订时间：</w:t>
      </w:r>
    </w:p>
    <w:p>
      <w:pPr>
        <w:spacing w:line="500" w:lineRule="exact"/>
        <w:rPr>
          <w:rFonts w:ascii="宋体" w:hAnsi="宋体" w:eastAsia="宋体"/>
          <w:color w:val="auto"/>
          <w:sz w:val="24"/>
          <w:highlight w:val="none"/>
          <w:u w:val="single"/>
        </w:rPr>
      </w:pP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根据《中华人民共和国政府采购法》、《中华人民共和国合同法》等法律、法规规定，按照采购文件的规定条款和中标（成交）供应商的响应文件及其承诺，甲乙双方签订本合同。</w:t>
      </w:r>
    </w:p>
    <w:p>
      <w:pPr>
        <w:spacing w:after="0" w:line="44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第一条　合同标的</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1、供货一览表</w:t>
      </w:r>
    </w:p>
    <w:tbl>
      <w:tblPr>
        <w:tblStyle w:val="38"/>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3"/>
        <w:gridCol w:w="1059"/>
        <w:gridCol w:w="1233"/>
        <w:gridCol w:w="1210"/>
        <w:gridCol w:w="908"/>
        <w:gridCol w:w="668"/>
        <w:gridCol w:w="947"/>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709" w:type="dxa"/>
            <w:vAlign w:val="center"/>
          </w:tcPr>
          <w:p>
            <w:pPr>
              <w:spacing w:after="0" w:line="380" w:lineRule="exact"/>
              <w:jc w:val="center"/>
              <w:rPr>
                <w:rFonts w:ascii="宋体" w:hAnsi="宋体" w:eastAsia="宋体"/>
                <w:color w:val="auto"/>
                <w:sz w:val="24"/>
                <w:highlight w:val="none"/>
              </w:rPr>
            </w:pPr>
            <w:r>
              <w:rPr>
                <w:rFonts w:hint="eastAsia" w:ascii="宋体" w:hAnsi="宋体" w:eastAsia="宋体"/>
                <w:color w:val="auto"/>
                <w:sz w:val="24"/>
                <w:highlight w:val="none"/>
              </w:rPr>
              <w:t>序号</w:t>
            </w:r>
          </w:p>
        </w:tc>
        <w:tc>
          <w:tcPr>
            <w:tcW w:w="1233" w:type="dxa"/>
            <w:vAlign w:val="center"/>
          </w:tcPr>
          <w:p>
            <w:pPr>
              <w:spacing w:after="0" w:line="380" w:lineRule="exact"/>
              <w:jc w:val="center"/>
              <w:rPr>
                <w:rFonts w:ascii="宋体" w:hAnsi="宋体" w:eastAsia="宋体"/>
                <w:color w:val="auto"/>
                <w:sz w:val="24"/>
                <w:highlight w:val="none"/>
              </w:rPr>
            </w:pPr>
            <w:r>
              <w:rPr>
                <w:rFonts w:hint="eastAsia" w:ascii="宋体" w:hAnsi="宋体" w:eastAsia="宋体"/>
                <w:color w:val="auto"/>
                <w:sz w:val="24"/>
                <w:highlight w:val="none"/>
              </w:rPr>
              <w:t>货物名称</w:t>
            </w:r>
          </w:p>
        </w:tc>
        <w:tc>
          <w:tcPr>
            <w:tcW w:w="1059" w:type="dxa"/>
            <w:vAlign w:val="center"/>
          </w:tcPr>
          <w:p>
            <w:pPr>
              <w:spacing w:after="0" w:line="380" w:lineRule="exact"/>
              <w:jc w:val="center"/>
              <w:rPr>
                <w:rFonts w:ascii="宋体" w:hAnsi="宋体" w:eastAsia="宋体"/>
                <w:color w:val="auto"/>
                <w:sz w:val="24"/>
                <w:highlight w:val="none"/>
              </w:rPr>
            </w:pPr>
            <w:r>
              <w:rPr>
                <w:rFonts w:hint="eastAsia" w:ascii="宋体" w:hAnsi="宋体" w:eastAsia="宋体"/>
                <w:color w:val="auto"/>
                <w:sz w:val="24"/>
                <w:highlight w:val="none"/>
              </w:rPr>
              <w:t>商标品牌</w:t>
            </w:r>
          </w:p>
        </w:tc>
        <w:tc>
          <w:tcPr>
            <w:tcW w:w="1233" w:type="dxa"/>
            <w:vAlign w:val="center"/>
          </w:tcPr>
          <w:p>
            <w:pPr>
              <w:spacing w:after="0" w:line="380" w:lineRule="exact"/>
              <w:jc w:val="center"/>
              <w:rPr>
                <w:rFonts w:ascii="宋体" w:hAnsi="宋体" w:eastAsia="宋体"/>
                <w:color w:val="auto"/>
                <w:sz w:val="24"/>
                <w:highlight w:val="none"/>
              </w:rPr>
            </w:pPr>
            <w:r>
              <w:rPr>
                <w:rFonts w:hint="eastAsia" w:ascii="宋体" w:hAnsi="宋体" w:eastAsia="宋体"/>
                <w:color w:val="auto"/>
                <w:sz w:val="24"/>
                <w:highlight w:val="none"/>
              </w:rPr>
              <w:t>规格型号、参数</w:t>
            </w:r>
          </w:p>
        </w:tc>
        <w:tc>
          <w:tcPr>
            <w:tcW w:w="1210" w:type="dxa"/>
            <w:vAlign w:val="center"/>
          </w:tcPr>
          <w:p>
            <w:pPr>
              <w:spacing w:after="0" w:line="380" w:lineRule="exact"/>
              <w:jc w:val="center"/>
              <w:rPr>
                <w:rFonts w:ascii="宋体" w:hAnsi="宋体" w:eastAsia="宋体"/>
                <w:color w:val="auto"/>
                <w:sz w:val="24"/>
                <w:highlight w:val="none"/>
              </w:rPr>
            </w:pPr>
            <w:r>
              <w:rPr>
                <w:rFonts w:hint="eastAsia" w:ascii="宋体" w:hAnsi="宋体" w:eastAsia="宋体"/>
                <w:color w:val="auto"/>
                <w:sz w:val="24"/>
                <w:highlight w:val="none"/>
              </w:rPr>
              <w:t>生产厂家</w:t>
            </w:r>
          </w:p>
        </w:tc>
        <w:tc>
          <w:tcPr>
            <w:tcW w:w="908" w:type="dxa"/>
            <w:vAlign w:val="center"/>
          </w:tcPr>
          <w:p>
            <w:pPr>
              <w:spacing w:after="0" w:line="380" w:lineRule="exact"/>
              <w:jc w:val="center"/>
              <w:rPr>
                <w:rFonts w:ascii="宋体" w:hAnsi="宋体" w:eastAsia="宋体"/>
                <w:color w:val="auto"/>
                <w:sz w:val="24"/>
                <w:highlight w:val="none"/>
              </w:rPr>
            </w:pPr>
            <w:r>
              <w:rPr>
                <w:rFonts w:hint="eastAsia" w:ascii="宋体" w:hAnsi="宋体" w:eastAsia="宋体"/>
                <w:color w:val="auto"/>
                <w:sz w:val="24"/>
                <w:highlight w:val="none"/>
              </w:rPr>
              <w:t>数量</w:t>
            </w:r>
          </w:p>
        </w:tc>
        <w:tc>
          <w:tcPr>
            <w:tcW w:w="668" w:type="dxa"/>
            <w:vAlign w:val="center"/>
          </w:tcPr>
          <w:p>
            <w:pPr>
              <w:spacing w:after="0" w:line="380" w:lineRule="exact"/>
              <w:jc w:val="center"/>
              <w:rPr>
                <w:rFonts w:ascii="宋体" w:hAnsi="宋体" w:eastAsia="宋体"/>
                <w:color w:val="auto"/>
                <w:sz w:val="24"/>
                <w:highlight w:val="none"/>
              </w:rPr>
            </w:pPr>
            <w:r>
              <w:rPr>
                <w:rFonts w:hint="eastAsia" w:ascii="宋体" w:hAnsi="宋体" w:eastAsia="宋体"/>
                <w:color w:val="auto"/>
                <w:sz w:val="24"/>
                <w:highlight w:val="none"/>
              </w:rPr>
              <w:t>单位</w:t>
            </w:r>
          </w:p>
        </w:tc>
        <w:tc>
          <w:tcPr>
            <w:tcW w:w="947" w:type="dxa"/>
            <w:vAlign w:val="center"/>
          </w:tcPr>
          <w:p>
            <w:pPr>
              <w:spacing w:after="0" w:line="380" w:lineRule="exact"/>
              <w:jc w:val="center"/>
              <w:rPr>
                <w:rFonts w:ascii="宋体" w:hAnsi="宋体" w:eastAsia="宋体"/>
                <w:color w:val="auto"/>
                <w:sz w:val="24"/>
                <w:highlight w:val="none"/>
              </w:rPr>
            </w:pPr>
            <w:r>
              <w:rPr>
                <w:rFonts w:hint="eastAsia" w:ascii="宋体" w:hAnsi="宋体" w:eastAsia="宋体"/>
                <w:color w:val="auto"/>
                <w:sz w:val="24"/>
                <w:highlight w:val="none"/>
              </w:rPr>
              <w:t>单价</w:t>
            </w:r>
          </w:p>
          <w:p>
            <w:pPr>
              <w:spacing w:after="0" w:line="380" w:lineRule="exact"/>
              <w:jc w:val="center"/>
              <w:rPr>
                <w:rFonts w:ascii="宋体" w:hAnsi="宋体" w:eastAsia="宋体"/>
                <w:color w:val="auto"/>
                <w:sz w:val="24"/>
                <w:highlight w:val="none"/>
              </w:rPr>
            </w:pPr>
            <w:r>
              <w:rPr>
                <w:rFonts w:hint="eastAsia" w:ascii="宋体" w:hAnsi="宋体" w:eastAsia="宋体"/>
                <w:color w:val="auto"/>
                <w:sz w:val="24"/>
                <w:highlight w:val="none"/>
              </w:rPr>
              <w:t>（元）</w:t>
            </w:r>
          </w:p>
        </w:tc>
        <w:tc>
          <w:tcPr>
            <w:tcW w:w="1573" w:type="dxa"/>
            <w:vAlign w:val="center"/>
          </w:tcPr>
          <w:p>
            <w:pPr>
              <w:spacing w:after="0" w:line="380" w:lineRule="exact"/>
              <w:jc w:val="center"/>
              <w:rPr>
                <w:rFonts w:ascii="宋体" w:hAnsi="宋体" w:eastAsia="宋体"/>
                <w:color w:val="auto"/>
                <w:sz w:val="24"/>
                <w:highlight w:val="none"/>
              </w:rPr>
            </w:pPr>
            <w:r>
              <w:rPr>
                <w:rFonts w:hint="eastAsia" w:ascii="宋体" w:hAnsi="宋体" w:eastAsia="宋体"/>
                <w:color w:val="auto"/>
                <w:sz w:val="24"/>
                <w:highlight w:val="none"/>
              </w:rPr>
              <w:t>金额</w:t>
            </w:r>
          </w:p>
          <w:p>
            <w:pPr>
              <w:spacing w:after="0" w:line="380" w:lineRule="exact"/>
              <w:jc w:val="center"/>
              <w:rPr>
                <w:rFonts w:ascii="宋体" w:hAnsi="宋体" w:eastAsia="宋体"/>
                <w:color w:val="auto"/>
                <w:sz w:val="24"/>
                <w:highlight w:val="none"/>
              </w:rPr>
            </w:pPr>
            <w:r>
              <w:rPr>
                <w:rFonts w:hint="eastAsia" w:ascii="宋体" w:hAnsi="宋体" w:eastAsia="宋体"/>
                <w:color w:val="auto"/>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vAlign w:val="center"/>
          </w:tcPr>
          <w:p>
            <w:pPr>
              <w:spacing w:line="500" w:lineRule="exact"/>
              <w:jc w:val="center"/>
              <w:rPr>
                <w:rFonts w:ascii="宋体" w:hAnsi="宋体" w:eastAsia="宋体"/>
                <w:color w:val="auto"/>
                <w:sz w:val="24"/>
                <w:highlight w:val="none"/>
              </w:rPr>
            </w:pPr>
            <w:r>
              <w:rPr>
                <w:rFonts w:hint="eastAsia" w:ascii="宋体" w:hAnsi="宋体" w:eastAsia="宋体"/>
                <w:color w:val="auto"/>
                <w:sz w:val="24"/>
                <w:highlight w:val="none"/>
              </w:rPr>
              <w:t>1</w:t>
            </w:r>
          </w:p>
        </w:tc>
        <w:tc>
          <w:tcPr>
            <w:tcW w:w="1233" w:type="dxa"/>
            <w:vAlign w:val="center"/>
          </w:tcPr>
          <w:p>
            <w:pPr>
              <w:spacing w:line="500" w:lineRule="exact"/>
              <w:rPr>
                <w:rFonts w:ascii="宋体" w:hAnsi="宋体" w:eastAsia="宋体"/>
                <w:color w:val="auto"/>
                <w:sz w:val="24"/>
                <w:highlight w:val="none"/>
              </w:rPr>
            </w:pPr>
          </w:p>
        </w:tc>
        <w:tc>
          <w:tcPr>
            <w:tcW w:w="1059" w:type="dxa"/>
            <w:vAlign w:val="center"/>
          </w:tcPr>
          <w:p>
            <w:pPr>
              <w:spacing w:line="500" w:lineRule="exact"/>
              <w:rPr>
                <w:rFonts w:ascii="宋体" w:hAnsi="宋体" w:eastAsia="宋体"/>
                <w:color w:val="auto"/>
                <w:sz w:val="24"/>
                <w:highlight w:val="none"/>
              </w:rPr>
            </w:pPr>
          </w:p>
        </w:tc>
        <w:tc>
          <w:tcPr>
            <w:tcW w:w="1233" w:type="dxa"/>
            <w:vAlign w:val="center"/>
          </w:tcPr>
          <w:p>
            <w:pPr>
              <w:spacing w:line="500" w:lineRule="exact"/>
              <w:rPr>
                <w:rFonts w:ascii="宋体" w:hAnsi="宋体" w:eastAsia="宋体"/>
                <w:color w:val="auto"/>
                <w:sz w:val="24"/>
                <w:highlight w:val="none"/>
              </w:rPr>
            </w:pPr>
          </w:p>
        </w:tc>
        <w:tc>
          <w:tcPr>
            <w:tcW w:w="1210" w:type="dxa"/>
          </w:tcPr>
          <w:p>
            <w:pPr>
              <w:spacing w:line="500" w:lineRule="exact"/>
              <w:rPr>
                <w:rFonts w:ascii="宋体" w:hAnsi="宋体" w:eastAsia="宋体"/>
                <w:color w:val="auto"/>
                <w:sz w:val="24"/>
                <w:highlight w:val="none"/>
              </w:rPr>
            </w:pPr>
          </w:p>
        </w:tc>
        <w:tc>
          <w:tcPr>
            <w:tcW w:w="908" w:type="dxa"/>
          </w:tcPr>
          <w:p>
            <w:pPr>
              <w:spacing w:line="500" w:lineRule="exact"/>
              <w:rPr>
                <w:rFonts w:ascii="宋体" w:hAnsi="宋体" w:eastAsia="宋体"/>
                <w:color w:val="auto"/>
                <w:sz w:val="24"/>
                <w:highlight w:val="none"/>
              </w:rPr>
            </w:pPr>
          </w:p>
        </w:tc>
        <w:tc>
          <w:tcPr>
            <w:tcW w:w="668" w:type="dxa"/>
          </w:tcPr>
          <w:p>
            <w:pPr>
              <w:spacing w:line="500" w:lineRule="exact"/>
              <w:rPr>
                <w:rFonts w:ascii="宋体" w:hAnsi="宋体" w:eastAsia="宋体"/>
                <w:color w:val="auto"/>
                <w:sz w:val="24"/>
                <w:highlight w:val="none"/>
              </w:rPr>
            </w:pPr>
          </w:p>
        </w:tc>
        <w:tc>
          <w:tcPr>
            <w:tcW w:w="947" w:type="dxa"/>
            <w:vAlign w:val="center"/>
          </w:tcPr>
          <w:p>
            <w:pPr>
              <w:spacing w:line="500" w:lineRule="exact"/>
              <w:rPr>
                <w:rFonts w:ascii="宋体" w:hAnsi="宋体" w:eastAsia="宋体"/>
                <w:color w:val="auto"/>
                <w:sz w:val="24"/>
                <w:highlight w:val="none"/>
              </w:rPr>
            </w:pPr>
          </w:p>
        </w:tc>
        <w:tc>
          <w:tcPr>
            <w:tcW w:w="1573" w:type="dxa"/>
            <w:vAlign w:val="center"/>
          </w:tcPr>
          <w:p>
            <w:pPr>
              <w:spacing w:line="500" w:lineRule="exact"/>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vAlign w:val="center"/>
          </w:tcPr>
          <w:p>
            <w:pPr>
              <w:spacing w:line="500" w:lineRule="exact"/>
              <w:jc w:val="center"/>
              <w:rPr>
                <w:rFonts w:ascii="宋体" w:hAnsi="宋体" w:eastAsia="宋体"/>
                <w:color w:val="auto"/>
                <w:sz w:val="24"/>
                <w:highlight w:val="none"/>
              </w:rPr>
            </w:pPr>
            <w:r>
              <w:rPr>
                <w:rFonts w:hint="eastAsia" w:ascii="宋体" w:hAnsi="宋体" w:eastAsia="宋体"/>
                <w:color w:val="auto"/>
                <w:sz w:val="24"/>
                <w:highlight w:val="none"/>
              </w:rPr>
              <w:t>2</w:t>
            </w:r>
          </w:p>
        </w:tc>
        <w:tc>
          <w:tcPr>
            <w:tcW w:w="1233" w:type="dxa"/>
            <w:vAlign w:val="center"/>
          </w:tcPr>
          <w:p>
            <w:pPr>
              <w:spacing w:line="500" w:lineRule="exact"/>
              <w:rPr>
                <w:rFonts w:ascii="宋体" w:hAnsi="宋体" w:eastAsia="宋体"/>
                <w:color w:val="auto"/>
                <w:sz w:val="24"/>
                <w:highlight w:val="none"/>
              </w:rPr>
            </w:pPr>
          </w:p>
        </w:tc>
        <w:tc>
          <w:tcPr>
            <w:tcW w:w="1059" w:type="dxa"/>
            <w:vAlign w:val="center"/>
          </w:tcPr>
          <w:p>
            <w:pPr>
              <w:spacing w:line="500" w:lineRule="exact"/>
              <w:rPr>
                <w:rFonts w:ascii="宋体" w:hAnsi="宋体" w:eastAsia="宋体"/>
                <w:color w:val="auto"/>
                <w:sz w:val="24"/>
                <w:highlight w:val="none"/>
              </w:rPr>
            </w:pPr>
          </w:p>
        </w:tc>
        <w:tc>
          <w:tcPr>
            <w:tcW w:w="1233" w:type="dxa"/>
            <w:vAlign w:val="center"/>
          </w:tcPr>
          <w:p>
            <w:pPr>
              <w:spacing w:line="500" w:lineRule="exact"/>
              <w:rPr>
                <w:rFonts w:ascii="宋体" w:hAnsi="宋体" w:eastAsia="宋体"/>
                <w:color w:val="auto"/>
                <w:sz w:val="24"/>
                <w:highlight w:val="none"/>
              </w:rPr>
            </w:pPr>
          </w:p>
        </w:tc>
        <w:tc>
          <w:tcPr>
            <w:tcW w:w="1210" w:type="dxa"/>
          </w:tcPr>
          <w:p>
            <w:pPr>
              <w:spacing w:line="500" w:lineRule="exact"/>
              <w:rPr>
                <w:rFonts w:ascii="宋体" w:hAnsi="宋体" w:eastAsia="宋体"/>
                <w:color w:val="auto"/>
                <w:sz w:val="24"/>
                <w:highlight w:val="none"/>
              </w:rPr>
            </w:pPr>
          </w:p>
        </w:tc>
        <w:tc>
          <w:tcPr>
            <w:tcW w:w="908" w:type="dxa"/>
          </w:tcPr>
          <w:p>
            <w:pPr>
              <w:spacing w:line="500" w:lineRule="exact"/>
              <w:rPr>
                <w:rFonts w:ascii="宋体" w:hAnsi="宋体" w:eastAsia="宋体"/>
                <w:color w:val="auto"/>
                <w:sz w:val="24"/>
                <w:highlight w:val="none"/>
              </w:rPr>
            </w:pPr>
          </w:p>
        </w:tc>
        <w:tc>
          <w:tcPr>
            <w:tcW w:w="668" w:type="dxa"/>
          </w:tcPr>
          <w:p>
            <w:pPr>
              <w:spacing w:line="500" w:lineRule="exact"/>
              <w:rPr>
                <w:rFonts w:ascii="宋体" w:hAnsi="宋体" w:eastAsia="宋体"/>
                <w:color w:val="auto"/>
                <w:sz w:val="24"/>
                <w:highlight w:val="none"/>
              </w:rPr>
            </w:pPr>
          </w:p>
        </w:tc>
        <w:tc>
          <w:tcPr>
            <w:tcW w:w="947" w:type="dxa"/>
            <w:vAlign w:val="center"/>
          </w:tcPr>
          <w:p>
            <w:pPr>
              <w:spacing w:line="500" w:lineRule="exact"/>
              <w:rPr>
                <w:rFonts w:ascii="宋体" w:hAnsi="宋体" w:eastAsia="宋体"/>
                <w:color w:val="auto"/>
                <w:sz w:val="24"/>
                <w:highlight w:val="none"/>
              </w:rPr>
            </w:pPr>
          </w:p>
        </w:tc>
        <w:tc>
          <w:tcPr>
            <w:tcW w:w="1573" w:type="dxa"/>
            <w:vAlign w:val="center"/>
          </w:tcPr>
          <w:p>
            <w:pPr>
              <w:spacing w:line="500" w:lineRule="exact"/>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vAlign w:val="center"/>
          </w:tcPr>
          <w:p>
            <w:pPr>
              <w:spacing w:line="500" w:lineRule="exact"/>
              <w:jc w:val="center"/>
              <w:rPr>
                <w:rFonts w:ascii="宋体" w:hAnsi="宋体" w:eastAsia="宋体"/>
                <w:color w:val="auto"/>
                <w:sz w:val="24"/>
                <w:highlight w:val="none"/>
              </w:rPr>
            </w:pPr>
            <w:r>
              <w:rPr>
                <w:rFonts w:hint="eastAsia" w:ascii="宋体" w:hAnsi="宋体" w:eastAsia="宋体"/>
                <w:color w:val="auto"/>
                <w:sz w:val="24"/>
                <w:highlight w:val="none"/>
              </w:rPr>
              <w:t>3</w:t>
            </w:r>
          </w:p>
        </w:tc>
        <w:tc>
          <w:tcPr>
            <w:tcW w:w="1233" w:type="dxa"/>
            <w:vAlign w:val="center"/>
          </w:tcPr>
          <w:p>
            <w:pPr>
              <w:spacing w:line="500" w:lineRule="exact"/>
              <w:rPr>
                <w:rFonts w:ascii="宋体" w:hAnsi="宋体" w:eastAsia="宋体"/>
                <w:color w:val="auto"/>
                <w:sz w:val="24"/>
                <w:highlight w:val="none"/>
              </w:rPr>
            </w:pPr>
          </w:p>
        </w:tc>
        <w:tc>
          <w:tcPr>
            <w:tcW w:w="1059" w:type="dxa"/>
            <w:vAlign w:val="center"/>
          </w:tcPr>
          <w:p>
            <w:pPr>
              <w:spacing w:line="500" w:lineRule="exact"/>
              <w:rPr>
                <w:rFonts w:ascii="宋体" w:hAnsi="宋体" w:eastAsia="宋体"/>
                <w:color w:val="auto"/>
                <w:sz w:val="24"/>
                <w:highlight w:val="none"/>
              </w:rPr>
            </w:pPr>
          </w:p>
        </w:tc>
        <w:tc>
          <w:tcPr>
            <w:tcW w:w="1233" w:type="dxa"/>
            <w:vAlign w:val="center"/>
          </w:tcPr>
          <w:p>
            <w:pPr>
              <w:spacing w:line="500" w:lineRule="exact"/>
              <w:rPr>
                <w:rFonts w:ascii="宋体" w:hAnsi="宋体" w:eastAsia="宋体"/>
                <w:color w:val="auto"/>
                <w:sz w:val="24"/>
                <w:highlight w:val="none"/>
              </w:rPr>
            </w:pPr>
          </w:p>
        </w:tc>
        <w:tc>
          <w:tcPr>
            <w:tcW w:w="1210" w:type="dxa"/>
          </w:tcPr>
          <w:p>
            <w:pPr>
              <w:spacing w:line="500" w:lineRule="exact"/>
              <w:rPr>
                <w:rFonts w:ascii="宋体" w:hAnsi="宋体" w:eastAsia="宋体"/>
                <w:color w:val="auto"/>
                <w:sz w:val="24"/>
                <w:highlight w:val="none"/>
              </w:rPr>
            </w:pPr>
          </w:p>
        </w:tc>
        <w:tc>
          <w:tcPr>
            <w:tcW w:w="908" w:type="dxa"/>
          </w:tcPr>
          <w:p>
            <w:pPr>
              <w:spacing w:line="500" w:lineRule="exact"/>
              <w:rPr>
                <w:rFonts w:ascii="宋体" w:hAnsi="宋体" w:eastAsia="宋体"/>
                <w:color w:val="auto"/>
                <w:sz w:val="24"/>
                <w:highlight w:val="none"/>
              </w:rPr>
            </w:pPr>
          </w:p>
        </w:tc>
        <w:tc>
          <w:tcPr>
            <w:tcW w:w="668" w:type="dxa"/>
          </w:tcPr>
          <w:p>
            <w:pPr>
              <w:spacing w:line="500" w:lineRule="exact"/>
              <w:rPr>
                <w:rFonts w:ascii="宋体" w:hAnsi="宋体" w:eastAsia="宋体"/>
                <w:color w:val="auto"/>
                <w:sz w:val="24"/>
                <w:highlight w:val="none"/>
              </w:rPr>
            </w:pPr>
          </w:p>
        </w:tc>
        <w:tc>
          <w:tcPr>
            <w:tcW w:w="947" w:type="dxa"/>
            <w:vAlign w:val="center"/>
          </w:tcPr>
          <w:p>
            <w:pPr>
              <w:spacing w:line="500" w:lineRule="exact"/>
              <w:rPr>
                <w:rFonts w:ascii="宋体" w:hAnsi="宋体" w:eastAsia="宋体"/>
                <w:color w:val="auto"/>
                <w:sz w:val="24"/>
                <w:highlight w:val="none"/>
              </w:rPr>
            </w:pPr>
          </w:p>
        </w:tc>
        <w:tc>
          <w:tcPr>
            <w:tcW w:w="1573" w:type="dxa"/>
            <w:vAlign w:val="center"/>
          </w:tcPr>
          <w:p>
            <w:pPr>
              <w:spacing w:line="500" w:lineRule="exact"/>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540" w:type="dxa"/>
            <w:gridSpan w:val="9"/>
            <w:vAlign w:val="center"/>
          </w:tcPr>
          <w:p>
            <w:pPr>
              <w:spacing w:line="500" w:lineRule="exact"/>
              <w:rPr>
                <w:rFonts w:ascii="宋体" w:hAnsi="宋体" w:eastAsia="宋体"/>
                <w:color w:val="auto"/>
                <w:sz w:val="24"/>
                <w:highlight w:val="none"/>
              </w:rPr>
            </w:pPr>
            <w:r>
              <w:rPr>
                <w:rFonts w:hint="eastAsia" w:ascii="宋体" w:hAnsi="宋体" w:eastAsia="宋体"/>
                <w:color w:val="auto"/>
                <w:sz w:val="24"/>
                <w:highlight w:val="none"/>
              </w:rPr>
              <w:t>人民币合计金额：</w:t>
            </w:r>
          </w:p>
        </w:tc>
      </w:tr>
    </w:tbl>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2、合同合计金额包括</w:t>
      </w:r>
      <w:r>
        <w:rPr>
          <w:rFonts w:hint="eastAsia" w:ascii="宋体" w:hAnsi="宋体" w:eastAsia="宋体"/>
          <w:color w:val="auto"/>
          <w:highlight w:val="none"/>
        </w:rPr>
        <w:t>货物、货物标准附件、备品备件、专用工具、设备安装辅材、施工辅材、包装、运输、装卸、保险、货到就位的各种费用以及安装、调试、本采购文件所列设备材料需进行补充完善才能完成本项目的或实际采购中产品材料有任何遗漏的费用（含本项目需要但本文件中未列出的设备材料）、税金、售后服务、技术培训及其他所有成本费用</w:t>
      </w:r>
      <w:r>
        <w:rPr>
          <w:rFonts w:hint="eastAsia" w:ascii="宋体" w:hAnsi="宋体" w:eastAsia="宋体"/>
          <w:color w:val="auto"/>
          <w:sz w:val="24"/>
          <w:highlight w:val="none"/>
        </w:rPr>
        <w:t>。如采购文件对其另有规定的，从其规定。</w:t>
      </w:r>
    </w:p>
    <w:p>
      <w:pPr>
        <w:spacing w:after="0" w:line="400" w:lineRule="exact"/>
        <w:ind w:firstLine="482" w:firstLineChars="200"/>
        <w:jc w:val="both"/>
        <w:rPr>
          <w:rFonts w:ascii="宋体" w:hAnsi="宋体" w:eastAsia="宋体"/>
          <w:b/>
          <w:color w:val="auto"/>
          <w:sz w:val="24"/>
          <w:highlight w:val="none"/>
        </w:rPr>
      </w:pPr>
      <w:r>
        <w:rPr>
          <w:rFonts w:hint="eastAsia" w:ascii="宋体" w:hAnsi="宋体" w:eastAsia="宋体"/>
          <w:b/>
          <w:color w:val="auto"/>
          <w:sz w:val="24"/>
          <w:highlight w:val="none"/>
        </w:rPr>
        <w:t>第二条　权利保证</w:t>
      </w:r>
    </w:p>
    <w:p>
      <w:pPr>
        <w:spacing w:after="0" w:line="400" w:lineRule="exact"/>
        <w:ind w:firstLine="480" w:firstLineChars="200"/>
        <w:jc w:val="both"/>
        <w:rPr>
          <w:rFonts w:ascii="宋体" w:hAnsi="宋体" w:eastAsia="宋体"/>
          <w:color w:val="auto"/>
          <w:sz w:val="24"/>
          <w:highlight w:val="none"/>
        </w:rPr>
      </w:pPr>
      <w:r>
        <w:rPr>
          <w:rFonts w:hint="eastAsia" w:ascii="宋体" w:hAnsi="宋体" w:eastAsia="宋体"/>
          <w:color w:val="auto"/>
          <w:sz w:val="24"/>
          <w:highlight w:val="none"/>
        </w:rPr>
        <w:t>1、乙方应保证所提供货物在使用时不会侵犯任何第三方的专利权、商标权、工业设计权或其他权利。</w:t>
      </w:r>
    </w:p>
    <w:p>
      <w:pPr>
        <w:spacing w:after="0" w:line="400" w:lineRule="exact"/>
        <w:ind w:firstLine="480" w:firstLineChars="200"/>
        <w:jc w:val="both"/>
        <w:rPr>
          <w:rFonts w:ascii="宋体" w:hAnsi="宋体" w:eastAsia="宋体"/>
          <w:color w:val="auto"/>
          <w:sz w:val="24"/>
          <w:highlight w:val="none"/>
        </w:rPr>
      </w:pPr>
      <w:r>
        <w:rPr>
          <w:rFonts w:ascii="宋体" w:hAnsi="宋体" w:eastAsia="宋体"/>
          <w:color w:val="auto"/>
          <w:sz w:val="24"/>
          <w:highlight w:val="none"/>
        </w:rPr>
        <w:t>2</w:t>
      </w:r>
      <w:r>
        <w:rPr>
          <w:rFonts w:hint="eastAsia" w:ascii="宋体" w:hAnsi="宋体" w:eastAsia="宋体"/>
          <w:color w:val="auto"/>
          <w:sz w:val="24"/>
          <w:highlight w:val="none"/>
        </w:rPr>
        <w:t>、乙方应按采购文件规定的时间向甲方提供使用货物的有关技术资料。</w:t>
      </w:r>
    </w:p>
    <w:p>
      <w:pPr>
        <w:spacing w:after="0" w:line="400" w:lineRule="exact"/>
        <w:ind w:firstLine="480" w:firstLineChars="200"/>
        <w:jc w:val="both"/>
        <w:rPr>
          <w:rFonts w:ascii="宋体" w:hAnsi="宋体" w:eastAsia="宋体"/>
          <w:color w:val="auto"/>
          <w:sz w:val="24"/>
          <w:highlight w:val="none"/>
        </w:rPr>
      </w:pPr>
      <w:r>
        <w:rPr>
          <w:rFonts w:ascii="宋体" w:hAnsi="宋体" w:eastAsia="宋体"/>
          <w:color w:val="auto"/>
          <w:sz w:val="24"/>
          <w:highlight w:val="none"/>
        </w:rPr>
        <w:t>3</w:t>
      </w:r>
      <w:r>
        <w:rPr>
          <w:rFonts w:hint="eastAsia" w:ascii="宋体" w:hAnsi="宋体" w:eastAsia="宋体"/>
          <w:color w:val="auto"/>
          <w:sz w:val="24"/>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after="0" w:line="400" w:lineRule="exact"/>
        <w:ind w:firstLine="480" w:firstLineChars="200"/>
        <w:jc w:val="both"/>
        <w:rPr>
          <w:rFonts w:ascii="宋体" w:hAnsi="宋体" w:eastAsia="宋体"/>
          <w:color w:val="auto"/>
          <w:sz w:val="24"/>
          <w:highlight w:val="none"/>
          <w:u w:val="single"/>
        </w:rPr>
      </w:pPr>
      <w:r>
        <w:rPr>
          <w:rFonts w:hint="eastAsia" w:ascii="宋体" w:hAnsi="宋体" w:eastAsia="宋体"/>
          <w:color w:val="auto"/>
          <w:sz w:val="24"/>
          <w:highlight w:val="none"/>
        </w:rPr>
        <w:t>4、乙方保证所交付的货物的所有权完全属于乙方且无任何抵押、质押、查封等产权瑕疵。</w:t>
      </w:r>
    </w:p>
    <w:p>
      <w:pPr>
        <w:spacing w:after="0" w:line="400" w:lineRule="exact"/>
        <w:ind w:firstLine="482" w:firstLineChars="200"/>
        <w:jc w:val="both"/>
        <w:rPr>
          <w:rFonts w:ascii="宋体" w:hAnsi="宋体" w:eastAsia="宋体"/>
          <w:b/>
          <w:color w:val="auto"/>
          <w:sz w:val="24"/>
          <w:highlight w:val="none"/>
        </w:rPr>
      </w:pPr>
      <w:r>
        <w:rPr>
          <w:rFonts w:hint="eastAsia" w:ascii="宋体" w:hAnsi="宋体" w:eastAsia="宋体"/>
          <w:b/>
          <w:color w:val="auto"/>
          <w:sz w:val="24"/>
          <w:highlight w:val="none"/>
        </w:rPr>
        <w:t>第三条　包装和运输</w:t>
      </w:r>
    </w:p>
    <w:p>
      <w:pPr>
        <w:spacing w:after="0" w:line="400" w:lineRule="exact"/>
        <w:ind w:firstLine="480" w:firstLineChars="200"/>
        <w:jc w:val="both"/>
        <w:rPr>
          <w:rFonts w:ascii="宋体" w:hAnsi="宋体" w:eastAsia="宋体"/>
          <w:color w:val="auto"/>
          <w:sz w:val="24"/>
          <w:highlight w:val="none"/>
        </w:rPr>
      </w:pPr>
      <w:r>
        <w:rPr>
          <w:rFonts w:hint="eastAsia" w:ascii="宋体" w:hAnsi="宋体" w:eastAsia="宋体"/>
          <w:color w:val="auto"/>
          <w:sz w:val="24"/>
          <w:highlight w:val="none"/>
        </w:rPr>
        <w:t>1.乙方提供的货物均应按采购文件要求及响应文件承诺的包装材料、包装标准、包装方式进行包装，每一包装单元内应附详细的装箱单和质量合格证。</w:t>
      </w:r>
    </w:p>
    <w:p>
      <w:pPr>
        <w:spacing w:after="0" w:line="400" w:lineRule="exact"/>
        <w:ind w:firstLine="480" w:firstLineChars="200"/>
        <w:jc w:val="both"/>
        <w:rPr>
          <w:rFonts w:ascii="宋体" w:hAnsi="宋体" w:eastAsia="宋体"/>
          <w:color w:val="auto"/>
          <w:sz w:val="24"/>
          <w:highlight w:val="none"/>
        </w:rPr>
      </w:pPr>
      <w:r>
        <w:rPr>
          <w:rFonts w:ascii="宋体" w:hAnsi="宋体" w:eastAsia="宋体"/>
          <w:color w:val="auto"/>
          <w:sz w:val="24"/>
          <w:highlight w:val="none"/>
        </w:rPr>
        <w:t>2</w:t>
      </w:r>
      <w:r>
        <w:rPr>
          <w:rFonts w:hint="eastAsia" w:ascii="宋体" w:hAnsi="宋体" w:eastAsia="宋体"/>
          <w:color w:val="auto"/>
          <w:sz w:val="24"/>
          <w:highlight w:val="none"/>
        </w:rPr>
        <w:t>.乙方应在货物发运前对其进行满足运输距离、防潮、防震、防锈和防破损装卸等要求包装，以保证货物安全运达甲方指定地点。</w:t>
      </w:r>
    </w:p>
    <w:p>
      <w:pPr>
        <w:spacing w:after="0" w:line="400" w:lineRule="exact"/>
        <w:ind w:firstLine="480" w:firstLineChars="200"/>
        <w:jc w:val="both"/>
        <w:rPr>
          <w:rFonts w:ascii="宋体" w:hAnsi="宋体" w:eastAsia="宋体"/>
          <w:color w:val="auto"/>
          <w:sz w:val="24"/>
          <w:highlight w:val="none"/>
        </w:rPr>
      </w:pPr>
      <w:r>
        <w:rPr>
          <w:rFonts w:ascii="宋体" w:hAnsi="宋体" w:eastAsia="宋体"/>
          <w:color w:val="auto"/>
          <w:sz w:val="24"/>
          <w:highlight w:val="none"/>
        </w:rPr>
        <w:t>3</w:t>
      </w:r>
      <w:r>
        <w:rPr>
          <w:rFonts w:hint="eastAsia" w:ascii="宋体" w:hAnsi="宋体" w:eastAsia="宋体"/>
          <w:color w:val="auto"/>
          <w:sz w:val="24"/>
          <w:highlight w:val="none"/>
        </w:rPr>
        <w:t>.使用说明书、质量检验证明书、随配附件和工具以及清单一并附于货物内。</w:t>
      </w:r>
    </w:p>
    <w:p>
      <w:pPr>
        <w:spacing w:after="0" w:line="400" w:lineRule="exact"/>
        <w:ind w:firstLine="480" w:firstLineChars="200"/>
        <w:jc w:val="both"/>
        <w:rPr>
          <w:rFonts w:ascii="宋体" w:hAnsi="宋体" w:eastAsia="宋体"/>
          <w:color w:val="auto"/>
          <w:sz w:val="24"/>
          <w:highlight w:val="none"/>
        </w:rPr>
      </w:pPr>
      <w:r>
        <w:rPr>
          <w:rFonts w:ascii="宋体" w:hAnsi="宋体" w:eastAsia="宋体"/>
          <w:color w:val="auto"/>
          <w:sz w:val="24"/>
          <w:highlight w:val="none"/>
        </w:rPr>
        <w:t>4</w:t>
      </w:r>
      <w:r>
        <w:rPr>
          <w:rFonts w:hint="eastAsia" w:ascii="宋体" w:hAnsi="宋体" w:eastAsia="宋体"/>
          <w:color w:val="auto"/>
          <w:sz w:val="24"/>
          <w:highlight w:val="none"/>
        </w:rPr>
        <w:t>.乙方在货物发运手续办理完毕后二十四小时内或货到甲方四十八小时前通知甲方，以准备接货。</w:t>
      </w:r>
    </w:p>
    <w:p>
      <w:pPr>
        <w:spacing w:after="0" w:line="400" w:lineRule="exact"/>
        <w:ind w:firstLine="480" w:firstLineChars="200"/>
        <w:jc w:val="both"/>
        <w:rPr>
          <w:rFonts w:ascii="宋体" w:hAnsi="宋体" w:eastAsia="宋体"/>
          <w:color w:val="auto"/>
          <w:sz w:val="24"/>
          <w:highlight w:val="none"/>
        </w:rPr>
      </w:pPr>
      <w:r>
        <w:rPr>
          <w:rFonts w:ascii="宋体" w:hAnsi="宋体" w:eastAsia="宋体"/>
          <w:color w:val="auto"/>
          <w:sz w:val="24"/>
          <w:highlight w:val="none"/>
        </w:rPr>
        <w:t>5</w:t>
      </w:r>
      <w:r>
        <w:rPr>
          <w:rFonts w:hint="eastAsia" w:ascii="宋体" w:hAnsi="宋体" w:eastAsia="宋体"/>
          <w:color w:val="auto"/>
          <w:sz w:val="24"/>
          <w:highlight w:val="none"/>
        </w:rPr>
        <w:t>.货物的运输方式：</w:t>
      </w:r>
      <w:r>
        <w:rPr>
          <w:rFonts w:hint="eastAsia" w:ascii="宋体" w:hAnsi="宋体" w:eastAsia="宋体"/>
          <w:color w:val="auto"/>
          <w:sz w:val="24"/>
          <w:highlight w:val="none"/>
          <w:u w:val="single"/>
        </w:rPr>
        <w:t xml:space="preserve"> 不限 。</w:t>
      </w:r>
    </w:p>
    <w:p>
      <w:pPr>
        <w:spacing w:after="0" w:line="400" w:lineRule="exact"/>
        <w:ind w:firstLine="480" w:firstLineChars="200"/>
        <w:jc w:val="both"/>
        <w:rPr>
          <w:rFonts w:ascii="宋体" w:hAnsi="宋体" w:eastAsia="宋体"/>
          <w:color w:val="auto"/>
          <w:sz w:val="24"/>
          <w:highlight w:val="none"/>
        </w:rPr>
      </w:pPr>
      <w:r>
        <w:rPr>
          <w:rFonts w:ascii="宋体" w:hAnsi="宋体" w:eastAsia="宋体"/>
          <w:color w:val="auto"/>
          <w:sz w:val="24"/>
          <w:highlight w:val="none"/>
        </w:rPr>
        <w:t>6</w:t>
      </w:r>
      <w:r>
        <w:rPr>
          <w:rFonts w:hint="eastAsia" w:ascii="宋体" w:hAnsi="宋体" w:eastAsia="宋体"/>
          <w:color w:val="auto"/>
          <w:sz w:val="24"/>
          <w:highlight w:val="none"/>
        </w:rPr>
        <w:t>.货物在规定的交付期限内由乙方送达甲方指定的地点视为交付，乙方同时需通知甲方货物已送达。</w:t>
      </w:r>
    </w:p>
    <w:p>
      <w:pPr>
        <w:spacing w:after="0" w:line="400" w:lineRule="exact"/>
        <w:ind w:firstLine="480" w:firstLineChars="200"/>
        <w:jc w:val="both"/>
        <w:rPr>
          <w:rFonts w:ascii="宋体" w:hAnsi="宋体" w:eastAsia="宋体"/>
          <w:color w:val="auto"/>
          <w:sz w:val="24"/>
          <w:highlight w:val="none"/>
        </w:rPr>
      </w:pPr>
      <w:r>
        <w:rPr>
          <w:rFonts w:ascii="宋体" w:hAnsi="宋体" w:eastAsia="宋体"/>
          <w:color w:val="auto"/>
          <w:sz w:val="24"/>
          <w:highlight w:val="none"/>
        </w:rPr>
        <w:t>7</w:t>
      </w:r>
      <w:r>
        <w:rPr>
          <w:rFonts w:hint="eastAsia" w:ascii="宋体" w:hAnsi="宋体" w:eastAsia="宋体"/>
          <w:color w:val="auto"/>
          <w:sz w:val="24"/>
          <w:highlight w:val="none"/>
        </w:rPr>
        <w:t>.乙方负责货物运输，货物运输合理损耗及计算方法：</w:t>
      </w:r>
      <w:r>
        <w:rPr>
          <w:rFonts w:hint="eastAsia" w:ascii="宋体" w:hAnsi="宋体" w:eastAsia="宋体"/>
          <w:color w:val="auto"/>
          <w:sz w:val="24"/>
          <w:highlight w:val="none"/>
          <w:u w:val="single"/>
        </w:rPr>
        <w:t xml:space="preserve"> 本合同交付货物不接受损耗，由乙方自行为其货物运输办理相关保险 。</w:t>
      </w:r>
    </w:p>
    <w:p>
      <w:pPr>
        <w:spacing w:after="0" w:line="400" w:lineRule="exact"/>
        <w:ind w:firstLine="480" w:firstLineChars="200"/>
        <w:jc w:val="both"/>
        <w:rPr>
          <w:rFonts w:ascii="宋体" w:hAnsi="宋体" w:eastAsia="宋体"/>
          <w:color w:val="auto"/>
          <w:sz w:val="24"/>
          <w:highlight w:val="none"/>
        </w:rPr>
      </w:pPr>
      <w:r>
        <w:rPr>
          <w:rFonts w:ascii="宋体" w:hAnsi="宋体" w:eastAsia="宋体"/>
          <w:color w:val="auto"/>
          <w:sz w:val="24"/>
          <w:highlight w:val="none"/>
        </w:rPr>
        <w:t>8</w:t>
      </w:r>
      <w:r>
        <w:rPr>
          <w:rFonts w:hint="eastAsia" w:ascii="宋体" w:hAnsi="宋体" w:eastAsia="宋体"/>
          <w:color w:val="auto"/>
          <w:sz w:val="24"/>
          <w:highlight w:val="none"/>
        </w:rPr>
        <w:t>.货物在交付甲方前发生的风险均由乙方负责。</w:t>
      </w:r>
    </w:p>
    <w:p>
      <w:pPr>
        <w:spacing w:after="0" w:line="400" w:lineRule="exact"/>
        <w:ind w:firstLine="482" w:firstLineChars="200"/>
        <w:jc w:val="both"/>
        <w:rPr>
          <w:rFonts w:ascii="宋体" w:hAnsi="宋体" w:eastAsia="宋体"/>
          <w:b/>
          <w:color w:val="auto"/>
          <w:sz w:val="24"/>
          <w:highlight w:val="none"/>
        </w:rPr>
      </w:pPr>
      <w:r>
        <w:rPr>
          <w:rFonts w:hint="eastAsia" w:ascii="宋体" w:hAnsi="宋体" w:eastAsia="宋体"/>
          <w:b/>
          <w:color w:val="auto"/>
          <w:sz w:val="24"/>
          <w:highlight w:val="none"/>
        </w:rPr>
        <w:t>第四条　交付和交付验收</w:t>
      </w:r>
    </w:p>
    <w:p>
      <w:pPr>
        <w:spacing w:after="0" w:line="400" w:lineRule="exact"/>
        <w:ind w:firstLine="480" w:firstLineChars="200"/>
        <w:jc w:val="both"/>
        <w:rPr>
          <w:rFonts w:ascii="宋体" w:hAnsi="宋体" w:eastAsia="宋体"/>
          <w:color w:val="auto"/>
          <w:sz w:val="24"/>
          <w:highlight w:val="none"/>
        </w:rPr>
      </w:pPr>
      <w:r>
        <w:rPr>
          <w:rFonts w:hint="eastAsia" w:ascii="宋体" w:hAnsi="宋体" w:eastAsia="宋体"/>
          <w:color w:val="auto"/>
          <w:sz w:val="24"/>
          <w:highlight w:val="none"/>
        </w:rPr>
        <w:t>1、交货时间：</w:t>
      </w:r>
      <w:r>
        <w:rPr>
          <w:rFonts w:hint="eastAsia" w:ascii="宋体" w:hAnsi="宋体" w:eastAsia="宋体"/>
          <w:color w:val="auto"/>
          <w:sz w:val="24"/>
          <w:highlight w:val="none"/>
          <w:u w:val="single"/>
        </w:rPr>
        <w:t>按乙方响应文件中承诺的不超过招标要求的时间 。</w:t>
      </w:r>
      <w:r>
        <w:rPr>
          <w:rFonts w:hint="eastAsia" w:ascii="宋体" w:hAnsi="宋体" w:eastAsia="宋体"/>
          <w:color w:val="auto"/>
          <w:sz w:val="24"/>
          <w:highlight w:val="none"/>
        </w:rPr>
        <w:t>地点：</w:t>
      </w:r>
      <w:r>
        <w:rPr>
          <w:rFonts w:hint="eastAsia" w:ascii="宋体" w:hAnsi="宋体" w:eastAsia="宋体"/>
          <w:color w:val="auto"/>
          <w:sz w:val="24"/>
          <w:highlight w:val="none"/>
          <w:u w:val="single"/>
        </w:rPr>
        <w:t xml:space="preserve">采购人指定地点 </w:t>
      </w:r>
      <w:r>
        <w:rPr>
          <w:rFonts w:hint="eastAsia" w:ascii="宋体" w:hAnsi="宋体" w:eastAsia="宋体"/>
          <w:color w:val="auto"/>
          <w:sz w:val="24"/>
          <w:highlight w:val="none"/>
        </w:rPr>
        <w:t>。</w:t>
      </w:r>
    </w:p>
    <w:p>
      <w:pPr>
        <w:spacing w:after="0" w:line="400" w:lineRule="exact"/>
        <w:ind w:firstLine="480" w:firstLineChars="200"/>
        <w:jc w:val="both"/>
        <w:rPr>
          <w:rFonts w:ascii="宋体" w:hAnsi="宋体" w:eastAsia="宋体"/>
          <w:color w:val="auto"/>
          <w:sz w:val="24"/>
          <w:highlight w:val="none"/>
        </w:rPr>
      </w:pPr>
      <w:r>
        <w:rPr>
          <w:rFonts w:hint="eastAsia" w:ascii="宋体" w:hAnsi="宋体" w:eastAsia="宋体"/>
          <w:color w:val="auto"/>
          <w:sz w:val="24"/>
          <w:highlight w:val="none"/>
        </w:rPr>
        <w:t>2、甲方对乙方提交的货物依据采购文件和乙方响应文件中承诺的技术规格要求和国家有关质量标准进行现场初步验收，外观、说明书符合采购文件技术要求的，给予签收，初步验收不合格的不予签收。</w:t>
      </w:r>
    </w:p>
    <w:p>
      <w:pPr>
        <w:spacing w:after="0" w:line="400" w:lineRule="exact"/>
        <w:ind w:firstLine="480" w:firstLineChars="200"/>
        <w:jc w:val="both"/>
        <w:rPr>
          <w:rFonts w:ascii="宋体" w:hAnsi="宋体" w:eastAsia="宋体"/>
          <w:color w:val="auto"/>
          <w:sz w:val="24"/>
          <w:highlight w:val="none"/>
        </w:rPr>
      </w:pPr>
      <w:r>
        <w:rPr>
          <w:rFonts w:hint="eastAsia" w:ascii="宋体" w:hAnsi="宋体" w:eastAsia="宋体"/>
          <w:color w:val="auto"/>
          <w:sz w:val="24"/>
          <w:highlight w:val="none"/>
        </w:rPr>
        <w:t>3、乙方交货前应对产品作出全面检查和对验收文件进行整理，并列出清单（如装箱清单、用户手册、原厂保修卡、随机资料、工具和备品、备件等），作为甲方收货验收和使用的技术条件依据，检验的结果应随货物交甲方。货物属于进口产品的，供货时应同时附上中文使用说明书，如有缺失应及时补齐，否则视为逾期交货。</w:t>
      </w:r>
    </w:p>
    <w:p>
      <w:pPr>
        <w:spacing w:after="0" w:line="400" w:lineRule="exact"/>
        <w:ind w:firstLine="480" w:firstLineChars="200"/>
        <w:jc w:val="both"/>
        <w:rPr>
          <w:rFonts w:ascii="宋体" w:hAnsi="宋体" w:eastAsia="宋体"/>
          <w:color w:val="auto"/>
          <w:sz w:val="24"/>
          <w:highlight w:val="none"/>
        </w:rPr>
      </w:pPr>
      <w:r>
        <w:rPr>
          <w:rFonts w:hint="eastAsia" w:ascii="宋体" w:hAnsi="宋体" w:eastAsia="宋体"/>
          <w:color w:val="auto"/>
          <w:sz w:val="24"/>
          <w:highlight w:val="none"/>
        </w:rPr>
        <w:t>4、甲方应当在到货后七个工作日内进行验收，逾期不验收的，乙方可视同验收合格。验收合格后由甲乙双方签署货物验收单并加盖采购人公章，甲乙双方各执一份。</w:t>
      </w:r>
    </w:p>
    <w:p>
      <w:pPr>
        <w:spacing w:after="0" w:line="400" w:lineRule="exact"/>
        <w:ind w:firstLine="480" w:firstLineChars="200"/>
        <w:jc w:val="both"/>
        <w:rPr>
          <w:rFonts w:ascii="宋体" w:hAnsi="宋体" w:eastAsia="宋体"/>
          <w:color w:val="auto"/>
          <w:sz w:val="24"/>
          <w:highlight w:val="none"/>
        </w:rPr>
      </w:pPr>
      <w:r>
        <w:rPr>
          <w:rFonts w:hint="eastAsia" w:ascii="宋体" w:hAnsi="宋体" w:eastAsia="宋体"/>
          <w:color w:val="auto"/>
          <w:sz w:val="24"/>
          <w:highlight w:val="none"/>
        </w:rPr>
        <w:t>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pacing w:after="0" w:line="400" w:lineRule="exact"/>
        <w:ind w:firstLine="480" w:firstLineChars="200"/>
        <w:jc w:val="both"/>
        <w:rPr>
          <w:rFonts w:ascii="宋体" w:hAnsi="宋体" w:eastAsia="宋体"/>
          <w:color w:val="auto"/>
          <w:sz w:val="24"/>
          <w:highlight w:val="none"/>
        </w:rPr>
      </w:pPr>
      <w:r>
        <w:rPr>
          <w:rFonts w:hint="eastAsia" w:ascii="宋体" w:hAnsi="宋体" w:eastAsia="宋体"/>
          <w:color w:val="auto"/>
          <w:sz w:val="24"/>
          <w:highlight w:val="none"/>
        </w:rPr>
        <w:t>6、因产品或施工质量问题发生争议的，应邀请国家认可的质量检测机构对进行鉴定。符合标准的，鉴定费由甲方承担；不符合标准的，鉴定费由乙方承担。</w:t>
      </w:r>
    </w:p>
    <w:p>
      <w:pPr>
        <w:spacing w:after="0" w:line="400" w:lineRule="exact"/>
        <w:ind w:firstLine="480" w:firstLineChars="200"/>
        <w:jc w:val="both"/>
        <w:rPr>
          <w:rFonts w:ascii="宋体" w:hAnsi="宋体" w:eastAsia="宋体"/>
          <w:color w:val="auto"/>
          <w:sz w:val="24"/>
          <w:highlight w:val="none"/>
        </w:rPr>
      </w:pPr>
      <w:r>
        <w:rPr>
          <w:rFonts w:ascii="宋体" w:hAnsi="宋体" w:eastAsia="宋体"/>
          <w:color w:val="auto"/>
          <w:sz w:val="24"/>
          <w:highlight w:val="none"/>
        </w:rPr>
        <w:t>7</w:t>
      </w:r>
      <w:r>
        <w:rPr>
          <w:rFonts w:hint="eastAsia" w:ascii="宋体" w:hAnsi="宋体" w:eastAsia="宋体"/>
          <w:color w:val="auto"/>
          <w:sz w:val="24"/>
          <w:highlight w:val="none"/>
        </w:rPr>
        <w:t>、甲方对验收有异议的，在验收后五个工作日内以书面形式向乙方提出，乙方应自收到甲方书面异议后</w:t>
      </w:r>
      <w:r>
        <w:rPr>
          <w:rFonts w:hint="eastAsia" w:ascii="宋体" w:hAnsi="宋体" w:eastAsia="宋体"/>
          <w:color w:val="auto"/>
          <w:sz w:val="24"/>
          <w:highlight w:val="none"/>
          <w:u w:val="single"/>
        </w:rPr>
        <w:t xml:space="preserve"> 五 </w:t>
      </w:r>
      <w:r>
        <w:rPr>
          <w:rFonts w:hint="eastAsia" w:ascii="宋体" w:hAnsi="宋体" w:eastAsia="宋体"/>
          <w:color w:val="auto"/>
          <w:sz w:val="24"/>
          <w:highlight w:val="none"/>
        </w:rPr>
        <w:t>日内及时予以解决。</w:t>
      </w:r>
    </w:p>
    <w:p>
      <w:pPr>
        <w:spacing w:after="0" w:line="44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第五条　安装和培训</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 甲方应提供必要安装条件（如场地、电源、水源等）。</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2. 乙方负责甲方有关人员的培训。培训时间、地点：</w:t>
      </w:r>
      <w:r>
        <w:rPr>
          <w:rFonts w:hint="eastAsia" w:ascii="宋体" w:hAnsi="宋体" w:eastAsia="宋体"/>
          <w:color w:val="auto"/>
          <w:sz w:val="24"/>
          <w:highlight w:val="none"/>
          <w:u w:val="single"/>
        </w:rPr>
        <w:t xml:space="preserve">  按乙方响应文件承诺  </w:t>
      </w:r>
      <w:r>
        <w:rPr>
          <w:rFonts w:hint="eastAsia" w:ascii="宋体" w:hAnsi="宋体" w:eastAsia="宋体"/>
          <w:color w:val="auto"/>
          <w:sz w:val="24"/>
          <w:highlight w:val="none"/>
        </w:rPr>
        <w:t>。</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3. 其他按乙方响应文件承诺执行。</w:t>
      </w:r>
    </w:p>
    <w:p>
      <w:pPr>
        <w:spacing w:after="0" w:line="440" w:lineRule="exact"/>
        <w:ind w:firstLine="482" w:firstLineChars="200"/>
        <w:rPr>
          <w:rFonts w:ascii="宋体" w:hAnsi="宋体" w:eastAsia="宋体"/>
          <w:color w:val="auto"/>
          <w:sz w:val="24"/>
          <w:highlight w:val="none"/>
        </w:rPr>
      </w:pPr>
      <w:r>
        <w:rPr>
          <w:rFonts w:hint="eastAsia" w:ascii="宋体" w:hAnsi="宋体" w:eastAsia="宋体"/>
          <w:b/>
          <w:color w:val="auto"/>
          <w:sz w:val="24"/>
          <w:highlight w:val="none"/>
        </w:rPr>
        <w:t>第六条　付款方式、保证金</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bCs/>
          <w:color w:val="auto"/>
          <w:sz w:val="24"/>
          <w:highlight w:val="none"/>
        </w:rPr>
        <w:t xml:space="preserve">1. </w:t>
      </w:r>
      <w:r>
        <w:rPr>
          <w:rFonts w:hint="eastAsia" w:ascii="宋体" w:hAnsi="宋体" w:eastAsia="宋体"/>
          <w:color w:val="auto"/>
          <w:sz w:val="24"/>
          <w:highlight w:val="none"/>
        </w:rPr>
        <w:t>当采购数量与实际使用数量不一致时，乙方应根据实际使用量供货，合同的最终结算金额按实际使用量乘以成交单价进行计算。</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2. 资金性质：</w:t>
      </w:r>
      <w:r>
        <w:rPr>
          <w:rFonts w:hint="eastAsia" w:ascii="宋体" w:hAnsi="宋体" w:eastAsia="宋体"/>
          <w:color w:val="auto"/>
          <w:sz w:val="24"/>
          <w:highlight w:val="none"/>
          <w:u w:val="single"/>
        </w:rPr>
        <w:t xml:space="preserve">财政资金  </w:t>
      </w:r>
      <w:r>
        <w:rPr>
          <w:rFonts w:hint="eastAsia" w:ascii="宋体" w:hAnsi="宋体" w:eastAsia="宋体"/>
          <w:color w:val="auto"/>
          <w:sz w:val="24"/>
          <w:highlight w:val="none"/>
        </w:rPr>
        <w:t>。</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3. 付款方式：</w:t>
      </w:r>
    </w:p>
    <w:p>
      <w:pPr>
        <w:spacing w:after="0" w:line="440" w:lineRule="exact"/>
        <w:ind w:firstLine="480" w:firstLineChars="200"/>
        <w:rPr>
          <w:rFonts w:hint="eastAsia" w:ascii="宋体" w:hAnsi="宋体" w:eastAsia="宋体"/>
          <w:bCs/>
          <w:color w:val="auto"/>
          <w:sz w:val="24"/>
          <w:highlight w:val="none"/>
        </w:rPr>
      </w:pPr>
      <w:r>
        <w:rPr>
          <w:rFonts w:hint="eastAsia" w:ascii="宋体" w:hAnsi="宋体" w:eastAsia="宋体"/>
          <w:bCs/>
          <w:color w:val="auto"/>
          <w:sz w:val="24"/>
          <w:highlight w:val="none"/>
          <w:lang w:eastAsia="zh-CN"/>
        </w:rPr>
        <w:t>本项目签订合同后预付</w:t>
      </w:r>
      <w:r>
        <w:rPr>
          <w:rFonts w:hint="eastAsia" w:ascii="宋体" w:hAnsi="宋体" w:eastAsia="宋体"/>
          <w:bCs/>
          <w:color w:val="auto"/>
          <w:sz w:val="24"/>
          <w:highlight w:val="none"/>
          <w:lang w:val="en-US" w:eastAsia="zh-CN"/>
        </w:rPr>
        <w:t>款各标段合同价的30%。</w:t>
      </w:r>
      <w:r>
        <w:rPr>
          <w:rFonts w:hint="eastAsia" w:ascii="宋体" w:hAnsi="宋体" w:eastAsia="宋体"/>
          <w:bCs/>
          <w:color w:val="auto"/>
          <w:sz w:val="24"/>
          <w:highlight w:val="none"/>
          <w:lang w:eastAsia="zh-CN"/>
        </w:rPr>
        <w:t>供应商</w:t>
      </w:r>
      <w:r>
        <w:rPr>
          <w:rFonts w:hint="eastAsia" w:ascii="宋体" w:hAnsi="宋体" w:eastAsia="宋体"/>
          <w:bCs/>
          <w:color w:val="auto"/>
          <w:sz w:val="24"/>
          <w:highlight w:val="none"/>
        </w:rPr>
        <w:t>在规定的</w:t>
      </w:r>
      <w:r>
        <w:rPr>
          <w:rFonts w:hint="eastAsia" w:ascii="宋体" w:hAnsi="宋体" w:eastAsia="宋体"/>
          <w:bCs/>
          <w:color w:val="auto"/>
          <w:sz w:val="24"/>
          <w:highlight w:val="none"/>
          <w:lang w:eastAsia="zh-CN"/>
        </w:rPr>
        <w:t>交货期</w:t>
      </w:r>
      <w:r>
        <w:rPr>
          <w:rFonts w:hint="eastAsia" w:ascii="宋体" w:hAnsi="宋体" w:eastAsia="宋体"/>
          <w:bCs/>
          <w:color w:val="auto"/>
          <w:sz w:val="24"/>
          <w:highlight w:val="none"/>
        </w:rPr>
        <w:t>内将</w:t>
      </w:r>
      <w:r>
        <w:rPr>
          <w:rFonts w:hint="eastAsia" w:ascii="宋体" w:hAnsi="宋体" w:eastAsia="宋体"/>
          <w:bCs/>
          <w:color w:val="auto"/>
          <w:sz w:val="24"/>
          <w:highlight w:val="none"/>
          <w:lang w:eastAsia="zh-CN"/>
        </w:rPr>
        <w:t>全部</w:t>
      </w:r>
      <w:r>
        <w:rPr>
          <w:rFonts w:hint="eastAsia" w:ascii="宋体" w:hAnsi="宋体" w:eastAsia="宋体"/>
          <w:bCs/>
          <w:color w:val="auto"/>
          <w:sz w:val="24"/>
          <w:highlight w:val="none"/>
        </w:rPr>
        <w:t>货物运到业主指定地点</w:t>
      </w:r>
      <w:r>
        <w:rPr>
          <w:rFonts w:hint="eastAsia" w:ascii="宋体" w:hAnsi="宋体" w:eastAsia="宋体"/>
          <w:bCs/>
          <w:color w:val="auto"/>
          <w:sz w:val="24"/>
          <w:highlight w:val="none"/>
          <w:lang w:eastAsia="zh-CN"/>
        </w:rPr>
        <w:t>，</w:t>
      </w:r>
      <w:r>
        <w:rPr>
          <w:rFonts w:hint="eastAsia" w:ascii="宋体" w:hAnsi="宋体" w:eastAsia="宋体"/>
          <w:bCs/>
          <w:color w:val="auto"/>
          <w:sz w:val="24"/>
          <w:highlight w:val="none"/>
        </w:rPr>
        <w:t>验收并安装调试、培训合格后，</w:t>
      </w:r>
      <w:r>
        <w:rPr>
          <w:rFonts w:hint="eastAsia" w:ascii="宋体" w:hAnsi="宋体" w:eastAsia="宋体"/>
          <w:bCs/>
          <w:color w:val="auto"/>
          <w:sz w:val="24"/>
          <w:highlight w:val="none"/>
          <w:lang w:eastAsia="zh-CN"/>
        </w:rPr>
        <w:t>供应商</w:t>
      </w:r>
      <w:r>
        <w:rPr>
          <w:rFonts w:hint="eastAsia" w:ascii="宋体" w:hAnsi="宋体" w:eastAsia="宋体"/>
          <w:bCs/>
          <w:color w:val="auto"/>
          <w:sz w:val="24"/>
          <w:highlight w:val="none"/>
        </w:rPr>
        <w:t>将该批设备的增值税发票、清单、质量检验合格证明、货运提单</w:t>
      </w:r>
      <w:r>
        <w:rPr>
          <w:rFonts w:hint="eastAsia" w:ascii="宋体" w:hAnsi="宋体" w:eastAsia="宋体"/>
          <w:bCs/>
          <w:color w:val="auto"/>
          <w:sz w:val="24"/>
          <w:highlight w:val="none"/>
          <w:lang w:eastAsia="zh-CN"/>
        </w:rPr>
        <w:t>等材料</w:t>
      </w:r>
      <w:r>
        <w:rPr>
          <w:rFonts w:hint="eastAsia" w:ascii="宋体" w:hAnsi="宋体" w:eastAsia="宋体"/>
          <w:bCs/>
          <w:color w:val="auto"/>
          <w:sz w:val="24"/>
          <w:highlight w:val="none"/>
        </w:rPr>
        <w:t>提供给</w:t>
      </w:r>
      <w:r>
        <w:rPr>
          <w:rFonts w:hint="eastAsia" w:ascii="宋体" w:hAnsi="宋体" w:eastAsia="宋体"/>
          <w:bCs/>
          <w:color w:val="auto"/>
          <w:sz w:val="24"/>
          <w:highlight w:val="none"/>
          <w:lang w:eastAsia="zh-CN"/>
        </w:rPr>
        <w:t>采购人</w:t>
      </w:r>
      <w:r>
        <w:rPr>
          <w:rFonts w:hint="eastAsia" w:ascii="宋体" w:hAnsi="宋体" w:eastAsia="宋体"/>
          <w:bCs/>
          <w:color w:val="auto"/>
          <w:sz w:val="24"/>
          <w:highlight w:val="none"/>
        </w:rPr>
        <w:t>，</w:t>
      </w:r>
      <w:r>
        <w:rPr>
          <w:rFonts w:hint="eastAsia" w:ascii="宋体" w:hAnsi="宋体" w:eastAsia="宋体"/>
          <w:bCs/>
          <w:color w:val="auto"/>
          <w:sz w:val="24"/>
          <w:highlight w:val="none"/>
          <w:lang w:eastAsia="zh-CN"/>
        </w:rPr>
        <w:t>采购方</w:t>
      </w:r>
      <w:r>
        <w:rPr>
          <w:rFonts w:hint="eastAsia" w:ascii="宋体" w:hAnsi="宋体" w:eastAsia="宋体"/>
          <w:bCs/>
          <w:color w:val="auto"/>
          <w:sz w:val="24"/>
          <w:highlight w:val="none"/>
        </w:rPr>
        <w:t>验明无误后，</w:t>
      </w:r>
      <w:r>
        <w:rPr>
          <w:rFonts w:hint="eastAsia" w:ascii="宋体" w:hAnsi="宋体" w:eastAsia="宋体"/>
          <w:bCs/>
          <w:color w:val="auto"/>
          <w:sz w:val="24"/>
          <w:highlight w:val="none"/>
          <w:lang w:eastAsia="zh-CN"/>
        </w:rPr>
        <w:t>向成交供应商支付剩余合同价的</w:t>
      </w:r>
      <w:r>
        <w:rPr>
          <w:rFonts w:hint="eastAsia" w:ascii="宋体" w:hAnsi="宋体" w:eastAsia="宋体"/>
          <w:bCs/>
          <w:color w:val="auto"/>
          <w:sz w:val="24"/>
          <w:highlight w:val="none"/>
          <w:lang w:val="en-US" w:eastAsia="zh-CN"/>
        </w:rPr>
        <w:t>95%</w:t>
      </w:r>
      <w:r>
        <w:rPr>
          <w:rFonts w:hint="eastAsia" w:ascii="宋体" w:hAnsi="宋体" w:eastAsia="宋体"/>
          <w:bCs/>
          <w:color w:val="auto"/>
          <w:sz w:val="24"/>
          <w:highlight w:val="none"/>
        </w:rPr>
        <w:t>。剩余的合同总金额</w:t>
      </w:r>
      <w:r>
        <w:rPr>
          <w:rFonts w:hint="eastAsia" w:ascii="宋体" w:hAnsi="宋体" w:eastAsia="宋体"/>
          <w:bCs/>
          <w:color w:val="auto"/>
          <w:sz w:val="24"/>
          <w:highlight w:val="none"/>
          <w:lang w:val="en-US" w:eastAsia="zh-CN"/>
        </w:rPr>
        <w:t>5</w:t>
      </w:r>
      <w:r>
        <w:rPr>
          <w:rFonts w:hint="eastAsia" w:ascii="宋体" w:hAnsi="宋体" w:eastAsia="宋体"/>
          <w:bCs/>
          <w:color w:val="auto"/>
          <w:sz w:val="24"/>
          <w:highlight w:val="none"/>
        </w:rPr>
        <w:t>%的货款作为质保金满一年后支付（自验收合格之日起算，一年后无质量问题无息退还）。</w:t>
      </w:r>
    </w:p>
    <w:p>
      <w:pPr>
        <w:spacing w:after="0" w:line="440" w:lineRule="exact"/>
        <w:ind w:firstLine="480" w:firstLineChars="200"/>
        <w:rPr>
          <w:rFonts w:hint="eastAsia" w:ascii="宋体" w:hAnsi="宋体" w:eastAsia="宋体"/>
          <w:bCs/>
          <w:color w:val="auto"/>
          <w:sz w:val="24"/>
          <w:highlight w:val="none"/>
          <w:lang w:eastAsia="zh-CN"/>
        </w:rPr>
      </w:pPr>
      <w:r>
        <w:rPr>
          <w:rFonts w:hint="eastAsia" w:ascii="宋体" w:hAnsi="宋体" w:eastAsia="宋体"/>
          <w:bCs/>
          <w:color w:val="auto"/>
          <w:sz w:val="24"/>
          <w:highlight w:val="none"/>
        </w:rPr>
        <w:t>4.履约保证金：</w:t>
      </w:r>
      <w:r>
        <w:rPr>
          <w:rFonts w:hint="eastAsia" w:ascii="宋体" w:hAnsi="宋体" w:eastAsia="宋体"/>
          <w:b/>
          <w:bCs w:val="0"/>
          <w:color w:val="auto"/>
          <w:sz w:val="24"/>
          <w:highlight w:val="none"/>
          <w:lang w:eastAsia="zh-CN"/>
        </w:rPr>
        <w:t>无</w:t>
      </w:r>
    </w:p>
    <w:p>
      <w:pPr>
        <w:spacing w:after="0" w:line="44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第七条  税费</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本合同执行中相关的一切税费均由乙方负担。</w:t>
      </w:r>
    </w:p>
    <w:p>
      <w:pPr>
        <w:spacing w:after="0" w:line="440" w:lineRule="exact"/>
        <w:ind w:firstLine="482" w:firstLineChars="200"/>
        <w:rPr>
          <w:rFonts w:ascii="宋体" w:hAnsi="宋体" w:eastAsia="宋体"/>
          <w:color w:val="auto"/>
          <w:sz w:val="24"/>
          <w:highlight w:val="none"/>
        </w:rPr>
      </w:pPr>
      <w:r>
        <w:rPr>
          <w:rFonts w:hint="eastAsia" w:ascii="宋体" w:hAnsi="宋体" w:eastAsia="宋体"/>
          <w:b/>
          <w:color w:val="auto"/>
          <w:sz w:val="24"/>
          <w:highlight w:val="none"/>
        </w:rPr>
        <w:t>第八条  质量保证及售后服务</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 乙方应按采购文件规定的货物性能、技术要求、质量标准向甲方提供未经使用的全新产品。不符合要求的，根据实际情况，经双方协商，可按以下办法处理：</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（1）更换：由乙方承担所发生的全部费用。</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（2）贬值处理：由甲乙双方合议定价。</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（3）退货处理：乙方应退还甲方支付的合同款，同时应承担该货物的直接费用（运输、保险、检验、货款利息及银行手续费等）。</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2.如在使用过程中发生质量问题，乙方在接到甲方通知后在按乙方响应文件中承诺的不超过招标要求的响应时间小时内到达甲方现场处理。</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3.乙方应按照国家有关法律法规和“三包”规定以及采购文件、响应文件和本合同所附的《售后服务方案》，为甲方提供售后服务。</w:t>
      </w:r>
    </w:p>
    <w:p>
      <w:pPr>
        <w:spacing w:after="0" w:line="440" w:lineRule="exact"/>
        <w:ind w:firstLine="480" w:firstLineChars="200"/>
        <w:rPr>
          <w:rFonts w:ascii="宋体" w:hAnsi="宋体" w:eastAsia="宋体"/>
          <w:color w:val="auto"/>
          <w:sz w:val="24"/>
          <w:highlight w:val="none"/>
        </w:rPr>
      </w:pPr>
      <w:r>
        <w:rPr>
          <w:rFonts w:ascii="宋体" w:hAnsi="宋体" w:eastAsia="宋体"/>
          <w:color w:val="auto"/>
          <w:sz w:val="24"/>
          <w:highlight w:val="none"/>
        </w:rPr>
        <w:t>4</w:t>
      </w:r>
      <w:r>
        <w:rPr>
          <w:rFonts w:hint="eastAsia" w:ascii="宋体" w:hAnsi="宋体" w:eastAsia="宋体"/>
          <w:color w:val="auto"/>
          <w:sz w:val="24"/>
          <w:highlight w:val="none"/>
        </w:rPr>
        <w:t>.在质保期内，乙方应对货物出现的质量及安全问题负责处理解决并承担一切费用。</w:t>
      </w:r>
    </w:p>
    <w:p>
      <w:pPr>
        <w:spacing w:after="0" w:line="440" w:lineRule="exact"/>
        <w:ind w:firstLine="480" w:firstLineChars="200"/>
        <w:rPr>
          <w:rFonts w:ascii="宋体" w:hAnsi="宋体" w:eastAsia="宋体"/>
          <w:color w:val="auto"/>
          <w:sz w:val="24"/>
          <w:highlight w:val="none"/>
        </w:rPr>
      </w:pPr>
      <w:r>
        <w:rPr>
          <w:rFonts w:ascii="宋体" w:hAnsi="宋体" w:eastAsia="宋体"/>
          <w:color w:val="auto"/>
          <w:sz w:val="24"/>
          <w:highlight w:val="none"/>
        </w:rPr>
        <w:t>5</w:t>
      </w:r>
      <w:r>
        <w:rPr>
          <w:rFonts w:hint="eastAsia" w:ascii="宋体" w:hAnsi="宋体" w:eastAsia="宋体"/>
          <w:color w:val="auto"/>
          <w:sz w:val="24"/>
          <w:highlight w:val="none"/>
        </w:rPr>
        <w:t>.上述的货物免费保修期</w:t>
      </w:r>
      <w:r>
        <w:rPr>
          <w:rFonts w:hint="eastAsia" w:ascii="宋体" w:hAnsi="宋体" w:eastAsia="宋体"/>
          <w:color w:val="auto"/>
          <w:sz w:val="24"/>
          <w:highlight w:val="none"/>
          <w:u w:val="single"/>
        </w:rPr>
        <w:t>按乙方响应文件承诺</w:t>
      </w:r>
      <w:r>
        <w:rPr>
          <w:rFonts w:hint="eastAsia" w:ascii="宋体" w:hAnsi="宋体" w:eastAsia="宋体"/>
          <w:color w:val="auto"/>
          <w:sz w:val="24"/>
          <w:highlight w:val="none"/>
        </w:rPr>
        <w:t>，因人为因素出现的故障不在免费保修范围内。超过保修期的机器设备，终生维修，维修时只收部件成本费。</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6.乙方提供的服务承诺和售后服务及保修期责任等其它具体约定事项：</w:t>
      </w:r>
      <w:r>
        <w:rPr>
          <w:rFonts w:hint="eastAsia" w:ascii="宋体" w:hAnsi="宋体" w:eastAsia="宋体"/>
          <w:color w:val="auto"/>
          <w:sz w:val="24"/>
          <w:highlight w:val="none"/>
          <w:u w:val="single"/>
        </w:rPr>
        <w:t>（见合同附件）</w:t>
      </w:r>
      <w:r>
        <w:rPr>
          <w:rFonts w:hint="eastAsia" w:ascii="宋体" w:hAnsi="宋体" w:eastAsia="宋体"/>
          <w:color w:val="auto"/>
          <w:sz w:val="24"/>
          <w:highlight w:val="none"/>
        </w:rPr>
        <w:t>。</w:t>
      </w:r>
    </w:p>
    <w:p>
      <w:pPr>
        <w:spacing w:after="0" w:line="440" w:lineRule="exact"/>
        <w:ind w:firstLine="482" w:firstLineChars="200"/>
        <w:rPr>
          <w:rFonts w:ascii="宋体" w:hAnsi="宋体" w:eastAsia="宋体"/>
          <w:color w:val="auto"/>
          <w:sz w:val="24"/>
          <w:highlight w:val="none"/>
        </w:rPr>
      </w:pPr>
      <w:r>
        <w:rPr>
          <w:rFonts w:hint="eastAsia" w:ascii="宋体" w:hAnsi="宋体" w:eastAsia="宋体"/>
          <w:b/>
          <w:color w:val="auto"/>
          <w:sz w:val="24"/>
          <w:highlight w:val="none"/>
        </w:rPr>
        <w:t>第九条  调试和验收</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1.甲方对乙方提供的货物在使用前进行调试时，乙方需负责安装并培训甲方的使用操作人员，并协助甲方一起调试，直到符合技术要求，甲方才做最终验收。</w:t>
      </w:r>
    </w:p>
    <w:p>
      <w:pPr>
        <w:spacing w:after="0" w:line="440" w:lineRule="exact"/>
        <w:ind w:firstLine="480" w:firstLineChars="200"/>
        <w:rPr>
          <w:rFonts w:ascii="宋体" w:hAnsi="宋体" w:eastAsia="宋体"/>
          <w:color w:val="auto"/>
          <w:sz w:val="24"/>
          <w:highlight w:val="none"/>
        </w:rPr>
      </w:pPr>
      <w:r>
        <w:rPr>
          <w:rFonts w:ascii="宋体" w:hAnsi="宋体" w:eastAsia="宋体"/>
          <w:color w:val="auto"/>
          <w:sz w:val="24"/>
          <w:highlight w:val="none"/>
        </w:rPr>
        <w:t xml:space="preserve">2. </w:t>
      </w:r>
      <w:r>
        <w:rPr>
          <w:rFonts w:hint="eastAsia" w:ascii="宋体" w:hAnsi="宋体" w:eastAsia="宋体"/>
          <w:color w:val="auto"/>
          <w:sz w:val="24"/>
          <w:highlight w:val="none"/>
        </w:rPr>
        <w:t>验收由甲方组织，乙方配合进行。对技术复杂的货物，甲方应请国家认可的专业检测机构参与最终验收，并由其出具质量检测报告。</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1</w:t>
      </w:r>
      <w:r>
        <w:rPr>
          <w:rFonts w:hint="eastAsia" w:ascii="宋体" w:hAnsi="宋体" w:eastAsia="宋体"/>
          <w:color w:val="auto"/>
          <w:sz w:val="24"/>
          <w:highlight w:val="none"/>
        </w:rPr>
        <w:t>）货物在乙方通知安装调试完毕后七个工作日内验收。</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2</w:t>
      </w:r>
      <w:r>
        <w:rPr>
          <w:rFonts w:hint="eastAsia" w:ascii="宋体" w:hAnsi="宋体" w:eastAsia="宋体"/>
          <w:color w:val="auto"/>
          <w:sz w:val="24"/>
          <w:highlight w:val="none"/>
        </w:rPr>
        <w:t>）验收标准：按国家有关规定以及甲方采购文件的质量要求和技术指标、乙方的响应文件及承诺与本合同约定标准进行验收；甲乙双方如对质量要求和技术指标的约定标准有相互抵触或异议的事项，由甲方在招标与响应文件中按质量要求和技术指标比较优胜的原则确定该项的约定标准进行验收；</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3</w:t>
      </w:r>
      <w:r>
        <w:rPr>
          <w:rFonts w:hint="eastAsia" w:ascii="宋体" w:hAnsi="宋体" w:eastAsia="宋体"/>
          <w:color w:val="auto"/>
          <w:sz w:val="24"/>
          <w:highlight w:val="none"/>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4</w:t>
      </w:r>
      <w:r>
        <w:rPr>
          <w:rFonts w:hint="eastAsia" w:ascii="宋体" w:hAnsi="宋体" w:eastAsia="宋体"/>
          <w:color w:val="auto"/>
          <w:sz w:val="24"/>
          <w:highlight w:val="none"/>
        </w:rPr>
        <w:t>）如货物经乙方</w:t>
      </w:r>
      <w:r>
        <w:rPr>
          <w:rFonts w:ascii="宋体" w:hAnsi="宋体" w:eastAsia="宋体"/>
          <w:color w:val="auto"/>
          <w:sz w:val="24"/>
          <w:highlight w:val="none"/>
        </w:rPr>
        <w:t>1</w:t>
      </w:r>
      <w:r>
        <w:rPr>
          <w:rFonts w:hint="eastAsia" w:ascii="宋体" w:hAnsi="宋体" w:eastAsia="宋体"/>
          <w:color w:val="auto"/>
          <w:sz w:val="24"/>
          <w:highlight w:val="none"/>
        </w:rPr>
        <w:t>次维修仍不能达到合同约定的质量标准，甲方有权退货，并视作乙方不能交付货物而须支付违约赔偿金给甲方，甲方还可依法追究乙方的违约责任，并按虚假应标上报处理。</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5</w:t>
      </w:r>
      <w:r>
        <w:rPr>
          <w:rFonts w:hint="eastAsia" w:ascii="宋体" w:hAnsi="宋体" w:eastAsia="宋体"/>
          <w:color w:val="auto"/>
          <w:sz w:val="24"/>
          <w:highlight w:val="none"/>
        </w:rPr>
        <w:t>）验收结束后，应当出具验收书，列明各项标准的验收情况及项目总体评价，由验收双方共同签署。</w:t>
      </w:r>
    </w:p>
    <w:p>
      <w:pPr>
        <w:spacing w:after="0" w:line="440" w:lineRule="exact"/>
        <w:ind w:firstLine="480" w:firstLineChars="200"/>
        <w:rPr>
          <w:rFonts w:ascii="宋体" w:hAnsi="宋体" w:eastAsia="宋体"/>
          <w:color w:val="auto"/>
          <w:sz w:val="24"/>
          <w:highlight w:val="none"/>
        </w:rPr>
      </w:pPr>
      <w:r>
        <w:rPr>
          <w:rFonts w:ascii="宋体" w:hAnsi="宋体" w:eastAsia="宋体"/>
          <w:color w:val="auto"/>
          <w:sz w:val="24"/>
          <w:highlight w:val="none"/>
        </w:rPr>
        <w:t>3.</w:t>
      </w:r>
      <w:r>
        <w:rPr>
          <w:rFonts w:hint="eastAsia" w:ascii="宋体" w:hAnsi="宋体" w:eastAsia="宋体"/>
          <w:color w:val="auto"/>
          <w:sz w:val="24"/>
          <w:highlight w:val="none"/>
        </w:rPr>
        <w:t>货物安装完成后七个工作日内，甲方无故不进行验收工作并已使用货物的，视同已安装调试完成并验收合格。验收合格的项目，甲方在验收书签署之日后日内向乙方支付采购资金，在日内退还履约保证金（如有）。验收不合格的项目，将按本合同第十条违约责任处理，未作约定的，按照《合同法》规定处理。</w:t>
      </w:r>
    </w:p>
    <w:p>
      <w:pPr>
        <w:spacing w:after="0" w:line="440" w:lineRule="exact"/>
        <w:ind w:firstLine="480" w:firstLineChars="200"/>
        <w:rPr>
          <w:rFonts w:ascii="宋体" w:hAnsi="宋体" w:eastAsia="宋体"/>
          <w:color w:val="auto"/>
          <w:sz w:val="24"/>
          <w:highlight w:val="none"/>
        </w:rPr>
      </w:pPr>
      <w:r>
        <w:rPr>
          <w:rFonts w:ascii="宋体" w:hAnsi="宋体" w:eastAsia="宋体"/>
          <w:color w:val="auto"/>
          <w:sz w:val="24"/>
          <w:highlight w:val="none"/>
        </w:rPr>
        <w:t>4</w:t>
      </w:r>
      <w:r>
        <w:rPr>
          <w:rFonts w:hint="eastAsia" w:ascii="宋体" w:hAnsi="宋体" w:eastAsia="宋体"/>
          <w:color w:val="auto"/>
          <w:sz w:val="24"/>
          <w:highlight w:val="none"/>
        </w:rPr>
        <w:t>. 验收时乙方必须在现场，验收完毕后作出验收结果报告；验收费用由乙方负责。</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5. 其他未尽事宜应严格按照《关于印发广西壮族自治区政府采购项目履约验收管理办法的通知》</w:t>
      </w:r>
      <w:r>
        <w:rPr>
          <w:rFonts w:ascii="宋体" w:hAnsi="宋体" w:eastAsia="宋体"/>
          <w:color w:val="auto"/>
          <w:sz w:val="24"/>
          <w:highlight w:val="none"/>
        </w:rPr>
        <w:t>[</w:t>
      </w:r>
      <w:r>
        <w:rPr>
          <w:rFonts w:hint="eastAsia" w:ascii="宋体" w:hAnsi="宋体" w:eastAsia="宋体"/>
          <w:color w:val="auto"/>
          <w:sz w:val="24"/>
          <w:highlight w:val="none"/>
        </w:rPr>
        <w:t>桂财采〔</w:t>
      </w:r>
      <w:r>
        <w:rPr>
          <w:rFonts w:ascii="宋体" w:hAnsi="宋体" w:eastAsia="宋体"/>
          <w:color w:val="auto"/>
          <w:sz w:val="24"/>
          <w:highlight w:val="none"/>
        </w:rPr>
        <w:t>2015</w:t>
      </w:r>
      <w:r>
        <w:rPr>
          <w:rFonts w:hint="eastAsia" w:ascii="宋体" w:hAnsi="宋体" w:eastAsia="宋体"/>
          <w:color w:val="auto"/>
          <w:sz w:val="24"/>
          <w:highlight w:val="none"/>
        </w:rPr>
        <w:t>〕</w:t>
      </w:r>
      <w:r>
        <w:rPr>
          <w:rFonts w:ascii="宋体" w:hAnsi="宋体" w:eastAsia="宋体"/>
          <w:color w:val="auto"/>
          <w:sz w:val="24"/>
          <w:highlight w:val="none"/>
        </w:rPr>
        <w:t>22</w:t>
      </w:r>
      <w:r>
        <w:rPr>
          <w:rFonts w:hint="eastAsia" w:ascii="宋体" w:hAnsi="宋体" w:eastAsia="宋体"/>
          <w:color w:val="auto"/>
          <w:sz w:val="24"/>
          <w:highlight w:val="none"/>
        </w:rPr>
        <w:t>号</w:t>
      </w:r>
      <w:r>
        <w:rPr>
          <w:rFonts w:ascii="宋体" w:hAnsi="宋体" w:eastAsia="宋体"/>
          <w:color w:val="auto"/>
          <w:sz w:val="24"/>
          <w:highlight w:val="none"/>
        </w:rPr>
        <w:t>]</w:t>
      </w:r>
      <w:r>
        <w:rPr>
          <w:rFonts w:hint="eastAsia" w:ascii="宋体" w:hAnsi="宋体" w:eastAsia="宋体"/>
          <w:color w:val="auto"/>
          <w:sz w:val="24"/>
          <w:highlight w:val="none"/>
        </w:rPr>
        <w:t>以及《财政部关于进一步加强政府采购需求和履约验收管理的指导意见》</w:t>
      </w:r>
      <w:r>
        <w:rPr>
          <w:rFonts w:ascii="宋体" w:hAnsi="宋体" w:eastAsia="宋体"/>
          <w:color w:val="auto"/>
          <w:sz w:val="24"/>
          <w:highlight w:val="none"/>
        </w:rPr>
        <w:t>[</w:t>
      </w:r>
      <w:r>
        <w:rPr>
          <w:rFonts w:hint="eastAsia" w:ascii="宋体" w:hAnsi="宋体" w:eastAsia="宋体"/>
          <w:color w:val="auto"/>
          <w:sz w:val="24"/>
          <w:highlight w:val="none"/>
        </w:rPr>
        <w:t>财库〔</w:t>
      </w:r>
      <w:r>
        <w:rPr>
          <w:rFonts w:ascii="宋体" w:hAnsi="宋体" w:eastAsia="宋体"/>
          <w:color w:val="auto"/>
          <w:sz w:val="24"/>
          <w:highlight w:val="none"/>
        </w:rPr>
        <w:t>2016</w:t>
      </w:r>
      <w:r>
        <w:rPr>
          <w:rFonts w:hint="eastAsia" w:ascii="宋体" w:hAnsi="宋体" w:eastAsia="宋体"/>
          <w:color w:val="auto"/>
          <w:sz w:val="24"/>
          <w:highlight w:val="none"/>
        </w:rPr>
        <w:t>〕</w:t>
      </w:r>
      <w:r>
        <w:rPr>
          <w:rFonts w:ascii="宋体" w:hAnsi="宋体" w:eastAsia="宋体"/>
          <w:color w:val="auto"/>
          <w:sz w:val="24"/>
          <w:highlight w:val="none"/>
        </w:rPr>
        <w:t>205</w:t>
      </w:r>
      <w:r>
        <w:rPr>
          <w:rFonts w:hint="eastAsia" w:ascii="宋体" w:hAnsi="宋体" w:eastAsia="宋体"/>
          <w:color w:val="auto"/>
          <w:sz w:val="24"/>
          <w:highlight w:val="none"/>
        </w:rPr>
        <w:t>号</w:t>
      </w:r>
      <w:r>
        <w:rPr>
          <w:rFonts w:ascii="宋体" w:hAnsi="宋体" w:eastAsia="宋体"/>
          <w:color w:val="auto"/>
          <w:sz w:val="24"/>
          <w:highlight w:val="none"/>
        </w:rPr>
        <w:t>]</w:t>
      </w:r>
      <w:r>
        <w:rPr>
          <w:rFonts w:hint="eastAsia" w:ascii="宋体" w:hAnsi="宋体" w:eastAsia="宋体"/>
          <w:color w:val="auto"/>
          <w:sz w:val="24"/>
          <w:highlight w:val="none"/>
        </w:rPr>
        <w:t>规定执行。</w:t>
      </w:r>
    </w:p>
    <w:p>
      <w:pPr>
        <w:spacing w:after="0" w:line="44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第十条　违约责任</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 乙方所提供的货物规格、技术标准、材料等质量不合格的，应及时更换，更换不及时的按逾期交货处罚；因质量问题甲方不同意接收的或特殊情况甲方不同意接收的，乙方应向甲方支付违约货款额 5%违约金并赔偿甲方经济损失。</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2. 乙方提供的货物如侵犯了第三方合法权益而引发的任何纠纷或诉讼，均由乙方负责交涉并承担全部责任。</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3. 因包装、运输引起的货物损坏，按质量不合格处罚。</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4. 甲方无故延期接收货物、乙方逾期交货的，每天向对方偿付违约货款额3‰违约金，但违约金累计不得超过违约货款额5%，超过7天对方有权解除合同，违约方承担因此给对方造成经济损失；甲方延期付货款的，每天向乙方偿付延期货款额3‰滞纳金，但滞纳金累计不得超过延期货款额5%。</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5. 乙方未按本合同和响应文件中规定的服务承诺提供售后服务的，乙方应按本合同合计金额 5%向甲方支付违约金。</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6. 乙方提供的货物在质量保证期内，因设计、工艺或材料的缺陷和其它质量原因造成的问题，由乙方负责，费用从质量保证金中扣除，不足另补。</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7. 其它违约行为按违约货款额5%收取违约金并赔偿经济损失。</w:t>
      </w:r>
    </w:p>
    <w:p>
      <w:pPr>
        <w:spacing w:after="0" w:line="44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第十一条  不可抗力事件处理</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 在合同有效期内，任何一方因不可抗力事件导致不能履行合同，则合同履行期可延长，其延长期与不可抗力影响期相同。</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2. 不可抗力事件发生后，应立即通知对方，并寄送有关权威机构出具的证明。</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3. 不可抗力事件延续一百二十天以上，双方应通过友好协商，确定是否继续履行合同。</w:t>
      </w:r>
    </w:p>
    <w:p>
      <w:pPr>
        <w:spacing w:after="0" w:line="440" w:lineRule="exact"/>
        <w:ind w:firstLine="482" w:firstLineChars="200"/>
        <w:rPr>
          <w:rFonts w:ascii="宋体" w:hAnsi="宋体" w:eastAsia="宋体"/>
          <w:color w:val="auto"/>
          <w:sz w:val="24"/>
          <w:highlight w:val="none"/>
        </w:rPr>
      </w:pPr>
      <w:r>
        <w:rPr>
          <w:rFonts w:hint="eastAsia" w:ascii="宋体" w:hAnsi="宋体" w:eastAsia="宋体"/>
          <w:b/>
          <w:color w:val="auto"/>
          <w:sz w:val="24"/>
          <w:highlight w:val="none"/>
        </w:rPr>
        <w:t>第十二条  合同争议解决</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 因货物质量问题发生争议的，应邀请国家认可的质量检测机构对货物质量进行鉴定。货物符合标准的，鉴定费由甲方承担；货物不符合标准的，鉴定费由乙方承担。</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2. 因履行本合同引起的或与本合同有关的争议，甲乙双方应首先通过友好协商解决，如果协商不能解决，可向仲裁委员会申请仲裁或向人民法院提起诉讼。</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3. 诉讼期间，本合同继续履行。</w:t>
      </w:r>
    </w:p>
    <w:p>
      <w:pPr>
        <w:spacing w:after="0" w:line="44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第十三条  合同生效及其它</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 合同经双方法定代表人或被授权代表签字并加盖单位公章后生效。</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2.合同执行中涉及采购资金和采购内容修改或补充的，须经财政部门审批，并签书面补充协议报财政部门备案，方可作为主合同不可分割的一部分。</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3.本合同未尽事宜，遵照《合同法》有关条文执行。</w:t>
      </w:r>
    </w:p>
    <w:p>
      <w:pPr>
        <w:spacing w:after="0" w:line="44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第十四条　合同的变更、终止与转让</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 除《中华人民共和国政府采购法》第五十条规定的情形外，本合同一经签订，甲乙双方不得擅自变更、中止或终止。</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2. 未经甲方书面同意，乙方不得擅自转让（无进口资格的供应商委托进口货物除外）其应履行的合同义务。</w:t>
      </w:r>
    </w:p>
    <w:p>
      <w:pPr>
        <w:spacing w:after="0" w:line="44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第十五条　签订本合同依据</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 采购文件；</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2. 乙方提供的响应文件；</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3. 响应承诺书；</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4. 中标通知书。</w:t>
      </w:r>
    </w:p>
    <w:p>
      <w:pPr>
        <w:spacing w:after="0" w:line="440" w:lineRule="exact"/>
        <w:ind w:firstLine="482" w:firstLineChars="200"/>
        <w:rPr>
          <w:rFonts w:ascii="宋体" w:hAnsi="宋体" w:eastAsia="宋体"/>
          <w:color w:val="auto"/>
          <w:sz w:val="24"/>
          <w:highlight w:val="none"/>
        </w:rPr>
      </w:pPr>
      <w:r>
        <w:rPr>
          <w:rFonts w:hint="eastAsia" w:ascii="宋体" w:hAnsi="宋体" w:eastAsia="宋体"/>
          <w:b/>
          <w:color w:val="auto"/>
          <w:sz w:val="24"/>
          <w:highlight w:val="none"/>
        </w:rPr>
        <w:t>第十六条　</w:t>
      </w:r>
      <w:r>
        <w:rPr>
          <w:rFonts w:hint="eastAsia" w:ascii="宋体" w:hAnsi="宋体" w:eastAsia="宋体"/>
          <w:color w:val="auto"/>
          <w:sz w:val="24"/>
          <w:highlight w:val="none"/>
        </w:rPr>
        <w:t>本合同一式份，具有同等法律效力，采购代理机构、政府采购监督管理处各一份，甲方份，乙方份（可根据需要另增加）。</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本合同甲乙双方签字盖章后生效。</w:t>
      </w:r>
    </w:p>
    <w:p>
      <w:pPr>
        <w:spacing w:line="500" w:lineRule="exact"/>
        <w:rPr>
          <w:rFonts w:ascii="宋体" w:hAnsi="宋体" w:eastAsia="宋体"/>
          <w:color w:val="auto"/>
          <w:sz w:val="24"/>
          <w:highlight w:val="none"/>
          <w:u w:val="single"/>
        </w:rPr>
      </w:pPr>
    </w:p>
    <w:tbl>
      <w:tblPr>
        <w:tblStyle w:val="38"/>
        <w:tblW w:w="90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jc w:val="center"/>
        </w:trPr>
        <w:tc>
          <w:tcPr>
            <w:tcW w:w="4516" w:type="dxa"/>
            <w:vAlign w:val="center"/>
          </w:tcPr>
          <w:p>
            <w:pPr>
              <w:spacing w:line="500" w:lineRule="exact"/>
              <w:rPr>
                <w:rFonts w:ascii="宋体" w:hAnsi="宋体" w:eastAsia="宋体"/>
                <w:color w:val="auto"/>
                <w:sz w:val="24"/>
                <w:highlight w:val="none"/>
              </w:rPr>
            </w:pPr>
            <w:r>
              <w:rPr>
                <w:rFonts w:hint="eastAsia" w:ascii="宋体" w:hAnsi="宋体" w:eastAsia="宋体"/>
                <w:color w:val="auto"/>
                <w:sz w:val="24"/>
                <w:highlight w:val="none"/>
              </w:rPr>
              <w:t xml:space="preserve">甲方（章）           </w:t>
            </w:r>
          </w:p>
          <w:p>
            <w:pPr>
              <w:spacing w:line="500" w:lineRule="exact"/>
              <w:rPr>
                <w:rFonts w:ascii="宋体" w:hAnsi="宋体" w:eastAsia="宋体"/>
                <w:color w:val="auto"/>
                <w:sz w:val="24"/>
                <w:highlight w:val="none"/>
              </w:rPr>
            </w:pPr>
          </w:p>
          <w:p>
            <w:pPr>
              <w:spacing w:line="500" w:lineRule="exact"/>
              <w:rPr>
                <w:rFonts w:ascii="宋体" w:hAnsi="宋体" w:eastAsia="宋体"/>
                <w:color w:val="auto"/>
                <w:sz w:val="24"/>
                <w:highlight w:val="none"/>
              </w:rPr>
            </w:pPr>
            <w:r>
              <w:rPr>
                <w:rFonts w:hint="eastAsia" w:ascii="宋体" w:hAnsi="宋体" w:eastAsia="宋体"/>
                <w:color w:val="auto"/>
                <w:sz w:val="24"/>
                <w:highlight w:val="none"/>
              </w:rPr>
              <w:t>年   月   日</w:t>
            </w:r>
          </w:p>
        </w:tc>
        <w:tc>
          <w:tcPr>
            <w:tcW w:w="4517" w:type="dxa"/>
            <w:vAlign w:val="center"/>
          </w:tcPr>
          <w:p>
            <w:pPr>
              <w:spacing w:line="500" w:lineRule="exact"/>
              <w:rPr>
                <w:rFonts w:ascii="宋体" w:hAnsi="宋体" w:eastAsia="宋体"/>
                <w:color w:val="auto"/>
                <w:sz w:val="24"/>
                <w:highlight w:val="none"/>
              </w:rPr>
            </w:pPr>
            <w:r>
              <w:rPr>
                <w:rFonts w:hint="eastAsia" w:ascii="宋体" w:hAnsi="宋体" w:eastAsia="宋体"/>
                <w:color w:val="auto"/>
                <w:sz w:val="24"/>
                <w:highlight w:val="none"/>
              </w:rPr>
              <w:t xml:space="preserve">乙方（章）              </w:t>
            </w:r>
          </w:p>
          <w:p>
            <w:pPr>
              <w:spacing w:line="500" w:lineRule="exact"/>
              <w:rPr>
                <w:rFonts w:ascii="宋体" w:hAnsi="宋体" w:eastAsia="宋体"/>
                <w:color w:val="auto"/>
                <w:sz w:val="24"/>
                <w:highlight w:val="none"/>
              </w:rPr>
            </w:pPr>
          </w:p>
          <w:p>
            <w:pPr>
              <w:spacing w:line="500" w:lineRule="exact"/>
              <w:rPr>
                <w:rFonts w:ascii="宋体" w:hAnsi="宋体" w:eastAsia="宋体"/>
                <w:color w:val="auto"/>
                <w:sz w:val="24"/>
                <w:highlight w:val="none"/>
              </w:rPr>
            </w:pPr>
            <w:r>
              <w:rPr>
                <w:rFonts w:hint="eastAsia" w:ascii="宋体" w:hAnsi="宋体" w:eastAsia="宋体"/>
                <w:color w:val="auto"/>
                <w:sz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4516" w:type="dxa"/>
            <w:vAlign w:val="center"/>
          </w:tcPr>
          <w:p>
            <w:pPr>
              <w:spacing w:line="500" w:lineRule="exact"/>
              <w:rPr>
                <w:rFonts w:ascii="宋体" w:hAnsi="宋体" w:eastAsia="宋体"/>
                <w:color w:val="auto"/>
                <w:sz w:val="24"/>
                <w:highlight w:val="none"/>
              </w:rPr>
            </w:pPr>
            <w:r>
              <w:rPr>
                <w:rFonts w:hint="eastAsia" w:ascii="宋体" w:hAnsi="宋体" w:eastAsia="宋体"/>
                <w:color w:val="auto"/>
                <w:sz w:val="24"/>
                <w:highlight w:val="none"/>
              </w:rPr>
              <w:t>单位地址：</w:t>
            </w:r>
          </w:p>
        </w:tc>
        <w:tc>
          <w:tcPr>
            <w:tcW w:w="4517" w:type="dxa"/>
            <w:vAlign w:val="center"/>
          </w:tcPr>
          <w:p>
            <w:pPr>
              <w:spacing w:line="500" w:lineRule="exact"/>
              <w:rPr>
                <w:rFonts w:ascii="宋体" w:hAnsi="宋体" w:eastAsia="宋体"/>
                <w:color w:val="auto"/>
                <w:sz w:val="24"/>
                <w:highlight w:val="none"/>
              </w:rPr>
            </w:pPr>
            <w:r>
              <w:rPr>
                <w:rFonts w:hint="eastAsia" w:ascii="宋体" w:hAnsi="宋体" w:eastAsia="宋体"/>
                <w:color w:val="auto"/>
                <w:sz w:val="24"/>
                <w:highlight w:val="none"/>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4516" w:type="dxa"/>
            <w:vAlign w:val="center"/>
          </w:tcPr>
          <w:p>
            <w:pPr>
              <w:spacing w:line="500" w:lineRule="exact"/>
              <w:rPr>
                <w:rFonts w:ascii="宋体" w:hAnsi="宋体" w:eastAsia="宋体"/>
                <w:color w:val="auto"/>
                <w:sz w:val="24"/>
                <w:highlight w:val="none"/>
              </w:rPr>
            </w:pPr>
            <w:r>
              <w:rPr>
                <w:rFonts w:hint="eastAsia" w:ascii="宋体" w:hAnsi="宋体" w:eastAsia="宋体"/>
                <w:color w:val="auto"/>
                <w:sz w:val="24"/>
                <w:highlight w:val="none"/>
              </w:rPr>
              <w:t>法定代表人：</w:t>
            </w:r>
          </w:p>
        </w:tc>
        <w:tc>
          <w:tcPr>
            <w:tcW w:w="4517" w:type="dxa"/>
            <w:vAlign w:val="center"/>
          </w:tcPr>
          <w:p>
            <w:pPr>
              <w:spacing w:line="500" w:lineRule="exact"/>
              <w:rPr>
                <w:rFonts w:ascii="宋体" w:hAnsi="宋体" w:eastAsia="宋体"/>
                <w:color w:val="auto"/>
                <w:sz w:val="24"/>
                <w:highlight w:val="none"/>
              </w:rPr>
            </w:pPr>
            <w:r>
              <w:rPr>
                <w:rFonts w:hint="eastAsia" w:ascii="宋体" w:hAnsi="宋体" w:eastAsia="宋体"/>
                <w:color w:val="auto"/>
                <w:sz w:val="24"/>
                <w:highlight w:val="none"/>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4516" w:type="dxa"/>
            <w:vAlign w:val="center"/>
          </w:tcPr>
          <w:p>
            <w:pPr>
              <w:spacing w:line="500" w:lineRule="exact"/>
              <w:rPr>
                <w:rFonts w:ascii="宋体" w:hAnsi="宋体" w:eastAsia="宋体"/>
                <w:color w:val="auto"/>
                <w:sz w:val="24"/>
                <w:highlight w:val="none"/>
              </w:rPr>
            </w:pPr>
            <w:r>
              <w:rPr>
                <w:rFonts w:hint="eastAsia" w:ascii="宋体" w:hAnsi="宋体" w:eastAsia="宋体"/>
                <w:color w:val="auto"/>
                <w:sz w:val="24"/>
                <w:highlight w:val="none"/>
              </w:rPr>
              <w:t>委托代理人：</w:t>
            </w:r>
          </w:p>
        </w:tc>
        <w:tc>
          <w:tcPr>
            <w:tcW w:w="4517" w:type="dxa"/>
            <w:vAlign w:val="center"/>
          </w:tcPr>
          <w:p>
            <w:pPr>
              <w:spacing w:line="500" w:lineRule="exact"/>
              <w:rPr>
                <w:rFonts w:ascii="宋体" w:hAnsi="宋体" w:eastAsia="宋体"/>
                <w:color w:val="auto"/>
                <w:sz w:val="24"/>
                <w:highlight w:val="none"/>
              </w:rPr>
            </w:pPr>
            <w:r>
              <w:rPr>
                <w:rFonts w:hint="eastAsia" w:ascii="宋体" w:hAnsi="宋体" w:eastAsia="宋体"/>
                <w:color w:val="auto"/>
                <w:sz w:val="24"/>
                <w:highlight w:val="none"/>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4516" w:type="dxa"/>
            <w:vAlign w:val="center"/>
          </w:tcPr>
          <w:p>
            <w:pPr>
              <w:spacing w:line="500" w:lineRule="exact"/>
              <w:rPr>
                <w:rFonts w:ascii="宋体" w:hAnsi="宋体" w:eastAsia="宋体"/>
                <w:color w:val="auto"/>
                <w:sz w:val="24"/>
                <w:highlight w:val="none"/>
              </w:rPr>
            </w:pPr>
            <w:r>
              <w:rPr>
                <w:rFonts w:hint="eastAsia" w:ascii="宋体" w:hAnsi="宋体" w:eastAsia="宋体"/>
                <w:color w:val="auto"/>
                <w:sz w:val="24"/>
                <w:highlight w:val="none"/>
              </w:rPr>
              <w:t>电话：</w:t>
            </w:r>
          </w:p>
        </w:tc>
        <w:tc>
          <w:tcPr>
            <w:tcW w:w="4517" w:type="dxa"/>
            <w:vAlign w:val="center"/>
          </w:tcPr>
          <w:p>
            <w:pPr>
              <w:spacing w:line="500" w:lineRule="exact"/>
              <w:rPr>
                <w:rFonts w:ascii="宋体" w:hAnsi="宋体" w:eastAsia="宋体"/>
                <w:color w:val="auto"/>
                <w:sz w:val="24"/>
                <w:highlight w:val="none"/>
              </w:rPr>
            </w:pPr>
            <w:r>
              <w:rPr>
                <w:rFonts w:hint="eastAsia" w:ascii="宋体" w:hAnsi="宋体" w:eastAsia="宋体"/>
                <w:color w:val="auto"/>
                <w:sz w:val="24"/>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4516" w:type="dxa"/>
            <w:vAlign w:val="center"/>
          </w:tcPr>
          <w:p>
            <w:pPr>
              <w:spacing w:line="500" w:lineRule="exact"/>
              <w:rPr>
                <w:rFonts w:ascii="宋体" w:hAnsi="宋体" w:eastAsia="宋体"/>
                <w:color w:val="auto"/>
                <w:sz w:val="24"/>
                <w:highlight w:val="none"/>
              </w:rPr>
            </w:pPr>
            <w:r>
              <w:rPr>
                <w:rFonts w:hint="eastAsia" w:ascii="宋体" w:hAnsi="宋体" w:eastAsia="宋体"/>
                <w:color w:val="auto"/>
                <w:sz w:val="24"/>
                <w:highlight w:val="none"/>
              </w:rPr>
              <w:t>电子邮箱：</w:t>
            </w:r>
          </w:p>
        </w:tc>
        <w:tc>
          <w:tcPr>
            <w:tcW w:w="4517" w:type="dxa"/>
            <w:vAlign w:val="center"/>
          </w:tcPr>
          <w:p>
            <w:pPr>
              <w:spacing w:line="500" w:lineRule="exact"/>
              <w:rPr>
                <w:rFonts w:ascii="宋体" w:hAnsi="宋体" w:eastAsia="宋体"/>
                <w:color w:val="auto"/>
                <w:sz w:val="24"/>
                <w:highlight w:val="none"/>
              </w:rPr>
            </w:pPr>
            <w:r>
              <w:rPr>
                <w:rFonts w:hint="eastAsia" w:ascii="宋体" w:hAnsi="宋体" w:eastAsia="宋体"/>
                <w:color w:val="auto"/>
                <w:sz w:val="24"/>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4516" w:type="dxa"/>
            <w:vAlign w:val="center"/>
          </w:tcPr>
          <w:p>
            <w:pPr>
              <w:spacing w:line="500" w:lineRule="exact"/>
              <w:rPr>
                <w:rFonts w:ascii="宋体" w:hAnsi="宋体" w:eastAsia="宋体"/>
                <w:color w:val="auto"/>
                <w:sz w:val="24"/>
                <w:highlight w:val="none"/>
              </w:rPr>
            </w:pPr>
            <w:r>
              <w:rPr>
                <w:rFonts w:hint="eastAsia" w:ascii="宋体" w:hAnsi="宋体" w:eastAsia="宋体"/>
                <w:color w:val="auto"/>
                <w:sz w:val="24"/>
                <w:highlight w:val="none"/>
              </w:rPr>
              <w:t>开户银行：</w:t>
            </w:r>
          </w:p>
        </w:tc>
        <w:tc>
          <w:tcPr>
            <w:tcW w:w="4517" w:type="dxa"/>
            <w:vAlign w:val="center"/>
          </w:tcPr>
          <w:p>
            <w:pPr>
              <w:spacing w:line="500" w:lineRule="exact"/>
              <w:rPr>
                <w:rFonts w:ascii="宋体" w:hAnsi="宋体" w:eastAsia="宋体"/>
                <w:color w:val="auto"/>
                <w:sz w:val="24"/>
                <w:highlight w:val="none"/>
              </w:rPr>
            </w:pPr>
            <w:r>
              <w:rPr>
                <w:rFonts w:hint="eastAsia" w:ascii="宋体" w:hAnsi="宋体" w:eastAsia="宋体"/>
                <w:color w:val="auto"/>
                <w:sz w:val="24"/>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4516" w:type="dxa"/>
            <w:vAlign w:val="center"/>
          </w:tcPr>
          <w:p>
            <w:pPr>
              <w:spacing w:line="500" w:lineRule="exact"/>
              <w:rPr>
                <w:rFonts w:ascii="宋体" w:hAnsi="宋体" w:eastAsia="宋体"/>
                <w:color w:val="auto"/>
                <w:sz w:val="24"/>
                <w:highlight w:val="none"/>
              </w:rPr>
            </w:pPr>
            <w:r>
              <w:rPr>
                <w:rFonts w:hint="eastAsia" w:ascii="宋体" w:hAnsi="宋体" w:eastAsia="宋体"/>
                <w:color w:val="auto"/>
                <w:sz w:val="24"/>
                <w:highlight w:val="none"/>
              </w:rPr>
              <w:t>账号：</w:t>
            </w:r>
          </w:p>
        </w:tc>
        <w:tc>
          <w:tcPr>
            <w:tcW w:w="4517" w:type="dxa"/>
            <w:vAlign w:val="center"/>
          </w:tcPr>
          <w:p>
            <w:pPr>
              <w:spacing w:line="500" w:lineRule="exact"/>
              <w:rPr>
                <w:rFonts w:ascii="宋体" w:hAnsi="宋体" w:eastAsia="宋体"/>
                <w:color w:val="auto"/>
                <w:sz w:val="24"/>
                <w:highlight w:val="none"/>
              </w:rPr>
            </w:pPr>
            <w:r>
              <w:rPr>
                <w:rFonts w:hint="eastAsia" w:ascii="宋体" w:hAnsi="宋体" w:eastAsia="宋体"/>
                <w:color w:val="auto"/>
                <w:sz w:val="24"/>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4516" w:type="dxa"/>
            <w:vAlign w:val="center"/>
          </w:tcPr>
          <w:p>
            <w:pPr>
              <w:spacing w:line="500" w:lineRule="exact"/>
              <w:rPr>
                <w:rFonts w:ascii="宋体" w:hAnsi="宋体" w:eastAsia="宋体"/>
                <w:color w:val="auto"/>
                <w:sz w:val="24"/>
                <w:highlight w:val="none"/>
              </w:rPr>
            </w:pPr>
            <w:r>
              <w:rPr>
                <w:rFonts w:hint="eastAsia" w:ascii="宋体" w:hAnsi="宋体" w:eastAsia="宋体"/>
                <w:color w:val="auto"/>
                <w:sz w:val="24"/>
                <w:highlight w:val="none"/>
              </w:rPr>
              <w:t>邮政编码：</w:t>
            </w:r>
          </w:p>
        </w:tc>
        <w:tc>
          <w:tcPr>
            <w:tcW w:w="4517" w:type="dxa"/>
            <w:vAlign w:val="center"/>
          </w:tcPr>
          <w:p>
            <w:pPr>
              <w:spacing w:line="500" w:lineRule="exact"/>
              <w:rPr>
                <w:rFonts w:ascii="宋体" w:hAnsi="宋体" w:eastAsia="宋体"/>
                <w:color w:val="auto"/>
                <w:sz w:val="24"/>
                <w:highlight w:val="none"/>
              </w:rPr>
            </w:pPr>
            <w:r>
              <w:rPr>
                <w:rFonts w:hint="eastAsia" w:ascii="宋体" w:hAnsi="宋体" w:eastAsia="宋体"/>
                <w:color w:val="auto"/>
                <w:sz w:val="24"/>
                <w:highlight w:val="none"/>
              </w:rPr>
              <w:t>邮政编码：</w:t>
            </w:r>
          </w:p>
        </w:tc>
      </w:tr>
    </w:tbl>
    <w:p>
      <w:pPr>
        <w:spacing w:line="500" w:lineRule="exact"/>
        <w:rPr>
          <w:rFonts w:ascii="宋体" w:hAnsi="宋体" w:eastAsia="宋体"/>
          <w:color w:val="auto"/>
          <w:sz w:val="28"/>
          <w:szCs w:val="28"/>
          <w:highlight w:val="none"/>
        </w:rPr>
      </w:pPr>
    </w:p>
    <w:p>
      <w:pPr>
        <w:spacing w:line="500" w:lineRule="exact"/>
        <w:rPr>
          <w:rFonts w:ascii="宋体" w:hAnsi="宋体" w:eastAsia="宋体"/>
          <w:color w:val="auto"/>
          <w:highlight w:val="none"/>
        </w:rPr>
      </w:pPr>
      <w:r>
        <w:rPr>
          <w:rFonts w:ascii="宋体" w:hAnsi="宋体" w:eastAsia="宋体"/>
          <w:color w:val="auto"/>
          <w:highlight w:val="none"/>
        </w:rPr>
        <w:br w:type="page"/>
      </w:r>
    </w:p>
    <w:p>
      <w:pPr>
        <w:pStyle w:val="102"/>
        <w:rPr>
          <w:rFonts w:hAnsi="宋体" w:cs="Times New Roman"/>
          <w:color w:val="auto"/>
          <w:kern w:val="2"/>
          <w:highlight w:val="none"/>
        </w:rPr>
      </w:pPr>
    </w:p>
    <w:p>
      <w:pPr>
        <w:pStyle w:val="102"/>
        <w:rPr>
          <w:rFonts w:hAnsi="宋体" w:cs="Times New Roman"/>
          <w:color w:val="auto"/>
          <w:kern w:val="2"/>
          <w:highlight w:val="none"/>
        </w:rPr>
      </w:pPr>
      <w:r>
        <w:rPr>
          <w:rFonts w:hint="eastAsia" w:hAnsi="宋体" w:cs="Times New Roman"/>
          <w:color w:val="auto"/>
          <w:kern w:val="2"/>
          <w:highlight w:val="none"/>
        </w:rPr>
        <w:t>合同附件</w:t>
      </w:r>
      <w:r>
        <w:rPr>
          <w:rFonts w:hAnsi="宋体" w:cs="Times New Roman"/>
          <w:color w:val="auto"/>
          <w:kern w:val="2"/>
          <w:highlight w:val="none"/>
        </w:rPr>
        <w:t xml:space="preserve">1 </w:t>
      </w:r>
    </w:p>
    <w:p>
      <w:pPr>
        <w:pStyle w:val="102"/>
        <w:jc w:val="center"/>
        <w:rPr>
          <w:rFonts w:hAnsi="宋体" w:cs="Times New Roman"/>
          <w:b/>
          <w:color w:val="auto"/>
          <w:kern w:val="2"/>
          <w:sz w:val="28"/>
          <w:szCs w:val="28"/>
          <w:highlight w:val="none"/>
        </w:rPr>
      </w:pPr>
      <w:r>
        <w:rPr>
          <w:rFonts w:hint="eastAsia" w:hAnsi="宋体" w:cs="Times New Roman"/>
          <w:b/>
          <w:color w:val="auto"/>
          <w:kern w:val="2"/>
          <w:sz w:val="28"/>
          <w:szCs w:val="28"/>
          <w:highlight w:val="none"/>
        </w:rPr>
        <w:t>响应承诺书</w:t>
      </w:r>
    </w:p>
    <w:p>
      <w:pPr>
        <w:pStyle w:val="102"/>
        <w:rPr>
          <w:rFonts w:hAnsi="宋体" w:cs="Times New Roman"/>
          <w:b/>
          <w:color w:val="auto"/>
          <w:kern w:val="2"/>
          <w:sz w:val="28"/>
          <w:szCs w:val="28"/>
          <w:highlight w:val="none"/>
        </w:rPr>
      </w:pPr>
      <w:r>
        <w:rPr>
          <w:rFonts w:hint="eastAsia" w:hAnsi="宋体" w:cs="Times New Roman"/>
          <w:color w:val="auto"/>
          <w:kern w:val="2"/>
          <w:highlight w:val="none"/>
        </w:rPr>
        <w:t>一般货物类</w:t>
      </w:r>
    </w:p>
    <w:tbl>
      <w:tblPr>
        <w:tblStyle w:val="38"/>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1"/>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8897" w:type="dxa"/>
            <w:gridSpan w:val="2"/>
          </w:tcPr>
          <w:p>
            <w:pPr>
              <w:pStyle w:val="102"/>
              <w:rPr>
                <w:rFonts w:hAnsi="宋体" w:cs="Times New Roman"/>
                <w:color w:val="auto"/>
                <w:kern w:val="2"/>
                <w:highlight w:val="none"/>
              </w:rPr>
            </w:pPr>
            <w:r>
              <w:rPr>
                <w:rFonts w:hAnsi="宋体" w:cs="Times New Roman"/>
                <w:color w:val="auto"/>
                <w:kern w:val="2"/>
                <w:highlight w:val="none"/>
              </w:rPr>
              <w:t>1</w:t>
            </w:r>
            <w:r>
              <w:rPr>
                <w:rFonts w:hint="eastAsia" w:hAnsi="宋体" w:cs="Times New Roman"/>
                <w:color w:val="auto"/>
                <w:kern w:val="2"/>
                <w:highlight w:val="none"/>
              </w:rPr>
              <w:t>．乙方承诺具体事项：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8897" w:type="dxa"/>
            <w:gridSpan w:val="2"/>
          </w:tcPr>
          <w:p>
            <w:pPr>
              <w:pStyle w:val="102"/>
              <w:rPr>
                <w:rFonts w:hAnsi="宋体" w:cs="Times New Roman"/>
                <w:color w:val="auto"/>
                <w:kern w:val="2"/>
                <w:highlight w:val="none"/>
              </w:rPr>
            </w:pPr>
            <w:r>
              <w:rPr>
                <w:rFonts w:hAnsi="宋体" w:cs="Times New Roman"/>
                <w:color w:val="auto"/>
                <w:kern w:val="2"/>
                <w:highlight w:val="none"/>
              </w:rPr>
              <w:t>2</w:t>
            </w:r>
            <w:r>
              <w:rPr>
                <w:rFonts w:hint="eastAsia" w:hAnsi="宋体" w:cs="Times New Roman"/>
                <w:color w:val="auto"/>
                <w:kern w:val="2"/>
                <w:highlight w:val="none"/>
              </w:rPr>
              <w:t>．售后服务具体事项：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8897" w:type="dxa"/>
            <w:gridSpan w:val="2"/>
          </w:tcPr>
          <w:p>
            <w:pPr>
              <w:pStyle w:val="102"/>
              <w:rPr>
                <w:rFonts w:hAnsi="宋体" w:cs="Times New Roman"/>
                <w:color w:val="auto"/>
                <w:kern w:val="2"/>
                <w:highlight w:val="none"/>
              </w:rPr>
            </w:pPr>
            <w:r>
              <w:rPr>
                <w:rFonts w:hAnsi="宋体" w:cs="Times New Roman"/>
                <w:color w:val="auto"/>
                <w:kern w:val="2"/>
                <w:highlight w:val="none"/>
              </w:rPr>
              <w:t>3</w:t>
            </w:r>
            <w:r>
              <w:rPr>
                <w:rFonts w:hint="eastAsia" w:hAnsi="宋体" w:cs="Times New Roman"/>
                <w:color w:val="auto"/>
                <w:kern w:val="2"/>
                <w:highlight w:val="none"/>
              </w:rPr>
              <w:t>．质保期责任：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8897" w:type="dxa"/>
            <w:gridSpan w:val="2"/>
          </w:tcPr>
          <w:p>
            <w:pPr>
              <w:pStyle w:val="102"/>
              <w:rPr>
                <w:rFonts w:hAnsi="宋体" w:cs="Times New Roman"/>
                <w:color w:val="auto"/>
                <w:kern w:val="2"/>
                <w:highlight w:val="none"/>
              </w:rPr>
            </w:pPr>
            <w:r>
              <w:rPr>
                <w:rFonts w:hAnsi="宋体" w:cs="Times New Roman"/>
                <w:color w:val="auto"/>
                <w:kern w:val="2"/>
                <w:highlight w:val="none"/>
              </w:rPr>
              <w:t>4</w:t>
            </w:r>
            <w:r>
              <w:rPr>
                <w:rFonts w:hint="eastAsia" w:hAnsi="宋体" w:cs="Times New Roman"/>
                <w:color w:val="auto"/>
                <w:kern w:val="2"/>
                <w:highlight w:val="none"/>
              </w:rPr>
              <w:t>．其他具体事项：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4361" w:type="dxa"/>
          </w:tcPr>
          <w:p>
            <w:pPr>
              <w:pStyle w:val="102"/>
              <w:rPr>
                <w:rFonts w:hAnsi="宋体" w:cs="Times New Roman"/>
                <w:color w:val="auto"/>
                <w:kern w:val="2"/>
                <w:highlight w:val="none"/>
              </w:rPr>
            </w:pPr>
            <w:r>
              <w:rPr>
                <w:rFonts w:hint="eastAsia" w:hAnsi="宋体" w:cs="Times New Roman"/>
                <w:color w:val="auto"/>
                <w:kern w:val="2"/>
                <w:highlight w:val="none"/>
              </w:rPr>
              <w:t>甲方</w:t>
            </w:r>
            <w:r>
              <w:rPr>
                <w:rFonts w:hAnsi="宋体" w:cs="Times New Roman"/>
                <w:color w:val="auto"/>
                <w:kern w:val="2"/>
                <w:highlight w:val="none"/>
              </w:rPr>
              <w:t>(</w:t>
            </w:r>
            <w:r>
              <w:rPr>
                <w:rFonts w:hint="eastAsia" w:hAnsi="宋体" w:cs="Times New Roman"/>
                <w:color w:val="auto"/>
                <w:kern w:val="2"/>
                <w:highlight w:val="none"/>
              </w:rPr>
              <w:t>章</w:t>
            </w:r>
            <w:r>
              <w:rPr>
                <w:rFonts w:hAnsi="宋体" w:cs="Times New Roman"/>
                <w:color w:val="auto"/>
                <w:kern w:val="2"/>
                <w:highlight w:val="none"/>
              </w:rPr>
              <w:t>)</w:t>
            </w:r>
          </w:p>
          <w:p>
            <w:pPr>
              <w:pStyle w:val="102"/>
              <w:rPr>
                <w:rFonts w:hAnsi="宋体" w:cs="Times New Roman"/>
                <w:color w:val="auto"/>
                <w:kern w:val="2"/>
                <w:highlight w:val="none"/>
              </w:rPr>
            </w:pPr>
          </w:p>
          <w:p>
            <w:pPr>
              <w:pStyle w:val="102"/>
              <w:rPr>
                <w:rFonts w:hAnsi="宋体" w:cs="Times New Roman"/>
                <w:color w:val="auto"/>
                <w:kern w:val="2"/>
                <w:highlight w:val="none"/>
              </w:rPr>
            </w:pPr>
          </w:p>
          <w:p>
            <w:pPr>
              <w:pStyle w:val="102"/>
              <w:ind w:firstLine="2640" w:firstLineChars="1100"/>
              <w:rPr>
                <w:rFonts w:hAnsi="宋体" w:cs="Times New Roman"/>
                <w:color w:val="auto"/>
                <w:kern w:val="2"/>
                <w:highlight w:val="none"/>
              </w:rPr>
            </w:pPr>
            <w:r>
              <w:rPr>
                <w:rFonts w:hint="eastAsia" w:hAnsi="宋体" w:cs="Times New Roman"/>
                <w:color w:val="auto"/>
                <w:kern w:val="2"/>
                <w:highlight w:val="none"/>
              </w:rPr>
              <w:t>年 月 日</w:t>
            </w:r>
          </w:p>
        </w:tc>
        <w:tc>
          <w:tcPr>
            <w:tcW w:w="4536" w:type="dxa"/>
          </w:tcPr>
          <w:p>
            <w:pPr>
              <w:pStyle w:val="102"/>
              <w:rPr>
                <w:rFonts w:hAnsi="宋体" w:cs="Times New Roman"/>
                <w:color w:val="auto"/>
                <w:kern w:val="2"/>
                <w:highlight w:val="none"/>
              </w:rPr>
            </w:pPr>
            <w:r>
              <w:rPr>
                <w:rFonts w:hint="eastAsia" w:hAnsi="宋体" w:cs="Times New Roman"/>
                <w:color w:val="auto"/>
                <w:kern w:val="2"/>
                <w:highlight w:val="none"/>
              </w:rPr>
              <w:t>乙方</w:t>
            </w:r>
            <w:r>
              <w:rPr>
                <w:rFonts w:hAnsi="宋体" w:cs="Times New Roman"/>
                <w:color w:val="auto"/>
                <w:kern w:val="2"/>
                <w:highlight w:val="none"/>
              </w:rPr>
              <w:t>(</w:t>
            </w:r>
            <w:r>
              <w:rPr>
                <w:rFonts w:hint="eastAsia" w:hAnsi="宋体" w:cs="Times New Roman"/>
                <w:color w:val="auto"/>
                <w:kern w:val="2"/>
                <w:highlight w:val="none"/>
              </w:rPr>
              <w:t>章</w:t>
            </w:r>
            <w:r>
              <w:rPr>
                <w:rFonts w:hAnsi="宋体" w:cs="Times New Roman"/>
                <w:color w:val="auto"/>
                <w:kern w:val="2"/>
                <w:highlight w:val="none"/>
              </w:rPr>
              <w:t>)</w:t>
            </w:r>
          </w:p>
          <w:p>
            <w:pPr>
              <w:pStyle w:val="102"/>
              <w:rPr>
                <w:rFonts w:hAnsi="宋体" w:cs="Times New Roman"/>
                <w:color w:val="auto"/>
                <w:kern w:val="2"/>
                <w:highlight w:val="none"/>
              </w:rPr>
            </w:pPr>
          </w:p>
          <w:p>
            <w:pPr>
              <w:pStyle w:val="102"/>
              <w:rPr>
                <w:rFonts w:hAnsi="宋体" w:cs="Times New Roman"/>
                <w:color w:val="auto"/>
                <w:kern w:val="2"/>
                <w:highlight w:val="none"/>
              </w:rPr>
            </w:pPr>
          </w:p>
          <w:p>
            <w:pPr>
              <w:pStyle w:val="102"/>
              <w:ind w:firstLine="2880" w:firstLineChars="1200"/>
              <w:rPr>
                <w:rFonts w:hAnsi="宋体" w:cs="Times New Roman"/>
                <w:color w:val="auto"/>
                <w:kern w:val="2"/>
                <w:highlight w:val="none"/>
              </w:rPr>
            </w:pPr>
            <w:r>
              <w:rPr>
                <w:rFonts w:hint="eastAsia" w:hAnsi="宋体" w:cs="Times New Roman"/>
                <w:color w:val="auto"/>
                <w:kern w:val="2"/>
                <w:highlight w:val="none"/>
              </w:rPr>
              <w:t>年 月 日</w:t>
            </w:r>
          </w:p>
        </w:tc>
      </w:tr>
    </w:tbl>
    <w:p>
      <w:pPr>
        <w:ind w:left="440" w:hanging="440" w:hangingChars="200"/>
        <w:rPr>
          <w:rFonts w:ascii="宋体" w:hAnsi="宋体" w:eastAsia="宋体"/>
          <w:color w:val="auto"/>
          <w:sz w:val="24"/>
          <w:highlight w:val="none"/>
        </w:rPr>
      </w:pPr>
      <w:r>
        <w:rPr>
          <w:rFonts w:hint="eastAsia" w:ascii="宋体" w:hAnsi="宋体" w:eastAsia="宋体"/>
          <w:color w:val="auto"/>
          <w:szCs w:val="21"/>
          <w:highlight w:val="none"/>
        </w:rPr>
        <w:t>注：售后服务事项填不下时可另加附页</w:t>
      </w:r>
    </w:p>
    <w:p>
      <w:pPr>
        <w:ind w:left="440" w:hanging="440" w:hangingChars="200"/>
        <w:rPr>
          <w:rFonts w:ascii="宋体" w:hAnsi="宋体" w:eastAsia="宋体"/>
          <w:color w:val="auto"/>
          <w:szCs w:val="21"/>
          <w:highlight w:val="none"/>
        </w:rPr>
      </w:pPr>
    </w:p>
    <w:p>
      <w:pPr>
        <w:adjustRightInd/>
        <w:snapToGrid/>
        <w:spacing w:line="220" w:lineRule="atLeast"/>
        <w:rPr>
          <w:rFonts w:ascii="宋体" w:hAnsi="宋体" w:eastAsia="宋体"/>
          <w:color w:val="auto"/>
          <w:sz w:val="24"/>
          <w:highlight w:val="none"/>
        </w:rPr>
      </w:pPr>
    </w:p>
    <w:p>
      <w:pPr>
        <w:adjustRightInd/>
        <w:snapToGrid/>
        <w:spacing w:line="220" w:lineRule="atLeast"/>
        <w:rPr>
          <w:rFonts w:ascii="宋体" w:hAnsi="宋体" w:eastAsia="宋体"/>
          <w:color w:val="auto"/>
          <w:sz w:val="24"/>
          <w:highlight w:val="none"/>
        </w:rPr>
      </w:pPr>
      <w:r>
        <w:rPr>
          <w:rFonts w:ascii="宋体" w:hAnsi="宋体" w:eastAsia="宋体"/>
          <w:color w:val="auto"/>
          <w:sz w:val="24"/>
          <w:highlight w:val="none"/>
        </w:rPr>
        <w:br w:type="page"/>
      </w:r>
    </w:p>
    <w:p>
      <w:pPr>
        <w:rPr>
          <w:rFonts w:ascii="宋体" w:hAnsi="宋体" w:eastAsia="宋体"/>
          <w:color w:val="auto"/>
          <w:sz w:val="24"/>
          <w:highlight w:val="none"/>
        </w:rPr>
      </w:pPr>
      <w:r>
        <w:rPr>
          <w:rFonts w:hint="eastAsia" w:ascii="宋体" w:hAnsi="宋体" w:eastAsia="宋体"/>
          <w:color w:val="auto"/>
          <w:sz w:val="24"/>
          <w:highlight w:val="none"/>
        </w:rPr>
        <w:t>附件</w:t>
      </w:r>
      <w:r>
        <w:rPr>
          <w:rFonts w:ascii="宋体" w:hAnsi="宋体" w:eastAsia="宋体"/>
          <w:color w:val="auto"/>
          <w:sz w:val="24"/>
          <w:highlight w:val="none"/>
        </w:rPr>
        <w:t>2</w:t>
      </w:r>
      <w:r>
        <w:rPr>
          <w:rFonts w:hint="eastAsia" w:ascii="宋体" w:hAnsi="宋体" w:eastAsia="宋体"/>
          <w:color w:val="auto"/>
          <w:sz w:val="24"/>
          <w:highlight w:val="none"/>
        </w:rPr>
        <w:t>：</w:t>
      </w:r>
    </w:p>
    <w:p>
      <w:pPr>
        <w:shd w:val="clear" w:color="auto" w:fill="FFFFFF"/>
        <w:spacing w:line="580" w:lineRule="exact"/>
        <w:jc w:val="center"/>
        <w:rPr>
          <w:rFonts w:ascii="宋体" w:hAnsi="宋体" w:eastAsia="宋体" w:cs="宋体"/>
          <w:color w:val="auto"/>
          <w:sz w:val="32"/>
          <w:szCs w:val="32"/>
          <w:highlight w:val="none"/>
        </w:rPr>
      </w:pPr>
      <w:r>
        <w:rPr>
          <w:rFonts w:hint="eastAsia" w:ascii="宋体" w:hAnsi="宋体" w:eastAsia="宋体" w:cs="黑体"/>
          <w:color w:val="auto"/>
          <w:sz w:val="32"/>
          <w:szCs w:val="32"/>
          <w:highlight w:val="none"/>
        </w:rPr>
        <w:t>广西壮族自治区政府采购项目合同验收书</w:t>
      </w:r>
      <w:r>
        <w:rPr>
          <w:rFonts w:hint="eastAsia" w:ascii="宋体" w:hAnsi="宋体" w:eastAsia="宋体" w:cs="宋体"/>
          <w:color w:val="auto"/>
          <w:sz w:val="32"/>
          <w:szCs w:val="32"/>
          <w:highlight w:val="none"/>
        </w:rPr>
        <w:t>（格式）</w:t>
      </w:r>
    </w:p>
    <w:p>
      <w:pPr>
        <w:shd w:val="clear" w:color="auto" w:fill="FFFFFF"/>
        <w:spacing w:line="440" w:lineRule="exact"/>
        <w:ind w:firstLine="482"/>
        <w:rPr>
          <w:rFonts w:ascii="宋体" w:hAnsi="宋体" w:eastAsia="宋体" w:cs="宋体"/>
          <w:color w:val="auto"/>
          <w:sz w:val="24"/>
          <w:highlight w:val="none"/>
        </w:rPr>
      </w:pPr>
      <w:r>
        <w:rPr>
          <w:rFonts w:hint="eastAsia" w:ascii="宋体" w:hAnsi="宋体" w:eastAsia="宋体" w:cs="宋体"/>
          <w:color w:val="auto"/>
          <w:sz w:val="24"/>
          <w:highlight w:val="none"/>
        </w:rPr>
        <w:t>根据政府采购项目（</w:t>
      </w:r>
      <w:r>
        <w:rPr>
          <w:rFonts w:hint="eastAsia" w:ascii="宋体" w:hAnsi="宋体" w:eastAsia="宋体" w:cs="宋体"/>
          <w:color w:val="auto"/>
          <w:sz w:val="24"/>
          <w:highlight w:val="none"/>
          <w:u w:val="single"/>
        </w:rPr>
        <w:t>采购合同编号：</w:t>
      </w:r>
      <w:r>
        <w:rPr>
          <w:rFonts w:hint="eastAsia" w:ascii="宋体" w:hAnsi="宋体" w:eastAsia="宋体" w:cs="宋体"/>
          <w:color w:val="auto"/>
          <w:sz w:val="24"/>
          <w:highlight w:val="none"/>
          <w:u w:val="single"/>
        </w:rPr>
        <w:softHyphen/>
      </w:r>
      <w:r>
        <w:rPr>
          <w:rFonts w:hint="eastAsia" w:ascii="宋体" w:hAnsi="宋体" w:eastAsia="宋体" w:cs="宋体"/>
          <w:color w:val="auto"/>
          <w:sz w:val="24"/>
          <w:highlight w:val="none"/>
        </w:rPr>
        <w:t>）的约定，我单位对（</w:t>
      </w:r>
      <w:r>
        <w:rPr>
          <w:rFonts w:hint="eastAsia" w:ascii="宋体" w:hAnsi="宋体" w:eastAsia="宋体" w:cs="宋体"/>
          <w:color w:val="auto"/>
          <w:sz w:val="24"/>
          <w:highlight w:val="none"/>
          <w:u w:val="single"/>
        </w:rPr>
        <w:t xml:space="preserve"> 项目名称 </w:t>
      </w:r>
      <w:r>
        <w:rPr>
          <w:rFonts w:hint="eastAsia" w:ascii="宋体" w:hAnsi="宋体" w:eastAsia="宋体" w:cs="宋体"/>
          <w:color w:val="auto"/>
          <w:sz w:val="24"/>
          <w:highlight w:val="none"/>
        </w:rPr>
        <w:t>） 政府采购项目成交供应商（</w:t>
      </w:r>
      <w:r>
        <w:rPr>
          <w:rFonts w:hint="eastAsia" w:ascii="宋体" w:hAnsi="宋体" w:eastAsia="宋体" w:cs="宋体"/>
          <w:color w:val="auto"/>
          <w:sz w:val="24"/>
          <w:highlight w:val="none"/>
          <w:u w:val="single"/>
        </w:rPr>
        <w:t xml:space="preserve"> 公司名称 </w:t>
      </w:r>
      <w:r>
        <w:rPr>
          <w:rFonts w:hint="eastAsia" w:ascii="宋体" w:hAnsi="宋体" w:eastAsia="宋体" w:cs="宋体"/>
          <w:color w:val="auto"/>
          <w:sz w:val="24"/>
          <w:highlight w:val="none"/>
        </w:rPr>
        <w:t>） 提供的货物（或工程、服务）进行了验收，验收情况如下：</w:t>
      </w:r>
    </w:p>
    <w:tbl>
      <w:tblPr>
        <w:tblStyle w:val="38"/>
        <w:tblW w:w="9177" w:type="dxa"/>
        <w:jc w:val="center"/>
        <w:tblLayout w:type="fixed"/>
        <w:tblCellMar>
          <w:top w:w="0" w:type="dxa"/>
          <w:left w:w="0" w:type="dxa"/>
          <w:bottom w:w="0" w:type="dxa"/>
          <w:right w:w="0" w:type="dxa"/>
        </w:tblCellMar>
      </w:tblPr>
      <w:tblGrid>
        <w:gridCol w:w="1159"/>
        <w:gridCol w:w="2093"/>
        <w:gridCol w:w="798"/>
        <w:gridCol w:w="102"/>
        <w:gridCol w:w="2002"/>
        <w:gridCol w:w="178"/>
        <w:gridCol w:w="685"/>
        <w:gridCol w:w="2160"/>
      </w:tblGrid>
      <w:tr>
        <w:tblPrEx>
          <w:tblCellMar>
            <w:top w:w="0" w:type="dxa"/>
            <w:left w:w="0" w:type="dxa"/>
            <w:bottom w:w="0" w:type="dxa"/>
            <w:right w:w="0" w:type="dxa"/>
          </w:tblCellMar>
        </w:tblPrEx>
        <w:trPr>
          <w:trHeight w:val="497" w:hRule="atLeast"/>
          <w:jc w:val="center"/>
        </w:trPr>
        <w:tc>
          <w:tcPr>
            <w:tcW w:w="3252" w:type="dxa"/>
            <w:gridSpan w:val="2"/>
            <w:tcBorders>
              <w:top w:val="single" w:color="auto" w:sz="8" w:space="0"/>
              <w:left w:val="single" w:color="auto" w:sz="8" w:space="0"/>
              <w:bottom w:val="single" w:color="auto" w:sz="8" w:space="0"/>
              <w:right w:val="single" w:color="auto" w:sz="8" w:space="0"/>
            </w:tcBorders>
            <w:vAlign w:val="center"/>
          </w:tcPr>
          <w:p>
            <w:pPr>
              <w:spacing w:before="100" w:beforeAutospacing="1" w:after="100" w:afterAutospacing="1" w:line="320" w:lineRule="atLeast"/>
              <w:ind w:firstLine="5"/>
              <w:jc w:val="center"/>
              <w:rPr>
                <w:rFonts w:ascii="宋体" w:hAnsi="宋体" w:eastAsia="宋体" w:cs="宋体"/>
                <w:color w:val="auto"/>
                <w:szCs w:val="21"/>
                <w:highlight w:val="none"/>
              </w:rPr>
            </w:pPr>
            <w:r>
              <w:rPr>
                <w:rFonts w:hint="eastAsia" w:ascii="宋体" w:hAnsi="宋体" w:eastAsia="宋体" w:cs="宋体"/>
                <w:color w:val="auto"/>
                <w:szCs w:val="21"/>
                <w:highlight w:val="none"/>
              </w:rPr>
              <w:t>验收方式：</w:t>
            </w:r>
          </w:p>
        </w:tc>
        <w:tc>
          <w:tcPr>
            <w:tcW w:w="5925" w:type="dxa"/>
            <w:gridSpan w:val="6"/>
            <w:tcBorders>
              <w:top w:val="single" w:color="auto" w:sz="8" w:space="0"/>
              <w:left w:val="nil"/>
              <w:bottom w:val="single" w:color="auto" w:sz="8" w:space="0"/>
              <w:right w:val="single" w:color="auto" w:sz="8" w:space="0"/>
            </w:tcBorders>
            <w:vAlign w:val="center"/>
          </w:tcPr>
          <w:p>
            <w:pPr>
              <w:spacing w:before="100" w:beforeAutospacing="1" w:after="100" w:afterAutospacing="1" w:line="320" w:lineRule="atLeast"/>
              <w:ind w:firstLine="480"/>
              <w:jc w:val="center"/>
              <w:rPr>
                <w:rFonts w:ascii="宋体" w:hAnsi="宋体" w:eastAsia="宋体" w:cs="宋体"/>
                <w:color w:val="auto"/>
                <w:szCs w:val="21"/>
                <w:highlight w:val="none"/>
              </w:rPr>
            </w:pPr>
            <w:r>
              <w:rPr>
                <w:rFonts w:hint="eastAsia" w:ascii="宋体" w:hAnsi="宋体" w:eastAsia="宋体" w:cs="宋体"/>
                <w:color w:val="auto"/>
                <w:szCs w:val="21"/>
                <w:highlight w:val="none"/>
              </w:rPr>
              <w:t>□自行验收 □委托验收</w:t>
            </w:r>
          </w:p>
        </w:tc>
      </w:tr>
      <w:tr>
        <w:tblPrEx>
          <w:tblCellMar>
            <w:top w:w="0" w:type="dxa"/>
            <w:left w:w="0" w:type="dxa"/>
            <w:bottom w:w="0" w:type="dxa"/>
            <w:right w:w="0" w:type="dxa"/>
          </w:tblCellMar>
        </w:tblPrEx>
        <w:trPr>
          <w:trHeight w:val="622" w:hRule="atLeast"/>
          <w:jc w:val="center"/>
        </w:trPr>
        <w:tc>
          <w:tcPr>
            <w:tcW w:w="1159" w:type="dxa"/>
            <w:tcBorders>
              <w:top w:val="nil"/>
              <w:left w:val="single" w:color="auto" w:sz="8" w:space="0"/>
              <w:bottom w:val="single" w:color="auto" w:sz="8" w:space="0"/>
              <w:right w:val="single" w:color="auto" w:sz="8" w:space="0"/>
            </w:tcBorders>
            <w:vAlign w:val="center"/>
          </w:tcPr>
          <w:p>
            <w:pPr>
              <w:spacing w:before="100" w:beforeAutospacing="1" w:after="100" w:afterAutospacing="1" w:line="320" w:lineRule="atLeast"/>
              <w:ind w:firstLine="2"/>
              <w:jc w:val="center"/>
              <w:rPr>
                <w:rFonts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2093" w:type="dxa"/>
            <w:tcBorders>
              <w:top w:val="nil"/>
              <w:left w:val="nil"/>
              <w:bottom w:val="single" w:color="auto" w:sz="8" w:space="0"/>
              <w:right w:val="single" w:color="auto" w:sz="8" w:space="0"/>
            </w:tcBorders>
            <w:vAlign w:val="center"/>
          </w:tcPr>
          <w:p>
            <w:pPr>
              <w:spacing w:before="100" w:beforeAutospacing="1" w:after="100" w:afterAutospacing="1" w:line="320" w:lineRule="atLeast"/>
              <w:ind w:firstLine="2"/>
              <w:jc w:val="center"/>
              <w:rPr>
                <w:rFonts w:ascii="宋体" w:hAnsi="宋体" w:eastAsia="宋体" w:cs="宋体"/>
                <w:color w:val="auto"/>
                <w:szCs w:val="21"/>
                <w:highlight w:val="none"/>
              </w:rPr>
            </w:pPr>
            <w:r>
              <w:rPr>
                <w:rFonts w:hint="eastAsia" w:ascii="宋体" w:hAnsi="宋体" w:eastAsia="宋体" w:cs="宋体"/>
                <w:color w:val="auto"/>
                <w:szCs w:val="21"/>
                <w:highlight w:val="none"/>
              </w:rPr>
              <w:t>名 称</w:t>
            </w:r>
          </w:p>
        </w:tc>
        <w:tc>
          <w:tcPr>
            <w:tcW w:w="2902" w:type="dxa"/>
            <w:gridSpan w:val="3"/>
            <w:tcBorders>
              <w:top w:val="nil"/>
              <w:left w:val="nil"/>
              <w:bottom w:val="single" w:color="auto" w:sz="8" w:space="0"/>
              <w:right w:val="single" w:color="auto" w:sz="8" w:space="0"/>
            </w:tcBorders>
            <w:vAlign w:val="center"/>
          </w:tcPr>
          <w:p>
            <w:pPr>
              <w:spacing w:before="100" w:beforeAutospacing="1" w:after="100" w:afterAutospacing="1" w:line="320" w:lineRule="atLeast"/>
              <w:ind w:firstLine="2"/>
              <w:jc w:val="center"/>
              <w:rPr>
                <w:rFonts w:ascii="宋体" w:hAnsi="宋体" w:eastAsia="宋体" w:cs="宋体"/>
                <w:color w:val="auto"/>
                <w:szCs w:val="21"/>
                <w:highlight w:val="none"/>
              </w:rPr>
            </w:pPr>
            <w:r>
              <w:rPr>
                <w:rFonts w:hint="eastAsia" w:ascii="宋体" w:hAnsi="宋体" w:eastAsia="宋体" w:cs="宋体"/>
                <w:color w:val="auto"/>
                <w:szCs w:val="21"/>
                <w:highlight w:val="none"/>
              </w:rPr>
              <w:t>货物型号规格、标准及配置等（或服务内容、标准）</w:t>
            </w:r>
          </w:p>
        </w:tc>
        <w:tc>
          <w:tcPr>
            <w:tcW w:w="863" w:type="dxa"/>
            <w:gridSpan w:val="2"/>
            <w:tcBorders>
              <w:top w:val="nil"/>
              <w:left w:val="nil"/>
              <w:bottom w:val="single" w:color="auto" w:sz="8" w:space="0"/>
              <w:right w:val="single" w:color="auto" w:sz="8" w:space="0"/>
            </w:tcBorders>
            <w:vAlign w:val="center"/>
          </w:tcPr>
          <w:p>
            <w:pPr>
              <w:spacing w:before="100" w:beforeAutospacing="1" w:after="100" w:afterAutospacing="1" w:line="320" w:lineRule="atLeast"/>
              <w:jc w:val="center"/>
              <w:rPr>
                <w:rFonts w:ascii="宋体" w:hAnsi="宋体" w:eastAsia="宋体" w:cs="宋体"/>
                <w:color w:val="auto"/>
                <w:szCs w:val="21"/>
                <w:highlight w:val="none"/>
              </w:rPr>
            </w:pPr>
            <w:r>
              <w:rPr>
                <w:rFonts w:hint="eastAsia" w:ascii="宋体" w:hAnsi="宋体" w:eastAsia="宋体" w:cs="宋体"/>
                <w:color w:val="auto"/>
                <w:szCs w:val="21"/>
                <w:highlight w:val="none"/>
              </w:rPr>
              <w:t>数量</w:t>
            </w:r>
          </w:p>
        </w:tc>
        <w:tc>
          <w:tcPr>
            <w:tcW w:w="2160" w:type="dxa"/>
            <w:tcBorders>
              <w:top w:val="nil"/>
              <w:left w:val="nil"/>
              <w:bottom w:val="single" w:color="auto" w:sz="8" w:space="0"/>
              <w:right w:val="single" w:color="auto" w:sz="8" w:space="0"/>
            </w:tcBorders>
            <w:vAlign w:val="center"/>
          </w:tcPr>
          <w:p>
            <w:pPr>
              <w:spacing w:before="100" w:beforeAutospacing="1" w:after="100" w:afterAutospacing="1" w:line="320" w:lineRule="atLeast"/>
              <w:ind w:firstLine="2"/>
              <w:jc w:val="center"/>
              <w:rPr>
                <w:rFonts w:ascii="宋体" w:hAnsi="宋体" w:eastAsia="宋体" w:cs="宋体"/>
                <w:color w:val="auto"/>
                <w:szCs w:val="21"/>
                <w:highlight w:val="none"/>
              </w:rPr>
            </w:pPr>
            <w:r>
              <w:rPr>
                <w:rFonts w:hint="eastAsia" w:ascii="宋体" w:hAnsi="宋体" w:eastAsia="宋体" w:cs="宋体"/>
                <w:color w:val="auto"/>
                <w:szCs w:val="21"/>
                <w:highlight w:val="none"/>
              </w:rPr>
              <w:t>金 额</w:t>
            </w:r>
          </w:p>
        </w:tc>
      </w:tr>
      <w:tr>
        <w:tblPrEx>
          <w:tblCellMar>
            <w:top w:w="0" w:type="dxa"/>
            <w:left w:w="0" w:type="dxa"/>
            <w:bottom w:w="0" w:type="dxa"/>
            <w:right w:w="0" w:type="dxa"/>
          </w:tblCellMar>
        </w:tblPrEx>
        <w:trPr>
          <w:trHeight w:val="487" w:hRule="atLeast"/>
          <w:jc w:val="center"/>
        </w:trPr>
        <w:tc>
          <w:tcPr>
            <w:tcW w:w="1159" w:type="dxa"/>
            <w:tcBorders>
              <w:top w:val="nil"/>
              <w:left w:val="single" w:color="auto" w:sz="8" w:space="0"/>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eastAsia="宋体" w:cs="宋体"/>
                <w:color w:val="auto"/>
                <w:szCs w:val="21"/>
                <w:highlight w:val="none"/>
              </w:rPr>
            </w:pPr>
          </w:p>
        </w:tc>
        <w:tc>
          <w:tcPr>
            <w:tcW w:w="2093"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eastAsia="宋体" w:cs="宋体"/>
                <w:color w:val="auto"/>
                <w:szCs w:val="21"/>
                <w:highlight w:val="none"/>
              </w:rPr>
            </w:pPr>
          </w:p>
        </w:tc>
        <w:tc>
          <w:tcPr>
            <w:tcW w:w="2902" w:type="dxa"/>
            <w:gridSpan w:val="3"/>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eastAsia="宋体" w:cs="宋体"/>
                <w:color w:val="auto"/>
                <w:szCs w:val="21"/>
                <w:highlight w:val="none"/>
              </w:rPr>
            </w:pPr>
          </w:p>
        </w:tc>
        <w:tc>
          <w:tcPr>
            <w:tcW w:w="863"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eastAsia="宋体" w:cs="宋体"/>
                <w:color w:val="auto"/>
                <w:szCs w:val="21"/>
                <w:highlight w:val="none"/>
              </w:rPr>
            </w:pPr>
          </w:p>
        </w:tc>
        <w:tc>
          <w:tcPr>
            <w:tcW w:w="2160"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eastAsia="宋体" w:cs="宋体"/>
                <w:color w:val="auto"/>
                <w:szCs w:val="21"/>
                <w:highlight w:val="none"/>
              </w:rPr>
            </w:pPr>
          </w:p>
        </w:tc>
      </w:tr>
      <w:tr>
        <w:tblPrEx>
          <w:tblCellMar>
            <w:top w:w="0" w:type="dxa"/>
            <w:left w:w="0" w:type="dxa"/>
            <w:bottom w:w="0" w:type="dxa"/>
            <w:right w:w="0" w:type="dxa"/>
          </w:tblCellMar>
        </w:tblPrEx>
        <w:trPr>
          <w:trHeight w:val="487" w:hRule="atLeast"/>
          <w:jc w:val="center"/>
        </w:trPr>
        <w:tc>
          <w:tcPr>
            <w:tcW w:w="1159" w:type="dxa"/>
            <w:tcBorders>
              <w:top w:val="nil"/>
              <w:left w:val="single" w:color="auto" w:sz="8" w:space="0"/>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eastAsia="宋体" w:cs="宋体"/>
                <w:color w:val="auto"/>
                <w:szCs w:val="21"/>
                <w:highlight w:val="none"/>
              </w:rPr>
            </w:pPr>
          </w:p>
        </w:tc>
        <w:tc>
          <w:tcPr>
            <w:tcW w:w="2093"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eastAsia="宋体" w:cs="宋体"/>
                <w:color w:val="auto"/>
                <w:szCs w:val="21"/>
                <w:highlight w:val="none"/>
              </w:rPr>
            </w:pPr>
          </w:p>
        </w:tc>
        <w:tc>
          <w:tcPr>
            <w:tcW w:w="2902" w:type="dxa"/>
            <w:gridSpan w:val="3"/>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eastAsia="宋体" w:cs="宋体"/>
                <w:color w:val="auto"/>
                <w:szCs w:val="21"/>
                <w:highlight w:val="none"/>
              </w:rPr>
            </w:pPr>
          </w:p>
        </w:tc>
        <w:tc>
          <w:tcPr>
            <w:tcW w:w="863"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eastAsia="宋体" w:cs="宋体"/>
                <w:color w:val="auto"/>
                <w:szCs w:val="21"/>
                <w:highlight w:val="none"/>
              </w:rPr>
            </w:pPr>
          </w:p>
        </w:tc>
        <w:tc>
          <w:tcPr>
            <w:tcW w:w="2160"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eastAsia="宋体" w:cs="宋体"/>
                <w:color w:val="auto"/>
                <w:szCs w:val="21"/>
                <w:highlight w:val="none"/>
              </w:rPr>
            </w:pPr>
          </w:p>
        </w:tc>
      </w:tr>
      <w:tr>
        <w:tblPrEx>
          <w:tblCellMar>
            <w:top w:w="0" w:type="dxa"/>
            <w:left w:w="0" w:type="dxa"/>
            <w:bottom w:w="0" w:type="dxa"/>
            <w:right w:w="0" w:type="dxa"/>
          </w:tblCellMar>
        </w:tblPrEx>
        <w:trPr>
          <w:trHeight w:val="487" w:hRule="atLeast"/>
          <w:jc w:val="center"/>
        </w:trPr>
        <w:tc>
          <w:tcPr>
            <w:tcW w:w="1159" w:type="dxa"/>
            <w:tcBorders>
              <w:top w:val="nil"/>
              <w:left w:val="single" w:color="auto" w:sz="8" w:space="0"/>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eastAsia="宋体" w:cs="宋体"/>
                <w:color w:val="auto"/>
                <w:szCs w:val="21"/>
                <w:highlight w:val="none"/>
              </w:rPr>
            </w:pPr>
          </w:p>
        </w:tc>
        <w:tc>
          <w:tcPr>
            <w:tcW w:w="2093"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eastAsia="宋体" w:cs="宋体"/>
                <w:color w:val="auto"/>
                <w:szCs w:val="21"/>
                <w:highlight w:val="none"/>
              </w:rPr>
            </w:pPr>
          </w:p>
        </w:tc>
        <w:tc>
          <w:tcPr>
            <w:tcW w:w="2902" w:type="dxa"/>
            <w:gridSpan w:val="3"/>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eastAsia="宋体" w:cs="宋体"/>
                <w:color w:val="auto"/>
                <w:szCs w:val="21"/>
                <w:highlight w:val="none"/>
              </w:rPr>
            </w:pPr>
          </w:p>
        </w:tc>
        <w:tc>
          <w:tcPr>
            <w:tcW w:w="863"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eastAsia="宋体" w:cs="宋体"/>
                <w:color w:val="auto"/>
                <w:szCs w:val="21"/>
                <w:highlight w:val="none"/>
              </w:rPr>
            </w:pPr>
          </w:p>
        </w:tc>
        <w:tc>
          <w:tcPr>
            <w:tcW w:w="2160"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eastAsia="宋体" w:cs="宋体"/>
                <w:color w:val="auto"/>
                <w:szCs w:val="21"/>
                <w:highlight w:val="none"/>
              </w:rPr>
            </w:pPr>
          </w:p>
        </w:tc>
      </w:tr>
      <w:tr>
        <w:tblPrEx>
          <w:tblCellMar>
            <w:top w:w="0" w:type="dxa"/>
            <w:left w:w="0" w:type="dxa"/>
            <w:bottom w:w="0" w:type="dxa"/>
            <w:right w:w="0" w:type="dxa"/>
          </w:tblCellMar>
        </w:tblPrEx>
        <w:trPr>
          <w:trHeight w:val="487" w:hRule="atLeast"/>
          <w:jc w:val="center"/>
        </w:trPr>
        <w:tc>
          <w:tcPr>
            <w:tcW w:w="6154" w:type="dxa"/>
            <w:gridSpan w:val="5"/>
            <w:tcBorders>
              <w:top w:val="nil"/>
              <w:left w:val="single" w:color="auto" w:sz="8" w:space="0"/>
              <w:bottom w:val="single" w:color="auto" w:sz="8" w:space="0"/>
              <w:right w:val="single" w:color="auto" w:sz="8" w:space="0"/>
            </w:tcBorders>
            <w:vAlign w:val="center"/>
          </w:tcPr>
          <w:p>
            <w:pPr>
              <w:spacing w:before="100" w:beforeAutospacing="1" w:after="100" w:afterAutospacing="1" w:line="320" w:lineRule="atLeast"/>
              <w:ind w:firstLine="5"/>
              <w:jc w:val="center"/>
              <w:rPr>
                <w:rFonts w:ascii="宋体" w:hAnsi="宋体" w:eastAsia="宋体" w:cs="宋体"/>
                <w:color w:val="auto"/>
                <w:szCs w:val="21"/>
                <w:highlight w:val="none"/>
              </w:rPr>
            </w:pPr>
            <w:r>
              <w:rPr>
                <w:rFonts w:hint="eastAsia" w:ascii="宋体" w:hAnsi="宋体" w:eastAsia="宋体" w:cs="宋体"/>
                <w:color w:val="auto"/>
                <w:szCs w:val="21"/>
                <w:highlight w:val="none"/>
              </w:rPr>
              <w:t>合 计</w:t>
            </w:r>
          </w:p>
        </w:tc>
        <w:tc>
          <w:tcPr>
            <w:tcW w:w="863"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eastAsia="宋体" w:cs="宋体"/>
                <w:color w:val="auto"/>
                <w:szCs w:val="21"/>
                <w:highlight w:val="none"/>
              </w:rPr>
            </w:pPr>
          </w:p>
        </w:tc>
        <w:tc>
          <w:tcPr>
            <w:tcW w:w="2160"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eastAsia="宋体" w:cs="宋体"/>
                <w:color w:val="auto"/>
                <w:szCs w:val="21"/>
                <w:highlight w:val="none"/>
              </w:rPr>
            </w:pPr>
          </w:p>
        </w:tc>
      </w:tr>
      <w:tr>
        <w:tblPrEx>
          <w:tblCellMar>
            <w:top w:w="0" w:type="dxa"/>
            <w:left w:w="0" w:type="dxa"/>
            <w:bottom w:w="0" w:type="dxa"/>
            <w:right w:w="0" w:type="dxa"/>
          </w:tblCellMar>
        </w:tblPrEx>
        <w:trPr>
          <w:trHeight w:val="641" w:hRule="atLeast"/>
          <w:jc w:val="center"/>
        </w:trPr>
        <w:tc>
          <w:tcPr>
            <w:tcW w:w="9177" w:type="dxa"/>
            <w:gridSpan w:val="8"/>
            <w:tcBorders>
              <w:top w:val="nil"/>
              <w:left w:val="single" w:color="auto" w:sz="8" w:space="0"/>
              <w:bottom w:val="single" w:color="auto" w:sz="8" w:space="0"/>
              <w:right w:val="single" w:color="auto" w:sz="8" w:space="0"/>
            </w:tcBorders>
            <w:vAlign w:val="center"/>
          </w:tcPr>
          <w:p>
            <w:pPr>
              <w:spacing w:before="100" w:beforeAutospacing="1" w:after="100" w:afterAutospacing="1" w:line="320" w:lineRule="atLeast"/>
              <w:ind w:firstLine="2"/>
              <w:rPr>
                <w:rFonts w:ascii="宋体" w:hAnsi="宋体" w:eastAsia="宋体" w:cs="宋体"/>
                <w:color w:val="auto"/>
                <w:szCs w:val="21"/>
                <w:highlight w:val="none"/>
              </w:rPr>
            </w:pPr>
            <w:r>
              <w:rPr>
                <w:rFonts w:hint="eastAsia" w:ascii="宋体" w:hAnsi="宋体" w:eastAsia="宋体" w:cs="宋体"/>
                <w:color w:val="auto"/>
                <w:szCs w:val="21"/>
                <w:highlight w:val="none"/>
              </w:rPr>
              <w:t>合计大写金额： 仟 佰 拾 万 仟 佰 拾 元</w:t>
            </w:r>
          </w:p>
        </w:tc>
      </w:tr>
      <w:tr>
        <w:tblPrEx>
          <w:tblCellMar>
            <w:top w:w="0" w:type="dxa"/>
            <w:left w:w="0" w:type="dxa"/>
            <w:bottom w:w="0" w:type="dxa"/>
            <w:right w:w="0" w:type="dxa"/>
          </w:tblCellMar>
        </w:tblPrEx>
        <w:trPr>
          <w:trHeight w:val="641" w:hRule="atLeast"/>
          <w:jc w:val="center"/>
        </w:trPr>
        <w:tc>
          <w:tcPr>
            <w:tcW w:w="1159" w:type="dxa"/>
            <w:tcBorders>
              <w:top w:val="nil"/>
              <w:left w:val="single" w:color="auto" w:sz="8" w:space="0"/>
              <w:bottom w:val="single" w:color="auto" w:sz="8" w:space="0"/>
              <w:right w:val="single" w:color="auto" w:sz="8" w:space="0"/>
            </w:tcBorders>
            <w:vAlign w:val="center"/>
          </w:tcPr>
          <w:p>
            <w:pPr>
              <w:spacing w:before="100" w:beforeAutospacing="1" w:after="100" w:afterAutospacing="1" w:line="320" w:lineRule="atLeast"/>
              <w:ind w:firstLine="2"/>
              <w:jc w:val="center"/>
              <w:rPr>
                <w:rFonts w:ascii="宋体" w:hAnsi="宋体" w:eastAsia="宋体" w:cs="宋体"/>
                <w:color w:val="auto"/>
                <w:szCs w:val="21"/>
                <w:highlight w:val="none"/>
              </w:rPr>
            </w:pPr>
            <w:r>
              <w:rPr>
                <w:rFonts w:hint="eastAsia" w:ascii="宋体" w:hAnsi="宋体" w:eastAsia="宋体" w:cs="宋体"/>
                <w:color w:val="auto"/>
                <w:szCs w:val="21"/>
                <w:highlight w:val="none"/>
              </w:rPr>
              <w:t>实际供货日期</w:t>
            </w:r>
          </w:p>
        </w:tc>
        <w:tc>
          <w:tcPr>
            <w:tcW w:w="2891"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eastAsia="宋体" w:cs="宋体"/>
                <w:color w:val="auto"/>
                <w:szCs w:val="21"/>
                <w:highlight w:val="none"/>
              </w:rPr>
            </w:pPr>
          </w:p>
        </w:tc>
        <w:tc>
          <w:tcPr>
            <w:tcW w:w="2282" w:type="dxa"/>
            <w:gridSpan w:val="3"/>
            <w:tcBorders>
              <w:top w:val="nil"/>
              <w:left w:val="nil"/>
              <w:bottom w:val="single" w:color="auto" w:sz="8" w:space="0"/>
              <w:right w:val="single" w:color="auto" w:sz="8" w:space="0"/>
            </w:tcBorders>
            <w:vAlign w:val="center"/>
          </w:tcPr>
          <w:p>
            <w:pPr>
              <w:spacing w:before="100" w:beforeAutospacing="1" w:after="100" w:afterAutospacing="1" w:line="320" w:lineRule="atLeast"/>
              <w:ind w:firstLine="46"/>
              <w:jc w:val="center"/>
              <w:rPr>
                <w:rFonts w:ascii="宋体" w:hAnsi="宋体" w:eastAsia="宋体" w:cs="宋体"/>
                <w:color w:val="auto"/>
                <w:szCs w:val="21"/>
                <w:highlight w:val="none"/>
              </w:rPr>
            </w:pPr>
            <w:r>
              <w:rPr>
                <w:rFonts w:hint="eastAsia" w:ascii="宋体" w:hAnsi="宋体" w:eastAsia="宋体" w:cs="宋体"/>
                <w:color w:val="auto"/>
                <w:szCs w:val="21"/>
                <w:highlight w:val="none"/>
              </w:rPr>
              <w:t>合同交货验收日期</w:t>
            </w:r>
          </w:p>
        </w:tc>
        <w:tc>
          <w:tcPr>
            <w:tcW w:w="2845"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eastAsia="宋体" w:cs="宋体"/>
                <w:color w:val="auto"/>
                <w:szCs w:val="21"/>
                <w:highlight w:val="none"/>
              </w:rPr>
            </w:pPr>
          </w:p>
        </w:tc>
      </w:tr>
      <w:tr>
        <w:tblPrEx>
          <w:tblCellMar>
            <w:top w:w="0" w:type="dxa"/>
            <w:left w:w="0" w:type="dxa"/>
            <w:bottom w:w="0" w:type="dxa"/>
            <w:right w:w="0" w:type="dxa"/>
          </w:tblCellMar>
        </w:tblPrEx>
        <w:trPr>
          <w:trHeight w:val="394" w:hRule="atLeast"/>
          <w:jc w:val="center"/>
        </w:trPr>
        <w:tc>
          <w:tcPr>
            <w:tcW w:w="1159" w:type="dxa"/>
            <w:tcBorders>
              <w:top w:val="nil"/>
              <w:left w:val="single" w:color="auto" w:sz="8" w:space="0"/>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eastAsia="宋体" w:cs="宋体"/>
                <w:color w:val="auto"/>
                <w:szCs w:val="21"/>
                <w:highlight w:val="none"/>
              </w:rPr>
            </w:pPr>
          </w:p>
        </w:tc>
        <w:tc>
          <w:tcPr>
            <w:tcW w:w="2891"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eastAsia="宋体" w:cs="宋体"/>
                <w:color w:val="auto"/>
                <w:szCs w:val="21"/>
                <w:highlight w:val="none"/>
              </w:rPr>
            </w:pPr>
          </w:p>
        </w:tc>
        <w:tc>
          <w:tcPr>
            <w:tcW w:w="2282" w:type="dxa"/>
            <w:gridSpan w:val="3"/>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eastAsia="宋体" w:cs="宋体"/>
                <w:color w:val="auto"/>
                <w:szCs w:val="21"/>
                <w:highlight w:val="none"/>
              </w:rPr>
            </w:pPr>
          </w:p>
        </w:tc>
        <w:tc>
          <w:tcPr>
            <w:tcW w:w="2845"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eastAsia="宋体" w:cs="宋体"/>
                <w:color w:val="auto"/>
                <w:szCs w:val="21"/>
                <w:highlight w:val="none"/>
              </w:rPr>
            </w:pPr>
          </w:p>
        </w:tc>
      </w:tr>
      <w:tr>
        <w:tblPrEx>
          <w:tblCellMar>
            <w:top w:w="0" w:type="dxa"/>
            <w:left w:w="0" w:type="dxa"/>
            <w:bottom w:w="0" w:type="dxa"/>
            <w:right w:w="0" w:type="dxa"/>
          </w:tblCellMar>
        </w:tblPrEx>
        <w:trPr>
          <w:trHeight w:val="693" w:hRule="atLeast"/>
          <w:jc w:val="center"/>
        </w:trPr>
        <w:tc>
          <w:tcPr>
            <w:tcW w:w="115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320" w:lineRule="atLeast"/>
              <w:rPr>
                <w:rFonts w:ascii="宋体" w:hAnsi="宋体" w:eastAsia="宋体" w:cs="宋体"/>
                <w:color w:val="auto"/>
                <w:szCs w:val="21"/>
                <w:highlight w:val="none"/>
              </w:rPr>
            </w:pPr>
            <w:r>
              <w:rPr>
                <w:rFonts w:hint="eastAsia" w:ascii="宋体" w:hAnsi="宋体" w:eastAsia="宋体" w:cs="宋体"/>
                <w:color w:val="auto"/>
                <w:szCs w:val="21"/>
                <w:highlight w:val="none"/>
              </w:rPr>
              <w:t>验收具体内容</w:t>
            </w:r>
          </w:p>
        </w:tc>
        <w:tc>
          <w:tcPr>
            <w:tcW w:w="8018"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320" w:lineRule="atLeast"/>
              <w:rPr>
                <w:rFonts w:ascii="宋体" w:hAnsi="宋体" w:eastAsia="宋体" w:cs="宋体"/>
                <w:color w:val="auto"/>
                <w:szCs w:val="21"/>
                <w:highlight w:val="none"/>
              </w:rPr>
            </w:pPr>
            <w:r>
              <w:rPr>
                <w:rFonts w:hint="eastAsia" w:ascii="宋体" w:hAnsi="宋体" w:eastAsia="宋体" w:cs="宋体"/>
                <w:color w:val="auto"/>
                <w:szCs w:val="21"/>
                <w:highlight w:val="none"/>
              </w:rPr>
              <w:t>（应按采购合同、采购文件、响应文件及验收方案等进行验收；并核对中标或者成交供应商在安装调试等方面是否违反合同约定或服务规范要求、提供的质量保证证明材料是否齐全、应有的配件及附件是否达到合同约定等。可附件)</w:t>
            </w:r>
          </w:p>
        </w:tc>
      </w:tr>
      <w:tr>
        <w:tblPrEx>
          <w:tblCellMar>
            <w:top w:w="0" w:type="dxa"/>
            <w:left w:w="0" w:type="dxa"/>
            <w:bottom w:w="0" w:type="dxa"/>
            <w:right w:w="0" w:type="dxa"/>
          </w:tblCellMar>
        </w:tblPrEx>
        <w:trPr>
          <w:trHeight w:val="850" w:hRule="atLeast"/>
          <w:jc w:val="center"/>
        </w:trPr>
        <w:tc>
          <w:tcPr>
            <w:tcW w:w="115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320" w:lineRule="atLeast"/>
              <w:rPr>
                <w:rFonts w:ascii="宋体" w:hAnsi="宋体" w:eastAsia="宋体" w:cs="宋体"/>
                <w:color w:val="auto"/>
                <w:szCs w:val="21"/>
                <w:highlight w:val="none"/>
              </w:rPr>
            </w:pPr>
            <w:r>
              <w:rPr>
                <w:rFonts w:hint="eastAsia" w:ascii="宋体" w:hAnsi="宋体" w:eastAsia="宋体" w:cs="宋体"/>
                <w:color w:val="auto"/>
                <w:szCs w:val="21"/>
                <w:highlight w:val="none"/>
              </w:rPr>
              <w:t>验收小组意见</w:t>
            </w:r>
          </w:p>
        </w:tc>
        <w:tc>
          <w:tcPr>
            <w:tcW w:w="8018" w:type="dxa"/>
            <w:gridSpan w:val="7"/>
            <w:tcBorders>
              <w:top w:val="nil"/>
              <w:left w:val="nil"/>
              <w:bottom w:val="single" w:color="auto" w:sz="8" w:space="0"/>
              <w:right w:val="single" w:color="auto" w:sz="8" w:space="0"/>
            </w:tcBorders>
            <w:vAlign w:val="center"/>
          </w:tcPr>
          <w:p>
            <w:pPr>
              <w:spacing w:before="100" w:beforeAutospacing="1" w:after="100" w:afterAutospacing="1" w:line="320" w:lineRule="atLeast"/>
              <w:rPr>
                <w:rFonts w:ascii="宋体" w:hAnsi="宋体" w:eastAsia="宋体" w:cs="宋体"/>
                <w:color w:val="auto"/>
                <w:szCs w:val="21"/>
                <w:highlight w:val="none"/>
              </w:rPr>
            </w:pPr>
            <w:r>
              <w:rPr>
                <w:rFonts w:hint="eastAsia" w:ascii="宋体" w:hAnsi="宋体" w:eastAsia="宋体" w:cs="宋体"/>
                <w:color w:val="auto"/>
                <w:szCs w:val="21"/>
                <w:highlight w:val="none"/>
              </w:rPr>
              <w:t>验收结论性意见：</w:t>
            </w:r>
          </w:p>
        </w:tc>
      </w:tr>
      <w:tr>
        <w:tblPrEx>
          <w:tblCellMar>
            <w:top w:w="0" w:type="dxa"/>
            <w:left w:w="0" w:type="dxa"/>
            <w:bottom w:w="0" w:type="dxa"/>
            <w:right w:w="0" w:type="dxa"/>
          </w:tblCellMar>
        </w:tblPrEx>
        <w:trPr>
          <w:trHeight w:val="607" w:hRule="atLeast"/>
          <w:jc w:val="center"/>
        </w:trPr>
        <w:tc>
          <w:tcPr>
            <w:tcW w:w="1159" w:type="dxa"/>
            <w:vMerge w:val="continue"/>
            <w:tcBorders>
              <w:top w:val="nil"/>
              <w:left w:val="single" w:color="auto" w:sz="8" w:space="0"/>
              <w:bottom w:val="single" w:color="auto" w:sz="8" w:space="0"/>
              <w:right w:val="single" w:color="auto" w:sz="8" w:space="0"/>
            </w:tcBorders>
            <w:vAlign w:val="center"/>
          </w:tcPr>
          <w:p>
            <w:pPr>
              <w:rPr>
                <w:rFonts w:ascii="宋体" w:hAnsi="宋体" w:eastAsia="宋体" w:cs="宋体"/>
                <w:color w:val="auto"/>
                <w:szCs w:val="21"/>
                <w:highlight w:val="none"/>
              </w:rPr>
            </w:pPr>
          </w:p>
        </w:tc>
        <w:tc>
          <w:tcPr>
            <w:tcW w:w="8018" w:type="dxa"/>
            <w:gridSpan w:val="7"/>
            <w:tcBorders>
              <w:top w:val="nil"/>
              <w:left w:val="nil"/>
              <w:bottom w:val="single" w:color="auto" w:sz="8" w:space="0"/>
              <w:right w:val="single" w:color="auto" w:sz="8" w:space="0"/>
            </w:tcBorders>
            <w:vAlign w:val="center"/>
          </w:tcPr>
          <w:p>
            <w:pPr>
              <w:spacing w:before="100" w:beforeAutospacing="1" w:after="100" w:afterAutospacing="1" w:line="320" w:lineRule="atLeast"/>
              <w:ind w:firstLine="96"/>
              <w:rPr>
                <w:rFonts w:ascii="宋体" w:hAnsi="宋体" w:eastAsia="宋体" w:cs="宋体"/>
                <w:color w:val="auto"/>
                <w:szCs w:val="21"/>
                <w:highlight w:val="none"/>
              </w:rPr>
            </w:pPr>
            <w:r>
              <w:rPr>
                <w:rFonts w:hint="eastAsia" w:ascii="宋体" w:hAnsi="宋体" w:eastAsia="宋体" w:cs="宋体"/>
                <w:color w:val="auto"/>
                <w:szCs w:val="21"/>
                <w:highlight w:val="none"/>
              </w:rPr>
              <w:t>有异议的意见和说明理由：</w:t>
            </w:r>
          </w:p>
          <w:p>
            <w:pPr>
              <w:spacing w:before="100" w:beforeAutospacing="1" w:after="100" w:afterAutospacing="1" w:line="320" w:lineRule="atLeast"/>
              <w:rPr>
                <w:rFonts w:ascii="宋体" w:hAnsi="宋体" w:eastAsia="宋体" w:cs="宋体"/>
                <w:color w:val="auto"/>
                <w:szCs w:val="21"/>
                <w:highlight w:val="none"/>
              </w:rPr>
            </w:pPr>
            <w:r>
              <w:rPr>
                <w:rFonts w:hint="eastAsia" w:ascii="宋体" w:hAnsi="宋体" w:eastAsia="宋体" w:cs="宋体"/>
                <w:color w:val="auto"/>
                <w:szCs w:val="21"/>
                <w:highlight w:val="none"/>
              </w:rPr>
              <w:t>签字：</w:t>
            </w:r>
          </w:p>
        </w:tc>
      </w:tr>
      <w:tr>
        <w:tblPrEx>
          <w:tblCellMar>
            <w:top w:w="0" w:type="dxa"/>
            <w:left w:w="0" w:type="dxa"/>
            <w:bottom w:w="0" w:type="dxa"/>
            <w:right w:w="0" w:type="dxa"/>
          </w:tblCellMar>
        </w:tblPrEx>
        <w:trPr>
          <w:trHeight w:val="507" w:hRule="atLeast"/>
          <w:jc w:val="center"/>
        </w:trPr>
        <w:tc>
          <w:tcPr>
            <w:tcW w:w="9177"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320" w:lineRule="atLeast"/>
              <w:rPr>
                <w:rFonts w:ascii="宋体" w:hAnsi="宋体" w:eastAsia="宋体" w:cs="宋体"/>
                <w:color w:val="auto"/>
                <w:szCs w:val="21"/>
                <w:highlight w:val="none"/>
              </w:rPr>
            </w:pPr>
            <w:r>
              <w:rPr>
                <w:rFonts w:hint="eastAsia" w:ascii="宋体" w:hAnsi="宋体" w:eastAsia="宋体" w:cs="宋体"/>
                <w:color w:val="auto"/>
                <w:szCs w:val="21"/>
                <w:highlight w:val="none"/>
              </w:rPr>
              <w:t>验收小组成员签字：</w:t>
            </w:r>
          </w:p>
        </w:tc>
      </w:tr>
      <w:tr>
        <w:tblPrEx>
          <w:tblCellMar>
            <w:top w:w="0" w:type="dxa"/>
            <w:left w:w="0" w:type="dxa"/>
            <w:bottom w:w="0" w:type="dxa"/>
            <w:right w:w="0" w:type="dxa"/>
          </w:tblCellMar>
        </w:tblPrEx>
        <w:trPr>
          <w:trHeight w:val="736" w:hRule="atLeast"/>
          <w:jc w:val="center"/>
        </w:trPr>
        <w:tc>
          <w:tcPr>
            <w:tcW w:w="9177"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320" w:lineRule="atLeast"/>
              <w:rPr>
                <w:rFonts w:ascii="宋体" w:hAnsi="宋体" w:eastAsia="宋体" w:cs="宋体"/>
                <w:color w:val="auto"/>
                <w:szCs w:val="21"/>
                <w:highlight w:val="none"/>
              </w:rPr>
            </w:pPr>
            <w:r>
              <w:rPr>
                <w:rFonts w:hint="eastAsia" w:ascii="宋体" w:hAnsi="宋体" w:eastAsia="宋体" w:cs="宋体"/>
                <w:color w:val="auto"/>
                <w:szCs w:val="21"/>
                <w:highlight w:val="none"/>
              </w:rPr>
              <w:t>监督人员或其他相关人员签字：</w:t>
            </w:r>
          </w:p>
          <w:p>
            <w:pPr>
              <w:spacing w:before="100" w:beforeAutospacing="1" w:after="100" w:afterAutospacing="1" w:line="320" w:lineRule="atLeast"/>
              <w:ind w:firstLine="74"/>
              <w:rPr>
                <w:rFonts w:ascii="宋体" w:hAnsi="宋体" w:eastAsia="宋体" w:cs="宋体"/>
                <w:color w:val="auto"/>
                <w:szCs w:val="21"/>
                <w:highlight w:val="none"/>
              </w:rPr>
            </w:pPr>
            <w:r>
              <w:rPr>
                <w:rFonts w:hint="eastAsia" w:ascii="宋体" w:hAnsi="宋体" w:eastAsia="宋体" w:cs="宋体"/>
                <w:color w:val="auto"/>
                <w:szCs w:val="21"/>
                <w:highlight w:val="none"/>
              </w:rPr>
              <w:t>或受邀机构的意见（盖章）：</w:t>
            </w:r>
          </w:p>
        </w:tc>
      </w:tr>
      <w:tr>
        <w:tblPrEx>
          <w:tblCellMar>
            <w:top w:w="0" w:type="dxa"/>
            <w:left w:w="0" w:type="dxa"/>
            <w:bottom w:w="0" w:type="dxa"/>
            <w:right w:w="0" w:type="dxa"/>
          </w:tblCellMar>
        </w:tblPrEx>
        <w:trPr>
          <w:trHeight w:val="758" w:hRule="atLeast"/>
          <w:jc w:val="center"/>
        </w:trPr>
        <w:tc>
          <w:tcPr>
            <w:tcW w:w="4152" w:type="dxa"/>
            <w:gridSpan w:val="4"/>
            <w:tcBorders>
              <w:top w:val="nil"/>
              <w:left w:val="single" w:color="auto" w:sz="8" w:space="0"/>
              <w:bottom w:val="single" w:color="auto" w:sz="8" w:space="0"/>
              <w:right w:val="nil"/>
            </w:tcBorders>
            <w:tcMar>
              <w:top w:w="0" w:type="dxa"/>
              <w:left w:w="108" w:type="dxa"/>
              <w:bottom w:w="0" w:type="dxa"/>
              <w:right w:w="108" w:type="dxa"/>
            </w:tcMar>
            <w:vAlign w:val="center"/>
          </w:tcPr>
          <w:p>
            <w:pPr>
              <w:spacing w:before="100" w:beforeAutospacing="1" w:after="100" w:afterAutospacing="1" w:line="320" w:lineRule="atLeast"/>
              <w:ind w:firstLine="74"/>
              <w:rPr>
                <w:rFonts w:ascii="宋体" w:hAnsi="宋体" w:eastAsia="宋体" w:cs="宋体"/>
                <w:color w:val="auto"/>
                <w:szCs w:val="21"/>
                <w:highlight w:val="none"/>
              </w:rPr>
            </w:pPr>
            <w:r>
              <w:rPr>
                <w:rFonts w:hint="eastAsia" w:ascii="宋体" w:hAnsi="宋体" w:eastAsia="宋体" w:cs="宋体"/>
                <w:color w:val="auto"/>
                <w:szCs w:val="21"/>
                <w:highlight w:val="none"/>
              </w:rPr>
              <w:t>中标或者成交供应商负责人签字或盖章：</w:t>
            </w:r>
          </w:p>
          <w:p>
            <w:pPr>
              <w:spacing w:before="100" w:beforeAutospacing="1" w:after="100" w:afterAutospacing="1" w:line="320" w:lineRule="atLeast"/>
              <w:rPr>
                <w:rFonts w:ascii="宋体" w:hAnsi="宋体" w:eastAsia="宋体" w:cs="宋体"/>
                <w:color w:val="auto"/>
                <w:szCs w:val="21"/>
                <w:highlight w:val="none"/>
              </w:rPr>
            </w:pPr>
            <w:r>
              <w:rPr>
                <w:rFonts w:hint="eastAsia" w:ascii="宋体" w:hAnsi="宋体" w:eastAsia="宋体" w:cs="宋体"/>
                <w:color w:val="auto"/>
                <w:szCs w:val="21"/>
                <w:highlight w:val="none"/>
              </w:rPr>
              <w:t>联系电话： 年 月 日</w:t>
            </w:r>
          </w:p>
        </w:tc>
        <w:tc>
          <w:tcPr>
            <w:tcW w:w="5025" w:type="dxa"/>
            <w:gridSpan w:val="4"/>
            <w:tcBorders>
              <w:top w:val="nil"/>
              <w:left w:val="nil"/>
              <w:bottom w:val="single" w:color="auto" w:sz="8" w:space="0"/>
              <w:right w:val="single" w:color="auto" w:sz="8" w:space="0"/>
            </w:tcBorders>
            <w:vAlign w:val="center"/>
          </w:tcPr>
          <w:p>
            <w:pPr>
              <w:spacing w:before="100" w:beforeAutospacing="1" w:after="100" w:afterAutospacing="1" w:line="320" w:lineRule="atLeast"/>
              <w:ind w:firstLine="44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采购人或受托机构的意见（盖章）：</w:t>
            </w:r>
          </w:p>
          <w:p>
            <w:pPr>
              <w:spacing w:before="100" w:beforeAutospacing="1" w:after="100" w:afterAutospacing="1" w:line="320" w:lineRule="atLeast"/>
              <w:ind w:firstLine="44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联系电话： 年 月 日</w:t>
            </w:r>
          </w:p>
        </w:tc>
      </w:tr>
    </w:tbl>
    <w:p>
      <w:pPr>
        <w:rPr>
          <w:rFonts w:ascii="宋体" w:hAnsi="宋体" w:eastAsia="宋体"/>
          <w:color w:val="auto"/>
          <w:sz w:val="28"/>
          <w:szCs w:val="28"/>
          <w:highlight w:val="none"/>
        </w:rPr>
      </w:pPr>
      <w:r>
        <w:rPr>
          <w:rFonts w:hint="eastAsia" w:ascii="宋体" w:hAnsi="宋体" w:eastAsia="宋体"/>
          <w:color w:val="auto"/>
          <w:highlight w:val="none"/>
        </w:rPr>
        <w:br w:type="page"/>
      </w:r>
      <w:r>
        <w:rPr>
          <w:rFonts w:hint="eastAsia" w:ascii="宋体" w:hAnsi="宋体" w:eastAsia="宋体"/>
          <w:color w:val="auto"/>
          <w:sz w:val="28"/>
          <w:szCs w:val="28"/>
          <w:highlight w:val="none"/>
        </w:rPr>
        <w:t>附件</w:t>
      </w:r>
      <w:r>
        <w:rPr>
          <w:rFonts w:ascii="宋体" w:hAnsi="宋体" w:eastAsia="宋体"/>
          <w:color w:val="auto"/>
          <w:sz w:val="28"/>
          <w:szCs w:val="28"/>
          <w:highlight w:val="none"/>
        </w:rPr>
        <w:t>3</w:t>
      </w:r>
      <w:r>
        <w:rPr>
          <w:rFonts w:hint="eastAsia" w:ascii="宋体" w:hAnsi="宋体" w:eastAsia="宋体"/>
          <w:color w:val="auto"/>
          <w:sz w:val="28"/>
          <w:szCs w:val="28"/>
          <w:highlight w:val="none"/>
        </w:rPr>
        <w:t>：</w:t>
      </w:r>
    </w:p>
    <w:p>
      <w:pPr>
        <w:jc w:val="center"/>
        <w:rPr>
          <w:rFonts w:ascii="宋体" w:hAnsi="宋体" w:eastAsia="宋体"/>
          <w:color w:val="auto"/>
          <w:sz w:val="32"/>
          <w:szCs w:val="32"/>
          <w:highlight w:val="none"/>
        </w:rPr>
      </w:pPr>
      <w:r>
        <w:rPr>
          <w:rFonts w:hint="eastAsia" w:ascii="宋体" w:hAnsi="宋体" w:eastAsia="宋体"/>
          <w:color w:val="auto"/>
          <w:sz w:val="32"/>
          <w:szCs w:val="32"/>
          <w:highlight w:val="none"/>
        </w:rPr>
        <w:t>政府采购项目履约保证金退付意见书</w:t>
      </w:r>
    </w:p>
    <w:tbl>
      <w:tblPr>
        <w:tblStyle w:val="38"/>
        <w:tblW w:w="9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8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00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highlight w:val="none"/>
              </w:rPr>
            </w:pPr>
            <w:r>
              <w:rPr>
                <w:rFonts w:hint="eastAsia" w:ascii="宋体" w:hAnsi="宋体" w:eastAsia="宋体"/>
                <w:color w:val="auto"/>
                <w:szCs w:val="21"/>
                <w:highlight w:val="none"/>
              </w:rPr>
              <w:t>供</w:t>
            </w:r>
          </w:p>
          <w:p>
            <w:pPr>
              <w:jc w:val="center"/>
              <w:rPr>
                <w:rFonts w:ascii="宋体" w:hAnsi="宋体" w:eastAsia="宋体"/>
                <w:color w:val="auto"/>
                <w:szCs w:val="21"/>
                <w:highlight w:val="none"/>
              </w:rPr>
            </w:pPr>
            <w:r>
              <w:rPr>
                <w:rFonts w:hint="eastAsia" w:ascii="宋体" w:hAnsi="宋体" w:eastAsia="宋体"/>
                <w:color w:val="auto"/>
                <w:szCs w:val="21"/>
                <w:highlight w:val="none"/>
              </w:rPr>
              <w:t>应</w:t>
            </w:r>
          </w:p>
          <w:p>
            <w:pPr>
              <w:jc w:val="center"/>
              <w:rPr>
                <w:rFonts w:ascii="宋体" w:hAnsi="宋体" w:eastAsia="宋体"/>
                <w:color w:val="auto"/>
                <w:szCs w:val="21"/>
                <w:highlight w:val="none"/>
              </w:rPr>
            </w:pPr>
            <w:r>
              <w:rPr>
                <w:rFonts w:hint="eastAsia" w:ascii="宋体" w:hAnsi="宋体" w:eastAsia="宋体"/>
                <w:color w:val="auto"/>
                <w:szCs w:val="21"/>
                <w:highlight w:val="none"/>
              </w:rPr>
              <w:t>商</w:t>
            </w:r>
          </w:p>
          <w:p>
            <w:pPr>
              <w:jc w:val="center"/>
              <w:rPr>
                <w:rFonts w:ascii="宋体" w:hAnsi="宋体" w:eastAsia="宋体"/>
                <w:color w:val="auto"/>
                <w:szCs w:val="21"/>
                <w:highlight w:val="none"/>
              </w:rPr>
            </w:pPr>
            <w:r>
              <w:rPr>
                <w:rFonts w:hint="eastAsia" w:ascii="宋体" w:hAnsi="宋体" w:eastAsia="宋体"/>
                <w:color w:val="auto"/>
                <w:szCs w:val="21"/>
                <w:highlight w:val="none"/>
              </w:rPr>
              <w:t>申</w:t>
            </w:r>
          </w:p>
          <w:p>
            <w:pPr>
              <w:jc w:val="center"/>
              <w:rPr>
                <w:rFonts w:ascii="宋体" w:hAnsi="宋体" w:eastAsia="宋体"/>
                <w:color w:val="auto"/>
                <w:szCs w:val="21"/>
                <w:highlight w:val="none"/>
              </w:rPr>
            </w:pPr>
            <w:r>
              <w:rPr>
                <w:rFonts w:hint="eastAsia" w:ascii="宋体" w:hAnsi="宋体" w:eastAsia="宋体"/>
                <w:color w:val="auto"/>
                <w:szCs w:val="21"/>
                <w:highlight w:val="none"/>
              </w:rPr>
              <w:t>请</w:t>
            </w:r>
          </w:p>
        </w:tc>
        <w:tc>
          <w:tcPr>
            <w:tcW w:w="865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highlight w:val="none"/>
              </w:rPr>
            </w:pPr>
            <w:r>
              <w:rPr>
                <w:rFonts w:hint="eastAsia" w:ascii="宋体" w:hAnsi="宋体" w:eastAsia="宋体"/>
                <w:color w:val="auto"/>
                <w:szCs w:val="21"/>
                <w:highlight w:val="none"/>
              </w:rPr>
              <w:t>采购编号：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highlight w:val="none"/>
              </w:rPr>
            </w:pPr>
          </w:p>
        </w:tc>
        <w:tc>
          <w:tcPr>
            <w:tcW w:w="865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highlight w:val="none"/>
              </w:rPr>
            </w:pPr>
            <w:r>
              <w:rPr>
                <w:rFonts w:hint="eastAsia" w:ascii="宋体" w:hAnsi="宋体" w:eastAsia="宋体"/>
                <w:color w:val="auto"/>
                <w:szCs w:val="21"/>
                <w:highlight w:val="none"/>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highlight w:val="none"/>
              </w:rPr>
            </w:pPr>
          </w:p>
        </w:tc>
        <w:tc>
          <w:tcPr>
            <w:tcW w:w="8655" w:type="dxa"/>
            <w:tcBorders>
              <w:top w:val="single" w:color="auto" w:sz="4" w:space="0"/>
              <w:left w:val="single" w:color="auto" w:sz="4" w:space="0"/>
              <w:bottom w:val="single" w:color="auto" w:sz="4" w:space="0"/>
              <w:right w:val="single" w:color="auto" w:sz="4" w:space="0"/>
            </w:tcBorders>
          </w:tcPr>
          <w:p>
            <w:pPr>
              <w:spacing w:after="0"/>
              <w:rPr>
                <w:rFonts w:ascii="宋体" w:hAnsi="宋体" w:eastAsia="宋体"/>
                <w:color w:val="auto"/>
                <w:szCs w:val="21"/>
                <w:highlight w:val="none"/>
              </w:rPr>
            </w:pPr>
            <w:r>
              <w:rPr>
                <w:rFonts w:hint="eastAsia" w:ascii="宋体" w:hAnsi="宋体" w:eastAsia="宋体"/>
                <w:color w:val="auto"/>
                <w:szCs w:val="21"/>
                <w:highlight w:val="none"/>
              </w:rPr>
              <w:t xml:space="preserve">  该项目已于年月日验收并交付使用。根据合同规定，该项目的履约保证金期限于年月日已满，请将履约保证金（大写）￥（小写）退付到达以下账户。</w:t>
            </w:r>
          </w:p>
          <w:p>
            <w:pPr>
              <w:spacing w:after="0" w:line="400" w:lineRule="exact"/>
              <w:ind w:firstLine="705"/>
              <w:rPr>
                <w:rFonts w:ascii="宋体" w:hAnsi="宋体" w:eastAsia="宋体"/>
                <w:color w:val="auto"/>
                <w:szCs w:val="21"/>
                <w:highlight w:val="none"/>
              </w:rPr>
            </w:pPr>
            <w:r>
              <w:rPr>
                <w:rFonts w:hint="eastAsia" w:ascii="宋体" w:hAnsi="宋体" w:eastAsia="宋体"/>
                <w:color w:val="auto"/>
                <w:szCs w:val="21"/>
                <w:highlight w:val="none"/>
              </w:rPr>
              <w:t>单位名称：</w:t>
            </w:r>
          </w:p>
          <w:p>
            <w:pPr>
              <w:spacing w:after="0" w:line="400" w:lineRule="exact"/>
              <w:ind w:firstLine="705"/>
              <w:rPr>
                <w:rFonts w:ascii="宋体" w:hAnsi="宋体" w:eastAsia="宋体"/>
                <w:color w:val="auto"/>
                <w:szCs w:val="21"/>
                <w:highlight w:val="none"/>
              </w:rPr>
            </w:pPr>
            <w:r>
              <w:rPr>
                <w:rFonts w:hint="eastAsia" w:ascii="宋体" w:hAnsi="宋体" w:eastAsia="宋体"/>
                <w:color w:val="auto"/>
                <w:szCs w:val="21"/>
                <w:highlight w:val="none"/>
              </w:rPr>
              <w:t>开户银行：</w:t>
            </w:r>
          </w:p>
          <w:p>
            <w:pPr>
              <w:spacing w:after="0" w:line="400" w:lineRule="exact"/>
              <w:ind w:firstLine="705"/>
              <w:rPr>
                <w:rFonts w:ascii="宋体" w:hAnsi="宋体" w:eastAsia="宋体"/>
                <w:color w:val="auto"/>
                <w:szCs w:val="21"/>
                <w:highlight w:val="none"/>
              </w:rPr>
            </w:pPr>
            <w:r>
              <w:rPr>
                <w:rFonts w:hint="eastAsia" w:ascii="宋体" w:hAnsi="宋体" w:eastAsia="宋体"/>
                <w:color w:val="auto"/>
                <w:szCs w:val="21"/>
                <w:highlight w:val="none"/>
              </w:rPr>
              <w:t>账   号：</w:t>
            </w:r>
          </w:p>
          <w:p>
            <w:pPr>
              <w:spacing w:after="0" w:line="400" w:lineRule="exact"/>
              <w:ind w:firstLine="660" w:firstLineChars="300"/>
              <w:rPr>
                <w:rFonts w:ascii="宋体" w:hAnsi="宋体" w:eastAsia="宋体"/>
                <w:color w:val="auto"/>
                <w:szCs w:val="21"/>
                <w:highlight w:val="none"/>
              </w:rPr>
            </w:pPr>
            <w:r>
              <w:rPr>
                <w:rFonts w:hint="eastAsia" w:ascii="宋体" w:hAnsi="宋体" w:eastAsia="宋体"/>
                <w:color w:val="auto"/>
                <w:szCs w:val="21"/>
                <w:highlight w:val="none"/>
              </w:rPr>
              <w:t>联系人及电话：</w:t>
            </w:r>
          </w:p>
          <w:p>
            <w:pPr>
              <w:spacing w:after="0" w:line="520" w:lineRule="exact"/>
              <w:jc w:val="center"/>
              <w:rPr>
                <w:rFonts w:ascii="宋体" w:hAnsi="宋体" w:eastAsia="宋体"/>
                <w:color w:val="auto"/>
                <w:szCs w:val="21"/>
                <w:highlight w:val="none"/>
              </w:rPr>
            </w:pPr>
            <w:r>
              <w:rPr>
                <w:rFonts w:hint="eastAsia" w:ascii="宋体" w:hAnsi="宋体" w:eastAsia="宋体"/>
                <w:color w:val="auto"/>
                <w:szCs w:val="21"/>
                <w:highlight w:val="none"/>
              </w:rPr>
              <w:t xml:space="preserve">                                     供应商签章：</w:t>
            </w:r>
          </w:p>
          <w:p>
            <w:pPr>
              <w:spacing w:after="0" w:line="520" w:lineRule="exact"/>
              <w:jc w:val="center"/>
              <w:rPr>
                <w:rFonts w:ascii="宋体" w:hAnsi="宋体" w:eastAsia="宋体"/>
                <w:color w:val="auto"/>
                <w:szCs w:val="21"/>
                <w:highlight w:val="none"/>
              </w:rPr>
            </w:pPr>
            <w:r>
              <w:rPr>
                <w:rFonts w:hint="eastAsia" w:ascii="宋体" w:hAnsi="宋体" w:eastAsia="宋体"/>
                <w:color w:val="auto"/>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7"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宋体" w:hAnsi="宋体" w:eastAsia="宋体"/>
                <w:color w:val="auto"/>
                <w:szCs w:val="21"/>
                <w:highlight w:val="none"/>
              </w:rPr>
            </w:pPr>
            <w:r>
              <w:rPr>
                <w:rFonts w:hint="eastAsia" w:ascii="宋体" w:hAnsi="宋体" w:eastAsia="宋体"/>
                <w:color w:val="auto"/>
                <w:szCs w:val="21"/>
                <w:highlight w:val="none"/>
              </w:rPr>
              <w:t>采</w:t>
            </w:r>
          </w:p>
          <w:p>
            <w:pPr>
              <w:spacing w:after="120"/>
              <w:jc w:val="center"/>
              <w:rPr>
                <w:rFonts w:ascii="宋体" w:hAnsi="宋体" w:eastAsia="宋体"/>
                <w:color w:val="auto"/>
                <w:szCs w:val="21"/>
                <w:highlight w:val="none"/>
              </w:rPr>
            </w:pPr>
            <w:r>
              <w:rPr>
                <w:rFonts w:hint="eastAsia" w:ascii="宋体" w:hAnsi="宋体" w:eastAsia="宋体"/>
                <w:color w:val="auto"/>
                <w:szCs w:val="21"/>
                <w:highlight w:val="none"/>
              </w:rPr>
              <w:t>购</w:t>
            </w:r>
          </w:p>
          <w:p>
            <w:pPr>
              <w:spacing w:after="120"/>
              <w:jc w:val="center"/>
              <w:rPr>
                <w:rFonts w:ascii="宋体" w:hAnsi="宋体" w:eastAsia="宋体"/>
                <w:color w:val="auto"/>
                <w:szCs w:val="21"/>
                <w:highlight w:val="none"/>
              </w:rPr>
            </w:pPr>
            <w:r>
              <w:rPr>
                <w:rFonts w:hint="eastAsia" w:ascii="宋体" w:hAnsi="宋体" w:eastAsia="宋体"/>
                <w:color w:val="auto"/>
                <w:szCs w:val="21"/>
                <w:highlight w:val="none"/>
              </w:rPr>
              <w:t>人</w:t>
            </w:r>
          </w:p>
          <w:p>
            <w:pPr>
              <w:spacing w:after="120"/>
              <w:jc w:val="center"/>
              <w:rPr>
                <w:rFonts w:ascii="宋体" w:hAnsi="宋体" w:eastAsia="宋体"/>
                <w:color w:val="auto"/>
                <w:szCs w:val="21"/>
                <w:highlight w:val="none"/>
              </w:rPr>
            </w:pPr>
            <w:r>
              <w:rPr>
                <w:rFonts w:hint="eastAsia" w:ascii="宋体" w:hAnsi="宋体" w:eastAsia="宋体"/>
                <w:color w:val="auto"/>
                <w:szCs w:val="21"/>
                <w:highlight w:val="none"/>
              </w:rPr>
              <w:t>意</w:t>
            </w:r>
          </w:p>
          <w:p>
            <w:pPr>
              <w:spacing w:after="120"/>
              <w:jc w:val="center"/>
              <w:rPr>
                <w:rFonts w:ascii="宋体" w:hAnsi="宋体" w:eastAsia="宋体"/>
                <w:color w:val="auto"/>
                <w:szCs w:val="21"/>
                <w:highlight w:val="none"/>
              </w:rPr>
            </w:pPr>
            <w:r>
              <w:rPr>
                <w:rFonts w:hint="eastAsia" w:ascii="宋体" w:hAnsi="宋体" w:eastAsia="宋体"/>
                <w:color w:val="auto"/>
                <w:szCs w:val="21"/>
                <w:highlight w:val="none"/>
              </w:rPr>
              <w:t>见</w:t>
            </w:r>
          </w:p>
        </w:tc>
        <w:tc>
          <w:tcPr>
            <w:tcW w:w="8655" w:type="dxa"/>
            <w:tcBorders>
              <w:top w:val="single" w:color="auto" w:sz="4" w:space="0"/>
              <w:left w:val="single" w:color="auto" w:sz="4" w:space="0"/>
              <w:bottom w:val="single" w:color="auto" w:sz="4" w:space="0"/>
              <w:right w:val="single" w:color="auto" w:sz="4" w:space="0"/>
            </w:tcBorders>
          </w:tcPr>
          <w:p>
            <w:pPr>
              <w:spacing w:after="120"/>
              <w:rPr>
                <w:rFonts w:ascii="宋体" w:hAnsi="宋体" w:eastAsia="宋体"/>
                <w:color w:val="auto"/>
                <w:szCs w:val="21"/>
                <w:highlight w:val="none"/>
              </w:rPr>
            </w:pPr>
            <w:r>
              <w:rPr>
                <w:rFonts w:hint="eastAsia" w:ascii="宋体" w:hAnsi="宋体" w:eastAsia="宋体"/>
                <w:color w:val="auto"/>
                <w:szCs w:val="21"/>
                <w:highlight w:val="none"/>
              </w:rPr>
              <w:t>退付意见：是否同意退付履约保证金及退付金额：</w:t>
            </w:r>
          </w:p>
          <w:p>
            <w:pPr>
              <w:spacing w:after="120"/>
              <w:rPr>
                <w:rFonts w:ascii="宋体" w:hAnsi="宋体" w:eastAsia="宋体"/>
                <w:color w:val="auto"/>
                <w:szCs w:val="21"/>
                <w:highlight w:val="none"/>
              </w:rPr>
            </w:pPr>
          </w:p>
          <w:p>
            <w:pPr>
              <w:spacing w:after="120" w:line="520" w:lineRule="exact"/>
              <w:rPr>
                <w:rFonts w:ascii="宋体" w:hAnsi="宋体" w:eastAsia="宋体"/>
                <w:color w:val="auto"/>
                <w:szCs w:val="21"/>
                <w:highlight w:val="none"/>
              </w:rPr>
            </w:pPr>
            <w:r>
              <w:rPr>
                <w:rFonts w:hint="eastAsia" w:ascii="宋体" w:hAnsi="宋体" w:eastAsia="宋体"/>
                <w:color w:val="auto"/>
                <w:szCs w:val="21"/>
                <w:highlight w:val="none"/>
              </w:rPr>
              <w:t>联系人及电话：                                 采购人签章</w:t>
            </w:r>
          </w:p>
          <w:p>
            <w:pPr>
              <w:spacing w:after="120" w:line="520" w:lineRule="exact"/>
              <w:jc w:val="center"/>
              <w:rPr>
                <w:rFonts w:ascii="宋体" w:hAnsi="宋体" w:eastAsia="宋体"/>
                <w:color w:val="auto"/>
                <w:szCs w:val="21"/>
                <w:highlight w:val="none"/>
              </w:rPr>
            </w:pPr>
            <w:r>
              <w:rPr>
                <w:rFonts w:hint="eastAsia" w:ascii="宋体" w:hAnsi="宋体" w:eastAsia="宋体"/>
                <w:color w:val="auto"/>
                <w:szCs w:val="21"/>
                <w:highlight w:val="none"/>
              </w:rPr>
              <w:t xml:space="preserve">                                        年    月     日</w:t>
            </w:r>
          </w:p>
        </w:tc>
      </w:tr>
    </w:tbl>
    <w:p>
      <w:pPr>
        <w:spacing w:line="500" w:lineRule="exact"/>
        <w:rPr>
          <w:rFonts w:ascii="宋体" w:hAnsi="宋体" w:eastAsia="宋体"/>
          <w:color w:val="auto"/>
          <w:highlight w:val="none"/>
        </w:rPr>
      </w:pPr>
      <w:r>
        <w:rPr>
          <w:rFonts w:hint="eastAsia" w:ascii="宋体" w:hAnsi="宋体" w:eastAsia="宋体"/>
          <w:b/>
          <w:bCs/>
          <w:color w:val="auto"/>
          <w:szCs w:val="21"/>
          <w:highlight w:val="none"/>
        </w:rPr>
        <w:t>注：供应商凭经采购人审批的退付意见书到保证金收取单位办理履约保证金退付事宜。</w:t>
      </w:r>
    </w:p>
    <w:p>
      <w:pPr>
        <w:adjustRightInd/>
        <w:snapToGrid/>
        <w:spacing w:line="220" w:lineRule="atLeast"/>
        <w:rPr>
          <w:rFonts w:ascii="宋体" w:hAnsi="宋体" w:eastAsia="宋体" w:cs="Times New Roman"/>
          <w:color w:val="auto"/>
          <w:sz w:val="36"/>
          <w:szCs w:val="20"/>
          <w:highlight w:val="none"/>
        </w:rPr>
      </w:pPr>
      <w:bookmarkStart w:id="92" w:name="_Toc246095537"/>
      <w:bookmarkStart w:id="93" w:name="_Toc246094931"/>
      <w:bookmarkStart w:id="94" w:name="_Toc246095475"/>
      <w:r>
        <w:rPr>
          <w:rFonts w:ascii="宋体" w:hAnsi="宋体" w:eastAsia="宋体"/>
          <w:color w:val="auto"/>
          <w:highlight w:val="none"/>
        </w:rPr>
        <w:br w:type="page"/>
      </w:r>
    </w:p>
    <w:p>
      <w:pPr>
        <w:pStyle w:val="3"/>
        <w:rPr>
          <w:rFonts w:ascii="宋体" w:hAnsi="宋体" w:eastAsia="宋体"/>
          <w:color w:val="auto"/>
          <w:highlight w:val="none"/>
        </w:rPr>
      </w:pPr>
    </w:p>
    <w:p>
      <w:pPr>
        <w:pStyle w:val="3"/>
        <w:rPr>
          <w:rFonts w:ascii="宋体" w:hAnsi="宋体" w:eastAsia="宋体"/>
          <w:color w:val="auto"/>
          <w:highlight w:val="none"/>
        </w:rPr>
      </w:pPr>
      <w:bookmarkStart w:id="95" w:name="_Toc10098"/>
      <w:r>
        <w:rPr>
          <w:rFonts w:hint="eastAsia" w:ascii="宋体" w:hAnsi="宋体" w:eastAsia="宋体"/>
          <w:color w:val="auto"/>
          <w:highlight w:val="none"/>
        </w:rPr>
        <w:t>第六章  响应文件格式</w:t>
      </w:r>
      <w:bookmarkEnd w:id="92"/>
      <w:bookmarkEnd w:id="93"/>
      <w:bookmarkEnd w:id="94"/>
      <w:bookmarkEnd w:id="95"/>
    </w:p>
    <w:p>
      <w:pPr>
        <w:rPr>
          <w:rFonts w:ascii="宋体" w:hAnsi="宋体" w:eastAsia="宋体"/>
          <w:color w:val="auto"/>
          <w:highlight w:val="none"/>
        </w:rPr>
      </w:pPr>
    </w:p>
    <w:p>
      <w:pPr>
        <w:rPr>
          <w:rFonts w:ascii="宋体" w:hAnsi="宋体" w:eastAsia="宋体"/>
          <w:color w:val="auto"/>
          <w:highlight w:val="none"/>
        </w:rPr>
      </w:pPr>
    </w:p>
    <w:p>
      <w:pPr>
        <w:jc w:val="center"/>
        <w:rPr>
          <w:rFonts w:ascii="宋体" w:hAnsi="宋体" w:eastAsia="宋体"/>
          <w:color w:val="auto"/>
          <w:highlight w:val="none"/>
        </w:rPr>
      </w:pPr>
      <w:r>
        <w:rPr>
          <w:rFonts w:hint="eastAsia" w:ascii="宋体" w:hAnsi="宋体" w:eastAsia="宋体"/>
          <w:color w:val="auto"/>
          <w:highlight w:val="none"/>
        </w:rPr>
        <w:t>（用于响应文件封面）</w:t>
      </w:r>
    </w:p>
    <w:p>
      <w:pPr>
        <w:rPr>
          <w:rFonts w:ascii="宋体" w:hAnsi="宋体" w:eastAsia="宋体"/>
          <w:color w:val="auto"/>
          <w:highlight w:val="none"/>
        </w:rPr>
      </w:pPr>
    </w:p>
    <w:p>
      <w:pPr>
        <w:jc w:val="center"/>
        <w:rPr>
          <w:rFonts w:ascii="宋体" w:hAnsi="宋体" w:eastAsia="宋体"/>
          <w:color w:val="auto"/>
          <w:sz w:val="84"/>
          <w:szCs w:val="84"/>
          <w:highlight w:val="none"/>
        </w:rPr>
      </w:pPr>
      <w:r>
        <w:rPr>
          <w:rFonts w:hint="eastAsia" w:ascii="宋体" w:hAnsi="宋体" w:eastAsia="宋体"/>
          <w:color w:val="auto"/>
          <w:sz w:val="84"/>
          <w:szCs w:val="84"/>
          <w:highlight w:val="none"/>
        </w:rPr>
        <w:t>响应文件</w:t>
      </w:r>
    </w:p>
    <w:p>
      <w:pPr>
        <w:rPr>
          <w:rFonts w:ascii="宋体" w:hAnsi="宋体" w:eastAsia="宋体"/>
          <w:color w:val="auto"/>
          <w:highlight w:val="none"/>
        </w:rPr>
      </w:pPr>
    </w:p>
    <w:p>
      <w:pPr>
        <w:jc w:val="center"/>
        <w:rPr>
          <w:rFonts w:ascii="宋体" w:hAnsi="宋体" w:eastAsia="宋体"/>
          <w:color w:val="auto"/>
          <w:sz w:val="30"/>
          <w:szCs w:val="30"/>
          <w:highlight w:val="none"/>
        </w:rPr>
      </w:pPr>
      <w:r>
        <w:rPr>
          <w:rFonts w:hint="eastAsia" w:ascii="宋体" w:hAnsi="宋体" w:eastAsia="宋体"/>
          <w:color w:val="auto"/>
          <w:sz w:val="30"/>
          <w:szCs w:val="30"/>
          <w:highlight w:val="none"/>
        </w:rPr>
        <w:t>（正/副本）</w:t>
      </w:r>
    </w:p>
    <w:p>
      <w:pPr>
        <w:rPr>
          <w:rFonts w:ascii="宋体" w:hAnsi="宋体" w:eastAsia="宋体"/>
          <w:color w:val="auto"/>
          <w:highlight w:val="none"/>
        </w:rPr>
      </w:pPr>
    </w:p>
    <w:p>
      <w:pPr>
        <w:rPr>
          <w:rFonts w:ascii="宋体" w:hAnsi="宋体" w:eastAsia="宋体"/>
          <w:color w:val="auto"/>
          <w:sz w:val="28"/>
          <w:szCs w:val="28"/>
          <w:highlight w:val="none"/>
        </w:rPr>
      </w:pPr>
    </w:p>
    <w:p>
      <w:pPr>
        <w:spacing w:line="600" w:lineRule="exact"/>
        <w:ind w:firstLine="1400" w:firstLineChars="500"/>
        <w:rPr>
          <w:rFonts w:ascii="宋体" w:hAnsi="宋体" w:eastAsia="宋体"/>
          <w:color w:val="auto"/>
          <w:sz w:val="28"/>
          <w:szCs w:val="28"/>
          <w:highlight w:val="none"/>
          <w:u w:val="single"/>
        </w:rPr>
      </w:pPr>
      <w:r>
        <w:rPr>
          <w:rFonts w:hint="eastAsia" w:ascii="宋体" w:hAnsi="宋体" w:eastAsia="宋体"/>
          <w:color w:val="auto"/>
          <w:sz w:val="28"/>
          <w:szCs w:val="28"/>
          <w:highlight w:val="none"/>
        </w:rPr>
        <w:t>项目名称：</w:t>
      </w:r>
      <w:r>
        <w:rPr>
          <w:rFonts w:hint="eastAsia" w:ascii="宋体" w:hAnsi="宋体" w:eastAsia="宋体"/>
          <w:color w:val="auto"/>
          <w:sz w:val="28"/>
          <w:szCs w:val="28"/>
          <w:highlight w:val="none"/>
          <w:u w:val="single"/>
        </w:rPr>
        <w:t xml:space="preserve">    （项目名称）   </w:t>
      </w:r>
    </w:p>
    <w:p>
      <w:pPr>
        <w:spacing w:line="600" w:lineRule="exact"/>
        <w:ind w:firstLine="1400" w:firstLineChars="500"/>
        <w:rPr>
          <w:rFonts w:ascii="宋体" w:hAnsi="宋体" w:eastAsia="宋体"/>
          <w:color w:val="auto"/>
          <w:sz w:val="28"/>
          <w:szCs w:val="28"/>
          <w:highlight w:val="none"/>
          <w:u w:val="single"/>
        </w:rPr>
      </w:pPr>
      <w:r>
        <w:rPr>
          <w:rFonts w:hint="eastAsia" w:ascii="宋体" w:hAnsi="宋体" w:eastAsia="宋体"/>
          <w:color w:val="auto"/>
          <w:sz w:val="28"/>
          <w:szCs w:val="28"/>
          <w:highlight w:val="none"/>
        </w:rPr>
        <w:t>采购编号：</w:t>
      </w:r>
    </w:p>
    <w:p>
      <w:pPr>
        <w:spacing w:line="600" w:lineRule="exact"/>
        <w:ind w:firstLine="1400" w:firstLineChars="500"/>
        <w:rPr>
          <w:rFonts w:ascii="宋体" w:hAnsi="宋体" w:eastAsia="宋体"/>
          <w:color w:val="auto"/>
          <w:sz w:val="28"/>
          <w:szCs w:val="28"/>
          <w:highlight w:val="none"/>
        </w:rPr>
      </w:pPr>
      <w:r>
        <w:rPr>
          <w:rFonts w:hint="eastAsia" w:ascii="宋体" w:hAnsi="宋体" w:eastAsia="宋体"/>
          <w:color w:val="auto"/>
          <w:sz w:val="28"/>
          <w:szCs w:val="28"/>
          <w:highlight w:val="none"/>
        </w:rPr>
        <w:t>响应文件内容：</w:t>
      </w:r>
      <w:r>
        <w:rPr>
          <w:rFonts w:hint="eastAsia" w:ascii="宋体" w:hAnsi="宋体" w:eastAsia="宋体"/>
          <w:color w:val="auto"/>
          <w:sz w:val="28"/>
          <w:szCs w:val="28"/>
          <w:highlight w:val="none"/>
          <w:u w:val="single"/>
        </w:rPr>
        <w:t xml:space="preserve">        价格文件/商务技术文件    </w:t>
      </w:r>
    </w:p>
    <w:p>
      <w:pPr>
        <w:spacing w:line="600" w:lineRule="exact"/>
        <w:ind w:firstLine="1400" w:firstLineChars="500"/>
        <w:rPr>
          <w:rFonts w:ascii="宋体" w:hAnsi="宋体" w:eastAsia="宋体"/>
          <w:color w:val="auto"/>
          <w:sz w:val="28"/>
          <w:szCs w:val="28"/>
          <w:highlight w:val="none"/>
        </w:rPr>
      </w:pPr>
      <w:r>
        <w:rPr>
          <w:rFonts w:hint="eastAsia" w:ascii="宋体" w:hAnsi="宋体" w:eastAsia="宋体"/>
          <w:color w:val="auto"/>
          <w:sz w:val="28"/>
          <w:szCs w:val="28"/>
          <w:highlight w:val="none"/>
        </w:rPr>
        <w:t>供应商名称：</w:t>
      </w:r>
      <w:r>
        <w:rPr>
          <w:rFonts w:hint="eastAsia" w:ascii="宋体" w:hAnsi="宋体" w:eastAsia="宋体"/>
          <w:color w:val="auto"/>
          <w:sz w:val="28"/>
          <w:szCs w:val="28"/>
          <w:highlight w:val="none"/>
          <w:u w:val="single"/>
        </w:rPr>
        <w:t xml:space="preserve">        （盖单位公章）           </w:t>
      </w:r>
    </w:p>
    <w:p>
      <w:pPr>
        <w:spacing w:line="600" w:lineRule="exact"/>
        <w:ind w:firstLine="1400" w:firstLineChars="500"/>
        <w:rPr>
          <w:rFonts w:ascii="宋体" w:hAnsi="宋体" w:eastAsia="宋体"/>
          <w:color w:val="auto"/>
          <w:sz w:val="28"/>
          <w:szCs w:val="28"/>
          <w:highlight w:val="none"/>
        </w:rPr>
      </w:pPr>
      <w:r>
        <w:rPr>
          <w:rFonts w:hint="eastAsia" w:ascii="宋体" w:hAnsi="宋体" w:eastAsia="宋体"/>
          <w:color w:val="auto"/>
          <w:sz w:val="28"/>
          <w:szCs w:val="28"/>
          <w:highlight w:val="none"/>
        </w:rPr>
        <w:t>法定代表人或其委托代理人：</w:t>
      </w:r>
      <w:r>
        <w:rPr>
          <w:rFonts w:hint="eastAsia" w:ascii="宋体" w:hAnsi="宋体" w:eastAsia="宋体"/>
          <w:color w:val="auto"/>
          <w:sz w:val="28"/>
          <w:szCs w:val="28"/>
          <w:highlight w:val="none"/>
          <w:u w:val="single"/>
        </w:rPr>
        <w:t xml:space="preserve">      （签字）     </w:t>
      </w:r>
    </w:p>
    <w:p>
      <w:pPr>
        <w:spacing w:line="600" w:lineRule="exact"/>
        <w:ind w:firstLine="1400" w:firstLineChars="500"/>
        <w:rPr>
          <w:rFonts w:ascii="宋体" w:hAnsi="宋体" w:eastAsia="宋体"/>
          <w:color w:val="auto"/>
          <w:sz w:val="28"/>
          <w:szCs w:val="28"/>
          <w:highlight w:val="none"/>
        </w:rPr>
      </w:pPr>
      <w:r>
        <w:rPr>
          <w:rFonts w:hint="eastAsia" w:ascii="宋体" w:hAnsi="宋体" w:eastAsia="宋体"/>
          <w:color w:val="auto"/>
          <w:sz w:val="28"/>
          <w:szCs w:val="28"/>
          <w:highlight w:val="none"/>
        </w:rPr>
        <w:t>日    期：  年 月  日</w:t>
      </w:r>
    </w:p>
    <w:p>
      <w:pPr>
        <w:rPr>
          <w:rFonts w:ascii="宋体" w:hAnsi="宋体" w:eastAsia="宋体"/>
          <w:color w:val="auto"/>
          <w:highlight w:val="none"/>
        </w:rPr>
      </w:pPr>
      <w:r>
        <w:rPr>
          <w:rFonts w:ascii="宋体" w:hAnsi="宋体" w:eastAsia="宋体"/>
          <w:color w:val="auto"/>
          <w:highlight w:val="none"/>
        </w:rPr>
        <w:br w:type="page"/>
      </w:r>
    </w:p>
    <w:p>
      <w:pPr>
        <w:spacing w:line="300" w:lineRule="auto"/>
        <w:rPr>
          <w:rFonts w:ascii="宋体" w:hAnsi="宋体" w:eastAsia="宋体"/>
          <w:b/>
          <w:color w:val="auto"/>
          <w:sz w:val="24"/>
          <w:szCs w:val="24"/>
          <w:highlight w:val="none"/>
        </w:rPr>
      </w:pPr>
      <w:r>
        <w:rPr>
          <w:rFonts w:hint="eastAsia" w:ascii="宋体" w:hAnsi="宋体" w:eastAsia="宋体"/>
          <w:b/>
          <w:color w:val="auto"/>
          <w:sz w:val="24"/>
          <w:szCs w:val="24"/>
          <w:highlight w:val="none"/>
        </w:rPr>
        <w:t>附件一：</w:t>
      </w:r>
    </w:p>
    <w:p>
      <w:pPr>
        <w:spacing w:line="300" w:lineRule="auto"/>
        <w:jc w:val="center"/>
        <w:rPr>
          <w:rFonts w:ascii="宋体" w:hAnsi="宋体" w:eastAsia="宋体"/>
          <w:b/>
          <w:color w:val="auto"/>
          <w:sz w:val="44"/>
          <w:szCs w:val="44"/>
          <w:highlight w:val="none"/>
        </w:rPr>
      </w:pPr>
      <w:r>
        <w:rPr>
          <w:rFonts w:hint="eastAsia" w:ascii="宋体" w:hAnsi="宋体" w:eastAsia="宋体"/>
          <w:b/>
          <w:color w:val="auto"/>
          <w:sz w:val="44"/>
          <w:szCs w:val="44"/>
          <w:highlight w:val="none"/>
        </w:rPr>
        <w:t>谈判报价表</w:t>
      </w:r>
    </w:p>
    <w:p>
      <w:pPr>
        <w:rPr>
          <w:rFonts w:ascii="宋体" w:hAnsi="宋体" w:eastAsia="宋体"/>
          <w:color w:val="auto"/>
          <w:sz w:val="24"/>
          <w:highlight w:val="none"/>
          <w:u w:val="single"/>
        </w:rPr>
      </w:pPr>
      <w:r>
        <w:rPr>
          <w:rFonts w:hint="eastAsia" w:ascii="宋体" w:hAnsi="宋体" w:eastAsia="宋体"/>
          <w:color w:val="auto"/>
          <w:sz w:val="24"/>
          <w:highlight w:val="none"/>
        </w:rPr>
        <w:t>采购编号:</w:t>
      </w:r>
    </w:p>
    <w:p>
      <w:pPr>
        <w:rPr>
          <w:rFonts w:ascii="宋体" w:hAnsi="宋体" w:eastAsia="宋体"/>
          <w:color w:val="auto"/>
          <w:sz w:val="24"/>
          <w:highlight w:val="none"/>
          <w:u w:val="single"/>
        </w:rPr>
      </w:pPr>
      <w:r>
        <w:rPr>
          <w:rFonts w:hint="eastAsia" w:ascii="宋体" w:hAnsi="宋体" w:eastAsia="宋体"/>
          <w:color w:val="auto"/>
          <w:sz w:val="24"/>
          <w:highlight w:val="none"/>
        </w:rPr>
        <w:t>项目名称:</w:t>
      </w:r>
    </w:p>
    <w:p>
      <w:pPr>
        <w:rPr>
          <w:rFonts w:ascii="宋体" w:hAnsi="宋体" w:eastAsia="宋体"/>
          <w:color w:val="auto"/>
          <w:sz w:val="24"/>
          <w:highlight w:val="none"/>
        </w:rPr>
      </w:pPr>
      <w:r>
        <w:rPr>
          <w:rFonts w:hint="eastAsia" w:ascii="宋体" w:hAnsi="宋体" w:eastAsia="宋体"/>
          <w:color w:val="auto"/>
          <w:sz w:val="24"/>
          <w:highlight w:val="none"/>
          <w:u w:val="single"/>
        </w:rPr>
        <w:t>　　</w:t>
      </w:r>
      <w:r>
        <w:rPr>
          <w:rFonts w:hint="eastAsia" w:ascii="宋体" w:hAnsi="宋体" w:eastAsia="宋体"/>
          <w:color w:val="auto"/>
          <w:sz w:val="24"/>
          <w:highlight w:val="none"/>
        </w:rPr>
        <w:t>分标（有分标时填写）</w:t>
      </w:r>
    </w:p>
    <w:tbl>
      <w:tblPr>
        <w:tblStyle w:val="38"/>
        <w:tblW w:w="94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610"/>
        <w:gridCol w:w="534"/>
        <w:gridCol w:w="1422"/>
        <w:gridCol w:w="1689"/>
        <w:gridCol w:w="1413"/>
        <w:gridCol w:w="1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51" w:type="dxa"/>
            <w:vAlign w:val="center"/>
          </w:tcPr>
          <w:p>
            <w:pPr>
              <w:spacing w:after="0" w:line="320" w:lineRule="exact"/>
              <w:jc w:val="center"/>
              <w:rPr>
                <w:rFonts w:ascii="宋体" w:hAnsi="宋体" w:eastAsia="宋体"/>
                <w:color w:val="auto"/>
                <w:sz w:val="24"/>
                <w:highlight w:val="none"/>
              </w:rPr>
            </w:pPr>
            <w:r>
              <w:rPr>
                <w:rFonts w:hint="eastAsia" w:ascii="宋体" w:hAnsi="宋体" w:eastAsia="宋体"/>
                <w:color w:val="auto"/>
                <w:sz w:val="24"/>
                <w:highlight w:val="none"/>
              </w:rPr>
              <w:t>序号</w:t>
            </w:r>
          </w:p>
        </w:tc>
        <w:tc>
          <w:tcPr>
            <w:tcW w:w="1610" w:type="dxa"/>
            <w:vAlign w:val="center"/>
          </w:tcPr>
          <w:p>
            <w:pPr>
              <w:spacing w:after="0" w:line="320" w:lineRule="exact"/>
              <w:jc w:val="center"/>
              <w:rPr>
                <w:rFonts w:ascii="宋体" w:hAnsi="宋体" w:eastAsia="宋体"/>
                <w:color w:val="auto"/>
                <w:sz w:val="24"/>
                <w:highlight w:val="none"/>
              </w:rPr>
            </w:pPr>
            <w:r>
              <w:rPr>
                <w:rFonts w:hint="eastAsia" w:ascii="宋体" w:hAnsi="宋体" w:eastAsia="宋体"/>
                <w:color w:val="auto"/>
                <w:sz w:val="24"/>
                <w:highlight w:val="none"/>
              </w:rPr>
              <w:t>货物名称</w:t>
            </w:r>
          </w:p>
        </w:tc>
        <w:tc>
          <w:tcPr>
            <w:tcW w:w="534" w:type="dxa"/>
            <w:vAlign w:val="center"/>
          </w:tcPr>
          <w:p>
            <w:pPr>
              <w:spacing w:after="0" w:line="320" w:lineRule="exact"/>
              <w:jc w:val="center"/>
              <w:rPr>
                <w:rFonts w:ascii="宋体" w:hAnsi="宋体" w:eastAsia="宋体"/>
                <w:color w:val="auto"/>
                <w:sz w:val="24"/>
                <w:highlight w:val="none"/>
              </w:rPr>
            </w:pPr>
            <w:r>
              <w:rPr>
                <w:rFonts w:hint="eastAsia" w:ascii="宋体" w:hAnsi="宋体" w:eastAsia="宋体"/>
                <w:color w:val="auto"/>
                <w:sz w:val="24"/>
                <w:highlight w:val="none"/>
              </w:rPr>
              <w:t>数量①</w:t>
            </w:r>
          </w:p>
        </w:tc>
        <w:tc>
          <w:tcPr>
            <w:tcW w:w="1422" w:type="dxa"/>
            <w:vAlign w:val="center"/>
          </w:tcPr>
          <w:p>
            <w:pPr>
              <w:spacing w:after="0" w:line="320" w:lineRule="exact"/>
              <w:jc w:val="center"/>
              <w:rPr>
                <w:rFonts w:ascii="宋体" w:hAnsi="宋体" w:eastAsia="宋体"/>
                <w:color w:val="auto"/>
                <w:sz w:val="24"/>
                <w:highlight w:val="none"/>
              </w:rPr>
            </w:pPr>
            <w:r>
              <w:rPr>
                <w:rFonts w:hint="eastAsia" w:ascii="宋体" w:hAnsi="宋体" w:eastAsia="宋体"/>
                <w:color w:val="auto"/>
                <w:sz w:val="24"/>
                <w:highlight w:val="none"/>
              </w:rPr>
              <w:t>品牌及规格型号、生产厂家及国别</w:t>
            </w:r>
          </w:p>
        </w:tc>
        <w:tc>
          <w:tcPr>
            <w:tcW w:w="1689" w:type="dxa"/>
            <w:vAlign w:val="center"/>
          </w:tcPr>
          <w:p>
            <w:pPr>
              <w:spacing w:after="0" w:line="320" w:lineRule="exact"/>
              <w:jc w:val="center"/>
              <w:rPr>
                <w:rFonts w:ascii="宋体" w:hAnsi="宋体" w:eastAsia="宋体"/>
                <w:color w:val="auto"/>
                <w:sz w:val="24"/>
                <w:highlight w:val="none"/>
              </w:rPr>
            </w:pPr>
            <w:r>
              <w:rPr>
                <w:rFonts w:hint="eastAsia" w:ascii="宋体" w:hAnsi="宋体" w:eastAsia="宋体"/>
                <w:color w:val="auto"/>
                <w:sz w:val="24"/>
                <w:highlight w:val="none"/>
              </w:rPr>
              <w:t>技术参数及性能配置</w:t>
            </w:r>
          </w:p>
        </w:tc>
        <w:tc>
          <w:tcPr>
            <w:tcW w:w="1413" w:type="dxa"/>
            <w:vAlign w:val="center"/>
          </w:tcPr>
          <w:p>
            <w:pPr>
              <w:spacing w:after="0" w:line="320" w:lineRule="exact"/>
              <w:jc w:val="center"/>
              <w:rPr>
                <w:rFonts w:ascii="宋体" w:hAnsi="宋体" w:eastAsia="宋体"/>
                <w:color w:val="auto"/>
                <w:sz w:val="24"/>
                <w:highlight w:val="none"/>
              </w:rPr>
            </w:pPr>
            <w:r>
              <w:rPr>
                <w:rFonts w:hint="eastAsia" w:ascii="宋体" w:hAnsi="宋体" w:eastAsia="宋体"/>
                <w:color w:val="auto"/>
                <w:sz w:val="24"/>
                <w:highlight w:val="none"/>
              </w:rPr>
              <w:t>单价（元）</w:t>
            </w:r>
          </w:p>
          <w:p>
            <w:pPr>
              <w:spacing w:after="0" w:line="320" w:lineRule="exact"/>
              <w:jc w:val="center"/>
              <w:rPr>
                <w:rFonts w:ascii="宋体" w:hAnsi="宋体" w:eastAsia="宋体"/>
                <w:color w:val="auto"/>
                <w:sz w:val="24"/>
                <w:highlight w:val="none"/>
              </w:rPr>
            </w:pPr>
            <w:r>
              <w:rPr>
                <w:rFonts w:hint="eastAsia" w:ascii="宋体" w:hAnsi="宋体" w:eastAsia="宋体"/>
                <w:color w:val="auto"/>
                <w:sz w:val="24"/>
                <w:highlight w:val="none"/>
              </w:rPr>
              <w:t>②</w:t>
            </w:r>
          </w:p>
        </w:tc>
        <w:tc>
          <w:tcPr>
            <w:tcW w:w="1864" w:type="dxa"/>
            <w:vAlign w:val="center"/>
          </w:tcPr>
          <w:p>
            <w:pPr>
              <w:spacing w:after="0" w:line="320" w:lineRule="exact"/>
              <w:jc w:val="center"/>
              <w:rPr>
                <w:rFonts w:ascii="宋体" w:hAnsi="宋体" w:eastAsia="宋体"/>
                <w:color w:val="auto"/>
                <w:sz w:val="24"/>
                <w:highlight w:val="none"/>
              </w:rPr>
            </w:pPr>
            <w:r>
              <w:rPr>
                <w:rFonts w:hint="eastAsia" w:ascii="宋体" w:hAnsi="宋体" w:eastAsia="宋体"/>
                <w:color w:val="auto"/>
                <w:sz w:val="24"/>
                <w:highlight w:val="none"/>
              </w:rPr>
              <w:t>单项合价（元）</w:t>
            </w:r>
          </w:p>
          <w:p>
            <w:pPr>
              <w:spacing w:after="0" w:line="320" w:lineRule="exact"/>
              <w:jc w:val="center"/>
              <w:rPr>
                <w:rFonts w:ascii="宋体" w:hAnsi="宋体" w:eastAsia="宋体"/>
                <w:color w:val="auto"/>
                <w:sz w:val="24"/>
                <w:highlight w:val="none"/>
              </w:rPr>
            </w:pPr>
            <w:r>
              <w:rPr>
                <w:rFonts w:hint="eastAsia" w:ascii="宋体" w:hAnsi="宋体" w:eastAsia="宋体"/>
                <w:color w:val="auto"/>
                <w:sz w:val="24"/>
                <w:highlight w:val="none"/>
              </w:rPr>
              <w:t>③=①×②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51" w:type="dxa"/>
            <w:vAlign w:val="center"/>
          </w:tcPr>
          <w:p>
            <w:pPr>
              <w:jc w:val="center"/>
              <w:rPr>
                <w:rFonts w:ascii="宋体" w:hAnsi="宋体" w:eastAsia="宋体"/>
                <w:color w:val="auto"/>
                <w:sz w:val="24"/>
                <w:highlight w:val="none"/>
              </w:rPr>
            </w:pPr>
            <w:r>
              <w:rPr>
                <w:rFonts w:hint="eastAsia" w:ascii="宋体" w:hAnsi="宋体" w:eastAsia="宋体"/>
                <w:color w:val="auto"/>
                <w:sz w:val="24"/>
                <w:highlight w:val="none"/>
              </w:rPr>
              <w:t>1</w:t>
            </w:r>
          </w:p>
        </w:tc>
        <w:tc>
          <w:tcPr>
            <w:tcW w:w="1610" w:type="dxa"/>
            <w:vAlign w:val="center"/>
          </w:tcPr>
          <w:p>
            <w:pPr>
              <w:rPr>
                <w:rFonts w:ascii="宋体" w:hAnsi="宋体" w:eastAsia="宋体"/>
                <w:color w:val="auto"/>
                <w:sz w:val="24"/>
                <w:highlight w:val="none"/>
              </w:rPr>
            </w:pPr>
          </w:p>
        </w:tc>
        <w:tc>
          <w:tcPr>
            <w:tcW w:w="534" w:type="dxa"/>
            <w:vAlign w:val="center"/>
          </w:tcPr>
          <w:p>
            <w:pPr>
              <w:rPr>
                <w:rFonts w:ascii="宋体" w:hAnsi="宋体" w:eastAsia="宋体"/>
                <w:color w:val="auto"/>
                <w:sz w:val="24"/>
                <w:highlight w:val="none"/>
              </w:rPr>
            </w:pPr>
          </w:p>
        </w:tc>
        <w:tc>
          <w:tcPr>
            <w:tcW w:w="1422" w:type="dxa"/>
            <w:vAlign w:val="center"/>
          </w:tcPr>
          <w:p>
            <w:pPr>
              <w:rPr>
                <w:rFonts w:ascii="宋体" w:hAnsi="宋体" w:eastAsia="宋体"/>
                <w:color w:val="auto"/>
                <w:sz w:val="24"/>
                <w:highlight w:val="none"/>
              </w:rPr>
            </w:pPr>
          </w:p>
        </w:tc>
        <w:tc>
          <w:tcPr>
            <w:tcW w:w="1689" w:type="dxa"/>
            <w:vAlign w:val="center"/>
          </w:tcPr>
          <w:p>
            <w:pPr>
              <w:rPr>
                <w:rFonts w:ascii="宋体" w:hAnsi="宋体" w:eastAsia="宋体"/>
                <w:color w:val="auto"/>
                <w:sz w:val="24"/>
                <w:highlight w:val="none"/>
              </w:rPr>
            </w:pPr>
          </w:p>
        </w:tc>
        <w:tc>
          <w:tcPr>
            <w:tcW w:w="1413" w:type="dxa"/>
            <w:vAlign w:val="center"/>
          </w:tcPr>
          <w:p>
            <w:pPr>
              <w:rPr>
                <w:rFonts w:ascii="宋体" w:hAnsi="宋体" w:eastAsia="宋体"/>
                <w:color w:val="auto"/>
                <w:sz w:val="24"/>
                <w:highlight w:val="none"/>
              </w:rPr>
            </w:pPr>
          </w:p>
        </w:tc>
        <w:tc>
          <w:tcPr>
            <w:tcW w:w="1864" w:type="dxa"/>
            <w:vAlign w:val="center"/>
          </w:tcPr>
          <w:p>
            <w:pPr>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951" w:type="dxa"/>
            <w:vAlign w:val="center"/>
          </w:tcPr>
          <w:p>
            <w:pPr>
              <w:jc w:val="center"/>
              <w:rPr>
                <w:rFonts w:ascii="宋体" w:hAnsi="宋体" w:eastAsia="宋体"/>
                <w:color w:val="auto"/>
                <w:sz w:val="24"/>
                <w:highlight w:val="none"/>
              </w:rPr>
            </w:pPr>
            <w:r>
              <w:rPr>
                <w:rFonts w:hint="eastAsia" w:ascii="宋体" w:hAnsi="宋体" w:eastAsia="宋体"/>
                <w:color w:val="auto"/>
                <w:sz w:val="24"/>
                <w:highlight w:val="none"/>
              </w:rPr>
              <w:t>2</w:t>
            </w:r>
          </w:p>
        </w:tc>
        <w:tc>
          <w:tcPr>
            <w:tcW w:w="1610" w:type="dxa"/>
            <w:vAlign w:val="center"/>
          </w:tcPr>
          <w:p>
            <w:pPr>
              <w:rPr>
                <w:rFonts w:ascii="宋体" w:hAnsi="宋体" w:eastAsia="宋体"/>
                <w:color w:val="auto"/>
                <w:sz w:val="24"/>
                <w:highlight w:val="none"/>
              </w:rPr>
            </w:pPr>
          </w:p>
        </w:tc>
        <w:tc>
          <w:tcPr>
            <w:tcW w:w="534" w:type="dxa"/>
            <w:vAlign w:val="center"/>
          </w:tcPr>
          <w:p>
            <w:pPr>
              <w:rPr>
                <w:rFonts w:ascii="宋体" w:hAnsi="宋体" w:eastAsia="宋体"/>
                <w:color w:val="auto"/>
                <w:sz w:val="24"/>
                <w:highlight w:val="none"/>
              </w:rPr>
            </w:pPr>
          </w:p>
        </w:tc>
        <w:tc>
          <w:tcPr>
            <w:tcW w:w="1422" w:type="dxa"/>
            <w:vAlign w:val="center"/>
          </w:tcPr>
          <w:p>
            <w:pPr>
              <w:rPr>
                <w:rFonts w:ascii="宋体" w:hAnsi="宋体" w:eastAsia="宋体"/>
                <w:color w:val="auto"/>
                <w:sz w:val="24"/>
                <w:highlight w:val="none"/>
              </w:rPr>
            </w:pPr>
          </w:p>
        </w:tc>
        <w:tc>
          <w:tcPr>
            <w:tcW w:w="1689" w:type="dxa"/>
            <w:vAlign w:val="center"/>
          </w:tcPr>
          <w:p>
            <w:pPr>
              <w:rPr>
                <w:rFonts w:ascii="宋体" w:hAnsi="宋体" w:eastAsia="宋体"/>
                <w:color w:val="auto"/>
                <w:sz w:val="24"/>
                <w:highlight w:val="none"/>
              </w:rPr>
            </w:pPr>
          </w:p>
        </w:tc>
        <w:tc>
          <w:tcPr>
            <w:tcW w:w="1413" w:type="dxa"/>
            <w:vAlign w:val="center"/>
          </w:tcPr>
          <w:p>
            <w:pPr>
              <w:rPr>
                <w:rFonts w:ascii="宋体" w:hAnsi="宋体" w:eastAsia="宋体"/>
                <w:color w:val="auto"/>
                <w:sz w:val="24"/>
                <w:highlight w:val="none"/>
              </w:rPr>
            </w:pPr>
          </w:p>
        </w:tc>
        <w:tc>
          <w:tcPr>
            <w:tcW w:w="1864" w:type="dxa"/>
            <w:vAlign w:val="center"/>
          </w:tcPr>
          <w:p>
            <w:pPr>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951" w:type="dxa"/>
            <w:vAlign w:val="center"/>
          </w:tcPr>
          <w:p>
            <w:pPr>
              <w:jc w:val="center"/>
              <w:rPr>
                <w:rFonts w:ascii="宋体" w:hAnsi="宋体" w:eastAsia="宋体"/>
                <w:color w:val="auto"/>
                <w:sz w:val="24"/>
                <w:highlight w:val="none"/>
              </w:rPr>
            </w:pPr>
            <w:r>
              <w:rPr>
                <w:rFonts w:hint="eastAsia" w:ascii="宋体" w:hAnsi="宋体" w:eastAsia="宋体"/>
                <w:color w:val="auto"/>
                <w:sz w:val="24"/>
                <w:highlight w:val="none"/>
              </w:rPr>
              <w:t>……</w:t>
            </w:r>
          </w:p>
        </w:tc>
        <w:tc>
          <w:tcPr>
            <w:tcW w:w="1610" w:type="dxa"/>
            <w:vAlign w:val="center"/>
          </w:tcPr>
          <w:p>
            <w:pPr>
              <w:rPr>
                <w:rFonts w:ascii="宋体" w:hAnsi="宋体" w:eastAsia="宋体"/>
                <w:color w:val="auto"/>
                <w:sz w:val="24"/>
                <w:highlight w:val="none"/>
              </w:rPr>
            </w:pPr>
          </w:p>
        </w:tc>
        <w:tc>
          <w:tcPr>
            <w:tcW w:w="534" w:type="dxa"/>
            <w:vAlign w:val="center"/>
          </w:tcPr>
          <w:p>
            <w:pPr>
              <w:rPr>
                <w:rFonts w:ascii="宋体" w:hAnsi="宋体" w:eastAsia="宋体"/>
                <w:color w:val="auto"/>
                <w:sz w:val="24"/>
                <w:highlight w:val="none"/>
              </w:rPr>
            </w:pPr>
          </w:p>
        </w:tc>
        <w:tc>
          <w:tcPr>
            <w:tcW w:w="1422" w:type="dxa"/>
            <w:vAlign w:val="center"/>
          </w:tcPr>
          <w:p>
            <w:pPr>
              <w:rPr>
                <w:rFonts w:ascii="宋体" w:hAnsi="宋体" w:eastAsia="宋体"/>
                <w:color w:val="auto"/>
                <w:sz w:val="24"/>
                <w:highlight w:val="none"/>
              </w:rPr>
            </w:pPr>
          </w:p>
        </w:tc>
        <w:tc>
          <w:tcPr>
            <w:tcW w:w="1689" w:type="dxa"/>
            <w:vAlign w:val="center"/>
          </w:tcPr>
          <w:p>
            <w:pPr>
              <w:rPr>
                <w:rFonts w:ascii="宋体" w:hAnsi="宋体" w:eastAsia="宋体"/>
                <w:color w:val="auto"/>
                <w:sz w:val="24"/>
                <w:highlight w:val="none"/>
              </w:rPr>
            </w:pPr>
          </w:p>
        </w:tc>
        <w:tc>
          <w:tcPr>
            <w:tcW w:w="1413" w:type="dxa"/>
            <w:vAlign w:val="center"/>
          </w:tcPr>
          <w:p>
            <w:pPr>
              <w:rPr>
                <w:rFonts w:ascii="宋体" w:hAnsi="宋体" w:eastAsia="宋体"/>
                <w:color w:val="auto"/>
                <w:sz w:val="24"/>
                <w:highlight w:val="none"/>
              </w:rPr>
            </w:pPr>
          </w:p>
        </w:tc>
        <w:tc>
          <w:tcPr>
            <w:tcW w:w="1864" w:type="dxa"/>
            <w:vAlign w:val="center"/>
          </w:tcPr>
          <w:p>
            <w:pPr>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951" w:type="dxa"/>
            <w:vAlign w:val="center"/>
          </w:tcPr>
          <w:p>
            <w:pPr>
              <w:jc w:val="center"/>
              <w:rPr>
                <w:rFonts w:ascii="宋体" w:hAnsi="宋体" w:eastAsia="宋体"/>
                <w:color w:val="auto"/>
                <w:sz w:val="24"/>
                <w:highlight w:val="none"/>
              </w:rPr>
            </w:pPr>
            <w:r>
              <w:rPr>
                <w:rFonts w:hint="eastAsia" w:ascii="宋体" w:hAnsi="宋体" w:eastAsia="宋体"/>
                <w:color w:val="auto"/>
                <w:sz w:val="24"/>
                <w:highlight w:val="none"/>
              </w:rPr>
              <w:t>N</w:t>
            </w:r>
          </w:p>
        </w:tc>
        <w:tc>
          <w:tcPr>
            <w:tcW w:w="1610" w:type="dxa"/>
            <w:vAlign w:val="center"/>
          </w:tcPr>
          <w:p>
            <w:pPr>
              <w:rPr>
                <w:rFonts w:ascii="宋体" w:hAnsi="宋体" w:eastAsia="宋体"/>
                <w:color w:val="auto"/>
                <w:sz w:val="24"/>
                <w:highlight w:val="none"/>
              </w:rPr>
            </w:pPr>
          </w:p>
        </w:tc>
        <w:tc>
          <w:tcPr>
            <w:tcW w:w="534" w:type="dxa"/>
            <w:vAlign w:val="center"/>
          </w:tcPr>
          <w:p>
            <w:pPr>
              <w:rPr>
                <w:rFonts w:ascii="宋体" w:hAnsi="宋体" w:eastAsia="宋体"/>
                <w:color w:val="auto"/>
                <w:sz w:val="24"/>
                <w:highlight w:val="none"/>
              </w:rPr>
            </w:pPr>
          </w:p>
        </w:tc>
        <w:tc>
          <w:tcPr>
            <w:tcW w:w="1422" w:type="dxa"/>
            <w:vAlign w:val="center"/>
          </w:tcPr>
          <w:p>
            <w:pPr>
              <w:rPr>
                <w:rFonts w:ascii="宋体" w:hAnsi="宋体" w:eastAsia="宋体"/>
                <w:color w:val="auto"/>
                <w:sz w:val="24"/>
                <w:highlight w:val="none"/>
              </w:rPr>
            </w:pPr>
          </w:p>
        </w:tc>
        <w:tc>
          <w:tcPr>
            <w:tcW w:w="1689" w:type="dxa"/>
            <w:vAlign w:val="center"/>
          </w:tcPr>
          <w:p>
            <w:pPr>
              <w:rPr>
                <w:rFonts w:ascii="宋体" w:hAnsi="宋体" w:eastAsia="宋体"/>
                <w:color w:val="auto"/>
                <w:sz w:val="24"/>
                <w:highlight w:val="none"/>
              </w:rPr>
            </w:pPr>
          </w:p>
        </w:tc>
        <w:tc>
          <w:tcPr>
            <w:tcW w:w="1413" w:type="dxa"/>
            <w:vAlign w:val="center"/>
          </w:tcPr>
          <w:p>
            <w:pPr>
              <w:rPr>
                <w:rFonts w:ascii="宋体" w:hAnsi="宋体" w:eastAsia="宋体"/>
                <w:color w:val="auto"/>
                <w:sz w:val="24"/>
                <w:highlight w:val="none"/>
              </w:rPr>
            </w:pPr>
          </w:p>
        </w:tc>
        <w:tc>
          <w:tcPr>
            <w:tcW w:w="1864" w:type="dxa"/>
            <w:vAlign w:val="center"/>
          </w:tcPr>
          <w:p>
            <w:pPr>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483" w:type="dxa"/>
            <w:gridSpan w:val="7"/>
            <w:vAlign w:val="center"/>
          </w:tcPr>
          <w:p>
            <w:pPr>
              <w:spacing w:after="0" w:line="360" w:lineRule="exact"/>
              <w:rPr>
                <w:rFonts w:ascii="宋体" w:hAnsi="宋体" w:eastAsia="宋体"/>
                <w:color w:val="auto"/>
                <w:sz w:val="24"/>
                <w:highlight w:val="none"/>
              </w:rPr>
            </w:pPr>
            <w:r>
              <w:rPr>
                <w:rFonts w:hint="eastAsia" w:ascii="宋体" w:hAnsi="宋体" w:eastAsia="宋体"/>
                <w:color w:val="auto"/>
                <w:sz w:val="24"/>
                <w:highlight w:val="none"/>
              </w:rPr>
              <w:t>总报价：人民币</w:t>
            </w:r>
            <w:r>
              <w:rPr>
                <w:rFonts w:hint="eastAsia" w:ascii="宋体" w:hAnsi="宋体" w:eastAsia="宋体"/>
                <w:color w:val="auto"/>
                <w:sz w:val="24"/>
                <w:highlight w:val="none"/>
                <w:u w:val="single"/>
              </w:rPr>
              <w:t xml:space="preserve">              （￥                 </w:t>
            </w:r>
            <w:r>
              <w:rPr>
                <w:rFonts w:hint="eastAsia" w:ascii="宋体" w:hAnsi="宋体" w:eastAsia="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483" w:type="dxa"/>
            <w:gridSpan w:val="7"/>
            <w:vAlign w:val="center"/>
          </w:tcPr>
          <w:p>
            <w:pPr>
              <w:spacing w:after="0" w:line="360" w:lineRule="exact"/>
              <w:rPr>
                <w:rFonts w:ascii="宋体" w:hAnsi="宋体" w:eastAsia="宋体"/>
                <w:color w:val="auto"/>
                <w:sz w:val="24"/>
                <w:highlight w:val="none"/>
              </w:rPr>
            </w:pPr>
            <w:r>
              <w:rPr>
                <w:rFonts w:hint="eastAsia" w:ascii="宋体" w:hAnsi="宋体" w:eastAsia="宋体"/>
                <w:color w:val="auto"/>
                <w:sz w:val="24"/>
                <w:highlight w:val="none"/>
              </w:rPr>
              <w:t>交货时间：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483" w:type="dxa"/>
            <w:gridSpan w:val="7"/>
            <w:vAlign w:val="center"/>
          </w:tcPr>
          <w:p>
            <w:pPr>
              <w:spacing w:after="0" w:line="360" w:lineRule="exact"/>
              <w:rPr>
                <w:rFonts w:ascii="宋体" w:hAnsi="宋体" w:eastAsia="宋体"/>
                <w:color w:val="auto"/>
                <w:sz w:val="24"/>
                <w:highlight w:val="none"/>
              </w:rPr>
            </w:pPr>
            <w:r>
              <w:rPr>
                <w:rFonts w:hint="eastAsia" w:ascii="宋体" w:hAnsi="宋体" w:eastAsia="宋体"/>
                <w:color w:val="auto"/>
                <w:sz w:val="24"/>
                <w:highlight w:val="none"/>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483" w:type="dxa"/>
            <w:gridSpan w:val="7"/>
            <w:vAlign w:val="center"/>
          </w:tcPr>
          <w:p>
            <w:pPr>
              <w:spacing w:after="0" w:line="360" w:lineRule="exact"/>
              <w:rPr>
                <w:rFonts w:ascii="宋体" w:hAnsi="宋体" w:eastAsia="宋体"/>
                <w:color w:val="auto"/>
                <w:sz w:val="24"/>
                <w:highlight w:val="none"/>
              </w:rPr>
            </w:pPr>
            <w:r>
              <w:rPr>
                <w:rFonts w:hint="eastAsia" w:ascii="宋体" w:hAnsi="宋体" w:eastAsia="宋体"/>
                <w:color w:val="auto"/>
                <w:sz w:val="24"/>
                <w:highlight w:val="none"/>
              </w:rPr>
              <w:t>质保期：</w:t>
            </w:r>
          </w:p>
        </w:tc>
      </w:tr>
    </w:tbl>
    <w:p>
      <w:pPr>
        <w:spacing w:after="0" w:line="360" w:lineRule="exact"/>
        <w:jc w:val="both"/>
        <w:rPr>
          <w:rFonts w:ascii="宋体" w:hAnsi="宋体" w:eastAsia="宋体"/>
          <w:color w:val="auto"/>
          <w:highlight w:val="none"/>
        </w:rPr>
      </w:pPr>
      <w:r>
        <w:rPr>
          <w:rFonts w:hint="eastAsia" w:ascii="宋体" w:hAnsi="宋体" w:eastAsia="宋体"/>
          <w:color w:val="auto"/>
          <w:highlight w:val="none"/>
        </w:rPr>
        <w:t>注：1.所有价格均用人民币表示，单位为元，精确到小数点后两位数。</w:t>
      </w:r>
    </w:p>
    <w:p>
      <w:pPr>
        <w:spacing w:after="0" w:line="360" w:lineRule="exact"/>
        <w:ind w:firstLine="440" w:firstLineChars="200"/>
        <w:jc w:val="both"/>
        <w:rPr>
          <w:rFonts w:ascii="宋体" w:hAnsi="宋体" w:eastAsia="宋体"/>
          <w:color w:val="auto"/>
          <w:highlight w:val="none"/>
        </w:rPr>
      </w:pPr>
      <w:r>
        <w:rPr>
          <w:rFonts w:hint="eastAsia" w:ascii="宋体" w:hAnsi="宋体" w:eastAsia="宋体"/>
          <w:bCs/>
          <w:color w:val="auto"/>
          <w:highlight w:val="none"/>
        </w:rPr>
        <w:t>2.各供应商</w:t>
      </w:r>
      <w:r>
        <w:rPr>
          <w:rFonts w:hint="eastAsia" w:ascii="宋体" w:hAnsi="宋体" w:eastAsia="宋体"/>
          <w:color w:val="auto"/>
          <w:highlight w:val="none"/>
        </w:rPr>
        <w:t>必须就“项目采购需求和说明”中所有内容作完整唯一报价，否则，其响应文件无效。</w:t>
      </w:r>
    </w:p>
    <w:p>
      <w:pPr>
        <w:spacing w:after="0" w:line="360" w:lineRule="exact"/>
        <w:ind w:firstLine="440" w:firstLineChars="200"/>
        <w:jc w:val="both"/>
        <w:rPr>
          <w:rFonts w:ascii="宋体" w:hAnsi="宋体" w:eastAsia="宋体"/>
          <w:color w:val="auto"/>
          <w:highlight w:val="none"/>
        </w:rPr>
      </w:pPr>
      <w:r>
        <w:rPr>
          <w:rFonts w:ascii="宋体" w:hAnsi="宋体" w:eastAsia="宋体"/>
          <w:color w:val="auto"/>
          <w:highlight w:val="none"/>
        </w:rPr>
        <w:t>3.</w:t>
      </w:r>
      <w:r>
        <w:rPr>
          <w:rFonts w:hint="eastAsia" w:ascii="宋体" w:hAnsi="宋体" w:eastAsia="宋体"/>
          <w:color w:val="auto"/>
          <w:highlight w:val="none"/>
        </w:rPr>
        <w:t>此表的总报价是所有需采购方支付的本次采购标的金额总数，即竞标总价。竞标总价须包含完成用户需求要求所有内容的全部费用。</w:t>
      </w:r>
      <w:r>
        <w:rPr>
          <w:rFonts w:ascii="宋体" w:hAnsi="宋体" w:eastAsia="宋体"/>
          <w:color w:val="auto"/>
          <w:highlight w:val="none"/>
        </w:rPr>
        <w:tab/>
      </w:r>
    </w:p>
    <w:p>
      <w:pPr>
        <w:spacing w:after="0" w:line="360" w:lineRule="exact"/>
        <w:ind w:firstLine="440" w:firstLineChars="200"/>
        <w:jc w:val="both"/>
        <w:rPr>
          <w:rFonts w:ascii="宋体" w:hAnsi="宋体" w:eastAsia="宋体"/>
          <w:color w:val="auto"/>
          <w:highlight w:val="none"/>
        </w:rPr>
      </w:pPr>
      <w:r>
        <w:rPr>
          <w:rFonts w:ascii="宋体" w:hAnsi="宋体" w:eastAsia="宋体"/>
          <w:color w:val="auto"/>
          <w:highlight w:val="none"/>
        </w:rPr>
        <w:t>4.</w:t>
      </w:r>
      <w:r>
        <w:rPr>
          <w:rFonts w:hint="eastAsia" w:ascii="宋体" w:hAnsi="宋体" w:eastAsia="宋体"/>
          <w:color w:val="auto"/>
          <w:highlight w:val="none"/>
        </w:rPr>
        <w:t>若此表由多页构成的，需逐页加盖供应商公章。</w:t>
      </w:r>
    </w:p>
    <w:p>
      <w:pPr>
        <w:spacing w:after="120"/>
        <w:rPr>
          <w:rFonts w:ascii="宋体" w:hAnsi="宋体" w:eastAsia="宋体"/>
          <w:color w:val="auto"/>
          <w:highlight w:val="none"/>
        </w:rPr>
      </w:pPr>
    </w:p>
    <w:p>
      <w:pPr>
        <w:spacing w:after="120"/>
        <w:rPr>
          <w:rFonts w:ascii="宋体" w:hAnsi="宋体" w:eastAsia="宋体"/>
          <w:color w:val="auto"/>
          <w:highlight w:val="none"/>
        </w:rPr>
      </w:pPr>
    </w:p>
    <w:p>
      <w:pPr>
        <w:spacing w:after="120" w:line="360" w:lineRule="auto"/>
        <w:ind w:left="1320" w:leftChars="600" w:firstLine="480" w:firstLineChars="200"/>
        <w:rPr>
          <w:rFonts w:ascii="宋体" w:hAnsi="宋体" w:eastAsia="宋体"/>
          <w:color w:val="auto"/>
          <w:sz w:val="24"/>
          <w:highlight w:val="none"/>
        </w:rPr>
      </w:pPr>
      <w:r>
        <w:rPr>
          <w:rFonts w:hint="eastAsia" w:ascii="宋体" w:hAnsi="宋体" w:eastAsia="宋体"/>
          <w:color w:val="auto"/>
          <w:sz w:val="24"/>
          <w:highlight w:val="none"/>
        </w:rPr>
        <w:t>供应商：</w:t>
      </w:r>
      <w:r>
        <w:rPr>
          <w:rFonts w:hint="eastAsia" w:ascii="宋体" w:hAnsi="宋体" w:eastAsia="宋体"/>
          <w:color w:val="auto"/>
          <w:sz w:val="24"/>
          <w:highlight w:val="none"/>
          <w:u w:val="single"/>
        </w:rPr>
        <w:t xml:space="preserve">           （单位名称并盖公章）               </w:t>
      </w:r>
    </w:p>
    <w:p>
      <w:pPr>
        <w:spacing w:after="120" w:line="360" w:lineRule="auto"/>
        <w:ind w:left="1320" w:leftChars="600" w:firstLine="480" w:firstLineChars="200"/>
        <w:rPr>
          <w:rFonts w:ascii="宋体" w:hAnsi="宋体" w:eastAsia="宋体"/>
          <w:color w:val="auto"/>
          <w:sz w:val="24"/>
          <w:highlight w:val="none"/>
          <w:u w:val="single"/>
        </w:rPr>
      </w:pPr>
      <w:r>
        <w:rPr>
          <w:rFonts w:hint="eastAsia" w:ascii="宋体" w:hAnsi="宋体" w:eastAsia="宋体"/>
          <w:color w:val="auto"/>
          <w:sz w:val="24"/>
          <w:highlight w:val="none"/>
        </w:rPr>
        <w:t xml:space="preserve">地址：      </w:t>
      </w:r>
      <w:r>
        <w:rPr>
          <w:rFonts w:hint="eastAsia" w:ascii="宋体" w:hAnsi="宋体" w:eastAsia="宋体" w:cs="宋体"/>
          <w:color w:val="auto"/>
          <w:sz w:val="24"/>
          <w:highlight w:val="none"/>
        </w:rPr>
        <w:t>邮编</w:t>
      </w:r>
      <w:r>
        <w:rPr>
          <w:rFonts w:hint="eastAsia" w:ascii="宋体" w:hAnsi="宋体" w:eastAsia="宋体"/>
          <w:color w:val="auto"/>
          <w:sz w:val="24"/>
          <w:highlight w:val="none"/>
        </w:rPr>
        <w:t>：</w:t>
      </w:r>
    </w:p>
    <w:p>
      <w:pPr>
        <w:spacing w:after="120" w:line="360" w:lineRule="auto"/>
        <w:ind w:left="1320" w:leftChars="600" w:firstLine="480" w:firstLineChars="200"/>
        <w:rPr>
          <w:rFonts w:ascii="宋体" w:hAnsi="宋体" w:eastAsia="宋体"/>
          <w:color w:val="auto"/>
          <w:sz w:val="24"/>
          <w:highlight w:val="none"/>
        </w:rPr>
      </w:pPr>
      <w:r>
        <w:rPr>
          <w:rFonts w:hint="eastAsia" w:ascii="宋体" w:hAnsi="宋体" w:eastAsia="宋体" w:cs="宋体"/>
          <w:color w:val="auto"/>
          <w:sz w:val="24"/>
          <w:highlight w:val="none"/>
        </w:rPr>
        <w:t>电话</w:t>
      </w:r>
      <w:r>
        <w:rPr>
          <w:rFonts w:hint="eastAsia" w:ascii="宋体" w:hAnsi="宋体" w:eastAsia="宋体"/>
          <w:color w:val="auto"/>
          <w:sz w:val="24"/>
          <w:highlight w:val="none"/>
        </w:rPr>
        <w:t xml:space="preserve">：      </w:t>
      </w:r>
      <w:r>
        <w:rPr>
          <w:rFonts w:hint="eastAsia" w:ascii="宋体" w:hAnsi="宋体" w:eastAsia="宋体" w:cs="宋体"/>
          <w:color w:val="auto"/>
          <w:sz w:val="24"/>
          <w:highlight w:val="none"/>
        </w:rPr>
        <w:t>传</w:t>
      </w:r>
      <w:r>
        <w:rPr>
          <w:rFonts w:hint="eastAsia" w:ascii="宋体" w:hAnsi="宋体" w:eastAsia="宋体"/>
          <w:color w:val="auto"/>
          <w:sz w:val="24"/>
          <w:highlight w:val="none"/>
        </w:rPr>
        <w:t>真：</w:t>
      </w:r>
    </w:p>
    <w:p>
      <w:pPr>
        <w:spacing w:after="120" w:line="360" w:lineRule="auto"/>
        <w:ind w:left="1320" w:leftChars="600" w:firstLine="480" w:firstLineChars="200"/>
        <w:rPr>
          <w:rFonts w:ascii="宋体" w:hAnsi="宋体" w:eastAsia="宋体"/>
          <w:color w:val="auto"/>
          <w:sz w:val="24"/>
          <w:highlight w:val="none"/>
        </w:rPr>
      </w:pPr>
      <w:r>
        <w:rPr>
          <w:rFonts w:hint="eastAsia" w:ascii="宋体" w:hAnsi="宋体" w:eastAsia="宋体"/>
          <w:color w:val="auto"/>
          <w:sz w:val="24"/>
          <w:highlight w:val="none"/>
        </w:rPr>
        <w:t>法定代表人或委托代理人：</w:t>
      </w:r>
      <w:r>
        <w:rPr>
          <w:rFonts w:hint="eastAsia" w:ascii="宋体" w:hAnsi="宋体" w:eastAsia="宋体"/>
          <w:color w:val="auto"/>
          <w:sz w:val="24"/>
          <w:highlight w:val="none"/>
          <w:u w:val="single"/>
        </w:rPr>
        <w:t xml:space="preserve">              （签字）        </w:t>
      </w:r>
    </w:p>
    <w:p>
      <w:pPr>
        <w:spacing w:after="120" w:line="360" w:lineRule="auto"/>
        <w:ind w:left="1320" w:leftChars="600" w:firstLine="480" w:firstLineChars="200"/>
        <w:rPr>
          <w:rFonts w:ascii="宋体" w:hAnsi="宋体" w:eastAsia="宋体"/>
          <w:color w:val="auto"/>
          <w:sz w:val="24"/>
          <w:highlight w:val="none"/>
        </w:rPr>
      </w:pPr>
      <w:r>
        <w:rPr>
          <w:rFonts w:hint="eastAsia" w:ascii="宋体" w:hAnsi="宋体" w:eastAsia="宋体"/>
          <w:color w:val="auto"/>
          <w:sz w:val="24"/>
          <w:highlight w:val="none"/>
        </w:rPr>
        <w:t>日期：  年  月  日</w:t>
      </w:r>
    </w:p>
    <w:p>
      <w:pPr>
        <w:spacing w:line="300" w:lineRule="auto"/>
        <w:rPr>
          <w:rFonts w:ascii="宋体" w:hAnsi="宋体" w:eastAsia="宋体"/>
          <w:b/>
          <w:bCs/>
          <w:color w:val="auto"/>
          <w:sz w:val="24"/>
          <w:highlight w:val="none"/>
        </w:rPr>
      </w:pPr>
      <w:r>
        <w:rPr>
          <w:rFonts w:ascii="宋体" w:hAnsi="宋体" w:eastAsia="宋体"/>
          <w:color w:val="auto"/>
          <w:szCs w:val="21"/>
          <w:highlight w:val="none"/>
        </w:rPr>
        <w:br w:type="page"/>
      </w:r>
      <w:r>
        <w:rPr>
          <w:rFonts w:hint="eastAsia" w:ascii="宋体" w:hAnsi="宋体" w:eastAsia="宋体"/>
          <w:b/>
          <w:bCs/>
          <w:color w:val="auto"/>
          <w:sz w:val="24"/>
          <w:highlight w:val="none"/>
        </w:rPr>
        <w:t>附件二：</w:t>
      </w:r>
    </w:p>
    <w:p>
      <w:pPr>
        <w:spacing w:beforeLines="50" w:afterLines="50" w:line="600" w:lineRule="exact"/>
        <w:jc w:val="center"/>
        <w:rPr>
          <w:rFonts w:ascii="宋体" w:hAnsi="宋体" w:eastAsia="宋体"/>
          <w:b/>
          <w:bCs/>
          <w:color w:val="auto"/>
          <w:sz w:val="32"/>
          <w:szCs w:val="32"/>
          <w:highlight w:val="none"/>
        </w:rPr>
      </w:pPr>
      <w:bookmarkStart w:id="96" w:name="_Toc246095476"/>
      <w:bookmarkStart w:id="97" w:name="_Toc246095538"/>
      <w:bookmarkStart w:id="98" w:name="_Toc246094932"/>
      <w:r>
        <w:rPr>
          <w:rFonts w:hint="eastAsia" w:ascii="宋体" w:hAnsi="宋体" w:eastAsia="宋体"/>
          <w:b/>
          <w:bCs/>
          <w:color w:val="auto"/>
          <w:sz w:val="32"/>
          <w:szCs w:val="32"/>
          <w:highlight w:val="none"/>
        </w:rPr>
        <w:t>谈判书</w:t>
      </w:r>
      <w:bookmarkEnd w:id="96"/>
      <w:bookmarkEnd w:id="97"/>
      <w:bookmarkEnd w:id="98"/>
    </w:p>
    <w:p>
      <w:pPr>
        <w:spacing w:after="0" w:line="420" w:lineRule="exact"/>
        <w:rPr>
          <w:rFonts w:ascii="宋体" w:hAnsi="宋体" w:eastAsia="宋体"/>
          <w:color w:val="auto"/>
          <w:sz w:val="24"/>
          <w:highlight w:val="none"/>
          <w:u w:val="single"/>
        </w:rPr>
      </w:pPr>
      <w:r>
        <w:rPr>
          <w:rFonts w:hint="eastAsia" w:ascii="宋体" w:hAnsi="宋体" w:eastAsia="宋体"/>
          <w:color w:val="auto"/>
          <w:sz w:val="24"/>
          <w:highlight w:val="none"/>
        </w:rPr>
        <w:t>致：(采购代理机构)</w:t>
      </w:r>
    </w:p>
    <w:p>
      <w:pPr>
        <w:spacing w:after="0" w:line="42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根据贵方的</w:t>
      </w:r>
      <w:r>
        <w:rPr>
          <w:rFonts w:hint="eastAsia" w:ascii="宋体" w:hAnsi="宋体" w:eastAsia="宋体" w:cs="Arial"/>
          <w:color w:val="auto"/>
          <w:sz w:val="24"/>
          <w:highlight w:val="none"/>
          <w:u w:val="single"/>
        </w:rPr>
        <w:t xml:space="preserve">   （项目名称） （采购编号：     ）  </w:t>
      </w:r>
      <w:r>
        <w:rPr>
          <w:rFonts w:hint="eastAsia" w:ascii="宋体" w:hAnsi="宋体" w:eastAsia="宋体" w:cs="Arial"/>
          <w:color w:val="auto"/>
          <w:sz w:val="24"/>
          <w:highlight w:val="none"/>
        </w:rPr>
        <w:t>项目政府采购的谈判邀请，我方授权代表</w:t>
      </w:r>
      <w:r>
        <w:rPr>
          <w:rFonts w:hint="eastAsia" w:ascii="宋体" w:hAnsi="宋体" w:eastAsia="宋体" w:cs="Arial"/>
          <w:color w:val="auto"/>
          <w:sz w:val="24"/>
          <w:highlight w:val="none"/>
          <w:u w:val="single"/>
        </w:rPr>
        <w:t xml:space="preserve">         （姓名和职务）</w:t>
      </w:r>
      <w:r>
        <w:rPr>
          <w:rFonts w:hint="eastAsia" w:ascii="宋体" w:hAnsi="宋体" w:eastAsia="宋体" w:cs="Arial"/>
          <w:color w:val="auto"/>
          <w:sz w:val="24"/>
          <w:highlight w:val="none"/>
        </w:rPr>
        <w:t>经正式授权并代表供应商</w:t>
      </w:r>
      <w:r>
        <w:rPr>
          <w:rFonts w:hint="eastAsia" w:ascii="宋体" w:hAnsi="宋体" w:eastAsia="宋体" w:cs="Arial"/>
          <w:color w:val="auto"/>
          <w:sz w:val="24"/>
          <w:highlight w:val="none"/>
          <w:u w:val="single"/>
        </w:rPr>
        <w:t xml:space="preserve">    （供应商名称）   </w:t>
      </w:r>
      <w:r>
        <w:rPr>
          <w:rFonts w:hint="eastAsia" w:ascii="宋体" w:hAnsi="宋体" w:eastAsia="宋体" w:cs="Arial"/>
          <w:color w:val="auto"/>
          <w:sz w:val="24"/>
          <w:highlight w:val="none"/>
        </w:rPr>
        <w:t>提交响应文件正本一份、副本份。</w:t>
      </w:r>
    </w:p>
    <w:p>
      <w:pPr>
        <w:spacing w:after="0" w:line="42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在此，授权代表宣布同意如下：</w:t>
      </w:r>
    </w:p>
    <w:p>
      <w:pPr>
        <w:spacing w:after="0" w:line="42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1．供应商已详细审查全部“竞争性谈判文件”，包括修改文件（如有的话）以及全部参考资料和有关附件，已经了解我方对于谈判文件、采购过程、采购结果有依法进行询问、质疑、投诉的权利及相关渠道和要求。</w:t>
      </w:r>
    </w:p>
    <w:p>
      <w:pPr>
        <w:spacing w:after="0" w:line="42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2．供应商在谈判之前已经与贵方进行了充分的沟通，完全理解并接受谈判文件的各项规定和要求，对谈判文件的合理性、合法性不再有异议。</w:t>
      </w:r>
    </w:p>
    <w:p>
      <w:pPr>
        <w:spacing w:after="0" w:line="42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3．本次响应文件有效期</w:t>
      </w:r>
      <w:r>
        <w:rPr>
          <w:rFonts w:hint="eastAsia" w:ascii="宋体" w:hAnsi="宋体" w:eastAsia="宋体" w:cs="宋体"/>
          <w:color w:val="auto"/>
          <w:sz w:val="24"/>
          <w:highlight w:val="none"/>
        </w:rPr>
        <w:t>自响应文件提交截止之日起天（日历天）</w:t>
      </w:r>
      <w:r>
        <w:rPr>
          <w:rFonts w:hint="eastAsia" w:ascii="宋体" w:hAnsi="宋体" w:eastAsia="宋体" w:cs="Arial"/>
          <w:color w:val="auto"/>
          <w:sz w:val="24"/>
          <w:highlight w:val="none"/>
        </w:rPr>
        <w:t>内。</w:t>
      </w:r>
    </w:p>
    <w:p>
      <w:pPr>
        <w:spacing w:after="0" w:line="42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4．如成交，供应商将按“竞争性谈判文件”及政府采购法律、法规的规定履行合同责任和义务。</w:t>
      </w:r>
    </w:p>
    <w:p>
      <w:pPr>
        <w:spacing w:after="0" w:line="42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5．供应商同意按照贵方要求提供与谈判有关的一切数据或资料。</w:t>
      </w:r>
    </w:p>
    <w:p>
      <w:pPr>
        <w:autoSpaceDE w:val="0"/>
        <w:spacing w:after="0" w:line="42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6. 本项目谈判保证金请退回如下账号：</w:t>
      </w:r>
    </w:p>
    <w:tbl>
      <w:tblPr>
        <w:tblStyle w:val="38"/>
        <w:tblW w:w="8984" w:type="dxa"/>
        <w:jc w:val="center"/>
        <w:tblLayout w:type="fixed"/>
        <w:tblCellMar>
          <w:top w:w="0" w:type="dxa"/>
          <w:left w:w="108" w:type="dxa"/>
          <w:bottom w:w="0" w:type="dxa"/>
          <w:right w:w="108" w:type="dxa"/>
        </w:tblCellMar>
      </w:tblPr>
      <w:tblGrid>
        <w:gridCol w:w="3533"/>
        <w:gridCol w:w="1731"/>
        <w:gridCol w:w="1860"/>
        <w:gridCol w:w="1860"/>
      </w:tblGrid>
      <w:tr>
        <w:tblPrEx>
          <w:tblCellMar>
            <w:top w:w="0" w:type="dxa"/>
            <w:left w:w="108" w:type="dxa"/>
            <w:bottom w:w="0" w:type="dxa"/>
            <w:right w:w="108" w:type="dxa"/>
          </w:tblCellMar>
        </w:tblPrEx>
        <w:trPr>
          <w:cantSplit/>
          <w:trHeight w:val="601" w:hRule="atLeast"/>
          <w:jc w:val="center"/>
        </w:trPr>
        <w:tc>
          <w:tcPr>
            <w:tcW w:w="3533" w:type="dxa"/>
            <w:tcBorders>
              <w:top w:val="single" w:color="000000" w:sz="4" w:space="0"/>
              <w:left w:val="single" w:color="000000" w:sz="4" w:space="0"/>
              <w:bottom w:val="single" w:color="000000" w:sz="4" w:space="0"/>
            </w:tcBorders>
            <w:vAlign w:val="center"/>
          </w:tcPr>
          <w:p>
            <w:pPr>
              <w:spacing w:after="0" w:line="420" w:lineRule="exact"/>
              <w:jc w:val="center"/>
              <w:rPr>
                <w:rFonts w:ascii="宋体" w:hAnsi="宋体" w:eastAsia="宋体" w:cs="Arial"/>
                <w:color w:val="auto"/>
                <w:sz w:val="24"/>
                <w:highlight w:val="none"/>
              </w:rPr>
            </w:pPr>
            <w:r>
              <w:rPr>
                <w:rFonts w:hint="eastAsia" w:ascii="宋体" w:hAnsi="宋体" w:eastAsia="宋体" w:cs="Arial"/>
                <w:color w:val="auto"/>
                <w:sz w:val="24"/>
                <w:highlight w:val="none"/>
              </w:rPr>
              <w:t>供应商（收款单位）名称</w:t>
            </w:r>
          </w:p>
        </w:tc>
        <w:tc>
          <w:tcPr>
            <w:tcW w:w="5451" w:type="dxa"/>
            <w:gridSpan w:val="3"/>
            <w:tcBorders>
              <w:top w:val="single" w:color="000000" w:sz="4" w:space="0"/>
              <w:left w:val="single" w:color="000000" w:sz="4" w:space="0"/>
              <w:bottom w:val="single" w:color="000000" w:sz="4" w:space="0"/>
              <w:right w:val="single" w:color="000000" w:sz="4" w:space="0"/>
            </w:tcBorders>
            <w:vAlign w:val="center"/>
          </w:tcPr>
          <w:p>
            <w:pPr>
              <w:spacing w:after="0" w:line="420" w:lineRule="exact"/>
              <w:jc w:val="center"/>
              <w:rPr>
                <w:rFonts w:ascii="宋体" w:hAnsi="宋体" w:eastAsia="宋体" w:cs="Arial"/>
                <w:color w:val="auto"/>
                <w:sz w:val="24"/>
                <w:highlight w:val="none"/>
              </w:rPr>
            </w:pPr>
          </w:p>
        </w:tc>
      </w:tr>
      <w:tr>
        <w:tblPrEx>
          <w:tblCellMar>
            <w:top w:w="0" w:type="dxa"/>
            <w:left w:w="108" w:type="dxa"/>
            <w:bottom w:w="0" w:type="dxa"/>
            <w:right w:w="108" w:type="dxa"/>
          </w:tblCellMar>
        </w:tblPrEx>
        <w:trPr>
          <w:cantSplit/>
          <w:trHeight w:val="601" w:hRule="atLeast"/>
          <w:jc w:val="center"/>
        </w:trPr>
        <w:tc>
          <w:tcPr>
            <w:tcW w:w="3533" w:type="dxa"/>
            <w:tcBorders>
              <w:top w:val="single" w:color="000000" w:sz="4" w:space="0"/>
              <w:left w:val="single" w:color="000000" w:sz="4" w:space="0"/>
              <w:bottom w:val="single" w:color="000000" w:sz="4" w:space="0"/>
            </w:tcBorders>
            <w:vAlign w:val="center"/>
          </w:tcPr>
          <w:p>
            <w:pPr>
              <w:spacing w:after="0" w:line="420" w:lineRule="exact"/>
              <w:jc w:val="center"/>
              <w:rPr>
                <w:rFonts w:ascii="宋体" w:hAnsi="宋体" w:eastAsia="宋体" w:cs="Arial"/>
                <w:color w:val="auto"/>
                <w:sz w:val="24"/>
                <w:highlight w:val="none"/>
              </w:rPr>
            </w:pPr>
            <w:r>
              <w:rPr>
                <w:rFonts w:hint="eastAsia" w:ascii="宋体" w:hAnsi="宋体" w:eastAsia="宋体" w:cs="Arial"/>
                <w:color w:val="auto"/>
                <w:sz w:val="24"/>
                <w:highlight w:val="none"/>
              </w:rPr>
              <w:t>供应商地址</w:t>
            </w:r>
          </w:p>
        </w:tc>
        <w:tc>
          <w:tcPr>
            <w:tcW w:w="5451" w:type="dxa"/>
            <w:gridSpan w:val="3"/>
            <w:tcBorders>
              <w:top w:val="single" w:color="000000" w:sz="4" w:space="0"/>
              <w:left w:val="single" w:color="000000" w:sz="4" w:space="0"/>
              <w:bottom w:val="single" w:color="000000" w:sz="4" w:space="0"/>
              <w:right w:val="single" w:color="000000" w:sz="4" w:space="0"/>
            </w:tcBorders>
            <w:vAlign w:val="center"/>
          </w:tcPr>
          <w:p>
            <w:pPr>
              <w:spacing w:after="0" w:line="420" w:lineRule="exact"/>
              <w:jc w:val="center"/>
              <w:rPr>
                <w:rFonts w:ascii="宋体" w:hAnsi="宋体" w:eastAsia="宋体" w:cs="Arial"/>
                <w:color w:val="auto"/>
                <w:sz w:val="24"/>
                <w:highlight w:val="none"/>
              </w:rPr>
            </w:pPr>
          </w:p>
        </w:tc>
      </w:tr>
      <w:tr>
        <w:tblPrEx>
          <w:tblCellMar>
            <w:top w:w="0" w:type="dxa"/>
            <w:left w:w="108" w:type="dxa"/>
            <w:bottom w:w="0" w:type="dxa"/>
            <w:right w:w="108" w:type="dxa"/>
          </w:tblCellMar>
        </w:tblPrEx>
        <w:trPr>
          <w:cantSplit/>
          <w:trHeight w:val="601" w:hRule="atLeast"/>
          <w:jc w:val="center"/>
        </w:trPr>
        <w:tc>
          <w:tcPr>
            <w:tcW w:w="3533" w:type="dxa"/>
            <w:tcBorders>
              <w:top w:val="single" w:color="000000" w:sz="4" w:space="0"/>
              <w:left w:val="single" w:color="000000" w:sz="4" w:space="0"/>
              <w:bottom w:val="single" w:color="000000" w:sz="4" w:space="0"/>
            </w:tcBorders>
            <w:vAlign w:val="center"/>
          </w:tcPr>
          <w:p>
            <w:pPr>
              <w:spacing w:after="0" w:line="420" w:lineRule="exact"/>
              <w:jc w:val="center"/>
              <w:rPr>
                <w:rFonts w:ascii="宋体" w:hAnsi="宋体" w:eastAsia="宋体" w:cs="Arial"/>
                <w:color w:val="auto"/>
                <w:sz w:val="24"/>
                <w:highlight w:val="none"/>
              </w:rPr>
            </w:pPr>
            <w:r>
              <w:rPr>
                <w:rFonts w:hint="eastAsia" w:ascii="宋体" w:hAnsi="宋体" w:eastAsia="宋体" w:cs="Arial"/>
                <w:color w:val="auto"/>
                <w:sz w:val="24"/>
                <w:highlight w:val="none"/>
              </w:rPr>
              <w:t>开户银行</w:t>
            </w:r>
          </w:p>
        </w:tc>
        <w:tc>
          <w:tcPr>
            <w:tcW w:w="5451" w:type="dxa"/>
            <w:gridSpan w:val="3"/>
            <w:tcBorders>
              <w:top w:val="single" w:color="000000" w:sz="4" w:space="0"/>
              <w:left w:val="single" w:color="000000" w:sz="4" w:space="0"/>
              <w:bottom w:val="single" w:color="000000" w:sz="4" w:space="0"/>
              <w:right w:val="single" w:color="000000" w:sz="4" w:space="0"/>
            </w:tcBorders>
            <w:vAlign w:val="center"/>
          </w:tcPr>
          <w:p>
            <w:pPr>
              <w:spacing w:after="0" w:line="420" w:lineRule="exact"/>
              <w:jc w:val="center"/>
              <w:rPr>
                <w:rFonts w:ascii="宋体" w:hAnsi="宋体" w:eastAsia="宋体" w:cs="Arial"/>
                <w:color w:val="auto"/>
                <w:sz w:val="24"/>
                <w:highlight w:val="none"/>
              </w:rPr>
            </w:pPr>
          </w:p>
        </w:tc>
      </w:tr>
      <w:tr>
        <w:tblPrEx>
          <w:tblCellMar>
            <w:top w:w="0" w:type="dxa"/>
            <w:left w:w="108" w:type="dxa"/>
            <w:bottom w:w="0" w:type="dxa"/>
            <w:right w:w="108" w:type="dxa"/>
          </w:tblCellMar>
        </w:tblPrEx>
        <w:trPr>
          <w:cantSplit/>
          <w:trHeight w:val="601" w:hRule="atLeast"/>
          <w:jc w:val="center"/>
        </w:trPr>
        <w:tc>
          <w:tcPr>
            <w:tcW w:w="3533" w:type="dxa"/>
            <w:tcBorders>
              <w:top w:val="single" w:color="000000" w:sz="4" w:space="0"/>
              <w:left w:val="single" w:color="000000" w:sz="4" w:space="0"/>
              <w:bottom w:val="single" w:color="000000" w:sz="4" w:space="0"/>
            </w:tcBorders>
            <w:vAlign w:val="center"/>
          </w:tcPr>
          <w:p>
            <w:pPr>
              <w:spacing w:after="0" w:line="420" w:lineRule="exact"/>
              <w:jc w:val="center"/>
              <w:rPr>
                <w:rFonts w:ascii="宋体" w:hAnsi="宋体" w:eastAsia="宋体" w:cs="Arial"/>
                <w:color w:val="auto"/>
                <w:sz w:val="24"/>
                <w:highlight w:val="none"/>
              </w:rPr>
            </w:pPr>
            <w:r>
              <w:rPr>
                <w:rFonts w:hint="eastAsia" w:ascii="宋体" w:hAnsi="宋体" w:eastAsia="宋体" w:cs="Arial"/>
                <w:color w:val="auto"/>
                <w:sz w:val="24"/>
                <w:highlight w:val="none"/>
              </w:rPr>
              <w:t>账    号</w:t>
            </w:r>
          </w:p>
        </w:tc>
        <w:tc>
          <w:tcPr>
            <w:tcW w:w="5451" w:type="dxa"/>
            <w:gridSpan w:val="3"/>
            <w:tcBorders>
              <w:top w:val="single" w:color="000000" w:sz="4" w:space="0"/>
              <w:left w:val="single" w:color="000000" w:sz="4" w:space="0"/>
              <w:bottom w:val="single" w:color="000000" w:sz="4" w:space="0"/>
              <w:right w:val="single" w:color="000000" w:sz="4" w:space="0"/>
            </w:tcBorders>
            <w:vAlign w:val="center"/>
          </w:tcPr>
          <w:p>
            <w:pPr>
              <w:spacing w:after="0" w:line="420" w:lineRule="exact"/>
              <w:jc w:val="center"/>
              <w:rPr>
                <w:rFonts w:ascii="宋体" w:hAnsi="宋体" w:eastAsia="宋体" w:cs="Arial"/>
                <w:color w:val="auto"/>
                <w:sz w:val="24"/>
                <w:highlight w:val="none"/>
              </w:rPr>
            </w:pPr>
          </w:p>
        </w:tc>
      </w:tr>
      <w:tr>
        <w:tblPrEx>
          <w:tblCellMar>
            <w:top w:w="0" w:type="dxa"/>
            <w:left w:w="108" w:type="dxa"/>
            <w:bottom w:w="0" w:type="dxa"/>
            <w:right w:w="108" w:type="dxa"/>
          </w:tblCellMar>
        </w:tblPrEx>
        <w:trPr>
          <w:cantSplit/>
          <w:trHeight w:val="601" w:hRule="atLeast"/>
          <w:jc w:val="center"/>
        </w:trPr>
        <w:tc>
          <w:tcPr>
            <w:tcW w:w="3533" w:type="dxa"/>
            <w:tcBorders>
              <w:top w:val="single" w:color="000000" w:sz="4" w:space="0"/>
              <w:left w:val="single" w:color="000000" w:sz="4" w:space="0"/>
              <w:bottom w:val="single" w:color="000000" w:sz="4" w:space="0"/>
            </w:tcBorders>
            <w:vAlign w:val="center"/>
          </w:tcPr>
          <w:p>
            <w:pPr>
              <w:spacing w:after="0" w:line="420" w:lineRule="exact"/>
              <w:jc w:val="center"/>
              <w:rPr>
                <w:rFonts w:ascii="宋体" w:hAnsi="宋体" w:eastAsia="宋体" w:cs="Arial"/>
                <w:color w:val="auto"/>
                <w:sz w:val="24"/>
                <w:highlight w:val="none"/>
              </w:rPr>
            </w:pPr>
            <w:r>
              <w:rPr>
                <w:rFonts w:hint="eastAsia" w:ascii="宋体" w:hAnsi="宋体" w:eastAsia="宋体" w:cs="Arial"/>
                <w:color w:val="auto"/>
                <w:sz w:val="24"/>
                <w:highlight w:val="none"/>
              </w:rPr>
              <w:t>联 系 人</w:t>
            </w:r>
          </w:p>
        </w:tc>
        <w:tc>
          <w:tcPr>
            <w:tcW w:w="1731" w:type="dxa"/>
            <w:tcBorders>
              <w:top w:val="single" w:color="000000" w:sz="4" w:space="0"/>
              <w:left w:val="single" w:color="000000" w:sz="4" w:space="0"/>
              <w:bottom w:val="single" w:color="000000" w:sz="4" w:space="0"/>
            </w:tcBorders>
            <w:vAlign w:val="center"/>
          </w:tcPr>
          <w:p>
            <w:pPr>
              <w:spacing w:after="0" w:line="420" w:lineRule="exact"/>
              <w:jc w:val="center"/>
              <w:rPr>
                <w:rFonts w:ascii="宋体" w:hAnsi="宋体" w:eastAsia="宋体" w:cs="Arial"/>
                <w:color w:val="auto"/>
                <w:sz w:val="24"/>
                <w:highlight w:val="none"/>
              </w:rPr>
            </w:pPr>
          </w:p>
        </w:tc>
        <w:tc>
          <w:tcPr>
            <w:tcW w:w="1860" w:type="dxa"/>
            <w:tcBorders>
              <w:top w:val="single" w:color="000000" w:sz="4" w:space="0"/>
              <w:left w:val="single" w:color="000000" w:sz="4" w:space="0"/>
              <w:bottom w:val="single" w:color="000000" w:sz="4" w:space="0"/>
            </w:tcBorders>
            <w:vAlign w:val="center"/>
          </w:tcPr>
          <w:p>
            <w:pPr>
              <w:spacing w:after="0" w:line="420" w:lineRule="exact"/>
              <w:jc w:val="center"/>
              <w:rPr>
                <w:rFonts w:ascii="宋体" w:hAnsi="宋体" w:eastAsia="宋体" w:cs="Arial"/>
                <w:color w:val="auto"/>
                <w:sz w:val="24"/>
                <w:highlight w:val="none"/>
              </w:rPr>
            </w:pPr>
            <w:r>
              <w:rPr>
                <w:rFonts w:hint="eastAsia" w:ascii="宋体" w:hAnsi="宋体" w:eastAsia="宋体" w:cs="Arial"/>
                <w:color w:val="auto"/>
                <w:sz w:val="24"/>
                <w:highlight w:val="none"/>
              </w:rPr>
              <w:t>联系电话</w:t>
            </w:r>
          </w:p>
        </w:tc>
        <w:tc>
          <w:tcPr>
            <w:tcW w:w="1860" w:type="dxa"/>
            <w:tcBorders>
              <w:top w:val="single" w:color="000000" w:sz="4" w:space="0"/>
              <w:left w:val="single" w:color="000000" w:sz="4" w:space="0"/>
              <w:bottom w:val="single" w:color="000000" w:sz="4" w:space="0"/>
              <w:right w:val="single" w:color="000000" w:sz="4" w:space="0"/>
            </w:tcBorders>
            <w:vAlign w:val="center"/>
          </w:tcPr>
          <w:p>
            <w:pPr>
              <w:spacing w:after="0" w:line="420" w:lineRule="exact"/>
              <w:jc w:val="center"/>
              <w:rPr>
                <w:rFonts w:ascii="宋体" w:hAnsi="宋体" w:eastAsia="宋体" w:cs="Arial"/>
                <w:color w:val="auto"/>
                <w:sz w:val="24"/>
                <w:highlight w:val="none"/>
              </w:rPr>
            </w:pPr>
          </w:p>
        </w:tc>
      </w:tr>
    </w:tbl>
    <w:p>
      <w:pPr>
        <w:spacing w:after="0" w:line="42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7．与本次谈判有关的一切正式往来信函请寄：</w:t>
      </w:r>
    </w:p>
    <w:p>
      <w:pPr>
        <w:spacing w:after="0" w:line="420" w:lineRule="exact"/>
        <w:ind w:left="1320" w:leftChars="600" w:firstLine="480" w:firstLineChars="200"/>
        <w:rPr>
          <w:rFonts w:ascii="宋体" w:hAnsi="宋体" w:eastAsia="宋体"/>
          <w:color w:val="auto"/>
          <w:sz w:val="24"/>
          <w:highlight w:val="none"/>
        </w:rPr>
      </w:pPr>
    </w:p>
    <w:p>
      <w:pPr>
        <w:spacing w:after="0" w:line="420" w:lineRule="exact"/>
        <w:ind w:left="1320" w:leftChars="600" w:firstLine="480" w:firstLineChars="200"/>
        <w:rPr>
          <w:rFonts w:ascii="宋体" w:hAnsi="宋体" w:eastAsia="宋体"/>
          <w:color w:val="auto"/>
          <w:sz w:val="24"/>
          <w:highlight w:val="none"/>
        </w:rPr>
      </w:pPr>
      <w:r>
        <w:rPr>
          <w:rFonts w:hint="eastAsia" w:ascii="宋体" w:hAnsi="宋体" w:eastAsia="宋体"/>
          <w:color w:val="auto"/>
          <w:sz w:val="24"/>
          <w:highlight w:val="none"/>
        </w:rPr>
        <w:t>供应商：</w:t>
      </w:r>
      <w:r>
        <w:rPr>
          <w:rFonts w:hint="eastAsia" w:ascii="宋体" w:hAnsi="宋体" w:eastAsia="宋体"/>
          <w:color w:val="auto"/>
          <w:sz w:val="24"/>
          <w:highlight w:val="none"/>
          <w:u w:val="single"/>
        </w:rPr>
        <w:t xml:space="preserve">      （单位名称并盖公章）                 </w:t>
      </w:r>
    </w:p>
    <w:p>
      <w:pPr>
        <w:spacing w:after="0" w:line="420" w:lineRule="exact"/>
        <w:ind w:left="1320" w:leftChars="600" w:firstLine="480" w:firstLineChars="200"/>
        <w:rPr>
          <w:rFonts w:ascii="宋体" w:hAnsi="宋体" w:eastAsia="宋体"/>
          <w:color w:val="auto"/>
          <w:sz w:val="24"/>
          <w:highlight w:val="none"/>
        </w:rPr>
      </w:pPr>
      <w:r>
        <w:rPr>
          <w:rFonts w:hint="eastAsia" w:ascii="宋体" w:hAnsi="宋体" w:eastAsia="宋体"/>
          <w:color w:val="auto"/>
          <w:sz w:val="24"/>
          <w:highlight w:val="none"/>
        </w:rPr>
        <w:t xml:space="preserve">地址：       邮编：          </w:t>
      </w:r>
    </w:p>
    <w:p>
      <w:pPr>
        <w:spacing w:after="0" w:line="420" w:lineRule="exact"/>
        <w:ind w:left="1320" w:leftChars="600" w:firstLine="480" w:firstLineChars="200"/>
        <w:rPr>
          <w:rFonts w:ascii="宋体" w:hAnsi="宋体" w:eastAsia="宋体"/>
          <w:color w:val="auto"/>
          <w:sz w:val="24"/>
          <w:highlight w:val="none"/>
        </w:rPr>
      </w:pPr>
      <w:r>
        <w:rPr>
          <w:rFonts w:hint="eastAsia" w:ascii="宋体" w:hAnsi="宋体" w:eastAsia="宋体"/>
          <w:color w:val="auto"/>
          <w:sz w:val="24"/>
          <w:highlight w:val="none"/>
        </w:rPr>
        <w:t>电话：       传真：</w:t>
      </w:r>
    </w:p>
    <w:p>
      <w:pPr>
        <w:spacing w:after="0" w:line="420" w:lineRule="exact"/>
        <w:ind w:left="1320" w:leftChars="600" w:firstLine="480" w:firstLineChars="200"/>
        <w:rPr>
          <w:rFonts w:ascii="宋体" w:hAnsi="宋体" w:eastAsia="宋体"/>
          <w:color w:val="auto"/>
          <w:sz w:val="24"/>
          <w:highlight w:val="none"/>
        </w:rPr>
      </w:pPr>
      <w:r>
        <w:rPr>
          <w:rFonts w:hint="eastAsia" w:ascii="宋体" w:hAnsi="宋体" w:eastAsia="宋体"/>
          <w:color w:val="auto"/>
          <w:sz w:val="24"/>
          <w:highlight w:val="none"/>
        </w:rPr>
        <w:t>法定代表人或委托代理人：</w:t>
      </w:r>
      <w:r>
        <w:rPr>
          <w:rFonts w:hint="eastAsia" w:ascii="宋体" w:hAnsi="宋体" w:eastAsia="宋体"/>
          <w:color w:val="auto"/>
          <w:sz w:val="24"/>
          <w:highlight w:val="none"/>
          <w:u w:val="single"/>
        </w:rPr>
        <w:t xml:space="preserve">          （签字）        </w:t>
      </w:r>
    </w:p>
    <w:p>
      <w:pPr>
        <w:spacing w:after="0" w:line="420" w:lineRule="exact"/>
        <w:ind w:left="1320" w:leftChars="600" w:firstLine="480" w:firstLineChars="200"/>
        <w:rPr>
          <w:rFonts w:ascii="宋体" w:hAnsi="宋体" w:eastAsia="宋体"/>
          <w:color w:val="auto"/>
          <w:sz w:val="24"/>
          <w:highlight w:val="none"/>
        </w:rPr>
      </w:pPr>
      <w:r>
        <w:rPr>
          <w:rFonts w:hint="eastAsia" w:ascii="宋体" w:hAnsi="宋体" w:eastAsia="宋体"/>
          <w:color w:val="auto"/>
          <w:sz w:val="24"/>
          <w:highlight w:val="none"/>
        </w:rPr>
        <w:t>日期：  年  月  日</w:t>
      </w:r>
    </w:p>
    <w:p>
      <w:pPr>
        <w:spacing w:after="0" w:line="420" w:lineRule="exact"/>
        <w:ind w:left="1320" w:leftChars="600" w:firstLine="480" w:firstLineChars="200"/>
        <w:rPr>
          <w:rFonts w:ascii="宋体" w:hAnsi="宋体" w:eastAsia="宋体"/>
          <w:color w:val="auto"/>
          <w:sz w:val="24"/>
          <w:highlight w:val="none"/>
        </w:rPr>
      </w:pPr>
    </w:p>
    <w:p>
      <w:pPr>
        <w:spacing w:after="0" w:line="420" w:lineRule="exact"/>
        <w:rPr>
          <w:rFonts w:ascii="宋体" w:hAnsi="宋体" w:eastAsia="宋体"/>
          <w:b/>
          <w:color w:val="auto"/>
          <w:sz w:val="24"/>
          <w:highlight w:val="none"/>
        </w:rPr>
      </w:pPr>
      <w:bookmarkStart w:id="99" w:name="_Toc405196519"/>
      <w:r>
        <w:rPr>
          <w:rFonts w:hint="eastAsia" w:ascii="宋体" w:hAnsi="宋体" w:eastAsia="宋体"/>
          <w:color w:val="auto"/>
          <w:highlight w:val="none"/>
        </w:rPr>
        <w:br w:type="page"/>
      </w:r>
      <w:r>
        <w:rPr>
          <w:rFonts w:hint="eastAsia" w:ascii="宋体" w:hAnsi="宋体" w:eastAsia="宋体"/>
          <w:b/>
          <w:color w:val="auto"/>
          <w:sz w:val="24"/>
          <w:highlight w:val="none"/>
        </w:rPr>
        <w:t>附件三：</w:t>
      </w:r>
    </w:p>
    <w:bookmarkEnd w:id="99"/>
    <w:p>
      <w:pPr>
        <w:spacing w:beforeLines="50" w:afterLines="50" w:line="600" w:lineRule="exact"/>
        <w:jc w:val="center"/>
        <w:rPr>
          <w:rFonts w:ascii="宋体" w:hAnsi="宋体" w:eastAsia="宋体"/>
          <w:b/>
          <w:bCs/>
          <w:color w:val="auto"/>
          <w:sz w:val="32"/>
          <w:szCs w:val="32"/>
          <w:highlight w:val="none"/>
        </w:rPr>
      </w:pPr>
      <w:r>
        <w:rPr>
          <w:rFonts w:hint="eastAsia" w:ascii="宋体" w:hAnsi="宋体" w:eastAsia="宋体"/>
          <w:b/>
          <w:bCs/>
          <w:color w:val="auto"/>
          <w:sz w:val="32"/>
          <w:szCs w:val="32"/>
          <w:highlight w:val="none"/>
        </w:rPr>
        <w:t>竞标声明书</w:t>
      </w:r>
    </w:p>
    <w:p>
      <w:pPr>
        <w:spacing w:after="0" w:line="400" w:lineRule="exact"/>
        <w:rPr>
          <w:rFonts w:ascii="宋体" w:hAnsi="宋体" w:eastAsia="宋体"/>
          <w:color w:val="auto"/>
          <w:sz w:val="24"/>
          <w:highlight w:val="none"/>
        </w:rPr>
      </w:pPr>
    </w:p>
    <w:p>
      <w:pPr>
        <w:spacing w:after="0" w:line="400" w:lineRule="exact"/>
        <w:rPr>
          <w:rFonts w:ascii="宋体" w:hAnsi="宋体" w:eastAsia="宋体"/>
          <w:color w:val="auto"/>
          <w:sz w:val="24"/>
          <w:szCs w:val="20"/>
          <w:highlight w:val="none"/>
        </w:rPr>
      </w:pPr>
      <w:r>
        <w:rPr>
          <w:rFonts w:hint="eastAsia" w:ascii="宋体" w:hAnsi="宋体" w:eastAsia="宋体"/>
          <w:color w:val="auto"/>
          <w:sz w:val="24"/>
          <w:highlight w:val="none"/>
        </w:rPr>
        <w:t>致：(采购代理机构)</w:t>
      </w:r>
    </w:p>
    <w:p>
      <w:pPr>
        <w:spacing w:after="0" w:line="400" w:lineRule="exact"/>
        <w:ind w:firstLine="720" w:firstLineChars="300"/>
        <w:rPr>
          <w:rFonts w:ascii="宋体" w:hAnsi="宋体" w:eastAsia="宋体"/>
          <w:color w:val="auto"/>
          <w:sz w:val="24"/>
          <w:szCs w:val="20"/>
          <w:highlight w:val="none"/>
        </w:rPr>
      </w:pPr>
      <w:r>
        <w:rPr>
          <w:rFonts w:hint="eastAsia" w:ascii="宋体" w:hAnsi="宋体" w:eastAsia="宋体"/>
          <w:color w:val="auto"/>
          <w:sz w:val="24"/>
          <w:highlight w:val="none"/>
          <w:u w:val="single"/>
        </w:rPr>
        <w:t>（供应商名称）</w:t>
      </w:r>
      <w:r>
        <w:rPr>
          <w:rFonts w:hint="eastAsia" w:ascii="宋体" w:hAnsi="宋体" w:eastAsia="宋体"/>
          <w:color w:val="auto"/>
          <w:sz w:val="24"/>
          <w:highlight w:val="none"/>
        </w:rPr>
        <w:t>系中华人民共和国合法企业，经营地址：。</w:t>
      </w:r>
    </w:p>
    <w:p>
      <w:pPr>
        <w:spacing w:after="0" w:line="400" w:lineRule="exact"/>
        <w:ind w:firstLine="480" w:firstLineChars="200"/>
        <w:rPr>
          <w:rFonts w:ascii="宋体" w:hAnsi="宋体" w:eastAsia="宋体"/>
          <w:color w:val="auto"/>
          <w:sz w:val="24"/>
          <w:szCs w:val="20"/>
          <w:highlight w:val="none"/>
        </w:rPr>
      </w:pPr>
      <w:r>
        <w:rPr>
          <w:rFonts w:hint="eastAsia" w:ascii="宋体" w:hAnsi="宋体" w:eastAsia="宋体"/>
          <w:color w:val="auto"/>
          <w:sz w:val="24"/>
          <w:highlight w:val="none"/>
        </w:rPr>
        <w:t>我</w:t>
      </w:r>
      <w:r>
        <w:rPr>
          <w:rFonts w:hint="eastAsia" w:ascii="宋体" w:hAnsi="宋体" w:eastAsia="宋体"/>
          <w:color w:val="auto"/>
          <w:sz w:val="24"/>
          <w:highlight w:val="none"/>
          <w:u w:val="single"/>
        </w:rPr>
        <w:t>（姓名）</w:t>
      </w:r>
      <w:r>
        <w:rPr>
          <w:rFonts w:hint="eastAsia" w:ascii="宋体" w:hAnsi="宋体" w:eastAsia="宋体"/>
          <w:color w:val="auto"/>
          <w:sz w:val="24"/>
          <w:highlight w:val="none"/>
        </w:rPr>
        <w:t>系</w:t>
      </w:r>
      <w:r>
        <w:rPr>
          <w:rFonts w:hint="eastAsia" w:ascii="宋体" w:hAnsi="宋体" w:eastAsia="宋体"/>
          <w:color w:val="auto"/>
          <w:sz w:val="24"/>
          <w:highlight w:val="none"/>
          <w:u w:val="single"/>
        </w:rPr>
        <w:t>（供应商名称）</w:t>
      </w:r>
      <w:r>
        <w:rPr>
          <w:rFonts w:hint="eastAsia" w:ascii="宋体" w:hAnsi="宋体" w:eastAsia="宋体"/>
          <w:color w:val="auto"/>
          <w:sz w:val="24"/>
          <w:highlight w:val="none"/>
        </w:rPr>
        <w:t>的法定代表人，我方愿意参加贵方组织的</w:t>
      </w:r>
      <w:r>
        <w:rPr>
          <w:rFonts w:hint="eastAsia" w:ascii="宋体" w:hAnsi="宋体" w:eastAsia="宋体"/>
          <w:color w:val="auto"/>
          <w:sz w:val="24"/>
          <w:highlight w:val="none"/>
          <w:u w:val="single"/>
        </w:rPr>
        <w:t xml:space="preserve">（项目名称）（采购编号：      </w:t>
      </w:r>
      <w:r>
        <w:rPr>
          <w:rFonts w:hint="eastAsia" w:ascii="宋体" w:hAnsi="宋体" w:eastAsia="宋体"/>
          <w:color w:val="auto"/>
          <w:sz w:val="24"/>
          <w:highlight w:val="none"/>
        </w:rPr>
        <w:t>）的竞标，为便于贵方公正、择优地确定成交人及其服务，我方就本次竞标有关事项郑重声明如下：</w:t>
      </w:r>
    </w:p>
    <w:p>
      <w:pPr>
        <w:spacing w:after="0" w:line="400" w:lineRule="exact"/>
        <w:ind w:firstLine="480" w:firstLineChars="200"/>
        <w:rPr>
          <w:rFonts w:ascii="宋体" w:hAnsi="宋体" w:eastAsia="宋体"/>
          <w:color w:val="auto"/>
          <w:sz w:val="24"/>
          <w:szCs w:val="20"/>
          <w:highlight w:val="none"/>
        </w:rPr>
      </w:pPr>
      <w:r>
        <w:rPr>
          <w:rFonts w:hint="eastAsia" w:ascii="宋体" w:hAnsi="宋体" w:eastAsia="宋体"/>
          <w:color w:val="auto"/>
          <w:sz w:val="24"/>
          <w:highlight w:val="none"/>
        </w:rPr>
        <w:t>1.我方向贵方提交的所有响应文件、资料都是准确的和真实的。</w:t>
      </w:r>
    </w:p>
    <w:p>
      <w:pPr>
        <w:spacing w:after="0" w:line="400" w:lineRule="exact"/>
        <w:ind w:firstLine="480" w:firstLineChars="200"/>
        <w:rPr>
          <w:rFonts w:ascii="宋体" w:hAnsi="宋体" w:eastAsia="宋体"/>
          <w:color w:val="auto"/>
          <w:sz w:val="24"/>
          <w:szCs w:val="20"/>
          <w:highlight w:val="none"/>
        </w:rPr>
      </w:pPr>
      <w:r>
        <w:rPr>
          <w:rFonts w:hint="eastAsia" w:ascii="宋体" w:hAnsi="宋体" w:eastAsia="宋体"/>
          <w:color w:val="auto"/>
          <w:sz w:val="24"/>
          <w:highlight w:val="none"/>
        </w:rPr>
        <w:t>2.我方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pPr>
        <w:spacing w:after="0" w:line="400" w:lineRule="exact"/>
        <w:ind w:firstLine="480" w:firstLineChars="200"/>
        <w:rPr>
          <w:rFonts w:ascii="宋体" w:hAnsi="宋体" w:eastAsia="宋体"/>
          <w:color w:val="auto"/>
          <w:sz w:val="24"/>
          <w:szCs w:val="20"/>
          <w:highlight w:val="none"/>
        </w:rPr>
      </w:pPr>
      <w:r>
        <w:rPr>
          <w:rFonts w:ascii="宋体" w:hAnsi="宋体" w:eastAsia="宋体"/>
          <w:color w:val="auto"/>
          <w:sz w:val="24"/>
          <w:szCs w:val="20"/>
          <w:highlight w:val="none"/>
        </w:rPr>
        <w:t>3</w:t>
      </w:r>
      <w:r>
        <w:rPr>
          <w:rFonts w:hint="eastAsia" w:ascii="宋体" w:hAnsi="宋体" w:eastAsia="宋体"/>
          <w:color w:val="auto"/>
          <w:sz w:val="24"/>
          <w:szCs w:val="20"/>
          <w:highlight w:val="none"/>
        </w:rPr>
        <w:t>.根据《中华人民共和国政府采购法实施条例》第五十条要求对政府采购合同进行公告，但政府采购合同中涉及国家秘密、商业秘密的内容除外。我方就对本次响应文件进行注明如下：（两项内容中必须选择一项）</w:t>
      </w:r>
    </w:p>
    <w:p>
      <w:pPr>
        <w:spacing w:after="0" w:line="400" w:lineRule="exact"/>
        <w:ind w:firstLine="480" w:firstLineChars="200"/>
        <w:rPr>
          <w:rFonts w:ascii="宋体" w:hAnsi="宋体" w:eastAsia="宋体"/>
          <w:color w:val="auto"/>
          <w:sz w:val="24"/>
          <w:szCs w:val="20"/>
          <w:highlight w:val="none"/>
        </w:rPr>
      </w:pPr>
      <w:r>
        <w:rPr>
          <w:rFonts w:hint="eastAsia" w:ascii="宋体" w:hAnsi="宋体" w:eastAsia="宋体"/>
          <w:color w:val="auto"/>
          <w:sz w:val="24"/>
          <w:szCs w:val="20"/>
          <w:highlight w:val="none"/>
        </w:rPr>
        <w:t>□我方本次响应文件</w:t>
      </w:r>
      <w:r>
        <w:rPr>
          <w:rFonts w:hint="eastAsia" w:ascii="宋体" w:hAnsi="宋体" w:eastAsia="宋体" w:cs="宋体"/>
          <w:color w:val="auto"/>
          <w:sz w:val="24"/>
          <w:highlight w:val="none"/>
        </w:rPr>
        <w:t>内容中</w:t>
      </w:r>
      <w:r>
        <w:rPr>
          <w:rFonts w:hint="eastAsia" w:ascii="宋体" w:hAnsi="宋体" w:eastAsia="宋体"/>
          <w:color w:val="auto"/>
          <w:sz w:val="24"/>
          <w:szCs w:val="20"/>
          <w:highlight w:val="none"/>
        </w:rPr>
        <w:t>未</w:t>
      </w:r>
      <w:r>
        <w:rPr>
          <w:rFonts w:hint="eastAsia" w:ascii="宋体" w:hAnsi="宋体" w:eastAsia="宋体" w:cs="宋体"/>
          <w:color w:val="auto"/>
          <w:sz w:val="24"/>
          <w:highlight w:val="none"/>
        </w:rPr>
        <w:t>涉及商业秘密；</w:t>
      </w:r>
    </w:p>
    <w:p>
      <w:pPr>
        <w:spacing w:after="0" w:line="400" w:lineRule="exact"/>
        <w:ind w:firstLine="480" w:firstLineChars="200"/>
        <w:rPr>
          <w:rFonts w:ascii="宋体" w:hAnsi="宋体" w:eastAsia="宋体"/>
          <w:color w:val="auto"/>
          <w:sz w:val="24"/>
          <w:szCs w:val="20"/>
          <w:highlight w:val="none"/>
          <w:u w:val="single"/>
        </w:rPr>
      </w:pPr>
      <w:r>
        <w:rPr>
          <w:rFonts w:hint="eastAsia" w:ascii="宋体" w:hAnsi="宋体" w:eastAsia="宋体"/>
          <w:color w:val="auto"/>
          <w:sz w:val="24"/>
          <w:szCs w:val="20"/>
          <w:highlight w:val="none"/>
        </w:rPr>
        <w:t>□我方本次响应文件</w:t>
      </w:r>
      <w:r>
        <w:rPr>
          <w:rFonts w:hint="eastAsia" w:ascii="宋体" w:hAnsi="宋体" w:eastAsia="宋体" w:cs="宋体"/>
          <w:color w:val="auto"/>
          <w:sz w:val="24"/>
          <w:highlight w:val="none"/>
        </w:rPr>
        <w:t>涉及商业秘密的内容有：；</w:t>
      </w:r>
    </w:p>
    <w:p>
      <w:pPr>
        <w:spacing w:after="0" w:line="400" w:lineRule="exact"/>
        <w:ind w:firstLine="480" w:firstLineChars="200"/>
        <w:rPr>
          <w:rFonts w:ascii="宋体" w:hAnsi="宋体" w:eastAsia="宋体"/>
          <w:color w:val="auto"/>
          <w:sz w:val="24"/>
          <w:highlight w:val="none"/>
        </w:rPr>
      </w:pPr>
      <w:r>
        <w:rPr>
          <w:rFonts w:ascii="宋体" w:hAnsi="宋体" w:eastAsia="宋体"/>
          <w:color w:val="auto"/>
          <w:sz w:val="24"/>
          <w:highlight w:val="none"/>
        </w:rPr>
        <w:t>4</w:t>
      </w:r>
      <w:r>
        <w:rPr>
          <w:rFonts w:hint="eastAsia" w:ascii="宋体" w:hAnsi="宋体" w:eastAsia="宋体"/>
          <w:color w:val="auto"/>
          <w:sz w:val="24"/>
          <w:highlight w:val="none"/>
        </w:rPr>
        <w:t>.我方在此声明，完全符合《中华人民共和国政府采购法》第二十二条规定的供应商资格条件，我方对此声明负全部法律责任。</w:t>
      </w:r>
    </w:p>
    <w:p>
      <w:pPr>
        <w:spacing w:after="0" w:line="400" w:lineRule="exact"/>
        <w:ind w:firstLine="480" w:firstLineChars="200"/>
        <w:rPr>
          <w:rFonts w:ascii="宋体" w:hAnsi="宋体" w:eastAsia="宋体"/>
          <w:color w:val="auto"/>
          <w:sz w:val="24"/>
          <w:szCs w:val="20"/>
          <w:highlight w:val="none"/>
          <w:u w:val="single"/>
        </w:rPr>
      </w:pPr>
      <w:r>
        <w:rPr>
          <w:rFonts w:hint="eastAsia" w:ascii="宋体" w:hAnsi="宋体" w:eastAsia="宋体"/>
          <w:color w:val="auto"/>
          <w:sz w:val="24"/>
          <w:highlight w:val="none"/>
          <w:lang w:val="zh-CN"/>
        </w:rPr>
        <w:t>5.以上事项如有虚假或隐瞒，我方愿意承担一切后果，并不再寻求任何旨在减轻或免除法律责任的辩解。</w:t>
      </w:r>
    </w:p>
    <w:p>
      <w:pPr>
        <w:spacing w:after="0" w:line="400" w:lineRule="exact"/>
        <w:ind w:firstLine="480" w:firstLineChars="200"/>
        <w:rPr>
          <w:rFonts w:ascii="宋体" w:hAnsi="宋体" w:eastAsia="宋体"/>
          <w:color w:val="auto"/>
          <w:sz w:val="24"/>
          <w:szCs w:val="20"/>
          <w:highlight w:val="none"/>
          <w:u w:val="single"/>
        </w:rPr>
      </w:pPr>
    </w:p>
    <w:p>
      <w:pPr>
        <w:spacing w:line="400" w:lineRule="exact"/>
        <w:ind w:firstLine="5476" w:firstLineChars="2282"/>
        <w:rPr>
          <w:rFonts w:ascii="宋体" w:hAnsi="宋体" w:eastAsia="宋体"/>
          <w:color w:val="auto"/>
          <w:sz w:val="24"/>
          <w:highlight w:val="none"/>
        </w:rPr>
      </w:pPr>
    </w:p>
    <w:p>
      <w:pPr>
        <w:spacing w:line="400" w:lineRule="exact"/>
        <w:ind w:firstLine="3720" w:firstLineChars="1550"/>
        <w:rPr>
          <w:rFonts w:ascii="宋体" w:hAnsi="宋体" w:eastAsia="宋体"/>
          <w:color w:val="auto"/>
          <w:sz w:val="24"/>
          <w:highlight w:val="none"/>
        </w:rPr>
      </w:pPr>
      <w:r>
        <w:rPr>
          <w:rFonts w:hint="eastAsia" w:ascii="宋体" w:hAnsi="宋体" w:eastAsia="宋体"/>
          <w:color w:val="auto"/>
          <w:sz w:val="24"/>
          <w:highlight w:val="none"/>
        </w:rPr>
        <w:t>供应商：</w:t>
      </w:r>
      <w:r>
        <w:rPr>
          <w:rFonts w:hint="eastAsia" w:ascii="宋体" w:hAnsi="宋体" w:eastAsia="宋体"/>
          <w:color w:val="auto"/>
          <w:sz w:val="24"/>
          <w:highlight w:val="none"/>
          <w:u w:val="single"/>
        </w:rPr>
        <w:t xml:space="preserve">           （单位名称并盖公章） </w:t>
      </w:r>
    </w:p>
    <w:p>
      <w:pPr>
        <w:spacing w:line="400" w:lineRule="exact"/>
        <w:ind w:firstLine="3720" w:firstLineChars="1550"/>
        <w:rPr>
          <w:rFonts w:ascii="宋体" w:hAnsi="宋体" w:eastAsia="宋体"/>
          <w:color w:val="auto"/>
          <w:sz w:val="24"/>
          <w:highlight w:val="none"/>
          <w:u w:val="single"/>
        </w:rPr>
      </w:pPr>
      <w:r>
        <w:rPr>
          <w:rFonts w:hint="eastAsia" w:ascii="宋体" w:hAnsi="宋体" w:eastAsia="宋体"/>
          <w:color w:val="auto"/>
          <w:sz w:val="24"/>
          <w:highlight w:val="none"/>
        </w:rPr>
        <w:t>法定代表人</w:t>
      </w:r>
      <w:r>
        <w:rPr>
          <w:rFonts w:hint="eastAsia" w:ascii="宋体" w:hAnsi="宋体" w:eastAsia="宋体"/>
          <w:color w:val="auto"/>
          <w:sz w:val="24"/>
          <w:highlight w:val="none"/>
          <w:lang w:eastAsia="zh-CN"/>
        </w:rPr>
        <w:t>或授权委托代理人</w:t>
      </w:r>
      <w:r>
        <w:rPr>
          <w:rFonts w:hint="eastAsia" w:ascii="宋体" w:hAnsi="宋体" w:eastAsia="宋体"/>
          <w:color w:val="auto"/>
          <w:sz w:val="24"/>
          <w:highlight w:val="none"/>
        </w:rPr>
        <w:t>签字：</w:t>
      </w:r>
    </w:p>
    <w:p>
      <w:pPr>
        <w:spacing w:line="400" w:lineRule="exact"/>
        <w:ind w:firstLine="3720" w:firstLineChars="1550"/>
        <w:rPr>
          <w:rFonts w:ascii="宋体" w:hAnsi="宋体" w:eastAsia="宋体"/>
          <w:color w:val="auto"/>
          <w:sz w:val="24"/>
          <w:highlight w:val="none"/>
        </w:rPr>
      </w:pPr>
      <w:r>
        <w:rPr>
          <w:rFonts w:hint="eastAsia" w:ascii="宋体" w:hAnsi="宋体" w:eastAsia="宋体"/>
          <w:color w:val="auto"/>
          <w:sz w:val="24"/>
          <w:highlight w:val="none"/>
        </w:rPr>
        <w:t>日期：  年  月  日</w:t>
      </w:r>
    </w:p>
    <w:p>
      <w:pPr>
        <w:adjustRightInd/>
        <w:snapToGrid/>
        <w:spacing w:line="220" w:lineRule="atLeast"/>
        <w:rPr>
          <w:rFonts w:ascii="宋体" w:hAnsi="宋体" w:eastAsia="宋体"/>
          <w:b/>
          <w:color w:val="auto"/>
          <w:sz w:val="24"/>
          <w:highlight w:val="none"/>
        </w:rPr>
      </w:pPr>
      <w:r>
        <w:rPr>
          <w:rFonts w:ascii="宋体" w:hAnsi="宋体" w:eastAsia="宋体"/>
          <w:b/>
          <w:color w:val="auto"/>
          <w:sz w:val="24"/>
          <w:highlight w:val="none"/>
        </w:rPr>
        <w:br w:type="page"/>
      </w:r>
    </w:p>
    <w:p>
      <w:pPr>
        <w:spacing w:line="360" w:lineRule="auto"/>
        <w:ind w:firstLine="482" w:firstLineChars="200"/>
        <w:rPr>
          <w:rFonts w:hint="eastAsia" w:ascii="宋体" w:hAnsi="宋体" w:eastAsia="宋体" w:cs="宋体"/>
          <w:b/>
          <w:color w:val="auto"/>
          <w:szCs w:val="21"/>
          <w:highlight w:val="none"/>
        </w:rPr>
      </w:pPr>
      <w:r>
        <w:rPr>
          <w:rFonts w:hint="eastAsia" w:ascii="宋体" w:hAnsi="宋体" w:eastAsia="宋体" w:cs="宋体"/>
          <w:b/>
          <w:color w:val="auto"/>
          <w:sz w:val="24"/>
          <w:szCs w:val="24"/>
          <w:highlight w:val="none"/>
        </w:rPr>
        <w:t>附件四：谈判保证金交纳证明材料复印件</w:t>
      </w:r>
    </w:p>
    <w:p>
      <w:pPr>
        <w:spacing w:after="0" w:line="420" w:lineRule="exact"/>
        <w:rPr>
          <w:rFonts w:asciiTheme="minorEastAsia" w:hAnsiTheme="minorEastAsia" w:eastAsiaTheme="minorEastAsia"/>
          <w:color w:val="auto"/>
          <w:highlight w:val="none"/>
        </w:rPr>
      </w:pPr>
    </w:p>
    <w:p>
      <w:pPr>
        <w:pStyle w:val="19"/>
        <w:spacing w:line="440" w:lineRule="exact"/>
        <w:rPr>
          <w:rFonts w:hint="eastAsia" w:hAnsi="宋体"/>
          <w:b/>
          <w:color w:val="auto"/>
          <w:sz w:val="21"/>
          <w:szCs w:val="21"/>
          <w:highlight w:val="none"/>
        </w:rPr>
      </w:pPr>
    </w:p>
    <w:p>
      <w:pPr>
        <w:pStyle w:val="19"/>
        <w:spacing w:line="440" w:lineRule="exact"/>
        <w:ind w:firstLine="3584" w:firstLineChars="1700"/>
        <w:rPr>
          <w:rFonts w:hint="eastAsia" w:hAnsi="宋体"/>
          <w:b/>
          <w:color w:val="auto"/>
          <w:sz w:val="21"/>
          <w:szCs w:val="21"/>
          <w:highlight w:val="none"/>
        </w:rPr>
      </w:pPr>
      <w:r>
        <w:rPr>
          <w:rFonts w:hint="eastAsia" w:hAnsi="宋体"/>
          <w:b/>
          <w:color w:val="auto"/>
          <w:sz w:val="21"/>
          <w:szCs w:val="21"/>
          <w:highlight w:val="none"/>
          <w:lang w:eastAsia="zh-CN"/>
        </w:rPr>
        <w:t>竞标</w:t>
      </w:r>
      <w:r>
        <w:rPr>
          <w:rFonts w:hint="eastAsia" w:hAnsi="宋体"/>
          <w:b/>
          <w:color w:val="auto"/>
          <w:sz w:val="21"/>
          <w:szCs w:val="21"/>
          <w:highlight w:val="none"/>
        </w:rPr>
        <w:t xml:space="preserve">保函（格式1） </w:t>
      </w:r>
    </w:p>
    <w:p>
      <w:pPr>
        <w:pStyle w:val="19"/>
        <w:spacing w:line="440" w:lineRule="exact"/>
        <w:rPr>
          <w:rFonts w:hint="eastAsia" w:hAnsi="宋体"/>
          <w:b/>
          <w:color w:val="auto"/>
          <w:sz w:val="21"/>
          <w:szCs w:val="21"/>
          <w:highlight w:val="none"/>
        </w:rPr>
      </w:pPr>
    </w:p>
    <w:p>
      <w:pPr>
        <w:pStyle w:val="19"/>
        <w:spacing w:line="440" w:lineRule="exact"/>
        <w:rPr>
          <w:rFonts w:hint="eastAsia" w:hAnsi="宋体"/>
          <w:b/>
          <w:color w:val="auto"/>
          <w:sz w:val="21"/>
          <w:szCs w:val="21"/>
          <w:highlight w:val="none"/>
        </w:rPr>
      </w:pPr>
      <w:r>
        <w:rPr>
          <w:rFonts w:hint="eastAsia" w:hAnsi="宋体"/>
          <w:b/>
          <w:color w:val="auto"/>
          <w:sz w:val="21"/>
          <w:szCs w:val="21"/>
          <w:highlight w:val="none"/>
        </w:rPr>
        <w:t>（采购人名称）：</w:t>
      </w:r>
    </w:p>
    <w:p>
      <w:pPr>
        <w:pStyle w:val="19"/>
        <w:spacing w:line="440" w:lineRule="exact"/>
        <w:ind w:firstLine="632" w:firstLineChars="300"/>
        <w:rPr>
          <w:rFonts w:hint="eastAsia" w:hAnsi="宋体"/>
          <w:b/>
          <w:color w:val="auto"/>
          <w:sz w:val="21"/>
          <w:szCs w:val="21"/>
          <w:highlight w:val="none"/>
        </w:rPr>
      </w:pPr>
      <w:r>
        <w:rPr>
          <w:rFonts w:hint="eastAsia" w:hAnsi="宋体"/>
          <w:b/>
          <w:color w:val="auto"/>
          <w:sz w:val="21"/>
          <w:szCs w:val="21"/>
          <w:highlight w:val="none"/>
        </w:rPr>
        <w:t>鉴于</w:t>
      </w:r>
      <w:r>
        <w:rPr>
          <w:rFonts w:hint="eastAsia" w:hAnsi="宋体"/>
          <w:b/>
          <w:color w:val="auto"/>
          <w:sz w:val="21"/>
          <w:szCs w:val="21"/>
          <w:highlight w:val="none"/>
          <w:u w:val="single"/>
        </w:rPr>
        <w:t xml:space="preserve">          </w:t>
      </w:r>
      <w:r>
        <w:rPr>
          <w:rFonts w:hint="eastAsia" w:hAnsi="宋体"/>
          <w:b/>
          <w:color w:val="auto"/>
          <w:sz w:val="21"/>
          <w:szCs w:val="21"/>
          <w:highlight w:val="none"/>
        </w:rPr>
        <w:t>（</w:t>
      </w:r>
      <w:r>
        <w:rPr>
          <w:rFonts w:hint="eastAsia" w:hAnsi="宋体"/>
          <w:b/>
          <w:color w:val="auto"/>
          <w:sz w:val="21"/>
          <w:szCs w:val="21"/>
          <w:highlight w:val="none"/>
          <w:lang w:eastAsia="zh-CN"/>
        </w:rPr>
        <w:t>竞标人</w:t>
      </w:r>
      <w:r>
        <w:rPr>
          <w:rFonts w:hint="eastAsia" w:hAnsi="宋体"/>
          <w:b/>
          <w:color w:val="auto"/>
          <w:sz w:val="21"/>
          <w:szCs w:val="21"/>
          <w:highlight w:val="none"/>
        </w:rPr>
        <w:t>名称）（以下称“</w:t>
      </w:r>
      <w:r>
        <w:rPr>
          <w:rFonts w:hint="eastAsia" w:hAnsi="宋体"/>
          <w:b/>
          <w:color w:val="auto"/>
          <w:sz w:val="21"/>
          <w:szCs w:val="21"/>
          <w:highlight w:val="none"/>
          <w:lang w:eastAsia="zh-CN"/>
        </w:rPr>
        <w:t>竞标人</w:t>
      </w:r>
      <w:r>
        <w:rPr>
          <w:rFonts w:hint="eastAsia" w:hAnsi="宋体"/>
          <w:b/>
          <w:color w:val="auto"/>
          <w:sz w:val="21"/>
          <w:szCs w:val="21"/>
          <w:highlight w:val="none"/>
        </w:rPr>
        <w:t>”）于</w:t>
      </w:r>
      <w:r>
        <w:rPr>
          <w:rFonts w:hint="eastAsia" w:hAnsi="宋体"/>
          <w:b/>
          <w:color w:val="auto"/>
          <w:sz w:val="21"/>
          <w:szCs w:val="21"/>
          <w:highlight w:val="none"/>
          <w:u w:val="single"/>
        </w:rPr>
        <w:t xml:space="preserve">      </w:t>
      </w:r>
      <w:r>
        <w:rPr>
          <w:rFonts w:hint="eastAsia" w:hAnsi="宋体"/>
          <w:b/>
          <w:color w:val="auto"/>
          <w:sz w:val="21"/>
          <w:szCs w:val="21"/>
          <w:highlight w:val="none"/>
        </w:rPr>
        <w:t>年</w:t>
      </w:r>
      <w:r>
        <w:rPr>
          <w:rFonts w:hint="eastAsia" w:hAnsi="宋体"/>
          <w:b/>
          <w:color w:val="auto"/>
          <w:sz w:val="21"/>
          <w:szCs w:val="21"/>
          <w:highlight w:val="none"/>
          <w:u w:val="single"/>
        </w:rPr>
        <w:t xml:space="preserve">     </w:t>
      </w:r>
      <w:r>
        <w:rPr>
          <w:rFonts w:hint="eastAsia" w:hAnsi="宋体"/>
          <w:b/>
          <w:color w:val="auto"/>
          <w:sz w:val="21"/>
          <w:szCs w:val="21"/>
          <w:highlight w:val="none"/>
        </w:rPr>
        <w:t>月</w:t>
      </w:r>
      <w:r>
        <w:rPr>
          <w:rFonts w:hint="eastAsia" w:hAnsi="宋体"/>
          <w:b/>
          <w:color w:val="auto"/>
          <w:sz w:val="21"/>
          <w:szCs w:val="21"/>
          <w:highlight w:val="none"/>
          <w:u w:val="single"/>
        </w:rPr>
        <w:t xml:space="preserve">   </w:t>
      </w:r>
      <w:r>
        <w:rPr>
          <w:rFonts w:hint="eastAsia" w:hAnsi="宋体"/>
          <w:b/>
          <w:color w:val="auto"/>
          <w:sz w:val="21"/>
          <w:szCs w:val="21"/>
          <w:highlight w:val="none"/>
        </w:rPr>
        <w:t>日参加</w:t>
      </w:r>
      <w:r>
        <w:rPr>
          <w:rFonts w:hint="eastAsia" w:hAnsi="宋体"/>
          <w:b/>
          <w:color w:val="auto"/>
          <w:sz w:val="21"/>
          <w:szCs w:val="21"/>
          <w:highlight w:val="none"/>
          <w:u w:val="single"/>
        </w:rPr>
        <w:t xml:space="preserve">          </w:t>
      </w:r>
      <w:r>
        <w:rPr>
          <w:rFonts w:hint="eastAsia" w:hAnsi="宋体"/>
          <w:b/>
          <w:color w:val="auto"/>
          <w:sz w:val="21"/>
          <w:szCs w:val="21"/>
          <w:highlight w:val="none"/>
        </w:rPr>
        <w:t>（项目名称）的</w:t>
      </w:r>
      <w:r>
        <w:rPr>
          <w:rFonts w:hint="eastAsia" w:hAnsi="宋体"/>
          <w:b/>
          <w:color w:val="auto"/>
          <w:sz w:val="21"/>
          <w:szCs w:val="21"/>
          <w:highlight w:val="none"/>
          <w:lang w:eastAsia="zh-CN"/>
        </w:rPr>
        <w:t>竞标</w:t>
      </w:r>
      <w:r>
        <w:rPr>
          <w:rFonts w:hint="eastAsia" w:hAnsi="宋体"/>
          <w:b/>
          <w:color w:val="auto"/>
          <w:sz w:val="21"/>
          <w:szCs w:val="21"/>
          <w:highlight w:val="none"/>
        </w:rPr>
        <w:t>，</w:t>
      </w:r>
      <w:r>
        <w:rPr>
          <w:rFonts w:hint="eastAsia" w:hAnsi="宋体"/>
          <w:b/>
          <w:color w:val="auto"/>
          <w:sz w:val="21"/>
          <w:szCs w:val="21"/>
          <w:highlight w:val="none"/>
          <w:u w:val="single"/>
        </w:rPr>
        <w:t xml:space="preserve">         </w:t>
      </w:r>
      <w:r>
        <w:rPr>
          <w:rFonts w:hint="eastAsia" w:hAnsi="宋体"/>
          <w:b/>
          <w:color w:val="auto"/>
          <w:sz w:val="21"/>
          <w:szCs w:val="21"/>
          <w:highlight w:val="none"/>
        </w:rPr>
        <w:t>（担保人名称，以下简称“我方”）无条件地、不可撤销地保证：</w:t>
      </w:r>
      <w:r>
        <w:rPr>
          <w:rFonts w:hint="eastAsia" w:hAnsi="宋体"/>
          <w:b/>
          <w:color w:val="auto"/>
          <w:sz w:val="21"/>
          <w:szCs w:val="21"/>
          <w:highlight w:val="none"/>
          <w:lang w:eastAsia="zh-CN"/>
        </w:rPr>
        <w:t>竞标人</w:t>
      </w:r>
      <w:r>
        <w:rPr>
          <w:rFonts w:hint="eastAsia" w:hAnsi="宋体"/>
          <w:b/>
          <w:color w:val="auto"/>
          <w:sz w:val="21"/>
          <w:szCs w:val="21"/>
          <w:highlight w:val="none"/>
        </w:rPr>
        <w:t>在规定的</w:t>
      </w:r>
      <w:r>
        <w:rPr>
          <w:rFonts w:hint="eastAsia" w:hAnsi="宋体"/>
          <w:b/>
          <w:color w:val="auto"/>
          <w:sz w:val="21"/>
          <w:szCs w:val="21"/>
          <w:highlight w:val="none"/>
          <w:lang w:eastAsia="zh-CN"/>
        </w:rPr>
        <w:t>谈判</w:t>
      </w:r>
      <w:r>
        <w:rPr>
          <w:rFonts w:hint="eastAsia" w:hAnsi="宋体"/>
          <w:b/>
          <w:color w:val="auto"/>
          <w:sz w:val="21"/>
          <w:szCs w:val="21"/>
          <w:highlight w:val="none"/>
        </w:rPr>
        <w:t>响应文件有效期内撤销或修改其</w:t>
      </w:r>
      <w:r>
        <w:rPr>
          <w:rFonts w:hint="eastAsia" w:hAnsi="宋体"/>
          <w:b/>
          <w:color w:val="auto"/>
          <w:sz w:val="21"/>
          <w:szCs w:val="21"/>
          <w:highlight w:val="none"/>
          <w:lang w:eastAsia="zh-CN"/>
        </w:rPr>
        <w:t>谈判</w:t>
      </w:r>
      <w:r>
        <w:rPr>
          <w:rFonts w:hint="eastAsia" w:hAnsi="宋体"/>
          <w:b/>
          <w:color w:val="auto"/>
          <w:sz w:val="21"/>
          <w:szCs w:val="21"/>
          <w:highlight w:val="none"/>
        </w:rPr>
        <w:t>响应文件的，或者</w:t>
      </w:r>
      <w:r>
        <w:rPr>
          <w:rFonts w:hint="eastAsia" w:hAnsi="宋体"/>
          <w:b/>
          <w:color w:val="auto"/>
          <w:sz w:val="21"/>
          <w:szCs w:val="21"/>
          <w:highlight w:val="none"/>
          <w:lang w:eastAsia="zh-CN"/>
        </w:rPr>
        <w:t>竞标人</w:t>
      </w:r>
      <w:r>
        <w:rPr>
          <w:rFonts w:hint="eastAsia" w:hAnsi="宋体"/>
          <w:b/>
          <w:color w:val="auto"/>
          <w:sz w:val="21"/>
          <w:szCs w:val="21"/>
          <w:highlight w:val="none"/>
        </w:rPr>
        <w:t>在收到成交通知书后无正当理由拒签合同或拒交规定履约担保的，我方承担保证责任。收到你方书面通知后，在7日内无条件向你方支付人民币（大写）</w:t>
      </w:r>
      <w:r>
        <w:rPr>
          <w:rFonts w:hint="eastAsia" w:hAnsi="宋体"/>
          <w:b/>
          <w:color w:val="auto"/>
          <w:sz w:val="21"/>
          <w:szCs w:val="21"/>
          <w:highlight w:val="none"/>
          <w:u w:val="single"/>
        </w:rPr>
        <w:t xml:space="preserve">         </w:t>
      </w:r>
      <w:r>
        <w:rPr>
          <w:rFonts w:hint="eastAsia" w:hAnsi="宋体"/>
          <w:b/>
          <w:color w:val="auto"/>
          <w:sz w:val="21"/>
          <w:szCs w:val="21"/>
          <w:highlight w:val="none"/>
        </w:rPr>
        <w:t>元（</w:t>
      </w:r>
      <w:r>
        <w:rPr>
          <w:rFonts w:hint="eastAsia" w:hAnsi="宋体"/>
          <w:b/>
          <w:color w:val="auto"/>
          <w:sz w:val="21"/>
          <w:szCs w:val="21"/>
          <w:highlight w:val="none"/>
          <w:u w:val="single"/>
        </w:rPr>
        <w:t xml:space="preserve">     </w:t>
      </w:r>
      <w:r>
        <w:rPr>
          <w:rFonts w:hint="eastAsia" w:hAnsi="宋体"/>
          <w:b/>
          <w:color w:val="auto"/>
          <w:sz w:val="21"/>
          <w:szCs w:val="21"/>
          <w:highlight w:val="none"/>
        </w:rPr>
        <w:t>元 ）。</w:t>
      </w:r>
    </w:p>
    <w:p>
      <w:pPr>
        <w:pStyle w:val="19"/>
        <w:spacing w:line="440" w:lineRule="exact"/>
        <w:rPr>
          <w:rFonts w:hint="eastAsia" w:hAnsi="宋体"/>
          <w:b/>
          <w:color w:val="auto"/>
          <w:sz w:val="21"/>
          <w:szCs w:val="21"/>
          <w:highlight w:val="none"/>
        </w:rPr>
      </w:pPr>
      <w:r>
        <w:rPr>
          <w:rFonts w:hint="eastAsia" w:hAnsi="宋体"/>
          <w:b/>
          <w:color w:val="auto"/>
          <w:sz w:val="21"/>
          <w:szCs w:val="21"/>
          <w:highlight w:val="none"/>
        </w:rPr>
        <w:t>本保函在</w:t>
      </w:r>
      <w:r>
        <w:rPr>
          <w:rFonts w:hint="eastAsia" w:hAnsi="宋体"/>
          <w:b/>
          <w:color w:val="auto"/>
          <w:sz w:val="21"/>
          <w:szCs w:val="21"/>
          <w:highlight w:val="none"/>
          <w:lang w:eastAsia="zh-CN"/>
        </w:rPr>
        <w:t>竞标</w:t>
      </w:r>
      <w:r>
        <w:rPr>
          <w:rFonts w:hint="eastAsia" w:hAnsi="宋体"/>
          <w:b/>
          <w:color w:val="auto"/>
          <w:sz w:val="21"/>
          <w:szCs w:val="21"/>
          <w:highlight w:val="none"/>
        </w:rPr>
        <w:t>有效期内保持有效。要求我方承担保证责任的书面通知应在</w:t>
      </w:r>
      <w:r>
        <w:rPr>
          <w:rFonts w:hint="eastAsia" w:hAnsi="宋体"/>
          <w:b/>
          <w:color w:val="auto"/>
          <w:sz w:val="21"/>
          <w:szCs w:val="21"/>
          <w:highlight w:val="none"/>
          <w:lang w:eastAsia="zh-CN"/>
        </w:rPr>
        <w:t>竞标</w:t>
      </w:r>
      <w:r>
        <w:rPr>
          <w:rFonts w:hint="eastAsia" w:hAnsi="宋体"/>
          <w:b/>
          <w:color w:val="auto"/>
          <w:sz w:val="21"/>
          <w:szCs w:val="21"/>
          <w:highlight w:val="none"/>
        </w:rPr>
        <w:t>有效期内送达我方。</w:t>
      </w:r>
    </w:p>
    <w:p>
      <w:pPr>
        <w:pStyle w:val="19"/>
        <w:spacing w:line="440" w:lineRule="exact"/>
        <w:rPr>
          <w:rFonts w:hint="eastAsia" w:hAnsi="宋体"/>
          <w:b/>
          <w:color w:val="auto"/>
          <w:sz w:val="21"/>
          <w:szCs w:val="21"/>
          <w:highlight w:val="none"/>
        </w:rPr>
      </w:pPr>
      <w:r>
        <w:rPr>
          <w:rFonts w:hint="eastAsia" w:hAnsi="宋体"/>
          <w:b/>
          <w:color w:val="auto"/>
          <w:sz w:val="21"/>
          <w:szCs w:val="21"/>
          <w:highlight w:val="none"/>
        </w:rPr>
        <w:t xml:space="preserve"> </w:t>
      </w:r>
    </w:p>
    <w:p>
      <w:pPr>
        <w:pStyle w:val="19"/>
        <w:spacing w:line="440" w:lineRule="exact"/>
        <w:rPr>
          <w:rFonts w:hint="eastAsia" w:hAnsi="宋体"/>
          <w:b/>
          <w:color w:val="auto"/>
          <w:sz w:val="21"/>
          <w:szCs w:val="21"/>
          <w:highlight w:val="none"/>
        </w:rPr>
      </w:pPr>
    </w:p>
    <w:p>
      <w:pPr>
        <w:pStyle w:val="19"/>
        <w:spacing w:line="440" w:lineRule="exact"/>
        <w:ind w:firstLine="1476" w:firstLineChars="700"/>
        <w:jc w:val="left"/>
        <w:rPr>
          <w:rFonts w:hint="eastAsia" w:hAnsi="宋体"/>
          <w:b/>
          <w:color w:val="auto"/>
          <w:sz w:val="21"/>
          <w:szCs w:val="21"/>
          <w:highlight w:val="none"/>
        </w:rPr>
      </w:pPr>
      <w:r>
        <w:rPr>
          <w:rFonts w:hint="eastAsia" w:hAnsi="宋体"/>
          <w:b/>
          <w:color w:val="auto"/>
          <w:sz w:val="21"/>
          <w:szCs w:val="21"/>
          <w:highlight w:val="none"/>
        </w:rPr>
        <w:t>担保人名称：</w:t>
      </w:r>
      <w:r>
        <w:rPr>
          <w:rFonts w:hint="eastAsia" w:hAnsi="宋体"/>
          <w:b/>
          <w:color w:val="auto"/>
          <w:sz w:val="21"/>
          <w:szCs w:val="21"/>
          <w:highlight w:val="none"/>
          <w:u w:val="single"/>
        </w:rPr>
        <w:t xml:space="preserve">                          </w:t>
      </w:r>
      <w:r>
        <w:rPr>
          <w:rFonts w:hint="eastAsia" w:hAnsi="宋体"/>
          <w:b/>
          <w:color w:val="auto"/>
          <w:sz w:val="21"/>
          <w:szCs w:val="21"/>
          <w:highlight w:val="none"/>
        </w:rPr>
        <w:t>（盖单位公章）</w:t>
      </w:r>
    </w:p>
    <w:p>
      <w:pPr>
        <w:pStyle w:val="19"/>
        <w:spacing w:line="440" w:lineRule="exact"/>
        <w:ind w:firstLine="1476" w:firstLineChars="700"/>
        <w:jc w:val="left"/>
        <w:rPr>
          <w:rFonts w:hint="eastAsia" w:hAnsi="宋体"/>
          <w:b/>
          <w:color w:val="auto"/>
          <w:sz w:val="21"/>
          <w:szCs w:val="21"/>
          <w:highlight w:val="none"/>
        </w:rPr>
      </w:pPr>
      <w:r>
        <w:rPr>
          <w:rFonts w:hint="eastAsia" w:hAnsi="宋体"/>
          <w:b/>
          <w:color w:val="auto"/>
          <w:sz w:val="21"/>
          <w:szCs w:val="21"/>
          <w:highlight w:val="none"/>
        </w:rPr>
        <w:t>法定代表人或其委托代理人：</w:t>
      </w:r>
      <w:r>
        <w:rPr>
          <w:rFonts w:hint="eastAsia" w:hAnsi="宋体"/>
          <w:b/>
          <w:color w:val="auto"/>
          <w:sz w:val="21"/>
          <w:szCs w:val="21"/>
          <w:highlight w:val="none"/>
          <w:u w:val="single"/>
        </w:rPr>
        <w:t xml:space="preserve">            </w:t>
      </w:r>
      <w:r>
        <w:rPr>
          <w:rFonts w:hint="eastAsia" w:hAnsi="宋体"/>
          <w:b/>
          <w:color w:val="auto"/>
          <w:sz w:val="21"/>
          <w:szCs w:val="21"/>
          <w:highlight w:val="none"/>
        </w:rPr>
        <w:t>（签字）</w:t>
      </w:r>
    </w:p>
    <w:p>
      <w:pPr>
        <w:pStyle w:val="19"/>
        <w:spacing w:line="440" w:lineRule="exact"/>
        <w:ind w:firstLine="1476" w:firstLineChars="700"/>
        <w:jc w:val="left"/>
        <w:rPr>
          <w:rFonts w:hint="eastAsia" w:hAnsi="宋体"/>
          <w:b/>
          <w:color w:val="auto"/>
          <w:sz w:val="21"/>
          <w:szCs w:val="21"/>
          <w:highlight w:val="none"/>
          <w:u w:val="single"/>
        </w:rPr>
      </w:pPr>
      <w:r>
        <w:rPr>
          <w:rFonts w:hint="eastAsia" w:hAnsi="宋体"/>
          <w:b/>
          <w:color w:val="auto"/>
          <w:sz w:val="21"/>
          <w:szCs w:val="21"/>
          <w:highlight w:val="none"/>
        </w:rPr>
        <w:t>地    址：</w:t>
      </w:r>
    </w:p>
    <w:p>
      <w:pPr>
        <w:pStyle w:val="19"/>
        <w:spacing w:line="440" w:lineRule="exact"/>
        <w:ind w:firstLine="1476" w:firstLineChars="700"/>
        <w:jc w:val="left"/>
        <w:rPr>
          <w:rFonts w:hint="eastAsia" w:hAnsi="宋体"/>
          <w:b/>
          <w:color w:val="auto"/>
          <w:sz w:val="21"/>
          <w:szCs w:val="21"/>
          <w:highlight w:val="none"/>
        </w:rPr>
      </w:pPr>
      <w:r>
        <w:rPr>
          <w:rFonts w:hint="eastAsia" w:hAnsi="宋体"/>
          <w:b/>
          <w:color w:val="auto"/>
          <w:sz w:val="21"/>
          <w:szCs w:val="21"/>
          <w:highlight w:val="none"/>
        </w:rPr>
        <w:t>邮政编码：</w:t>
      </w:r>
    </w:p>
    <w:p>
      <w:pPr>
        <w:pStyle w:val="19"/>
        <w:spacing w:line="440" w:lineRule="exact"/>
        <w:ind w:firstLine="1476" w:firstLineChars="700"/>
        <w:jc w:val="left"/>
        <w:rPr>
          <w:rFonts w:hint="eastAsia" w:hAnsi="宋体"/>
          <w:b/>
          <w:color w:val="auto"/>
          <w:sz w:val="21"/>
          <w:szCs w:val="21"/>
          <w:highlight w:val="none"/>
        </w:rPr>
      </w:pPr>
      <w:r>
        <w:rPr>
          <w:rFonts w:hint="eastAsia" w:hAnsi="宋体"/>
          <w:b/>
          <w:color w:val="auto"/>
          <w:sz w:val="21"/>
          <w:szCs w:val="21"/>
          <w:highlight w:val="none"/>
        </w:rPr>
        <w:t>电    话：</w:t>
      </w:r>
    </w:p>
    <w:p>
      <w:pPr>
        <w:pStyle w:val="19"/>
        <w:spacing w:line="440" w:lineRule="exact"/>
        <w:ind w:firstLine="1476" w:firstLineChars="700"/>
        <w:jc w:val="left"/>
        <w:rPr>
          <w:rFonts w:hint="eastAsia" w:hAnsi="宋体"/>
          <w:b/>
          <w:color w:val="auto"/>
          <w:sz w:val="21"/>
          <w:szCs w:val="21"/>
          <w:highlight w:val="none"/>
        </w:rPr>
      </w:pPr>
      <w:r>
        <w:rPr>
          <w:rFonts w:hint="eastAsia" w:hAnsi="宋体"/>
          <w:b/>
          <w:color w:val="auto"/>
          <w:sz w:val="21"/>
          <w:szCs w:val="21"/>
          <w:highlight w:val="none"/>
        </w:rPr>
        <w:t>传    真：</w:t>
      </w:r>
    </w:p>
    <w:p>
      <w:pPr>
        <w:pStyle w:val="19"/>
        <w:spacing w:line="440" w:lineRule="exact"/>
        <w:jc w:val="left"/>
        <w:rPr>
          <w:rFonts w:hint="eastAsia" w:hAnsi="宋体"/>
          <w:b/>
          <w:color w:val="auto"/>
          <w:sz w:val="21"/>
          <w:szCs w:val="21"/>
          <w:highlight w:val="none"/>
        </w:rPr>
      </w:pPr>
    </w:p>
    <w:p>
      <w:pPr>
        <w:pStyle w:val="19"/>
        <w:spacing w:line="440" w:lineRule="exact"/>
        <w:ind w:firstLine="3373" w:firstLineChars="1600"/>
        <w:jc w:val="left"/>
        <w:rPr>
          <w:rFonts w:hint="eastAsia" w:hAnsi="宋体"/>
          <w:b/>
          <w:color w:val="auto"/>
          <w:sz w:val="21"/>
          <w:szCs w:val="21"/>
          <w:highlight w:val="none"/>
        </w:rPr>
      </w:pPr>
      <w:r>
        <w:rPr>
          <w:rFonts w:hint="eastAsia" w:hAnsi="宋体"/>
          <w:b/>
          <w:color w:val="auto"/>
          <w:sz w:val="21"/>
          <w:szCs w:val="21"/>
          <w:highlight w:val="none"/>
        </w:rPr>
        <w:t>年      月      日</w:t>
      </w:r>
    </w:p>
    <w:p>
      <w:pPr>
        <w:pStyle w:val="19"/>
        <w:spacing w:line="440" w:lineRule="exact"/>
        <w:rPr>
          <w:rFonts w:hint="eastAsia" w:hAnsi="宋体"/>
          <w:b/>
          <w:color w:val="auto"/>
          <w:sz w:val="21"/>
          <w:szCs w:val="21"/>
          <w:highlight w:val="none"/>
        </w:rPr>
      </w:pPr>
    </w:p>
    <w:p>
      <w:pPr>
        <w:pStyle w:val="19"/>
        <w:spacing w:line="440" w:lineRule="exact"/>
        <w:rPr>
          <w:rFonts w:hint="eastAsia" w:hAnsi="宋体"/>
          <w:b/>
          <w:color w:val="auto"/>
          <w:sz w:val="21"/>
          <w:szCs w:val="21"/>
          <w:highlight w:val="none"/>
        </w:rPr>
      </w:pPr>
      <w:r>
        <w:rPr>
          <w:rFonts w:hint="eastAsia" w:hAnsi="宋体"/>
          <w:b/>
          <w:color w:val="auto"/>
          <w:sz w:val="21"/>
          <w:szCs w:val="21"/>
          <w:highlight w:val="none"/>
        </w:rPr>
        <w:t>注：</w:t>
      </w:r>
      <w:r>
        <w:rPr>
          <w:rFonts w:hint="eastAsia" w:hAnsi="宋体"/>
          <w:b/>
          <w:color w:val="auto"/>
          <w:sz w:val="21"/>
          <w:szCs w:val="21"/>
          <w:highlight w:val="none"/>
          <w:lang w:eastAsia="zh-CN"/>
        </w:rPr>
        <w:t>竞标</w:t>
      </w:r>
      <w:r>
        <w:rPr>
          <w:rFonts w:hint="eastAsia" w:hAnsi="宋体"/>
          <w:b/>
          <w:color w:val="auto"/>
          <w:sz w:val="21"/>
          <w:szCs w:val="21"/>
          <w:highlight w:val="none"/>
        </w:rPr>
        <w:t>保证金采取担保的，采用上述格式。竞争性</w:t>
      </w:r>
      <w:r>
        <w:rPr>
          <w:rFonts w:hint="eastAsia" w:hAnsi="宋体"/>
          <w:b/>
          <w:color w:val="auto"/>
          <w:sz w:val="21"/>
          <w:szCs w:val="21"/>
          <w:highlight w:val="none"/>
          <w:lang w:eastAsia="zh-CN"/>
        </w:rPr>
        <w:t>谈判</w:t>
      </w:r>
      <w:r>
        <w:rPr>
          <w:rFonts w:hint="eastAsia" w:hAnsi="宋体"/>
          <w:b/>
          <w:color w:val="auto"/>
          <w:sz w:val="21"/>
          <w:szCs w:val="21"/>
          <w:highlight w:val="none"/>
        </w:rPr>
        <w:t>响应文件在此附上保函证明原件的扫描件。</w:t>
      </w:r>
    </w:p>
    <w:p>
      <w:pPr>
        <w:pStyle w:val="19"/>
        <w:spacing w:line="440" w:lineRule="exact"/>
        <w:rPr>
          <w:rFonts w:hint="eastAsia" w:hAnsi="宋体"/>
          <w:b/>
          <w:color w:val="auto"/>
          <w:sz w:val="21"/>
          <w:szCs w:val="21"/>
          <w:highlight w:val="none"/>
        </w:rPr>
      </w:pPr>
      <w:r>
        <w:rPr>
          <w:rFonts w:hint="eastAsia" w:hAnsi="宋体"/>
          <w:b/>
          <w:color w:val="auto"/>
          <w:sz w:val="21"/>
          <w:szCs w:val="21"/>
          <w:highlight w:val="none"/>
        </w:rPr>
        <w:br w:type="page"/>
      </w:r>
    </w:p>
    <w:p>
      <w:pPr>
        <w:pStyle w:val="19"/>
        <w:spacing w:line="440" w:lineRule="exact"/>
        <w:ind w:firstLine="2891" w:firstLineChars="1200"/>
        <w:rPr>
          <w:rFonts w:hint="eastAsia" w:hAnsi="宋体"/>
          <w:b/>
          <w:color w:val="auto"/>
          <w:sz w:val="24"/>
          <w:szCs w:val="24"/>
          <w:highlight w:val="none"/>
        </w:rPr>
      </w:pPr>
      <w:r>
        <w:rPr>
          <w:rFonts w:hint="eastAsia" w:hAnsi="宋体"/>
          <w:b/>
          <w:color w:val="auto"/>
          <w:sz w:val="24"/>
          <w:szCs w:val="24"/>
          <w:highlight w:val="none"/>
        </w:rPr>
        <w:t>银行转帐、电汇(格式2)</w:t>
      </w:r>
    </w:p>
    <w:p>
      <w:pPr>
        <w:pStyle w:val="19"/>
        <w:spacing w:line="440" w:lineRule="exact"/>
        <w:rPr>
          <w:rFonts w:hint="eastAsia" w:ascii="宋体" w:hAnsi="宋体" w:eastAsia="宋体" w:cs="宋体"/>
          <w:b/>
          <w:color w:val="auto"/>
          <w:sz w:val="21"/>
          <w:szCs w:val="21"/>
          <w:highlight w:val="none"/>
        </w:rPr>
      </w:pPr>
    </w:p>
    <w:p>
      <w:pPr>
        <w:pStyle w:val="19"/>
        <w:spacing w:line="440" w:lineRule="exact"/>
        <w:rPr>
          <w:rFonts w:hint="eastAsia" w:ascii="宋体" w:hAnsi="宋体" w:eastAsia="宋体" w:cs="宋体"/>
          <w:b/>
          <w:color w:val="auto"/>
          <w:sz w:val="21"/>
          <w:szCs w:val="21"/>
          <w:highlight w:val="none"/>
        </w:rPr>
      </w:pPr>
    </w:p>
    <w:p>
      <w:pPr>
        <w:pStyle w:val="19"/>
        <w:spacing w:line="440" w:lineRule="exact"/>
        <w:ind w:firstLine="2108" w:firstLineChars="10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附：</w:t>
      </w:r>
      <w:r>
        <w:rPr>
          <w:rFonts w:hint="eastAsia" w:ascii="宋体" w:hAnsi="宋体" w:eastAsia="宋体" w:cs="宋体"/>
          <w:b/>
          <w:color w:val="auto"/>
          <w:sz w:val="21"/>
          <w:szCs w:val="21"/>
          <w:highlight w:val="none"/>
          <w:lang w:eastAsia="zh-CN"/>
        </w:rPr>
        <w:t>竞标</w:t>
      </w:r>
      <w:r>
        <w:rPr>
          <w:rFonts w:hint="eastAsia" w:ascii="宋体" w:hAnsi="宋体" w:eastAsia="宋体" w:cs="宋体"/>
          <w:b/>
          <w:color w:val="auto"/>
          <w:sz w:val="21"/>
          <w:szCs w:val="21"/>
          <w:highlight w:val="none"/>
        </w:rPr>
        <w:t>保证金银行转帐底单复印件；</w:t>
      </w:r>
    </w:p>
    <w:p>
      <w:pPr>
        <w:pStyle w:val="19"/>
        <w:spacing w:line="440" w:lineRule="exact"/>
        <w:rPr>
          <w:rFonts w:hint="eastAsia" w:ascii="宋体" w:hAnsi="宋体" w:eastAsia="宋体" w:cs="宋体"/>
          <w:b/>
          <w:color w:val="auto"/>
          <w:sz w:val="21"/>
          <w:szCs w:val="21"/>
          <w:highlight w:val="none"/>
        </w:rPr>
      </w:pPr>
    </w:p>
    <w:p>
      <w:pPr>
        <w:pStyle w:val="19"/>
        <w:spacing w:line="440" w:lineRule="exact"/>
        <w:rPr>
          <w:rFonts w:hint="eastAsia" w:ascii="宋体" w:hAnsi="宋体" w:eastAsia="宋体" w:cs="宋体"/>
          <w:b/>
          <w:color w:val="auto"/>
          <w:sz w:val="21"/>
          <w:szCs w:val="21"/>
          <w:highlight w:val="none"/>
        </w:rPr>
      </w:pPr>
    </w:p>
    <w:p>
      <w:pPr>
        <w:pStyle w:val="19"/>
        <w:spacing w:line="440" w:lineRule="exact"/>
        <w:rPr>
          <w:rFonts w:hint="eastAsia" w:ascii="宋体" w:hAnsi="宋体" w:eastAsia="宋体" w:cs="宋体"/>
          <w:b/>
          <w:color w:val="auto"/>
          <w:sz w:val="21"/>
          <w:szCs w:val="21"/>
          <w:highlight w:val="none"/>
        </w:rPr>
      </w:pPr>
    </w:p>
    <w:p>
      <w:pPr>
        <w:pStyle w:val="19"/>
        <w:spacing w:line="440" w:lineRule="exact"/>
        <w:rPr>
          <w:rFonts w:hint="eastAsia" w:ascii="宋体" w:hAnsi="宋体" w:eastAsia="宋体" w:cs="宋体"/>
          <w:b/>
          <w:color w:val="auto"/>
          <w:sz w:val="21"/>
          <w:szCs w:val="21"/>
          <w:highlight w:val="none"/>
        </w:rPr>
      </w:pPr>
    </w:p>
    <w:p>
      <w:pPr>
        <w:pStyle w:val="19"/>
        <w:spacing w:line="440" w:lineRule="exact"/>
        <w:rPr>
          <w:rFonts w:hint="eastAsia" w:ascii="宋体" w:hAnsi="宋体" w:eastAsia="宋体" w:cs="宋体"/>
          <w:b/>
          <w:color w:val="auto"/>
          <w:sz w:val="21"/>
          <w:szCs w:val="21"/>
          <w:highlight w:val="none"/>
        </w:rPr>
      </w:pPr>
    </w:p>
    <w:p>
      <w:pPr>
        <w:pStyle w:val="19"/>
        <w:spacing w:line="440" w:lineRule="exact"/>
        <w:rPr>
          <w:rFonts w:hint="eastAsia" w:ascii="宋体" w:hAnsi="宋体" w:eastAsia="宋体" w:cs="宋体"/>
          <w:b/>
          <w:color w:val="auto"/>
          <w:sz w:val="21"/>
          <w:szCs w:val="21"/>
          <w:highlight w:val="none"/>
        </w:rPr>
      </w:pPr>
    </w:p>
    <w:p>
      <w:pPr>
        <w:pStyle w:val="19"/>
        <w:spacing w:line="440" w:lineRule="exact"/>
        <w:rPr>
          <w:rFonts w:hint="eastAsia" w:ascii="宋体" w:hAnsi="宋体" w:eastAsia="宋体" w:cs="宋体"/>
          <w:b/>
          <w:color w:val="auto"/>
          <w:sz w:val="21"/>
          <w:szCs w:val="21"/>
          <w:highlight w:val="none"/>
        </w:rPr>
      </w:pPr>
    </w:p>
    <w:p>
      <w:pPr>
        <w:pStyle w:val="19"/>
        <w:spacing w:line="440" w:lineRule="exact"/>
        <w:rPr>
          <w:rFonts w:hint="eastAsia" w:ascii="宋体" w:hAnsi="宋体" w:eastAsia="宋体" w:cs="宋体"/>
          <w:b/>
          <w:color w:val="auto"/>
          <w:sz w:val="21"/>
          <w:szCs w:val="21"/>
          <w:highlight w:val="none"/>
        </w:rPr>
      </w:pPr>
    </w:p>
    <w:p>
      <w:pPr>
        <w:pStyle w:val="19"/>
        <w:spacing w:line="440" w:lineRule="exact"/>
        <w:rPr>
          <w:rFonts w:hint="eastAsia" w:ascii="宋体" w:hAnsi="宋体" w:eastAsia="宋体" w:cs="宋体"/>
          <w:b/>
          <w:color w:val="auto"/>
          <w:sz w:val="21"/>
          <w:szCs w:val="21"/>
          <w:highlight w:val="none"/>
        </w:rPr>
      </w:pPr>
    </w:p>
    <w:p>
      <w:pPr>
        <w:pStyle w:val="19"/>
        <w:spacing w:line="440" w:lineRule="exact"/>
        <w:rPr>
          <w:rFonts w:hint="eastAsia" w:ascii="宋体" w:hAnsi="宋体" w:eastAsia="宋体" w:cs="宋体"/>
          <w:b/>
          <w:color w:val="auto"/>
          <w:sz w:val="21"/>
          <w:szCs w:val="21"/>
          <w:highlight w:val="none"/>
        </w:rPr>
      </w:pPr>
    </w:p>
    <w:p>
      <w:pPr>
        <w:pStyle w:val="19"/>
        <w:spacing w:line="440" w:lineRule="exact"/>
        <w:rPr>
          <w:rFonts w:hint="eastAsia" w:ascii="宋体" w:hAnsi="宋体" w:eastAsia="宋体" w:cs="宋体"/>
          <w:b/>
          <w:color w:val="auto"/>
          <w:sz w:val="21"/>
          <w:szCs w:val="21"/>
          <w:highlight w:val="none"/>
        </w:rPr>
      </w:pPr>
    </w:p>
    <w:p>
      <w:pPr>
        <w:pStyle w:val="19"/>
        <w:spacing w:line="440" w:lineRule="exact"/>
        <w:rPr>
          <w:rFonts w:hint="eastAsia" w:ascii="宋体" w:hAnsi="宋体" w:eastAsia="宋体" w:cs="宋体"/>
          <w:b/>
          <w:color w:val="auto"/>
          <w:sz w:val="21"/>
          <w:szCs w:val="21"/>
          <w:highlight w:val="none"/>
        </w:rPr>
      </w:pPr>
    </w:p>
    <w:p>
      <w:pPr>
        <w:pStyle w:val="19"/>
        <w:spacing w:line="440" w:lineRule="exact"/>
        <w:rPr>
          <w:rFonts w:hint="eastAsia" w:ascii="宋体" w:hAnsi="宋体" w:eastAsia="宋体" w:cs="宋体"/>
          <w:b/>
          <w:color w:val="auto"/>
          <w:sz w:val="21"/>
          <w:szCs w:val="21"/>
          <w:highlight w:val="none"/>
        </w:rPr>
      </w:pPr>
    </w:p>
    <w:p>
      <w:pPr>
        <w:pStyle w:val="19"/>
        <w:spacing w:line="440" w:lineRule="exact"/>
        <w:rPr>
          <w:rFonts w:hAnsi="宋体"/>
          <w:b/>
          <w:color w:val="auto"/>
          <w:sz w:val="24"/>
          <w:szCs w:val="24"/>
          <w:highlight w:val="none"/>
        </w:rPr>
      </w:pPr>
    </w:p>
    <w:p>
      <w:pPr>
        <w:pStyle w:val="19"/>
        <w:spacing w:line="440" w:lineRule="exact"/>
        <w:rPr>
          <w:rFonts w:hint="eastAsia" w:hAnsi="宋体"/>
          <w:b/>
          <w:color w:val="auto"/>
          <w:sz w:val="24"/>
          <w:szCs w:val="24"/>
          <w:highlight w:val="none"/>
        </w:rPr>
      </w:pPr>
    </w:p>
    <w:p>
      <w:pPr>
        <w:pStyle w:val="19"/>
        <w:spacing w:line="440" w:lineRule="exact"/>
        <w:rPr>
          <w:rFonts w:hAnsi="宋体"/>
          <w:b/>
          <w:color w:val="auto"/>
          <w:sz w:val="24"/>
          <w:szCs w:val="24"/>
          <w:highlight w:val="none"/>
        </w:rPr>
      </w:pPr>
      <w:r>
        <w:rPr>
          <w:rFonts w:hint="eastAsia" w:hAnsi="宋体"/>
          <w:b/>
          <w:color w:val="auto"/>
          <w:sz w:val="24"/>
          <w:szCs w:val="24"/>
          <w:highlight w:val="none"/>
        </w:rPr>
        <w:t>附件五：</w:t>
      </w:r>
    </w:p>
    <w:p>
      <w:pPr>
        <w:pStyle w:val="19"/>
        <w:spacing w:line="440" w:lineRule="exact"/>
        <w:ind w:firstLine="2570" w:firstLineChars="800"/>
        <w:rPr>
          <w:rFonts w:hAnsi="宋体"/>
          <w:b/>
          <w:color w:val="auto"/>
          <w:sz w:val="32"/>
          <w:szCs w:val="32"/>
          <w:highlight w:val="none"/>
        </w:rPr>
      </w:pPr>
    </w:p>
    <w:p>
      <w:pPr>
        <w:pStyle w:val="19"/>
        <w:spacing w:line="440" w:lineRule="exact"/>
        <w:ind w:firstLine="2570" w:firstLineChars="800"/>
        <w:rPr>
          <w:rFonts w:hAnsi="宋体"/>
          <w:b/>
          <w:color w:val="auto"/>
          <w:sz w:val="32"/>
          <w:szCs w:val="32"/>
          <w:highlight w:val="none"/>
        </w:rPr>
      </w:pPr>
    </w:p>
    <w:p>
      <w:pPr>
        <w:pStyle w:val="19"/>
        <w:spacing w:line="440" w:lineRule="exact"/>
        <w:rPr>
          <w:rFonts w:hAnsi="宋体"/>
          <w:b/>
          <w:color w:val="auto"/>
          <w:sz w:val="32"/>
          <w:szCs w:val="32"/>
          <w:highlight w:val="none"/>
        </w:rPr>
      </w:pPr>
      <w:r>
        <w:rPr>
          <w:rFonts w:hint="eastAsia" w:hAnsi="宋体"/>
          <w:b/>
          <w:color w:val="auto"/>
          <w:sz w:val="32"/>
          <w:szCs w:val="32"/>
          <w:highlight w:val="none"/>
        </w:rPr>
        <w:t>技术响应、偏离情况说明表</w:t>
      </w:r>
    </w:p>
    <w:p>
      <w:pPr>
        <w:spacing w:line="300" w:lineRule="auto"/>
        <w:rPr>
          <w:rFonts w:ascii="宋体" w:hAnsi="宋体" w:eastAsia="宋体"/>
          <w:color w:val="auto"/>
          <w:szCs w:val="21"/>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spacing w:line="300" w:lineRule="auto"/>
        <w:rPr>
          <w:rFonts w:ascii="宋体" w:hAnsi="宋体" w:eastAsia="宋体"/>
          <w:color w:val="auto"/>
          <w:szCs w:val="21"/>
          <w:highlight w:val="none"/>
          <w:u w:val="single"/>
        </w:rPr>
      </w:pPr>
      <w:r>
        <w:rPr>
          <w:rFonts w:hint="eastAsia" w:ascii="宋体" w:hAnsi="宋体" w:eastAsia="宋体"/>
          <w:color w:val="auto"/>
          <w:szCs w:val="21"/>
          <w:highlight w:val="none"/>
        </w:rPr>
        <w:t>采购编号：</w:t>
      </w:r>
    </w:p>
    <w:p>
      <w:pPr>
        <w:spacing w:line="300" w:lineRule="auto"/>
        <w:rPr>
          <w:rFonts w:ascii="宋体" w:hAnsi="宋体" w:eastAsia="宋体"/>
          <w:b/>
          <w:color w:val="auto"/>
          <w:szCs w:val="21"/>
          <w:highlight w:val="none"/>
        </w:rPr>
      </w:pPr>
      <w:r>
        <w:rPr>
          <w:rFonts w:hint="eastAsia" w:ascii="宋体" w:hAnsi="宋体" w:eastAsia="宋体"/>
          <w:color w:val="auto"/>
          <w:szCs w:val="21"/>
          <w:highlight w:val="none"/>
        </w:rPr>
        <w:t>项目名称：</w:t>
      </w:r>
    </w:p>
    <w:tbl>
      <w:tblPr>
        <w:tblStyle w:val="38"/>
        <w:tblW w:w="9297"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28"/>
        <w:gridCol w:w="2774"/>
        <w:gridCol w:w="2720"/>
        <w:gridCol w:w="1633"/>
        <w:gridCol w:w="134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3" w:hRule="atLeast"/>
        </w:trPr>
        <w:tc>
          <w:tcPr>
            <w:tcW w:w="828" w:type="dxa"/>
            <w:vAlign w:val="center"/>
          </w:tcPr>
          <w:p>
            <w:pPr>
              <w:spacing w:line="300" w:lineRule="auto"/>
              <w:jc w:val="center"/>
              <w:outlineLvl w:val="9"/>
              <w:rPr>
                <w:rFonts w:ascii="宋体" w:hAnsi="宋体" w:eastAsia="宋体"/>
                <w:color w:val="auto"/>
                <w:szCs w:val="21"/>
                <w:highlight w:val="none"/>
              </w:rPr>
            </w:pPr>
            <w:bookmarkStart w:id="100" w:name="_Toc173066401"/>
            <w:bookmarkStart w:id="101" w:name="_Toc392056928"/>
            <w:bookmarkStart w:id="102" w:name="_Toc437203424"/>
            <w:bookmarkStart w:id="103" w:name="_Toc254970729"/>
            <w:bookmarkStart w:id="104" w:name="_Toc254970588"/>
            <w:bookmarkStart w:id="105" w:name="_Toc173211900"/>
            <w:r>
              <w:rPr>
                <w:rFonts w:hint="eastAsia" w:ascii="宋体" w:hAnsi="宋体" w:eastAsia="宋体"/>
                <w:color w:val="auto"/>
                <w:szCs w:val="21"/>
                <w:highlight w:val="none"/>
              </w:rPr>
              <w:t>序号</w:t>
            </w:r>
            <w:bookmarkEnd w:id="100"/>
            <w:bookmarkEnd w:id="101"/>
            <w:bookmarkEnd w:id="102"/>
            <w:bookmarkEnd w:id="103"/>
            <w:bookmarkEnd w:id="104"/>
            <w:bookmarkEnd w:id="105"/>
          </w:p>
        </w:tc>
        <w:tc>
          <w:tcPr>
            <w:tcW w:w="2774" w:type="dxa"/>
            <w:vAlign w:val="center"/>
          </w:tcPr>
          <w:p>
            <w:pPr>
              <w:spacing w:line="300" w:lineRule="auto"/>
              <w:jc w:val="center"/>
              <w:outlineLvl w:val="9"/>
              <w:rPr>
                <w:rFonts w:ascii="宋体" w:hAnsi="宋体" w:eastAsia="宋体"/>
                <w:color w:val="auto"/>
                <w:szCs w:val="21"/>
                <w:highlight w:val="none"/>
              </w:rPr>
            </w:pPr>
            <w:bookmarkStart w:id="106" w:name="_Toc173066402"/>
            <w:bookmarkStart w:id="107" w:name="_Toc392056929"/>
            <w:bookmarkStart w:id="108" w:name="_Toc254970589"/>
            <w:bookmarkStart w:id="109" w:name="_Toc254970730"/>
            <w:bookmarkStart w:id="110" w:name="_Toc173211901"/>
            <w:bookmarkStart w:id="111" w:name="_Toc437203425"/>
            <w:r>
              <w:rPr>
                <w:rFonts w:hint="eastAsia" w:ascii="宋体" w:hAnsi="宋体" w:eastAsia="宋体"/>
                <w:color w:val="auto"/>
                <w:szCs w:val="21"/>
                <w:highlight w:val="none"/>
              </w:rPr>
              <w:t>竞争性谈判文件要求</w:t>
            </w:r>
            <w:bookmarkEnd w:id="106"/>
            <w:bookmarkEnd w:id="107"/>
            <w:bookmarkEnd w:id="108"/>
            <w:bookmarkEnd w:id="109"/>
            <w:bookmarkEnd w:id="110"/>
            <w:bookmarkEnd w:id="111"/>
          </w:p>
        </w:tc>
        <w:tc>
          <w:tcPr>
            <w:tcW w:w="2720" w:type="dxa"/>
            <w:vAlign w:val="center"/>
          </w:tcPr>
          <w:p>
            <w:pPr>
              <w:spacing w:line="300" w:lineRule="auto"/>
              <w:jc w:val="center"/>
              <w:outlineLvl w:val="9"/>
              <w:rPr>
                <w:rFonts w:ascii="宋体" w:hAnsi="宋体" w:eastAsia="宋体"/>
                <w:color w:val="auto"/>
                <w:szCs w:val="21"/>
                <w:highlight w:val="none"/>
              </w:rPr>
            </w:pPr>
            <w:bookmarkStart w:id="112" w:name="_Toc254970590"/>
            <w:bookmarkStart w:id="113" w:name="_Toc392056930"/>
            <w:bookmarkStart w:id="114" w:name="_Toc173066403"/>
            <w:bookmarkStart w:id="115" w:name="_Toc254970731"/>
            <w:bookmarkStart w:id="116" w:name="_Toc437203426"/>
            <w:bookmarkStart w:id="117" w:name="_Toc173211902"/>
            <w:r>
              <w:rPr>
                <w:rFonts w:hint="eastAsia" w:ascii="宋体" w:hAnsi="宋体" w:eastAsia="宋体"/>
                <w:color w:val="auto"/>
                <w:szCs w:val="21"/>
                <w:highlight w:val="none"/>
              </w:rPr>
              <w:t>谈判响应文件具体响应</w:t>
            </w:r>
            <w:bookmarkEnd w:id="112"/>
            <w:bookmarkEnd w:id="113"/>
            <w:bookmarkEnd w:id="114"/>
            <w:bookmarkEnd w:id="115"/>
            <w:bookmarkEnd w:id="116"/>
            <w:bookmarkEnd w:id="117"/>
          </w:p>
        </w:tc>
        <w:tc>
          <w:tcPr>
            <w:tcW w:w="1633" w:type="dxa"/>
            <w:vAlign w:val="center"/>
          </w:tcPr>
          <w:p>
            <w:pPr>
              <w:spacing w:line="300" w:lineRule="auto"/>
              <w:jc w:val="center"/>
              <w:outlineLvl w:val="9"/>
              <w:rPr>
                <w:rFonts w:ascii="宋体" w:hAnsi="宋体" w:eastAsia="宋体"/>
                <w:color w:val="auto"/>
                <w:szCs w:val="21"/>
                <w:highlight w:val="none"/>
              </w:rPr>
            </w:pPr>
            <w:bookmarkStart w:id="118" w:name="_Toc437203427"/>
            <w:bookmarkStart w:id="119" w:name="_Toc173066404"/>
            <w:bookmarkStart w:id="120" w:name="_Toc254970732"/>
            <w:bookmarkStart w:id="121" w:name="_Toc392056931"/>
            <w:bookmarkStart w:id="122" w:name="_Toc173211903"/>
            <w:bookmarkStart w:id="123" w:name="_Toc254970591"/>
            <w:r>
              <w:rPr>
                <w:rFonts w:hint="eastAsia" w:ascii="宋体" w:hAnsi="宋体" w:eastAsia="宋体"/>
                <w:color w:val="auto"/>
                <w:szCs w:val="21"/>
                <w:highlight w:val="none"/>
              </w:rPr>
              <w:t>响应/偏离</w:t>
            </w:r>
            <w:bookmarkEnd w:id="118"/>
            <w:bookmarkEnd w:id="119"/>
            <w:bookmarkEnd w:id="120"/>
            <w:bookmarkEnd w:id="121"/>
            <w:bookmarkEnd w:id="122"/>
            <w:bookmarkEnd w:id="123"/>
          </w:p>
        </w:tc>
        <w:tc>
          <w:tcPr>
            <w:tcW w:w="1342" w:type="dxa"/>
            <w:vAlign w:val="center"/>
          </w:tcPr>
          <w:p>
            <w:pPr>
              <w:spacing w:line="300" w:lineRule="auto"/>
              <w:jc w:val="center"/>
              <w:outlineLvl w:val="9"/>
              <w:rPr>
                <w:rFonts w:ascii="宋体" w:hAnsi="宋体" w:eastAsia="宋体"/>
                <w:color w:val="auto"/>
                <w:szCs w:val="21"/>
                <w:highlight w:val="none"/>
              </w:rPr>
            </w:pPr>
            <w:bookmarkStart w:id="124" w:name="_Toc254970592"/>
            <w:bookmarkStart w:id="125" w:name="_Toc173066405"/>
            <w:bookmarkStart w:id="126" w:name="_Toc437203428"/>
            <w:bookmarkStart w:id="127" w:name="_Toc392056932"/>
            <w:bookmarkStart w:id="128" w:name="_Toc254970733"/>
            <w:bookmarkStart w:id="129" w:name="_Toc173211904"/>
            <w:r>
              <w:rPr>
                <w:rFonts w:hint="eastAsia" w:ascii="宋体" w:hAnsi="宋体" w:eastAsia="宋体"/>
                <w:color w:val="auto"/>
                <w:szCs w:val="21"/>
                <w:highlight w:val="none"/>
              </w:rPr>
              <w:t>说明</w:t>
            </w:r>
            <w:bookmarkEnd w:id="124"/>
            <w:bookmarkEnd w:id="125"/>
            <w:bookmarkEnd w:id="126"/>
            <w:bookmarkEnd w:id="127"/>
            <w:bookmarkEnd w:id="128"/>
            <w:bookmarkEnd w:id="129"/>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828" w:type="dxa"/>
            <w:vAlign w:val="center"/>
          </w:tcPr>
          <w:p>
            <w:pPr>
              <w:spacing w:line="300" w:lineRule="auto"/>
              <w:jc w:val="center"/>
              <w:outlineLvl w:val="9"/>
              <w:rPr>
                <w:rFonts w:ascii="宋体" w:hAnsi="宋体" w:eastAsia="宋体"/>
                <w:color w:val="auto"/>
                <w:szCs w:val="21"/>
                <w:highlight w:val="none"/>
              </w:rPr>
            </w:pPr>
            <w:bookmarkStart w:id="130" w:name="_Toc173066406"/>
            <w:bookmarkStart w:id="131" w:name="_Toc392056933"/>
            <w:bookmarkStart w:id="132" w:name="_Toc173211905"/>
            <w:bookmarkStart w:id="133" w:name="_Toc254970734"/>
            <w:bookmarkStart w:id="134" w:name="_Toc254970593"/>
            <w:bookmarkStart w:id="135" w:name="_Toc437203429"/>
            <w:r>
              <w:rPr>
                <w:rFonts w:hint="eastAsia" w:ascii="宋体" w:hAnsi="宋体" w:eastAsia="宋体"/>
                <w:color w:val="auto"/>
                <w:szCs w:val="21"/>
                <w:highlight w:val="none"/>
              </w:rPr>
              <w:t>1</w:t>
            </w:r>
            <w:bookmarkEnd w:id="130"/>
            <w:bookmarkEnd w:id="131"/>
            <w:bookmarkEnd w:id="132"/>
            <w:bookmarkEnd w:id="133"/>
            <w:bookmarkEnd w:id="134"/>
            <w:bookmarkEnd w:id="135"/>
          </w:p>
        </w:tc>
        <w:tc>
          <w:tcPr>
            <w:tcW w:w="2774" w:type="dxa"/>
            <w:vAlign w:val="center"/>
          </w:tcPr>
          <w:p>
            <w:pPr>
              <w:spacing w:line="300" w:lineRule="auto"/>
              <w:jc w:val="center"/>
              <w:outlineLvl w:val="9"/>
              <w:rPr>
                <w:rFonts w:ascii="宋体" w:hAnsi="宋体" w:eastAsia="宋体"/>
                <w:color w:val="auto"/>
                <w:szCs w:val="21"/>
                <w:highlight w:val="none"/>
              </w:rPr>
            </w:pPr>
          </w:p>
        </w:tc>
        <w:tc>
          <w:tcPr>
            <w:tcW w:w="2720" w:type="dxa"/>
            <w:vAlign w:val="center"/>
          </w:tcPr>
          <w:p>
            <w:pPr>
              <w:spacing w:line="300" w:lineRule="auto"/>
              <w:jc w:val="center"/>
              <w:outlineLvl w:val="9"/>
              <w:rPr>
                <w:rFonts w:ascii="宋体" w:hAnsi="宋体" w:eastAsia="宋体"/>
                <w:color w:val="auto"/>
                <w:szCs w:val="21"/>
                <w:highlight w:val="none"/>
              </w:rPr>
            </w:pPr>
          </w:p>
        </w:tc>
        <w:tc>
          <w:tcPr>
            <w:tcW w:w="1633" w:type="dxa"/>
            <w:vAlign w:val="center"/>
          </w:tcPr>
          <w:p>
            <w:pPr>
              <w:spacing w:line="300" w:lineRule="auto"/>
              <w:jc w:val="center"/>
              <w:outlineLvl w:val="9"/>
              <w:rPr>
                <w:rFonts w:ascii="宋体" w:hAnsi="宋体" w:eastAsia="宋体"/>
                <w:color w:val="auto"/>
                <w:szCs w:val="21"/>
                <w:highlight w:val="none"/>
              </w:rPr>
            </w:pPr>
          </w:p>
        </w:tc>
        <w:tc>
          <w:tcPr>
            <w:tcW w:w="1342" w:type="dxa"/>
            <w:vAlign w:val="center"/>
          </w:tcPr>
          <w:p>
            <w:pPr>
              <w:spacing w:line="300" w:lineRule="auto"/>
              <w:jc w:val="center"/>
              <w:outlineLvl w:val="9"/>
              <w:rPr>
                <w:rFonts w:ascii="宋体" w:hAnsi="宋体"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828" w:type="dxa"/>
            <w:vAlign w:val="center"/>
          </w:tcPr>
          <w:p>
            <w:pPr>
              <w:spacing w:line="300" w:lineRule="auto"/>
              <w:jc w:val="center"/>
              <w:outlineLvl w:val="9"/>
              <w:rPr>
                <w:rFonts w:ascii="宋体" w:hAnsi="宋体" w:eastAsia="宋体"/>
                <w:color w:val="auto"/>
                <w:szCs w:val="21"/>
                <w:highlight w:val="none"/>
              </w:rPr>
            </w:pPr>
            <w:bookmarkStart w:id="136" w:name="_Toc254970735"/>
            <w:bookmarkStart w:id="137" w:name="_Toc437203430"/>
            <w:bookmarkStart w:id="138" w:name="_Toc173066407"/>
            <w:bookmarkStart w:id="139" w:name="_Toc173211906"/>
            <w:bookmarkStart w:id="140" w:name="_Toc254970594"/>
            <w:bookmarkStart w:id="141" w:name="_Toc392056934"/>
            <w:r>
              <w:rPr>
                <w:rFonts w:hint="eastAsia" w:ascii="宋体" w:hAnsi="宋体" w:eastAsia="宋体"/>
                <w:color w:val="auto"/>
                <w:szCs w:val="21"/>
                <w:highlight w:val="none"/>
              </w:rPr>
              <w:t>2</w:t>
            </w:r>
            <w:bookmarkEnd w:id="136"/>
            <w:bookmarkEnd w:id="137"/>
            <w:bookmarkEnd w:id="138"/>
            <w:bookmarkEnd w:id="139"/>
            <w:bookmarkEnd w:id="140"/>
            <w:bookmarkEnd w:id="141"/>
          </w:p>
        </w:tc>
        <w:tc>
          <w:tcPr>
            <w:tcW w:w="2774" w:type="dxa"/>
            <w:vAlign w:val="center"/>
          </w:tcPr>
          <w:p>
            <w:pPr>
              <w:spacing w:line="300" w:lineRule="auto"/>
              <w:jc w:val="center"/>
              <w:outlineLvl w:val="9"/>
              <w:rPr>
                <w:rFonts w:ascii="宋体" w:hAnsi="宋体" w:eastAsia="宋体"/>
                <w:color w:val="auto"/>
                <w:szCs w:val="21"/>
                <w:highlight w:val="none"/>
              </w:rPr>
            </w:pPr>
          </w:p>
        </w:tc>
        <w:tc>
          <w:tcPr>
            <w:tcW w:w="2720" w:type="dxa"/>
            <w:vAlign w:val="center"/>
          </w:tcPr>
          <w:p>
            <w:pPr>
              <w:spacing w:line="300" w:lineRule="auto"/>
              <w:jc w:val="center"/>
              <w:outlineLvl w:val="9"/>
              <w:rPr>
                <w:rFonts w:ascii="宋体" w:hAnsi="宋体" w:eastAsia="宋体"/>
                <w:color w:val="auto"/>
                <w:szCs w:val="21"/>
                <w:highlight w:val="none"/>
              </w:rPr>
            </w:pPr>
          </w:p>
        </w:tc>
        <w:tc>
          <w:tcPr>
            <w:tcW w:w="1633" w:type="dxa"/>
            <w:vAlign w:val="center"/>
          </w:tcPr>
          <w:p>
            <w:pPr>
              <w:spacing w:line="300" w:lineRule="auto"/>
              <w:jc w:val="center"/>
              <w:outlineLvl w:val="9"/>
              <w:rPr>
                <w:rFonts w:ascii="宋体" w:hAnsi="宋体" w:eastAsia="宋体"/>
                <w:color w:val="auto"/>
                <w:szCs w:val="21"/>
                <w:highlight w:val="none"/>
              </w:rPr>
            </w:pPr>
          </w:p>
        </w:tc>
        <w:tc>
          <w:tcPr>
            <w:tcW w:w="1342" w:type="dxa"/>
            <w:vAlign w:val="center"/>
          </w:tcPr>
          <w:p>
            <w:pPr>
              <w:spacing w:line="300" w:lineRule="auto"/>
              <w:jc w:val="center"/>
              <w:outlineLvl w:val="9"/>
              <w:rPr>
                <w:rFonts w:ascii="宋体" w:hAnsi="宋体"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828" w:type="dxa"/>
            <w:vAlign w:val="center"/>
          </w:tcPr>
          <w:p>
            <w:pPr>
              <w:spacing w:line="300" w:lineRule="auto"/>
              <w:jc w:val="center"/>
              <w:outlineLvl w:val="9"/>
              <w:rPr>
                <w:rFonts w:ascii="宋体" w:hAnsi="宋体" w:eastAsia="宋体"/>
                <w:color w:val="auto"/>
                <w:szCs w:val="21"/>
                <w:highlight w:val="none"/>
              </w:rPr>
            </w:pPr>
            <w:bookmarkStart w:id="142" w:name="_Toc173211907"/>
            <w:bookmarkStart w:id="143" w:name="_Toc254970736"/>
            <w:bookmarkStart w:id="144" w:name="_Toc173066408"/>
            <w:bookmarkStart w:id="145" w:name="_Toc437203431"/>
            <w:bookmarkStart w:id="146" w:name="_Toc392056935"/>
            <w:bookmarkStart w:id="147" w:name="_Toc254970595"/>
            <w:r>
              <w:rPr>
                <w:rFonts w:hint="eastAsia" w:ascii="宋体" w:hAnsi="宋体" w:eastAsia="宋体"/>
                <w:color w:val="auto"/>
                <w:szCs w:val="21"/>
                <w:highlight w:val="none"/>
              </w:rPr>
              <w:t>3</w:t>
            </w:r>
            <w:bookmarkEnd w:id="142"/>
            <w:bookmarkEnd w:id="143"/>
            <w:bookmarkEnd w:id="144"/>
            <w:bookmarkEnd w:id="145"/>
            <w:bookmarkEnd w:id="146"/>
            <w:bookmarkEnd w:id="147"/>
          </w:p>
        </w:tc>
        <w:tc>
          <w:tcPr>
            <w:tcW w:w="2774" w:type="dxa"/>
            <w:vAlign w:val="center"/>
          </w:tcPr>
          <w:p>
            <w:pPr>
              <w:spacing w:line="300" w:lineRule="auto"/>
              <w:jc w:val="center"/>
              <w:outlineLvl w:val="9"/>
              <w:rPr>
                <w:rFonts w:ascii="宋体" w:hAnsi="宋体" w:eastAsia="宋体"/>
                <w:color w:val="auto"/>
                <w:szCs w:val="21"/>
                <w:highlight w:val="none"/>
              </w:rPr>
            </w:pPr>
          </w:p>
        </w:tc>
        <w:tc>
          <w:tcPr>
            <w:tcW w:w="2720" w:type="dxa"/>
            <w:vAlign w:val="center"/>
          </w:tcPr>
          <w:p>
            <w:pPr>
              <w:spacing w:line="300" w:lineRule="auto"/>
              <w:jc w:val="center"/>
              <w:outlineLvl w:val="9"/>
              <w:rPr>
                <w:rFonts w:ascii="宋体" w:hAnsi="宋体" w:eastAsia="宋体"/>
                <w:color w:val="auto"/>
                <w:szCs w:val="21"/>
                <w:highlight w:val="none"/>
              </w:rPr>
            </w:pPr>
          </w:p>
        </w:tc>
        <w:tc>
          <w:tcPr>
            <w:tcW w:w="1633" w:type="dxa"/>
            <w:vAlign w:val="center"/>
          </w:tcPr>
          <w:p>
            <w:pPr>
              <w:spacing w:line="300" w:lineRule="auto"/>
              <w:jc w:val="center"/>
              <w:outlineLvl w:val="9"/>
              <w:rPr>
                <w:rFonts w:ascii="宋体" w:hAnsi="宋体" w:eastAsia="宋体"/>
                <w:color w:val="auto"/>
                <w:szCs w:val="21"/>
                <w:highlight w:val="none"/>
              </w:rPr>
            </w:pPr>
          </w:p>
        </w:tc>
        <w:tc>
          <w:tcPr>
            <w:tcW w:w="1342" w:type="dxa"/>
            <w:vAlign w:val="center"/>
          </w:tcPr>
          <w:p>
            <w:pPr>
              <w:spacing w:line="300" w:lineRule="auto"/>
              <w:jc w:val="center"/>
              <w:outlineLvl w:val="9"/>
              <w:rPr>
                <w:rFonts w:ascii="宋体" w:hAnsi="宋体"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828" w:type="dxa"/>
            <w:vAlign w:val="center"/>
          </w:tcPr>
          <w:p>
            <w:pPr>
              <w:spacing w:line="300" w:lineRule="auto"/>
              <w:jc w:val="center"/>
              <w:outlineLvl w:val="9"/>
              <w:rPr>
                <w:rFonts w:ascii="宋体" w:hAnsi="宋体" w:eastAsia="宋体"/>
                <w:color w:val="auto"/>
                <w:szCs w:val="21"/>
                <w:highlight w:val="none"/>
              </w:rPr>
            </w:pPr>
            <w:bookmarkStart w:id="148" w:name="_Toc173211908"/>
            <w:bookmarkStart w:id="149" w:name="_Toc392056936"/>
            <w:bookmarkStart w:id="150" w:name="_Toc254970737"/>
            <w:bookmarkStart w:id="151" w:name="_Toc254970596"/>
            <w:bookmarkStart w:id="152" w:name="_Toc437203432"/>
            <w:bookmarkStart w:id="153" w:name="_Toc173066409"/>
            <w:r>
              <w:rPr>
                <w:rFonts w:hint="eastAsia" w:ascii="宋体" w:hAnsi="宋体" w:eastAsia="宋体"/>
                <w:color w:val="auto"/>
                <w:szCs w:val="21"/>
                <w:highlight w:val="none"/>
              </w:rPr>
              <w:t>4</w:t>
            </w:r>
            <w:bookmarkEnd w:id="148"/>
            <w:bookmarkEnd w:id="149"/>
            <w:bookmarkEnd w:id="150"/>
            <w:bookmarkEnd w:id="151"/>
            <w:bookmarkEnd w:id="152"/>
            <w:bookmarkEnd w:id="153"/>
          </w:p>
        </w:tc>
        <w:tc>
          <w:tcPr>
            <w:tcW w:w="2774" w:type="dxa"/>
            <w:vAlign w:val="center"/>
          </w:tcPr>
          <w:p>
            <w:pPr>
              <w:spacing w:line="300" w:lineRule="auto"/>
              <w:jc w:val="center"/>
              <w:outlineLvl w:val="9"/>
              <w:rPr>
                <w:rFonts w:ascii="宋体" w:hAnsi="宋体" w:eastAsia="宋体"/>
                <w:color w:val="auto"/>
                <w:szCs w:val="21"/>
                <w:highlight w:val="none"/>
              </w:rPr>
            </w:pPr>
          </w:p>
        </w:tc>
        <w:tc>
          <w:tcPr>
            <w:tcW w:w="2720" w:type="dxa"/>
            <w:vAlign w:val="center"/>
          </w:tcPr>
          <w:p>
            <w:pPr>
              <w:spacing w:line="300" w:lineRule="auto"/>
              <w:jc w:val="center"/>
              <w:outlineLvl w:val="9"/>
              <w:rPr>
                <w:rFonts w:ascii="宋体" w:hAnsi="宋体" w:eastAsia="宋体"/>
                <w:color w:val="auto"/>
                <w:szCs w:val="21"/>
                <w:highlight w:val="none"/>
              </w:rPr>
            </w:pPr>
          </w:p>
        </w:tc>
        <w:tc>
          <w:tcPr>
            <w:tcW w:w="1633" w:type="dxa"/>
            <w:vAlign w:val="center"/>
          </w:tcPr>
          <w:p>
            <w:pPr>
              <w:spacing w:line="300" w:lineRule="auto"/>
              <w:jc w:val="center"/>
              <w:outlineLvl w:val="9"/>
              <w:rPr>
                <w:rFonts w:ascii="宋体" w:hAnsi="宋体" w:eastAsia="宋体"/>
                <w:color w:val="auto"/>
                <w:szCs w:val="21"/>
                <w:highlight w:val="none"/>
              </w:rPr>
            </w:pPr>
          </w:p>
        </w:tc>
        <w:tc>
          <w:tcPr>
            <w:tcW w:w="1342" w:type="dxa"/>
            <w:vAlign w:val="center"/>
          </w:tcPr>
          <w:p>
            <w:pPr>
              <w:spacing w:line="300" w:lineRule="auto"/>
              <w:jc w:val="center"/>
              <w:outlineLvl w:val="9"/>
              <w:rPr>
                <w:rFonts w:ascii="宋体" w:hAnsi="宋体"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828" w:type="dxa"/>
            <w:vAlign w:val="center"/>
          </w:tcPr>
          <w:p>
            <w:pPr>
              <w:spacing w:line="300" w:lineRule="auto"/>
              <w:jc w:val="center"/>
              <w:outlineLvl w:val="9"/>
              <w:rPr>
                <w:rFonts w:ascii="宋体" w:hAnsi="宋体" w:eastAsia="宋体"/>
                <w:color w:val="auto"/>
                <w:szCs w:val="21"/>
                <w:highlight w:val="none"/>
              </w:rPr>
            </w:pPr>
            <w:bookmarkStart w:id="154" w:name="_Toc437203433"/>
            <w:bookmarkStart w:id="155" w:name="_Toc392056937"/>
            <w:bookmarkStart w:id="156" w:name="_Toc254970738"/>
            <w:bookmarkStart w:id="157" w:name="_Toc173066410"/>
            <w:bookmarkStart w:id="158" w:name="_Toc254970597"/>
            <w:bookmarkStart w:id="159" w:name="_Toc173211909"/>
            <w:r>
              <w:rPr>
                <w:rFonts w:hint="eastAsia" w:ascii="宋体" w:hAnsi="宋体" w:eastAsia="宋体"/>
                <w:color w:val="auto"/>
                <w:szCs w:val="21"/>
                <w:highlight w:val="none"/>
              </w:rPr>
              <w:t>5</w:t>
            </w:r>
            <w:bookmarkEnd w:id="154"/>
            <w:bookmarkEnd w:id="155"/>
            <w:bookmarkEnd w:id="156"/>
            <w:bookmarkEnd w:id="157"/>
            <w:bookmarkEnd w:id="158"/>
            <w:bookmarkEnd w:id="159"/>
          </w:p>
        </w:tc>
        <w:tc>
          <w:tcPr>
            <w:tcW w:w="2774" w:type="dxa"/>
            <w:vAlign w:val="center"/>
          </w:tcPr>
          <w:p>
            <w:pPr>
              <w:spacing w:line="300" w:lineRule="auto"/>
              <w:jc w:val="center"/>
              <w:outlineLvl w:val="9"/>
              <w:rPr>
                <w:rFonts w:ascii="宋体" w:hAnsi="宋体" w:eastAsia="宋体"/>
                <w:color w:val="auto"/>
                <w:szCs w:val="21"/>
                <w:highlight w:val="none"/>
              </w:rPr>
            </w:pPr>
          </w:p>
        </w:tc>
        <w:tc>
          <w:tcPr>
            <w:tcW w:w="2720" w:type="dxa"/>
            <w:vAlign w:val="center"/>
          </w:tcPr>
          <w:p>
            <w:pPr>
              <w:spacing w:line="300" w:lineRule="auto"/>
              <w:jc w:val="center"/>
              <w:outlineLvl w:val="9"/>
              <w:rPr>
                <w:rFonts w:ascii="宋体" w:hAnsi="宋体" w:eastAsia="宋体"/>
                <w:color w:val="auto"/>
                <w:szCs w:val="21"/>
                <w:highlight w:val="none"/>
              </w:rPr>
            </w:pPr>
          </w:p>
        </w:tc>
        <w:tc>
          <w:tcPr>
            <w:tcW w:w="1633" w:type="dxa"/>
            <w:vAlign w:val="center"/>
          </w:tcPr>
          <w:p>
            <w:pPr>
              <w:spacing w:line="300" w:lineRule="auto"/>
              <w:jc w:val="center"/>
              <w:outlineLvl w:val="9"/>
              <w:rPr>
                <w:rFonts w:ascii="宋体" w:hAnsi="宋体" w:eastAsia="宋体"/>
                <w:color w:val="auto"/>
                <w:szCs w:val="21"/>
                <w:highlight w:val="none"/>
              </w:rPr>
            </w:pPr>
          </w:p>
        </w:tc>
        <w:tc>
          <w:tcPr>
            <w:tcW w:w="1342" w:type="dxa"/>
            <w:vAlign w:val="center"/>
          </w:tcPr>
          <w:p>
            <w:pPr>
              <w:spacing w:line="300" w:lineRule="auto"/>
              <w:jc w:val="center"/>
              <w:outlineLvl w:val="9"/>
              <w:rPr>
                <w:rFonts w:ascii="宋体" w:hAnsi="宋体"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828" w:type="dxa"/>
            <w:vAlign w:val="center"/>
          </w:tcPr>
          <w:p>
            <w:pPr>
              <w:spacing w:line="300" w:lineRule="auto"/>
              <w:jc w:val="center"/>
              <w:outlineLvl w:val="9"/>
              <w:rPr>
                <w:rFonts w:ascii="宋体" w:hAnsi="宋体" w:eastAsia="宋体"/>
                <w:color w:val="auto"/>
                <w:szCs w:val="21"/>
                <w:highlight w:val="none"/>
              </w:rPr>
            </w:pPr>
            <w:bookmarkStart w:id="160" w:name="_Toc173211914"/>
            <w:bookmarkStart w:id="161" w:name="_Toc254970743"/>
            <w:bookmarkStart w:id="162" w:name="_Toc254970602"/>
            <w:bookmarkStart w:id="163" w:name="_Toc392056938"/>
            <w:bookmarkStart w:id="164" w:name="_Toc173066415"/>
            <w:bookmarkStart w:id="165" w:name="_Toc437203434"/>
            <w:r>
              <w:rPr>
                <w:rFonts w:hint="eastAsia" w:ascii="宋体" w:hAnsi="宋体" w:eastAsia="宋体"/>
                <w:color w:val="auto"/>
                <w:szCs w:val="21"/>
                <w:highlight w:val="none"/>
              </w:rPr>
              <w:t>…</w:t>
            </w:r>
            <w:bookmarkEnd w:id="160"/>
            <w:bookmarkEnd w:id="161"/>
            <w:bookmarkEnd w:id="162"/>
            <w:bookmarkEnd w:id="163"/>
            <w:bookmarkEnd w:id="164"/>
            <w:bookmarkEnd w:id="165"/>
          </w:p>
        </w:tc>
        <w:tc>
          <w:tcPr>
            <w:tcW w:w="2774" w:type="dxa"/>
            <w:vAlign w:val="center"/>
          </w:tcPr>
          <w:p>
            <w:pPr>
              <w:spacing w:line="300" w:lineRule="auto"/>
              <w:jc w:val="center"/>
              <w:outlineLvl w:val="9"/>
              <w:rPr>
                <w:rFonts w:ascii="宋体" w:hAnsi="宋体" w:eastAsia="宋体"/>
                <w:color w:val="auto"/>
                <w:szCs w:val="21"/>
                <w:highlight w:val="none"/>
              </w:rPr>
            </w:pPr>
          </w:p>
        </w:tc>
        <w:tc>
          <w:tcPr>
            <w:tcW w:w="2720" w:type="dxa"/>
            <w:vAlign w:val="center"/>
          </w:tcPr>
          <w:p>
            <w:pPr>
              <w:spacing w:line="300" w:lineRule="auto"/>
              <w:jc w:val="center"/>
              <w:outlineLvl w:val="9"/>
              <w:rPr>
                <w:rFonts w:ascii="宋体" w:hAnsi="宋体" w:eastAsia="宋体"/>
                <w:color w:val="auto"/>
                <w:szCs w:val="21"/>
                <w:highlight w:val="none"/>
              </w:rPr>
            </w:pPr>
          </w:p>
        </w:tc>
        <w:tc>
          <w:tcPr>
            <w:tcW w:w="1633" w:type="dxa"/>
            <w:tcBorders>
              <w:right w:val="single" w:color="auto" w:sz="4" w:space="0"/>
            </w:tcBorders>
            <w:vAlign w:val="center"/>
          </w:tcPr>
          <w:p>
            <w:pPr>
              <w:spacing w:line="300" w:lineRule="auto"/>
              <w:jc w:val="center"/>
              <w:outlineLvl w:val="9"/>
              <w:rPr>
                <w:rFonts w:ascii="宋体" w:hAnsi="宋体" w:eastAsia="宋体"/>
                <w:color w:val="auto"/>
                <w:szCs w:val="21"/>
                <w:highlight w:val="none"/>
              </w:rPr>
            </w:pPr>
          </w:p>
        </w:tc>
        <w:tc>
          <w:tcPr>
            <w:tcW w:w="1342" w:type="dxa"/>
            <w:tcBorders>
              <w:left w:val="single" w:color="auto" w:sz="4" w:space="0"/>
            </w:tcBorders>
            <w:vAlign w:val="center"/>
          </w:tcPr>
          <w:p>
            <w:pPr>
              <w:spacing w:line="300" w:lineRule="auto"/>
              <w:jc w:val="center"/>
              <w:outlineLvl w:val="9"/>
              <w:rPr>
                <w:rFonts w:ascii="宋体" w:hAnsi="宋体" w:eastAsia="宋体"/>
                <w:color w:val="auto"/>
                <w:szCs w:val="21"/>
                <w:highlight w:val="none"/>
              </w:rPr>
            </w:pPr>
          </w:p>
        </w:tc>
      </w:tr>
    </w:tbl>
    <w:p>
      <w:pPr>
        <w:spacing w:line="300" w:lineRule="auto"/>
        <w:rPr>
          <w:rFonts w:ascii="宋体" w:hAnsi="宋体" w:eastAsia="宋体"/>
          <w:color w:val="auto"/>
          <w:szCs w:val="21"/>
          <w:highlight w:val="none"/>
        </w:rPr>
      </w:pPr>
    </w:p>
    <w:p>
      <w:pPr>
        <w:pStyle w:val="16"/>
        <w:spacing w:line="300" w:lineRule="auto"/>
        <w:ind w:firstLine="0" w:firstLineChars="0"/>
        <w:rPr>
          <w:color w:val="auto"/>
          <w:szCs w:val="21"/>
          <w:highlight w:val="none"/>
        </w:rPr>
      </w:pPr>
      <w:r>
        <w:rPr>
          <w:rFonts w:hint="eastAsia"/>
          <w:color w:val="auto"/>
          <w:szCs w:val="21"/>
          <w:highlight w:val="none"/>
        </w:rPr>
        <w:t>说明：应对照竞争性谈判文件“第三章 谈判采购技术规格、参数及要求”，逐条说明所提供货物和服务已对竞争性谈判文件的技术规格做出了实质性的响应并且满足</w:t>
      </w:r>
      <w:r>
        <w:rPr>
          <w:rFonts w:hint="eastAsia"/>
          <w:b/>
          <w:bCs/>
          <w:color w:val="auto"/>
          <w:szCs w:val="21"/>
          <w:highlight w:val="none"/>
        </w:rPr>
        <w:t>设备性能要求</w:t>
      </w:r>
      <w:r>
        <w:rPr>
          <w:rFonts w:hint="eastAsia"/>
          <w:color w:val="auto"/>
          <w:szCs w:val="21"/>
          <w:highlight w:val="none"/>
        </w:rPr>
        <w:t>，并申明与技术规格条文的响应和偏离。特别对有具体参数要求的指标，谈判供应商必须提供所供设备的具体参数值。如果仅注明“符合”、“满足”或简单复制竞争性谈判文件要求，将导致谈判被拒绝。</w:t>
      </w:r>
    </w:p>
    <w:p>
      <w:pPr>
        <w:pStyle w:val="19"/>
        <w:spacing w:line="300" w:lineRule="auto"/>
        <w:rPr>
          <w:rFonts w:hAnsi="宋体"/>
          <w:color w:val="auto"/>
          <w:highlight w:val="none"/>
        </w:rPr>
      </w:pPr>
    </w:p>
    <w:p>
      <w:pPr>
        <w:spacing w:line="500" w:lineRule="exact"/>
        <w:ind w:left="0" w:leftChars="0" w:firstLine="218" w:firstLineChars="91"/>
        <w:rPr>
          <w:rFonts w:ascii="宋体" w:hAnsi="宋体" w:eastAsia="宋体"/>
          <w:color w:val="auto"/>
          <w:sz w:val="24"/>
          <w:highlight w:val="none"/>
        </w:rPr>
      </w:pPr>
      <w:r>
        <w:rPr>
          <w:rFonts w:hint="eastAsia" w:ascii="宋体" w:hAnsi="宋体" w:eastAsia="宋体"/>
          <w:color w:val="auto"/>
          <w:sz w:val="24"/>
          <w:highlight w:val="none"/>
        </w:rPr>
        <w:t>供应商：</w:t>
      </w:r>
      <w:r>
        <w:rPr>
          <w:rFonts w:hint="eastAsia" w:ascii="宋体" w:hAnsi="宋体" w:eastAsia="宋体"/>
          <w:color w:val="auto"/>
          <w:sz w:val="24"/>
          <w:highlight w:val="none"/>
          <w:u w:val="single"/>
        </w:rPr>
        <w:t xml:space="preserve">         （单位名称并盖公章） </w:t>
      </w:r>
    </w:p>
    <w:p>
      <w:pPr>
        <w:spacing w:line="500" w:lineRule="exact"/>
        <w:ind w:left="0" w:leftChars="0" w:firstLine="218" w:firstLineChars="91"/>
        <w:rPr>
          <w:rFonts w:ascii="宋体" w:hAnsi="宋体" w:eastAsia="宋体"/>
          <w:color w:val="auto"/>
          <w:sz w:val="24"/>
          <w:highlight w:val="none"/>
        </w:rPr>
      </w:pPr>
      <w:r>
        <w:rPr>
          <w:rFonts w:hint="eastAsia" w:ascii="宋体" w:hAnsi="宋体" w:eastAsia="宋体"/>
          <w:color w:val="auto"/>
          <w:sz w:val="24"/>
          <w:highlight w:val="none"/>
        </w:rPr>
        <w:t>法定代表人或委托代理人：</w:t>
      </w:r>
      <w:r>
        <w:rPr>
          <w:rFonts w:hint="eastAsia" w:ascii="宋体" w:hAnsi="宋体" w:eastAsia="宋体"/>
          <w:color w:val="auto"/>
          <w:sz w:val="24"/>
          <w:highlight w:val="none"/>
          <w:u w:val="single"/>
        </w:rPr>
        <w:t xml:space="preserve">     （签字）   </w:t>
      </w:r>
    </w:p>
    <w:p>
      <w:pPr>
        <w:pStyle w:val="19"/>
        <w:spacing w:line="500" w:lineRule="exact"/>
        <w:ind w:left="0" w:leftChars="0" w:firstLine="218" w:firstLineChars="91"/>
        <w:rPr>
          <w:rFonts w:hAnsi="宋体"/>
          <w:color w:val="auto"/>
          <w:sz w:val="24"/>
          <w:highlight w:val="none"/>
        </w:rPr>
      </w:pPr>
      <w:r>
        <w:rPr>
          <w:rFonts w:hint="eastAsia" w:hAnsi="宋体"/>
          <w:color w:val="auto"/>
          <w:sz w:val="24"/>
          <w:highlight w:val="none"/>
        </w:rPr>
        <w:t>日期：  年  月  日</w:t>
      </w:r>
    </w:p>
    <w:p>
      <w:pPr>
        <w:spacing w:line="300" w:lineRule="auto"/>
        <w:rPr>
          <w:rFonts w:ascii="宋体" w:hAnsi="宋体" w:eastAsia="宋体"/>
          <w:color w:val="auto"/>
          <w:szCs w:val="21"/>
          <w:highlight w:val="none"/>
        </w:rPr>
      </w:pPr>
    </w:p>
    <w:p>
      <w:pPr>
        <w:spacing w:line="300" w:lineRule="auto"/>
        <w:rPr>
          <w:rFonts w:ascii="宋体" w:hAnsi="宋体" w:eastAsia="宋体"/>
          <w:color w:val="auto"/>
          <w:szCs w:val="21"/>
          <w:highlight w:val="none"/>
        </w:rPr>
      </w:pPr>
    </w:p>
    <w:p>
      <w:pPr>
        <w:spacing w:line="300" w:lineRule="auto"/>
        <w:rPr>
          <w:rFonts w:ascii="宋体" w:hAnsi="宋体" w:eastAsia="宋体"/>
          <w:color w:val="auto"/>
          <w:szCs w:val="21"/>
          <w:highlight w:val="none"/>
        </w:rPr>
      </w:pPr>
    </w:p>
    <w:p>
      <w:pPr>
        <w:spacing w:line="300" w:lineRule="auto"/>
        <w:rPr>
          <w:rFonts w:ascii="宋体" w:hAnsi="宋体" w:eastAsia="宋体"/>
          <w:color w:val="auto"/>
          <w:szCs w:val="21"/>
          <w:highlight w:val="none"/>
        </w:rPr>
      </w:pPr>
    </w:p>
    <w:p>
      <w:pPr>
        <w:spacing w:line="300" w:lineRule="auto"/>
        <w:rPr>
          <w:rFonts w:ascii="宋体" w:hAnsi="宋体" w:eastAsia="宋体"/>
          <w:color w:val="auto"/>
          <w:szCs w:val="21"/>
          <w:highlight w:val="none"/>
        </w:rPr>
      </w:pPr>
    </w:p>
    <w:p>
      <w:pPr>
        <w:ind w:firstLine="4321" w:firstLineChars="1345"/>
        <w:rPr>
          <w:rFonts w:ascii="宋体" w:hAnsi="宋体" w:eastAsia="宋体"/>
          <w:b/>
          <w:color w:val="auto"/>
          <w:sz w:val="32"/>
          <w:szCs w:val="32"/>
          <w:highlight w:val="none"/>
        </w:rPr>
      </w:pPr>
      <w:r>
        <w:rPr>
          <w:rFonts w:hint="eastAsia" w:ascii="宋体" w:hAnsi="宋体" w:eastAsia="宋体"/>
          <w:b/>
          <w:color w:val="auto"/>
          <w:sz w:val="32"/>
          <w:szCs w:val="32"/>
          <w:highlight w:val="none"/>
        </w:rPr>
        <w:t>商务偏离表</w:t>
      </w:r>
    </w:p>
    <w:p>
      <w:pPr>
        <w:ind w:firstLine="562" w:firstLineChars="200"/>
        <w:rPr>
          <w:rFonts w:ascii="宋体" w:hAnsi="宋体" w:eastAsia="宋体"/>
          <w:b/>
          <w:color w:val="auto"/>
          <w:sz w:val="28"/>
          <w:szCs w:val="28"/>
          <w:highlight w:val="none"/>
        </w:rPr>
      </w:pPr>
    </w:p>
    <w:p>
      <w:pPr>
        <w:spacing w:afterLines="50" w:line="420" w:lineRule="exact"/>
        <w:ind w:firstLine="440" w:firstLineChars="200"/>
        <w:rPr>
          <w:rFonts w:ascii="宋体" w:hAnsi="宋体" w:eastAsia="宋体"/>
          <w:color w:val="auto"/>
          <w:szCs w:val="21"/>
          <w:highlight w:val="none"/>
          <w:u w:val="single"/>
        </w:rPr>
      </w:pPr>
      <w:r>
        <w:rPr>
          <w:rFonts w:hint="eastAsia" w:ascii="宋体" w:hAnsi="宋体" w:eastAsia="宋体"/>
          <w:color w:val="auto"/>
          <w:szCs w:val="21"/>
          <w:highlight w:val="none"/>
        </w:rPr>
        <w:t>采购编号：</w:t>
      </w:r>
    </w:p>
    <w:p>
      <w:pPr>
        <w:pStyle w:val="19"/>
        <w:spacing w:afterLines="50" w:line="420" w:lineRule="exact"/>
        <w:ind w:firstLine="420" w:firstLineChars="200"/>
        <w:rPr>
          <w:rFonts w:hAnsi="宋体"/>
          <w:b/>
          <w:color w:val="auto"/>
          <w:sz w:val="24"/>
          <w:szCs w:val="24"/>
          <w:highlight w:val="none"/>
          <w:u w:val="single"/>
        </w:rPr>
      </w:pPr>
      <w:r>
        <w:rPr>
          <w:rFonts w:hint="eastAsia" w:hAnsi="宋体"/>
          <w:color w:val="auto"/>
          <w:szCs w:val="21"/>
          <w:highlight w:val="none"/>
        </w:rPr>
        <w:t>项目名称：</w:t>
      </w:r>
    </w:p>
    <w:tbl>
      <w:tblPr>
        <w:tblStyle w:val="38"/>
        <w:tblW w:w="8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3188"/>
        <w:gridCol w:w="2694"/>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30" w:type="dxa"/>
            <w:vAlign w:val="center"/>
          </w:tcPr>
          <w:p>
            <w:pPr>
              <w:pStyle w:val="19"/>
              <w:ind w:left="-574" w:leftChars="-261" w:firstLine="548" w:firstLineChars="260"/>
              <w:jc w:val="center"/>
              <w:rPr>
                <w:rFonts w:hAnsi="宋体" w:cs="Courier New"/>
                <w:b/>
                <w:color w:val="auto"/>
                <w:highlight w:val="none"/>
              </w:rPr>
            </w:pPr>
            <w:r>
              <w:rPr>
                <w:rFonts w:hint="eastAsia" w:hAnsi="宋体" w:cs="Courier New"/>
                <w:b/>
                <w:color w:val="auto"/>
                <w:highlight w:val="none"/>
              </w:rPr>
              <w:t>序号</w:t>
            </w:r>
          </w:p>
        </w:tc>
        <w:tc>
          <w:tcPr>
            <w:tcW w:w="3188" w:type="dxa"/>
            <w:vAlign w:val="center"/>
          </w:tcPr>
          <w:p>
            <w:pPr>
              <w:pStyle w:val="19"/>
              <w:jc w:val="center"/>
              <w:rPr>
                <w:rFonts w:hAnsi="宋体" w:cs="Courier New"/>
                <w:b/>
                <w:color w:val="auto"/>
                <w:highlight w:val="none"/>
              </w:rPr>
            </w:pPr>
            <w:r>
              <w:rPr>
                <w:rFonts w:hint="eastAsia" w:hAnsi="宋体" w:cs="Courier New"/>
                <w:b/>
                <w:color w:val="auto"/>
                <w:highlight w:val="none"/>
              </w:rPr>
              <w:t>竞争性谈判文件的商务条款</w:t>
            </w:r>
          </w:p>
        </w:tc>
        <w:tc>
          <w:tcPr>
            <w:tcW w:w="2694" w:type="dxa"/>
            <w:vAlign w:val="center"/>
          </w:tcPr>
          <w:p>
            <w:pPr>
              <w:pStyle w:val="19"/>
              <w:jc w:val="center"/>
              <w:rPr>
                <w:rFonts w:hAnsi="宋体" w:cs="Courier New"/>
                <w:b/>
                <w:color w:val="auto"/>
                <w:highlight w:val="none"/>
              </w:rPr>
            </w:pPr>
            <w:r>
              <w:rPr>
                <w:rFonts w:hint="eastAsia" w:hAnsi="宋体" w:cs="Courier New"/>
                <w:b/>
                <w:color w:val="auto"/>
                <w:highlight w:val="none"/>
              </w:rPr>
              <w:t>响应文件响应内容</w:t>
            </w:r>
          </w:p>
        </w:tc>
        <w:tc>
          <w:tcPr>
            <w:tcW w:w="1798" w:type="dxa"/>
            <w:vAlign w:val="center"/>
          </w:tcPr>
          <w:p>
            <w:pPr>
              <w:pStyle w:val="19"/>
              <w:jc w:val="center"/>
              <w:rPr>
                <w:rFonts w:hAnsi="宋体" w:cs="Courier New"/>
                <w:b/>
                <w:color w:val="auto"/>
                <w:highlight w:val="none"/>
              </w:rPr>
            </w:pPr>
            <w:r>
              <w:rPr>
                <w:rFonts w:hint="eastAsia" w:hAnsi="宋体" w:cs="Courier New"/>
                <w:b/>
                <w:color w:val="auto"/>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30" w:type="dxa"/>
          </w:tcPr>
          <w:p>
            <w:pPr>
              <w:pStyle w:val="19"/>
              <w:rPr>
                <w:rFonts w:hAnsi="宋体" w:cs="Courier New"/>
                <w:color w:val="auto"/>
                <w:highlight w:val="none"/>
              </w:rPr>
            </w:pPr>
          </w:p>
        </w:tc>
        <w:tc>
          <w:tcPr>
            <w:tcW w:w="3188" w:type="dxa"/>
          </w:tcPr>
          <w:p>
            <w:pPr>
              <w:pStyle w:val="19"/>
              <w:rPr>
                <w:rFonts w:hAnsi="宋体" w:cs="Courier New"/>
                <w:color w:val="auto"/>
                <w:highlight w:val="none"/>
              </w:rPr>
            </w:pPr>
          </w:p>
        </w:tc>
        <w:tc>
          <w:tcPr>
            <w:tcW w:w="2694" w:type="dxa"/>
          </w:tcPr>
          <w:p>
            <w:pPr>
              <w:pStyle w:val="19"/>
              <w:rPr>
                <w:rFonts w:hAnsi="宋体" w:cs="Courier New"/>
                <w:color w:val="auto"/>
                <w:highlight w:val="none"/>
              </w:rPr>
            </w:pPr>
          </w:p>
        </w:tc>
        <w:tc>
          <w:tcPr>
            <w:tcW w:w="1798" w:type="dxa"/>
          </w:tcPr>
          <w:p>
            <w:pPr>
              <w:pStyle w:val="19"/>
              <w:jc w:val="center"/>
              <w:rPr>
                <w:rFonts w:hAnsi="宋体" w:cs="Courier New"/>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30" w:type="dxa"/>
          </w:tcPr>
          <w:p>
            <w:pPr>
              <w:pStyle w:val="19"/>
              <w:rPr>
                <w:rFonts w:hAnsi="宋体" w:cs="Courier New"/>
                <w:color w:val="auto"/>
                <w:highlight w:val="none"/>
              </w:rPr>
            </w:pPr>
          </w:p>
        </w:tc>
        <w:tc>
          <w:tcPr>
            <w:tcW w:w="3188" w:type="dxa"/>
          </w:tcPr>
          <w:p>
            <w:pPr>
              <w:pStyle w:val="19"/>
              <w:rPr>
                <w:rFonts w:hAnsi="宋体" w:cs="Courier New"/>
                <w:color w:val="auto"/>
                <w:highlight w:val="none"/>
              </w:rPr>
            </w:pPr>
          </w:p>
        </w:tc>
        <w:tc>
          <w:tcPr>
            <w:tcW w:w="2694" w:type="dxa"/>
          </w:tcPr>
          <w:p>
            <w:pPr>
              <w:pStyle w:val="19"/>
              <w:rPr>
                <w:rFonts w:hAnsi="宋体" w:cs="Courier New"/>
                <w:color w:val="auto"/>
                <w:highlight w:val="none"/>
              </w:rPr>
            </w:pPr>
          </w:p>
        </w:tc>
        <w:tc>
          <w:tcPr>
            <w:tcW w:w="1798" w:type="dxa"/>
          </w:tcPr>
          <w:p>
            <w:pPr>
              <w:pStyle w:val="19"/>
              <w:jc w:val="center"/>
              <w:rPr>
                <w:rFonts w:hAnsi="宋体" w:cs="Courier New"/>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30" w:type="dxa"/>
          </w:tcPr>
          <w:p>
            <w:pPr>
              <w:pStyle w:val="19"/>
              <w:rPr>
                <w:rFonts w:hAnsi="宋体" w:cs="Courier New"/>
                <w:color w:val="auto"/>
                <w:highlight w:val="none"/>
              </w:rPr>
            </w:pPr>
          </w:p>
        </w:tc>
        <w:tc>
          <w:tcPr>
            <w:tcW w:w="3188" w:type="dxa"/>
          </w:tcPr>
          <w:p>
            <w:pPr>
              <w:pStyle w:val="19"/>
              <w:rPr>
                <w:rFonts w:hAnsi="宋体" w:cs="Courier New"/>
                <w:color w:val="auto"/>
                <w:highlight w:val="none"/>
              </w:rPr>
            </w:pPr>
          </w:p>
        </w:tc>
        <w:tc>
          <w:tcPr>
            <w:tcW w:w="2694" w:type="dxa"/>
          </w:tcPr>
          <w:p>
            <w:pPr>
              <w:pStyle w:val="19"/>
              <w:rPr>
                <w:rFonts w:hAnsi="宋体" w:cs="Courier New"/>
                <w:color w:val="auto"/>
                <w:highlight w:val="none"/>
              </w:rPr>
            </w:pPr>
          </w:p>
        </w:tc>
        <w:tc>
          <w:tcPr>
            <w:tcW w:w="1798" w:type="dxa"/>
          </w:tcPr>
          <w:p>
            <w:pPr>
              <w:pStyle w:val="19"/>
              <w:jc w:val="center"/>
              <w:rPr>
                <w:rFonts w:hAnsi="宋体" w:cs="Courier New"/>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30" w:type="dxa"/>
          </w:tcPr>
          <w:p>
            <w:pPr>
              <w:pStyle w:val="19"/>
              <w:rPr>
                <w:rFonts w:hAnsi="宋体" w:cs="Courier New"/>
                <w:color w:val="auto"/>
                <w:highlight w:val="none"/>
              </w:rPr>
            </w:pPr>
          </w:p>
        </w:tc>
        <w:tc>
          <w:tcPr>
            <w:tcW w:w="3188" w:type="dxa"/>
          </w:tcPr>
          <w:p>
            <w:pPr>
              <w:pStyle w:val="19"/>
              <w:rPr>
                <w:rFonts w:hAnsi="宋体" w:cs="Courier New"/>
                <w:color w:val="auto"/>
                <w:highlight w:val="none"/>
              </w:rPr>
            </w:pPr>
          </w:p>
        </w:tc>
        <w:tc>
          <w:tcPr>
            <w:tcW w:w="2694" w:type="dxa"/>
          </w:tcPr>
          <w:p>
            <w:pPr>
              <w:pStyle w:val="19"/>
              <w:rPr>
                <w:rFonts w:hAnsi="宋体" w:cs="Courier New"/>
                <w:color w:val="auto"/>
                <w:highlight w:val="none"/>
              </w:rPr>
            </w:pPr>
          </w:p>
        </w:tc>
        <w:tc>
          <w:tcPr>
            <w:tcW w:w="1798" w:type="dxa"/>
          </w:tcPr>
          <w:p>
            <w:pPr>
              <w:pStyle w:val="19"/>
              <w:jc w:val="center"/>
              <w:rPr>
                <w:rFonts w:hAnsi="宋体" w:cs="Courier New"/>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30" w:type="dxa"/>
          </w:tcPr>
          <w:p>
            <w:pPr>
              <w:pStyle w:val="19"/>
              <w:rPr>
                <w:rFonts w:hAnsi="宋体" w:cs="Courier New"/>
                <w:color w:val="auto"/>
                <w:highlight w:val="none"/>
              </w:rPr>
            </w:pPr>
          </w:p>
        </w:tc>
        <w:tc>
          <w:tcPr>
            <w:tcW w:w="3188" w:type="dxa"/>
          </w:tcPr>
          <w:p>
            <w:pPr>
              <w:pStyle w:val="19"/>
              <w:rPr>
                <w:rFonts w:hAnsi="宋体" w:cs="Courier New"/>
                <w:color w:val="auto"/>
                <w:highlight w:val="none"/>
              </w:rPr>
            </w:pPr>
          </w:p>
        </w:tc>
        <w:tc>
          <w:tcPr>
            <w:tcW w:w="2694" w:type="dxa"/>
          </w:tcPr>
          <w:p>
            <w:pPr>
              <w:pStyle w:val="19"/>
              <w:rPr>
                <w:rFonts w:hAnsi="宋体" w:cs="Courier New"/>
                <w:color w:val="auto"/>
                <w:highlight w:val="none"/>
              </w:rPr>
            </w:pPr>
          </w:p>
        </w:tc>
        <w:tc>
          <w:tcPr>
            <w:tcW w:w="1798" w:type="dxa"/>
          </w:tcPr>
          <w:p>
            <w:pPr>
              <w:pStyle w:val="19"/>
              <w:jc w:val="center"/>
              <w:rPr>
                <w:rFonts w:hAnsi="宋体" w:cs="Courier New"/>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30" w:type="dxa"/>
          </w:tcPr>
          <w:p>
            <w:pPr>
              <w:pStyle w:val="19"/>
              <w:rPr>
                <w:rFonts w:hAnsi="宋体" w:cs="Courier New"/>
                <w:color w:val="auto"/>
                <w:highlight w:val="none"/>
              </w:rPr>
            </w:pPr>
          </w:p>
        </w:tc>
        <w:tc>
          <w:tcPr>
            <w:tcW w:w="3188" w:type="dxa"/>
          </w:tcPr>
          <w:p>
            <w:pPr>
              <w:pStyle w:val="19"/>
              <w:rPr>
                <w:rFonts w:hAnsi="宋体" w:cs="Courier New"/>
                <w:color w:val="auto"/>
                <w:highlight w:val="none"/>
              </w:rPr>
            </w:pPr>
          </w:p>
        </w:tc>
        <w:tc>
          <w:tcPr>
            <w:tcW w:w="2694" w:type="dxa"/>
          </w:tcPr>
          <w:p>
            <w:pPr>
              <w:pStyle w:val="19"/>
              <w:rPr>
                <w:rFonts w:hAnsi="宋体" w:cs="Courier New"/>
                <w:color w:val="auto"/>
                <w:highlight w:val="none"/>
              </w:rPr>
            </w:pPr>
          </w:p>
        </w:tc>
        <w:tc>
          <w:tcPr>
            <w:tcW w:w="1798" w:type="dxa"/>
          </w:tcPr>
          <w:p>
            <w:pPr>
              <w:pStyle w:val="19"/>
              <w:jc w:val="center"/>
              <w:rPr>
                <w:rFonts w:hAnsi="宋体" w:cs="Courier New"/>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30" w:type="dxa"/>
          </w:tcPr>
          <w:p>
            <w:pPr>
              <w:pStyle w:val="19"/>
              <w:rPr>
                <w:rFonts w:hAnsi="宋体" w:cs="Courier New"/>
                <w:color w:val="auto"/>
                <w:highlight w:val="none"/>
              </w:rPr>
            </w:pPr>
          </w:p>
        </w:tc>
        <w:tc>
          <w:tcPr>
            <w:tcW w:w="3188" w:type="dxa"/>
          </w:tcPr>
          <w:p>
            <w:pPr>
              <w:pStyle w:val="19"/>
              <w:rPr>
                <w:rFonts w:hAnsi="宋体" w:cs="Courier New"/>
                <w:color w:val="auto"/>
                <w:highlight w:val="none"/>
              </w:rPr>
            </w:pPr>
          </w:p>
        </w:tc>
        <w:tc>
          <w:tcPr>
            <w:tcW w:w="2694" w:type="dxa"/>
          </w:tcPr>
          <w:p>
            <w:pPr>
              <w:pStyle w:val="19"/>
              <w:rPr>
                <w:rFonts w:hAnsi="宋体" w:cs="Courier New"/>
                <w:color w:val="auto"/>
                <w:highlight w:val="none"/>
              </w:rPr>
            </w:pPr>
          </w:p>
        </w:tc>
        <w:tc>
          <w:tcPr>
            <w:tcW w:w="1798" w:type="dxa"/>
          </w:tcPr>
          <w:p>
            <w:pPr>
              <w:pStyle w:val="19"/>
              <w:rPr>
                <w:rFonts w:hAnsi="宋体" w:cs="Courier New"/>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30" w:type="dxa"/>
          </w:tcPr>
          <w:p>
            <w:pPr>
              <w:pStyle w:val="19"/>
              <w:rPr>
                <w:rFonts w:hAnsi="宋体" w:cs="Courier New"/>
                <w:color w:val="auto"/>
                <w:highlight w:val="none"/>
              </w:rPr>
            </w:pPr>
          </w:p>
        </w:tc>
        <w:tc>
          <w:tcPr>
            <w:tcW w:w="3188" w:type="dxa"/>
          </w:tcPr>
          <w:p>
            <w:pPr>
              <w:pStyle w:val="19"/>
              <w:rPr>
                <w:rFonts w:hAnsi="宋体" w:cs="Courier New"/>
                <w:color w:val="auto"/>
                <w:highlight w:val="none"/>
              </w:rPr>
            </w:pPr>
          </w:p>
        </w:tc>
        <w:tc>
          <w:tcPr>
            <w:tcW w:w="2694" w:type="dxa"/>
          </w:tcPr>
          <w:p>
            <w:pPr>
              <w:pStyle w:val="19"/>
              <w:rPr>
                <w:rFonts w:hAnsi="宋体" w:cs="Courier New"/>
                <w:color w:val="auto"/>
                <w:highlight w:val="none"/>
              </w:rPr>
            </w:pPr>
          </w:p>
        </w:tc>
        <w:tc>
          <w:tcPr>
            <w:tcW w:w="1798" w:type="dxa"/>
          </w:tcPr>
          <w:p>
            <w:pPr>
              <w:pStyle w:val="19"/>
              <w:rPr>
                <w:rFonts w:hAnsi="宋体" w:cs="Courier New"/>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30" w:type="dxa"/>
          </w:tcPr>
          <w:p>
            <w:pPr>
              <w:pStyle w:val="19"/>
              <w:rPr>
                <w:rFonts w:hAnsi="宋体" w:cs="Courier New"/>
                <w:color w:val="auto"/>
                <w:highlight w:val="none"/>
              </w:rPr>
            </w:pPr>
          </w:p>
        </w:tc>
        <w:tc>
          <w:tcPr>
            <w:tcW w:w="3188" w:type="dxa"/>
          </w:tcPr>
          <w:p>
            <w:pPr>
              <w:pStyle w:val="19"/>
              <w:rPr>
                <w:rFonts w:hAnsi="宋体" w:cs="Courier New"/>
                <w:color w:val="auto"/>
                <w:highlight w:val="none"/>
              </w:rPr>
            </w:pPr>
          </w:p>
        </w:tc>
        <w:tc>
          <w:tcPr>
            <w:tcW w:w="2694" w:type="dxa"/>
          </w:tcPr>
          <w:p>
            <w:pPr>
              <w:pStyle w:val="19"/>
              <w:rPr>
                <w:rFonts w:hAnsi="宋体" w:cs="Courier New"/>
                <w:color w:val="auto"/>
                <w:highlight w:val="none"/>
              </w:rPr>
            </w:pPr>
          </w:p>
        </w:tc>
        <w:tc>
          <w:tcPr>
            <w:tcW w:w="1798" w:type="dxa"/>
          </w:tcPr>
          <w:p>
            <w:pPr>
              <w:pStyle w:val="19"/>
              <w:rPr>
                <w:rFonts w:hAnsi="宋体" w:cs="Courier New"/>
                <w:color w:val="auto"/>
                <w:highlight w:val="none"/>
              </w:rPr>
            </w:pPr>
          </w:p>
        </w:tc>
      </w:tr>
    </w:tbl>
    <w:p>
      <w:pPr>
        <w:pStyle w:val="19"/>
        <w:spacing w:line="360" w:lineRule="exact"/>
        <w:ind w:firstLine="360" w:firstLineChars="150"/>
        <w:rPr>
          <w:rFonts w:hAnsi="宋体"/>
          <w:color w:val="auto"/>
          <w:sz w:val="24"/>
          <w:szCs w:val="24"/>
          <w:highlight w:val="none"/>
        </w:rPr>
      </w:pPr>
      <w:r>
        <w:rPr>
          <w:rFonts w:hint="eastAsia" w:hAnsi="宋体"/>
          <w:color w:val="auto"/>
          <w:sz w:val="24"/>
          <w:szCs w:val="24"/>
          <w:highlight w:val="none"/>
        </w:rPr>
        <w:t>注：“偏离”系指“正偏离”、“负偏离”或“无偏离”。</w:t>
      </w:r>
    </w:p>
    <w:p>
      <w:pPr>
        <w:pStyle w:val="19"/>
        <w:spacing w:line="360" w:lineRule="exact"/>
        <w:ind w:firstLine="360" w:firstLineChars="150"/>
        <w:rPr>
          <w:rFonts w:hAnsi="宋体"/>
          <w:color w:val="auto"/>
          <w:sz w:val="24"/>
          <w:szCs w:val="24"/>
          <w:highlight w:val="none"/>
        </w:rPr>
      </w:pPr>
      <w:r>
        <w:rPr>
          <w:rFonts w:hint="eastAsia" w:hAnsi="宋体"/>
          <w:color w:val="auto"/>
          <w:sz w:val="24"/>
          <w:szCs w:val="24"/>
          <w:highlight w:val="none"/>
        </w:rPr>
        <w:t>请逐条对应竞争性谈判文件的第三章“项目需求”中要求的“商务条款”，认真填写该表。</w:t>
      </w:r>
    </w:p>
    <w:p>
      <w:pPr>
        <w:pStyle w:val="19"/>
        <w:spacing w:line="600" w:lineRule="exact"/>
        <w:rPr>
          <w:rFonts w:hAnsi="宋体"/>
          <w:color w:val="auto"/>
          <w:sz w:val="24"/>
          <w:szCs w:val="24"/>
          <w:highlight w:val="none"/>
        </w:rPr>
      </w:pPr>
    </w:p>
    <w:p>
      <w:pPr>
        <w:pStyle w:val="19"/>
        <w:spacing w:line="600" w:lineRule="exact"/>
        <w:ind w:firstLine="480" w:firstLineChars="200"/>
        <w:rPr>
          <w:rFonts w:hAnsi="宋体"/>
          <w:color w:val="auto"/>
          <w:sz w:val="24"/>
          <w:szCs w:val="24"/>
          <w:highlight w:val="none"/>
        </w:rPr>
      </w:pPr>
      <w:r>
        <w:rPr>
          <w:rFonts w:hint="eastAsia" w:hAnsi="宋体"/>
          <w:color w:val="auto"/>
          <w:sz w:val="24"/>
          <w:szCs w:val="24"/>
          <w:highlight w:val="none"/>
        </w:rPr>
        <w:t>法定代表人或法定代表人授权代表：</w:t>
      </w:r>
      <w:r>
        <w:rPr>
          <w:rFonts w:hint="eastAsia" w:hAnsi="宋体"/>
          <w:color w:val="auto"/>
          <w:sz w:val="24"/>
          <w:highlight w:val="none"/>
          <w:u w:val="single"/>
        </w:rPr>
        <w:t xml:space="preserve">（签字）  </w:t>
      </w:r>
    </w:p>
    <w:p>
      <w:pPr>
        <w:pStyle w:val="19"/>
        <w:spacing w:line="600" w:lineRule="exact"/>
        <w:ind w:firstLine="480" w:firstLineChars="200"/>
        <w:rPr>
          <w:rFonts w:hAnsi="宋体"/>
          <w:color w:val="auto"/>
          <w:sz w:val="24"/>
          <w:szCs w:val="24"/>
          <w:highlight w:val="none"/>
          <w:u w:val="single"/>
        </w:rPr>
      </w:pPr>
      <w:r>
        <w:rPr>
          <w:rFonts w:hint="eastAsia" w:hAnsi="宋体"/>
          <w:color w:val="auto"/>
          <w:sz w:val="24"/>
          <w:szCs w:val="24"/>
          <w:highlight w:val="none"/>
        </w:rPr>
        <w:t>供应商：</w:t>
      </w:r>
      <w:r>
        <w:rPr>
          <w:rFonts w:hint="eastAsia" w:hAnsi="宋体"/>
          <w:color w:val="auto"/>
          <w:sz w:val="24"/>
          <w:szCs w:val="24"/>
          <w:highlight w:val="none"/>
          <w:u w:val="single"/>
        </w:rPr>
        <w:t xml:space="preserve">（单位名称并盖公章）      </w:t>
      </w:r>
    </w:p>
    <w:p>
      <w:pPr>
        <w:spacing w:line="300" w:lineRule="auto"/>
        <w:rPr>
          <w:rFonts w:ascii="宋体" w:hAnsi="宋体" w:eastAsia="宋体"/>
          <w:color w:val="auto"/>
          <w:szCs w:val="21"/>
          <w:highlight w:val="none"/>
        </w:rPr>
      </w:pPr>
      <w:r>
        <w:rPr>
          <w:rFonts w:hint="eastAsia" w:ascii="宋体" w:hAnsi="宋体" w:eastAsia="宋体"/>
          <w:color w:val="auto"/>
          <w:sz w:val="24"/>
          <w:highlight w:val="none"/>
        </w:rPr>
        <w:t xml:space="preserve">                      年    月    日</w:t>
      </w:r>
    </w:p>
    <w:p>
      <w:pPr>
        <w:spacing w:line="300" w:lineRule="auto"/>
        <w:rPr>
          <w:rFonts w:ascii="宋体" w:hAnsi="宋体" w:eastAsia="宋体"/>
          <w:b/>
          <w:color w:val="auto"/>
          <w:szCs w:val="21"/>
          <w:highlight w:val="none"/>
        </w:rPr>
      </w:pPr>
    </w:p>
    <w:p>
      <w:pPr>
        <w:spacing w:beforeLines="50" w:after="50"/>
        <w:rPr>
          <w:rFonts w:ascii="宋体" w:hAnsi="宋体" w:eastAsia="宋体"/>
          <w:b/>
          <w:color w:val="auto"/>
          <w:kern w:val="2"/>
          <w:sz w:val="24"/>
          <w:szCs w:val="24"/>
          <w:highlight w:val="none"/>
        </w:rPr>
      </w:pPr>
    </w:p>
    <w:p>
      <w:pPr>
        <w:spacing w:beforeLines="50" w:after="50"/>
        <w:rPr>
          <w:rFonts w:ascii="宋体" w:hAnsi="宋体" w:eastAsia="宋体"/>
          <w:b/>
          <w:color w:val="auto"/>
          <w:kern w:val="2"/>
          <w:sz w:val="24"/>
          <w:szCs w:val="24"/>
          <w:highlight w:val="none"/>
        </w:rPr>
      </w:pPr>
    </w:p>
    <w:p>
      <w:pPr>
        <w:spacing w:beforeLines="50" w:after="50"/>
        <w:rPr>
          <w:rFonts w:ascii="宋体" w:hAnsi="宋体" w:eastAsia="宋体"/>
          <w:b/>
          <w:color w:val="auto"/>
          <w:kern w:val="2"/>
          <w:sz w:val="24"/>
          <w:szCs w:val="24"/>
          <w:highlight w:val="none"/>
        </w:rPr>
      </w:pPr>
    </w:p>
    <w:p>
      <w:pPr>
        <w:adjustRightInd/>
        <w:snapToGrid/>
        <w:spacing w:line="220" w:lineRule="atLeast"/>
        <w:rPr>
          <w:rFonts w:ascii="宋体" w:hAnsi="宋体" w:eastAsia="宋体" w:cs="宋体"/>
          <w:color w:val="auto"/>
          <w:szCs w:val="21"/>
          <w:highlight w:val="none"/>
        </w:rPr>
      </w:pPr>
      <w:r>
        <w:rPr>
          <w:rFonts w:hint="eastAsia" w:ascii="宋体" w:hAnsi="宋体" w:eastAsia="宋体"/>
          <w:b/>
          <w:color w:val="auto"/>
          <w:sz w:val="24"/>
          <w:szCs w:val="24"/>
          <w:highlight w:val="none"/>
        </w:rPr>
        <w:t>附件六：</w:t>
      </w:r>
    </w:p>
    <w:p>
      <w:pPr>
        <w:spacing w:beforeLines="50" w:after="50"/>
        <w:jc w:val="center"/>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具备履行合同所必需的设备和专业技术服务能力的承诺书</w:t>
      </w:r>
    </w:p>
    <w:p>
      <w:pPr>
        <w:spacing w:after="0" w:line="400" w:lineRule="exact"/>
        <w:rPr>
          <w:rFonts w:ascii="宋体" w:hAnsi="宋体" w:eastAsia="宋体" w:cs="宋体"/>
          <w:b/>
          <w:bCs/>
          <w:color w:val="auto"/>
          <w:sz w:val="24"/>
          <w:szCs w:val="24"/>
          <w:highlight w:val="none"/>
        </w:rPr>
      </w:pPr>
    </w:p>
    <w:p>
      <w:pPr>
        <w:spacing w:after="0" w:line="40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致</w:t>
      </w:r>
      <w:r>
        <w:rPr>
          <w:rFonts w:hint="eastAsia" w:ascii="宋体" w:hAnsi="宋体" w:eastAsia="宋体" w:cs="宋体"/>
          <w:color w:val="auto"/>
          <w:sz w:val="24"/>
          <w:szCs w:val="24"/>
          <w:highlight w:val="none"/>
          <w:u w:val="single"/>
        </w:rPr>
        <w:t xml:space="preserve">：  （采购人或代理机构）     </w:t>
      </w:r>
    </w:p>
    <w:p>
      <w:pPr>
        <w:spacing w:after="0" w:line="40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我单位参加贵公司组织的</w:t>
      </w:r>
      <w:r>
        <w:rPr>
          <w:rFonts w:hint="eastAsia" w:ascii="宋体" w:hAnsi="宋体" w:eastAsia="宋体" w:cs="宋体"/>
          <w:color w:val="auto"/>
          <w:sz w:val="24"/>
          <w:szCs w:val="24"/>
          <w:highlight w:val="none"/>
          <w:u w:val="single"/>
        </w:rPr>
        <w:t xml:space="preserve">    （项目名称）       </w:t>
      </w:r>
      <w:r>
        <w:rPr>
          <w:rFonts w:hint="eastAsia" w:ascii="宋体" w:hAnsi="宋体" w:eastAsia="宋体" w:cs="宋体"/>
          <w:color w:val="auto"/>
          <w:sz w:val="24"/>
          <w:szCs w:val="24"/>
          <w:highlight w:val="none"/>
        </w:rPr>
        <w:t>（采购编号：）政府采购活动。我单位在此郑重承诺:我单位具有履行合同所必需的设备和专业技术服务能力，完全符合《中华人民共和国政府采购法》第二十二条规定的供应商资格条件，按照采购文件的要求提交响应文件（响应文件），并对所提供的全部资料的真实性承担法律责任。</w:t>
      </w:r>
    </w:p>
    <w:p>
      <w:pPr>
        <w:spacing w:after="0" w:line="40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特此承诺。</w:t>
      </w:r>
    </w:p>
    <w:p>
      <w:pPr>
        <w:spacing w:after="0" w:line="400" w:lineRule="exact"/>
        <w:ind w:firstLine="480" w:firstLineChars="200"/>
        <w:rPr>
          <w:rFonts w:ascii="宋体" w:hAnsi="宋体" w:eastAsia="宋体" w:cs="宋体"/>
          <w:color w:val="auto"/>
          <w:sz w:val="24"/>
          <w:szCs w:val="24"/>
          <w:highlight w:val="none"/>
        </w:rPr>
      </w:pPr>
    </w:p>
    <w:p>
      <w:pPr>
        <w:spacing w:line="500" w:lineRule="exact"/>
        <w:ind w:firstLine="3720" w:firstLineChars="1550"/>
        <w:rPr>
          <w:rFonts w:ascii="宋体" w:hAnsi="宋体" w:eastAsia="宋体"/>
          <w:color w:val="auto"/>
          <w:sz w:val="24"/>
          <w:highlight w:val="none"/>
        </w:rPr>
      </w:pPr>
      <w:r>
        <w:rPr>
          <w:rFonts w:hint="eastAsia" w:ascii="宋体" w:hAnsi="宋体" w:eastAsia="宋体"/>
          <w:color w:val="auto"/>
          <w:sz w:val="24"/>
          <w:highlight w:val="none"/>
        </w:rPr>
        <w:t>供应商：</w:t>
      </w:r>
      <w:r>
        <w:rPr>
          <w:rFonts w:hint="eastAsia" w:ascii="宋体" w:hAnsi="宋体" w:eastAsia="宋体"/>
          <w:color w:val="auto"/>
          <w:sz w:val="24"/>
          <w:highlight w:val="none"/>
          <w:u w:val="single"/>
        </w:rPr>
        <w:t xml:space="preserve">         （单位名称并盖公章） </w:t>
      </w:r>
    </w:p>
    <w:p>
      <w:pPr>
        <w:spacing w:line="500" w:lineRule="exact"/>
        <w:ind w:firstLine="3720" w:firstLineChars="1550"/>
        <w:rPr>
          <w:rFonts w:ascii="宋体" w:hAnsi="宋体" w:eastAsia="宋体"/>
          <w:color w:val="auto"/>
          <w:sz w:val="24"/>
          <w:highlight w:val="none"/>
        </w:rPr>
      </w:pPr>
      <w:r>
        <w:rPr>
          <w:rFonts w:hint="eastAsia" w:ascii="宋体" w:hAnsi="宋体" w:eastAsia="宋体"/>
          <w:color w:val="auto"/>
          <w:sz w:val="24"/>
          <w:highlight w:val="none"/>
        </w:rPr>
        <w:t>法定代表人或委托代理人：</w:t>
      </w:r>
      <w:r>
        <w:rPr>
          <w:rFonts w:hint="eastAsia" w:ascii="宋体" w:hAnsi="宋体" w:eastAsia="宋体"/>
          <w:color w:val="auto"/>
          <w:sz w:val="24"/>
          <w:highlight w:val="none"/>
          <w:u w:val="single"/>
        </w:rPr>
        <w:t xml:space="preserve">     （签字）   </w:t>
      </w:r>
    </w:p>
    <w:p>
      <w:pPr>
        <w:pStyle w:val="19"/>
        <w:spacing w:line="500" w:lineRule="exact"/>
        <w:ind w:firstLine="3720" w:firstLineChars="1550"/>
        <w:rPr>
          <w:rFonts w:hAnsi="宋体"/>
          <w:color w:val="auto"/>
          <w:sz w:val="24"/>
          <w:highlight w:val="none"/>
        </w:rPr>
      </w:pPr>
      <w:r>
        <w:rPr>
          <w:rFonts w:hint="eastAsia" w:hAnsi="宋体"/>
          <w:color w:val="auto"/>
          <w:sz w:val="24"/>
          <w:highlight w:val="none"/>
        </w:rPr>
        <w:t>日期：  年  月  日</w:t>
      </w:r>
    </w:p>
    <w:p>
      <w:pPr>
        <w:spacing w:beforeLines="50" w:after="50" w:line="360" w:lineRule="auto"/>
        <w:rPr>
          <w:rFonts w:ascii="宋体" w:hAnsi="宋体" w:eastAsia="宋体" w:cs="宋体"/>
          <w:color w:val="auto"/>
          <w:szCs w:val="21"/>
          <w:highlight w:val="none"/>
        </w:rPr>
      </w:pPr>
    </w:p>
    <w:p>
      <w:pPr>
        <w:adjustRightInd/>
        <w:snapToGrid/>
        <w:spacing w:line="220" w:lineRule="atLeast"/>
        <w:rPr>
          <w:rFonts w:ascii="宋体" w:hAnsi="宋体" w:eastAsia="宋体"/>
          <w:b/>
          <w:color w:val="auto"/>
          <w:sz w:val="24"/>
          <w:szCs w:val="24"/>
          <w:highlight w:val="none"/>
        </w:rPr>
      </w:pPr>
    </w:p>
    <w:p>
      <w:pPr>
        <w:adjustRightInd/>
        <w:snapToGrid/>
        <w:spacing w:line="220" w:lineRule="atLeast"/>
        <w:rPr>
          <w:rFonts w:ascii="宋体" w:hAnsi="宋体" w:eastAsia="宋体"/>
          <w:b/>
          <w:color w:val="auto"/>
          <w:sz w:val="24"/>
          <w:szCs w:val="24"/>
          <w:highlight w:val="none"/>
        </w:rPr>
      </w:pPr>
    </w:p>
    <w:p>
      <w:pPr>
        <w:adjustRightInd/>
        <w:snapToGrid/>
        <w:spacing w:line="220" w:lineRule="atLeast"/>
        <w:rPr>
          <w:rFonts w:ascii="宋体" w:hAnsi="宋体" w:eastAsia="宋体"/>
          <w:b/>
          <w:color w:val="auto"/>
          <w:sz w:val="24"/>
          <w:szCs w:val="24"/>
          <w:highlight w:val="none"/>
        </w:rPr>
      </w:pPr>
    </w:p>
    <w:p>
      <w:pPr>
        <w:adjustRightInd/>
        <w:snapToGrid/>
        <w:spacing w:line="220" w:lineRule="atLeast"/>
        <w:rPr>
          <w:rFonts w:ascii="宋体" w:hAnsi="宋体" w:eastAsia="宋体"/>
          <w:b/>
          <w:color w:val="auto"/>
          <w:sz w:val="24"/>
          <w:szCs w:val="24"/>
          <w:highlight w:val="none"/>
        </w:rPr>
      </w:pPr>
    </w:p>
    <w:p>
      <w:pPr>
        <w:adjustRightInd/>
        <w:snapToGrid/>
        <w:spacing w:line="220" w:lineRule="atLeast"/>
        <w:rPr>
          <w:rFonts w:ascii="宋体" w:hAnsi="宋体" w:eastAsia="宋体"/>
          <w:b/>
          <w:color w:val="auto"/>
          <w:sz w:val="24"/>
          <w:szCs w:val="24"/>
          <w:highlight w:val="none"/>
        </w:rPr>
      </w:pPr>
    </w:p>
    <w:p>
      <w:pPr>
        <w:adjustRightInd/>
        <w:snapToGrid/>
        <w:spacing w:line="220" w:lineRule="atLeast"/>
        <w:rPr>
          <w:rFonts w:ascii="宋体" w:hAnsi="宋体" w:eastAsia="宋体"/>
          <w:b/>
          <w:color w:val="auto"/>
          <w:sz w:val="24"/>
          <w:szCs w:val="24"/>
          <w:highlight w:val="none"/>
        </w:rPr>
      </w:pPr>
    </w:p>
    <w:p>
      <w:pPr>
        <w:adjustRightInd/>
        <w:snapToGrid/>
        <w:spacing w:line="220" w:lineRule="atLeast"/>
        <w:rPr>
          <w:rFonts w:ascii="宋体" w:hAnsi="宋体" w:eastAsia="宋体"/>
          <w:b/>
          <w:color w:val="auto"/>
          <w:sz w:val="24"/>
          <w:szCs w:val="24"/>
          <w:highlight w:val="none"/>
        </w:rPr>
      </w:pPr>
    </w:p>
    <w:p>
      <w:pPr>
        <w:adjustRightInd/>
        <w:snapToGrid/>
        <w:spacing w:line="220" w:lineRule="atLeast"/>
        <w:rPr>
          <w:rFonts w:ascii="宋体" w:hAnsi="宋体" w:eastAsia="宋体"/>
          <w:b/>
          <w:color w:val="auto"/>
          <w:sz w:val="24"/>
          <w:szCs w:val="24"/>
          <w:highlight w:val="none"/>
        </w:rPr>
      </w:pPr>
    </w:p>
    <w:p>
      <w:pPr>
        <w:adjustRightInd/>
        <w:snapToGrid/>
        <w:spacing w:line="220" w:lineRule="atLeast"/>
        <w:rPr>
          <w:rFonts w:ascii="宋体" w:hAnsi="宋体" w:eastAsia="宋体"/>
          <w:b/>
          <w:color w:val="auto"/>
          <w:sz w:val="24"/>
          <w:szCs w:val="24"/>
          <w:highlight w:val="none"/>
        </w:rPr>
      </w:pPr>
    </w:p>
    <w:p>
      <w:pPr>
        <w:adjustRightInd/>
        <w:snapToGrid/>
        <w:spacing w:line="220" w:lineRule="atLeast"/>
        <w:rPr>
          <w:rFonts w:ascii="宋体" w:hAnsi="宋体" w:eastAsia="宋体"/>
          <w:b/>
          <w:color w:val="auto"/>
          <w:sz w:val="24"/>
          <w:szCs w:val="24"/>
          <w:highlight w:val="none"/>
        </w:rPr>
      </w:pPr>
    </w:p>
    <w:p>
      <w:pPr>
        <w:adjustRightInd/>
        <w:snapToGrid/>
        <w:spacing w:line="220" w:lineRule="atLeast"/>
        <w:rPr>
          <w:rFonts w:ascii="宋体" w:hAnsi="宋体" w:eastAsia="宋体"/>
          <w:b/>
          <w:color w:val="auto"/>
          <w:sz w:val="24"/>
          <w:szCs w:val="24"/>
          <w:highlight w:val="none"/>
        </w:rPr>
      </w:pPr>
    </w:p>
    <w:p>
      <w:pPr>
        <w:adjustRightInd/>
        <w:snapToGrid/>
        <w:spacing w:line="220" w:lineRule="atLeast"/>
        <w:rPr>
          <w:rFonts w:ascii="宋体" w:hAnsi="宋体" w:eastAsia="宋体"/>
          <w:b/>
          <w:color w:val="auto"/>
          <w:sz w:val="24"/>
          <w:szCs w:val="24"/>
          <w:highlight w:val="none"/>
        </w:rPr>
      </w:pPr>
    </w:p>
    <w:p>
      <w:pPr>
        <w:adjustRightInd/>
        <w:snapToGrid/>
        <w:spacing w:line="220" w:lineRule="atLeast"/>
        <w:rPr>
          <w:rFonts w:ascii="宋体" w:hAnsi="宋体" w:eastAsia="宋体"/>
          <w:b/>
          <w:color w:val="auto"/>
          <w:sz w:val="24"/>
          <w:szCs w:val="24"/>
          <w:highlight w:val="none"/>
        </w:rPr>
      </w:pPr>
    </w:p>
    <w:p>
      <w:pPr>
        <w:adjustRightInd/>
        <w:snapToGrid/>
        <w:spacing w:line="220" w:lineRule="atLeast"/>
        <w:rPr>
          <w:rFonts w:ascii="宋体" w:hAnsi="宋体" w:eastAsia="宋体"/>
          <w:b/>
          <w:color w:val="auto"/>
          <w:sz w:val="24"/>
          <w:szCs w:val="24"/>
          <w:highlight w:val="none"/>
        </w:rPr>
      </w:pPr>
    </w:p>
    <w:p>
      <w:pPr>
        <w:adjustRightInd/>
        <w:snapToGrid/>
        <w:spacing w:line="220" w:lineRule="atLeast"/>
        <w:rPr>
          <w:rFonts w:ascii="宋体" w:hAnsi="宋体" w:eastAsia="宋体"/>
          <w:b/>
          <w:color w:val="auto"/>
          <w:sz w:val="24"/>
          <w:szCs w:val="24"/>
          <w:highlight w:val="none"/>
        </w:rPr>
      </w:pPr>
    </w:p>
    <w:p>
      <w:pPr>
        <w:adjustRightInd/>
        <w:snapToGrid/>
        <w:spacing w:line="220" w:lineRule="atLeast"/>
        <w:rPr>
          <w:rFonts w:ascii="宋体" w:hAnsi="宋体" w:eastAsia="宋体"/>
          <w:b/>
          <w:color w:val="auto"/>
          <w:sz w:val="24"/>
          <w:szCs w:val="24"/>
          <w:highlight w:val="none"/>
        </w:rPr>
      </w:pPr>
      <w:r>
        <w:rPr>
          <w:rFonts w:hint="eastAsia" w:ascii="宋体" w:hAnsi="宋体" w:eastAsia="宋体"/>
          <w:b/>
          <w:color w:val="auto"/>
          <w:sz w:val="24"/>
          <w:szCs w:val="24"/>
          <w:highlight w:val="none"/>
        </w:rPr>
        <w:t>附件七：</w:t>
      </w:r>
    </w:p>
    <w:p>
      <w:pPr>
        <w:pStyle w:val="19"/>
        <w:spacing w:line="400" w:lineRule="exact"/>
        <w:rPr>
          <w:rFonts w:hAnsi="宋体"/>
          <w:b/>
          <w:color w:val="auto"/>
          <w:szCs w:val="21"/>
          <w:highlight w:val="none"/>
        </w:rPr>
      </w:pPr>
    </w:p>
    <w:p>
      <w:pPr>
        <w:pStyle w:val="19"/>
        <w:spacing w:line="400" w:lineRule="exact"/>
        <w:jc w:val="center"/>
        <w:rPr>
          <w:rFonts w:hAnsi="宋体"/>
          <w:b/>
          <w:color w:val="auto"/>
          <w:sz w:val="28"/>
          <w:szCs w:val="28"/>
          <w:highlight w:val="none"/>
        </w:rPr>
      </w:pPr>
      <w:r>
        <w:rPr>
          <w:rFonts w:hint="eastAsia" w:hAnsi="宋体"/>
          <w:b/>
          <w:color w:val="auto"/>
          <w:sz w:val="28"/>
          <w:szCs w:val="28"/>
          <w:highlight w:val="none"/>
        </w:rPr>
        <w:t>参加政府采购活动前三年内在经营活动中没有重大违法记录的书面声明</w:t>
      </w:r>
    </w:p>
    <w:p>
      <w:pPr>
        <w:pStyle w:val="19"/>
        <w:spacing w:line="400" w:lineRule="exact"/>
        <w:rPr>
          <w:rFonts w:hAnsi="宋体"/>
          <w:color w:val="auto"/>
          <w:szCs w:val="21"/>
          <w:highlight w:val="none"/>
        </w:rPr>
      </w:pPr>
    </w:p>
    <w:p>
      <w:pPr>
        <w:pStyle w:val="19"/>
        <w:spacing w:line="400" w:lineRule="exact"/>
        <w:rPr>
          <w:rFonts w:hAnsi="宋体"/>
          <w:color w:val="auto"/>
          <w:szCs w:val="21"/>
          <w:highlight w:val="none"/>
        </w:rPr>
      </w:pPr>
    </w:p>
    <w:p>
      <w:pPr>
        <w:pStyle w:val="19"/>
        <w:spacing w:line="500" w:lineRule="exact"/>
        <w:rPr>
          <w:rFonts w:hAnsi="宋体"/>
          <w:color w:val="auto"/>
          <w:sz w:val="24"/>
          <w:szCs w:val="24"/>
          <w:highlight w:val="none"/>
        </w:rPr>
      </w:pPr>
      <w:r>
        <w:rPr>
          <w:rFonts w:hint="eastAsia" w:hAnsi="宋体"/>
          <w:color w:val="auto"/>
          <w:sz w:val="24"/>
          <w:szCs w:val="24"/>
          <w:highlight w:val="none"/>
        </w:rPr>
        <w:t>致：________(采购代理机构)</w:t>
      </w:r>
    </w:p>
    <w:p>
      <w:pPr>
        <w:pStyle w:val="19"/>
        <w:spacing w:line="500" w:lineRule="exact"/>
        <w:ind w:firstLine="480" w:firstLineChars="200"/>
        <w:rPr>
          <w:rFonts w:hAnsi="宋体"/>
          <w:color w:val="auto"/>
          <w:sz w:val="24"/>
          <w:szCs w:val="24"/>
          <w:highlight w:val="none"/>
        </w:rPr>
      </w:pPr>
      <w:r>
        <w:rPr>
          <w:rFonts w:hint="eastAsia" w:hAnsi="宋体"/>
          <w:color w:val="auto"/>
          <w:sz w:val="24"/>
          <w:szCs w:val="24"/>
          <w:highlight w:val="none"/>
        </w:rPr>
        <w:t>我单位参加贵公司组织的</w:t>
      </w:r>
      <w:r>
        <w:rPr>
          <w:rFonts w:hint="eastAsia" w:hAnsi="宋体"/>
          <w:color w:val="auto"/>
          <w:sz w:val="24"/>
          <w:szCs w:val="24"/>
          <w:highlight w:val="none"/>
          <w:u w:val="single"/>
        </w:rPr>
        <w:t>（项目名称）</w:t>
      </w:r>
      <w:r>
        <w:rPr>
          <w:rFonts w:hint="eastAsia" w:hAnsi="宋体"/>
          <w:color w:val="auto"/>
          <w:sz w:val="24"/>
          <w:szCs w:val="24"/>
          <w:highlight w:val="none"/>
        </w:rPr>
        <w:t>（采购编号：）政府采购活动。我单位在此郑重声明，我单位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pStyle w:val="19"/>
        <w:spacing w:line="500" w:lineRule="exact"/>
        <w:ind w:firstLine="480" w:firstLineChars="200"/>
        <w:rPr>
          <w:rFonts w:hAnsi="宋体"/>
          <w:color w:val="auto"/>
          <w:sz w:val="24"/>
          <w:szCs w:val="24"/>
          <w:highlight w:val="none"/>
        </w:rPr>
      </w:pPr>
      <w:r>
        <w:rPr>
          <w:rFonts w:hint="eastAsia" w:hAnsi="宋体"/>
          <w:color w:val="auto"/>
          <w:sz w:val="24"/>
          <w:szCs w:val="24"/>
          <w:highlight w:val="none"/>
        </w:rPr>
        <w:t>特此承诺。</w:t>
      </w:r>
    </w:p>
    <w:p>
      <w:pPr>
        <w:pStyle w:val="19"/>
        <w:spacing w:line="400" w:lineRule="exact"/>
        <w:rPr>
          <w:rFonts w:hAnsi="宋体"/>
          <w:color w:val="auto"/>
          <w:szCs w:val="21"/>
          <w:highlight w:val="none"/>
        </w:rPr>
      </w:pPr>
    </w:p>
    <w:p>
      <w:pPr>
        <w:pStyle w:val="19"/>
        <w:spacing w:line="300" w:lineRule="auto"/>
        <w:ind w:firstLine="1680" w:firstLineChars="700"/>
        <w:rPr>
          <w:rFonts w:hAnsi="宋体"/>
          <w:color w:val="auto"/>
          <w:sz w:val="24"/>
          <w:szCs w:val="24"/>
          <w:highlight w:val="none"/>
        </w:rPr>
      </w:pPr>
    </w:p>
    <w:p>
      <w:pPr>
        <w:pStyle w:val="19"/>
        <w:spacing w:line="300" w:lineRule="auto"/>
        <w:ind w:firstLine="1680" w:firstLineChars="700"/>
        <w:rPr>
          <w:rFonts w:hAnsi="宋体"/>
          <w:color w:val="auto"/>
          <w:sz w:val="24"/>
          <w:szCs w:val="24"/>
          <w:highlight w:val="none"/>
        </w:rPr>
      </w:pPr>
    </w:p>
    <w:p>
      <w:pPr>
        <w:pStyle w:val="19"/>
        <w:spacing w:line="300" w:lineRule="auto"/>
        <w:ind w:firstLine="1680" w:firstLineChars="700"/>
        <w:rPr>
          <w:rFonts w:hAnsi="宋体"/>
          <w:color w:val="auto"/>
          <w:sz w:val="24"/>
          <w:szCs w:val="24"/>
          <w:highlight w:val="none"/>
        </w:rPr>
      </w:pPr>
    </w:p>
    <w:p>
      <w:pPr>
        <w:spacing w:line="500" w:lineRule="exact"/>
        <w:ind w:firstLine="3720" w:firstLineChars="1550"/>
        <w:rPr>
          <w:rFonts w:ascii="宋体" w:hAnsi="宋体" w:eastAsia="宋体"/>
          <w:color w:val="auto"/>
          <w:sz w:val="24"/>
          <w:highlight w:val="none"/>
        </w:rPr>
      </w:pPr>
      <w:r>
        <w:rPr>
          <w:rFonts w:hint="eastAsia" w:ascii="宋体" w:hAnsi="宋体" w:eastAsia="宋体"/>
          <w:color w:val="auto"/>
          <w:sz w:val="24"/>
          <w:highlight w:val="none"/>
        </w:rPr>
        <w:t>供应商：</w:t>
      </w:r>
      <w:r>
        <w:rPr>
          <w:rFonts w:hint="eastAsia" w:ascii="宋体" w:hAnsi="宋体" w:eastAsia="宋体"/>
          <w:color w:val="auto"/>
          <w:sz w:val="24"/>
          <w:highlight w:val="none"/>
          <w:u w:val="single"/>
        </w:rPr>
        <w:t xml:space="preserve">         （单位名称并盖公章） </w:t>
      </w:r>
    </w:p>
    <w:p>
      <w:pPr>
        <w:spacing w:line="500" w:lineRule="exact"/>
        <w:ind w:firstLine="3720" w:firstLineChars="1550"/>
        <w:rPr>
          <w:rFonts w:ascii="宋体" w:hAnsi="宋体" w:eastAsia="宋体"/>
          <w:color w:val="auto"/>
          <w:sz w:val="24"/>
          <w:highlight w:val="none"/>
        </w:rPr>
      </w:pPr>
      <w:r>
        <w:rPr>
          <w:rFonts w:hint="eastAsia" w:ascii="宋体" w:hAnsi="宋体" w:eastAsia="宋体"/>
          <w:color w:val="auto"/>
          <w:sz w:val="24"/>
          <w:highlight w:val="none"/>
        </w:rPr>
        <w:t>法定代表人或委托代理人：</w:t>
      </w:r>
      <w:r>
        <w:rPr>
          <w:rFonts w:hint="eastAsia" w:ascii="宋体" w:hAnsi="宋体" w:eastAsia="宋体"/>
          <w:color w:val="auto"/>
          <w:sz w:val="24"/>
          <w:highlight w:val="none"/>
          <w:u w:val="single"/>
        </w:rPr>
        <w:t xml:space="preserve">     （签字）   </w:t>
      </w:r>
    </w:p>
    <w:p>
      <w:pPr>
        <w:pStyle w:val="19"/>
        <w:spacing w:line="500" w:lineRule="exact"/>
        <w:ind w:firstLine="3720" w:firstLineChars="1550"/>
        <w:rPr>
          <w:rFonts w:hAnsi="宋体"/>
          <w:color w:val="auto"/>
          <w:sz w:val="24"/>
          <w:highlight w:val="none"/>
        </w:rPr>
      </w:pPr>
      <w:r>
        <w:rPr>
          <w:rFonts w:hint="eastAsia" w:hAnsi="宋体"/>
          <w:color w:val="auto"/>
          <w:sz w:val="24"/>
          <w:highlight w:val="none"/>
        </w:rPr>
        <w:t>日期：  年  月  日</w:t>
      </w:r>
    </w:p>
    <w:p>
      <w:pPr>
        <w:pStyle w:val="19"/>
        <w:spacing w:line="400" w:lineRule="exact"/>
        <w:rPr>
          <w:rFonts w:hAnsi="宋体"/>
          <w:color w:val="auto"/>
          <w:szCs w:val="21"/>
          <w:highlight w:val="none"/>
        </w:rPr>
      </w:pPr>
    </w:p>
    <w:p>
      <w:pPr>
        <w:spacing w:beforeLines="50" w:after="50"/>
        <w:rPr>
          <w:rFonts w:ascii="宋体" w:hAnsi="宋体" w:eastAsia="宋体"/>
          <w:color w:val="auto"/>
          <w:szCs w:val="21"/>
          <w:highlight w:val="none"/>
        </w:rPr>
      </w:pPr>
      <w:r>
        <w:rPr>
          <w:rFonts w:ascii="宋体" w:hAnsi="宋体" w:eastAsia="宋体"/>
          <w:color w:val="auto"/>
          <w:szCs w:val="21"/>
          <w:highlight w:val="none"/>
        </w:rPr>
        <w:br w:type="page"/>
      </w:r>
    </w:p>
    <w:p>
      <w:pPr>
        <w:pStyle w:val="19"/>
        <w:spacing w:line="440" w:lineRule="exact"/>
        <w:rPr>
          <w:rFonts w:hAnsi="宋体"/>
          <w:b/>
          <w:color w:val="auto"/>
          <w:sz w:val="24"/>
          <w:szCs w:val="24"/>
          <w:highlight w:val="none"/>
        </w:rPr>
      </w:pPr>
      <w:r>
        <w:rPr>
          <w:rFonts w:hint="eastAsia" w:hAnsi="宋体"/>
          <w:b/>
          <w:color w:val="auto"/>
          <w:sz w:val="24"/>
          <w:szCs w:val="24"/>
          <w:highlight w:val="none"/>
        </w:rPr>
        <w:t>附件八：</w:t>
      </w:r>
    </w:p>
    <w:p>
      <w:pPr>
        <w:pStyle w:val="19"/>
        <w:spacing w:line="400" w:lineRule="exact"/>
        <w:rPr>
          <w:rFonts w:hAnsi="宋体"/>
          <w:color w:val="auto"/>
          <w:szCs w:val="21"/>
          <w:highlight w:val="none"/>
        </w:rPr>
      </w:pPr>
    </w:p>
    <w:p>
      <w:pPr>
        <w:pStyle w:val="101"/>
        <w:ind w:firstLine="0" w:firstLineChars="0"/>
        <w:jc w:val="center"/>
        <w:rPr>
          <w:rFonts w:ascii="宋体" w:hAnsi="宋体"/>
          <w:b/>
          <w:color w:val="auto"/>
          <w:sz w:val="30"/>
          <w:szCs w:val="30"/>
          <w:highlight w:val="none"/>
        </w:rPr>
      </w:pPr>
      <w:r>
        <w:rPr>
          <w:rFonts w:hint="eastAsia" w:ascii="宋体" w:hAnsi="宋体"/>
          <w:b/>
          <w:color w:val="auto"/>
          <w:sz w:val="30"/>
          <w:szCs w:val="30"/>
          <w:highlight w:val="none"/>
        </w:rPr>
        <w:t>供应商控股及管理关系情况申报表</w:t>
      </w:r>
    </w:p>
    <w:p>
      <w:pPr>
        <w:spacing w:line="440" w:lineRule="exact"/>
        <w:rPr>
          <w:rFonts w:ascii="宋体" w:hAnsi="宋体" w:eastAsia="宋体"/>
          <w:color w:val="auto"/>
          <w:sz w:val="24"/>
          <w:szCs w:val="24"/>
          <w:highlight w:val="none"/>
        </w:rPr>
      </w:pPr>
    </w:p>
    <w:p>
      <w:pPr>
        <w:spacing w:line="440" w:lineRule="exact"/>
        <w:rPr>
          <w:rFonts w:ascii="宋体" w:hAnsi="宋体" w:eastAsia="宋体"/>
          <w:color w:val="auto"/>
          <w:kern w:val="2"/>
          <w:sz w:val="24"/>
          <w:szCs w:val="24"/>
          <w:highlight w:val="none"/>
        </w:rPr>
      </w:pPr>
      <w:r>
        <w:rPr>
          <w:rFonts w:hint="eastAsia" w:ascii="宋体" w:hAnsi="宋体" w:eastAsia="宋体"/>
          <w:color w:val="auto"/>
          <w:sz w:val="24"/>
          <w:szCs w:val="24"/>
          <w:highlight w:val="none"/>
        </w:rPr>
        <w:t>致：________(采购代理机构)</w:t>
      </w:r>
    </w:p>
    <w:p>
      <w:pPr>
        <w:spacing w:line="440" w:lineRule="exact"/>
        <w:ind w:firstLine="480" w:firstLineChars="200"/>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我单位参加</w:t>
      </w:r>
      <w:r>
        <w:rPr>
          <w:rFonts w:hint="eastAsia" w:ascii="宋体" w:hAnsi="宋体" w:eastAsia="宋体"/>
          <w:color w:val="auto"/>
          <w:kern w:val="2"/>
          <w:sz w:val="24"/>
          <w:szCs w:val="24"/>
          <w:highlight w:val="none"/>
          <w:u w:val="single"/>
        </w:rPr>
        <w:t xml:space="preserve">   （项目名称）      </w:t>
      </w:r>
      <w:r>
        <w:rPr>
          <w:rFonts w:hint="eastAsia" w:ascii="宋体" w:hAnsi="宋体" w:eastAsia="宋体"/>
          <w:color w:val="auto"/>
          <w:kern w:val="2"/>
          <w:sz w:val="24"/>
          <w:szCs w:val="24"/>
          <w:highlight w:val="none"/>
        </w:rPr>
        <w:t>的竞标，根据《中华人民共和国政府采购法》及相关规定，特就本单位控股及管理关系情况申报如下，并承担申报不实的责任。</w:t>
      </w:r>
    </w:p>
    <w:tbl>
      <w:tblPr>
        <w:tblStyle w:val="38"/>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9"/>
        <w:gridCol w:w="2627"/>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449" w:type="dxa"/>
            <w:vAlign w:val="center"/>
          </w:tcPr>
          <w:p>
            <w:pPr>
              <w:spacing w:line="440" w:lineRule="exact"/>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供应商名称</w:t>
            </w:r>
          </w:p>
        </w:tc>
        <w:tc>
          <w:tcPr>
            <w:tcW w:w="6455" w:type="dxa"/>
            <w:gridSpan w:val="2"/>
            <w:vAlign w:val="center"/>
          </w:tcPr>
          <w:p>
            <w:pPr>
              <w:spacing w:line="440" w:lineRule="exact"/>
              <w:rPr>
                <w:rFonts w:ascii="宋体" w:hAnsi="宋体" w:eastAsia="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2449" w:type="dxa"/>
            <w:vMerge w:val="restart"/>
            <w:vAlign w:val="center"/>
          </w:tcPr>
          <w:p>
            <w:pPr>
              <w:spacing w:after="0" w:line="360" w:lineRule="exact"/>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法定代表人</w:t>
            </w:r>
            <w:r>
              <w:rPr>
                <w:rFonts w:ascii="宋体" w:hAnsi="宋体" w:eastAsia="宋体"/>
                <w:color w:val="auto"/>
                <w:kern w:val="2"/>
                <w:sz w:val="24"/>
                <w:szCs w:val="24"/>
                <w:highlight w:val="none"/>
              </w:rPr>
              <w:t>/</w:t>
            </w:r>
            <w:r>
              <w:rPr>
                <w:rFonts w:hint="eastAsia" w:ascii="宋体" w:hAnsi="宋体" w:eastAsia="宋体"/>
                <w:color w:val="auto"/>
                <w:kern w:val="2"/>
                <w:sz w:val="24"/>
                <w:szCs w:val="24"/>
                <w:highlight w:val="none"/>
              </w:rPr>
              <w:t>单位负责人</w:t>
            </w:r>
          </w:p>
        </w:tc>
        <w:tc>
          <w:tcPr>
            <w:tcW w:w="2627" w:type="dxa"/>
            <w:vAlign w:val="center"/>
          </w:tcPr>
          <w:p>
            <w:pPr>
              <w:spacing w:after="0" w:line="360" w:lineRule="exact"/>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姓名</w:t>
            </w:r>
          </w:p>
        </w:tc>
        <w:tc>
          <w:tcPr>
            <w:tcW w:w="3828" w:type="dxa"/>
            <w:vAlign w:val="center"/>
          </w:tcPr>
          <w:p>
            <w:pPr>
              <w:spacing w:line="440" w:lineRule="exact"/>
              <w:rPr>
                <w:rFonts w:ascii="宋体" w:hAnsi="宋体" w:eastAsia="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2449" w:type="dxa"/>
            <w:vMerge w:val="continue"/>
            <w:vAlign w:val="center"/>
          </w:tcPr>
          <w:p>
            <w:pPr>
              <w:spacing w:after="0" w:line="360" w:lineRule="exact"/>
              <w:rPr>
                <w:rFonts w:ascii="宋体" w:hAnsi="宋体" w:eastAsia="宋体"/>
                <w:color w:val="auto"/>
                <w:kern w:val="2"/>
                <w:sz w:val="24"/>
                <w:szCs w:val="24"/>
                <w:highlight w:val="none"/>
              </w:rPr>
            </w:pPr>
          </w:p>
        </w:tc>
        <w:tc>
          <w:tcPr>
            <w:tcW w:w="2627" w:type="dxa"/>
            <w:vAlign w:val="center"/>
          </w:tcPr>
          <w:p>
            <w:pPr>
              <w:spacing w:after="0" w:line="360" w:lineRule="exact"/>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身份证号</w:t>
            </w:r>
          </w:p>
        </w:tc>
        <w:tc>
          <w:tcPr>
            <w:tcW w:w="3828" w:type="dxa"/>
            <w:vAlign w:val="center"/>
          </w:tcPr>
          <w:p>
            <w:pPr>
              <w:spacing w:line="440" w:lineRule="exact"/>
              <w:rPr>
                <w:rFonts w:ascii="宋体" w:hAnsi="宋体" w:eastAsia="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2449" w:type="dxa"/>
            <w:vAlign w:val="center"/>
          </w:tcPr>
          <w:p>
            <w:pPr>
              <w:spacing w:after="0" w:line="360" w:lineRule="exact"/>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控股股东</w:t>
            </w:r>
            <w:r>
              <w:rPr>
                <w:rFonts w:ascii="宋体" w:hAnsi="宋体" w:eastAsia="宋体"/>
                <w:color w:val="auto"/>
                <w:kern w:val="2"/>
                <w:sz w:val="24"/>
                <w:szCs w:val="24"/>
                <w:highlight w:val="none"/>
              </w:rPr>
              <w:t>/</w:t>
            </w:r>
            <w:r>
              <w:rPr>
                <w:rFonts w:hint="eastAsia" w:ascii="宋体" w:hAnsi="宋体" w:eastAsia="宋体"/>
                <w:color w:val="auto"/>
                <w:kern w:val="2"/>
                <w:sz w:val="24"/>
                <w:szCs w:val="24"/>
                <w:highlight w:val="none"/>
              </w:rPr>
              <w:t>投资人名称及出资比例</w:t>
            </w:r>
          </w:p>
        </w:tc>
        <w:tc>
          <w:tcPr>
            <w:tcW w:w="6455" w:type="dxa"/>
            <w:gridSpan w:val="2"/>
            <w:vAlign w:val="center"/>
          </w:tcPr>
          <w:p>
            <w:pPr>
              <w:spacing w:after="0" w:line="360" w:lineRule="exact"/>
              <w:rPr>
                <w:rFonts w:ascii="宋体" w:hAnsi="宋体" w:eastAsia="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2449" w:type="dxa"/>
            <w:vAlign w:val="center"/>
          </w:tcPr>
          <w:p>
            <w:pPr>
              <w:spacing w:after="0" w:line="360" w:lineRule="exact"/>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非控股股东</w:t>
            </w:r>
            <w:r>
              <w:rPr>
                <w:rFonts w:ascii="宋体" w:hAnsi="宋体" w:eastAsia="宋体"/>
                <w:color w:val="auto"/>
                <w:kern w:val="2"/>
                <w:sz w:val="24"/>
                <w:szCs w:val="24"/>
                <w:highlight w:val="none"/>
              </w:rPr>
              <w:t>/</w:t>
            </w:r>
            <w:r>
              <w:rPr>
                <w:rFonts w:hint="eastAsia" w:ascii="宋体" w:hAnsi="宋体" w:eastAsia="宋体"/>
                <w:color w:val="auto"/>
                <w:kern w:val="2"/>
                <w:sz w:val="24"/>
                <w:szCs w:val="24"/>
                <w:highlight w:val="none"/>
              </w:rPr>
              <w:t>投资人名称及出资比例</w:t>
            </w:r>
          </w:p>
        </w:tc>
        <w:tc>
          <w:tcPr>
            <w:tcW w:w="6455" w:type="dxa"/>
            <w:gridSpan w:val="2"/>
            <w:vAlign w:val="center"/>
          </w:tcPr>
          <w:p>
            <w:pPr>
              <w:spacing w:after="0" w:line="360" w:lineRule="exact"/>
              <w:rPr>
                <w:rFonts w:ascii="宋体" w:hAnsi="宋体" w:eastAsia="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449" w:type="dxa"/>
            <w:vMerge w:val="restart"/>
            <w:vAlign w:val="center"/>
          </w:tcPr>
          <w:p>
            <w:pPr>
              <w:spacing w:after="0" w:line="360" w:lineRule="exact"/>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管理关系单位名称</w:t>
            </w:r>
          </w:p>
        </w:tc>
        <w:tc>
          <w:tcPr>
            <w:tcW w:w="2627" w:type="dxa"/>
            <w:vAlign w:val="center"/>
          </w:tcPr>
          <w:p>
            <w:pPr>
              <w:spacing w:after="0" w:line="360" w:lineRule="exact"/>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管理关系单位名称</w:t>
            </w:r>
          </w:p>
        </w:tc>
        <w:tc>
          <w:tcPr>
            <w:tcW w:w="3828" w:type="dxa"/>
            <w:vAlign w:val="center"/>
          </w:tcPr>
          <w:p>
            <w:pPr>
              <w:spacing w:line="440" w:lineRule="exact"/>
              <w:rPr>
                <w:rFonts w:ascii="宋体" w:hAnsi="宋体" w:eastAsia="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449" w:type="dxa"/>
            <w:vMerge w:val="continue"/>
            <w:vAlign w:val="center"/>
          </w:tcPr>
          <w:p>
            <w:pPr>
              <w:spacing w:after="0" w:line="360" w:lineRule="exact"/>
              <w:rPr>
                <w:rFonts w:ascii="宋体" w:hAnsi="宋体" w:eastAsia="宋体"/>
                <w:color w:val="auto"/>
                <w:kern w:val="2"/>
                <w:sz w:val="24"/>
                <w:szCs w:val="24"/>
                <w:highlight w:val="none"/>
              </w:rPr>
            </w:pPr>
          </w:p>
        </w:tc>
        <w:tc>
          <w:tcPr>
            <w:tcW w:w="2627" w:type="dxa"/>
            <w:vAlign w:val="center"/>
          </w:tcPr>
          <w:p>
            <w:pPr>
              <w:spacing w:after="0" w:line="360" w:lineRule="exact"/>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被管理关系单位名称</w:t>
            </w:r>
          </w:p>
        </w:tc>
        <w:tc>
          <w:tcPr>
            <w:tcW w:w="3828" w:type="dxa"/>
            <w:vAlign w:val="center"/>
          </w:tcPr>
          <w:p>
            <w:pPr>
              <w:spacing w:line="440" w:lineRule="exact"/>
              <w:rPr>
                <w:rFonts w:ascii="宋体" w:hAnsi="宋体" w:eastAsia="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904" w:type="dxa"/>
            <w:gridSpan w:val="3"/>
            <w:vAlign w:val="center"/>
          </w:tcPr>
          <w:p>
            <w:pPr>
              <w:spacing w:line="440" w:lineRule="exact"/>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备注：</w:t>
            </w:r>
          </w:p>
        </w:tc>
      </w:tr>
    </w:tbl>
    <w:p>
      <w:pPr>
        <w:spacing w:after="0" w:line="340" w:lineRule="exact"/>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注：</w:t>
      </w:r>
    </w:p>
    <w:p>
      <w:pPr>
        <w:pStyle w:val="101"/>
        <w:numPr>
          <w:ilvl w:val="3"/>
          <w:numId w:val="5"/>
        </w:numPr>
        <w:adjustRightInd w:val="0"/>
        <w:snapToGrid w:val="0"/>
        <w:spacing w:line="340" w:lineRule="exact"/>
        <w:ind w:left="0" w:firstLine="480"/>
        <w:rPr>
          <w:rFonts w:ascii="宋体" w:hAnsi="宋体" w:cstheme="minorBidi"/>
          <w:color w:val="auto"/>
          <w:sz w:val="24"/>
          <w:highlight w:val="none"/>
        </w:rPr>
      </w:pPr>
      <w:r>
        <w:rPr>
          <w:rFonts w:hint="eastAsia" w:ascii="宋体" w:hAnsi="宋体" w:cstheme="minorBidi"/>
          <w:color w:val="auto"/>
          <w:sz w:val="24"/>
          <w:highlight w:val="none"/>
        </w:rPr>
        <w:t>控股股东</w:t>
      </w:r>
      <w:r>
        <w:rPr>
          <w:rFonts w:ascii="宋体" w:hAnsi="宋体" w:cstheme="minorBidi"/>
          <w:color w:val="auto"/>
          <w:sz w:val="24"/>
          <w:highlight w:val="none"/>
        </w:rPr>
        <w:t>/</w:t>
      </w:r>
      <w:r>
        <w:rPr>
          <w:rFonts w:hint="eastAsia" w:ascii="宋体" w:hAnsi="宋体" w:cstheme="minorBidi"/>
          <w:color w:val="auto"/>
          <w:sz w:val="24"/>
          <w:highlight w:val="none"/>
        </w:rPr>
        <w:t>投资人是指出资比例在</w:t>
      </w:r>
      <w:r>
        <w:rPr>
          <w:rFonts w:ascii="宋体" w:hAnsi="宋体" w:cstheme="minorBidi"/>
          <w:color w:val="auto"/>
          <w:sz w:val="24"/>
          <w:highlight w:val="none"/>
        </w:rPr>
        <w:t>50%</w:t>
      </w:r>
      <w:r>
        <w:rPr>
          <w:rFonts w:hint="eastAsia" w:ascii="宋体" w:hAnsi="宋体" w:cstheme="minorBidi"/>
          <w:color w:val="auto"/>
          <w:sz w:val="24"/>
          <w:highlight w:val="none"/>
        </w:rPr>
        <w:t>以上，或者出资比例不足</w:t>
      </w:r>
      <w:r>
        <w:rPr>
          <w:rFonts w:ascii="宋体" w:hAnsi="宋体" w:cstheme="minorBidi"/>
          <w:color w:val="auto"/>
          <w:sz w:val="24"/>
          <w:highlight w:val="none"/>
        </w:rPr>
        <w:t>50%</w:t>
      </w:r>
      <w:r>
        <w:rPr>
          <w:rFonts w:hint="eastAsia" w:ascii="宋体" w:hAnsi="宋体" w:cstheme="minorBidi"/>
          <w:color w:val="auto"/>
          <w:sz w:val="24"/>
          <w:highlight w:val="none"/>
        </w:rPr>
        <w:t>，但享有公司股东会</w:t>
      </w:r>
      <w:r>
        <w:rPr>
          <w:rFonts w:ascii="宋体" w:hAnsi="宋体" w:cstheme="minorBidi"/>
          <w:color w:val="auto"/>
          <w:sz w:val="24"/>
          <w:highlight w:val="none"/>
        </w:rPr>
        <w:t>/</w:t>
      </w:r>
      <w:r>
        <w:rPr>
          <w:rFonts w:hint="eastAsia" w:ascii="宋体" w:hAnsi="宋体" w:cstheme="minorBidi"/>
          <w:color w:val="auto"/>
          <w:sz w:val="24"/>
          <w:highlight w:val="none"/>
        </w:rPr>
        <w:t>董事会控制权的投资方（含单位或者个人）；</w:t>
      </w:r>
    </w:p>
    <w:p>
      <w:pPr>
        <w:pStyle w:val="101"/>
        <w:numPr>
          <w:ilvl w:val="3"/>
          <w:numId w:val="5"/>
        </w:numPr>
        <w:adjustRightInd w:val="0"/>
        <w:snapToGrid w:val="0"/>
        <w:spacing w:line="340" w:lineRule="exact"/>
        <w:ind w:left="0" w:firstLine="480"/>
        <w:rPr>
          <w:rFonts w:ascii="宋体" w:hAnsi="宋体" w:cstheme="minorBidi"/>
          <w:color w:val="auto"/>
          <w:sz w:val="24"/>
          <w:highlight w:val="none"/>
        </w:rPr>
      </w:pPr>
      <w:r>
        <w:rPr>
          <w:rFonts w:hint="eastAsia" w:ascii="宋体" w:hAnsi="宋体" w:cstheme="minorBidi"/>
          <w:color w:val="auto"/>
          <w:sz w:val="24"/>
          <w:highlight w:val="none"/>
        </w:rPr>
        <w:t>管理关系单位是指与不具有出资持股关系的其他单位之间存在管理与被管理关系的单位；</w:t>
      </w:r>
    </w:p>
    <w:p>
      <w:pPr>
        <w:pStyle w:val="101"/>
        <w:numPr>
          <w:ilvl w:val="3"/>
          <w:numId w:val="5"/>
        </w:numPr>
        <w:adjustRightInd w:val="0"/>
        <w:snapToGrid w:val="0"/>
        <w:spacing w:line="340" w:lineRule="exact"/>
        <w:ind w:left="0" w:firstLine="480"/>
        <w:rPr>
          <w:rFonts w:ascii="宋体" w:hAnsi="宋体"/>
          <w:color w:val="auto"/>
          <w:sz w:val="24"/>
          <w:highlight w:val="none"/>
        </w:rPr>
      </w:pPr>
      <w:r>
        <w:rPr>
          <w:rFonts w:hint="eastAsia" w:ascii="宋体" w:hAnsi="宋体" w:cstheme="minorBidi"/>
          <w:color w:val="auto"/>
          <w:sz w:val="24"/>
          <w:highlight w:val="none"/>
        </w:rPr>
        <w:t>如未有相关情况，请在相应栏填写“无”。</w:t>
      </w:r>
    </w:p>
    <w:p>
      <w:pPr>
        <w:pStyle w:val="19"/>
        <w:spacing w:line="300" w:lineRule="auto"/>
        <w:ind w:firstLine="1680" w:firstLineChars="700"/>
        <w:rPr>
          <w:rFonts w:hAnsi="宋体"/>
          <w:color w:val="auto"/>
          <w:sz w:val="24"/>
          <w:szCs w:val="24"/>
          <w:highlight w:val="none"/>
        </w:rPr>
      </w:pPr>
    </w:p>
    <w:p>
      <w:pPr>
        <w:spacing w:line="500" w:lineRule="exact"/>
        <w:ind w:firstLine="3720" w:firstLineChars="1550"/>
        <w:rPr>
          <w:rFonts w:ascii="宋体" w:hAnsi="宋体" w:eastAsia="宋体"/>
          <w:color w:val="auto"/>
          <w:sz w:val="24"/>
          <w:highlight w:val="none"/>
        </w:rPr>
      </w:pPr>
      <w:r>
        <w:rPr>
          <w:rFonts w:hint="eastAsia" w:ascii="宋体" w:hAnsi="宋体" w:eastAsia="宋体"/>
          <w:color w:val="auto"/>
          <w:sz w:val="24"/>
          <w:highlight w:val="none"/>
        </w:rPr>
        <w:t>供应商：</w:t>
      </w:r>
      <w:r>
        <w:rPr>
          <w:rFonts w:hint="eastAsia" w:ascii="宋体" w:hAnsi="宋体" w:eastAsia="宋体"/>
          <w:color w:val="auto"/>
          <w:sz w:val="24"/>
          <w:highlight w:val="none"/>
          <w:u w:val="single"/>
        </w:rPr>
        <w:t xml:space="preserve">         （单位名称并盖公章） </w:t>
      </w:r>
    </w:p>
    <w:p>
      <w:pPr>
        <w:spacing w:line="500" w:lineRule="exact"/>
        <w:ind w:firstLine="3720" w:firstLineChars="1550"/>
        <w:rPr>
          <w:rFonts w:ascii="宋体" w:hAnsi="宋体" w:eastAsia="宋体"/>
          <w:color w:val="auto"/>
          <w:sz w:val="24"/>
          <w:highlight w:val="none"/>
        </w:rPr>
      </w:pPr>
      <w:r>
        <w:rPr>
          <w:rFonts w:hint="eastAsia" w:ascii="宋体" w:hAnsi="宋体" w:eastAsia="宋体"/>
          <w:color w:val="auto"/>
          <w:sz w:val="24"/>
          <w:highlight w:val="none"/>
        </w:rPr>
        <w:t>法定代表人或委托代理人：</w:t>
      </w:r>
      <w:r>
        <w:rPr>
          <w:rFonts w:hint="eastAsia" w:ascii="宋体" w:hAnsi="宋体" w:eastAsia="宋体"/>
          <w:color w:val="auto"/>
          <w:sz w:val="24"/>
          <w:highlight w:val="none"/>
          <w:u w:val="single"/>
        </w:rPr>
        <w:t xml:space="preserve">     （签字）   </w:t>
      </w:r>
    </w:p>
    <w:p>
      <w:pPr>
        <w:pStyle w:val="19"/>
        <w:spacing w:line="500" w:lineRule="exact"/>
        <w:ind w:firstLine="3720" w:firstLineChars="1550"/>
        <w:rPr>
          <w:rFonts w:hAnsi="宋体"/>
          <w:color w:val="auto"/>
          <w:szCs w:val="21"/>
          <w:highlight w:val="none"/>
        </w:rPr>
      </w:pPr>
      <w:r>
        <w:rPr>
          <w:rFonts w:hint="eastAsia" w:hAnsi="宋体"/>
          <w:color w:val="auto"/>
          <w:sz w:val="24"/>
          <w:highlight w:val="none"/>
        </w:rPr>
        <w:t>日期：  年  月  日</w:t>
      </w:r>
    </w:p>
    <w:p>
      <w:pPr>
        <w:pStyle w:val="19"/>
        <w:spacing w:line="440" w:lineRule="exact"/>
        <w:rPr>
          <w:rFonts w:hAnsi="宋体"/>
          <w:color w:val="auto"/>
          <w:sz w:val="24"/>
          <w:highlight w:val="none"/>
        </w:rPr>
      </w:pPr>
      <w:r>
        <w:rPr>
          <w:rFonts w:hAnsi="宋体"/>
          <w:color w:val="auto"/>
          <w:sz w:val="24"/>
          <w:highlight w:val="none"/>
        </w:rPr>
        <w:br w:type="page"/>
      </w:r>
      <w:r>
        <w:rPr>
          <w:rFonts w:hint="eastAsia" w:hAnsi="宋体"/>
          <w:b/>
          <w:color w:val="auto"/>
          <w:sz w:val="24"/>
          <w:szCs w:val="24"/>
          <w:highlight w:val="none"/>
        </w:rPr>
        <w:t>附件九：</w:t>
      </w:r>
    </w:p>
    <w:p>
      <w:pPr>
        <w:pStyle w:val="19"/>
        <w:spacing w:line="440" w:lineRule="exact"/>
        <w:jc w:val="center"/>
        <w:rPr>
          <w:rFonts w:hAnsi="宋体"/>
          <w:b/>
          <w:color w:val="auto"/>
          <w:sz w:val="32"/>
          <w:szCs w:val="32"/>
          <w:highlight w:val="none"/>
        </w:rPr>
      </w:pPr>
    </w:p>
    <w:p>
      <w:pPr>
        <w:spacing w:beforeLines="50" w:afterLines="50" w:line="600" w:lineRule="exact"/>
        <w:jc w:val="center"/>
        <w:rPr>
          <w:rFonts w:ascii="宋体" w:hAnsi="宋体" w:eastAsia="宋体"/>
          <w:color w:val="auto"/>
          <w:sz w:val="32"/>
          <w:szCs w:val="32"/>
          <w:highlight w:val="none"/>
        </w:rPr>
      </w:pPr>
      <w:r>
        <w:rPr>
          <w:rFonts w:hint="eastAsia" w:ascii="宋体" w:hAnsi="宋体" w:eastAsia="宋体"/>
          <w:color w:val="auto"/>
          <w:sz w:val="32"/>
          <w:szCs w:val="32"/>
          <w:highlight w:val="none"/>
        </w:rPr>
        <w:t>法定代表人身份证明</w:t>
      </w:r>
    </w:p>
    <w:p>
      <w:pPr>
        <w:pStyle w:val="19"/>
        <w:spacing w:line="460" w:lineRule="exact"/>
        <w:ind w:firstLine="616" w:firstLineChars="257"/>
        <w:rPr>
          <w:rFonts w:hAnsi="宋体"/>
          <w:color w:val="auto"/>
          <w:sz w:val="24"/>
          <w:highlight w:val="none"/>
          <w:u w:val="single"/>
        </w:rPr>
      </w:pPr>
      <w:r>
        <w:rPr>
          <w:rFonts w:hint="eastAsia" w:hAnsi="宋体"/>
          <w:color w:val="auto"/>
          <w:sz w:val="24"/>
          <w:highlight w:val="none"/>
        </w:rPr>
        <w:t>供应商：</w:t>
      </w:r>
    </w:p>
    <w:p>
      <w:pPr>
        <w:pStyle w:val="19"/>
        <w:spacing w:line="460" w:lineRule="exact"/>
        <w:ind w:firstLine="616" w:firstLineChars="257"/>
        <w:rPr>
          <w:rFonts w:hAnsi="宋体"/>
          <w:color w:val="auto"/>
          <w:sz w:val="24"/>
          <w:highlight w:val="none"/>
        </w:rPr>
      </w:pPr>
      <w:r>
        <w:rPr>
          <w:rFonts w:hint="eastAsia" w:hAnsi="宋体"/>
          <w:color w:val="auto"/>
          <w:sz w:val="24"/>
          <w:highlight w:val="none"/>
        </w:rPr>
        <w:t>单位性质：</w:t>
      </w:r>
    </w:p>
    <w:p>
      <w:pPr>
        <w:pStyle w:val="19"/>
        <w:spacing w:line="460" w:lineRule="exact"/>
        <w:ind w:firstLine="616" w:firstLineChars="257"/>
        <w:rPr>
          <w:rFonts w:hAnsi="宋体"/>
          <w:color w:val="auto"/>
          <w:sz w:val="24"/>
          <w:highlight w:val="none"/>
        </w:rPr>
      </w:pPr>
      <w:r>
        <w:rPr>
          <w:rFonts w:hint="eastAsia" w:hAnsi="宋体"/>
          <w:color w:val="auto"/>
          <w:sz w:val="24"/>
          <w:highlight w:val="none"/>
        </w:rPr>
        <w:t>地    址：</w:t>
      </w:r>
    </w:p>
    <w:p>
      <w:pPr>
        <w:pStyle w:val="19"/>
        <w:spacing w:line="460" w:lineRule="exact"/>
        <w:ind w:firstLine="616" w:firstLineChars="257"/>
        <w:rPr>
          <w:rFonts w:hAnsi="宋体"/>
          <w:color w:val="auto"/>
          <w:sz w:val="24"/>
          <w:highlight w:val="none"/>
        </w:rPr>
      </w:pPr>
      <w:r>
        <w:rPr>
          <w:rFonts w:hint="eastAsia" w:hAnsi="宋体"/>
          <w:color w:val="auto"/>
          <w:sz w:val="24"/>
          <w:highlight w:val="none"/>
        </w:rPr>
        <w:t>成立时间：年月日</w:t>
      </w:r>
    </w:p>
    <w:p>
      <w:pPr>
        <w:pStyle w:val="19"/>
        <w:spacing w:line="460" w:lineRule="exact"/>
        <w:ind w:firstLine="616" w:firstLineChars="257"/>
        <w:rPr>
          <w:rFonts w:hAnsi="宋体"/>
          <w:color w:val="auto"/>
          <w:sz w:val="24"/>
          <w:highlight w:val="none"/>
        </w:rPr>
      </w:pPr>
      <w:r>
        <w:rPr>
          <w:rFonts w:hint="eastAsia" w:hAnsi="宋体"/>
          <w:color w:val="auto"/>
          <w:sz w:val="24"/>
          <w:highlight w:val="none"/>
        </w:rPr>
        <w:t>经营期限：</w:t>
      </w:r>
    </w:p>
    <w:p>
      <w:pPr>
        <w:pStyle w:val="19"/>
        <w:spacing w:line="460" w:lineRule="exact"/>
        <w:ind w:firstLine="616" w:firstLineChars="257"/>
        <w:rPr>
          <w:rFonts w:hAnsi="宋体"/>
          <w:color w:val="auto"/>
          <w:sz w:val="24"/>
          <w:highlight w:val="none"/>
        </w:rPr>
      </w:pPr>
      <w:r>
        <w:rPr>
          <w:rFonts w:hint="eastAsia" w:hAnsi="宋体"/>
          <w:color w:val="auto"/>
          <w:sz w:val="24"/>
          <w:highlight w:val="none"/>
        </w:rPr>
        <w:t>姓    名：性      别：</w:t>
      </w:r>
    </w:p>
    <w:p>
      <w:pPr>
        <w:pStyle w:val="19"/>
        <w:spacing w:line="460" w:lineRule="exact"/>
        <w:ind w:firstLine="616" w:firstLineChars="257"/>
        <w:rPr>
          <w:rFonts w:hAnsi="宋体"/>
          <w:color w:val="auto"/>
          <w:sz w:val="24"/>
          <w:highlight w:val="none"/>
          <w:u w:val="single"/>
        </w:rPr>
      </w:pPr>
      <w:r>
        <w:rPr>
          <w:rFonts w:hint="eastAsia" w:hAnsi="宋体"/>
          <w:color w:val="auto"/>
          <w:sz w:val="24"/>
          <w:highlight w:val="none"/>
        </w:rPr>
        <w:t>年    龄：职      务：</w:t>
      </w:r>
    </w:p>
    <w:p>
      <w:pPr>
        <w:pStyle w:val="19"/>
        <w:spacing w:line="460" w:lineRule="exact"/>
        <w:ind w:firstLine="616" w:firstLineChars="257"/>
        <w:rPr>
          <w:rFonts w:hAnsi="宋体"/>
          <w:color w:val="auto"/>
          <w:sz w:val="24"/>
          <w:highlight w:val="none"/>
        </w:rPr>
      </w:pPr>
      <w:r>
        <w:rPr>
          <w:rFonts w:hint="eastAsia" w:hAnsi="宋体"/>
          <w:color w:val="auto"/>
          <w:sz w:val="24"/>
          <w:highlight w:val="none"/>
        </w:rPr>
        <w:t>身份证号码：</w:t>
      </w:r>
    </w:p>
    <w:p>
      <w:pPr>
        <w:pStyle w:val="19"/>
        <w:spacing w:line="460" w:lineRule="exact"/>
        <w:ind w:firstLine="616" w:firstLineChars="257"/>
        <w:rPr>
          <w:rFonts w:hAnsi="宋体"/>
          <w:color w:val="auto"/>
          <w:sz w:val="24"/>
          <w:highlight w:val="none"/>
        </w:rPr>
      </w:pPr>
      <w:r>
        <w:rPr>
          <w:rFonts w:hint="eastAsia" w:hAnsi="宋体"/>
          <w:color w:val="auto"/>
          <w:sz w:val="24"/>
          <w:highlight w:val="none"/>
        </w:rPr>
        <w:t>系</w:t>
      </w:r>
      <w:r>
        <w:rPr>
          <w:rFonts w:hint="eastAsia" w:hAnsi="宋体"/>
          <w:color w:val="auto"/>
          <w:sz w:val="24"/>
          <w:highlight w:val="none"/>
          <w:u w:val="single"/>
        </w:rPr>
        <w:t xml:space="preserve">（供应商名称）               </w:t>
      </w:r>
      <w:r>
        <w:rPr>
          <w:rFonts w:hint="eastAsia" w:hAnsi="宋体"/>
          <w:color w:val="auto"/>
          <w:sz w:val="24"/>
          <w:highlight w:val="none"/>
        </w:rPr>
        <w:t>的法定代表人。</w:t>
      </w:r>
    </w:p>
    <w:p>
      <w:pPr>
        <w:pStyle w:val="19"/>
        <w:spacing w:line="460" w:lineRule="exact"/>
        <w:ind w:firstLine="616" w:firstLineChars="257"/>
        <w:rPr>
          <w:rFonts w:hAnsi="宋体"/>
          <w:color w:val="auto"/>
          <w:sz w:val="24"/>
          <w:highlight w:val="none"/>
        </w:rPr>
      </w:pPr>
      <w:r>
        <w:rPr>
          <w:rFonts w:hint="eastAsia" w:hAnsi="宋体"/>
          <w:color w:val="auto"/>
          <w:sz w:val="24"/>
          <w:highlight w:val="none"/>
        </w:rPr>
        <w:t>特此证明。</w:t>
      </w:r>
    </w:p>
    <w:p>
      <w:pPr>
        <w:pStyle w:val="19"/>
        <w:spacing w:line="460" w:lineRule="exact"/>
        <w:ind w:firstLine="616" w:firstLineChars="257"/>
        <w:rPr>
          <w:rFonts w:hAnsi="宋体"/>
          <w:color w:val="auto"/>
          <w:sz w:val="24"/>
          <w:szCs w:val="24"/>
          <w:highlight w:val="none"/>
        </w:rPr>
      </w:pPr>
      <w:r>
        <w:rPr>
          <w:rFonts w:hint="eastAsia" w:hAnsi="宋体"/>
          <w:color w:val="auto"/>
          <w:kern w:val="0"/>
          <w:sz w:val="24"/>
          <w:highlight w:val="none"/>
        </w:rPr>
        <w:t>附：法定代表人有效的身份证正反面复印件，并加盖公章。</w:t>
      </w:r>
    </w:p>
    <w:p>
      <w:pPr>
        <w:pStyle w:val="19"/>
        <w:spacing w:line="460" w:lineRule="exact"/>
        <w:ind w:firstLine="616" w:firstLineChars="257"/>
        <w:rPr>
          <w:rFonts w:hAnsi="宋体"/>
          <w:color w:val="auto"/>
          <w:sz w:val="24"/>
          <w:szCs w:val="24"/>
          <w:highlight w:val="none"/>
        </w:rPr>
      </w:pPr>
    </w:p>
    <w:p>
      <w:pPr>
        <w:pStyle w:val="19"/>
        <w:spacing w:line="460" w:lineRule="exact"/>
        <w:ind w:firstLine="616" w:firstLineChars="257"/>
        <w:rPr>
          <w:rFonts w:hAnsi="宋体"/>
          <w:color w:val="auto"/>
          <w:sz w:val="24"/>
          <w:szCs w:val="24"/>
          <w:highlight w:val="none"/>
        </w:rPr>
      </w:pPr>
    </w:p>
    <w:p>
      <w:pPr>
        <w:pStyle w:val="19"/>
        <w:spacing w:line="460" w:lineRule="exact"/>
        <w:ind w:firstLine="616" w:firstLineChars="257"/>
        <w:rPr>
          <w:rFonts w:hAnsi="宋体"/>
          <w:color w:val="auto"/>
          <w:sz w:val="24"/>
          <w:szCs w:val="24"/>
          <w:highlight w:val="none"/>
        </w:rPr>
      </w:pPr>
    </w:p>
    <w:p>
      <w:pPr>
        <w:pStyle w:val="19"/>
        <w:spacing w:line="460" w:lineRule="exact"/>
        <w:ind w:firstLine="616" w:firstLineChars="257"/>
        <w:rPr>
          <w:rFonts w:hAnsi="宋体"/>
          <w:color w:val="auto"/>
          <w:sz w:val="24"/>
          <w:szCs w:val="24"/>
          <w:highlight w:val="none"/>
        </w:rPr>
      </w:pPr>
    </w:p>
    <w:p>
      <w:pPr>
        <w:spacing w:after="0" w:line="500" w:lineRule="exact"/>
        <w:ind w:firstLine="3840" w:firstLineChars="1600"/>
        <w:rPr>
          <w:rFonts w:ascii="宋体" w:hAnsi="宋体" w:eastAsia="宋体"/>
          <w:color w:val="auto"/>
          <w:sz w:val="24"/>
          <w:highlight w:val="none"/>
        </w:rPr>
      </w:pPr>
      <w:r>
        <w:rPr>
          <w:rFonts w:hint="eastAsia" w:ascii="宋体" w:hAnsi="宋体" w:eastAsia="宋体"/>
          <w:color w:val="auto"/>
          <w:sz w:val="24"/>
          <w:highlight w:val="none"/>
        </w:rPr>
        <w:t>供应商：</w:t>
      </w:r>
      <w:r>
        <w:rPr>
          <w:rFonts w:hint="eastAsia" w:ascii="宋体" w:hAnsi="宋体" w:eastAsia="宋体"/>
          <w:color w:val="auto"/>
          <w:sz w:val="24"/>
          <w:highlight w:val="none"/>
          <w:u w:val="single"/>
        </w:rPr>
        <w:t xml:space="preserve">      （单位名称并盖公章） </w:t>
      </w:r>
    </w:p>
    <w:p>
      <w:pPr>
        <w:pStyle w:val="19"/>
        <w:spacing w:line="460" w:lineRule="exact"/>
        <w:ind w:firstLine="3840" w:firstLineChars="1600"/>
        <w:rPr>
          <w:rFonts w:hAnsi="宋体"/>
          <w:color w:val="auto"/>
          <w:sz w:val="24"/>
          <w:szCs w:val="24"/>
          <w:highlight w:val="none"/>
        </w:rPr>
      </w:pPr>
      <w:r>
        <w:rPr>
          <w:rFonts w:hint="eastAsia" w:hAnsi="宋体"/>
          <w:color w:val="auto"/>
          <w:sz w:val="24"/>
          <w:highlight w:val="none"/>
        </w:rPr>
        <w:t>日期：  年  月  日</w:t>
      </w:r>
    </w:p>
    <w:p>
      <w:pPr>
        <w:adjustRightInd/>
        <w:snapToGrid/>
        <w:spacing w:line="220" w:lineRule="atLeast"/>
        <w:rPr>
          <w:rFonts w:ascii="宋体" w:hAnsi="宋体" w:eastAsia="宋体"/>
          <w:color w:val="auto"/>
          <w:sz w:val="24"/>
          <w:highlight w:val="none"/>
        </w:rPr>
      </w:pPr>
      <w:r>
        <w:rPr>
          <w:rFonts w:ascii="宋体" w:hAnsi="宋体" w:eastAsia="宋体"/>
          <w:color w:val="auto"/>
          <w:sz w:val="24"/>
          <w:highlight w:val="none"/>
        </w:rPr>
        <w:br w:type="page"/>
      </w:r>
    </w:p>
    <w:p>
      <w:pPr>
        <w:spacing w:line="400" w:lineRule="exact"/>
        <w:rPr>
          <w:rFonts w:ascii="宋体" w:hAnsi="宋体" w:eastAsia="宋体"/>
          <w:b/>
          <w:color w:val="auto"/>
          <w:sz w:val="24"/>
          <w:highlight w:val="none"/>
        </w:rPr>
      </w:pPr>
    </w:p>
    <w:p>
      <w:pPr>
        <w:spacing w:line="400" w:lineRule="exact"/>
        <w:rPr>
          <w:rFonts w:ascii="宋体" w:hAnsi="宋体" w:eastAsia="宋体"/>
          <w:color w:val="auto"/>
          <w:sz w:val="24"/>
          <w:highlight w:val="none"/>
        </w:rPr>
      </w:pPr>
      <w:r>
        <w:rPr>
          <w:rFonts w:hint="eastAsia" w:ascii="宋体" w:hAnsi="宋体" w:eastAsia="宋体"/>
          <w:b/>
          <w:color w:val="auto"/>
          <w:sz w:val="24"/>
          <w:highlight w:val="none"/>
        </w:rPr>
        <w:t>附件十：</w:t>
      </w:r>
    </w:p>
    <w:p>
      <w:pPr>
        <w:spacing w:beforeLines="50" w:afterLines="50" w:line="600" w:lineRule="exact"/>
        <w:jc w:val="center"/>
        <w:rPr>
          <w:rFonts w:ascii="宋体" w:hAnsi="宋体" w:eastAsia="宋体"/>
          <w:b/>
          <w:color w:val="auto"/>
          <w:sz w:val="32"/>
          <w:szCs w:val="32"/>
          <w:highlight w:val="none"/>
        </w:rPr>
      </w:pPr>
      <w:r>
        <w:rPr>
          <w:rFonts w:hint="eastAsia" w:ascii="宋体" w:hAnsi="宋体" w:eastAsia="宋体"/>
          <w:b/>
          <w:color w:val="auto"/>
          <w:sz w:val="32"/>
          <w:szCs w:val="32"/>
          <w:highlight w:val="none"/>
        </w:rPr>
        <w:t>法定代表人授权委托书</w:t>
      </w:r>
    </w:p>
    <w:p>
      <w:pPr>
        <w:autoSpaceDE w:val="0"/>
        <w:rPr>
          <w:rFonts w:ascii="宋体" w:hAnsi="宋体" w:eastAsia="宋体" w:cs="Arial"/>
          <w:b/>
          <w:color w:val="auto"/>
          <w:szCs w:val="21"/>
          <w:highlight w:val="none"/>
        </w:rPr>
      </w:pPr>
    </w:p>
    <w:p>
      <w:pPr>
        <w:spacing w:after="0" w:line="440" w:lineRule="exact"/>
        <w:rPr>
          <w:rFonts w:ascii="宋体" w:hAnsi="宋体" w:eastAsia="宋体" w:cs="Arial"/>
          <w:b/>
          <w:bCs/>
          <w:color w:val="auto"/>
          <w:sz w:val="24"/>
          <w:highlight w:val="none"/>
        </w:rPr>
      </w:pPr>
      <w:r>
        <w:rPr>
          <w:rFonts w:hint="eastAsia" w:ascii="宋体" w:hAnsi="宋体" w:eastAsia="宋体" w:cs="Arial"/>
          <w:bCs/>
          <w:color w:val="auto"/>
          <w:sz w:val="24"/>
          <w:highlight w:val="none"/>
        </w:rPr>
        <w:t>致</w:t>
      </w:r>
      <w:r>
        <w:rPr>
          <w:rFonts w:hint="eastAsia" w:ascii="宋体" w:hAnsi="宋体" w:eastAsia="宋体" w:cs="Arial"/>
          <w:color w:val="auto"/>
          <w:sz w:val="24"/>
          <w:highlight w:val="none"/>
        </w:rPr>
        <w:t>：（采购代理机构）</w:t>
      </w:r>
    </w:p>
    <w:p>
      <w:pPr>
        <w:spacing w:after="0" w:line="44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我</w:t>
      </w:r>
      <w:r>
        <w:rPr>
          <w:rFonts w:hint="eastAsia" w:ascii="宋体" w:hAnsi="宋体" w:eastAsia="宋体" w:cs="Arial"/>
          <w:color w:val="auto"/>
          <w:sz w:val="24"/>
          <w:highlight w:val="none"/>
          <w:u w:val="single"/>
        </w:rPr>
        <w:t>（姓名）</w:t>
      </w:r>
      <w:r>
        <w:rPr>
          <w:rFonts w:hint="eastAsia" w:ascii="宋体" w:hAnsi="宋体" w:eastAsia="宋体" w:cs="Arial"/>
          <w:color w:val="auto"/>
          <w:sz w:val="24"/>
          <w:highlight w:val="none"/>
        </w:rPr>
        <w:t>系</w:t>
      </w:r>
      <w:r>
        <w:rPr>
          <w:rFonts w:hint="eastAsia" w:ascii="宋体" w:hAnsi="宋体" w:eastAsia="宋体" w:cs="Arial"/>
          <w:color w:val="auto"/>
          <w:sz w:val="24"/>
          <w:highlight w:val="none"/>
          <w:u w:val="single"/>
        </w:rPr>
        <w:t>（供应商名称）</w:t>
      </w:r>
      <w:r>
        <w:rPr>
          <w:rFonts w:hint="eastAsia" w:ascii="宋体" w:hAnsi="宋体" w:eastAsia="宋体" w:cs="Arial"/>
          <w:color w:val="auto"/>
          <w:sz w:val="24"/>
          <w:highlight w:val="none"/>
        </w:rPr>
        <w:t>的法定代表人，现授权委托本单位在职职工</w:t>
      </w:r>
      <w:r>
        <w:rPr>
          <w:rFonts w:hint="eastAsia" w:ascii="宋体" w:hAnsi="宋体" w:eastAsia="宋体" w:cs="Arial"/>
          <w:color w:val="auto"/>
          <w:sz w:val="24"/>
          <w:highlight w:val="none"/>
          <w:u w:val="single"/>
        </w:rPr>
        <w:t xml:space="preserve"> （姓名）</w:t>
      </w:r>
      <w:r>
        <w:rPr>
          <w:rFonts w:hint="eastAsia" w:ascii="宋体" w:hAnsi="宋体" w:eastAsia="宋体" w:cs="Arial"/>
          <w:color w:val="auto"/>
          <w:sz w:val="24"/>
          <w:highlight w:val="none"/>
        </w:rPr>
        <w:t>以我方的名义参加</w:t>
      </w:r>
      <w:r>
        <w:rPr>
          <w:rFonts w:hint="eastAsia" w:ascii="宋体" w:hAnsi="宋体" w:eastAsia="宋体"/>
          <w:color w:val="auto"/>
          <w:sz w:val="24"/>
          <w:highlight w:val="none"/>
          <w:u w:val="single"/>
        </w:rPr>
        <w:t xml:space="preserve">（项目名称）（采购编号：      </w:t>
      </w:r>
      <w:r>
        <w:rPr>
          <w:rFonts w:hint="eastAsia" w:ascii="宋体" w:hAnsi="宋体" w:eastAsia="宋体"/>
          <w:color w:val="auto"/>
          <w:sz w:val="24"/>
          <w:highlight w:val="none"/>
        </w:rPr>
        <w:t>）</w:t>
      </w:r>
      <w:r>
        <w:rPr>
          <w:rFonts w:hint="eastAsia" w:ascii="宋体" w:hAnsi="宋体" w:eastAsia="宋体" w:cs="Arial"/>
          <w:color w:val="auto"/>
          <w:sz w:val="24"/>
          <w:highlight w:val="none"/>
        </w:rPr>
        <w:t>项目的竞标活动，并代表我方全权办理针对上述项目的响应文件签署、响应文件提交、谈判、签订合同和处理一切有关事宜等。</w:t>
      </w:r>
    </w:p>
    <w:p>
      <w:pPr>
        <w:spacing w:after="0" w:line="44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我方对被授权人的签名事项负全部责任。</w:t>
      </w:r>
    </w:p>
    <w:p>
      <w:pPr>
        <w:spacing w:after="0" w:line="44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授权委托期限：年月日至年月日。被授权人在授权书有效期内签署的所有文件均有效。</w:t>
      </w:r>
    </w:p>
    <w:p>
      <w:pPr>
        <w:spacing w:after="0" w:line="44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被授权人无转委托权，特此委托。</w:t>
      </w:r>
    </w:p>
    <w:p>
      <w:pPr>
        <w:spacing w:after="0" w:line="440" w:lineRule="exact"/>
        <w:ind w:firstLine="480" w:firstLineChars="200"/>
        <w:rPr>
          <w:rFonts w:ascii="宋体" w:hAnsi="宋体" w:eastAsia="宋体" w:cs="Arial"/>
          <w:color w:val="auto"/>
          <w:sz w:val="24"/>
          <w:highlight w:val="none"/>
        </w:rPr>
      </w:pPr>
    </w:p>
    <w:p>
      <w:pPr>
        <w:spacing w:after="0" w:line="44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附：被授权人有效的身份证正反面复印件，并加盖公章。</w:t>
      </w:r>
    </w:p>
    <w:p>
      <w:pPr>
        <w:spacing w:line="440" w:lineRule="exact"/>
        <w:ind w:firstLine="480" w:firstLineChars="200"/>
        <w:rPr>
          <w:rFonts w:ascii="宋体" w:hAnsi="宋体" w:eastAsia="宋体" w:cs="Arial"/>
          <w:color w:val="auto"/>
          <w:sz w:val="24"/>
          <w:highlight w:val="none"/>
        </w:rPr>
      </w:pPr>
    </w:p>
    <w:p>
      <w:pPr>
        <w:spacing w:line="440" w:lineRule="exact"/>
        <w:ind w:firstLine="2760" w:firstLineChars="1150"/>
        <w:rPr>
          <w:rFonts w:ascii="宋体" w:hAnsi="宋体" w:eastAsia="宋体" w:cs="Arial"/>
          <w:color w:val="auto"/>
          <w:sz w:val="24"/>
          <w:highlight w:val="none"/>
          <w:u w:val="single"/>
        </w:rPr>
      </w:pPr>
      <w:r>
        <w:rPr>
          <w:rFonts w:hint="eastAsia" w:ascii="宋体" w:hAnsi="宋体" w:eastAsia="宋体"/>
          <w:color w:val="auto"/>
          <w:sz w:val="24"/>
          <w:highlight w:val="none"/>
        </w:rPr>
        <w:t>供应商：</w:t>
      </w:r>
      <w:r>
        <w:rPr>
          <w:rFonts w:hint="eastAsia" w:ascii="宋体" w:hAnsi="宋体" w:eastAsia="宋体"/>
          <w:color w:val="auto"/>
          <w:sz w:val="24"/>
          <w:highlight w:val="none"/>
          <w:u w:val="single"/>
        </w:rPr>
        <w:t xml:space="preserve">  （单位名称并盖公章）</w:t>
      </w:r>
    </w:p>
    <w:p>
      <w:pPr>
        <w:spacing w:line="440" w:lineRule="exact"/>
        <w:ind w:firstLine="2760" w:firstLineChars="1150"/>
        <w:rPr>
          <w:rFonts w:ascii="宋体" w:hAnsi="宋体" w:eastAsia="宋体" w:cs="Arial"/>
          <w:color w:val="auto"/>
          <w:sz w:val="24"/>
          <w:highlight w:val="none"/>
          <w:u w:val="single"/>
        </w:rPr>
      </w:pPr>
      <w:r>
        <w:rPr>
          <w:rFonts w:hint="eastAsia" w:ascii="宋体" w:hAnsi="宋体" w:eastAsia="宋体" w:cs="Arial"/>
          <w:color w:val="auto"/>
          <w:sz w:val="24"/>
          <w:highlight w:val="none"/>
        </w:rPr>
        <w:t>法定代表人（签字）：</w:t>
      </w:r>
    </w:p>
    <w:p>
      <w:pPr>
        <w:spacing w:line="440" w:lineRule="exact"/>
        <w:ind w:firstLine="2760" w:firstLineChars="1150"/>
        <w:rPr>
          <w:rFonts w:ascii="宋体" w:hAnsi="宋体" w:eastAsia="宋体" w:cs="Arial"/>
          <w:color w:val="auto"/>
          <w:sz w:val="24"/>
          <w:highlight w:val="none"/>
          <w:u w:val="single"/>
        </w:rPr>
      </w:pPr>
      <w:r>
        <w:rPr>
          <w:rFonts w:hint="eastAsia" w:ascii="宋体" w:hAnsi="宋体" w:eastAsia="宋体" w:cs="Arial"/>
          <w:color w:val="auto"/>
          <w:sz w:val="24"/>
          <w:highlight w:val="none"/>
        </w:rPr>
        <w:t>法定代表人身份证号码：</w:t>
      </w:r>
    </w:p>
    <w:p>
      <w:pPr>
        <w:spacing w:line="440" w:lineRule="exact"/>
        <w:ind w:firstLine="2760" w:firstLineChars="1150"/>
        <w:rPr>
          <w:rFonts w:ascii="宋体" w:hAnsi="宋体" w:eastAsia="宋体" w:cs="Arial"/>
          <w:color w:val="auto"/>
          <w:sz w:val="24"/>
          <w:highlight w:val="none"/>
          <w:u w:val="single"/>
        </w:rPr>
      </w:pPr>
      <w:r>
        <w:rPr>
          <w:rFonts w:hint="eastAsia" w:ascii="宋体" w:hAnsi="宋体" w:eastAsia="宋体" w:cs="Arial"/>
          <w:color w:val="auto"/>
          <w:sz w:val="24"/>
          <w:highlight w:val="none"/>
        </w:rPr>
        <w:t>委托代理人（签字）：</w:t>
      </w:r>
    </w:p>
    <w:p>
      <w:pPr>
        <w:spacing w:line="440" w:lineRule="exact"/>
        <w:ind w:firstLine="2760" w:firstLineChars="1150"/>
        <w:rPr>
          <w:rFonts w:ascii="宋体" w:hAnsi="宋体" w:eastAsia="宋体" w:cs="Arial"/>
          <w:color w:val="auto"/>
          <w:sz w:val="24"/>
          <w:highlight w:val="none"/>
          <w:u w:val="single"/>
        </w:rPr>
      </w:pPr>
      <w:r>
        <w:rPr>
          <w:rFonts w:hint="eastAsia" w:ascii="宋体" w:hAnsi="宋体" w:eastAsia="宋体" w:cs="Arial"/>
          <w:color w:val="auto"/>
          <w:sz w:val="24"/>
          <w:highlight w:val="none"/>
        </w:rPr>
        <w:t>委托代理人身份证号码：</w:t>
      </w:r>
    </w:p>
    <w:p>
      <w:pPr>
        <w:spacing w:line="440" w:lineRule="exact"/>
        <w:ind w:firstLine="2880" w:firstLineChars="1200"/>
        <w:rPr>
          <w:rFonts w:ascii="宋体" w:hAnsi="宋体" w:eastAsia="宋体" w:cs="Arial"/>
          <w:color w:val="auto"/>
          <w:sz w:val="24"/>
          <w:highlight w:val="none"/>
        </w:rPr>
      </w:pPr>
      <w:r>
        <w:rPr>
          <w:rFonts w:hint="eastAsia" w:ascii="宋体" w:hAnsi="宋体" w:eastAsia="宋体"/>
          <w:color w:val="auto"/>
          <w:sz w:val="24"/>
          <w:highlight w:val="none"/>
        </w:rPr>
        <w:t>日期：  年  月  日</w:t>
      </w:r>
    </w:p>
    <w:p>
      <w:pPr>
        <w:spacing w:line="440" w:lineRule="exact"/>
        <w:ind w:firstLine="480" w:firstLineChars="200"/>
        <w:rPr>
          <w:rFonts w:ascii="宋体" w:hAnsi="宋体" w:eastAsia="宋体" w:cs="Arial"/>
          <w:color w:val="auto"/>
          <w:sz w:val="24"/>
          <w:highlight w:val="none"/>
        </w:rPr>
      </w:pPr>
    </w:p>
    <w:p>
      <w:pPr>
        <w:adjustRightInd/>
        <w:snapToGrid/>
        <w:spacing w:line="220" w:lineRule="atLeast"/>
        <w:rPr>
          <w:rFonts w:ascii="宋体" w:hAnsi="宋体" w:eastAsia="宋体" w:cs="Arial"/>
          <w:color w:val="auto"/>
          <w:kern w:val="2"/>
          <w:sz w:val="24"/>
          <w:szCs w:val="24"/>
          <w:highlight w:val="none"/>
        </w:rPr>
      </w:pPr>
      <w:r>
        <w:rPr>
          <w:rFonts w:ascii="宋体" w:hAnsi="宋体" w:eastAsia="宋体" w:cs="Arial"/>
          <w:color w:val="auto"/>
          <w:sz w:val="24"/>
          <w:szCs w:val="24"/>
          <w:highlight w:val="none"/>
        </w:rPr>
        <w:br w:type="page"/>
      </w:r>
    </w:p>
    <w:p>
      <w:pPr>
        <w:pStyle w:val="13"/>
        <w:overflowPunct w:val="0"/>
        <w:ind w:firstLine="0"/>
        <w:rPr>
          <w:rFonts w:ascii="宋体" w:hAnsi="宋体"/>
          <w:color w:val="auto"/>
          <w:sz w:val="24"/>
          <w:highlight w:val="none"/>
        </w:rPr>
      </w:pPr>
    </w:p>
    <w:p>
      <w:pPr>
        <w:spacing w:line="300" w:lineRule="auto"/>
        <w:rPr>
          <w:rFonts w:ascii="宋体" w:hAnsi="宋体" w:eastAsia="宋体" w:cs="Arial"/>
          <w:b/>
          <w:color w:val="auto"/>
          <w:sz w:val="24"/>
          <w:highlight w:val="none"/>
        </w:rPr>
      </w:pPr>
      <w:r>
        <w:rPr>
          <w:rFonts w:hint="eastAsia" w:ascii="宋体" w:hAnsi="宋体" w:eastAsia="宋体" w:cs="Arial"/>
          <w:b/>
          <w:color w:val="auto"/>
          <w:sz w:val="24"/>
          <w:highlight w:val="none"/>
        </w:rPr>
        <w:t>附件十一：</w:t>
      </w:r>
    </w:p>
    <w:p>
      <w:pPr>
        <w:spacing w:before="50"/>
        <w:jc w:val="center"/>
        <w:rPr>
          <w:rFonts w:ascii="宋体" w:hAnsi="宋体" w:eastAsia="宋体"/>
          <w:color w:val="auto"/>
          <w:sz w:val="32"/>
          <w:szCs w:val="32"/>
          <w:highlight w:val="none"/>
        </w:rPr>
      </w:pPr>
      <w:r>
        <w:rPr>
          <w:rFonts w:hint="eastAsia" w:ascii="宋体" w:hAnsi="宋体" w:eastAsia="宋体"/>
          <w:color w:val="auto"/>
          <w:sz w:val="32"/>
          <w:szCs w:val="32"/>
          <w:highlight w:val="none"/>
        </w:rPr>
        <w:t>中小企业声明函</w:t>
      </w:r>
    </w:p>
    <w:p>
      <w:pPr>
        <w:spacing w:after="0" w:line="400" w:lineRule="exact"/>
        <w:rPr>
          <w:rFonts w:ascii="宋体" w:hAnsi="宋体" w:eastAsia="宋体"/>
          <w:color w:val="auto"/>
          <w:szCs w:val="21"/>
          <w:highlight w:val="none"/>
        </w:rPr>
      </w:pP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本公司郑重声明，根据《政府采购促进中小企业发展暂行办法》（财库[2011]181号）的规定，本公司为（请填写：中型、小型、微型）企业。即，本公司同时满足以下条件：</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1.根据《工业和信息化部、国家统计局、国家发展和改革委员会、财政部关于印发中小企业划型标准规定的通知》（工信部联企业[2011]300号）规定的划分标准，本公司为（请填写：中型、小型、微型）企业。</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2.本公司参加单位的项目采购活动提供本企业制造的货物，由本企业承担工程、提供服务，或者提供其他（请填写：中型、小型、微型）企业制造的货物。本条所称货物不包括使用大型企业注册商标的货物。</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本公司对上述声明的真实性负责。如有虚假，将依法承担相应责任。</w:t>
      </w:r>
    </w:p>
    <w:p>
      <w:pPr>
        <w:spacing w:before="50" w:line="400" w:lineRule="exact"/>
        <w:rPr>
          <w:rFonts w:ascii="宋体" w:hAnsi="宋体" w:eastAsia="宋体"/>
          <w:color w:val="auto"/>
          <w:szCs w:val="21"/>
          <w:highlight w:val="none"/>
        </w:rPr>
      </w:pPr>
    </w:p>
    <w:p>
      <w:pPr>
        <w:spacing w:before="50" w:line="400" w:lineRule="exact"/>
        <w:rPr>
          <w:rFonts w:ascii="宋体" w:hAnsi="宋体" w:eastAsia="宋体"/>
          <w:color w:val="auto"/>
          <w:sz w:val="28"/>
          <w:szCs w:val="28"/>
          <w:highlight w:val="none"/>
        </w:rPr>
      </w:pPr>
      <w:r>
        <w:rPr>
          <w:rFonts w:hint="eastAsia" w:ascii="宋体" w:hAnsi="宋体" w:eastAsia="宋体"/>
          <w:color w:val="auto"/>
          <w:szCs w:val="21"/>
          <w:highlight w:val="none"/>
        </w:rPr>
        <w:t>　　　　　　　　　　　　　　　　　　　　　　　　　　</w:t>
      </w:r>
      <w:r>
        <w:rPr>
          <w:rFonts w:hint="eastAsia" w:ascii="宋体" w:hAnsi="宋体" w:eastAsia="宋体"/>
          <w:color w:val="auto"/>
          <w:sz w:val="28"/>
          <w:szCs w:val="28"/>
          <w:highlight w:val="none"/>
        </w:rPr>
        <w:t>　</w:t>
      </w:r>
    </w:p>
    <w:p>
      <w:pPr>
        <w:spacing w:before="50" w:line="400" w:lineRule="exact"/>
        <w:ind w:firstLine="5040" w:firstLineChars="2100"/>
        <w:rPr>
          <w:rFonts w:ascii="宋体" w:hAnsi="宋体" w:eastAsia="宋体"/>
          <w:color w:val="auto"/>
          <w:sz w:val="24"/>
          <w:szCs w:val="24"/>
          <w:highlight w:val="none"/>
        </w:rPr>
      </w:pPr>
      <w:r>
        <w:rPr>
          <w:rFonts w:hint="eastAsia" w:ascii="宋体" w:hAnsi="宋体" w:eastAsia="宋体"/>
          <w:color w:val="auto"/>
          <w:sz w:val="24"/>
          <w:szCs w:val="24"/>
          <w:highlight w:val="none"/>
        </w:rPr>
        <w:t>企业名称（盖章）：</w:t>
      </w:r>
    </w:p>
    <w:p>
      <w:pPr>
        <w:spacing w:before="50" w:line="400" w:lineRule="exact"/>
        <w:rPr>
          <w:rFonts w:ascii="宋体" w:hAnsi="宋体" w:eastAsia="宋体"/>
          <w:color w:val="auto"/>
          <w:sz w:val="24"/>
          <w:szCs w:val="24"/>
          <w:highlight w:val="none"/>
        </w:rPr>
      </w:pPr>
    </w:p>
    <w:p>
      <w:pPr>
        <w:spacing w:before="50" w:line="400" w:lineRule="exact"/>
        <w:rPr>
          <w:rFonts w:ascii="宋体" w:hAnsi="宋体" w:eastAsia="宋体"/>
          <w:color w:val="auto"/>
          <w:sz w:val="24"/>
          <w:szCs w:val="24"/>
          <w:highlight w:val="none"/>
        </w:rPr>
      </w:pPr>
      <w:r>
        <w:rPr>
          <w:rFonts w:hint="eastAsia" w:ascii="宋体" w:hAnsi="宋体" w:eastAsia="宋体"/>
          <w:color w:val="auto"/>
          <w:sz w:val="24"/>
          <w:szCs w:val="24"/>
          <w:highlight w:val="none"/>
        </w:rPr>
        <w:t>　　　　　　　　　　　　　　　　　　　　　日期：</w:t>
      </w:r>
    </w:p>
    <w:p>
      <w:pPr>
        <w:pStyle w:val="19"/>
        <w:spacing w:line="440" w:lineRule="exact"/>
        <w:rPr>
          <w:rFonts w:hAnsi="宋体"/>
          <w:b/>
          <w:color w:val="auto"/>
          <w:szCs w:val="21"/>
          <w:highlight w:val="none"/>
        </w:rPr>
      </w:pPr>
    </w:p>
    <w:p>
      <w:pPr>
        <w:adjustRightInd/>
        <w:snapToGrid/>
        <w:spacing w:line="220" w:lineRule="atLeast"/>
        <w:rPr>
          <w:rFonts w:ascii="宋体" w:hAnsi="宋体" w:eastAsia="宋体"/>
          <w:b/>
          <w:color w:val="auto"/>
          <w:kern w:val="2"/>
          <w:sz w:val="21"/>
          <w:szCs w:val="21"/>
          <w:highlight w:val="none"/>
        </w:rPr>
      </w:pPr>
      <w:r>
        <w:rPr>
          <w:rFonts w:ascii="宋体" w:hAnsi="宋体" w:eastAsia="宋体"/>
          <w:b/>
          <w:color w:val="auto"/>
          <w:szCs w:val="21"/>
          <w:highlight w:val="none"/>
        </w:rPr>
        <w:br w:type="page"/>
      </w:r>
    </w:p>
    <w:p>
      <w:pPr>
        <w:rPr>
          <w:rFonts w:ascii="宋体" w:hAnsi="宋体" w:eastAsia="宋体"/>
          <w:b/>
          <w:color w:val="auto"/>
          <w:sz w:val="24"/>
          <w:szCs w:val="24"/>
          <w:highlight w:val="none"/>
        </w:rPr>
      </w:pPr>
    </w:p>
    <w:p>
      <w:pPr>
        <w:rPr>
          <w:rFonts w:ascii="宋体" w:hAnsi="宋体" w:eastAsia="宋体" w:cs="仿宋"/>
          <w:b/>
          <w:color w:val="auto"/>
          <w:sz w:val="32"/>
          <w:szCs w:val="32"/>
          <w:highlight w:val="none"/>
        </w:rPr>
      </w:pPr>
      <w:r>
        <w:rPr>
          <w:rFonts w:hint="eastAsia" w:ascii="宋体" w:hAnsi="宋体" w:eastAsia="宋体"/>
          <w:b/>
          <w:color w:val="auto"/>
          <w:sz w:val="24"/>
          <w:szCs w:val="24"/>
          <w:highlight w:val="none"/>
        </w:rPr>
        <w:t>附件十二：</w:t>
      </w:r>
    </w:p>
    <w:p>
      <w:pPr>
        <w:jc w:val="center"/>
        <w:rPr>
          <w:rFonts w:ascii="宋体" w:hAnsi="宋体" w:eastAsia="宋体" w:cs="仿宋"/>
          <w:b/>
          <w:color w:val="auto"/>
          <w:sz w:val="32"/>
          <w:szCs w:val="32"/>
          <w:highlight w:val="none"/>
        </w:rPr>
      </w:pPr>
    </w:p>
    <w:p>
      <w:pPr>
        <w:spacing w:line="588" w:lineRule="exact"/>
        <w:jc w:val="center"/>
        <w:rPr>
          <w:rFonts w:ascii="宋体" w:hAnsi="宋体" w:eastAsia="宋体"/>
          <w:b/>
          <w:color w:val="auto"/>
          <w:spacing w:val="6"/>
          <w:sz w:val="32"/>
          <w:szCs w:val="32"/>
          <w:highlight w:val="none"/>
        </w:rPr>
      </w:pPr>
      <w:bookmarkStart w:id="166" w:name="OLE_LINK14"/>
      <w:bookmarkStart w:id="167" w:name="OLE_LINK13"/>
      <w:r>
        <w:rPr>
          <w:rFonts w:hint="eastAsia" w:ascii="宋体" w:hAnsi="宋体" w:eastAsia="宋体"/>
          <w:b/>
          <w:color w:val="auto"/>
          <w:spacing w:val="6"/>
          <w:sz w:val="32"/>
          <w:szCs w:val="32"/>
          <w:highlight w:val="none"/>
        </w:rPr>
        <w:t>残疾人福利性单位声明函</w:t>
      </w:r>
    </w:p>
    <w:bookmarkEnd w:id="166"/>
    <w:bookmarkEnd w:id="167"/>
    <w:p>
      <w:pPr>
        <w:spacing w:line="588" w:lineRule="exact"/>
        <w:ind w:firstLine="504" w:firstLineChars="200"/>
        <w:rPr>
          <w:rFonts w:ascii="宋体" w:hAnsi="宋体" w:eastAsia="宋体" w:cs="仿宋"/>
          <w:color w:val="auto"/>
          <w:spacing w:val="6"/>
          <w:sz w:val="24"/>
          <w:szCs w:val="24"/>
          <w:highlight w:val="none"/>
        </w:rPr>
      </w:pPr>
      <w:r>
        <w:rPr>
          <w:rFonts w:hint="eastAsia" w:ascii="宋体" w:hAnsi="宋体" w:eastAsia="宋体" w:cs="仿宋"/>
          <w:color w:val="auto"/>
          <w:spacing w:val="6"/>
          <w:sz w:val="24"/>
          <w:szCs w:val="24"/>
          <w:highlight w:val="none"/>
        </w:rPr>
        <w:t>本单位郑重声明，根据《财政部、民政部、中国残疾人联合会关于促进残疾人就业政府采购政策的通知》（财库</w:t>
      </w:r>
      <w:r>
        <w:rPr>
          <w:rFonts w:hint="eastAsia" w:ascii="宋体" w:hAnsi="宋体" w:eastAsia="宋体" w:cs="仿宋"/>
          <w:color w:val="auto"/>
          <w:sz w:val="24"/>
          <w:szCs w:val="24"/>
          <w:highlight w:val="none"/>
        </w:rPr>
        <w:t>〔2017〕 141</w:t>
      </w:r>
      <w:r>
        <w:rPr>
          <w:rFonts w:hint="eastAsia" w:ascii="宋体" w:hAnsi="宋体" w:eastAsia="宋体" w:cs="仿宋"/>
          <w:color w:val="auto"/>
          <w:spacing w:val="6"/>
          <w:sz w:val="24"/>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eastAsia="宋体" w:cs="仿宋"/>
          <w:color w:val="auto"/>
          <w:spacing w:val="6"/>
          <w:sz w:val="24"/>
          <w:szCs w:val="24"/>
          <w:highlight w:val="none"/>
        </w:rPr>
      </w:pPr>
      <w:r>
        <w:rPr>
          <w:rFonts w:hint="eastAsia" w:ascii="宋体" w:hAnsi="宋体" w:eastAsia="宋体" w:cs="仿宋"/>
          <w:color w:val="auto"/>
          <w:spacing w:val="6"/>
          <w:sz w:val="24"/>
          <w:szCs w:val="24"/>
          <w:highlight w:val="none"/>
        </w:rPr>
        <w:t>本单位对上述声明的真实性负责。如有虚假，将依法承担相应责任。</w:t>
      </w:r>
    </w:p>
    <w:p>
      <w:pPr>
        <w:spacing w:line="588" w:lineRule="exact"/>
        <w:ind w:firstLine="504" w:firstLineChars="200"/>
        <w:rPr>
          <w:rFonts w:ascii="宋体" w:hAnsi="宋体" w:eastAsia="宋体" w:cs="仿宋"/>
          <w:color w:val="auto"/>
          <w:spacing w:val="6"/>
          <w:sz w:val="24"/>
          <w:szCs w:val="24"/>
          <w:highlight w:val="none"/>
        </w:rPr>
      </w:pPr>
    </w:p>
    <w:p>
      <w:pPr>
        <w:spacing w:line="588" w:lineRule="exact"/>
        <w:ind w:firstLine="504" w:firstLineChars="200"/>
        <w:rPr>
          <w:rFonts w:ascii="宋体" w:hAnsi="宋体" w:eastAsia="宋体" w:cs="仿宋"/>
          <w:color w:val="auto"/>
          <w:spacing w:val="6"/>
          <w:sz w:val="24"/>
          <w:szCs w:val="24"/>
          <w:highlight w:val="none"/>
        </w:rPr>
      </w:pPr>
    </w:p>
    <w:p>
      <w:pPr>
        <w:tabs>
          <w:tab w:val="left" w:pos="4860"/>
        </w:tabs>
        <w:spacing w:line="588" w:lineRule="exact"/>
        <w:ind w:right="1560" w:firstLine="504" w:firstLineChars="200"/>
        <w:jc w:val="center"/>
        <w:rPr>
          <w:rFonts w:ascii="宋体" w:hAnsi="宋体" w:eastAsia="宋体" w:cs="仿宋"/>
          <w:color w:val="auto"/>
          <w:spacing w:val="6"/>
          <w:sz w:val="24"/>
          <w:szCs w:val="24"/>
          <w:highlight w:val="none"/>
        </w:rPr>
      </w:pPr>
      <w:r>
        <w:rPr>
          <w:rFonts w:hint="eastAsia" w:ascii="宋体" w:hAnsi="宋体" w:eastAsia="宋体" w:cs="仿宋"/>
          <w:color w:val="auto"/>
          <w:spacing w:val="6"/>
          <w:sz w:val="24"/>
          <w:szCs w:val="24"/>
          <w:highlight w:val="none"/>
        </w:rPr>
        <w:t xml:space="preserve">                        单位名称（盖章）：</w:t>
      </w:r>
    </w:p>
    <w:p>
      <w:pPr>
        <w:tabs>
          <w:tab w:val="left" w:pos="4860"/>
        </w:tabs>
        <w:spacing w:line="588" w:lineRule="exact"/>
        <w:ind w:right="1560" w:firstLine="504" w:firstLineChars="200"/>
        <w:jc w:val="center"/>
        <w:rPr>
          <w:rFonts w:ascii="宋体" w:hAnsi="宋体" w:eastAsia="宋体" w:cs="仿宋"/>
          <w:color w:val="auto"/>
          <w:spacing w:val="6"/>
          <w:sz w:val="24"/>
          <w:szCs w:val="24"/>
          <w:highlight w:val="none"/>
        </w:rPr>
      </w:pPr>
      <w:r>
        <w:rPr>
          <w:rFonts w:hint="eastAsia" w:ascii="宋体" w:hAnsi="宋体" w:eastAsia="宋体" w:cs="仿宋"/>
          <w:color w:val="auto"/>
          <w:spacing w:val="6"/>
          <w:sz w:val="24"/>
          <w:szCs w:val="24"/>
          <w:highlight w:val="none"/>
        </w:rPr>
        <w:t xml:space="preserve">              日  期：</w:t>
      </w:r>
    </w:p>
    <w:p>
      <w:pPr>
        <w:pStyle w:val="19"/>
        <w:ind w:firstLine="281" w:firstLineChars="100"/>
        <w:outlineLvl w:val="2"/>
        <w:rPr>
          <w:rFonts w:hAnsi="宋体" w:cs="仿宋"/>
          <w:b/>
          <w:bCs/>
          <w:color w:val="auto"/>
          <w:sz w:val="28"/>
          <w:szCs w:val="28"/>
          <w:highlight w:val="none"/>
        </w:rPr>
      </w:pPr>
    </w:p>
    <w:p>
      <w:pPr>
        <w:pStyle w:val="19"/>
        <w:ind w:firstLine="281" w:firstLineChars="100"/>
        <w:outlineLvl w:val="2"/>
        <w:rPr>
          <w:rFonts w:hAnsi="宋体" w:cs="仿宋"/>
          <w:b/>
          <w:bCs/>
          <w:color w:val="auto"/>
          <w:sz w:val="28"/>
          <w:szCs w:val="28"/>
          <w:highlight w:val="none"/>
        </w:rPr>
      </w:pPr>
    </w:p>
    <w:p>
      <w:pPr>
        <w:pStyle w:val="19"/>
        <w:ind w:firstLine="281" w:firstLineChars="100"/>
        <w:outlineLvl w:val="2"/>
        <w:rPr>
          <w:rFonts w:hAnsi="宋体" w:cs="仿宋"/>
          <w:b/>
          <w:bCs/>
          <w:color w:val="auto"/>
          <w:sz w:val="28"/>
          <w:szCs w:val="28"/>
          <w:highlight w:val="none"/>
        </w:rPr>
      </w:pPr>
    </w:p>
    <w:p>
      <w:pPr>
        <w:pStyle w:val="19"/>
        <w:ind w:firstLine="281" w:firstLineChars="100"/>
        <w:outlineLvl w:val="2"/>
        <w:rPr>
          <w:rFonts w:hAnsi="宋体" w:cs="仿宋"/>
          <w:b/>
          <w:bCs/>
          <w:color w:val="auto"/>
          <w:sz w:val="28"/>
          <w:szCs w:val="28"/>
          <w:highlight w:val="none"/>
        </w:rPr>
      </w:pPr>
    </w:p>
    <w:p>
      <w:pPr>
        <w:pStyle w:val="19"/>
        <w:ind w:firstLine="281" w:firstLineChars="100"/>
        <w:outlineLvl w:val="2"/>
        <w:rPr>
          <w:rFonts w:hAnsi="宋体" w:cs="仿宋"/>
          <w:b/>
          <w:bCs/>
          <w:color w:val="auto"/>
          <w:sz w:val="28"/>
          <w:szCs w:val="28"/>
          <w:highlight w:val="none"/>
        </w:rPr>
      </w:pPr>
    </w:p>
    <w:p>
      <w:pPr>
        <w:pStyle w:val="19"/>
        <w:ind w:firstLine="281" w:firstLineChars="100"/>
        <w:outlineLvl w:val="2"/>
        <w:rPr>
          <w:rFonts w:hAnsi="宋体" w:cs="仿宋"/>
          <w:b/>
          <w:bCs/>
          <w:color w:val="auto"/>
          <w:sz w:val="28"/>
          <w:szCs w:val="28"/>
          <w:highlight w:val="none"/>
        </w:rPr>
      </w:pPr>
    </w:p>
    <w:p>
      <w:pPr>
        <w:pStyle w:val="19"/>
        <w:ind w:firstLine="281" w:firstLineChars="100"/>
        <w:outlineLvl w:val="2"/>
        <w:rPr>
          <w:rFonts w:hAnsi="宋体" w:cs="仿宋"/>
          <w:b/>
          <w:bCs/>
          <w:color w:val="auto"/>
          <w:sz w:val="28"/>
          <w:szCs w:val="28"/>
          <w:highlight w:val="none"/>
        </w:rPr>
      </w:pPr>
    </w:p>
    <w:p>
      <w:pPr>
        <w:pStyle w:val="19"/>
        <w:ind w:firstLine="281" w:firstLineChars="100"/>
        <w:outlineLvl w:val="2"/>
        <w:rPr>
          <w:rFonts w:hAnsi="宋体" w:cs="仿宋"/>
          <w:b/>
          <w:bCs/>
          <w:color w:val="auto"/>
          <w:sz w:val="28"/>
          <w:szCs w:val="28"/>
          <w:highlight w:val="none"/>
        </w:rPr>
      </w:pPr>
    </w:p>
    <w:p>
      <w:pPr>
        <w:spacing w:after="0" w:line="360" w:lineRule="exact"/>
        <w:ind w:firstLine="446" w:firstLineChars="200"/>
        <w:rPr>
          <w:rFonts w:ascii="宋体" w:hAnsi="宋体" w:eastAsia="宋体"/>
          <w:b/>
          <w:color w:val="auto"/>
          <w:spacing w:val="6"/>
          <w:sz w:val="21"/>
          <w:szCs w:val="21"/>
          <w:highlight w:val="none"/>
        </w:rPr>
      </w:pPr>
      <w:r>
        <w:rPr>
          <w:rFonts w:hint="eastAsia" w:ascii="宋体" w:hAnsi="宋体" w:eastAsia="宋体"/>
          <w:b/>
          <w:color w:val="auto"/>
          <w:spacing w:val="6"/>
          <w:sz w:val="21"/>
          <w:szCs w:val="21"/>
          <w:highlight w:val="none"/>
        </w:rPr>
        <w:t>注：1、</w:t>
      </w:r>
      <w:r>
        <w:rPr>
          <w:rFonts w:hint="eastAsia" w:ascii="宋体" w:hAnsi="宋体" w:eastAsia="宋体"/>
          <w:b/>
          <w:color w:val="auto"/>
          <w:spacing w:val="6"/>
          <w:sz w:val="21"/>
          <w:szCs w:val="21"/>
          <w:highlight w:val="none"/>
          <w:u w:val="single"/>
        </w:rPr>
        <w:t>成交供应商为残疾人福利性单位的，成交结果将同时公告其《残疾人福利性单位声明函》，接受社会监督</w:t>
      </w:r>
      <w:r>
        <w:rPr>
          <w:rFonts w:hint="eastAsia" w:ascii="宋体" w:hAnsi="宋体" w:eastAsia="宋体"/>
          <w:b/>
          <w:color w:val="auto"/>
          <w:spacing w:val="6"/>
          <w:sz w:val="21"/>
          <w:szCs w:val="21"/>
          <w:highlight w:val="none"/>
        </w:rPr>
        <w:t>。</w:t>
      </w:r>
    </w:p>
    <w:p>
      <w:pPr>
        <w:spacing w:after="0" w:line="360" w:lineRule="exact"/>
        <w:ind w:firstLine="446" w:firstLineChars="200"/>
        <w:rPr>
          <w:rFonts w:ascii="宋体" w:hAnsi="宋体" w:eastAsia="宋体"/>
          <w:b/>
          <w:color w:val="auto"/>
          <w:spacing w:val="6"/>
          <w:sz w:val="21"/>
          <w:szCs w:val="21"/>
          <w:highlight w:val="none"/>
        </w:rPr>
      </w:pPr>
      <w:r>
        <w:rPr>
          <w:rFonts w:hint="eastAsia" w:ascii="宋体" w:hAnsi="宋体" w:eastAsia="宋体"/>
          <w:b/>
          <w:color w:val="auto"/>
          <w:spacing w:val="6"/>
          <w:sz w:val="21"/>
          <w:szCs w:val="21"/>
          <w:highlight w:val="none"/>
        </w:rPr>
        <w:t>2、</w:t>
      </w:r>
      <w:r>
        <w:rPr>
          <w:rFonts w:hint="eastAsia" w:ascii="宋体" w:hAnsi="宋体" w:eastAsia="宋体"/>
          <w:b/>
          <w:color w:val="auto"/>
          <w:spacing w:val="6"/>
          <w:sz w:val="21"/>
          <w:szCs w:val="21"/>
          <w:highlight w:val="none"/>
          <w:u w:val="single"/>
        </w:rPr>
        <w:t>供应商提供的《残疾人福利性单位声明函》与事实不符的，依照《政府采购法》第七十七条第一款的规定追究法律责任</w:t>
      </w:r>
      <w:r>
        <w:rPr>
          <w:rFonts w:hint="eastAsia" w:ascii="宋体" w:hAnsi="宋体" w:eastAsia="宋体"/>
          <w:b/>
          <w:color w:val="auto"/>
          <w:spacing w:val="6"/>
          <w:sz w:val="21"/>
          <w:szCs w:val="21"/>
          <w:highlight w:val="none"/>
        </w:rPr>
        <w:t>。</w:t>
      </w:r>
    </w:p>
    <w:p>
      <w:pPr>
        <w:adjustRightInd/>
        <w:snapToGrid/>
        <w:spacing w:after="0"/>
        <w:rPr>
          <w:rFonts w:ascii="宋体" w:hAnsi="宋体" w:eastAsia="宋体"/>
          <w:b/>
          <w:color w:val="auto"/>
          <w:spacing w:val="6"/>
          <w:sz w:val="21"/>
          <w:szCs w:val="21"/>
          <w:highlight w:val="none"/>
        </w:rPr>
      </w:pPr>
    </w:p>
    <w:p>
      <w:pPr>
        <w:pStyle w:val="2"/>
        <w:rPr>
          <w:rFonts w:hint="eastAsia" w:eastAsia="宋体"/>
          <w:lang w:eastAsia="zh-CN"/>
        </w:rPr>
      </w:pPr>
    </w:p>
    <w:p>
      <w:pPr>
        <w:pStyle w:val="2"/>
        <w:rPr>
          <w:rFonts w:hint="eastAsia" w:eastAsia="宋体"/>
          <w:lang w:eastAsia="zh-CN"/>
        </w:rPr>
      </w:pPr>
      <w:r>
        <w:rPr>
          <w:rFonts w:hint="eastAsia" w:eastAsia="宋体"/>
          <w:lang w:eastAsia="zh-CN"/>
        </w:rPr>
        <w:drawing>
          <wp:inline distT="0" distB="0" distL="114300" distR="114300">
            <wp:extent cx="6064885" cy="8576310"/>
            <wp:effectExtent l="0" t="0" r="12065" b="15240"/>
            <wp:docPr id="3" name="图片 3" descr="签章页-大化县公安局办公设备、户籍设备、刑事技术设备采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签章页-大化县公安局办公设备、户籍设备、刑事技术设备采购"/>
                    <pic:cNvPicPr>
                      <a:picLocks noChangeAspect="1"/>
                    </pic:cNvPicPr>
                  </pic:nvPicPr>
                  <pic:blipFill>
                    <a:blip r:embed="rId14"/>
                    <a:stretch>
                      <a:fillRect/>
                    </a:stretch>
                  </pic:blipFill>
                  <pic:spPr>
                    <a:xfrm>
                      <a:off x="0" y="0"/>
                      <a:ext cx="6064885" cy="8576310"/>
                    </a:xfrm>
                    <a:prstGeom prst="rect">
                      <a:avLst/>
                    </a:prstGeom>
                  </pic:spPr>
                </pic:pic>
              </a:graphicData>
            </a:graphic>
          </wp:inline>
        </w:drawing>
      </w:r>
    </w:p>
    <w:sectPr>
      <w:pgSz w:w="11907" w:h="16840"/>
      <w:pgMar w:top="1077" w:right="1275" w:bottom="1418" w:left="1077" w:header="624" w:footer="73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汉仪中宋简">
    <w:altName w:val="宋体"/>
    <w:panose1 w:val="00000000000000000000"/>
    <w:charset w:val="86"/>
    <w:family w:val="modern"/>
    <w:pitch w:val="default"/>
    <w:sig w:usb0="00000000" w:usb1="00000000" w:usb2="00000012" w:usb3="00000000" w:csb0="00040000" w:csb1="00000000"/>
  </w:font>
  <w:font w:name="汉仪字典宋简">
    <w:altName w:val="宋体"/>
    <w:panose1 w:val="00000000000000000000"/>
    <w:charset w:val="86"/>
    <w:family w:val="modern"/>
    <w:pitch w:val="default"/>
    <w:sig w:usb0="00000000" w:usb1="00000000" w:usb2="00000012"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45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2"/>
      </w:rPr>
    </w:pPr>
    <w:r>
      <w:fldChar w:fldCharType="begin"/>
    </w:r>
    <w:r>
      <w:rPr>
        <w:rStyle w:val="42"/>
      </w:rPr>
      <w:instrText xml:space="preserve">PAGE  </w:instrText>
    </w:r>
    <w:r>
      <w:fldChar w:fldCharType="separate"/>
    </w:r>
    <w:r>
      <w:rPr>
        <w:rStyle w:val="42"/>
      </w:rPr>
      <w:t>50</w:t>
    </w:r>
    <w:r>
      <w:fldChar w:fldCharType="end"/>
    </w:r>
  </w:p>
  <w:p>
    <w:pPr>
      <w:pStyle w:val="2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right"/>
    </w:pPr>
    <w:r>
      <w:rPr>
        <w:rFonts w:hint="eastAsia"/>
      </w:rPr>
      <w:t>广西桂水工程咨询有限公司编制</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2"/>
      </w:rPr>
    </w:pPr>
    <w:r>
      <w:fldChar w:fldCharType="begin"/>
    </w:r>
    <w:r>
      <w:rPr>
        <w:rStyle w:val="42"/>
      </w:rPr>
      <w:instrText xml:space="preserve">PAGE  </w:instrText>
    </w:r>
    <w:r>
      <w:fldChar w:fldCharType="separate"/>
    </w:r>
    <w:r>
      <w:rPr>
        <w:rStyle w:val="42"/>
      </w:rPr>
      <w:t>3</w:t>
    </w:r>
    <w:r>
      <w:fldChar w:fldCharType="end"/>
    </w:r>
  </w:p>
  <w:p>
    <w:pPr>
      <w:pStyle w:val="24"/>
      <w:rPr>
        <w:u w:val="single"/>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2"/>
      </w:rPr>
    </w:pPr>
    <w:r>
      <w:fldChar w:fldCharType="begin"/>
    </w:r>
    <w:r>
      <w:rPr>
        <w:rStyle w:val="42"/>
      </w:rPr>
      <w:instrText xml:space="preserve">PAGE  </w:instrText>
    </w:r>
    <w:r>
      <w:fldChar w:fldCharType="separate"/>
    </w:r>
    <w:r>
      <w:rPr>
        <w:rStyle w:val="42"/>
      </w:rPr>
      <w:t>50</w:t>
    </w:r>
    <w:r>
      <w:fldChar w:fldCharType="end"/>
    </w:r>
  </w:p>
  <w:p>
    <w:pPr>
      <w:pStyle w:val="2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double" w:color="auto" w:sz="4" w:space="1"/>
      </w:pBdr>
      <w:jc w:val="center"/>
      <w:rPr>
        <w:rFonts w:ascii="宋体" w:hAnsi="宋体"/>
      </w:rPr>
    </w:pPr>
    <w:r>
      <w:rPr>
        <w:rFonts w:hint="eastAsia"/>
      </w:rPr>
      <w:t>项目名称：</w:t>
    </w:r>
    <w:r>
      <w:rPr>
        <w:rFonts w:hint="eastAsia"/>
        <w:lang w:eastAsia="zh-CN"/>
      </w:rPr>
      <w:t xml:space="preserve">大化县公安局办公设备、户籍设备、刑事技术设备采购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rFonts w:hint="eastAsia" w:ascii="宋体" w:hAnsi="宋体"/>
        <w:color w:val="000000"/>
        <w:szCs w:val="21"/>
      </w:rPr>
      <w:t>田东县平马镇东区小学项目地质勘察服务</w:t>
    </w:r>
    <w:r>
      <w:rPr>
        <w:rFonts w:hint="eastAsia" w:ascii="宋体" w:hAnsi="宋体"/>
      </w:rPr>
      <w:t>GXZC2019-J1-0016-GS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616CC"/>
    <w:multiLevelType w:val="multilevel"/>
    <w:tmpl w:val="2E2616CC"/>
    <w:lvl w:ilvl="0" w:tentative="0">
      <w:start w:val="1"/>
      <w:numFmt w:val="decimal"/>
      <w:lvlText w:val="（%1）"/>
      <w:lvlJc w:val="left"/>
      <w:pPr>
        <w:tabs>
          <w:tab w:val="left" w:pos="1140"/>
        </w:tabs>
        <w:ind w:left="1140" w:hanging="720"/>
      </w:pPr>
      <w:rPr>
        <w:rFonts w:hint="default"/>
        <w:color w:val="auto"/>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37684421"/>
    <w:multiLevelType w:val="multilevel"/>
    <w:tmpl w:val="37684421"/>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B456007"/>
    <w:multiLevelType w:val="multilevel"/>
    <w:tmpl w:val="4B456007"/>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4CBF751F"/>
    <w:multiLevelType w:val="multilevel"/>
    <w:tmpl w:val="4CBF751F"/>
    <w:lvl w:ilvl="0" w:tentative="0">
      <w:start w:val="1"/>
      <w:numFmt w:val="decimal"/>
      <w:lvlText w:val="%1."/>
      <w:lvlJc w:val="left"/>
      <w:pPr>
        <w:ind w:left="420" w:hanging="420"/>
      </w:pPr>
      <w:rPr>
        <w:rFonts w:hint="eastAsia" w:eastAsia="仿宋_GB2312" w:cs="Times New Roman"/>
        <w:color w:val="auto"/>
        <w:sz w:val="24"/>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76C94796"/>
    <w:multiLevelType w:val="multilevel"/>
    <w:tmpl w:val="76C94796"/>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hideSpellingErrors/>
  <w:documentProtection w:edit="forms" w:enforcement="1" w:cryptProviderType="rsaFull" w:cryptAlgorithmClass="hash" w:cryptAlgorithmType="typeAny" w:cryptAlgorithmSid="4" w:cryptSpinCount="0" w:hash="Q0nh08tv/IpL99zrx29BLlxHTio=" w:salt="C1VetRI8snVTEt5G6jnjaQ=="/>
  <w:defaultTabStop w:val="0"/>
  <w:displayHorizontalDrawingGridEvery w:val="1"/>
  <w:displayVerticalDrawingGridEvery w:val="1"/>
  <w:noPunctuationKerning w:val="1"/>
  <w:characterSpacingControl w:val="compressPunctuation"/>
  <w:compat>
    <w:ulTrailSpace/>
    <w:doNotExpandShiftReturn/>
    <w:applyBreakingRu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442D"/>
    <w:rsid w:val="0000582E"/>
    <w:rsid w:val="00006497"/>
    <w:rsid w:val="00010EBE"/>
    <w:rsid w:val="00011BD1"/>
    <w:rsid w:val="00012F29"/>
    <w:rsid w:val="00014271"/>
    <w:rsid w:val="00014CFD"/>
    <w:rsid w:val="00025E43"/>
    <w:rsid w:val="00027B3D"/>
    <w:rsid w:val="0003115D"/>
    <w:rsid w:val="0003228F"/>
    <w:rsid w:val="00044165"/>
    <w:rsid w:val="00047131"/>
    <w:rsid w:val="000476A1"/>
    <w:rsid w:val="00052612"/>
    <w:rsid w:val="0006081F"/>
    <w:rsid w:val="0006381C"/>
    <w:rsid w:val="00063996"/>
    <w:rsid w:val="000661B9"/>
    <w:rsid w:val="00066D2D"/>
    <w:rsid w:val="00072A41"/>
    <w:rsid w:val="00072E71"/>
    <w:rsid w:val="00082304"/>
    <w:rsid w:val="00084BC7"/>
    <w:rsid w:val="000874EE"/>
    <w:rsid w:val="0009116B"/>
    <w:rsid w:val="000A5CEB"/>
    <w:rsid w:val="000B108F"/>
    <w:rsid w:val="000C7966"/>
    <w:rsid w:val="000D6913"/>
    <w:rsid w:val="000D6DB4"/>
    <w:rsid w:val="000D7F91"/>
    <w:rsid w:val="000E6841"/>
    <w:rsid w:val="0010330F"/>
    <w:rsid w:val="001048D0"/>
    <w:rsid w:val="00116902"/>
    <w:rsid w:val="00120BD6"/>
    <w:rsid w:val="0012341F"/>
    <w:rsid w:val="00127D2F"/>
    <w:rsid w:val="0013462E"/>
    <w:rsid w:val="001374B9"/>
    <w:rsid w:val="001400BE"/>
    <w:rsid w:val="001437AA"/>
    <w:rsid w:val="00157D15"/>
    <w:rsid w:val="00161DA4"/>
    <w:rsid w:val="001621C3"/>
    <w:rsid w:val="001629DF"/>
    <w:rsid w:val="00163CFE"/>
    <w:rsid w:val="001666AB"/>
    <w:rsid w:val="0016748D"/>
    <w:rsid w:val="001778E6"/>
    <w:rsid w:val="001806D3"/>
    <w:rsid w:val="00180C61"/>
    <w:rsid w:val="00187741"/>
    <w:rsid w:val="00191ABE"/>
    <w:rsid w:val="001A2331"/>
    <w:rsid w:val="001B2444"/>
    <w:rsid w:val="001B3046"/>
    <w:rsid w:val="001B3834"/>
    <w:rsid w:val="001B4468"/>
    <w:rsid w:val="001B7744"/>
    <w:rsid w:val="001C6A83"/>
    <w:rsid w:val="001D01E1"/>
    <w:rsid w:val="001D5599"/>
    <w:rsid w:val="001E2141"/>
    <w:rsid w:val="001E6B61"/>
    <w:rsid w:val="001E7AC8"/>
    <w:rsid w:val="001F2213"/>
    <w:rsid w:val="001F629E"/>
    <w:rsid w:val="001F7C0B"/>
    <w:rsid w:val="0020543F"/>
    <w:rsid w:val="00206998"/>
    <w:rsid w:val="002136A2"/>
    <w:rsid w:val="002144A7"/>
    <w:rsid w:val="00224DC6"/>
    <w:rsid w:val="00226066"/>
    <w:rsid w:val="00227779"/>
    <w:rsid w:val="00227DFE"/>
    <w:rsid w:val="00231D59"/>
    <w:rsid w:val="002320C7"/>
    <w:rsid w:val="00240B85"/>
    <w:rsid w:val="00251D3F"/>
    <w:rsid w:val="00253524"/>
    <w:rsid w:val="00260A04"/>
    <w:rsid w:val="00263902"/>
    <w:rsid w:val="002646FC"/>
    <w:rsid w:val="00266240"/>
    <w:rsid w:val="002711FB"/>
    <w:rsid w:val="002770A6"/>
    <w:rsid w:val="002772CF"/>
    <w:rsid w:val="00280F6B"/>
    <w:rsid w:val="0028604F"/>
    <w:rsid w:val="002965D3"/>
    <w:rsid w:val="002A07F2"/>
    <w:rsid w:val="002D59E1"/>
    <w:rsid w:val="002D6B72"/>
    <w:rsid w:val="002E1E4B"/>
    <w:rsid w:val="002E4844"/>
    <w:rsid w:val="002E5953"/>
    <w:rsid w:val="002E5EFB"/>
    <w:rsid w:val="002F4F85"/>
    <w:rsid w:val="003050DF"/>
    <w:rsid w:val="003072BA"/>
    <w:rsid w:val="00312326"/>
    <w:rsid w:val="0031468E"/>
    <w:rsid w:val="00317F98"/>
    <w:rsid w:val="00321947"/>
    <w:rsid w:val="00323B43"/>
    <w:rsid w:val="003401E1"/>
    <w:rsid w:val="00346D8D"/>
    <w:rsid w:val="00346E52"/>
    <w:rsid w:val="00355F98"/>
    <w:rsid w:val="00356975"/>
    <w:rsid w:val="00357D0F"/>
    <w:rsid w:val="00365BCA"/>
    <w:rsid w:val="00380E67"/>
    <w:rsid w:val="00382B59"/>
    <w:rsid w:val="0038475E"/>
    <w:rsid w:val="0039158A"/>
    <w:rsid w:val="003A2E59"/>
    <w:rsid w:val="003A3794"/>
    <w:rsid w:val="003A475A"/>
    <w:rsid w:val="003A569D"/>
    <w:rsid w:val="003A6221"/>
    <w:rsid w:val="003C2530"/>
    <w:rsid w:val="003C4770"/>
    <w:rsid w:val="003C548A"/>
    <w:rsid w:val="003C74DD"/>
    <w:rsid w:val="003D088B"/>
    <w:rsid w:val="003D1FAF"/>
    <w:rsid w:val="003D37D8"/>
    <w:rsid w:val="003E1940"/>
    <w:rsid w:val="003E4C5A"/>
    <w:rsid w:val="003E56B7"/>
    <w:rsid w:val="003E660B"/>
    <w:rsid w:val="003E6750"/>
    <w:rsid w:val="003F7A8C"/>
    <w:rsid w:val="004029B5"/>
    <w:rsid w:val="00402CFE"/>
    <w:rsid w:val="00404E91"/>
    <w:rsid w:val="00407742"/>
    <w:rsid w:val="004102BE"/>
    <w:rsid w:val="004104E3"/>
    <w:rsid w:val="00411286"/>
    <w:rsid w:val="00426133"/>
    <w:rsid w:val="00430375"/>
    <w:rsid w:val="00432317"/>
    <w:rsid w:val="004358AB"/>
    <w:rsid w:val="004430DB"/>
    <w:rsid w:val="004473D9"/>
    <w:rsid w:val="004477C5"/>
    <w:rsid w:val="0045378D"/>
    <w:rsid w:val="00453CA5"/>
    <w:rsid w:val="00456967"/>
    <w:rsid w:val="00463A95"/>
    <w:rsid w:val="00465AFC"/>
    <w:rsid w:val="00470522"/>
    <w:rsid w:val="00476834"/>
    <w:rsid w:val="00486A5B"/>
    <w:rsid w:val="004A1AAF"/>
    <w:rsid w:val="004A3DE7"/>
    <w:rsid w:val="004B7674"/>
    <w:rsid w:val="004D0110"/>
    <w:rsid w:val="004D2CFC"/>
    <w:rsid w:val="004E02F7"/>
    <w:rsid w:val="004E5913"/>
    <w:rsid w:val="004E7B57"/>
    <w:rsid w:val="004F14CF"/>
    <w:rsid w:val="004F4588"/>
    <w:rsid w:val="004F50D2"/>
    <w:rsid w:val="004F7961"/>
    <w:rsid w:val="00511335"/>
    <w:rsid w:val="00514CED"/>
    <w:rsid w:val="00515724"/>
    <w:rsid w:val="0051714C"/>
    <w:rsid w:val="00517A92"/>
    <w:rsid w:val="005200CC"/>
    <w:rsid w:val="00523BE9"/>
    <w:rsid w:val="005278F2"/>
    <w:rsid w:val="005318C5"/>
    <w:rsid w:val="00534937"/>
    <w:rsid w:val="0053757D"/>
    <w:rsid w:val="0054143E"/>
    <w:rsid w:val="00541BC8"/>
    <w:rsid w:val="00543DD7"/>
    <w:rsid w:val="00544657"/>
    <w:rsid w:val="00544BB9"/>
    <w:rsid w:val="00547052"/>
    <w:rsid w:val="00556798"/>
    <w:rsid w:val="0056210E"/>
    <w:rsid w:val="0056288F"/>
    <w:rsid w:val="00570D3C"/>
    <w:rsid w:val="005721D0"/>
    <w:rsid w:val="00573113"/>
    <w:rsid w:val="00586769"/>
    <w:rsid w:val="0058710C"/>
    <w:rsid w:val="00591382"/>
    <w:rsid w:val="005A57FB"/>
    <w:rsid w:val="005A64F3"/>
    <w:rsid w:val="005A6C96"/>
    <w:rsid w:val="005B0581"/>
    <w:rsid w:val="005B0C14"/>
    <w:rsid w:val="005B2EA3"/>
    <w:rsid w:val="005B68FA"/>
    <w:rsid w:val="005C56F2"/>
    <w:rsid w:val="005D4031"/>
    <w:rsid w:val="005D4B96"/>
    <w:rsid w:val="005E1E6C"/>
    <w:rsid w:val="005F001B"/>
    <w:rsid w:val="005F25BA"/>
    <w:rsid w:val="006013A4"/>
    <w:rsid w:val="00601BE5"/>
    <w:rsid w:val="0060404C"/>
    <w:rsid w:val="00606E45"/>
    <w:rsid w:val="00610990"/>
    <w:rsid w:val="00611CB2"/>
    <w:rsid w:val="00613B9E"/>
    <w:rsid w:val="00614096"/>
    <w:rsid w:val="00617327"/>
    <w:rsid w:val="00634741"/>
    <w:rsid w:val="00634868"/>
    <w:rsid w:val="00637A8A"/>
    <w:rsid w:val="006415BD"/>
    <w:rsid w:val="00641D6E"/>
    <w:rsid w:val="00642C6C"/>
    <w:rsid w:val="00643D21"/>
    <w:rsid w:val="00644EE8"/>
    <w:rsid w:val="006451F3"/>
    <w:rsid w:val="00645D9B"/>
    <w:rsid w:val="00647694"/>
    <w:rsid w:val="0064790C"/>
    <w:rsid w:val="00651EAF"/>
    <w:rsid w:val="00651EFC"/>
    <w:rsid w:val="00656AD0"/>
    <w:rsid w:val="00663D0B"/>
    <w:rsid w:val="00664961"/>
    <w:rsid w:val="00664F84"/>
    <w:rsid w:val="00667D2D"/>
    <w:rsid w:val="006726C0"/>
    <w:rsid w:val="00673589"/>
    <w:rsid w:val="006743EF"/>
    <w:rsid w:val="0067697C"/>
    <w:rsid w:val="006804FC"/>
    <w:rsid w:val="00691C59"/>
    <w:rsid w:val="00697BF1"/>
    <w:rsid w:val="006A4319"/>
    <w:rsid w:val="006B0788"/>
    <w:rsid w:val="006B1AF6"/>
    <w:rsid w:val="006C1AEA"/>
    <w:rsid w:val="006C665A"/>
    <w:rsid w:val="006D4EC7"/>
    <w:rsid w:val="006D4FA3"/>
    <w:rsid w:val="006D60C4"/>
    <w:rsid w:val="006E0736"/>
    <w:rsid w:val="006E11BE"/>
    <w:rsid w:val="006E4679"/>
    <w:rsid w:val="006F1C37"/>
    <w:rsid w:val="006F2607"/>
    <w:rsid w:val="006F6263"/>
    <w:rsid w:val="0070306B"/>
    <w:rsid w:val="00705D39"/>
    <w:rsid w:val="00711817"/>
    <w:rsid w:val="0071222A"/>
    <w:rsid w:val="00723532"/>
    <w:rsid w:val="00735F4F"/>
    <w:rsid w:val="007407ED"/>
    <w:rsid w:val="0074108A"/>
    <w:rsid w:val="00743365"/>
    <w:rsid w:val="00747D6F"/>
    <w:rsid w:val="00754BAC"/>
    <w:rsid w:val="00754D03"/>
    <w:rsid w:val="00761FAD"/>
    <w:rsid w:val="00764728"/>
    <w:rsid w:val="007654A4"/>
    <w:rsid w:val="007705EE"/>
    <w:rsid w:val="00770879"/>
    <w:rsid w:val="00782386"/>
    <w:rsid w:val="00785F49"/>
    <w:rsid w:val="00790DEF"/>
    <w:rsid w:val="00795F52"/>
    <w:rsid w:val="007A0CAF"/>
    <w:rsid w:val="007B2C90"/>
    <w:rsid w:val="007B33D0"/>
    <w:rsid w:val="007B691C"/>
    <w:rsid w:val="007B7D96"/>
    <w:rsid w:val="007C64AA"/>
    <w:rsid w:val="007E6605"/>
    <w:rsid w:val="007F3EE4"/>
    <w:rsid w:val="007F4FA4"/>
    <w:rsid w:val="007F7FCB"/>
    <w:rsid w:val="00802B9A"/>
    <w:rsid w:val="00803360"/>
    <w:rsid w:val="008042EE"/>
    <w:rsid w:val="00812CFB"/>
    <w:rsid w:val="00813D10"/>
    <w:rsid w:val="00816147"/>
    <w:rsid w:val="008170E3"/>
    <w:rsid w:val="008216FE"/>
    <w:rsid w:val="008227AF"/>
    <w:rsid w:val="008233FF"/>
    <w:rsid w:val="0082344F"/>
    <w:rsid w:val="00831269"/>
    <w:rsid w:val="00833C8B"/>
    <w:rsid w:val="00842401"/>
    <w:rsid w:val="00844F3A"/>
    <w:rsid w:val="00846E83"/>
    <w:rsid w:val="008609A7"/>
    <w:rsid w:val="00871A16"/>
    <w:rsid w:val="00871DA8"/>
    <w:rsid w:val="00871E9A"/>
    <w:rsid w:val="00872578"/>
    <w:rsid w:val="00875111"/>
    <w:rsid w:val="00877871"/>
    <w:rsid w:val="00877A75"/>
    <w:rsid w:val="00891DF6"/>
    <w:rsid w:val="00896825"/>
    <w:rsid w:val="008969C5"/>
    <w:rsid w:val="008A338C"/>
    <w:rsid w:val="008A7344"/>
    <w:rsid w:val="008A7FF3"/>
    <w:rsid w:val="008B6095"/>
    <w:rsid w:val="008B7726"/>
    <w:rsid w:val="008C4FD8"/>
    <w:rsid w:val="008C5AB5"/>
    <w:rsid w:val="008C6005"/>
    <w:rsid w:val="008C7B90"/>
    <w:rsid w:val="008D4A71"/>
    <w:rsid w:val="008E05CC"/>
    <w:rsid w:val="008E56A2"/>
    <w:rsid w:val="008E5E66"/>
    <w:rsid w:val="008F25C3"/>
    <w:rsid w:val="008F37B0"/>
    <w:rsid w:val="00900D3C"/>
    <w:rsid w:val="00903E45"/>
    <w:rsid w:val="009071F4"/>
    <w:rsid w:val="00910BAD"/>
    <w:rsid w:val="009111BB"/>
    <w:rsid w:val="00912DBC"/>
    <w:rsid w:val="00912EEF"/>
    <w:rsid w:val="00914C06"/>
    <w:rsid w:val="00916285"/>
    <w:rsid w:val="00916B70"/>
    <w:rsid w:val="00920CC8"/>
    <w:rsid w:val="00921430"/>
    <w:rsid w:val="009353B0"/>
    <w:rsid w:val="009359CA"/>
    <w:rsid w:val="00936118"/>
    <w:rsid w:val="00937A6D"/>
    <w:rsid w:val="0094392D"/>
    <w:rsid w:val="00943C65"/>
    <w:rsid w:val="00950E3C"/>
    <w:rsid w:val="00952674"/>
    <w:rsid w:val="00957F62"/>
    <w:rsid w:val="009617FC"/>
    <w:rsid w:val="00961D5F"/>
    <w:rsid w:val="00964E44"/>
    <w:rsid w:val="00973C11"/>
    <w:rsid w:val="009750E8"/>
    <w:rsid w:val="00985035"/>
    <w:rsid w:val="009901F5"/>
    <w:rsid w:val="009903D9"/>
    <w:rsid w:val="009920BA"/>
    <w:rsid w:val="009958C6"/>
    <w:rsid w:val="009A0891"/>
    <w:rsid w:val="009A206B"/>
    <w:rsid w:val="009A3BF6"/>
    <w:rsid w:val="009A4747"/>
    <w:rsid w:val="009B245A"/>
    <w:rsid w:val="009B5AFE"/>
    <w:rsid w:val="009B6493"/>
    <w:rsid w:val="009D19FD"/>
    <w:rsid w:val="009D2B7D"/>
    <w:rsid w:val="009D2F55"/>
    <w:rsid w:val="009D402F"/>
    <w:rsid w:val="009D46C5"/>
    <w:rsid w:val="009D779F"/>
    <w:rsid w:val="009E3FD4"/>
    <w:rsid w:val="009E4EEB"/>
    <w:rsid w:val="009F067F"/>
    <w:rsid w:val="009F1863"/>
    <w:rsid w:val="009F2E07"/>
    <w:rsid w:val="009F7F5F"/>
    <w:rsid w:val="00A30543"/>
    <w:rsid w:val="00A34005"/>
    <w:rsid w:val="00A3684E"/>
    <w:rsid w:val="00A4059B"/>
    <w:rsid w:val="00A432FF"/>
    <w:rsid w:val="00A436B9"/>
    <w:rsid w:val="00A43840"/>
    <w:rsid w:val="00A44999"/>
    <w:rsid w:val="00A550BA"/>
    <w:rsid w:val="00A732A6"/>
    <w:rsid w:val="00A737DC"/>
    <w:rsid w:val="00A74EEE"/>
    <w:rsid w:val="00A764E7"/>
    <w:rsid w:val="00A7685F"/>
    <w:rsid w:val="00A843E9"/>
    <w:rsid w:val="00A87EB2"/>
    <w:rsid w:val="00A93C09"/>
    <w:rsid w:val="00A9417D"/>
    <w:rsid w:val="00A949C2"/>
    <w:rsid w:val="00A95F2F"/>
    <w:rsid w:val="00AC758B"/>
    <w:rsid w:val="00AD4F15"/>
    <w:rsid w:val="00AE0A6E"/>
    <w:rsid w:val="00AF37E6"/>
    <w:rsid w:val="00AF4847"/>
    <w:rsid w:val="00B01CA8"/>
    <w:rsid w:val="00B03356"/>
    <w:rsid w:val="00B03D30"/>
    <w:rsid w:val="00B0602F"/>
    <w:rsid w:val="00B141D5"/>
    <w:rsid w:val="00B17B59"/>
    <w:rsid w:val="00B20C57"/>
    <w:rsid w:val="00B23E19"/>
    <w:rsid w:val="00B244B5"/>
    <w:rsid w:val="00B32B68"/>
    <w:rsid w:val="00B378AA"/>
    <w:rsid w:val="00B40E79"/>
    <w:rsid w:val="00B41008"/>
    <w:rsid w:val="00B4198E"/>
    <w:rsid w:val="00B4441A"/>
    <w:rsid w:val="00B44C9C"/>
    <w:rsid w:val="00B51CAE"/>
    <w:rsid w:val="00B6039E"/>
    <w:rsid w:val="00B620AB"/>
    <w:rsid w:val="00B64C7F"/>
    <w:rsid w:val="00B7257B"/>
    <w:rsid w:val="00B75025"/>
    <w:rsid w:val="00B759D4"/>
    <w:rsid w:val="00B812C5"/>
    <w:rsid w:val="00B81932"/>
    <w:rsid w:val="00B81DC2"/>
    <w:rsid w:val="00B86EFB"/>
    <w:rsid w:val="00B92840"/>
    <w:rsid w:val="00B93178"/>
    <w:rsid w:val="00B979AF"/>
    <w:rsid w:val="00BA3E69"/>
    <w:rsid w:val="00BA6E86"/>
    <w:rsid w:val="00BB4C08"/>
    <w:rsid w:val="00BB7092"/>
    <w:rsid w:val="00BC2C98"/>
    <w:rsid w:val="00BC65A1"/>
    <w:rsid w:val="00BD1FF1"/>
    <w:rsid w:val="00BD50EC"/>
    <w:rsid w:val="00BE3423"/>
    <w:rsid w:val="00BE6A3E"/>
    <w:rsid w:val="00BF1857"/>
    <w:rsid w:val="00BF234B"/>
    <w:rsid w:val="00BF6D7F"/>
    <w:rsid w:val="00C05221"/>
    <w:rsid w:val="00C052F8"/>
    <w:rsid w:val="00C14CAC"/>
    <w:rsid w:val="00C21DE7"/>
    <w:rsid w:val="00C22AB5"/>
    <w:rsid w:val="00C308C7"/>
    <w:rsid w:val="00C32396"/>
    <w:rsid w:val="00C3500F"/>
    <w:rsid w:val="00C43870"/>
    <w:rsid w:val="00C439EE"/>
    <w:rsid w:val="00C43C2A"/>
    <w:rsid w:val="00C53AF2"/>
    <w:rsid w:val="00C55031"/>
    <w:rsid w:val="00C57964"/>
    <w:rsid w:val="00C60A34"/>
    <w:rsid w:val="00C6358A"/>
    <w:rsid w:val="00C6472A"/>
    <w:rsid w:val="00C7158A"/>
    <w:rsid w:val="00C74193"/>
    <w:rsid w:val="00C903B4"/>
    <w:rsid w:val="00C93A97"/>
    <w:rsid w:val="00CA0471"/>
    <w:rsid w:val="00CA0D37"/>
    <w:rsid w:val="00CA72C6"/>
    <w:rsid w:val="00CB1135"/>
    <w:rsid w:val="00CB2A90"/>
    <w:rsid w:val="00CB34E6"/>
    <w:rsid w:val="00CB5579"/>
    <w:rsid w:val="00CC37BD"/>
    <w:rsid w:val="00CC5F65"/>
    <w:rsid w:val="00CC74C3"/>
    <w:rsid w:val="00CE08E0"/>
    <w:rsid w:val="00CF06A8"/>
    <w:rsid w:val="00CF74F9"/>
    <w:rsid w:val="00D005C7"/>
    <w:rsid w:val="00D063A0"/>
    <w:rsid w:val="00D10CEE"/>
    <w:rsid w:val="00D220A6"/>
    <w:rsid w:val="00D24EA1"/>
    <w:rsid w:val="00D26D4D"/>
    <w:rsid w:val="00D31D50"/>
    <w:rsid w:val="00D32522"/>
    <w:rsid w:val="00D369D5"/>
    <w:rsid w:val="00D4554C"/>
    <w:rsid w:val="00D55E0D"/>
    <w:rsid w:val="00D56B0D"/>
    <w:rsid w:val="00D609AD"/>
    <w:rsid w:val="00D635E9"/>
    <w:rsid w:val="00D63737"/>
    <w:rsid w:val="00D63D9E"/>
    <w:rsid w:val="00D754A3"/>
    <w:rsid w:val="00D76A20"/>
    <w:rsid w:val="00D83388"/>
    <w:rsid w:val="00D905AF"/>
    <w:rsid w:val="00D943AE"/>
    <w:rsid w:val="00D952EB"/>
    <w:rsid w:val="00D97E25"/>
    <w:rsid w:val="00D97F1B"/>
    <w:rsid w:val="00DA7311"/>
    <w:rsid w:val="00DB08A0"/>
    <w:rsid w:val="00DB2463"/>
    <w:rsid w:val="00DB7C29"/>
    <w:rsid w:val="00DC2423"/>
    <w:rsid w:val="00DC3409"/>
    <w:rsid w:val="00DC441E"/>
    <w:rsid w:val="00DC4E36"/>
    <w:rsid w:val="00DC5868"/>
    <w:rsid w:val="00DD3BD9"/>
    <w:rsid w:val="00DD54C1"/>
    <w:rsid w:val="00DD5776"/>
    <w:rsid w:val="00DE1F54"/>
    <w:rsid w:val="00DE2A89"/>
    <w:rsid w:val="00DF7CB5"/>
    <w:rsid w:val="00E00207"/>
    <w:rsid w:val="00E07BF1"/>
    <w:rsid w:val="00E12FEC"/>
    <w:rsid w:val="00E16682"/>
    <w:rsid w:val="00E16BEE"/>
    <w:rsid w:val="00E172C2"/>
    <w:rsid w:val="00E22940"/>
    <w:rsid w:val="00E25130"/>
    <w:rsid w:val="00E26CD6"/>
    <w:rsid w:val="00E30355"/>
    <w:rsid w:val="00E335A7"/>
    <w:rsid w:val="00E406AA"/>
    <w:rsid w:val="00E443B0"/>
    <w:rsid w:val="00E44911"/>
    <w:rsid w:val="00E47518"/>
    <w:rsid w:val="00E47E16"/>
    <w:rsid w:val="00E54ED4"/>
    <w:rsid w:val="00E6613B"/>
    <w:rsid w:val="00E70138"/>
    <w:rsid w:val="00E73C5E"/>
    <w:rsid w:val="00E76C89"/>
    <w:rsid w:val="00E81436"/>
    <w:rsid w:val="00E823FB"/>
    <w:rsid w:val="00E84F3B"/>
    <w:rsid w:val="00E87CFC"/>
    <w:rsid w:val="00E93D95"/>
    <w:rsid w:val="00E94A42"/>
    <w:rsid w:val="00E95A2C"/>
    <w:rsid w:val="00E95A95"/>
    <w:rsid w:val="00E97DC9"/>
    <w:rsid w:val="00EA6A66"/>
    <w:rsid w:val="00EA7A3F"/>
    <w:rsid w:val="00EA7D96"/>
    <w:rsid w:val="00EB029A"/>
    <w:rsid w:val="00EB0942"/>
    <w:rsid w:val="00EB30FD"/>
    <w:rsid w:val="00EB3D1F"/>
    <w:rsid w:val="00EB6BBB"/>
    <w:rsid w:val="00EB77CF"/>
    <w:rsid w:val="00EC3B4B"/>
    <w:rsid w:val="00EC4C02"/>
    <w:rsid w:val="00ED1A6D"/>
    <w:rsid w:val="00ED4171"/>
    <w:rsid w:val="00ED761F"/>
    <w:rsid w:val="00EE16C8"/>
    <w:rsid w:val="00EE4031"/>
    <w:rsid w:val="00EE5366"/>
    <w:rsid w:val="00EF1593"/>
    <w:rsid w:val="00EF1A5F"/>
    <w:rsid w:val="00EF4BDE"/>
    <w:rsid w:val="00EF52C1"/>
    <w:rsid w:val="00EF792F"/>
    <w:rsid w:val="00F02718"/>
    <w:rsid w:val="00F03791"/>
    <w:rsid w:val="00F07C5A"/>
    <w:rsid w:val="00F110AE"/>
    <w:rsid w:val="00F12ECC"/>
    <w:rsid w:val="00F133DD"/>
    <w:rsid w:val="00F13538"/>
    <w:rsid w:val="00F1499B"/>
    <w:rsid w:val="00F32DB4"/>
    <w:rsid w:val="00F3663D"/>
    <w:rsid w:val="00F41F4A"/>
    <w:rsid w:val="00F42B01"/>
    <w:rsid w:val="00F53E19"/>
    <w:rsid w:val="00F60605"/>
    <w:rsid w:val="00F63395"/>
    <w:rsid w:val="00F64E98"/>
    <w:rsid w:val="00F67A39"/>
    <w:rsid w:val="00F70D82"/>
    <w:rsid w:val="00F70D94"/>
    <w:rsid w:val="00F73847"/>
    <w:rsid w:val="00F86BE9"/>
    <w:rsid w:val="00F872A5"/>
    <w:rsid w:val="00F9160E"/>
    <w:rsid w:val="00F941EA"/>
    <w:rsid w:val="00F9740E"/>
    <w:rsid w:val="00F977E6"/>
    <w:rsid w:val="00FB1D71"/>
    <w:rsid w:val="00FB362C"/>
    <w:rsid w:val="00FB429A"/>
    <w:rsid w:val="00FC0085"/>
    <w:rsid w:val="00FC0265"/>
    <w:rsid w:val="00FC0821"/>
    <w:rsid w:val="00FC2CB8"/>
    <w:rsid w:val="00FC70D5"/>
    <w:rsid w:val="00FE4D30"/>
    <w:rsid w:val="00FE6C0D"/>
    <w:rsid w:val="00FF1190"/>
    <w:rsid w:val="050D7F77"/>
    <w:rsid w:val="074362FB"/>
    <w:rsid w:val="0A0D163A"/>
    <w:rsid w:val="0DFC6666"/>
    <w:rsid w:val="0E2606E6"/>
    <w:rsid w:val="0FE94625"/>
    <w:rsid w:val="11F31941"/>
    <w:rsid w:val="130D1AF3"/>
    <w:rsid w:val="155F3889"/>
    <w:rsid w:val="169E0446"/>
    <w:rsid w:val="18A669BD"/>
    <w:rsid w:val="1A5E31E5"/>
    <w:rsid w:val="1E8371B5"/>
    <w:rsid w:val="20BD69FE"/>
    <w:rsid w:val="220775C0"/>
    <w:rsid w:val="255965B5"/>
    <w:rsid w:val="256650ED"/>
    <w:rsid w:val="26133CB3"/>
    <w:rsid w:val="27576C68"/>
    <w:rsid w:val="28313A5A"/>
    <w:rsid w:val="2842597A"/>
    <w:rsid w:val="2A08568F"/>
    <w:rsid w:val="2C990C31"/>
    <w:rsid w:val="308A7881"/>
    <w:rsid w:val="31AF4F80"/>
    <w:rsid w:val="350E52C3"/>
    <w:rsid w:val="35756478"/>
    <w:rsid w:val="35CF3B6F"/>
    <w:rsid w:val="39F13E7D"/>
    <w:rsid w:val="3A18020A"/>
    <w:rsid w:val="3ACE29AA"/>
    <w:rsid w:val="3C2C6631"/>
    <w:rsid w:val="3D0E565A"/>
    <w:rsid w:val="3D66218D"/>
    <w:rsid w:val="3E2521C2"/>
    <w:rsid w:val="3F792CAE"/>
    <w:rsid w:val="41A91664"/>
    <w:rsid w:val="424375F7"/>
    <w:rsid w:val="45CC609C"/>
    <w:rsid w:val="45F9534F"/>
    <w:rsid w:val="4878389C"/>
    <w:rsid w:val="49774513"/>
    <w:rsid w:val="4E89072B"/>
    <w:rsid w:val="4EB63D2C"/>
    <w:rsid w:val="4F346424"/>
    <w:rsid w:val="505E5C83"/>
    <w:rsid w:val="50C614E1"/>
    <w:rsid w:val="518F4806"/>
    <w:rsid w:val="52993E9A"/>
    <w:rsid w:val="55824716"/>
    <w:rsid w:val="573A052C"/>
    <w:rsid w:val="5CCA600D"/>
    <w:rsid w:val="5E3A1CF6"/>
    <w:rsid w:val="604014A7"/>
    <w:rsid w:val="62865373"/>
    <w:rsid w:val="62CC4F49"/>
    <w:rsid w:val="64D575AE"/>
    <w:rsid w:val="664A2C8B"/>
    <w:rsid w:val="6CBA4629"/>
    <w:rsid w:val="6DEC5A34"/>
    <w:rsid w:val="6E1C0440"/>
    <w:rsid w:val="718C7415"/>
    <w:rsid w:val="725C1ADF"/>
    <w:rsid w:val="729B0C10"/>
    <w:rsid w:val="77AA52FB"/>
    <w:rsid w:val="7942201C"/>
    <w:rsid w:val="798C013C"/>
    <w:rsid w:val="7B504DF9"/>
    <w:rsid w:val="7F0D26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1"/>
    <w:basedOn w:val="1"/>
    <w:next w:val="1"/>
    <w:link w:val="48"/>
    <w:qFormat/>
    <w:uiPriority w:val="0"/>
    <w:pPr>
      <w:keepNext/>
      <w:adjustRightInd/>
      <w:snapToGrid/>
      <w:spacing w:after="0" w:line="400" w:lineRule="exact"/>
      <w:jc w:val="center"/>
      <w:outlineLvl w:val="0"/>
    </w:pPr>
    <w:rPr>
      <w:rFonts w:ascii="黑体" w:hAnsi="Times New Roman" w:eastAsia="黑体" w:cs="Times New Roman"/>
      <w:sz w:val="36"/>
      <w:szCs w:val="20"/>
    </w:rPr>
  </w:style>
  <w:style w:type="paragraph" w:styleId="4">
    <w:name w:val="heading 2"/>
    <w:basedOn w:val="1"/>
    <w:next w:val="1"/>
    <w:link w:val="57"/>
    <w:qFormat/>
    <w:uiPriority w:val="0"/>
    <w:pPr>
      <w:keepNext/>
      <w:keepLines/>
      <w:widowControl w:val="0"/>
      <w:adjustRightInd/>
      <w:snapToGrid/>
      <w:spacing w:after="0" w:line="380" w:lineRule="atLeast"/>
      <w:jc w:val="center"/>
      <w:outlineLvl w:val="1"/>
    </w:pPr>
    <w:rPr>
      <w:rFonts w:ascii="Arial" w:hAnsi="Arial" w:eastAsia="黑体" w:cs="Times New Roman"/>
      <w:bCs/>
      <w:sz w:val="32"/>
      <w:szCs w:val="32"/>
    </w:rPr>
  </w:style>
  <w:style w:type="paragraph" w:styleId="5">
    <w:name w:val="heading 3"/>
    <w:basedOn w:val="1"/>
    <w:next w:val="1"/>
    <w:link w:val="50"/>
    <w:qFormat/>
    <w:uiPriority w:val="0"/>
    <w:pPr>
      <w:keepNext/>
      <w:keepLines/>
      <w:widowControl w:val="0"/>
      <w:adjustRightInd/>
      <w:snapToGrid/>
      <w:spacing w:after="0" w:line="380" w:lineRule="exact"/>
      <w:jc w:val="center"/>
      <w:outlineLvl w:val="2"/>
    </w:pPr>
    <w:rPr>
      <w:rFonts w:hint="eastAsia" w:ascii="宋体" w:hAnsi="宋体" w:eastAsia="宋体" w:cs="Times New Roman"/>
      <w:bCs/>
      <w:sz w:val="30"/>
      <w:szCs w:val="32"/>
    </w:rPr>
  </w:style>
  <w:style w:type="paragraph" w:styleId="6">
    <w:name w:val="heading 4"/>
    <w:basedOn w:val="1"/>
    <w:next w:val="1"/>
    <w:link w:val="51"/>
    <w:qFormat/>
    <w:uiPriority w:val="0"/>
    <w:pPr>
      <w:keepNext/>
      <w:keepLines/>
      <w:widowControl w:val="0"/>
      <w:adjustRightInd/>
      <w:snapToGrid/>
      <w:spacing w:before="280" w:after="290" w:line="376" w:lineRule="auto"/>
      <w:jc w:val="both"/>
      <w:outlineLvl w:val="3"/>
    </w:pPr>
    <w:rPr>
      <w:rFonts w:ascii="Cambria" w:hAnsi="Cambria" w:eastAsia="宋体" w:cs="Times New Roman"/>
      <w:b/>
      <w:bCs/>
      <w:kern w:val="2"/>
      <w:sz w:val="28"/>
      <w:szCs w:val="28"/>
    </w:rPr>
  </w:style>
  <w:style w:type="paragraph" w:styleId="7">
    <w:name w:val="heading 5"/>
    <w:basedOn w:val="1"/>
    <w:next w:val="1"/>
    <w:link w:val="52"/>
    <w:qFormat/>
    <w:uiPriority w:val="0"/>
    <w:pPr>
      <w:keepNext/>
      <w:keepLines/>
      <w:widowControl w:val="0"/>
      <w:adjustRightInd/>
      <w:snapToGrid/>
      <w:spacing w:before="280" w:after="290" w:line="376" w:lineRule="auto"/>
      <w:jc w:val="both"/>
      <w:outlineLvl w:val="4"/>
    </w:pPr>
    <w:rPr>
      <w:rFonts w:ascii="Times New Roman" w:hAnsi="Times New Roman" w:eastAsia="宋体" w:cs="Times New Roman"/>
      <w:b/>
      <w:bCs/>
      <w:kern w:val="2"/>
      <w:sz w:val="28"/>
      <w:szCs w:val="28"/>
    </w:rPr>
  </w:style>
  <w:style w:type="paragraph" w:styleId="8">
    <w:name w:val="heading 6"/>
    <w:basedOn w:val="1"/>
    <w:next w:val="1"/>
    <w:link w:val="53"/>
    <w:qFormat/>
    <w:uiPriority w:val="0"/>
    <w:pPr>
      <w:keepNext/>
      <w:keepLines/>
      <w:adjustRightInd/>
      <w:snapToGrid/>
      <w:spacing w:before="240" w:after="64" w:line="319" w:lineRule="auto"/>
      <w:outlineLvl w:val="5"/>
    </w:pPr>
    <w:rPr>
      <w:rFonts w:ascii="Arial" w:hAnsi="Arial" w:eastAsia="黑体" w:cs="Times New Roman"/>
      <w:b/>
      <w:bCs/>
      <w:sz w:val="24"/>
      <w:szCs w:val="24"/>
    </w:rPr>
  </w:style>
  <w:style w:type="paragraph" w:styleId="9">
    <w:name w:val="heading 7"/>
    <w:basedOn w:val="1"/>
    <w:next w:val="1"/>
    <w:link w:val="54"/>
    <w:qFormat/>
    <w:uiPriority w:val="0"/>
    <w:pPr>
      <w:keepNext/>
      <w:keepLines/>
      <w:adjustRightInd/>
      <w:snapToGrid/>
      <w:spacing w:before="240" w:after="64" w:line="319" w:lineRule="auto"/>
      <w:outlineLvl w:val="6"/>
    </w:pPr>
    <w:rPr>
      <w:rFonts w:ascii="Times New Roman" w:hAnsi="Times New Roman" w:eastAsia="宋体" w:cs="Times New Roman"/>
      <w:b/>
      <w:bCs/>
      <w:sz w:val="24"/>
      <w:szCs w:val="24"/>
    </w:rPr>
  </w:style>
  <w:style w:type="paragraph" w:styleId="10">
    <w:name w:val="heading 8"/>
    <w:basedOn w:val="1"/>
    <w:next w:val="1"/>
    <w:link w:val="55"/>
    <w:qFormat/>
    <w:uiPriority w:val="0"/>
    <w:pPr>
      <w:keepNext/>
      <w:keepLines/>
      <w:adjustRightInd/>
      <w:snapToGrid/>
      <w:spacing w:before="240" w:after="64" w:line="319" w:lineRule="auto"/>
      <w:outlineLvl w:val="7"/>
    </w:pPr>
    <w:rPr>
      <w:rFonts w:ascii="Arial" w:hAnsi="Arial" w:eastAsia="黑体" w:cs="Times New Roman"/>
      <w:sz w:val="24"/>
      <w:szCs w:val="24"/>
    </w:rPr>
  </w:style>
  <w:style w:type="paragraph" w:styleId="11">
    <w:name w:val="heading 9"/>
    <w:basedOn w:val="1"/>
    <w:next w:val="1"/>
    <w:link w:val="56"/>
    <w:qFormat/>
    <w:uiPriority w:val="0"/>
    <w:pPr>
      <w:keepNext/>
      <w:keepLines/>
      <w:adjustRightInd/>
      <w:snapToGrid/>
      <w:spacing w:before="240" w:after="64" w:line="319" w:lineRule="auto"/>
      <w:outlineLvl w:val="8"/>
    </w:pPr>
    <w:rPr>
      <w:rFonts w:ascii="Arial" w:hAnsi="Arial" w:eastAsia="黑体" w:cs="Times New Roman"/>
      <w:sz w:val="21"/>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74"/>
    <w:qFormat/>
    <w:uiPriority w:val="0"/>
    <w:pPr>
      <w:widowControl w:val="0"/>
      <w:adjustRightInd/>
      <w:snapToGrid/>
      <w:spacing w:after="0"/>
      <w:jc w:val="center"/>
    </w:pPr>
    <w:rPr>
      <w:rFonts w:ascii="Times New Roman" w:hAnsi="Times New Roman" w:eastAsia="宋体" w:cs="Times New Roman"/>
      <w:kern w:val="2"/>
      <w:sz w:val="52"/>
      <w:szCs w:val="24"/>
    </w:rPr>
  </w:style>
  <w:style w:type="paragraph" w:styleId="12">
    <w:name w:val="toc 7"/>
    <w:basedOn w:val="1"/>
    <w:next w:val="1"/>
    <w:qFormat/>
    <w:uiPriority w:val="0"/>
    <w:pPr>
      <w:widowControl w:val="0"/>
      <w:adjustRightInd/>
      <w:snapToGrid/>
      <w:spacing w:after="0"/>
      <w:ind w:left="1260"/>
    </w:pPr>
    <w:rPr>
      <w:rFonts w:ascii="Times New Roman" w:hAnsi="Times New Roman" w:eastAsia="宋体" w:cs="Times New Roman"/>
      <w:kern w:val="2"/>
      <w:sz w:val="18"/>
      <w:szCs w:val="18"/>
    </w:rPr>
  </w:style>
  <w:style w:type="paragraph" w:styleId="13">
    <w:name w:val="Normal Indent"/>
    <w:basedOn w:val="1"/>
    <w:link w:val="98"/>
    <w:qFormat/>
    <w:uiPriority w:val="0"/>
    <w:pPr>
      <w:widowControl w:val="0"/>
      <w:snapToGrid/>
      <w:spacing w:after="0" w:line="360" w:lineRule="atLeast"/>
      <w:ind w:firstLine="420"/>
      <w:jc w:val="both"/>
      <w:textAlignment w:val="baseline"/>
    </w:pPr>
    <w:rPr>
      <w:rFonts w:ascii="Times New Roman" w:hAnsi="Times New Roman" w:eastAsia="宋体" w:cs="Times New Roman"/>
      <w:kern w:val="2"/>
      <w:sz w:val="21"/>
      <w:szCs w:val="20"/>
    </w:rPr>
  </w:style>
  <w:style w:type="paragraph" w:styleId="14">
    <w:name w:val="Document Map"/>
    <w:basedOn w:val="1"/>
    <w:link w:val="75"/>
    <w:semiHidden/>
    <w:qFormat/>
    <w:uiPriority w:val="0"/>
    <w:pPr>
      <w:widowControl w:val="0"/>
      <w:shd w:val="clear" w:color="auto" w:fill="000080"/>
      <w:adjustRightInd/>
      <w:snapToGrid/>
      <w:spacing w:after="0"/>
      <w:jc w:val="both"/>
    </w:pPr>
    <w:rPr>
      <w:rFonts w:ascii="Times New Roman" w:hAnsi="Times New Roman" w:eastAsia="宋体" w:cs="Times New Roman"/>
      <w:kern w:val="2"/>
      <w:sz w:val="21"/>
      <w:szCs w:val="24"/>
    </w:rPr>
  </w:style>
  <w:style w:type="paragraph" w:styleId="15">
    <w:name w:val="annotation text"/>
    <w:basedOn w:val="1"/>
    <w:link w:val="65"/>
    <w:qFormat/>
    <w:uiPriority w:val="0"/>
    <w:pPr>
      <w:widowControl w:val="0"/>
      <w:adjustRightInd/>
      <w:snapToGrid/>
      <w:spacing w:after="0"/>
    </w:pPr>
    <w:rPr>
      <w:rFonts w:ascii="Times New Roman" w:hAnsi="Times New Roman" w:eastAsia="宋体" w:cs="Times New Roman"/>
      <w:kern w:val="2"/>
      <w:sz w:val="21"/>
      <w:szCs w:val="24"/>
    </w:rPr>
  </w:style>
  <w:style w:type="paragraph" w:styleId="16">
    <w:name w:val="Body Text Indent"/>
    <w:basedOn w:val="1"/>
    <w:link w:val="66"/>
    <w:qFormat/>
    <w:uiPriority w:val="0"/>
    <w:pPr>
      <w:widowControl w:val="0"/>
      <w:adjustRightInd/>
      <w:snapToGrid/>
      <w:spacing w:after="0" w:line="440" w:lineRule="exact"/>
      <w:ind w:firstLine="419" w:firstLineChars="196"/>
      <w:jc w:val="both"/>
    </w:pPr>
    <w:rPr>
      <w:rFonts w:ascii="宋体" w:hAnsi="宋体" w:eastAsia="宋体" w:cs="Courier New"/>
      <w:spacing w:val="2"/>
      <w:kern w:val="2"/>
      <w:sz w:val="21"/>
      <w:szCs w:val="24"/>
    </w:rPr>
  </w:style>
  <w:style w:type="paragraph" w:styleId="17">
    <w:name w:val="toc 5"/>
    <w:basedOn w:val="1"/>
    <w:next w:val="1"/>
    <w:qFormat/>
    <w:uiPriority w:val="0"/>
    <w:pPr>
      <w:widowControl w:val="0"/>
      <w:adjustRightInd/>
      <w:snapToGrid/>
      <w:spacing w:after="0"/>
      <w:ind w:left="840"/>
    </w:pPr>
    <w:rPr>
      <w:rFonts w:ascii="Times New Roman" w:hAnsi="Times New Roman" w:eastAsia="宋体" w:cs="Times New Roman"/>
      <w:kern w:val="2"/>
      <w:sz w:val="18"/>
      <w:szCs w:val="18"/>
    </w:rPr>
  </w:style>
  <w:style w:type="paragraph" w:styleId="18">
    <w:name w:val="toc 3"/>
    <w:basedOn w:val="1"/>
    <w:next w:val="1"/>
    <w:qFormat/>
    <w:uiPriority w:val="39"/>
    <w:pPr>
      <w:widowControl w:val="0"/>
      <w:adjustRightInd/>
      <w:snapToGrid/>
      <w:spacing w:after="0"/>
      <w:ind w:left="420"/>
    </w:pPr>
    <w:rPr>
      <w:rFonts w:ascii="Times New Roman" w:hAnsi="Times New Roman" w:eastAsia="宋体" w:cs="Times New Roman"/>
      <w:i/>
      <w:iCs/>
      <w:kern w:val="2"/>
      <w:sz w:val="20"/>
      <w:szCs w:val="20"/>
    </w:rPr>
  </w:style>
  <w:style w:type="paragraph" w:styleId="19">
    <w:name w:val="Plain Text"/>
    <w:basedOn w:val="1"/>
    <w:link w:val="61"/>
    <w:qFormat/>
    <w:uiPriority w:val="0"/>
    <w:pPr>
      <w:widowControl w:val="0"/>
      <w:adjustRightInd/>
      <w:snapToGrid/>
      <w:spacing w:after="0"/>
      <w:jc w:val="both"/>
    </w:pPr>
    <w:rPr>
      <w:rFonts w:ascii="宋体" w:hAnsi="Courier New" w:eastAsia="宋体"/>
      <w:kern w:val="2"/>
      <w:sz w:val="21"/>
    </w:rPr>
  </w:style>
  <w:style w:type="paragraph" w:styleId="20">
    <w:name w:val="toc 8"/>
    <w:basedOn w:val="1"/>
    <w:next w:val="1"/>
    <w:qFormat/>
    <w:uiPriority w:val="0"/>
    <w:pPr>
      <w:widowControl w:val="0"/>
      <w:adjustRightInd/>
      <w:snapToGrid/>
      <w:spacing w:after="0"/>
      <w:ind w:left="1470"/>
    </w:pPr>
    <w:rPr>
      <w:rFonts w:ascii="Times New Roman" w:hAnsi="Times New Roman" w:eastAsia="宋体" w:cs="Times New Roman"/>
      <w:kern w:val="2"/>
      <w:sz w:val="18"/>
      <w:szCs w:val="18"/>
    </w:rPr>
  </w:style>
  <w:style w:type="paragraph" w:styleId="21">
    <w:name w:val="Date"/>
    <w:basedOn w:val="1"/>
    <w:next w:val="1"/>
    <w:link w:val="76"/>
    <w:qFormat/>
    <w:uiPriority w:val="0"/>
    <w:pPr>
      <w:widowControl w:val="0"/>
      <w:adjustRightInd/>
      <w:snapToGrid/>
      <w:spacing w:after="0"/>
      <w:ind w:left="100" w:leftChars="2500"/>
      <w:jc w:val="both"/>
    </w:pPr>
    <w:rPr>
      <w:rFonts w:ascii="Times New Roman" w:hAnsi="Times New Roman" w:eastAsia="宋体" w:cs="Times New Roman"/>
      <w:kern w:val="2"/>
      <w:sz w:val="21"/>
      <w:szCs w:val="24"/>
    </w:rPr>
  </w:style>
  <w:style w:type="paragraph" w:styleId="22">
    <w:name w:val="Body Text Indent 2"/>
    <w:basedOn w:val="1"/>
    <w:link w:val="70"/>
    <w:qFormat/>
    <w:uiPriority w:val="0"/>
    <w:pPr>
      <w:widowControl w:val="0"/>
      <w:adjustRightInd/>
      <w:snapToGrid/>
      <w:spacing w:after="0" w:line="420" w:lineRule="exact"/>
      <w:ind w:firstLine="409" w:firstLineChars="195"/>
      <w:jc w:val="both"/>
    </w:pPr>
    <w:rPr>
      <w:rFonts w:ascii="Times New Roman" w:hAnsi="Times New Roman" w:eastAsia="宋体" w:cs="Times New Roman"/>
      <w:kern w:val="2"/>
      <w:sz w:val="21"/>
      <w:szCs w:val="24"/>
    </w:rPr>
  </w:style>
  <w:style w:type="paragraph" w:styleId="23">
    <w:name w:val="Balloon Text"/>
    <w:basedOn w:val="1"/>
    <w:link w:val="71"/>
    <w:qFormat/>
    <w:uiPriority w:val="0"/>
    <w:pPr>
      <w:widowControl w:val="0"/>
      <w:adjustRightInd/>
      <w:snapToGrid/>
      <w:spacing w:after="0"/>
      <w:jc w:val="both"/>
    </w:pPr>
    <w:rPr>
      <w:rFonts w:ascii="Times New Roman" w:hAnsi="Times New Roman" w:eastAsia="宋体" w:cs="Times New Roman"/>
      <w:kern w:val="2"/>
      <w:sz w:val="18"/>
      <w:szCs w:val="18"/>
    </w:rPr>
  </w:style>
  <w:style w:type="paragraph" w:styleId="24">
    <w:name w:val="footer"/>
    <w:basedOn w:val="1"/>
    <w:link w:val="47"/>
    <w:unhideWhenUsed/>
    <w:qFormat/>
    <w:uiPriority w:val="0"/>
    <w:pPr>
      <w:tabs>
        <w:tab w:val="center" w:pos="4153"/>
        <w:tab w:val="right" w:pos="8306"/>
      </w:tabs>
    </w:pPr>
    <w:rPr>
      <w:sz w:val="18"/>
      <w:szCs w:val="18"/>
    </w:rPr>
  </w:style>
  <w:style w:type="paragraph" w:styleId="25">
    <w:name w:val="header"/>
    <w:basedOn w:val="1"/>
    <w:link w:val="46"/>
    <w:unhideWhenUsed/>
    <w:qFormat/>
    <w:uiPriority w:val="0"/>
    <w:pPr>
      <w:pBdr>
        <w:bottom w:val="single" w:color="auto" w:sz="6" w:space="1"/>
      </w:pBdr>
      <w:tabs>
        <w:tab w:val="center" w:pos="4153"/>
        <w:tab w:val="right" w:pos="8306"/>
      </w:tabs>
      <w:jc w:val="center"/>
    </w:pPr>
    <w:rPr>
      <w:sz w:val="18"/>
      <w:szCs w:val="18"/>
    </w:rPr>
  </w:style>
  <w:style w:type="paragraph" w:styleId="26">
    <w:name w:val="toc 1"/>
    <w:basedOn w:val="1"/>
    <w:next w:val="1"/>
    <w:qFormat/>
    <w:uiPriority w:val="39"/>
    <w:pPr>
      <w:widowControl w:val="0"/>
      <w:adjustRightInd/>
      <w:snapToGrid/>
      <w:spacing w:before="120" w:after="120"/>
    </w:pPr>
    <w:rPr>
      <w:rFonts w:ascii="Times New Roman" w:hAnsi="Times New Roman" w:eastAsia="宋体" w:cs="Times New Roman"/>
      <w:b/>
      <w:bCs/>
      <w:caps/>
      <w:kern w:val="2"/>
      <w:sz w:val="20"/>
      <w:szCs w:val="20"/>
    </w:rPr>
  </w:style>
  <w:style w:type="paragraph" w:styleId="27">
    <w:name w:val="toc 4"/>
    <w:basedOn w:val="1"/>
    <w:next w:val="1"/>
    <w:qFormat/>
    <w:uiPriority w:val="0"/>
    <w:pPr>
      <w:widowControl w:val="0"/>
      <w:adjustRightInd/>
      <w:snapToGrid/>
      <w:spacing w:after="0"/>
      <w:ind w:left="630"/>
    </w:pPr>
    <w:rPr>
      <w:rFonts w:ascii="Times New Roman" w:hAnsi="Times New Roman" w:eastAsia="宋体" w:cs="Times New Roman"/>
      <w:kern w:val="2"/>
      <w:sz w:val="18"/>
      <w:szCs w:val="18"/>
    </w:rPr>
  </w:style>
  <w:style w:type="paragraph" w:styleId="28">
    <w:name w:val="List"/>
    <w:basedOn w:val="1"/>
    <w:qFormat/>
    <w:uiPriority w:val="0"/>
    <w:pPr>
      <w:widowControl w:val="0"/>
      <w:adjustRightInd/>
      <w:snapToGrid/>
      <w:spacing w:after="0" w:line="340" w:lineRule="exact"/>
      <w:jc w:val="both"/>
    </w:pPr>
    <w:rPr>
      <w:rFonts w:ascii="Times New Roman" w:hAnsi="Times New Roman" w:eastAsia="楷体_GB2312" w:cs="Times New Roman"/>
      <w:kern w:val="2"/>
      <w:sz w:val="24"/>
      <w:szCs w:val="20"/>
    </w:rPr>
  </w:style>
  <w:style w:type="paragraph" w:styleId="29">
    <w:name w:val="toc 6"/>
    <w:basedOn w:val="1"/>
    <w:next w:val="1"/>
    <w:qFormat/>
    <w:uiPriority w:val="0"/>
    <w:pPr>
      <w:widowControl w:val="0"/>
      <w:adjustRightInd/>
      <w:snapToGrid/>
      <w:spacing w:after="0"/>
      <w:ind w:left="1050"/>
    </w:pPr>
    <w:rPr>
      <w:rFonts w:ascii="Times New Roman" w:hAnsi="Times New Roman" w:eastAsia="宋体" w:cs="Times New Roman"/>
      <w:kern w:val="2"/>
      <w:sz w:val="18"/>
      <w:szCs w:val="18"/>
    </w:rPr>
  </w:style>
  <w:style w:type="paragraph" w:styleId="30">
    <w:name w:val="Body Text Indent 3"/>
    <w:basedOn w:val="1"/>
    <w:link w:val="73"/>
    <w:qFormat/>
    <w:uiPriority w:val="0"/>
    <w:pPr>
      <w:widowControl w:val="0"/>
      <w:adjustRightInd/>
      <w:snapToGrid/>
      <w:spacing w:after="0" w:line="480" w:lineRule="exact"/>
      <w:ind w:firstLine="420" w:firstLineChars="200"/>
      <w:jc w:val="both"/>
    </w:pPr>
    <w:rPr>
      <w:rFonts w:ascii="宋体" w:hAnsi="Courier New" w:eastAsia="宋体" w:cs="Courier New"/>
      <w:kern w:val="2"/>
      <w:sz w:val="21"/>
      <w:szCs w:val="24"/>
    </w:rPr>
  </w:style>
  <w:style w:type="paragraph" w:styleId="31">
    <w:name w:val="toc 2"/>
    <w:basedOn w:val="1"/>
    <w:next w:val="1"/>
    <w:qFormat/>
    <w:uiPriority w:val="39"/>
    <w:pPr>
      <w:widowControl w:val="0"/>
      <w:adjustRightInd/>
      <w:snapToGrid/>
      <w:spacing w:after="0"/>
      <w:ind w:left="210"/>
    </w:pPr>
    <w:rPr>
      <w:rFonts w:ascii="Times New Roman" w:hAnsi="Times New Roman" w:eastAsia="宋体" w:cs="Times New Roman"/>
      <w:smallCaps/>
      <w:kern w:val="2"/>
      <w:sz w:val="20"/>
      <w:szCs w:val="20"/>
    </w:rPr>
  </w:style>
  <w:style w:type="paragraph" w:styleId="32">
    <w:name w:val="toc 9"/>
    <w:basedOn w:val="1"/>
    <w:next w:val="1"/>
    <w:qFormat/>
    <w:uiPriority w:val="0"/>
    <w:pPr>
      <w:widowControl w:val="0"/>
      <w:adjustRightInd/>
      <w:snapToGrid/>
      <w:spacing w:after="0"/>
      <w:ind w:left="1680"/>
    </w:pPr>
    <w:rPr>
      <w:rFonts w:ascii="Times New Roman" w:hAnsi="Times New Roman" w:eastAsia="宋体" w:cs="Times New Roman"/>
      <w:kern w:val="2"/>
      <w:sz w:val="18"/>
      <w:szCs w:val="18"/>
    </w:rPr>
  </w:style>
  <w:style w:type="paragraph" w:styleId="33">
    <w:name w:val="Body Text 2"/>
    <w:basedOn w:val="1"/>
    <w:link w:val="64"/>
    <w:qFormat/>
    <w:uiPriority w:val="0"/>
    <w:pPr>
      <w:widowControl w:val="0"/>
      <w:adjustRightInd/>
      <w:snapToGrid/>
      <w:spacing w:after="0" w:line="280" w:lineRule="exact"/>
      <w:jc w:val="center"/>
    </w:pPr>
    <w:rPr>
      <w:rFonts w:ascii="Times New Roman" w:hAnsi="Times New Roman" w:eastAsia="宋体" w:cs="Times New Roman"/>
      <w:kern w:val="2"/>
      <w:sz w:val="21"/>
      <w:szCs w:val="24"/>
    </w:rPr>
  </w:style>
  <w:style w:type="paragraph" w:styleId="34">
    <w:name w:val="Normal (Web)"/>
    <w:basedOn w:val="1"/>
    <w:qFormat/>
    <w:uiPriority w:val="0"/>
    <w:pPr>
      <w:adjustRightInd/>
      <w:snapToGrid/>
      <w:spacing w:before="100" w:beforeAutospacing="1" w:after="100" w:afterAutospacing="1"/>
    </w:pPr>
    <w:rPr>
      <w:rFonts w:ascii="宋体" w:hAnsi="宋体" w:eastAsia="宋体" w:cs="Times New Roman"/>
      <w:sz w:val="24"/>
      <w:szCs w:val="24"/>
    </w:rPr>
  </w:style>
  <w:style w:type="paragraph" w:styleId="35">
    <w:name w:val="annotation subject"/>
    <w:basedOn w:val="15"/>
    <w:next w:val="15"/>
    <w:link w:val="72"/>
    <w:semiHidden/>
    <w:qFormat/>
    <w:uiPriority w:val="0"/>
    <w:rPr>
      <w:b/>
      <w:bCs/>
    </w:rPr>
  </w:style>
  <w:style w:type="paragraph" w:styleId="36">
    <w:name w:val="Body Text First Indent 2"/>
    <w:basedOn w:val="16"/>
    <w:next w:val="37"/>
    <w:unhideWhenUsed/>
    <w:qFormat/>
    <w:uiPriority w:val="99"/>
    <w:pPr>
      <w:spacing w:after="120" w:line="240" w:lineRule="auto"/>
      <w:ind w:left="420" w:leftChars="200" w:firstLine="420"/>
    </w:pPr>
    <w:rPr>
      <w:rFonts w:ascii="Times New Roman"/>
      <w:sz w:val="28"/>
    </w:rPr>
  </w:style>
  <w:style w:type="paragraph" w:styleId="37">
    <w:name w:val="Intense Quote"/>
    <w:basedOn w:val="1"/>
    <w:next w:val="1"/>
    <w:qFormat/>
    <w:uiPriority w:val="0"/>
    <w:pPr>
      <w:pBdr>
        <w:bottom w:val="single" w:color="4F81BD" w:sz="4" w:space="4"/>
      </w:pBdr>
      <w:spacing w:before="200" w:after="280"/>
      <w:ind w:left="936" w:right="936"/>
    </w:pPr>
    <w:rPr>
      <w:rFonts w:ascii="Calibri" w:hAnsi="Calibri" w:eastAsia="宋体" w:cs="Times New Roman"/>
      <w:b/>
      <w:i/>
      <w:color w:val="4F81BD"/>
    </w:rPr>
  </w:style>
  <w:style w:type="table" w:styleId="39">
    <w:name w:val="Table Grid"/>
    <w:basedOn w:val="3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Strong"/>
    <w:qFormat/>
    <w:uiPriority w:val="0"/>
    <w:rPr>
      <w:b/>
      <w:bCs/>
    </w:rPr>
  </w:style>
  <w:style w:type="character" w:styleId="42">
    <w:name w:val="page number"/>
    <w:basedOn w:val="40"/>
    <w:qFormat/>
    <w:uiPriority w:val="0"/>
  </w:style>
  <w:style w:type="character" w:styleId="43">
    <w:name w:val="FollowedHyperlink"/>
    <w:qFormat/>
    <w:uiPriority w:val="0"/>
    <w:rPr>
      <w:color w:val="800080"/>
      <w:u w:val="single"/>
    </w:rPr>
  </w:style>
  <w:style w:type="character" w:styleId="44">
    <w:name w:val="Hyperlink"/>
    <w:basedOn w:val="40"/>
    <w:qFormat/>
    <w:uiPriority w:val="99"/>
    <w:rPr>
      <w:color w:val="0000FF"/>
      <w:u w:val="single"/>
    </w:rPr>
  </w:style>
  <w:style w:type="character" w:styleId="45">
    <w:name w:val="annotation reference"/>
    <w:qFormat/>
    <w:uiPriority w:val="0"/>
    <w:rPr>
      <w:sz w:val="21"/>
      <w:szCs w:val="21"/>
    </w:rPr>
  </w:style>
  <w:style w:type="character" w:customStyle="1" w:styleId="46">
    <w:name w:val="页眉 Char"/>
    <w:basedOn w:val="40"/>
    <w:link w:val="25"/>
    <w:semiHidden/>
    <w:qFormat/>
    <w:uiPriority w:val="99"/>
    <w:rPr>
      <w:rFonts w:ascii="Tahoma" w:hAnsi="Tahoma"/>
      <w:sz w:val="18"/>
      <w:szCs w:val="18"/>
    </w:rPr>
  </w:style>
  <w:style w:type="character" w:customStyle="1" w:styleId="47">
    <w:name w:val="页脚 Char"/>
    <w:basedOn w:val="40"/>
    <w:link w:val="24"/>
    <w:semiHidden/>
    <w:qFormat/>
    <w:uiPriority w:val="99"/>
    <w:rPr>
      <w:rFonts w:ascii="Tahoma" w:hAnsi="Tahoma"/>
      <w:sz w:val="18"/>
      <w:szCs w:val="18"/>
    </w:rPr>
  </w:style>
  <w:style w:type="character" w:customStyle="1" w:styleId="48">
    <w:name w:val="标题 1 Char"/>
    <w:basedOn w:val="40"/>
    <w:link w:val="3"/>
    <w:qFormat/>
    <w:uiPriority w:val="0"/>
    <w:rPr>
      <w:rFonts w:ascii="黑体" w:hAnsi="Times New Roman" w:eastAsia="黑体" w:cs="Times New Roman"/>
      <w:sz w:val="36"/>
      <w:szCs w:val="20"/>
    </w:rPr>
  </w:style>
  <w:style w:type="character" w:customStyle="1" w:styleId="49">
    <w:name w:val="标题 2 Char"/>
    <w:basedOn w:val="40"/>
    <w:qFormat/>
    <w:uiPriority w:val="0"/>
    <w:rPr>
      <w:rFonts w:asciiTheme="majorHAnsi" w:hAnsiTheme="majorHAnsi" w:eastAsiaTheme="majorEastAsia" w:cstheme="majorBidi"/>
      <w:b/>
      <w:bCs/>
      <w:sz w:val="32"/>
      <w:szCs w:val="32"/>
    </w:rPr>
  </w:style>
  <w:style w:type="character" w:customStyle="1" w:styleId="50">
    <w:name w:val="标题 3 Char"/>
    <w:basedOn w:val="40"/>
    <w:link w:val="5"/>
    <w:qFormat/>
    <w:uiPriority w:val="0"/>
    <w:rPr>
      <w:rFonts w:ascii="宋体" w:hAnsi="宋体" w:eastAsia="宋体" w:cs="Times New Roman"/>
      <w:bCs/>
      <w:sz w:val="30"/>
      <w:szCs w:val="32"/>
    </w:rPr>
  </w:style>
  <w:style w:type="character" w:customStyle="1" w:styleId="51">
    <w:name w:val="标题 4 Char"/>
    <w:basedOn w:val="40"/>
    <w:link w:val="6"/>
    <w:qFormat/>
    <w:uiPriority w:val="0"/>
    <w:rPr>
      <w:rFonts w:ascii="Cambria" w:hAnsi="Cambria" w:eastAsia="宋体" w:cs="Times New Roman"/>
      <w:b/>
      <w:bCs/>
      <w:kern w:val="2"/>
      <w:sz w:val="28"/>
      <w:szCs w:val="28"/>
    </w:rPr>
  </w:style>
  <w:style w:type="character" w:customStyle="1" w:styleId="52">
    <w:name w:val="标题 5 Char"/>
    <w:basedOn w:val="40"/>
    <w:link w:val="7"/>
    <w:qFormat/>
    <w:uiPriority w:val="0"/>
    <w:rPr>
      <w:rFonts w:ascii="Times New Roman" w:hAnsi="Times New Roman" w:eastAsia="宋体" w:cs="Times New Roman"/>
      <w:b/>
      <w:bCs/>
      <w:kern w:val="2"/>
      <w:sz w:val="28"/>
      <w:szCs w:val="28"/>
    </w:rPr>
  </w:style>
  <w:style w:type="character" w:customStyle="1" w:styleId="53">
    <w:name w:val="标题 6 Char"/>
    <w:basedOn w:val="40"/>
    <w:link w:val="8"/>
    <w:qFormat/>
    <w:uiPriority w:val="0"/>
    <w:rPr>
      <w:rFonts w:ascii="Arial" w:hAnsi="Arial" w:eastAsia="黑体" w:cs="Times New Roman"/>
      <w:b/>
      <w:bCs/>
      <w:sz w:val="24"/>
      <w:szCs w:val="24"/>
    </w:rPr>
  </w:style>
  <w:style w:type="character" w:customStyle="1" w:styleId="54">
    <w:name w:val="标题 7 Char"/>
    <w:basedOn w:val="40"/>
    <w:link w:val="9"/>
    <w:qFormat/>
    <w:uiPriority w:val="0"/>
    <w:rPr>
      <w:rFonts w:ascii="Times New Roman" w:hAnsi="Times New Roman" w:eastAsia="宋体" w:cs="Times New Roman"/>
      <w:b/>
      <w:bCs/>
      <w:sz w:val="24"/>
      <w:szCs w:val="24"/>
    </w:rPr>
  </w:style>
  <w:style w:type="character" w:customStyle="1" w:styleId="55">
    <w:name w:val="标题 8 Char"/>
    <w:basedOn w:val="40"/>
    <w:link w:val="10"/>
    <w:qFormat/>
    <w:uiPriority w:val="0"/>
    <w:rPr>
      <w:rFonts w:ascii="Arial" w:hAnsi="Arial" w:eastAsia="黑体" w:cs="Times New Roman"/>
      <w:sz w:val="24"/>
      <w:szCs w:val="24"/>
    </w:rPr>
  </w:style>
  <w:style w:type="character" w:customStyle="1" w:styleId="56">
    <w:name w:val="标题 9 Char"/>
    <w:basedOn w:val="40"/>
    <w:link w:val="11"/>
    <w:qFormat/>
    <w:uiPriority w:val="0"/>
    <w:rPr>
      <w:rFonts w:ascii="Arial" w:hAnsi="Arial" w:eastAsia="黑体" w:cs="Times New Roman"/>
      <w:sz w:val="21"/>
      <w:szCs w:val="21"/>
    </w:rPr>
  </w:style>
  <w:style w:type="character" w:customStyle="1" w:styleId="57">
    <w:name w:val="标题 2 Char1"/>
    <w:link w:val="4"/>
    <w:qFormat/>
    <w:uiPriority w:val="0"/>
    <w:rPr>
      <w:rFonts w:ascii="Arial" w:hAnsi="Arial" w:eastAsia="黑体" w:cs="Times New Roman"/>
      <w:bCs/>
      <w:sz w:val="32"/>
      <w:szCs w:val="32"/>
    </w:rPr>
  </w:style>
  <w:style w:type="character" w:customStyle="1" w:styleId="58">
    <w:name w:val="样式 标题 3 + 五号 黑色 Char"/>
    <w:link w:val="59"/>
    <w:qFormat/>
    <w:uiPriority w:val="0"/>
    <w:rPr>
      <w:rFonts w:ascii="宋体" w:hAnsi="宋体"/>
      <w:bCs/>
      <w:color w:val="000000"/>
      <w:sz w:val="28"/>
      <w:szCs w:val="32"/>
    </w:rPr>
  </w:style>
  <w:style w:type="paragraph" w:customStyle="1" w:styleId="59">
    <w:name w:val="样式 标题 3 + 五号 黑色"/>
    <w:basedOn w:val="5"/>
    <w:link w:val="58"/>
    <w:qFormat/>
    <w:uiPriority w:val="0"/>
    <w:rPr>
      <w:rFonts w:hint="default" w:eastAsia="微软雅黑" w:cstheme="minorBidi"/>
      <w:color w:val="000000"/>
      <w:sz w:val="28"/>
    </w:rPr>
  </w:style>
  <w:style w:type="character" w:customStyle="1" w:styleId="60">
    <w:name w:val="标题 2 Char Char"/>
    <w:qFormat/>
    <w:uiPriority w:val="0"/>
    <w:rPr>
      <w:rFonts w:ascii="Arial" w:hAnsi="Arial" w:eastAsia="黑体"/>
      <w:bCs/>
      <w:sz w:val="32"/>
      <w:szCs w:val="32"/>
      <w:lang w:val="en-US" w:eastAsia="zh-CN" w:bidi="ar-SA"/>
    </w:rPr>
  </w:style>
  <w:style w:type="character" w:customStyle="1" w:styleId="61">
    <w:name w:val="纯文本 Char2"/>
    <w:link w:val="19"/>
    <w:qFormat/>
    <w:uiPriority w:val="0"/>
    <w:rPr>
      <w:rFonts w:ascii="宋体" w:hAnsi="Courier New" w:eastAsia="宋体"/>
      <w:kern w:val="2"/>
      <w:sz w:val="21"/>
    </w:rPr>
  </w:style>
  <w:style w:type="character" w:customStyle="1" w:styleId="62">
    <w:name w:val="样式 标题 2 Char"/>
    <w:basedOn w:val="57"/>
    <w:link w:val="63"/>
    <w:qFormat/>
    <w:uiPriority w:val="0"/>
    <w:rPr>
      <w:rFonts w:ascii="Arial" w:hAnsi="Arial" w:eastAsia="黑体" w:cs="Times New Roman"/>
      <w:sz w:val="32"/>
      <w:szCs w:val="32"/>
    </w:rPr>
  </w:style>
  <w:style w:type="paragraph" w:customStyle="1" w:styleId="63">
    <w:name w:val="样式 标题 2"/>
    <w:basedOn w:val="4"/>
    <w:link w:val="62"/>
    <w:qFormat/>
    <w:uiPriority w:val="0"/>
  </w:style>
  <w:style w:type="character" w:customStyle="1" w:styleId="64">
    <w:name w:val="正文文本 2 Char"/>
    <w:basedOn w:val="40"/>
    <w:link w:val="33"/>
    <w:qFormat/>
    <w:uiPriority w:val="0"/>
    <w:rPr>
      <w:rFonts w:ascii="Times New Roman" w:hAnsi="Times New Roman" w:eastAsia="宋体" w:cs="Times New Roman"/>
      <w:kern w:val="2"/>
      <w:sz w:val="21"/>
      <w:szCs w:val="24"/>
    </w:rPr>
  </w:style>
  <w:style w:type="character" w:customStyle="1" w:styleId="65">
    <w:name w:val="批注文字 Char"/>
    <w:basedOn w:val="40"/>
    <w:link w:val="15"/>
    <w:qFormat/>
    <w:uiPriority w:val="0"/>
    <w:rPr>
      <w:rFonts w:ascii="Times New Roman" w:hAnsi="Times New Roman" w:eastAsia="宋体" w:cs="Times New Roman"/>
      <w:kern w:val="2"/>
      <w:sz w:val="21"/>
      <w:szCs w:val="24"/>
    </w:rPr>
  </w:style>
  <w:style w:type="character" w:customStyle="1" w:styleId="66">
    <w:name w:val="正文文本缩进 Char"/>
    <w:basedOn w:val="40"/>
    <w:link w:val="16"/>
    <w:qFormat/>
    <w:uiPriority w:val="0"/>
    <w:rPr>
      <w:rFonts w:ascii="宋体" w:hAnsi="宋体" w:eastAsia="宋体" w:cs="Courier New"/>
      <w:spacing w:val="2"/>
      <w:kern w:val="2"/>
      <w:sz w:val="21"/>
      <w:szCs w:val="24"/>
    </w:rPr>
  </w:style>
  <w:style w:type="paragraph" w:customStyle="1" w:styleId="67">
    <w:name w:val="样式 样式16 + 首行缩进:  2 字符"/>
    <w:basedOn w:val="1"/>
    <w:qFormat/>
    <w:uiPriority w:val="0"/>
    <w:pPr>
      <w:widowControl w:val="0"/>
      <w:adjustRightInd/>
      <w:snapToGrid/>
      <w:spacing w:after="0" w:line="400" w:lineRule="exact"/>
      <w:ind w:firstLine="200" w:firstLineChars="200"/>
      <w:jc w:val="both"/>
    </w:pPr>
    <w:rPr>
      <w:rFonts w:ascii="汉仪中宋简" w:hAnsi="宋体" w:eastAsia="汉仪字典宋简" w:cs="Times New Roman"/>
      <w:b/>
      <w:bCs/>
      <w:spacing w:val="2"/>
      <w:kern w:val="2"/>
      <w:sz w:val="24"/>
      <w:szCs w:val="20"/>
    </w:rPr>
  </w:style>
  <w:style w:type="paragraph" w:customStyle="1" w:styleId="68">
    <w:name w:val="图"/>
    <w:basedOn w:val="1"/>
    <w:qFormat/>
    <w:uiPriority w:val="0"/>
    <w:pPr>
      <w:keepNext/>
      <w:widowControl w:val="0"/>
      <w:spacing w:before="60" w:after="60" w:line="300" w:lineRule="auto"/>
      <w:jc w:val="center"/>
    </w:pPr>
    <w:rPr>
      <w:rFonts w:ascii="Times New Roman" w:hAnsi="Times New Roman" w:eastAsia="宋体" w:cs="Times New Roman"/>
      <w:spacing w:val="20"/>
      <w:sz w:val="24"/>
      <w:szCs w:val="20"/>
    </w:rPr>
  </w:style>
  <w:style w:type="paragraph" w:customStyle="1" w:styleId="69">
    <w:name w:val="_Style 32"/>
    <w:basedOn w:val="1"/>
    <w:qFormat/>
    <w:uiPriority w:val="0"/>
    <w:pPr>
      <w:widowControl w:val="0"/>
      <w:adjustRightInd/>
      <w:snapToGrid/>
      <w:spacing w:after="0"/>
      <w:jc w:val="both"/>
    </w:pPr>
    <w:rPr>
      <w:rFonts w:ascii="Times New Roman" w:hAnsi="Times New Roman" w:eastAsia="宋体" w:cs="Times New Roman"/>
      <w:sz w:val="24"/>
      <w:szCs w:val="20"/>
    </w:rPr>
  </w:style>
  <w:style w:type="character" w:customStyle="1" w:styleId="70">
    <w:name w:val="正文文本缩进 2 Char"/>
    <w:basedOn w:val="40"/>
    <w:link w:val="22"/>
    <w:qFormat/>
    <w:uiPriority w:val="0"/>
    <w:rPr>
      <w:rFonts w:ascii="Times New Roman" w:hAnsi="Times New Roman" w:eastAsia="宋体" w:cs="Times New Roman"/>
      <w:kern w:val="2"/>
      <w:sz w:val="21"/>
      <w:szCs w:val="24"/>
    </w:rPr>
  </w:style>
  <w:style w:type="character" w:customStyle="1" w:styleId="71">
    <w:name w:val="批注框文本 Char"/>
    <w:basedOn w:val="40"/>
    <w:link w:val="23"/>
    <w:qFormat/>
    <w:uiPriority w:val="0"/>
    <w:rPr>
      <w:rFonts w:ascii="Times New Roman" w:hAnsi="Times New Roman" w:eastAsia="宋体" w:cs="Times New Roman"/>
      <w:kern w:val="2"/>
      <w:sz w:val="18"/>
      <w:szCs w:val="18"/>
    </w:rPr>
  </w:style>
  <w:style w:type="character" w:customStyle="1" w:styleId="72">
    <w:name w:val="批注主题 Char"/>
    <w:basedOn w:val="65"/>
    <w:link w:val="35"/>
    <w:semiHidden/>
    <w:qFormat/>
    <w:uiPriority w:val="0"/>
    <w:rPr>
      <w:rFonts w:ascii="Times New Roman" w:hAnsi="Times New Roman" w:eastAsia="宋体" w:cs="Times New Roman"/>
      <w:b/>
      <w:bCs/>
      <w:kern w:val="2"/>
      <w:sz w:val="21"/>
      <w:szCs w:val="24"/>
    </w:rPr>
  </w:style>
  <w:style w:type="character" w:customStyle="1" w:styleId="73">
    <w:name w:val="正文文本缩进 3 Char"/>
    <w:basedOn w:val="40"/>
    <w:link w:val="30"/>
    <w:qFormat/>
    <w:uiPriority w:val="0"/>
    <w:rPr>
      <w:rFonts w:ascii="宋体" w:hAnsi="Courier New" w:eastAsia="宋体" w:cs="Courier New"/>
      <w:kern w:val="2"/>
      <w:sz w:val="21"/>
      <w:szCs w:val="24"/>
    </w:rPr>
  </w:style>
  <w:style w:type="character" w:customStyle="1" w:styleId="74">
    <w:name w:val="正文文本 Char"/>
    <w:basedOn w:val="40"/>
    <w:link w:val="2"/>
    <w:qFormat/>
    <w:uiPriority w:val="0"/>
    <w:rPr>
      <w:rFonts w:ascii="Times New Roman" w:hAnsi="Times New Roman" w:eastAsia="宋体" w:cs="Times New Roman"/>
      <w:kern w:val="2"/>
      <w:sz w:val="52"/>
      <w:szCs w:val="24"/>
    </w:rPr>
  </w:style>
  <w:style w:type="character" w:customStyle="1" w:styleId="75">
    <w:name w:val="文档结构图 Char"/>
    <w:basedOn w:val="40"/>
    <w:link w:val="14"/>
    <w:semiHidden/>
    <w:qFormat/>
    <w:uiPriority w:val="0"/>
    <w:rPr>
      <w:rFonts w:ascii="Times New Roman" w:hAnsi="Times New Roman" w:eastAsia="宋体" w:cs="Times New Roman"/>
      <w:kern w:val="2"/>
      <w:sz w:val="21"/>
      <w:szCs w:val="24"/>
      <w:shd w:val="clear" w:color="auto" w:fill="000080"/>
    </w:rPr>
  </w:style>
  <w:style w:type="character" w:customStyle="1" w:styleId="76">
    <w:name w:val="日期 Char"/>
    <w:basedOn w:val="40"/>
    <w:link w:val="21"/>
    <w:qFormat/>
    <w:uiPriority w:val="0"/>
    <w:rPr>
      <w:rFonts w:ascii="Times New Roman" w:hAnsi="Times New Roman" w:eastAsia="宋体" w:cs="Times New Roman"/>
      <w:kern w:val="2"/>
      <w:sz w:val="21"/>
      <w:szCs w:val="24"/>
    </w:rPr>
  </w:style>
  <w:style w:type="character" w:customStyle="1" w:styleId="77">
    <w:name w:val="纯文本 Char"/>
    <w:basedOn w:val="40"/>
    <w:qFormat/>
    <w:uiPriority w:val="0"/>
    <w:rPr>
      <w:rFonts w:ascii="宋体" w:hAnsi="Courier New" w:eastAsia="宋体" w:cs="Courier New"/>
      <w:sz w:val="21"/>
      <w:szCs w:val="21"/>
    </w:rPr>
  </w:style>
  <w:style w:type="paragraph" w:customStyle="1" w:styleId="78">
    <w:name w:val="Char"/>
    <w:basedOn w:val="1"/>
    <w:qFormat/>
    <w:uiPriority w:val="0"/>
    <w:pPr>
      <w:adjustRightInd/>
      <w:snapToGrid/>
      <w:spacing w:after="0" w:line="500" w:lineRule="exact"/>
      <w:jc w:val="both"/>
      <w:outlineLvl w:val="2"/>
    </w:pPr>
    <w:rPr>
      <w:rFonts w:ascii="黑体" w:hAnsi="Verdana" w:eastAsia="黑体" w:cs="黑体"/>
      <w:sz w:val="28"/>
      <w:szCs w:val="28"/>
      <w:lang w:eastAsia="en-US"/>
    </w:rPr>
  </w:style>
  <w:style w:type="paragraph" w:customStyle="1" w:styleId="79">
    <w:name w:val="Char Char Char Char Char Char2 Char"/>
    <w:basedOn w:val="1"/>
    <w:qFormat/>
    <w:uiPriority w:val="0"/>
    <w:pPr>
      <w:widowControl w:val="0"/>
      <w:adjustRightInd/>
      <w:snapToGrid/>
      <w:spacing w:after="0" w:line="360" w:lineRule="auto"/>
      <w:ind w:firstLine="200" w:firstLineChars="200"/>
      <w:jc w:val="both"/>
    </w:pPr>
    <w:rPr>
      <w:rFonts w:ascii="宋体" w:hAnsi="宋体" w:eastAsia="宋体" w:cs="宋体"/>
      <w:kern w:val="2"/>
      <w:sz w:val="24"/>
      <w:szCs w:val="24"/>
    </w:rPr>
  </w:style>
  <w:style w:type="paragraph" w:customStyle="1" w:styleId="80">
    <w:name w:val="Char Char Char Char Char Char Char Char Char Char Char Char Char Char Char Char"/>
    <w:basedOn w:val="1"/>
    <w:qFormat/>
    <w:uiPriority w:val="0"/>
    <w:pPr>
      <w:widowControl w:val="0"/>
      <w:tabs>
        <w:tab w:val="left" w:pos="360"/>
      </w:tabs>
      <w:adjustRightInd/>
      <w:snapToGrid/>
      <w:spacing w:after="0"/>
      <w:jc w:val="both"/>
    </w:pPr>
    <w:rPr>
      <w:rFonts w:ascii="Times New Roman" w:hAnsi="Times New Roman" w:eastAsia="宋体" w:cs="Times New Roman"/>
      <w:kern w:val="2"/>
      <w:sz w:val="24"/>
      <w:szCs w:val="24"/>
    </w:rPr>
  </w:style>
  <w:style w:type="paragraph" w:customStyle="1" w:styleId="81">
    <w:name w:val="样式17"/>
    <w:basedOn w:val="1"/>
    <w:qFormat/>
    <w:uiPriority w:val="0"/>
    <w:pPr>
      <w:widowControl w:val="0"/>
      <w:adjustRightInd/>
      <w:snapToGrid/>
      <w:spacing w:after="0" w:line="500" w:lineRule="exact"/>
      <w:ind w:firstLine="200" w:firstLineChars="200"/>
      <w:jc w:val="both"/>
    </w:pPr>
    <w:rPr>
      <w:rFonts w:ascii="汉仪中宋简" w:hAnsi="宋体" w:eastAsia="汉仪字典宋简" w:cs="Times New Roman"/>
      <w:b/>
      <w:spacing w:val="2"/>
      <w:kern w:val="2"/>
      <w:sz w:val="24"/>
      <w:szCs w:val="20"/>
    </w:rPr>
  </w:style>
  <w:style w:type="paragraph" w:customStyle="1" w:styleId="82">
    <w:name w:val="1"/>
    <w:basedOn w:val="1"/>
    <w:next w:val="19"/>
    <w:qFormat/>
    <w:uiPriority w:val="0"/>
    <w:pPr>
      <w:widowControl w:val="0"/>
      <w:adjustRightInd/>
      <w:snapToGrid/>
      <w:spacing w:after="0"/>
      <w:jc w:val="both"/>
    </w:pPr>
    <w:rPr>
      <w:rFonts w:ascii="宋体" w:hAnsi="Courier New" w:eastAsia="宋体" w:cs="Times New Roman"/>
      <w:kern w:val="2"/>
      <w:sz w:val="21"/>
      <w:szCs w:val="20"/>
    </w:rPr>
  </w:style>
  <w:style w:type="paragraph" w:customStyle="1" w:styleId="83">
    <w:name w:val="Char1 Char Char Char"/>
    <w:basedOn w:val="1"/>
    <w:qFormat/>
    <w:uiPriority w:val="0"/>
    <w:pPr>
      <w:widowControl w:val="0"/>
      <w:adjustRightInd/>
      <w:snapToGrid/>
      <w:spacing w:after="0"/>
      <w:ind w:left="420" w:hanging="420"/>
      <w:jc w:val="both"/>
    </w:pPr>
    <w:rPr>
      <w:rFonts w:ascii="Times New Roman" w:hAnsi="Times New Roman" w:eastAsia="宋体" w:cs="Times New Roman"/>
      <w:kern w:val="2"/>
      <w:sz w:val="24"/>
      <w:szCs w:val="24"/>
    </w:rPr>
  </w:style>
  <w:style w:type="paragraph" w:customStyle="1" w:styleId="84">
    <w:name w:val="样式5"/>
    <w:basedOn w:val="1"/>
    <w:qFormat/>
    <w:uiPriority w:val="0"/>
    <w:pPr>
      <w:widowControl w:val="0"/>
      <w:adjustRightInd/>
      <w:snapToGrid/>
      <w:spacing w:after="0" w:line="440" w:lineRule="exact"/>
      <w:jc w:val="both"/>
    </w:pPr>
    <w:rPr>
      <w:rFonts w:ascii="汉仪中宋简" w:hAnsi="宋体" w:eastAsia="黑体" w:cs="Times New Roman"/>
      <w:kern w:val="2"/>
      <w:sz w:val="28"/>
      <w:szCs w:val="21"/>
    </w:rPr>
  </w:style>
  <w:style w:type="paragraph" w:customStyle="1" w:styleId="85">
    <w:name w:val="样式 样式 样式 样式 汉仪中宋简 (符号) 宋体 首行缩进:  2 字符 + 首行缩进:  2 字符 + 首行缩进:  2 字..."/>
    <w:basedOn w:val="1"/>
    <w:qFormat/>
    <w:uiPriority w:val="0"/>
    <w:pPr>
      <w:widowControl w:val="0"/>
      <w:adjustRightInd/>
      <w:snapToGrid/>
      <w:spacing w:after="0" w:line="440" w:lineRule="exact"/>
      <w:ind w:firstLine="488" w:firstLineChars="200"/>
      <w:jc w:val="both"/>
    </w:pPr>
    <w:rPr>
      <w:rFonts w:ascii="汉仪中宋简" w:hAnsi="宋体" w:eastAsia="汉仪字典宋简" w:cs="Times New Roman"/>
      <w:b/>
      <w:spacing w:val="2"/>
      <w:kern w:val="2"/>
      <w:sz w:val="24"/>
      <w:szCs w:val="20"/>
    </w:rPr>
  </w:style>
  <w:style w:type="paragraph" w:customStyle="1" w:styleId="86">
    <w:name w:val="Char Char Char Char"/>
    <w:basedOn w:val="14"/>
    <w:qFormat/>
    <w:uiPriority w:val="0"/>
    <w:rPr>
      <w:rFonts w:ascii="宋体" w:hAnsi="Courier New"/>
      <w:szCs w:val="20"/>
    </w:rPr>
  </w:style>
  <w:style w:type="paragraph" w:customStyle="1" w:styleId="87">
    <w:name w:val="样式3"/>
    <w:basedOn w:val="19"/>
    <w:qFormat/>
    <w:uiPriority w:val="0"/>
    <w:pPr>
      <w:adjustRightInd w:val="0"/>
      <w:spacing w:line="0" w:lineRule="atLeast"/>
      <w:textAlignment w:val="baseline"/>
      <w:outlineLvl w:val="0"/>
    </w:pPr>
    <w:rPr>
      <w:sz w:val="28"/>
    </w:rPr>
  </w:style>
  <w:style w:type="paragraph" w:customStyle="1" w:styleId="88">
    <w:name w:val="Char Char1 Char Char Char"/>
    <w:basedOn w:val="1"/>
    <w:qFormat/>
    <w:uiPriority w:val="0"/>
    <w:pPr>
      <w:widowControl w:val="0"/>
      <w:adjustRightInd/>
      <w:snapToGrid/>
      <w:spacing w:after="0"/>
      <w:jc w:val="both"/>
    </w:pPr>
    <w:rPr>
      <w:rFonts w:ascii="Times New Roman" w:hAnsi="Times New Roman" w:eastAsia="宋体" w:cs="Times New Roman"/>
      <w:sz w:val="20"/>
      <w:szCs w:val="20"/>
    </w:rPr>
  </w:style>
  <w:style w:type="paragraph" w:customStyle="1" w:styleId="89">
    <w:name w:val="Char1"/>
    <w:basedOn w:val="1"/>
    <w:qFormat/>
    <w:uiPriority w:val="0"/>
    <w:pPr>
      <w:adjustRightInd/>
      <w:snapToGrid/>
      <w:spacing w:after="160" w:line="240" w:lineRule="exact"/>
    </w:pPr>
    <w:rPr>
      <w:rFonts w:ascii="Verdana" w:hAnsi="Verdana" w:eastAsia="宋体" w:cs="Times New Roman"/>
      <w:sz w:val="21"/>
      <w:szCs w:val="20"/>
      <w:lang w:eastAsia="en-US"/>
    </w:rPr>
  </w:style>
  <w:style w:type="paragraph" w:customStyle="1" w:styleId="90">
    <w:name w:val="Char Char2 Char Char Char Char Char Char Char Char Char Char Char Char"/>
    <w:basedOn w:val="1"/>
    <w:qFormat/>
    <w:uiPriority w:val="0"/>
    <w:pPr>
      <w:widowControl w:val="0"/>
      <w:adjustRightInd/>
      <w:snapToGrid/>
      <w:spacing w:after="0"/>
      <w:jc w:val="both"/>
    </w:pPr>
    <w:rPr>
      <w:rFonts w:eastAsia="宋体" w:cs="Times New Roman"/>
      <w:kern w:val="2"/>
      <w:sz w:val="24"/>
      <w:szCs w:val="20"/>
    </w:rPr>
  </w:style>
  <w:style w:type="paragraph" w:customStyle="1" w:styleId="91">
    <w:name w:val="Char Char Char2 Char"/>
    <w:basedOn w:val="1"/>
    <w:qFormat/>
    <w:uiPriority w:val="0"/>
    <w:pPr>
      <w:widowControl w:val="0"/>
      <w:tabs>
        <w:tab w:val="left" w:pos="815"/>
      </w:tabs>
      <w:adjustRightInd/>
      <w:snapToGrid/>
      <w:spacing w:after="0"/>
      <w:ind w:left="815" w:hanging="360"/>
      <w:jc w:val="both"/>
    </w:pPr>
    <w:rPr>
      <w:rFonts w:ascii="Times New Roman" w:hAnsi="Times New Roman" w:eastAsia="宋体" w:cs="Times New Roman"/>
      <w:kern w:val="2"/>
      <w:sz w:val="21"/>
      <w:szCs w:val="24"/>
    </w:rPr>
  </w:style>
  <w:style w:type="paragraph" w:customStyle="1" w:styleId="92">
    <w:name w:val="默认段落字体 Para Char Char Char Char Char Char Char Char Char1 Char"/>
    <w:basedOn w:val="14"/>
    <w:qFormat/>
    <w:uiPriority w:val="0"/>
    <w:pPr>
      <w:adjustRightInd w:val="0"/>
      <w:spacing w:line="436" w:lineRule="exact"/>
      <w:ind w:left="357"/>
      <w:jc w:val="left"/>
      <w:outlineLvl w:val="3"/>
    </w:pPr>
    <w:rPr>
      <w:shd w:val="clear" w:color="auto" w:fill="000080"/>
    </w:rPr>
  </w:style>
  <w:style w:type="character" w:customStyle="1" w:styleId="93">
    <w:name w:val="Char Char2"/>
    <w:qFormat/>
    <w:uiPriority w:val="0"/>
    <w:rPr>
      <w:rFonts w:ascii="宋体" w:hAnsi="Courier New" w:eastAsia="宋体" w:cs="Courier New"/>
      <w:szCs w:val="21"/>
    </w:rPr>
  </w:style>
  <w:style w:type="character" w:customStyle="1" w:styleId="94">
    <w:name w:val="普通文字 Char Char2"/>
    <w:qFormat/>
    <w:uiPriority w:val="0"/>
    <w:rPr>
      <w:rFonts w:ascii="宋体" w:hAnsi="宋体"/>
      <w:kern w:val="1"/>
      <w:sz w:val="21"/>
      <w:lang w:eastAsia="ar-SA"/>
    </w:rPr>
  </w:style>
  <w:style w:type="paragraph" w:styleId="95">
    <w:name w:val="List Paragraph"/>
    <w:basedOn w:val="1"/>
    <w:qFormat/>
    <w:uiPriority w:val="34"/>
    <w:pPr>
      <w:ind w:firstLine="420" w:firstLineChars="200"/>
    </w:pPr>
  </w:style>
  <w:style w:type="paragraph" w:customStyle="1" w:styleId="96">
    <w:name w:val="reader-word-layer"/>
    <w:basedOn w:val="1"/>
    <w:qFormat/>
    <w:uiPriority w:val="0"/>
    <w:pPr>
      <w:adjustRightInd/>
      <w:snapToGrid/>
      <w:spacing w:before="100" w:beforeAutospacing="1" w:after="100" w:afterAutospacing="1"/>
    </w:pPr>
    <w:rPr>
      <w:rFonts w:ascii="宋体" w:hAnsi="宋体" w:eastAsia="宋体" w:cs="宋体"/>
      <w:sz w:val="24"/>
      <w:szCs w:val="24"/>
    </w:rPr>
  </w:style>
  <w:style w:type="character" w:customStyle="1" w:styleId="97">
    <w:name w:val="纯文本 Char1"/>
    <w:qFormat/>
    <w:uiPriority w:val="0"/>
    <w:rPr>
      <w:rFonts w:ascii="宋体" w:hAnsi="Courier New" w:eastAsia="宋体" w:cs="Courier New"/>
      <w:szCs w:val="21"/>
    </w:rPr>
  </w:style>
  <w:style w:type="character" w:customStyle="1" w:styleId="98">
    <w:name w:val="正文缩进 Char"/>
    <w:link w:val="13"/>
    <w:qFormat/>
    <w:uiPriority w:val="0"/>
    <w:rPr>
      <w:rFonts w:ascii="Times New Roman" w:hAnsi="Times New Roman" w:eastAsia="宋体" w:cs="Times New Roman"/>
      <w:kern w:val="2"/>
      <w:sz w:val="21"/>
      <w:szCs w:val="20"/>
    </w:rPr>
  </w:style>
  <w:style w:type="character" w:customStyle="1" w:styleId="99">
    <w:name w:val="Char Char10"/>
    <w:qFormat/>
    <w:uiPriority w:val="0"/>
    <w:rPr>
      <w:rFonts w:ascii="宋体" w:hAnsi="Courier New" w:eastAsia="宋体" w:cs="Courier New"/>
      <w:kern w:val="2"/>
      <w:sz w:val="21"/>
      <w:szCs w:val="21"/>
      <w:lang w:val="en-US" w:eastAsia="zh-CN" w:bidi="ar-SA"/>
    </w:rPr>
  </w:style>
  <w:style w:type="character" w:customStyle="1" w:styleId="100">
    <w:name w:val="日期 Char1"/>
    <w:qFormat/>
    <w:uiPriority w:val="0"/>
    <w:rPr>
      <w:kern w:val="2"/>
      <w:sz w:val="21"/>
      <w:szCs w:val="24"/>
    </w:rPr>
  </w:style>
  <w:style w:type="paragraph" w:customStyle="1" w:styleId="101">
    <w:name w:val="列出段落2"/>
    <w:basedOn w:val="1"/>
    <w:qFormat/>
    <w:uiPriority w:val="99"/>
    <w:pPr>
      <w:widowControl w:val="0"/>
      <w:adjustRightInd/>
      <w:snapToGrid/>
      <w:spacing w:after="0"/>
      <w:ind w:firstLine="420" w:firstLineChars="200"/>
      <w:jc w:val="both"/>
    </w:pPr>
    <w:rPr>
      <w:rFonts w:ascii="Times New Roman" w:hAnsi="Times New Roman" w:eastAsia="宋体" w:cs="Times New Roman"/>
      <w:kern w:val="2"/>
      <w:sz w:val="21"/>
      <w:szCs w:val="24"/>
    </w:rPr>
  </w:style>
  <w:style w:type="paragraph" w:customStyle="1" w:styleId="10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03">
    <w:name w:val="Unresolved Mention"/>
    <w:basedOn w:val="40"/>
    <w:semiHidden/>
    <w:unhideWhenUsed/>
    <w:qFormat/>
    <w:uiPriority w:val="99"/>
    <w:rPr>
      <w:color w:val="605E5C"/>
      <w:shd w:val="clear" w:color="auto" w:fill="E1DFDD"/>
    </w:rPr>
  </w:style>
  <w:style w:type="character" w:customStyle="1" w:styleId="104">
    <w:name w:val="font11"/>
    <w:basedOn w:val="40"/>
    <w:qFormat/>
    <w:uiPriority w:val="0"/>
    <w:rPr>
      <w:rFonts w:hint="eastAsia" w:ascii="宋体" w:hAnsi="宋体" w:eastAsia="宋体" w:cs="宋体"/>
      <w:color w:val="000000"/>
      <w:sz w:val="24"/>
      <w:szCs w:val="24"/>
      <w:u w:val="none"/>
    </w:rPr>
  </w:style>
  <w:style w:type="character" w:customStyle="1" w:styleId="105">
    <w:name w:val="font51"/>
    <w:basedOn w:val="40"/>
    <w:qFormat/>
    <w:uiPriority w:val="0"/>
    <w:rPr>
      <w:rFonts w:hint="eastAsia" w:ascii="宋体" w:hAnsi="宋体" w:eastAsia="宋体" w:cs="宋体"/>
      <w:color w:val="000000"/>
      <w:sz w:val="22"/>
      <w:szCs w:val="22"/>
      <w:u w:val="none"/>
    </w:rPr>
  </w:style>
  <w:style w:type="character" w:customStyle="1" w:styleId="106">
    <w:name w:val="font01"/>
    <w:basedOn w:val="4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jpe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9D7144-23DB-4541-83C3-C005EDB7E9BB}">
  <ds:schemaRefs/>
</ds:datastoreItem>
</file>

<file path=docProps/app.xml><?xml version="1.0" encoding="utf-8"?>
<Properties xmlns="http://schemas.openxmlformats.org/officeDocument/2006/extended-properties" xmlns:vt="http://schemas.openxmlformats.org/officeDocument/2006/docPropsVTypes">
  <Template>Normal</Template>
  <Pages>64</Pages>
  <Words>6520</Words>
  <Characters>37170</Characters>
  <Lines>309</Lines>
  <Paragraphs>87</Paragraphs>
  <TotalTime>2</TotalTime>
  <ScaleCrop>false</ScaleCrop>
  <LinksUpToDate>false</LinksUpToDate>
  <CharactersWithSpaces>43603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2020-04-17T05:48:00Z</dcterms:created>
  <dc:creator>Administrator</dc:creator>
  <cp:lastModifiedBy>Strulle</cp:lastModifiedBy>
  <cp:lastPrinted>2020-09-14T02:44:00Z</cp:lastPrinted>
  <dcterms:modified xsi:type="dcterms:W3CDTF">2020-12-07T08:21:01Z</dcterms:modified>
  <cp:revision>143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