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44"/>
          <w:szCs w:val="44"/>
          <w:highlight w:val="none"/>
        </w:rPr>
      </w:pPr>
    </w:p>
    <w:p>
      <w:pPr>
        <w:jc w:val="center"/>
        <w:rPr>
          <w:rFonts w:ascii="宋体" w:hAnsi="宋体" w:eastAsia="宋体"/>
          <w:b/>
          <w:color w:val="auto"/>
          <w:sz w:val="56"/>
          <w:highlight w:val="none"/>
        </w:rPr>
      </w:pPr>
      <w:r>
        <w:rPr>
          <w:rFonts w:hint="eastAsia" w:ascii="宋体" w:hAnsi="宋体" w:eastAsia="宋体"/>
          <w:b/>
          <w:color w:val="auto"/>
          <w:sz w:val="56"/>
          <w:highlight w:val="none"/>
        </w:rPr>
        <w:t>广西睿翼工程咨询有限公司</w:t>
      </w:r>
    </w:p>
    <w:p>
      <w:pPr>
        <w:pStyle w:val="16"/>
        <w:rPr>
          <w:rFonts w:ascii="宋体" w:hAnsi="宋体"/>
          <w:b/>
          <w:bCs/>
          <w:color w:val="auto"/>
          <w:sz w:val="10"/>
          <w:highlight w:val="none"/>
        </w:rPr>
      </w:pPr>
    </w:p>
    <w:p>
      <w:pPr>
        <w:pStyle w:val="16"/>
        <w:rPr>
          <w:rFonts w:ascii="宋体" w:hAnsi="宋体"/>
          <w:color w:val="auto"/>
          <w:sz w:val="72"/>
          <w:highlight w:val="none"/>
        </w:rPr>
      </w:pPr>
      <w:bookmarkStart w:id="168" w:name="_GoBack"/>
      <w:bookmarkEnd w:id="168"/>
      <w:r>
        <w:rPr>
          <w:rFonts w:ascii="宋体" w:hAnsi="宋体"/>
          <w:color w:val="auto"/>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165100</wp:posOffset>
                </wp:positionH>
                <wp:positionV relativeFrom="paragraph">
                  <wp:posOffset>154940</wp:posOffset>
                </wp:positionV>
                <wp:extent cx="5652135" cy="0"/>
                <wp:effectExtent l="0" t="13970" r="5715" b="24130"/>
                <wp:wrapNone/>
                <wp:docPr id="4" name="直线 4"/>
                <wp:cNvGraphicFramePr/>
                <a:graphic xmlns:a="http://schemas.openxmlformats.org/drawingml/2006/main">
                  <a:graphicData uri="http://schemas.microsoft.com/office/word/2010/wordprocessingShape">
                    <wps:wsp>
                      <wps:cNvCnPr>
                        <a:cxnSpLocks noChangeShapeType="1"/>
                      </wps:cNvCnPr>
                      <wps:spPr bwMode="auto">
                        <a:xfrm flipV="1">
                          <a:off x="0" y="0"/>
                          <a:ext cx="5652135" cy="0"/>
                        </a:xfrm>
                        <a:prstGeom prst="line">
                          <a:avLst/>
                        </a:prstGeom>
                        <a:noFill/>
                        <a:ln w="28575">
                          <a:solidFill>
                            <a:srgbClr val="000000"/>
                          </a:solidFill>
                          <a:round/>
                        </a:ln>
                        <a:effectLst/>
                      </wps:spPr>
                      <wps:bodyPr/>
                    </wps:wsp>
                  </a:graphicData>
                </a:graphic>
              </wp:anchor>
            </w:drawing>
          </mc:Choice>
          <mc:Fallback>
            <w:pict>
              <v:line id="直线 4" o:spid="_x0000_s1026" o:spt="20" style="position:absolute;left:0pt;flip:y;margin-left:13pt;margin-top:12.2pt;height:0pt;width:445.05pt;z-index:251660288;mso-width-relative:page;mso-height-relative:page;" filled="f" stroked="t" coordsize="21600,21600" o:gfxdata="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zqCMv1gAAAAgB&#10;AAAPAAAAAAAAAAEAIAAAACIAAABkcnMvZG93bnJldi54bWxQSwECFAAUAAAACACHTuJATYjMmOQB&#10;AAC6AwAADgAAAAAAAAABACAAAAAlAQAAZHJzL2Uyb0RvYy54bWxQSwUGAAAAAAYABgBZAQAAewUA&#10;AAAA&#10;">
                <v:fill on="f" focussize="0,0"/>
                <v:stroke weight="2.25pt" color="#000000" joinstyle="round"/>
                <v:imagedata o:title=""/>
                <o:lock v:ext="edit" aspectratio="f"/>
              </v:line>
            </w:pict>
          </mc:Fallback>
        </mc:AlternateContent>
      </w:r>
    </w:p>
    <w:p>
      <w:pPr>
        <w:pStyle w:val="16"/>
        <w:rPr>
          <w:rFonts w:ascii="宋体" w:hAnsi="宋体"/>
          <w:color w:val="auto"/>
          <w:sz w:val="72"/>
          <w:highlight w:val="none"/>
        </w:rPr>
      </w:pPr>
    </w:p>
    <w:p>
      <w:pPr>
        <w:pStyle w:val="16"/>
        <w:rPr>
          <w:rFonts w:ascii="宋体" w:hAnsi="宋体"/>
          <w:color w:val="auto"/>
          <w:sz w:val="11"/>
          <w:szCs w:val="11"/>
          <w:highlight w:val="none"/>
        </w:rPr>
      </w:pPr>
    </w:p>
    <w:p>
      <w:pPr>
        <w:pStyle w:val="16"/>
        <w:rPr>
          <w:rFonts w:ascii="宋体" w:hAnsi="宋体"/>
          <w:b/>
          <w:bCs/>
          <w:color w:val="auto"/>
          <w:sz w:val="96"/>
          <w:szCs w:val="96"/>
          <w:highlight w:val="none"/>
        </w:rPr>
      </w:pPr>
      <w:r>
        <w:rPr>
          <w:rFonts w:hint="eastAsia" w:ascii="宋体" w:hAnsi="宋体"/>
          <w:b/>
          <w:bCs/>
          <w:color w:val="auto"/>
          <w:sz w:val="96"/>
          <w:szCs w:val="96"/>
          <w:highlight w:val="none"/>
        </w:rPr>
        <w:t>竞争性谈判文件</w:t>
      </w: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p>
    <w:p>
      <w:pPr>
        <w:pStyle w:val="16"/>
        <w:rPr>
          <w:rFonts w:ascii="宋体" w:hAnsi="宋体"/>
          <w:color w:val="auto"/>
          <w:sz w:val="21"/>
          <w:szCs w:val="21"/>
          <w:highlight w:val="none"/>
        </w:rPr>
      </w:pPr>
      <w:r>
        <w:rPr>
          <w:rFonts w:ascii="宋体" w:hAnsi="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177800</wp:posOffset>
                </wp:positionV>
                <wp:extent cx="5652135" cy="0"/>
                <wp:effectExtent l="0" t="13970" r="5715" b="2413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28575">
                          <a:solidFill>
                            <a:srgbClr val="000000"/>
                          </a:solidFill>
                          <a:round/>
                        </a:ln>
                        <a:effectLst/>
                      </wps:spPr>
                      <wps:bodyPr/>
                    </wps:wsp>
                  </a:graphicData>
                </a:graphic>
              </wp:anchor>
            </w:drawing>
          </mc:Choice>
          <mc:Fallback>
            <w:pict>
              <v:line id="直线 3" o:spid="_x0000_s1026" o:spt="20" style="position:absolute;left:0pt;margin-left:13pt;margin-top:14pt;height:0pt;width:445.05pt;z-index:251659264;mso-width-relative:page;mso-height-relative:page;" filled="f" stroked="t" coordsize="21600,21600" o:gfxdata="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Umr9W1QAAAAgBAAAPAAAAAAAA&#10;AAEAIAAAACIAAABkcnMvZG93bnJldi54bWxQSwECFAAUAAAACACHTuJAvgVZE9wBAACwAwAADgAA&#10;AAAAAAABACAAAAAkAQAAZHJzL2Uyb0RvYy54bWxQSwUGAAAAAAYABgBZAQAAcgUAAAAA&#10;">
                <v:fill on="f" focussize="0,0"/>
                <v:stroke weight="2.25pt" color="#000000" joinstyle="round"/>
                <v:imagedata o:title=""/>
                <o:lock v:ext="edit" aspectratio="f"/>
              </v:line>
            </w:pict>
          </mc:Fallback>
        </mc:AlternateContent>
      </w:r>
    </w:p>
    <w:p>
      <w:pPr>
        <w:spacing w:after="0" w:line="600" w:lineRule="exact"/>
        <w:ind w:left="2269" w:leftChars="304" w:hanging="1600" w:hangingChars="500"/>
        <w:rPr>
          <w:rFonts w:hint="eastAsia" w:ascii="宋体" w:hAnsi="宋体" w:eastAsia="宋体"/>
          <w:color w:val="auto"/>
          <w:sz w:val="32"/>
          <w:highlight w:val="none"/>
          <w:lang w:eastAsia="zh-CN"/>
        </w:rPr>
      </w:pPr>
      <w:r>
        <w:rPr>
          <w:rFonts w:hint="eastAsia" w:ascii="宋体" w:hAnsi="宋体" w:eastAsia="宋体"/>
          <w:color w:val="auto"/>
          <w:sz w:val="32"/>
          <w:highlight w:val="none"/>
        </w:rPr>
        <w:t>项目名称：</w:t>
      </w:r>
      <w:r>
        <w:rPr>
          <w:rFonts w:hint="eastAsia" w:ascii="宋体" w:hAnsi="宋体" w:eastAsia="宋体"/>
          <w:color w:val="auto"/>
          <w:sz w:val="32"/>
          <w:highlight w:val="none"/>
          <w:lang w:eastAsia="zh-CN"/>
        </w:rPr>
        <w:t>广西基层呼吸系统疾病早期筛查干预能力提升项目-医疗设备采购（肺功能仪）</w:t>
      </w:r>
    </w:p>
    <w:p>
      <w:pPr>
        <w:pStyle w:val="16"/>
        <w:spacing w:line="600" w:lineRule="exact"/>
        <w:ind w:firstLine="640" w:firstLineChars="200"/>
        <w:jc w:val="both"/>
        <w:rPr>
          <w:rFonts w:hint="eastAsia" w:ascii="宋体" w:hAnsi="宋体" w:eastAsia="宋体"/>
          <w:color w:val="auto"/>
          <w:sz w:val="32"/>
          <w:highlight w:val="none"/>
          <w:lang w:eastAsia="zh-CN"/>
        </w:rPr>
      </w:pPr>
      <w:r>
        <w:rPr>
          <w:rFonts w:hint="eastAsia" w:ascii="宋体" w:hAnsi="宋体"/>
          <w:color w:val="auto"/>
          <w:sz w:val="32"/>
          <w:highlight w:val="none"/>
        </w:rPr>
        <w:t>采购编号：</w:t>
      </w:r>
      <w:r>
        <w:rPr>
          <w:rFonts w:hint="eastAsia" w:ascii="宋体" w:hAnsi="宋体"/>
          <w:color w:val="auto"/>
          <w:sz w:val="32"/>
          <w:highlight w:val="none"/>
          <w:lang w:eastAsia="zh-CN"/>
        </w:rPr>
        <w:t>HCZC2020-J1-810267-GXRY</w:t>
      </w:r>
    </w:p>
    <w:p>
      <w:pPr>
        <w:spacing w:after="0" w:line="600" w:lineRule="exact"/>
        <w:ind w:firstLine="640" w:firstLineChars="200"/>
        <w:rPr>
          <w:rFonts w:hint="eastAsia" w:ascii="宋体" w:hAnsi="宋体" w:eastAsia="宋体"/>
          <w:color w:val="auto"/>
          <w:sz w:val="32"/>
          <w:highlight w:val="none"/>
          <w:lang w:eastAsia="zh-CN"/>
        </w:rPr>
      </w:pPr>
      <w:r>
        <w:rPr>
          <w:rFonts w:hint="eastAsia" w:ascii="宋体" w:hAnsi="宋体" w:eastAsia="宋体"/>
          <w:color w:val="auto"/>
          <w:sz w:val="32"/>
          <w:highlight w:val="none"/>
        </w:rPr>
        <w:t>采购人：</w:t>
      </w:r>
      <w:r>
        <w:rPr>
          <w:rFonts w:hint="eastAsia" w:ascii="宋体" w:hAnsi="宋体" w:eastAsia="宋体"/>
          <w:bCs/>
          <w:color w:val="auto"/>
          <w:sz w:val="32"/>
          <w:szCs w:val="32"/>
          <w:highlight w:val="none"/>
          <w:lang w:eastAsia="zh-CN"/>
        </w:rPr>
        <w:t>河池市宜州区卫生健康局</w:t>
      </w:r>
    </w:p>
    <w:p>
      <w:pPr>
        <w:pStyle w:val="16"/>
        <w:spacing w:line="600" w:lineRule="exact"/>
        <w:ind w:right="-273" w:rightChars="-124" w:firstLine="640" w:firstLineChars="200"/>
        <w:jc w:val="both"/>
        <w:rPr>
          <w:rFonts w:ascii="宋体" w:hAnsi="宋体"/>
          <w:color w:val="auto"/>
          <w:sz w:val="32"/>
          <w:highlight w:val="none"/>
        </w:rPr>
      </w:pPr>
      <w:r>
        <w:rPr>
          <w:rFonts w:hint="eastAsia" w:ascii="宋体" w:hAnsi="宋体"/>
          <w:color w:val="auto"/>
          <w:sz w:val="32"/>
          <w:highlight w:val="none"/>
        </w:rPr>
        <w:t>采购代理机构：广西睿翼工程咨询有限公司</w:t>
      </w:r>
    </w:p>
    <w:p>
      <w:pPr>
        <w:spacing w:after="0" w:line="600" w:lineRule="exact"/>
        <w:jc w:val="center"/>
        <w:rPr>
          <w:rFonts w:ascii="宋体" w:hAnsi="宋体" w:eastAsia="宋体"/>
          <w:color w:val="auto"/>
          <w:sz w:val="32"/>
          <w:szCs w:val="32"/>
          <w:highlight w:val="none"/>
        </w:rPr>
      </w:pPr>
      <w:r>
        <w:rPr>
          <w:rFonts w:hint="eastAsia" w:ascii="宋体" w:hAnsi="宋体" w:eastAsia="宋体"/>
          <w:color w:val="auto"/>
          <w:sz w:val="32"/>
          <w:highlight w:val="none"/>
        </w:rPr>
        <w:t>2020年</w:t>
      </w:r>
      <w:r>
        <w:rPr>
          <w:rFonts w:hint="eastAsia" w:ascii="宋体" w:hAnsi="宋体" w:eastAsia="宋体"/>
          <w:color w:val="auto"/>
          <w:sz w:val="32"/>
          <w:highlight w:val="none"/>
          <w:lang w:val="en-US" w:eastAsia="zh-CN"/>
        </w:rPr>
        <w:t>11</w:t>
      </w:r>
      <w:r>
        <w:rPr>
          <w:rFonts w:hint="eastAsia" w:ascii="宋体" w:hAnsi="宋体" w:eastAsia="宋体"/>
          <w:color w:val="auto"/>
          <w:sz w:val="32"/>
          <w:highlight w:val="none"/>
        </w:rPr>
        <w:t>月</w:t>
      </w:r>
    </w:p>
    <w:p>
      <w:pPr>
        <w:rPr>
          <w:rFonts w:ascii="宋体" w:hAnsi="宋体" w:eastAsia="宋体"/>
          <w:color w:val="auto"/>
          <w:sz w:val="32"/>
          <w:szCs w:val="32"/>
          <w:highlight w:val="none"/>
        </w:rPr>
      </w:pPr>
      <w:bookmarkStart w:id="0" w:name="_Toc246095513"/>
      <w:bookmarkStart w:id="1" w:name="_Toc246094907"/>
      <w:bookmarkStart w:id="2" w:name="_Toc246095451"/>
    </w:p>
    <w:p>
      <w:pPr>
        <w:pStyle w:val="4"/>
        <w:rPr>
          <w:color w:val="auto"/>
          <w:highlight w:val="none"/>
        </w:rPr>
        <w:sectPr>
          <w:headerReference r:id="rId4" w:type="first"/>
          <w:headerReference r:id="rId3" w:type="default"/>
          <w:footerReference r:id="rId5" w:type="default"/>
          <w:footerReference r:id="rId6" w:type="even"/>
          <w:pgSz w:w="11907" w:h="16840"/>
          <w:pgMar w:top="1077" w:right="1418" w:bottom="1418" w:left="1077" w:header="624" w:footer="737" w:gutter="0"/>
          <w:pgNumType w:start="1"/>
          <w:cols w:space="720" w:num="1"/>
          <w:titlePg/>
          <w:docGrid w:linePitch="312" w:charSpace="0"/>
        </w:sectPr>
      </w:pPr>
    </w:p>
    <w:p>
      <w:pPr>
        <w:jc w:val="center"/>
        <w:rPr>
          <w:rFonts w:ascii="宋体" w:hAnsi="宋体" w:eastAsia="宋体"/>
          <w:color w:val="auto"/>
          <w:sz w:val="44"/>
          <w:szCs w:val="44"/>
          <w:highlight w:val="none"/>
        </w:rPr>
      </w:pPr>
    </w:p>
    <w:p>
      <w:pPr>
        <w:jc w:val="center"/>
        <w:rPr>
          <w:rFonts w:ascii="宋体" w:hAnsi="宋体" w:eastAsia="宋体"/>
          <w:b/>
          <w:bCs/>
          <w:color w:val="auto"/>
          <w:sz w:val="44"/>
          <w:szCs w:val="44"/>
          <w:highlight w:val="none"/>
        </w:rPr>
      </w:pPr>
      <w:r>
        <w:rPr>
          <w:rFonts w:hint="eastAsia" w:ascii="宋体" w:hAnsi="宋体" w:eastAsia="宋体"/>
          <w:b/>
          <w:bCs/>
          <w:color w:val="auto"/>
          <w:sz w:val="44"/>
          <w:szCs w:val="44"/>
          <w:highlight w:val="none"/>
        </w:rPr>
        <w:t>目 录</w:t>
      </w:r>
    </w:p>
    <w:p>
      <w:pPr>
        <w:spacing w:line="400" w:lineRule="exact"/>
        <w:rPr>
          <w:rFonts w:ascii="宋体" w:hAnsi="宋体" w:eastAsia="宋体"/>
          <w:color w:val="auto"/>
          <w:sz w:val="28"/>
          <w:szCs w:val="28"/>
          <w:highlight w:val="none"/>
        </w:rPr>
      </w:pPr>
    </w:p>
    <w:p>
      <w:pPr>
        <w:pStyle w:val="26"/>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cs="仿宋"/>
          <w:b w:val="0"/>
          <w:color w:val="auto"/>
          <w:sz w:val="28"/>
          <w:szCs w:val="28"/>
          <w:highlight w:val="none"/>
        </w:rPr>
        <w:fldChar w:fldCharType="begin"/>
      </w:r>
      <w:r>
        <w:rPr>
          <w:rFonts w:hint="eastAsia" w:ascii="宋体" w:hAnsi="宋体" w:cs="仿宋"/>
          <w:b w:val="0"/>
          <w:color w:val="auto"/>
          <w:sz w:val="28"/>
          <w:szCs w:val="28"/>
          <w:highlight w:val="none"/>
        </w:rPr>
        <w:instrText xml:space="preserve"> TOC \o "1-3" \h \z \u </w:instrText>
      </w:r>
      <w:r>
        <w:rPr>
          <w:rFonts w:hint="eastAsia" w:ascii="宋体" w:hAnsi="宋体" w:cs="仿宋"/>
          <w:b w:val="0"/>
          <w:color w:val="auto"/>
          <w:sz w:val="28"/>
          <w:szCs w:val="28"/>
          <w:highlight w:val="none"/>
        </w:rPr>
        <w:fldChar w:fldCharType="separate"/>
      </w:r>
      <w:r>
        <w:rPr>
          <w:rFonts w:hint="eastAsia" w:ascii="宋体" w:hAnsi="宋体" w:cs="仿宋"/>
          <w:color w:val="auto"/>
          <w:sz w:val="28"/>
          <w:szCs w:val="28"/>
          <w:highlight w:val="none"/>
        </w:rPr>
        <w:fldChar w:fldCharType="begin"/>
      </w:r>
      <w:r>
        <w:rPr>
          <w:rFonts w:hint="eastAsia" w:ascii="宋体" w:hAnsi="宋体" w:cs="仿宋"/>
          <w:color w:val="auto"/>
          <w:sz w:val="28"/>
          <w:szCs w:val="28"/>
          <w:highlight w:val="none"/>
        </w:rPr>
        <w:instrText xml:space="preserve"> HYPERLINK \l _Toc9108 </w:instrText>
      </w:r>
      <w:r>
        <w:rPr>
          <w:rFonts w:hint="eastAsia" w:ascii="宋体" w:hAnsi="宋体" w:cs="仿宋"/>
          <w:color w:val="auto"/>
          <w:sz w:val="28"/>
          <w:szCs w:val="28"/>
          <w:highlight w:val="none"/>
        </w:rPr>
        <w:fldChar w:fldCharType="separate"/>
      </w:r>
      <w:r>
        <w:rPr>
          <w:rFonts w:hint="eastAsia" w:ascii="宋体" w:hAnsi="宋体" w:cs="仿宋"/>
          <w:color w:val="auto"/>
          <w:sz w:val="28"/>
          <w:szCs w:val="28"/>
          <w:highlight w:val="none"/>
          <w:lang w:eastAsia="zh-CN"/>
        </w:rPr>
        <w:t>第一章</w:t>
      </w:r>
      <w:r>
        <w:rPr>
          <w:rFonts w:hint="eastAsia" w:ascii="宋体" w:hAnsi="宋体" w:cs="仿宋"/>
          <w:color w:val="auto"/>
          <w:sz w:val="28"/>
          <w:szCs w:val="28"/>
          <w:highlight w:val="none"/>
          <w:lang w:val="en-US" w:eastAsia="zh-CN"/>
        </w:rPr>
        <w:t xml:space="preserve"> 竞争性谈判公告</w:t>
      </w:r>
      <w:r>
        <w:rPr>
          <w:color w:val="auto"/>
          <w:sz w:val="28"/>
          <w:szCs w:val="28"/>
          <w:highlight w:val="none"/>
        </w:rPr>
        <w:tab/>
      </w:r>
      <w:r>
        <w:rPr>
          <w:rFonts w:hint="eastAsia"/>
          <w:color w:val="auto"/>
          <w:sz w:val="28"/>
          <w:szCs w:val="28"/>
          <w:highlight w:val="none"/>
          <w:lang w:val="en-US" w:eastAsia="zh-CN"/>
        </w:rPr>
        <w:t>1</w:t>
      </w:r>
      <w:r>
        <w:rPr>
          <w:rFonts w:hint="eastAsia" w:ascii="宋体" w:hAnsi="宋体" w:cs="仿宋"/>
          <w:color w:val="auto"/>
          <w:sz w:val="28"/>
          <w:szCs w:val="28"/>
          <w:highlight w:val="none"/>
        </w:rPr>
        <w:fldChar w:fldCharType="end"/>
      </w:r>
    </w:p>
    <w:p>
      <w:pPr>
        <w:pStyle w:val="26"/>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_Toc13678 </w:instrText>
      </w:r>
      <w:r>
        <w:rPr>
          <w:rFonts w:hint="eastAsia" w:ascii="宋体" w:hAnsi="宋体" w:eastAsia="宋体" w:cs="仿宋"/>
          <w:bCs/>
          <w:color w:val="auto"/>
          <w:sz w:val="28"/>
          <w:szCs w:val="28"/>
          <w:highlight w:val="none"/>
        </w:rPr>
        <w:fldChar w:fldCharType="separate"/>
      </w:r>
      <w:r>
        <w:rPr>
          <w:rFonts w:hint="eastAsia" w:ascii="宋体" w:hAnsi="宋体" w:eastAsia="宋体"/>
          <w:bCs/>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_Toc13678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_Toc31896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_Toc31896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_Toc23082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一、总则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_Toc23082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_Toc13358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二、竞争性谈判文件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_Toc13358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_Toc27175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三、响应文件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_Toc27175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_Toc26527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四、谈判与评审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_Toc26527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_Toc3773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五、评审结果</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_Toc3773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_Toc453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六、合同授予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_Toc453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_Toc23225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七、其他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_Toc23225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26"/>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_Toc14373 </w:instrText>
      </w:r>
      <w:r>
        <w:rPr>
          <w:rFonts w:hint="eastAsia" w:ascii="宋体" w:hAnsi="宋体" w:eastAsia="宋体" w:cs="仿宋"/>
          <w:bCs/>
          <w:color w:val="auto"/>
          <w:sz w:val="28"/>
          <w:szCs w:val="28"/>
          <w:highlight w:val="none"/>
        </w:rPr>
        <w:fldChar w:fldCharType="separate"/>
      </w:r>
      <w:r>
        <w:rPr>
          <w:rFonts w:hint="eastAsia" w:ascii="宋体" w:hAnsi="宋体" w:eastAsia="宋体"/>
          <w:bCs/>
          <w:color w:val="auto"/>
          <w:sz w:val="28"/>
          <w:szCs w:val="28"/>
          <w:highlight w:val="none"/>
        </w:rPr>
        <w:t>第三章  项目采购需求和说明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_Toc14373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26"/>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_Toc11191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第四章  评审方法及评审标准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_Toc11191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_Toc8052 </w:instrText>
      </w:r>
      <w:r>
        <w:rPr>
          <w:rFonts w:hint="eastAsia" w:ascii="宋体" w:hAnsi="宋体" w:eastAsia="宋体" w:cs="仿宋"/>
          <w:bCs/>
          <w:color w:val="auto"/>
          <w:sz w:val="28"/>
          <w:szCs w:val="28"/>
          <w:highlight w:val="none"/>
        </w:rPr>
        <w:fldChar w:fldCharType="separate"/>
      </w:r>
      <w:r>
        <w:rPr>
          <w:rFonts w:hint="eastAsia" w:ascii="宋体" w:hAnsi="宋体" w:eastAsia="宋体" w:cs="Arial"/>
          <w:bCs/>
          <w:color w:val="auto"/>
          <w:sz w:val="28"/>
          <w:szCs w:val="28"/>
          <w:highlight w:val="none"/>
        </w:rPr>
        <w:t>一、评审原则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_Toc8052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_Toc17167 </w:instrText>
      </w:r>
      <w:r>
        <w:rPr>
          <w:rFonts w:hint="eastAsia" w:ascii="宋体" w:hAnsi="宋体" w:eastAsia="宋体" w:cs="仿宋"/>
          <w:bCs/>
          <w:color w:val="auto"/>
          <w:sz w:val="28"/>
          <w:szCs w:val="28"/>
          <w:highlight w:val="none"/>
        </w:rPr>
        <w:fldChar w:fldCharType="separate"/>
      </w:r>
      <w:r>
        <w:rPr>
          <w:rFonts w:hint="eastAsia" w:ascii="宋体" w:hAnsi="宋体" w:eastAsia="宋体" w:cs="Arial"/>
          <w:bCs/>
          <w:color w:val="auto"/>
          <w:sz w:val="28"/>
          <w:szCs w:val="28"/>
          <w:highlight w:val="none"/>
        </w:rPr>
        <w:t>二、评审标准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_Toc17167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31"/>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_Toc23866 </w:instrText>
      </w:r>
      <w:r>
        <w:rPr>
          <w:rFonts w:hint="eastAsia" w:ascii="宋体" w:hAnsi="宋体" w:eastAsia="宋体" w:cs="仿宋"/>
          <w:bCs/>
          <w:color w:val="auto"/>
          <w:sz w:val="28"/>
          <w:szCs w:val="28"/>
          <w:highlight w:val="none"/>
        </w:rPr>
        <w:fldChar w:fldCharType="separate"/>
      </w:r>
      <w:r>
        <w:rPr>
          <w:rFonts w:hint="eastAsia" w:ascii="宋体" w:hAnsi="宋体" w:eastAsia="宋体" w:cs="Arial"/>
          <w:bCs/>
          <w:color w:val="auto"/>
          <w:sz w:val="28"/>
          <w:szCs w:val="28"/>
          <w:highlight w:val="none"/>
        </w:rPr>
        <w:t>三、确定成交供应商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_Toc23866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26"/>
        <w:keepNext w:val="0"/>
        <w:keepLines w:val="0"/>
        <w:pageBreakBefore w:val="0"/>
        <w:tabs>
          <w:tab w:val="right" w:leader="dot" w:pos="9412"/>
        </w:tabs>
        <w:kinsoku/>
        <w:wordWrap/>
        <w:overflowPunct/>
        <w:topLinePunct w:val="0"/>
        <w:autoSpaceDE/>
        <w:autoSpaceDN/>
        <w:bidi w:val="0"/>
        <w:spacing w:line="500" w:lineRule="exact"/>
        <w:textAlignment w:val="auto"/>
        <w:rPr>
          <w:color w:val="auto"/>
          <w:sz w:val="28"/>
          <w:szCs w:val="28"/>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_Toc15224 </w:instrText>
      </w:r>
      <w:r>
        <w:rPr>
          <w:rFonts w:hint="eastAsia" w:ascii="宋体" w:hAnsi="宋体" w:eastAsia="宋体" w:cs="仿宋"/>
          <w:bCs/>
          <w:color w:val="auto"/>
          <w:sz w:val="28"/>
          <w:szCs w:val="28"/>
          <w:highlight w:val="none"/>
        </w:rPr>
        <w:fldChar w:fldCharType="separate"/>
      </w:r>
      <w:r>
        <w:rPr>
          <w:rFonts w:hint="eastAsia" w:ascii="宋体" w:hAnsi="宋体" w:eastAsia="宋体"/>
          <w:bCs/>
          <w:color w:val="auto"/>
          <w:sz w:val="28"/>
          <w:szCs w:val="28"/>
          <w:highlight w:val="none"/>
        </w:rPr>
        <w:t>第五章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_Toc15224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pStyle w:val="26"/>
        <w:keepNext w:val="0"/>
        <w:keepLines w:val="0"/>
        <w:pageBreakBefore w:val="0"/>
        <w:tabs>
          <w:tab w:val="right" w:leader="dot" w:pos="9412"/>
        </w:tabs>
        <w:kinsoku/>
        <w:wordWrap/>
        <w:overflowPunct/>
        <w:topLinePunct w:val="0"/>
        <w:autoSpaceDE/>
        <w:autoSpaceDN/>
        <w:bidi w:val="0"/>
        <w:spacing w:line="500" w:lineRule="exact"/>
        <w:textAlignment w:val="auto"/>
        <w:rPr>
          <w:color w:val="auto"/>
          <w:highlight w:val="none"/>
        </w:rPr>
      </w:pPr>
      <w:r>
        <w:rPr>
          <w:rFonts w:hint="eastAsia" w:ascii="宋体" w:hAnsi="宋体" w:eastAsia="宋体" w:cs="仿宋"/>
          <w:bCs/>
          <w:color w:val="auto"/>
          <w:sz w:val="28"/>
          <w:szCs w:val="28"/>
          <w:highlight w:val="none"/>
        </w:rPr>
        <w:fldChar w:fldCharType="begin"/>
      </w:r>
      <w:r>
        <w:rPr>
          <w:rFonts w:hint="eastAsia" w:ascii="宋体" w:hAnsi="宋体" w:eastAsia="宋体" w:cs="仿宋"/>
          <w:bCs/>
          <w:color w:val="auto"/>
          <w:sz w:val="28"/>
          <w:szCs w:val="28"/>
          <w:highlight w:val="none"/>
        </w:rPr>
        <w:instrText xml:space="preserve"> HYPERLINK \l _Toc10098 </w:instrText>
      </w:r>
      <w:r>
        <w:rPr>
          <w:rFonts w:hint="eastAsia" w:ascii="宋体" w:hAnsi="宋体" w:eastAsia="宋体" w:cs="仿宋"/>
          <w:bCs/>
          <w:color w:val="auto"/>
          <w:sz w:val="28"/>
          <w:szCs w:val="28"/>
          <w:highlight w:val="none"/>
        </w:rPr>
        <w:fldChar w:fldCharType="separate"/>
      </w:r>
      <w:r>
        <w:rPr>
          <w:rFonts w:hint="eastAsia" w:ascii="宋体" w:hAnsi="宋体" w:eastAsia="宋体"/>
          <w:color w:val="auto"/>
          <w:sz w:val="28"/>
          <w:szCs w:val="28"/>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_Toc10098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rFonts w:hint="eastAsia" w:ascii="宋体" w:hAnsi="宋体" w:eastAsia="宋体" w:cs="仿宋"/>
          <w:bCs/>
          <w:color w:val="auto"/>
          <w:sz w:val="28"/>
          <w:szCs w:val="28"/>
          <w:highlight w:val="none"/>
        </w:rPr>
        <w:fldChar w:fldCharType="end"/>
      </w:r>
    </w:p>
    <w:p>
      <w:pPr>
        <w:keepNext w:val="0"/>
        <w:keepLines w:val="0"/>
        <w:pageBreakBefore w:val="0"/>
        <w:kinsoku/>
        <w:wordWrap/>
        <w:overflowPunct/>
        <w:topLinePunct w:val="0"/>
        <w:autoSpaceDE/>
        <w:autoSpaceDN/>
        <w:bidi w:val="0"/>
        <w:spacing w:after="0" w:line="500" w:lineRule="exact"/>
        <w:ind w:firstLine="220" w:firstLineChars="100"/>
        <w:textAlignment w:val="auto"/>
        <w:rPr>
          <w:rFonts w:ascii="宋体" w:hAnsi="宋体" w:eastAsia="宋体"/>
          <w:color w:val="auto"/>
          <w:sz w:val="20"/>
          <w:szCs w:val="20"/>
          <w:highlight w:val="none"/>
        </w:rPr>
        <w:sectPr>
          <w:headerReference r:id="rId7" w:type="first"/>
          <w:footerReference r:id="rId8" w:type="first"/>
          <w:pgSz w:w="11907" w:h="16840"/>
          <w:pgMar w:top="1077" w:right="1418" w:bottom="1418" w:left="1077" w:header="624" w:footer="737" w:gutter="0"/>
          <w:pgNumType w:start="1"/>
          <w:cols w:space="720" w:num="1"/>
          <w:docGrid w:linePitch="312" w:charSpace="0"/>
        </w:sectPr>
      </w:pPr>
      <w:r>
        <w:rPr>
          <w:rFonts w:hint="eastAsia" w:ascii="宋体" w:hAnsi="宋体" w:eastAsia="宋体" w:cs="仿宋"/>
          <w:bCs/>
          <w:color w:val="auto"/>
          <w:szCs w:val="28"/>
          <w:highlight w:val="none"/>
        </w:rPr>
        <w:fldChar w:fldCharType="end"/>
      </w:r>
    </w:p>
    <w:bookmarkEnd w:id="0"/>
    <w:bookmarkEnd w:id="1"/>
    <w:bookmarkEnd w:id="2"/>
    <w:p>
      <w:pPr>
        <w:pStyle w:val="3"/>
        <w:rPr>
          <w:rFonts w:hint="eastAsia"/>
          <w:color w:val="auto"/>
          <w:highlight w:val="none"/>
        </w:rPr>
      </w:pPr>
      <w:r>
        <w:rPr>
          <w:rFonts w:hint="eastAsia"/>
          <w:color w:val="auto"/>
          <w:highlight w:val="none"/>
          <w:lang w:eastAsia="zh-CN"/>
        </w:rPr>
        <w:t>第一章</w:t>
      </w:r>
      <w:r>
        <w:rPr>
          <w:rFonts w:hint="eastAsia"/>
          <w:color w:val="auto"/>
          <w:highlight w:val="none"/>
          <w:lang w:val="en-US" w:eastAsia="zh-CN"/>
        </w:rPr>
        <w:t xml:space="preserve">  </w:t>
      </w:r>
      <w:r>
        <w:rPr>
          <w:rFonts w:hint="eastAsia"/>
          <w:color w:val="auto"/>
          <w:highlight w:val="none"/>
        </w:rPr>
        <w:t>竞争性谈判公告</w:t>
      </w:r>
    </w:p>
    <w:p>
      <w:pPr>
        <w:pStyle w:val="36"/>
        <w:ind w:left="0" w:leftChars="0" w:firstLine="0" w:firstLineChars="0"/>
        <w:jc w:val="center"/>
        <w:rPr>
          <w:rFonts w:hint="eastAsia" w:ascii="宋体"/>
          <w:b/>
          <w:color w:val="auto"/>
          <w:szCs w:val="28"/>
          <w:highlight w:val="none"/>
          <w:lang w:eastAsia="zh-CN"/>
        </w:rPr>
      </w:pPr>
      <w:r>
        <w:rPr>
          <w:rFonts w:hint="eastAsia" w:ascii="宋体"/>
          <w:b/>
          <w:color w:val="auto"/>
          <w:szCs w:val="28"/>
          <w:highlight w:val="none"/>
          <w:lang w:eastAsia="zh-CN"/>
        </w:rPr>
        <w:t>广西基层呼吸系统疾病早期筛查干预能力提升项目-医疗设备采购（肺功能仪）</w:t>
      </w:r>
    </w:p>
    <w:p>
      <w:pPr>
        <w:pStyle w:val="36"/>
        <w:ind w:left="0" w:leftChars="0" w:firstLine="0" w:firstLineChars="0"/>
        <w:jc w:val="center"/>
        <w:rPr>
          <w:rFonts w:hint="eastAsia" w:ascii="宋体"/>
          <w:b/>
          <w:color w:val="auto"/>
          <w:szCs w:val="28"/>
          <w:highlight w:val="none"/>
        </w:rPr>
      </w:pPr>
      <w:r>
        <w:rPr>
          <w:rFonts w:hint="eastAsia" w:ascii="宋体"/>
          <w:b/>
          <w:color w:val="auto"/>
          <w:szCs w:val="28"/>
          <w:highlight w:val="none"/>
        </w:rPr>
        <w:t>竞争性谈判公告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u w:val="single"/>
          <w:lang w:eastAsia="zh-CN"/>
        </w:rPr>
        <w:t>广西基层呼吸系统疾病早期筛查干预能力提升项目-医疗设备采购（肺功能仪）</w:t>
      </w:r>
      <w:r>
        <w:rPr>
          <w:rFonts w:hint="eastAsia" w:ascii="宋体" w:hAnsi="宋体" w:eastAsia="宋体" w:cs="宋体"/>
          <w:color w:val="auto"/>
          <w:sz w:val="24"/>
          <w:szCs w:val="24"/>
          <w:highlight w:val="none"/>
        </w:rPr>
        <w:t>项目已经依法获得采购人和评审专家分别书面推荐的供应商</w:t>
      </w:r>
      <w:r>
        <w:rPr>
          <w:rFonts w:hint="eastAsia" w:ascii="宋体" w:hAnsi="宋体" w:eastAsia="宋体" w:cs="宋体"/>
          <w:color w:val="auto"/>
          <w:sz w:val="24"/>
          <w:szCs w:val="24"/>
          <w:highlight w:val="none"/>
          <w:u w:val="none"/>
        </w:rPr>
        <w:t>应在政府采购</w:t>
      </w:r>
      <w:r>
        <w:rPr>
          <w:rFonts w:hint="eastAsia" w:ascii="宋体" w:hAnsi="宋体" w:eastAsia="宋体" w:cs="宋体"/>
          <w:color w:val="auto"/>
          <w:sz w:val="24"/>
          <w:szCs w:val="24"/>
          <w:highlight w:val="none"/>
          <w:u w:val="none"/>
          <w:lang w:eastAsia="zh-CN"/>
        </w:rPr>
        <w:t>云</w:t>
      </w:r>
      <w:r>
        <w:rPr>
          <w:rFonts w:hint="eastAsia" w:ascii="宋体" w:hAnsi="宋体" w:eastAsia="宋体" w:cs="宋体"/>
          <w:color w:val="auto"/>
          <w:sz w:val="24"/>
          <w:szCs w:val="24"/>
          <w:highlight w:val="none"/>
          <w:u w:val="none"/>
        </w:rPr>
        <w:t>平台（http://www.zcygov.cn/】</w:t>
      </w:r>
      <w:r>
        <w:rPr>
          <w:rFonts w:hint="eastAsia" w:ascii="宋体" w:hAnsi="宋体" w:eastAsia="宋体" w:cs="宋体"/>
          <w:color w:val="auto"/>
          <w:sz w:val="24"/>
          <w:szCs w:val="24"/>
          <w:highlight w:val="none"/>
          <w:u w:val="none"/>
          <w:lang w:eastAsia="zh-CN"/>
        </w:rPr>
        <w:t>注册并获取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rPr>
        <w:t>2020年</w:t>
      </w:r>
      <w:r>
        <w:rPr>
          <w:rFonts w:hint="eastAsia" w:ascii="宋体" w:hAnsi="宋体" w:eastAsia="宋体" w:cs="宋体"/>
          <w:color w:val="auto"/>
          <w:sz w:val="24"/>
          <w:szCs w:val="24"/>
          <w:highlight w:val="none"/>
          <w:u w:val="single"/>
          <w:lang w:val="en-US" w:eastAsia="zh-CN"/>
        </w:rPr>
        <w:t xml:space="preserve"> 12</w:t>
      </w:r>
      <w:r>
        <w:rPr>
          <w:rFonts w:hint="eastAsia" w:ascii="宋体" w:hAnsi="宋体" w:eastAsia="宋体" w:cs="宋体"/>
          <w:color w:val="auto"/>
          <w:sz w:val="24"/>
          <w:szCs w:val="24"/>
          <w:highlight w:val="none"/>
          <w:u w:val="single"/>
        </w:rPr>
        <w:t xml:space="preserve"> 月 </w:t>
      </w:r>
      <w:r>
        <w:rPr>
          <w:rFonts w:hint="eastAsia" w:ascii="宋体" w:hAnsi="宋体" w:eastAsia="宋体" w:cs="宋体"/>
          <w:color w:val="auto"/>
          <w:sz w:val="24"/>
          <w:szCs w:val="24"/>
          <w:highlight w:val="none"/>
          <w:u w:val="single"/>
          <w:lang w:val="en-US" w:eastAsia="zh-CN"/>
        </w:rPr>
        <w:t xml:space="preserve"> 1</w:t>
      </w:r>
      <w:r>
        <w:rPr>
          <w:rFonts w:hint="eastAsia" w:ascii="宋体" w:hAnsi="宋体" w:eastAsia="宋体" w:cs="宋体"/>
          <w:color w:val="auto"/>
          <w:sz w:val="24"/>
          <w:szCs w:val="24"/>
          <w:highlight w:val="none"/>
          <w:u w:val="single"/>
        </w:rPr>
        <w:t xml:space="preserve"> 日 </w:t>
      </w:r>
      <w:r>
        <w:rPr>
          <w:rFonts w:hint="eastAsia" w:ascii="宋体" w:hAnsi="宋体" w:eastAsia="宋体" w:cs="宋体"/>
          <w:color w:val="auto"/>
          <w:sz w:val="24"/>
          <w:szCs w:val="24"/>
          <w:highlight w:val="none"/>
          <w:u w:val="single"/>
          <w:lang w:val="en-US" w:eastAsia="zh-CN"/>
        </w:rPr>
        <w:t xml:space="preserve"> 15</w:t>
      </w:r>
      <w:r>
        <w:rPr>
          <w:rFonts w:hint="eastAsia" w:ascii="宋体" w:hAnsi="宋体" w:eastAsia="宋体" w:cs="宋体"/>
          <w:color w:val="auto"/>
          <w:sz w:val="24"/>
          <w:szCs w:val="24"/>
          <w:highlight w:val="none"/>
          <w:u w:val="single"/>
        </w:rPr>
        <w:t xml:space="preserve">  点 </w:t>
      </w:r>
      <w:r>
        <w:rPr>
          <w:rFonts w:hint="eastAsia" w:ascii="宋体" w:hAnsi="宋体" w:eastAsia="宋体" w:cs="宋体"/>
          <w:color w:val="auto"/>
          <w:sz w:val="24"/>
          <w:szCs w:val="24"/>
          <w:highlight w:val="none"/>
          <w:u w:val="single"/>
          <w:lang w:val="en-US" w:eastAsia="zh-CN"/>
        </w:rPr>
        <w:t xml:space="preserve">00 </w:t>
      </w:r>
      <w:r>
        <w:rPr>
          <w:rFonts w:hint="eastAsia" w:ascii="宋体" w:hAnsi="宋体" w:eastAsia="宋体" w:cs="宋体"/>
          <w:color w:val="auto"/>
          <w:sz w:val="24"/>
          <w:szCs w:val="24"/>
          <w:highlight w:val="none"/>
          <w:u w:val="single"/>
        </w:rPr>
        <w:t xml:space="preserve"> 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rPr>
      </w:pPr>
      <w:bookmarkStart w:id="3" w:name="_Toc35393798"/>
      <w:bookmarkStart w:id="4" w:name="_Toc28359089"/>
      <w:bookmarkStart w:id="5" w:name="_Toc35393629"/>
      <w:bookmarkStart w:id="6" w:name="_Toc28359012"/>
      <w:r>
        <w:rPr>
          <w:rFonts w:hint="eastAsia" w:ascii="宋体" w:hAnsi="宋体" w:eastAsia="宋体" w:cs="宋体"/>
          <w:color w:val="auto"/>
          <w:sz w:val="24"/>
          <w:szCs w:val="24"/>
          <w:highlight w:val="none"/>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HCZC2020-J1-810267-GXRY</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广西基层呼吸系统疾病早期筛查干预能力提升项目-医疗设备采购（肺功能仪）</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采购方式：竞争性谈判</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预算金额：人民币</w:t>
      </w:r>
      <w:r>
        <w:rPr>
          <w:rFonts w:hint="eastAsia" w:ascii="宋体" w:hAnsi="宋体" w:eastAsia="宋体" w:cs="宋体"/>
          <w:color w:val="auto"/>
          <w:sz w:val="24"/>
          <w:szCs w:val="24"/>
          <w:highlight w:val="none"/>
          <w:lang w:val="en-US" w:eastAsia="zh-CN"/>
        </w:rPr>
        <w:t>300000.00</w:t>
      </w:r>
      <w:r>
        <w:rPr>
          <w:rFonts w:hint="eastAsia" w:ascii="宋体" w:hAnsi="宋体" w:eastAsia="宋体" w:cs="宋体"/>
          <w:color w:val="auto"/>
          <w:sz w:val="24"/>
          <w:szCs w:val="24"/>
          <w:highlight w:val="none"/>
        </w:rPr>
        <w:t>元</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最高限价（如有）：/</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38"/>
        <w:tblW w:w="9365" w:type="dxa"/>
        <w:jc w:val="center"/>
        <w:tblLayout w:type="fixed"/>
        <w:tblCellMar>
          <w:top w:w="0" w:type="dxa"/>
          <w:left w:w="0" w:type="dxa"/>
          <w:bottom w:w="0" w:type="dxa"/>
          <w:right w:w="0" w:type="dxa"/>
        </w:tblCellMar>
      </w:tblPr>
      <w:tblGrid>
        <w:gridCol w:w="558"/>
        <w:gridCol w:w="930"/>
        <w:gridCol w:w="6730"/>
        <w:gridCol w:w="562"/>
        <w:gridCol w:w="585"/>
      </w:tblGrid>
      <w:tr>
        <w:tblPrEx>
          <w:tblCellMar>
            <w:top w:w="0" w:type="dxa"/>
            <w:left w:w="0" w:type="dxa"/>
            <w:bottom w:w="0" w:type="dxa"/>
            <w:right w:w="0" w:type="dxa"/>
          </w:tblCellMar>
        </w:tblPrEx>
        <w:trPr>
          <w:trHeight w:val="89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设备名称</w:t>
            </w:r>
          </w:p>
        </w:tc>
        <w:tc>
          <w:tcPr>
            <w:tcW w:w="6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基本技术参数</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单位</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数量</w:t>
            </w:r>
          </w:p>
        </w:tc>
      </w:tr>
      <w:tr>
        <w:tblPrEx>
          <w:tblCellMar>
            <w:top w:w="0" w:type="dxa"/>
            <w:left w:w="0" w:type="dxa"/>
            <w:bottom w:w="0" w:type="dxa"/>
            <w:right w:w="0" w:type="dxa"/>
          </w:tblCellMar>
        </w:tblPrEx>
        <w:trPr>
          <w:trHeight w:val="993" w:hRule="atLeast"/>
          <w:jc w:val="center"/>
        </w:trPr>
        <w:tc>
          <w:tcPr>
            <w:tcW w:w="5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93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肺功能测定仪</w:t>
            </w:r>
          </w:p>
        </w:tc>
        <w:tc>
          <w:tcPr>
            <w:tcW w:w="67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产品标准及认证</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产品注册名称：肺功能测定仪；</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产品注册标准：符合国家肺功能仪有关技术规范要求和技术标准。</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★产品检测原理：采用压差检测技术原理。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 产品功能参数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 ★检测显示参数包含：FVC（用力肺活量）：FVC、FEV1、FEV3、FEV6、 FEV1/FVC、FEV3/FVC、FEV1/VC Max、PEF、FEF25、FEF50、FEF75、 MMEF、VEXP、FET 等呼气指标，PIF、FIVC、FIF50%、FEF50%/FIF50% 等吸气指标；VC(肺活量)：VC、VT、IRV、ERV、IC 等；符合肺功能测定仪技术标准；</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可进行支气管舒张试验，可出具舒张试验报告；</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可检测呼气、吸气指标，实时显示动态曲线（流量容积曲线、时间容积曲线）；具备中国人预计值公式；</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便携式设计，方便床旁及基层医疗卫生机构使用，适用于在社区体检或现场流调等工作开展；</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56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w:t>
            </w:r>
          </w:p>
        </w:tc>
        <w:tc>
          <w:tcPr>
            <w:tcW w:w="58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bl>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合同履行期限：自签订合同之日起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0天内交货并安装调试完毕。</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w:t>
      </w:r>
    </w:p>
    <w:p>
      <w:pPr>
        <w:keepNext w:val="0"/>
        <w:keepLines w:val="0"/>
        <w:pageBreakBefore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b/>
          <w:bCs/>
          <w:color w:val="auto"/>
          <w:sz w:val="24"/>
          <w:szCs w:val="24"/>
          <w:highlight w:val="none"/>
        </w:rPr>
      </w:pPr>
      <w:bookmarkStart w:id="7" w:name="_Toc28359090"/>
      <w:bookmarkStart w:id="8" w:name="_Toc28359013"/>
      <w:bookmarkStart w:id="9" w:name="_Toc35393799"/>
      <w:bookmarkStart w:id="10" w:name="_Toc35393630"/>
      <w:r>
        <w:rPr>
          <w:rFonts w:hint="eastAsia" w:ascii="宋体" w:hAnsi="宋体" w:eastAsia="宋体" w:cs="宋体"/>
          <w:b/>
          <w:bCs/>
          <w:color w:val="auto"/>
          <w:sz w:val="24"/>
          <w:szCs w:val="24"/>
          <w:highlight w:val="none"/>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ascii="宋体" w:hAnsi="宋体" w:eastAsia="宋体" w:cs="宋体"/>
          <w:color w:val="auto"/>
          <w:sz w:val="24"/>
          <w:szCs w:val="24"/>
          <w:highlight w:val="none"/>
        </w:rPr>
      </w:pPr>
      <w:bookmarkStart w:id="11" w:name="_Toc28359091"/>
      <w:bookmarkStart w:id="12" w:name="_Toc28359014"/>
      <w:r>
        <w:rPr>
          <w:rFonts w:hint="eastAsia" w:ascii="宋体" w:hAnsi="宋体" w:eastAsia="宋体" w:cs="宋体"/>
          <w:color w:val="auto"/>
          <w:sz w:val="24"/>
          <w:szCs w:val="24"/>
          <w:highlight w:val="none"/>
        </w:rPr>
        <w:t>2.落实政府采购政策需满足的资格要求：本项目属于非专门面向中小企业采购的项目。</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已经依法获得采购人和评审专家分别书面推荐的供应商并在规定时间内获取采购文件的供应商才有资格参与谈判；</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竞标人具备由食品药品监督管理部门颁发的有效的证件【生产企业：生产第二类医疗器械须提供《医疗器械生产许可证》；经营企业经营第二类医疗器械的须提供《第二类医疗器械经营备案凭证》（多证合一的需提供相应资料）；</w:t>
      </w:r>
    </w:p>
    <w:p>
      <w:pPr>
        <w:pStyle w:val="2"/>
        <w:keepNext w:val="0"/>
        <w:keepLines w:val="0"/>
        <w:pageBreakBefore w:val="0"/>
        <w:kinsoku/>
        <w:wordWrap/>
        <w:overflowPunct/>
        <w:topLinePunct w:val="0"/>
        <w:autoSpaceDE/>
        <w:autoSpaceDN/>
        <w:bidi w:val="0"/>
        <w:spacing w:line="400" w:lineRule="exact"/>
        <w:ind w:firstLine="480" w:firstLineChars="200"/>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kinsoku/>
        <w:wordWrap/>
        <w:overflowPunct/>
        <w:topLinePunct w:val="0"/>
        <w:autoSpaceDE/>
        <w:autoSpaceDN/>
        <w:bidi w:val="0"/>
        <w:spacing w:line="400" w:lineRule="exact"/>
        <w:ind w:firstLine="480" w:firstLineChars="200"/>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kern w:val="0"/>
          <w:sz w:val="24"/>
          <w:szCs w:val="24"/>
          <w:highlight w:val="none"/>
          <w:lang w:eastAsia="zh-CN"/>
        </w:rPr>
        <w:t>。</w:t>
      </w:r>
    </w:p>
    <w:p>
      <w:pPr>
        <w:keepNext w:val="0"/>
        <w:keepLines w:val="0"/>
        <w:pageBreakBefore w:val="0"/>
        <w:kinsoku/>
        <w:wordWrap/>
        <w:overflowPunct/>
        <w:topLinePunct w:val="0"/>
        <w:autoSpaceDE/>
        <w:autoSpaceDN/>
        <w:bidi w:val="0"/>
        <w:spacing w:line="400" w:lineRule="exact"/>
        <w:outlineLvl w:val="9"/>
        <w:rPr>
          <w:rFonts w:ascii="宋体" w:hAnsi="宋体" w:eastAsia="宋体" w:cs="宋体"/>
          <w:b/>
          <w:bCs/>
          <w:color w:val="auto"/>
          <w:sz w:val="24"/>
          <w:szCs w:val="24"/>
          <w:highlight w:val="none"/>
        </w:rPr>
      </w:pPr>
      <w:bookmarkStart w:id="13" w:name="_Toc35393800"/>
      <w:bookmarkStart w:id="14" w:name="_Toc35393631"/>
      <w:r>
        <w:rPr>
          <w:rFonts w:hint="eastAsia" w:ascii="宋体" w:hAnsi="宋体" w:eastAsia="宋体" w:cs="宋体"/>
          <w:b/>
          <w:bCs/>
          <w:color w:val="auto"/>
          <w:sz w:val="24"/>
          <w:szCs w:val="24"/>
          <w:highlight w:val="none"/>
        </w:rPr>
        <w:t>三、获取采购文件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2020年 </w:t>
      </w:r>
      <w:r>
        <w:rPr>
          <w:rFonts w:hint="eastAsia" w:ascii="宋体" w:hAnsi="宋体" w:eastAsia="宋体" w:cs="宋体"/>
          <w:color w:val="auto"/>
          <w:sz w:val="24"/>
          <w:szCs w:val="24"/>
          <w:highlight w:val="none"/>
          <w:u w:val="single"/>
          <w:lang w:val="en-US" w:eastAsia="zh-CN"/>
        </w:rPr>
        <w:t xml:space="preserve">11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25</w:t>
      </w:r>
      <w:r>
        <w:rPr>
          <w:rFonts w:hint="eastAsia" w:ascii="宋体" w:hAnsi="宋体" w:eastAsia="宋体" w:cs="宋体"/>
          <w:color w:val="auto"/>
          <w:sz w:val="24"/>
          <w:szCs w:val="24"/>
          <w:highlight w:val="none"/>
          <w:u w:val="single"/>
        </w:rPr>
        <w:t xml:space="preserve"> 日</w:t>
      </w:r>
      <w:r>
        <w:rPr>
          <w:rFonts w:hint="eastAsia" w:ascii="宋体" w:hAnsi="宋体" w:eastAsia="宋体" w:cs="宋体"/>
          <w:color w:val="auto"/>
          <w:sz w:val="24"/>
          <w:szCs w:val="24"/>
          <w:highlight w:val="none"/>
        </w:rPr>
        <w:t>至响应文件递交截止时间前，每天上午</w:t>
      </w:r>
      <w:r>
        <w:rPr>
          <w:rFonts w:hint="eastAsia" w:ascii="宋体" w:hAnsi="宋体" w:eastAsia="宋体" w:cs="宋体"/>
          <w:color w:val="auto"/>
          <w:sz w:val="24"/>
          <w:szCs w:val="24"/>
          <w:highlight w:val="none"/>
          <w:u w:val="single"/>
        </w:rPr>
        <w:t>9：00时</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12：00时</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rPr>
        <w:t>15：00时</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18：00时</w:t>
      </w:r>
      <w:r>
        <w:rPr>
          <w:rFonts w:hint="eastAsia" w:ascii="宋体" w:hAnsi="宋体" w:eastAsia="宋体" w:cs="宋体"/>
          <w:color w:val="auto"/>
          <w:sz w:val="24"/>
          <w:szCs w:val="24"/>
          <w:highlight w:val="none"/>
        </w:rPr>
        <w:t>（北京时间，法定节假日除外）</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outlineLvl w:val="9"/>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方式：自</w:t>
      </w:r>
      <w:r>
        <w:rPr>
          <w:rFonts w:hint="eastAsia" w:ascii="宋体" w:hAnsi="宋体" w:eastAsia="宋体" w:cs="宋体"/>
          <w:color w:val="auto"/>
          <w:sz w:val="24"/>
          <w:szCs w:val="24"/>
          <w:highlight w:val="none"/>
          <w:u w:val="single"/>
        </w:rPr>
        <w:t>2020年</w:t>
      </w:r>
      <w:r>
        <w:rPr>
          <w:rFonts w:hint="eastAsia" w:ascii="宋体" w:hAnsi="宋体" w:eastAsia="宋体" w:cs="宋体"/>
          <w:color w:val="auto"/>
          <w:sz w:val="24"/>
          <w:szCs w:val="24"/>
          <w:highlight w:val="none"/>
          <w:u w:val="single"/>
          <w:lang w:val="en-US" w:eastAsia="zh-CN"/>
        </w:rPr>
        <w:t xml:space="preserve"> 11</w:t>
      </w:r>
      <w:r>
        <w:rPr>
          <w:rFonts w:hint="eastAsia" w:ascii="宋体" w:hAnsi="宋体" w:eastAsia="宋体" w:cs="宋体"/>
          <w:color w:val="auto"/>
          <w:sz w:val="24"/>
          <w:szCs w:val="24"/>
          <w:highlight w:val="none"/>
          <w:u w:val="single"/>
        </w:rPr>
        <w:t xml:space="preserve"> 月 </w:t>
      </w:r>
      <w:r>
        <w:rPr>
          <w:rFonts w:hint="eastAsia" w:ascii="宋体" w:hAnsi="宋体" w:eastAsia="宋体" w:cs="宋体"/>
          <w:color w:val="auto"/>
          <w:sz w:val="24"/>
          <w:szCs w:val="24"/>
          <w:highlight w:val="none"/>
          <w:u w:val="single"/>
          <w:lang w:val="en-US" w:eastAsia="zh-CN"/>
        </w:rPr>
        <w:t xml:space="preserve">25 </w:t>
      </w:r>
      <w:r>
        <w:rPr>
          <w:rFonts w:hint="eastAsia" w:ascii="宋体" w:hAnsi="宋体" w:eastAsia="宋体" w:cs="宋体"/>
          <w:color w:val="auto"/>
          <w:sz w:val="24"/>
          <w:szCs w:val="24"/>
          <w:highlight w:val="none"/>
          <w:u w:val="single"/>
        </w:rPr>
        <w:t xml:space="preserve"> 日</w:t>
      </w:r>
      <w:r>
        <w:rPr>
          <w:rFonts w:hint="eastAsia" w:ascii="宋体" w:hAnsi="宋体" w:eastAsia="宋体" w:cs="宋体"/>
          <w:color w:val="auto"/>
          <w:sz w:val="24"/>
          <w:szCs w:val="24"/>
          <w:highlight w:val="none"/>
        </w:rPr>
        <w:t>至响应文件递交截止时间前应在政</w:t>
      </w:r>
      <w:r>
        <w:rPr>
          <w:rFonts w:hint="eastAsia" w:ascii="宋体" w:hAnsi="宋体" w:eastAsia="宋体" w:cs="宋体"/>
          <w:color w:val="auto"/>
          <w:sz w:val="24"/>
          <w:szCs w:val="24"/>
          <w:highlight w:val="none"/>
          <w:lang w:eastAsia="zh-CN"/>
        </w:rPr>
        <w:t>府</w:t>
      </w:r>
      <w:r>
        <w:rPr>
          <w:rFonts w:hint="eastAsia" w:ascii="宋体" w:hAnsi="宋体" w:eastAsia="宋体" w:cs="宋体"/>
          <w:color w:val="auto"/>
          <w:sz w:val="24"/>
          <w:szCs w:val="24"/>
          <w:highlight w:val="none"/>
        </w:rPr>
        <w:t>采</w:t>
      </w:r>
      <w:r>
        <w:rPr>
          <w:rFonts w:hint="eastAsia" w:ascii="宋体" w:hAnsi="宋体" w:eastAsia="宋体" w:cs="宋体"/>
          <w:color w:val="auto"/>
          <w:sz w:val="24"/>
          <w:szCs w:val="24"/>
          <w:highlight w:val="none"/>
          <w:lang w:eastAsia="zh-CN"/>
        </w:rPr>
        <w:t>购</w:t>
      </w:r>
      <w:r>
        <w:rPr>
          <w:rFonts w:hint="eastAsia" w:ascii="宋体" w:hAnsi="宋体" w:eastAsia="宋体" w:cs="宋体"/>
          <w:color w:val="auto"/>
          <w:sz w:val="24"/>
          <w:szCs w:val="24"/>
          <w:highlight w:val="none"/>
        </w:rPr>
        <w:t>云平台（</w:t>
      </w:r>
      <w:r>
        <w:rPr>
          <w:rFonts w:hint="eastAsia" w:ascii="宋体" w:hAnsi="宋体" w:eastAsia="宋体" w:cs="宋体"/>
          <w:color w:val="auto"/>
          <w:sz w:val="24"/>
          <w:szCs w:val="24"/>
          <w:highlight w:val="none"/>
          <w:u w:val="none"/>
        </w:rPr>
        <w:t>http://www.zcygov.cn/</w:t>
      </w:r>
      <w:r>
        <w:rPr>
          <w:rFonts w:hint="eastAsia" w:ascii="宋体" w:hAnsi="宋体" w:eastAsia="宋体" w:cs="宋体"/>
          <w:color w:val="auto"/>
          <w:sz w:val="24"/>
          <w:szCs w:val="24"/>
          <w:highlight w:val="none"/>
        </w:rPr>
        <w:t>）注册</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获取竞争性谈判文件。</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pPr>
        <w:keepNext w:val="0"/>
        <w:keepLines w:val="0"/>
        <w:pageBreakBefore w:val="0"/>
        <w:kinsoku/>
        <w:wordWrap/>
        <w:overflowPunct/>
        <w:topLinePunct w:val="0"/>
        <w:autoSpaceDE/>
        <w:autoSpaceDN/>
        <w:bidi w:val="0"/>
        <w:spacing w:line="400" w:lineRule="exact"/>
        <w:outlineLvl w:val="9"/>
        <w:rPr>
          <w:rFonts w:ascii="宋体" w:hAnsi="宋体" w:eastAsia="宋体" w:cs="宋体"/>
          <w:b/>
          <w:bCs/>
          <w:color w:val="auto"/>
          <w:sz w:val="24"/>
          <w:szCs w:val="24"/>
          <w:highlight w:val="none"/>
        </w:rPr>
      </w:pPr>
      <w:bookmarkStart w:id="15" w:name="_Toc35393801"/>
      <w:bookmarkStart w:id="16" w:name="_Toc28359092"/>
      <w:bookmarkStart w:id="17" w:name="_Toc35393632"/>
      <w:bookmarkStart w:id="18" w:name="_Toc28359015"/>
      <w:r>
        <w:rPr>
          <w:rFonts w:hint="eastAsia" w:ascii="宋体" w:hAnsi="宋体" w:eastAsia="宋体" w:cs="宋体"/>
          <w:b/>
          <w:bCs/>
          <w:color w:val="auto"/>
          <w:sz w:val="24"/>
          <w:szCs w:val="24"/>
          <w:highlight w:val="none"/>
        </w:rPr>
        <w:t>四、响应文件提交</w:t>
      </w:r>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outlineLvl w:val="9"/>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 xml:space="preserve">2020年 </w:t>
      </w:r>
      <w:r>
        <w:rPr>
          <w:rFonts w:hint="eastAsia" w:ascii="宋体" w:hAnsi="宋体" w:eastAsia="宋体" w:cs="宋体"/>
          <w:color w:val="auto"/>
          <w:sz w:val="24"/>
          <w:szCs w:val="24"/>
          <w:highlight w:val="none"/>
          <w:u w:val="single"/>
          <w:lang w:val="en-US" w:eastAsia="zh-CN"/>
        </w:rPr>
        <w:t xml:space="preserve">12 </w:t>
      </w:r>
      <w:r>
        <w:rPr>
          <w:rFonts w:hint="eastAsia" w:ascii="宋体" w:hAnsi="宋体" w:eastAsia="宋体" w:cs="宋体"/>
          <w:color w:val="auto"/>
          <w:sz w:val="24"/>
          <w:szCs w:val="24"/>
          <w:highlight w:val="none"/>
          <w:u w:val="single"/>
        </w:rPr>
        <w:t xml:space="preserve">月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u w:val="single"/>
        </w:rPr>
        <w:t xml:space="preserve">日 </w:t>
      </w:r>
      <w:r>
        <w:rPr>
          <w:rFonts w:hint="eastAsia" w:ascii="宋体" w:hAnsi="宋体" w:eastAsia="宋体" w:cs="宋体"/>
          <w:color w:val="auto"/>
          <w:sz w:val="24"/>
          <w:szCs w:val="24"/>
          <w:highlight w:val="none"/>
          <w:u w:val="single"/>
          <w:lang w:val="en-US" w:eastAsia="zh-CN"/>
        </w:rPr>
        <w:t xml:space="preserve"> 15 </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u w:val="single"/>
        </w:rPr>
        <w:t xml:space="preserve"> 分</w:t>
      </w:r>
      <w:r>
        <w:rPr>
          <w:rFonts w:hint="eastAsia" w:ascii="宋体" w:hAnsi="宋体" w:eastAsia="宋体" w:cs="宋体"/>
          <w:bCs/>
          <w:color w:val="auto"/>
          <w:sz w:val="24"/>
          <w:szCs w:val="24"/>
          <w:highlight w:val="none"/>
        </w:rPr>
        <w:t>（北京时间），逾期送达或未密封的竞争性谈判响应文件将予以拒收（或作无效竞争性谈判响应文件处理）。</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outlineLvl w:val="9"/>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广西睿翼工程咨询有限公司（河池市金城江区金城中路2-4号铜鼓园写字楼3楼）</w:t>
      </w:r>
    </w:p>
    <w:p>
      <w:pPr>
        <w:keepNext w:val="0"/>
        <w:keepLines w:val="0"/>
        <w:pageBreakBefore w:val="0"/>
        <w:kinsoku/>
        <w:wordWrap/>
        <w:overflowPunct/>
        <w:topLinePunct w:val="0"/>
        <w:autoSpaceDE/>
        <w:autoSpaceDN/>
        <w:bidi w:val="0"/>
        <w:spacing w:line="400" w:lineRule="exact"/>
        <w:outlineLvl w:val="9"/>
        <w:rPr>
          <w:rFonts w:ascii="宋体" w:hAnsi="宋体" w:eastAsia="宋体" w:cs="宋体"/>
          <w:b/>
          <w:bCs/>
          <w:color w:val="auto"/>
          <w:sz w:val="24"/>
          <w:szCs w:val="24"/>
          <w:highlight w:val="none"/>
        </w:rPr>
      </w:pPr>
      <w:bookmarkStart w:id="19" w:name="_Toc28359016"/>
      <w:bookmarkStart w:id="20" w:name="_Toc28359093"/>
      <w:bookmarkStart w:id="21" w:name="_Toc35393802"/>
      <w:bookmarkStart w:id="22" w:name="_Toc35393633"/>
      <w:r>
        <w:rPr>
          <w:rFonts w:hint="eastAsia" w:ascii="宋体" w:hAnsi="宋体" w:eastAsia="宋体" w:cs="宋体"/>
          <w:b/>
          <w:bCs/>
          <w:color w:val="auto"/>
          <w:sz w:val="24"/>
          <w:szCs w:val="24"/>
          <w:highlight w:val="none"/>
        </w:rPr>
        <w:t>五、开启</w:t>
      </w:r>
      <w:bookmarkEnd w:id="19"/>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2020年</w:t>
      </w:r>
      <w:r>
        <w:rPr>
          <w:rFonts w:hint="eastAsia" w:ascii="宋体" w:hAnsi="宋体" w:eastAsia="宋体" w:cs="宋体"/>
          <w:color w:val="auto"/>
          <w:sz w:val="24"/>
          <w:szCs w:val="24"/>
          <w:highlight w:val="none"/>
          <w:u w:val="single"/>
          <w:lang w:val="en-US" w:eastAsia="zh-CN"/>
        </w:rPr>
        <w:t xml:space="preserve"> 12 </w:t>
      </w:r>
      <w:r>
        <w:rPr>
          <w:rFonts w:hint="eastAsia" w:ascii="宋体" w:hAnsi="宋体" w:eastAsia="宋体" w:cs="宋体"/>
          <w:color w:val="auto"/>
          <w:sz w:val="24"/>
          <w:szCs w:val="24"/>
          <w:highlight w:val="none"/>
          <w:u w:val="single"/>
        </w:rPr>
        <w:t xml:space="preserve"> 月</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single"/>
        </w:rPr>
        <w:t xml:space="preserve">日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点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分</w:t>
      </w:r>
      <w:r>
        <w:rPr>
          <w:rFonts w:hint="eastAsia" w:ascii="宋体" w:hAnsi="宋体" w:eastAsia="宋体" w:cs="宋体"/>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39" w:firstLineChars="183"/>
        <w:textAlignment w:val="auto"/>
        <w:outlineLvl w:val="9"/>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广西睿翼工程咨询有限公司（河池市金城江区金城中路2-4号铜鼓园写字楼3楼）</w:t>
      </w:r>
    </w:p>
    <w:p>
      <w:pPr>
        <w:keepNext w:val="0"/>
        <w:keepLines w:val="0"/>
        <w:pageBreakBefore w:val="0"/>
        <w:kinsoku/>
        <w:wordWrap/>
        <w:overflowPunct/>
        <w:topLinePunct w:val="0"/>
        <w:autoSpaceDE/>
        <w:autoSpaceDN/>
        <w:bidi w:val="0"/>
        <w:spacing w:line="400" w:lineRule="exact"/>
        <w:outlineLvl w:val="9"/>
        <w:rPr>
          <w:rFonts w:ascii="宋体" w:hAnsi="宋体" w:eastAsia="宋体" w:cs="宋体"/>
          <w:b/>
          <w:bCs/>
          <w:color w:val="auto"/>
          <w:sz w:val="24"/>
          <w:szCs w:val="24"/>
          <w:highlight w:val="none"/>
        </w:rPr>
      </w:pPr>
      <w:bookmarkStart w:id="23" w:name="_Toc35393634"/>
      <w:bookmarkStart w:id="24" w:name="_Toc28359094"/>
      <w:bookmarkStart w:id="25" w:name="_Toc35393803"/>
      <w:bookmarkStart w:id="26" w:name="_Toc28359017"/>
      <w:r>
        <w:rPr>
          <w:rFonts w:hint="eastAsia" w:ascii="宋体" w:hAnsi="宋体" w:eastAsia="宋体" w:cs="宋体"/>
          <w:b/>
          <w:bCs/>
          <w:color w:val="auto"/>
          <w:sz w:val="24"/>
          <w:szCs w:val="24"/>
          <w:highlight w:val="none"/>
        </w:rPr>
        <w:t>六、公告期限</w:t>
      </w:r>
      <w:bookmarkEnd w:id="23"/>
      <w:bookmarkEnd w:id="24"/>
      <w:bookmarkEnd w:id="25"/>
      <w:bookmarkEnd w:id="26"/>
    </w:p>
    <w:p>
      <w:pPr>
        <w:keepNext w:val="0"/>
        <w:keepLines w:val="0"/>
        <w:pageBreakBefore w:val="0"/>
        <w:widowControl w:val="0"/>
        <w:kinsoku/>
        <w:wordWrap/>
        <w:overflowPunct/>
        <w:topLinePunct w:val="0"/>
        <w:autoSpaceDE/>
        <w:autoSpaceDN/>
        <w:bidi w:val="0"/>
        <w:spacing w:line="4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keepNext w:val="0"/>
        <w:keepLines w:val="0"/>
        <w:pageBreakBefore w:val="0"/>
        <w:widowControl w:val="0"/>
        <w:kinsoku/>
        <w:wordWrap/>
        <w:overflowPunct/>
        <w:topLinePunct w:val="0"/>
        <w:autoSpaceDE/>
        <w:autoSpaceDN/>
        <w:bidi w:val="0"/>
        <w:spacing w:line="400" w:lineRule="exact"/>
        <w:outlineLvl w:val="9"/>
        <w:rPr>
          <w:rFonts w:ascii="宋体" w:hAnsi="宋体" w:eastAsia="宋体" w:cs="宋体"/>
          <w:b/>
          <w:bCs/>
          <w:color w:val="auto"/>
          <w:sz w:val="24"/>
          <w:szCs w:val="24"/>
          <w:highlight w:val="none"/>
        </w:rPr>
      </w:pPr>
      <w:bookmarkStart w:id="27" w:name="_Toc35393804"/>
      <w:bookmarkStart w:id="28" w:name="_Toc35393635"/>
      <w:r>
        <w:rPr>
          <w:rFonts w:hint="eastAsia" w:ascii="宋体" w:hAnsi="宋体" w:eastAsia="宋体" w:cs="宋体"/>
          <w:b/>
          <w:bCs/>
          <w:color w:val="auto"/>
          <w:sz w:val="24"/>
          <w:szCs w:val="24"/>
          <w:highlight w:val="none"/>
        </w:rPr>
        <w:t>七、其他补充事宜</w:t>
      </w:r>
      <w:bookmarkEnd w:id="27"/>
      <w:bookmarkEnd w:id="28"/>
    </w:p>
    <w:p>
      <w:pPr>
        <w:pStyle w:val="2"/>
        <w:keepNext w:val="0"/>
        <w:keepLines w:val="0"/>
        <w:pageBreakBefore w:val="0"/>
        <w:kinsoku/>
        <w:wordWrap/>
        <w:overflowPunct/>
        <w:topLinePunct w:val="0"/>
        <w:autoSpaceDE/>
        <w:autoSpaceDN/>
        <w:bidi w:val="0"/>
        <w:spacing w:line="400" w:lineRule="exact"/>
        <w:ind w:left="0" w:leftChars="0" w:firstLine="439" w:firstLineChars="183"/>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根据《政府采购非招标采购方式管理办法》第二章第十二条的相关规定，本项目已依法获得采购人和评审专家分别书面推荐的供应商，供应商是：广州彤源仪器有限公司、广州一康生物科技有限公司、广西润沐医疗设备有限公司，被书面推荐的供应商满足资格要求，信誉良好，有较好的履约能力，现推荐该公司参与本项目的竞标活动。</w:t>
      </w:r>
    </w:p>
    <w:p>
      <w:pPr>
        <w:pStyle w:val="2"/>
        <w:keepNext w:val="0"/>
        <w:keepLines w:val="0"/>
        <w:pageBreakBefore w:val="0"/>
        <w:kinsoku/>
        <w:wordWrap/>
        <w:overflowPunct/>
        <w:topLinePunct w:val="0"/>
        <w:autoSpaceDE/>
        <w:autoSpaceDN/>
        <w:bidi w:val="0"/>
        <w:spacing w:line="400" w:lineRule="exact"/>
        <w:ind w:left="0" w:leftChars="0" w:firstLine="439" w:firstLineChars="183"/>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2、采购项目需要落实的政府采购政策：</w:t>
      </w:r>
    </w:p>
    <w:p>
      <w:pPr>
        <w:pStyle w:val="2"/>
        <w:keepNext w:val="0"/>
        <w:keepLines w:val="0"/>
        <w:pageBreakBefore w:val="0"/>
        <w:kinsoku/>
        <w:wordWrap/>
        <w:overflowPunct/>
        <w:topLinePunct w:val="0"/>
        <w:autoSpaceDE/>
        <w:autoSpaceDN/>
        <w:bidi w:val="0"/>
        <w:spacing w:line="400" w:lineRule="exact"/>
        <w:ind w:left="0" w:leftChars="0" w:firstLine="439" w:firstLineChars="183"/>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（1）政府采购促进中小企业发展。（2）政府采购支持采用本国产品的政策。（3）强制采购、优先采购环境标志产品、节能产品。（4）政府采购促进残疾人就业政策。（5）政府采购支持监狱企业发展。</w:t>
      </w:r>
    </w:p>
    <w:p>
      <w:pPr>
        <w:pStyle w:val="2"/>
        <w:keepNext w:val="0"/>
        <w:keepLines w:val="0"/>
        <w:pageBreakBefore w:val="0"/>
        <w:kinsoku/>
        <w:wordWrap/>
        <w:overflowPunct/>
        <w:topLinePunct w:val="0"/>
        <w:autoSpaceDE/>
        <w:autoSpaceDN/>
        <w:bidi w:val="0"/>
        <w:spacing w:line="400" w:lineRule="exact"/>
        <w:ind w:left="0" w:leftChars="0" w:firstLine="439" w:firstLineChars="183"/>
        <w:outlineLvl w:val="9"/>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查询公告地址：</w:t>
      </w:r>
      <w:bookmarkStart w:id="29" w:name="_Toc35393805"/>
      <w:bookmarkStart w:id="30" w:name="_Toc35393636"/>
      <w:bookmarkStart w:id="31" w:name="_Toc28359018"/>
      <w:bookmarkStart w:id="32" w:name="_Toc28359095"/>
      <w:r>
        <w:rPr>
          <w:rFonts w:hint="eastAsia" w:ascii="宋体" w:hAnsi="宋体" w:cs="宋体"/>
          <w:color w:val="auto"/>
          <w:sz w:val="24"/>
          <w:szCs w:val="24"/>
          <w:highlight w:val="none"/>
        </w:rPr>
        <w:t>中国政府采购网(</w:t>
      </w:r>
      <w:r>
        <w:rPr>
          <w:color w:val="auto"/>
          <w:sz w:val="24"/>
          <w:szCs w:val="24"/>
          <w:highlight w:val="none"/>
        </w:rPr>
        <w:fldChar w:fldCharType="begin"/>
      </w:r>
      <w:r>
        <w:rPr>
          <w:color w:val="auto"/>
          <w:sz w:val="24"/>
          <w:szCs w:val="24"/>
          <w:highlight w:val="none"/>
        </w:rPr>
        <w:instrText xml:space="preserve"> HYPERLINK "http://www.ccgp.gov.cn)、" </w:instrText>
      </w:r>
      <w:r>
        <w:rPr>
          <w:color w:val="auto"/>
          <w:sz w:val="24"/>
          <w:szCs w:val="24"/>
          <w:highlight w:val="none"/>
        </w:rPr>
        <w:fldChar w:fldCharType="separate"/>
      </w:r>
      <w:r>
        <w:rPr>
          <w:rStyle w:val="44"/>
          <w:rFonts w:hint="eastAsia" w:ascii="宋体" w:hAnsi="宋体" w:cs="宋体"/>
          <w:color w:val="auto"/>
          <w:sz w:val="24"/>
          <w:szCs w:val="24"/>
          <w:highlight w:val="none"/>
          <w:u w:val="none"/>
        </w:rPr>
        <w:t>www.ccgp.gov.cn)、</w:t>
      </w:r>
      <w:r>
        <w:rPr>
          <w:rStyle w:val="44"/>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none"/>
        </w:rPr>
        <w:t>广西壮族自治区政府采购网（http：//zfcg.gxzf.gov.cn）</w:t>
      </w:r>
    </w:p>
    <w:p>
      <w:pPr>
        <w:keepNext w:val="0"/>
        <w:keepLines w:val="0"/>
        <w:pageBreakBefore w:val="0"/>
        <w:widowControl w:val="0"/>
        <w:kinsoku/>
        <w:wordWrap/>
        <w:overflowPunct/>
        <w:topLinePunct w:val="0"/>
        <w:autoSpaceDE/>
        <w:autoSpaceDN/>
        <w:bidi w:val="0"/>
        <w:spacing w:line="400" w:lineRule="exact"/>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bookmarkEnd w:id="29"/>
      <w:bookmarkEnd w:id="30"/>
      <w:bookmarkEnd w:id="31"/>
      <w:bookmarkEnd w:id="32"/>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rPr>
      </w:pPr>
      <w:bookmarkStart w:id="33" w:name="_Toc28359019"/>
      <w:bookmarkStart w:id="34" w:name="_Toc35393806"/>
      <w:bookmarkStart w:id="35" w:name="_Toc35393637"/>
      <w:bookmarkStart w:id="36" w:name="_Toc28359096"/>
      <w:r>
        <w:rPr>
          <w:rFonts w:hint="eastAsia" w:ascii="宋体" w:hAnsi="宋体" w:eastAsia="宋体" w:cs="宋体"/>
          <w:color w:val="auto"/>
          <w:sz w:val="24"/>
          <w:szCs w:val="24"/>
          <w:highlight w:val="none"/>
        </w:rPr>
        <w:t>1.采购人信息</w:t>
      </w:r>
      <w:bookmarkEnd w:id="33"/>
      <w:bookmarkEnd w:id="34"/>
      <w:bookmarkEnd w:id="35"/>
      <w:bookmarkEnd w:id="36"/>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u w:val="none"/>
          <w:lang w:eastAsia="zh-CN"/>
        </w:rPr>
        <w:t>河池市宜州区卫生健康局</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地址：广西河池市宜州区西屏路南区卫生健康局</w:t>
      </w:r>
      <w:r>
        <w:rPr>
          <w:rFonts w:hint="eastAsia" w:ascii="宋体" w:hAnsi="宋体" w:eastAsia="宋体" w:cs="宋体"/>
          <w:color w:val="auto"/>
          <w:sz w:val="24"/>
          <w:szCs w:val="24"/>
          <w:highlight w:val="none"/>
          <w:u w:val="none"/>
          <w:lang w:val="en-US" w:eastAsia="zh-CN"/>
        </w:rPr>
        <w:t>315</w:t>
      </w:r>
      <w:r>
        <w:rPr>
          <w:rFonts w:hint="eastAsia" w:ascii="宋体" w:hAnsi="宋体" w:eastAsia="宋体" w:cs="宋体"/>
          <w:color w:val="auto"/>
          <w:sz w:val="24"/>
          <w:szCs w:val="24"/>
          <w:highlight w:val="none"/>
          <w:u w:val="none"/>
        </w:rPr>
        <w:t>室</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val="en-US" w:eastAsia="zh-CN"/>
        </w:rPr>
        <w:t>0778-7923394</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u w:val="none"/>
        </w:rPr>
      </w:pPr>
      <w:bookmarkStart w:id="37" w:name="_Toc35393807"/>
      <w:bookmarkStart w:id="38" w:name="_Toc28359020"/>
      <w:bookmarkStart w:id="39" w:name="_Toc35393638"/>
      <w:bookmarkStart w:id="40" w:name="_Toc28359097"/>
      <w:r>
        <w:rPr>
          <w:rFonts w:hint="eastAsia" w:ascii="宋体" w:hAnsi="宋体" w:eastAsia="宋体" w:cs="宋体"/>
          <w:color w:val="auto"/>
          <w:sz w:val="24"/>
          <w:szCs w:val="24"/>
          <w:highlight w:val="none"/>
          <w:u w:val="none"/>
        </w:rPr>
        <w:t>2.采购代理机构信息</w:t>
      </w:r>
      <w:bookmarkEnd w:id="37"/>
      <w:bookmarkEnd w:id="38"/>
      <w:bookmarkEnd w:id="39"/>
      <w:bookmarkEnd w:id="40"/>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名称：广西睿翼工程咨询有限公司　</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地址：河池市金城江区金城中路2-4号铜鼓园写字楼3楼　</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联系方式：0778-2211981  　</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rPr>
      </w:pPr>
      <w:bookmarkStart w:id="41" w:name="_Toc28359021"/>
      <w:bookmarkStart w:id="42" w:name="_Toc35393808"/>
      <w:bookmarkStart w:id="43" w:name="_Toc35393639"/>
      <w:bookmarkStart w:id="44" w:name="_Toc28359098"/>
      <w:r>
        <w:rPr>
          <w:rFonts w:hint="eastAsia" w:ascii="宋体" w:hAnsi="宋体" w:eastAsia="宋体" w:cs="宋体"/>
          <w:color w:val="auto"/>
          <w:sz w:val="24"/>
          <w:szCs w:val="24"/>
          <w:highlight w:val="none"/>
        </w:rPr>
        <w:t>3.项目联系方式</w:t>
      </w:r>
      <w:bookmarkEnd w:id="41"/>
      <w:bookmarkEnd w:id="42"/>
      <w:bookmarkEnd w:id="43"/>
      <w:bookmarkEnd w:id="44"/>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项目联系人：万</w:t>
      </w:r>
      <w:r>
        <w:rPr>
          <w:rFonts w:hint="eastAsia" w:ascii="宋体" w:hAnsi="宋体" w:eastAsia="宋体" w:cs="宋体"/>
          <w:color w:val="auto"/>
          <w:sz w:val="24"/>
          <w:szCs w:val="24"/>
          <w:highlight w:val="none"/>
          <w:lang w:eastAsia="zh-CN"/>
        </w:rPr>
        <w:t>永凤</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电话：0778-2211981　</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4、监督部门:河池市宜州区财政局政府采购监督管理股  联系电话：0778-3188779</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outlineLvl w:val="9"/>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0" w:line="440" w:lineRule="exact"/>
        <w:ind w:left="20" w:leftChars="9" w:firstLine="19" w:firstLineChars="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：河池市宜州区卫生健康局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rPr>
        <w:t>采购代理机构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广西睿翼工程咨询有限公司</w:t>
      </w:r>
    </w:p>
    <w:p>
      <w:pPr>
        <w:pStyle w:val="16"/>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after="0" w:line="440" w:lineRule="exact"/>
        <w:ind w:firstLine="720" w:firstLineChars="3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2020年 </w:t>
      </w: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2020年 </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 xml:space="preserve"> 日</w:t>
      </w:r>
    </w:p>
    <w:p>
      <w:pPr>
        <w:rPr>
          <w:rFonts w:hint="eastAsia" w:ascii="宋体" w:hAnsi="宋体"/>
          <w:b/>
          <w:color w:val="auto"/>
          <w:highlight w:val="none"/>
        </w:rPr>
      </w:pPr>
    </w:p>
    <w:p>
      <w:pPr>
        <w:pStyle w:val="16"/>
        <w:rPr>
          <w:rFonts w:hint="eastAsia"/>
          <w:color w:val="auto"/>
          <w:highlight w:val="none"/>
        </w:rPr>
      </w:pPr>
    </w:p>
    <w:p>
      <w:pPr>
        <w:pStyle w:val="3"/>
        <w:spacing w:beforeLines="100" w:afterLines="100"/>
        <w:ind w:firstLine="1084" w:firstLineChars="300"/>
        <w:rPr>
          <w:rFonts w:ascii="宋体" w:hAnsi="宋体" w:eastAsia="宋体"/>
          <w:color w:val="auto"/>
          <w:highlight w:val="none"/>
        </w:rPr>
      </w:pPr>
      <w:bookmarkStart w:id="45" w:name="_Toc246095514"/>
      <w:bookmarkStart w:id="46" w:name="_Toc13678"/>
      <w:bookmarkStart w:id="47" w:name="_Toc246095452"/>
      <w:bookmarkStart w:id="48" w:name="_Toc246094908"/>
      <w:r>
        <w:rPr>
          <w:rFonts w:hint="eastAsia" w:ascii="宋体" w:hAnsi="宋体" w:eastAsia="宋体"/>
          <w:b/>
          <w:bCs/>
          <w:color w:val="auto"/>
          <w:highlight w:val="none"/>
        </w:rPr>
        <w:t>第二章  供应商须知</w:t>
      </w:r>
      <w:bookmarkEnd w:id="45"/>
      <w:bookmarkEnd w:id="46"/>
      <w:bookmarkEnd w:id="47"/>
      <w:bookmarkEnd w:id="48"/>
    </w:p>
    <w:p>
      <w:pPr>
        <w:pStyle w:val="4"/>
        <w:spacing w:afterLines="100" w:line="400" w:lineRule="exact"/>
        <w:ind w:firstLine="640" w:firstLineChars="200"/>
        <w:rPr>
          <w:rFonts w:ascii="宋体" w:hAnsi="宋体" w:eastAsia="宋体"/>
          <w:color w:val="auto"/>
          <w:highlight w:val="none"/>
        </w:rPr>
      </w:pPr>
      <w:bookmarkStart w:id="49" w:name="_Toc246094909"/>
      <w:bookmarkStart w:id="50" w:name="_Toc31896"/>
      <w:bookmarkStart w:id="51" w:name="_Toc246095453"/>
      <w:bookmarkStart w:id="52" w:name="_Toc246095515"/>
      <w:r>
        <w:rPr>
          <w:rFonts w:hint="eastAsia" w:ascii="宋体" w:hAnsi="宋体" w:eastAsia="宋体"/>
          <w:color w:val="auto"/>
          <w:highlight w:val="none"/>
        </w:rPr>
        <w:t>供应商须知前附表</w:t>
      </w:r>
      <w:bookmarkEnd w:id="49"/>
      <w:bookmarkEnd w:id="50"/>
      <w:bookmarkEnd w:id="51"/>
      <w:bookmarkEnd w:id="52"/>
    </w:p>
    <w:tbl>
      <w:tblPr>
        <w:tblStyle w:val="38"/>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625"/>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360" w:lineRule="exact"/>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625" w:type="dxa"/>
            <w:vAlign w:val="center"/>
          </w:tcPr>
          <w:p>
            <w:pPr>
              <w:spacing w:after="0" w:line="360" w:lineRule="exact"/>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7226" w:type="dxa"/>
            <w:vAlign w:val="center"/>
          </w:tcPr>
          <w:p>
            <w:pPr>
              <w:spacing w:after="0" w:line="360" w:lineRule="exact"/>
              <w:ind w:firstLine="422" w:firstLineChars="20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7226" w:type="dxa"/>
            <w:vAlign w:val="center"/>
          </w:tcPr>
          <w:p>
            <w:pPr>
              <w:spacing w:after="0" w:line="36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lang w:eastAsia="zh-CN"/>
              </w:rPr>
              <w:t>河池市宜州区卫生健康局</w:t>
            </w:r>
          </w:p>
          <w:p>
            <w:pPr>
              <w:spacing w:after="0"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联系地址：</w:t>
            </w:r>
            <w:r>
              <w:rPr>
                <w:rFonts w:hint="eastAsia" w:ascii="宋体" w:hAnsi="宋体" w:eastAsia="宋体" w:cs="宋体"/>
                <w:color w:val="auto"/>
                <w:sz w:val="24"/>
                <w:szCs w:val="24"/>
                <w:highlight w:val="none"/>
                <w:u w:val="none"/>
              </w:rPr>
              <w:t>广西河池市宜州区西屏路南区卫生健康局</w:t>
            </w:r>
            <w:r>
              <w:rPr>
                <w:rFonts w:hint="eastAsia" w:ascii="宋体" w:hAnsi="宋体" w:eastAsia="宋体" w:cs="宋体"/>
                <w:color w:val="auto"/>
                <w:sz w:val="24"/>
                <w:szCs w:val="24"/>
                <w:highlight w:val="none"/>
                <w:u w:val="none"/>
                <w:lang w:val="en-US" w:eastAsia="zh-CN"/>
              </w:rPr>
              <w:t>315</w:t>
            </w:r>
            <w:r>
              <w:rPr>
                <w:rFonts w:hint="eastAsia" w:ascii="宋体" w:hAnsi="宋体" w:eastAsia="宋体" w:cs="宋体"/>
                <w:color w:val="auto"/>
                <w:sz w:val="24"/>
                <w:szCs w:val="24"/>
                <w:highlight w:val="none"/>
                <w:u w:val="none"/>
              </w:rPr>
              <w:t>室</w:t>
            </w:r>
          </w:p>
          <w:p>
            <w:pPr>
              <w:spacing w:after="0" w:line="360" w:lineRule="exact"/>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陈珊珊</w:t>
            </w:r>
            <w:r>
              <w:rPr>
                <w:rFonts w:hint="eastAsia" w:ascii="宋体" w:hAnsi="宋体" w:eastAsia="宋体"/>
                <w:color w:val="auto"/>
                <w:sz w:val="21"/>
                <w:szCs w:val="21"/>
                <w:highlight w:val="none"/>
              </w:rPr>
              <w:t xml:space="preserve"> ；     联系电话：</w:t>
            </w:r>
            <w:r>
              <w:rPr>
                <w:rFonts w:hint="eastAsia" w:ascii="宋体" w:hAnsi="宋体" w:eastAsia="宋体"/>
                <w:color w:val="auto"/>
                <w:sz w:val="21"/>
                <w:szCs w:val="21"/>
                <w:highlight w:val="none"/>
                <w:lang w:val="en-US" w:eastAsia="zh-CN"/>
              </w:rPr>
              <w:t xml:space="preserve">0778-7923394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bCs/>
                <w:color w:val="auto"/>
                <w:sz w:val="21"/>
                <w:szCs w:val="21"/>
                <w:highlight w:val="none"/>
              </w:rPr>
              <w:t>采购代理机构</w:t>
            </w:r>
          </w:p>
        </w:tc>
        <w:tc>
          <w:tcPr>
            <w:tcW w:w="7226" w:type="dxa"/>
            <w:vAlign w:val="center"/>
          </w:tcPr>
          <w:p>
            <w:pPr>
              <w:spacing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名称：广西睿翼工程咨询有限公司</w:t>
            </w:r>
          </w:p>
          <w:p>
            <w:pPr>
              <w:spacing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河池市金城江区金城中路2-4号铜鼓园写字楼3楼</w:t>
            </w:r>
          </w:p>
          <w:p>
            <w:pPr>
              <w:spacing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联系人：万永凤        联系电话：0778-2211981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226" w:type="dxa"/>
            <w:vAlign w:val="center"/>
          </w:tcPr>
          <w:p>
            <w:pPr>
              <w:spacing w:after="0"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广西基层呼吸系统疾病早期筛查干预能力提升项目-医疗设备采购（肺功能仪）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tc>
        <w:tc>
          <w:tcPr>
            <w:tcW w:w="7226" w:type="dxa"/>
            <w:vAlign w:val="center"/>
          </w:tcPr>
          <w:p>
            <w:pPr>
              <w:spacing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HCZC2020-J1-810267-GXRY</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采购预算</w:t>
            </w:r>
          </w:p>
        </w:tc>
        <w:tc>
          <w:tcPr>
            <w:tcW w:w="7226" w:type="dxa"/>
            <w:vAlign w:val="center"/>
          </w:tcPr>
          <w:p>
            <w:pPr>
              <w:spacing w:after="0" w:line="360" w:lineRule="exact"/>
              <w:rPr>
                <w:rFonts w:ascii="宋体" w:hAnsi="宋体" w:eastAsia="宋体" w:cs="Arial"/>
                <w:bCs/>
                <w:color w:val="auto"/>
                <w:sz w:val="21"/>
                <w:szCs w:val="21"/>
                <w:highlight w:val="none"/>
              </w:rPr>
            </w:pPr>
            <w:r>
              <w:rPr>
                <w:rFonts w:hint="eastAsia" w:ascii="宋体" w:hAnsi="宋体" w:eastAsia="宋体" w:cs="Arial"/>
                <w:bCs/>
                <w:color w:val="auto"/>
                <w:sz w:val="21"/>
                <w:szCs w:val="21"/>
                <w:highlight w:val="none"/>
              </w:rPr>
              <w:t>人民币</w:t>
            </w:r>
            <w:r>
              <w:rPr>
                <w:rFonts w:hint="eastAsia" w:ascii="宋体" w:hAnsi="宋体" w:eastAsia="宋体" w:cs="Arial"/>
                <w:bCs/>
                <w:color w:val="auto"/>
                <w:sz w:val="21"/>
                <w:szCs w:val="21"/>
                <w:highlight w:val="none"/>
                <w:lang w:val="en-US" w:eastAsia="zh-CN"/>
              </w:rPr>
              <w:t>300000.00</w:t>
            </w:r>
            <w:r>
              <w:rPr>
                <w:rFonts w:hint="eastAsia" w:ascii="宋体" w:hAnsi="宋体" w:eastAsia="宋体" w:cs="Arial"/>
                <w:bCs/>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资金来源</w:t>
            </w:r>
          </w:p>
        </w:tc>
        <w:tc>
          <w:tcPr>
            <w:tcW w:w="7226" w:type="dxa"/>
            <w:vAlign w:val="center"/>
          </w:tcPr>
          <w:p>
            <w:pPr>
              <w:spacing w:after="0" w:line="360" w:lineRule="exact"/>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0"/>
              <w:spacing w:line="360" w:lineRule="exact"/>
              <w:jc w:val="center"/>
              <w:rPr>
                <w:rFonts w:hAnsi="宋体" w:cs="宋体"/>
                <w:bCs/>
                <w:color w:val="auto"/>
                <w:kern w:val="0"/>
                <w:szCs w:val="21"/>
                <w:highlight w:val="none"/>
              </w:rPr>
            </w:pPr>
            <w:r>
              <w:rPr>
                <w:rFonts w:hint="eastAsia" w:hAnsi="宋体" w:cs="宋体"/>
                <w:bCs/>
                <w:color w:val="auto"/>
                <w:kern w:val="0"/>
                <w:szCs w:val="21"/>
                <w:highlight w:val="none"/>
              </w:rPr>
              <w:t>1.8</w:t>
            </w:r>
          </w:p>
        </w:tc>
        <w:tc>
          <w:tcPr>
            <w:tcW w:w="1625" w:type="dxa"/>
            <w:vAlign w:val="center"/>
          </w:tcPr>
          <w:p>
            <w:pPr>
              <w:pStyle w:val="20"/>
              <w:spacing w:line="360" w:lineRule="exact"/>
              <w:jc w:val="center"/>
              <w:rPr>
                <w:rFonts w:hAnsi="宋体" w:cs="宋体"/>
                <w:bCs/>
                <w:color w:val="auto"/>
                <w:kern w:val="0"/>
                <w:szCs w:val="21"/>
                <w:highlight w:val="none"/>
              </w:rPr>
            </w:pPr>
            <w:r>
              <w:rPr>
                <w:rFonts w:hint="eastAsia" w:hAnsi="宋体" w:cs="宋体"/>
                <w:bCs/>
                <w:color w:val="auto"/>
                <w:kern w:val="0"/>
                <w:szCs w:val="21"/>
                <w:highlight w:val="none"/>
              </w:rPr>
              <w:t>预留采购份额</w:t>
            </w:r>
          </w:p>
        </w:tc>
        <w:tc>
          <w:tcPr>
            <w:tcW w:w="7226" w:type="dxa"/>
            <w:vAlign w:val="center"/>
          </w:tcPr>
          <w:p>
            <w:pPr>
              <w:pStyle w:val="20"/>
              <w:spacing w:line="360" w:lineRule="exact"/>
              <w:ind w:left="596" w:hanging="596" w:hangingChars="284"/>
              <w:rPr>
                <w:rFonts w:hAnsi="宋体" w:cs="宋体"/>
                <w:bCs/>
                <w:color w:val="auto"/>
                <w:kern w:val="0"/>
                <w:szCs w:val="21"/>
                <w:highlight w:val="none"/>
              </w:rPr>
            </w:pPr>
            <w:r>
              <w:rPr>
                <w:rFonts w:hint="eastAsia" w:hAnsi="宋体" w:cs="宋体"/>
                <w:bCs/>
                <w:color w:val="auto"/>
                <w:kern w:val="0"/>
                <w:szCs w:val="21"/>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供应商资格条件</w:t>
            </w:r>
          </w:p>
        </w:tc>
        <w:tc>
          <w:tcPr>
            <w:tcW w:w="7226" w:type="dxa"/>
            <w:vAlign w:val="center"/>
          </w:tcPr>
          <w:p>
            <w:pPr>
              <w:widowControl w:val="0"/>
              <w:autoSpaceDE w:val="0"/>
              <w:adjustRightInd/>
              <w:snapToGrid/>
              <w:spacing w:after="0" w:line="38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1.满足《中华人民共和国政府采购法》第二十二条规定；</w:t>
            </w:r>
          </w:p>
          <w:p>
            <w:pPr>
              <w:widowControl w:val="0"/>
              <w:autoSpaceDE w:val="0"/>
              <w:adjustRightInd/>
              <w:snapToGrid/>
              <w:spacing w:after="0" w:line="38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2.落实政府采购政策需满足的资格要求：本项目属于非专门面向中小企业采购的项目。</w:t>
            </w:r>
          </w:p>
          <w:p>
            <w:pPr>
              <w:widowControl w:val="0"/>
              <w:autoSpaceDE w:val="0"/>
              <w:adjustRightInd/>
              <w:snapToGrid/>
              <w:spacing w:after="0" w:line="380" w:lineRule="exact"/>
              <w:ind w:firstLine="420" w:firstLineChars="2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3.本项目的特定资格要求：</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已经依法获得采购人和评审专家分别书面推荐的供应商并在规定时间内获取采购文件的供应商才有资格参与谈判；</w:t>
            </w:r>
          </w:p>
          <w:p>
            <w:pPr>
              <w:widowControl w:val="0"/>
              <w:autoSpaceDE w:val="0"/>
              <w:adjustRightInd/>
              <w:snapToGrid/>
              <w:spacing w:after="0" w:line="380" w:lineRule="exact"/>
              <w:ind w:firstLine="420" w:firstLineChars="2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竞标人具备由食品药品监督管理部门颁发的有效的证件【生产企业：生产第二类医疗器械须提供《医疗器械生产许可证》；经营企业经营第二类医疗器械的须提供《第二类医疗器械经营备案凭证》（多证合一的需提供相应资料）；</w:t>
            </w:r>
          </w:p>
          <w:p>
            <w:pPr>
              <w:widowControl w:val="0"/>
              <w:autoSpaceDE w:val="0"/>
              <w:adjustRightInd/>
              <w:snapToGrid/>
              <w:spacing w:after="0" w:line="38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val="0"/>
              <w:autoSpaceDE w:val="0"/>
              <w:adjustRightInd/>
              <w:snapToGrid/>
              <w:spacing w:after="0" w:line="380" w:lineRule="exact"/>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olor w:val="auto"/>
                <w:sz w:val="21"/>
                <w:szCs w:val="21"/>
                <w:highlight w:val="none"/>
              </w:rPr>
              <w:t>招标代理服务费</w:t>
            </w:r>
          </w:p>
        </w:tc>
        <w:tc>
          <w:tcPr>
            <w:tcW w:w="7226" w:type="dxa"/>
            <w:vAlign w:val="center"/>
          </w:tcPr>
          <w:p>
            <w:pPr>
              <w:autoSpaceDE w:val="0"/>
              <w:autoSpaceDN w:val="0"/>
              <w:spacing w:after="0"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本项目招标代理服务费按本章第33条规定的费率标准，按差额定率累进法计算。成交人领取成交通知书前，应向采购代理机构一次付清招标代理服务费。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现场勘察</w:t>
            </w:r>
          </w:p>
        </w:tc>
        <w:tc>
          <w:tcPr>
            <w:tcW w:w="7226" w:type="dxa"/>
            <w:vAlign w:val="center"/>
          </w:tcPr>
          <w:p>
            <w:pPr>
              <w:autoSpaceDE w:val="0"/>
              <w:autoSpaceDN w:val="0"/>
              <w:spacing w:after="0"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3"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olor w:val="auto"/>
                <w:sz w:val="21"/>
                <w:szCs w:val="21"/>
                <w:highlight w:val="none"/>
              </w:rPr>
              <w:t>不组织。由供应商自行决定是否勘察现场，建议供应商自行对项目现场和其周围环境进行现场勘察，以获取有关编制响应文件和签署实施项目合同所需的各种资料。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olor w:val="auto"/>
                <w:sz w:val="21"/>
                <w:szCs w:val="21"/>
                <w:highlight w:val="none"/>
              </w:rPr>
              <w:t>10.1.1</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olor w:val="auto"/>
                <w:sz w:val="21"/>
                <w:szCs w:val="21"/>
                <w:highlight w:val="none"/>
              </w:rPr>
              <w:t>价格文件组成内容</w:t>
            </w:r>
          </w:p>
        </w:tc>
        <w:tc>
          <w:tcPr>
            <w:tcW w:w="7226" w:type="dxa"/>
            <w:vAlign w:val="center"/>
          </w:tcPr>
          <w:p>
            <w:pPr>
              <w:autoSpaceDE w:val="0"/>
              <w:autoSpaceDN w:val="0"/>
              <w:spacing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价格文件（下列文件列明“必须提供”的，须加盖公章按要求提供，否则作竞标无效处理）</w:t>
            </w:r>
            <w:r>
              <w:rPr>
                <w:rFonts w:hint="eastAsia" w:ascii="宋体" w:hAnsi="宋体" w:eastAsia="宋体" w:cs="宋体"/>
                <w:color w:val="auto"/>
                <w:sz w:val="21"/>
                <w:szCs w:val="21"/>
                <w:highlight w:val="none"/>
              </w:rPr>
              <w:t>：</w:t>
            </w:r>
          </w:p>
          <w:p>
            <w:pPr>
              <w:pStyle w:val="95"/>
              <w:numPr>
                <w:ilvl w:val="0"/>
                <w:numId w:val="1"/>
              </w:numPr>
              <w:autoSpaceDE w:val="0"/>
              <w:autoSpaceDN w:val="0"/>
              <w:spacing w:after="0" w:line="36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谈判报价表；（格式见附件，</w:t>
            </w:r>
            <w:r>
              <w:rPr>
                <w:rFonts w:hint="eastAsia" w:ascii="宋体" w:hAnsi="宋体" w:eastAsia="宋体" w:cs="宋体"/>
                <w:b/>
                <w:color w:val="auto"/>
                <w:sz w:val="21"/>
                <w:szCs w:val="21"/>
                <w:highlight w:val="none"/>
              </w:rPr>
              <w:t>必须提供)</w:t>
            </w:r>
          </w:p>
          <w:p>
            <w:pPr>
              <w:autoSpaceDE w:val="0"/>
              <w:autoSpaceDN w:val="0"/>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10.1.2</w:t>
            </w:r>
          </w:p>
        </w:tc>
        <w:tc>
          <w:tcPr>
            <w:tcW w:w="1625" w:type="dxa"/>
            <w:vAlign w:val="center"/>
          </w:tcPr>
          <w:p>
            <w:pPr>
              <w:spacing w:after="0" w:line="36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商务技术文件组成内容</w:t>
            </w:r>
          </w:p>
        </w:tc>
        <w:tc>
          <w:tcPr>
            <w:tcW w:w="7226" w:type="dxa"/>
            <w:vAlign w:val="center"/>
          </w:tcPr>
          <w:p>
            <w:pPr>
              <w:topLinePunct/>
              <w:adjustRightInd/>
              <w:spacing w:after="0" w:line="36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技术文件（下列文件列明“必须提供”的，须加盖公章按要求提供，否则作竞标无效处理；其余项结合第三章“项目采购需求和说明”要求提供，要求“必须提供”的，如未提供，谈判小组有权拒绝其响应文件。</w:t>
            </w:r>
            <w:r>
              <w:rPr>
                <w:rFonts w:hint="eastAsia" w:ascii="宋体" w:hAnsi="宋体" w:eastAsia="宋体" w:cs="宋体"/>
                <w:b/>
                <w:color w:val="auto"/>
                <w:sz w:val="21"/>
                <w:szCs w:val="21"/>
                <w:highlight w:val="none"/>
                <w:u w:val="single"/>
              </w:rPr>
              <w:t>供应商所提供的材料不完整，或模糊不清以致关键信息无法辨认的，谈判小组有权认定该材料无效</w:t>
            </w:r>
            <w:r>
              <w:rPr>
                <w:rFonts w:hint="eastAsia" w:ascii="宋体" w:hAnsi="宋体" w:eastAsia="宋体" w:cs="宋体"/>
                <w:b/>
                <w:color w:val="auto"/>
                <w:sz w:val="21"/>
                <w:szCs w:val="21"/>
                <w:highlight w:val="none"/>
              </w:rPr>
              <w:t>。其他如有请提供）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bookmarkStart w:id="53" w:name="_Hlk38193327"/>
            <w:r>
              <w:rPr>
                <w:rFonts w:hint="eastAsia" w:ascii="宋体" w:hAnsi="宋体" w:eastAsia="宋体" w:cs="宋体"/>
                <w:color w:val="auto"/>
                <w:sz w:val="21"/>
                <w:szCs w:val="21"/>
                <w:highlight w:val="none"/>
              </w:rPr>
              <w:t>谈判书；（格式见附件，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竞标声明书；（格式见附件，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谈判保证金交纳证明材料；</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格式见附件，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技术响应、偏离情况说明表及商务偏离表；（格式见附件，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售后服务承诺（由供应商按本项目竞争性谈判文件第三章“项目采购需求和说明”要求自行编制）；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有效的“营业执照”正本或副本复印件</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事业单位提供事业单位法人证书）；</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供应商所在地税务部门出具的有效证明（复印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截止之日前三个月内任意一个月的依法缴纳社会保险费或依法免缴社保费的相关证明（新成立的且不足一个月的企业按实际提供），证明材料可以是：银行已缴纳依法免缴社保费复印件或第三方有效的相关业务托缴凭证或其他有效证明；不需要缴纳社会保险金的应提供供应商所在地有关行政主管部门出具相应的文件证明（复印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竞标人经第三方审计的2019年度的财务报表（账务报表至少包含资产负债表、利润表、现金流量表及其附注、审计报告）</w:t>
            </w:r>
            <w:r>
              <w:rPr>
                <w:rFonts w:hint="eastAsia" w:ascii="宋体" w:hAnsi="宋体" w:eastAsia="宋体" w:cs="宋体"/>
                <w:color w:val="auto"/>
                <w:sz w:val="21"/>
                <w:szCs w:val="21"/>
                <w:highlight w:val="none"/>
              </w:rPr>
              <w:t>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具备履行合同所必需的设备和专业技术服务能力的承诺书（格式见附件）；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olor w:val="auto"/>
                <w:sz w:val="21"/>
                <w:szCs w:val="21"/>
                <w:highlight w:val="none"/>
              </w:rPr>
              <w:t>参加本次政府采购活动前三年内在经营活动中无重大违法记录</w:t>
            </w:r>
            <w:r>
              <w:rPr>
                <w:rFonts w:hint="eastAsia" w:ascii="宋体" w:hAnsi="宋体" w:eastAsia="宋体" w:cs="宋体"/>
                <w:color w:val="auto"/>
                <w:sz w:val="21"/>
                <w:szCs w:val="21"/>
                <w:highlight w:val="none"/>
              </w:rPr>
              <w:t>的书面声明原件；（格式见附件，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本须知3.1款对</w:t>
            </w:r>
            <w:r>
              <w:rPr>
                <w:rFonts w:hint="eastAsia" w:ascii="宋体" w:hAnsi="宋体" w:eastAsia="宋体"/>
                <w:color w:val="auto"/>
                <w:sz w:val="21"/>
                <w:szCs w:val="21"/>
                <w:highlight w:val="none"/>
              </w:rPr>
              <w:t>供应商特定要求的证明材料</w:t>
            </w:r>
            <w:r>
              <w:rPr>
                <w:rFonts w:hint="eastAsia" w:ascii="宋体" w:hAnsi="宋体" w:eastAsia="宋体" w:cs="宋体"/>
                <w:b/>
                <w:color w:val="auto"/>
                <w:sz w:val="21"/>
                <w:szCs w:val="21"/>
                <w:highlight w:val="none"/>
              </w:rPr>
              <w:t>（如有要求的，必须提供）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供应商控股及管理关系情况申报表；（格式见附件，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法定代表人身份证明书原件及法定代表人有效身份证正反面复印件；（格式见附件）</w:t>
            </w:r>
            <w:r>
              <w:rPr>
                <w:rFonts w:hint="eastAsia" w:ascii="宋体" w:hAnsi="宋体" w:eastAsia="宋体" w:cs="宋体"/>
                <w:b/>
                <w:color w:val="auto"/>
                <w:sz w:val="21"/>
                <w:szCs w:val="21"/>
                <w:highlight w:val="none"/>
              </w:rPr>
              <w:t>（必须提供）</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法定代表人授权委托书原件及被授权人有效身份证正反面复印件；（格式见附件，</w:t>
            </w:r>
            <w:r>
              <w:rPr>
                <w:rFonts w:hint="eastAsia" w:ascii="宋体" w:hAnsi="宋体" w:eastAsia="宋体" w:cs="宋体"/>
                <w:b/>
                <w:color w:val="auto"/>
                <w:sz w:val="21"/>
                <w:szCs w:val="21"/>
                <w:highlight w:val="none"/>
              </w:rPr>
              <w:t>委托时必须提供，否则竞标无效）</w:t>
            </w:r>
          </w:p>
          <w:p>
            <w:pPr>
              <w:pStyle w:val="95"/>
              <w:numPr>
                <w:ilvl w:val="0"/>
                <w:numId w:val="2"/>
              </w:numPr>
              <w:autoSpaceDE w:val="0"/>
              <w:autoSpaceDN w:val="0"/>
              <w:spacing w:after="0" w:line="360" w:lineRule="exact"/>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需要提供的有关资料、文件、说明（如货物认证、检测报告、鉴定证书；产品获奖证书；产品样本、使用保养说明书、图纸等技术资料；竞标产品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10.1.3</w:t>
            </w:r>
          </w:p>
        </w:tc>
        <w:tc>
          <w:tcPr>
            <w:tcW w:w="1625" w:type="dxa"/>
            <w:vAlign w:val="center"/>
          </w:tcPr>
          <w:p>
            <w:pPr>
              <w:spacing w:after="0" w:line="360" w:lineRule="exact"/>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响应文件电子版</w:t>
            </w:r>
          </w:p>
        </w:tc>
        <w:tc>
          <w:tcPr>
            <w:tcW w:w="7226" w:type="dxa"/>
            <w:vAlign w:val="center"/>
          </w:tcPr>
          <w:p>
            <w:pPr>
              <w:autoSpaceDE w:val="0"/>
              <w:autoSpaceDN w:val="0"/>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供应商在递交响应文件时，需同时递交响应文件电子版。具体要求：</w:t>
            </w:r>
          </w:p>
          <w:p>
            <w:pPr>
              <w:autoSpaceDE w:val="0"/>
              <w:autoSpaceDN w:val="0"/>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（1）响应文件电子版内容：与全部响应文件正本内容一致；</w:t>
            </w:r>
          </w:p>
          <w:p>
            <w:pPr>
              <w:autoSpaceDE w:val="0"/>
              <w:autoSpaceDN w:val="0"/>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（2）响应文件电子版份数：1份；</w:t>
            </w:r>
          </w:p>
          <w:p>
            <w:pPr>
              <w:autoSpaceDE w:val="0"/>
              <w:autoSpaceDN w:val="0"/>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（3）响应文件电子版形式：已签字盖章且未加密的PDF格式响应文件电子版光盘（或U盘）。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响应有效期</w:t>
            </w:r>
          </w:p>
        </w:tc>
        <w:tc>
          <w:tcPr>
            <w:tcW w:w="7226" w:type="dxa"/>
            <w:vAlign w:val="center"/>
          </w:tcPr>
          <w:p>
            <w:pPr>
              <w:spacing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谈判保证金</w:t>
            </w:r>
          </w:p>
        </w:tc>
        <w:tc>
          <w:tcPr>
            <w:tcW w:w="7226" w:type="dxa"/>
            <w:vAlign w:val="center"/>
          </w:tcPr>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竞标保证金金额：</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仟元整（￥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000.00）</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竞标保证金交纳形式：转账或电汇或保函等方式提交</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采用银行转账、电汇形式缴纳的，必须在竞标截止时间前将竞标保证金交到以下指定账户，因银行流程或谈判供应商办理不及时等原因导致收款人财务部门未能及时收到保证金，其责任由谈判供应商自行承担，在竞标截止时间前于开标现场查验银行转帐底单原件（备注：电子转账的底单原件可采用彩色打印件并加盖转账单位公章），复印件加盖谈判供应商公章装入竞争性谈判响应文件，否则采购人有权拒绝接受竞标。</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户  名：广西睿翼工程咨询有限公司</w:t>
            </w:r>
            <w:r>
              <w:rPr>
                <w:rFonts w:hint="eastAsia" w:ascii="宋体" w:hAnsi="宋体" w:eastAsia="宋体" w:cs="宋体"/>
                <w:color w:val="auto"/>
                <w:sz w:val="21"/>
                <w:szCs w:val="21"/>
                <w:highlight w:val="none"/>
                <w:lang w:eastAsia="zh-CN"/>
              </w:rPr>
              <w:t>河池分公司</w:t>
            </w:r>
            <w:r>
              <w:rPr>
                <w:rFonts w:hint="eastAsia" w:ascii="宋体" w:hAnsi="宋体" w:eastAsia="宋体" w:cs="宋体"/>
                <w:color w:val="auto"/>
                <w:sz w:val="21"/>
                <w:szCs w:val="21"/>
                <w:highlight w:val="none"/>
              </w:rPr>
              <w:t xml:space="preserve">         </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开户行：中国工商银行河池市金龙湾支行             </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lang w:val="en-US" w:eastAsia="zh-CN"/>
              </w:rPr>
              <w:t>2114 8107 0930 0060 820</w:t>
            </w:r>
            <w:r>
              <w:rPr>
                <w:rFonts w:hint="eastAsia" w:ascii="宋体" w:hAnsi="宋体" w:eastAsia="宋体" w:cs="宋体"/>
                <w:color w:val="auto"/>
                <w:sz w:val="21"/>
                <w:szCs w:val="21"/>
                <w:highlight w:val="none"/>
              </w:rPr>
              <w:t xml:space="preserve">  </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本项目不接受现金形式或从个人账户转出的竞标保证金。凡未在规定时间内足额交纳竞标保证金的均视为无效。</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办竞标保证金缴纳手续时，请务必在银行进帐单或电汇单的用途或空白栏上注明项目名称（简称即可）或项目编号，以免耽误竞标。</w:t>
            </w:r>
          </w:p>
          <w:p>
            <w:pPr>
              <w:spacing w:after="0" w:line="360" w:lineRule="exact"/>
              <w:ind w:firstLine="420" w:firstLineChars="200"/>
              <w:rPr>
                <w:rFonts w:ascii="宋体" w:hAnsi="宋体" w:eastAsia="宋体"/>
                <w:color w:val="auto"/>
                <w:sz w:val="21"/>
                <w:szCs w:val="21"/>
                <w:highlight w:val="none"/>
              </w:rPr>
            </w:pPr>
            <w:r>
              <w:rPr>
                <w:rFonts w:hint="eastAsia" w:ascii="宋体" w:hAnsi="宋体" w:eastAsia="宋体" w:cs="宋体"/>
                <w:color w:val="auto"/>
                <w:sz w:val="21"/>
                <w:szCs w:val="21"/>
                <w:highlight w:val="none"/>
              </w:rPr>
              <w:t>如采用保函方式的，必须为无条件保函，保函有效期不得低于竞标有效期【备注：开标现场谈判供应商将开具的无条件保函原件提交给采购人，复印件需加盖谈判供应商公章并装订入竞争性谈判响应文件】，否则采购人有权拒绝接受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响应文件份数</w:t>
            </w:r>
          </w:p>
        </w:tc>
        <w:tc>
          <w:tcPr>
            <w:tcW w:w="7226" w:type="dxa"/>
            <w:vAlign w:val="center"/>
          </w:tcPr>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正本一份、副本二份。即：“价格文件”正本一份，副本</w:t>
            </w:r>
            <w:r>
              <w:rPr>
                <w:rFonts w:hint="eastAsia" w:ascii="宋体" w:hAnsi="宋体" w:eastAsia="宋体" w:cs="宋体"/>
                <w:color w:val="auto"/>
                <w:sz w:val="21"/>
                <w:szCs w:val="21"/>
                <w:highlight w:val="none"/>
                <w:u w:val="single"/>
              </w:rPr>
              <w:t xml:space="preserve"> 二</w:t>
            </w:r>
            <w:r>
              <w:rPr>
                <w:rFonts w:hint="eastAsia" w:ascii="宋体" w:hAnsi="宋体" w:eastAsia="宋体" w:cs="宋体"/>
                <w:color w:val="auto"/>
                <w:sz w:val="21"/>
                <w:szCs w:val="21"/>
                <w:highlight w:val="none"/>
              </w:rPr>
              <w:t>份；“商务技术文件”正本一份，副本</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递交响应文件截止时间</w:t>
            </w:r>
          </w:p>
        </w:tc>
        <w:tc>
          <w:tcPr>
            <w:tcW w:w="7226" w:type="dxa"/>
            <w:vAlign w:val="center"/>
          </w:tcPr>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2020年</w:t>
            </w:r>
            <w:r>
              <w:rPr>
                <w:rFonts w:hint="eastAsia" w:ascii="宋体" w:hAnsi="宋体" w:eastAsia="宋体" w:cs="宋体"/>
                <w:color w:val="auto"/>
                <w:sz w:val="21"/>
                <w:szCs w:val="21"/>
                <w:highlight w:val="none"/>
                <w:lang w:val="en-US" w:eastAsia="zh-CN"/>
              </w:rPr>
              <w:t xml:space="preserve"> 12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15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响应文件递交地点</w:t>
            </w:r>
          </w:p>
        </w:tc>
        <w:tc>
          <w:tcPr>
            <w:tcW w:w="7226" w:type="dxa"/>
            <w:vAlign w:val="center"/>
          </w:tcPr>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olor w:val="auto"/>
                <w:sz w:val="21"/>
                <w:szCs w:val="21"/>
                <w:highlight w:val="none"/>
                <w:lang w:eastAsia="zh-CN"/>
              </w:rPr>
              <w:t>广西睿翼工程咨询有限公司（河池市金城江区金城中路2-4号铜鼓园写字楼3楼）</w:t>
            </w:r>
            <w:r>
              <w:rPr>
                <w:rFonts w:hint="eastAsia" w:ascii="宋体" w:hAnsi="宋体" w:eastAsia="宋体"/>
                <w:color w:val="auto"/>
                <w:sz w:val="21"/>
                <w:szCs w:val="21"/>
                <w:highlight w:val="none"/>
              </w:rPr>
              <w:t>，并由采购代理机构签收。逾期送达或未按要求密封的响应文件将予以拒收或作无效响应文件处理。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.1</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谈判时间和地点</w:t>
            </w:r>
          </w:p>
        </w:tc>
        <w:tc>
          <w:tcPr>
            <w:tcW w:w="7226" w:type="dxa"/>
            <w:vAlign w:val="center"/>
          </w:tcPr>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谈判时间：2020年</w:t>
            </w:r>
            <w:r>
              <w:rPr>
                <w:rFonts w:hint="eastAsia" w:ascii="宋体" w:hAnsi="宋体" w:eastAsia="宋体" w:cs="宋体"/>
                <w:color w:val="auto"/>
                <w:sz w:val="21"/>
                <w:szCs w:val="21"/>
                <w:highlight w:val="none"/>
                <w:lang w:val="en-US" w:eastAsia="zh-CN"/>
              </w:rPr>
              <w:t xml:space="preserve"> 12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15 </w:t>
            </w:r>
            <w:r>
              <w:rPr>
                <w:rFonts w:hint="eastAsia" w:ascii="宋体" w:hAnsi="宋体" w:eastAsia="宋体" w:cs="宋体"/>
                <w:color w:val="auto"/>
                <w:sz w:val="21"/>
                <w:szCs w:val="21"/>
                <w:highlight w:val="none"/>
              </w:rPr>
              <w:t xml:space="preserve"> 时</w:t>
            </w:r>
            <w:r>
              <w:rPr>
                <w:rFonts w:hint="eastAsia" w:ascii="宋体" w:hAnsi="宋体" w:eastAsia="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分整截标后（具体时间由采购代理机构另行通知）；</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谈判地点：</w:t>
            </w:r>
            <w:r>
              <w:rPr>
                <w:rFonts w:hint="eastAsia" w:ascii="宋体" w:hAnsi="宋体" w:eastAsia="宋体" w:cs="宋体"/>
                <w:color w:val="auto"/>
                <w:sz w:val="21"/>
                <w:szCs w:val="21"/>
                <w:highlight w:val="none"/>
                <w:lang w:eastAsia="zh-CN"/>
              </w:rPr>
              <w:t>广西睿翼工程咨询有限公司（河池市金城江区金城中路2-4号铜鼓园写字楼3楼）</w:t>
            </w:r>
            <w:r>
              <w:rPr>
                <w:rFonts w:hint="eastAsia" w:ascii="宋体" w:hAnsi="宋体" w:eastAsia="宋体" w:cs="宋体"/>
                <w:color w:val="auto"/>
                <w:sz w:val="21"/>
                <w:szCs w:val="21"/>
                <w:highlight w:val="none"/>
              </w:rPr>
              <w:t>；</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供应商法定代表人或其授权代表必须携带以下有效证件按时参加谈判会议，否则视为自动放弃谈判。有效证件为：</w:t>
            </w:r>
          </w:p>
          <w:p>
            <w:pPr>
              <w:spacing w:after="0" w:line="360" w:lineRule="exact"/>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①保证金交款凭证原件（电子转账的底单原件可采用彩色打印加盖转账单位公章）或保函原件；</w:t>
            </w:r>
          </w:p>
          <w:p>
            <w:pPr>
              <w:spacing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②如法定代表人参加，则须提供法定代表人身份证明及本人身份证原件；如授权委托代理人参加，则须提供法人授权委托书原件及本人身份证原件；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0</w:t>
            </w:r>
            <w:r>
              <w:rPr>
                <w:rFonts w:hint="eastAsia" w:ascii="宋体" w:hAnsi="宋体" w:eastAsia="宋体" w:cs="宋体"/>
                <w:color w:val="auto"/>
                <w:sz w:val="21"/>
                <w:szCs w:val="21"/>
                <w:highlight w:val="none"/>
              </w:rPr>
              <w:t>.2</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226" w:type="dxa"/>
            <w:vAlign w:val="center"/>
          </w:tcPr>
          <w:p>
            <w:pPr>
              <w:spacing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履约保证金</w:t>
            </w:r>
          </w:p>
        </w:tc>
        <w:tc>
          <w:tcPr>
            <w:tcW w:w="7226" w:type="dxa"/>
            <w:vAlign w:val="center"/>
          </w:tcPr>
          <w:p>
            <w:pPr>
              <w:spacing w:after="0" w:line="36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olor w:val="auto"/>
                <w:sz w:val="21"/>
                <w:szCs w:val="21"/>
                <w:highlight w:val="none"/>
              </w:rPr>
              <w:t>招标代理服务费</w:t>
            </w:r>
          </w:p>
        </w:tc>
        <w:tc>
          <w:tcPr>
            <w:tcW w:w="7226" w:type="dxa"/>
            <w:vAlign w:val="center"/>
          </w:tcPr>
          <w:p>
            <w:pPr>
              <w:autoSpaceDE w:val="0"/>
              <w:autoSpaceDN w:val="0"/>
              <w:spacing w:after="0" w:line="360" w:lineRule="exact"/>
              <w:ind w:firstLine="420" w:firstLineChars="20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招标代理服务费由成交人支付。</w:t>
            </w:r>
          </w:p>
          <w:p>
            <w:pPr>
              <w:autoSpaceDE w:val="0"/>
              <w:autoSpaceDN w:val="0"/>
              <w:spacing w:after="0" w:line="360" w:lineRule="exact"/>
              <w:ind w:firstLine="420" w:firstLineChars="20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（1）成交人领取成交通知书前，应向采购代理机构一次付清招标代理服务费，代理服务收费按下述标准（货物招标）以差额定率累进法计算收取，具体标准如下：</w:t>
            </w:r>
          </w:p>
          <w:tbl>
            <w:tblPr>
              <w:tblStyle w:val="38"/>
              <w:tblW w:w="6315"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329"/>
              <w:gridCol w:w="120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497" w:type="dxa"/>
                  <w:tcBorders>
                    <w:tl2br w:val="single" w:color="auto" w:sz="4" w:space="0"/>
                  </w:tcBorders>
                </w:tcPr>
                <w:p>
                  <w:pPr>
                    <w:spacing w:after="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费率</w:t>
                  </w:r>
                </w:p>
                <w:p>
                  <w:pPr>
                    <w:spacing w:after="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tc>
              <w:tc>
                <w:tcPr>
                  <w:tcW w:w="1329" w:type="dxa"/>
                  <w:vAlign w:val="center"/>
                </w:tcPr>
                <w:p>
                  <w:pPr>
                    <w:spacing w:after="0"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208" w:type="dxa"/>
                  <w:vAlign w:val="center"/>
                </w:tcPr>
                <w:p>
                  <w:pPr>
                    <w:spacing w:after="0"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281" w:type="dxa"/>
                  <w:vAlign w:val="center"/>
                </w:tcPr>
                <w:p>
                  <w:pPr>
                    <w:spacing w:after="0"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97" w:type="dxa"/>
                </w:tcPr>
                <w:p>
                  <w:pPr>
                    <w:spacing w:after="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100万元以下</w:t>
                  </w:r>
                </w:p>
              </w:tc>
              <w:tc>
                <w:tcPr>
                  <w:tcW w:w="1329" w:type="dxa"/>
                </w:tcPr>
                <w:p>
                  <w:pPr>
                    <w:spacing w:after="0"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08" w:type="dxa"/>
                </w:tcPr>
                <w:p>
                  <w:pPr>
                    <w:spacing w:after="0"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81" w:type="dxa"/>
                </w:tcPr>
                <w:p>
                  <w:pPr>
                    <w:spacing w:after="0"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97" w:type="dxa"/>
                </w:tcPr>
                <w:p>
                  <w:pPr>
                    <w:spacing w:after="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100～500万元</w:t>
                  </w:r>
                </w:p>
              </w:tc>
              <w:tc>
                <w:tcPr>
                  <w:tcW w:w="1329" w:type="dxa"/>
                </w:tcPr>
                <w:p>
                  <w:pPr>
                    <w:spacing w:after="0"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08" w:type="dxa"/>
                </w:tcPr>
                <w:p>
                  <w:pPr>
                    <w:spacing w:after="0"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281" w:type="dxa"/>
                </w:tcPr>
                <w:p>
                  <w:pPr>
                    <w:spacing w:after="0"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bl>
          <w:p>
            <w:pPr>
              <w:spacing w:after="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例如：某服务招标代理业务中标金额为300万元，招标代理服务费金额按如下计算：</w:t>
            </w:r>
          </w:p>
          <w:p>
            <w:pPr>
              <w:spacing w:after="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100万元×1.5%＝1.5 万元</w:t>
            </w:r>
          </w:p>
          <w:p>
            <w:pPr>
              <w:spacing w:after="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（300－100）万元×0.8%＝1.6万元</w:t>
            </w:r>
          </w:p>
          <w:p>
            <w:pPr>
              <w:adjustRightInd/>
              <w:spacing w:after="0" w:line="360" w:lineRule="exact"/>
              <w:ind w:firstLine="420" w:firstLineChars="200"/>
              <w:jc w:val="both"/>
              <w:rPr>
                <w:rFonts w:ascii="宋体" w:hAnsi="宋体" w:eastAsia="宋体"/>
                <w:color w:val="auto"/>
                <w:sz w:val="21"/>
                <w:szCs w:val="21"/>
                <w:highlight w:val="none"/>
              </w:rPr>
            </w:pPr>
            <w:r>
              <w:rPr>
                <w:rFonts w:hint="eastAsia" w:ascii="宋体" w:hAnsi="宋体" w:eastAsia="宋体" w:cs="宋体"/>
                <w:color w:val="auto"/>
                <w:sz w:val="21"/>
                <w:szCs w:val="21"/>
                <w:highlight w:val="none"/>
              </w:rPr>
              <w:t>合计收费＝1.5＋1.6=3.1万元</w:t>
            </w:r>
            <w:r>
              <w:rPr>
                <w:rFonts w:hint="eastAsia" w:ascii="宋体" w:hAnsi="宋体" w:eastAsia="宋体"/>
                <w:color w:val="auto"/>
                <w:sz w:val="21"/>
                <w:szCs w:val="21"/>
                <w:highlight w:val="none"/>
              </w:rPr>
              <w:t>例如：某货物招标代理业务成交金额为</w:t>
            </w:r>
            <w:r>
              <w:rPr>
                <w:rFonts w:ascii="宋体" w:hAnsi="宋体" w:eastAsia="宋体"/>
                <w:color w:val="auto"/>
                <w:sz w:val="21"/>
                <w:szCs w:val="21"/>
                <w:highlight w:val="none"/>
              </w:rPr>
              <w:t>300</w:t>
            </w:r>
            <w:r>
              <w:rPr>
                <w:rFonts w:hint="eastAsia" w:ascii="宋体" w:hAnsi="宋体" w:eastAsia="宋体"/>
                <w:color w:val="auto"/>
                <w:sz w:val="21"/>
                <w:szCs w:val="21"/>
                <w:highlight w:val="none"/>
              </w:rPr>
              <w:t>万元，招标代理服务费金额按如下计算：</w:t>
            </w:r>
          </w:p>
          <w:p>
            <w:pPr>
              <w:adjustRightInd/>
              <w:spacing w:after="0" w:line="360" w:lineRule="exact"/>
              <w:ind w:firstLine="420" w:firstLineChars="200"/>
              <w:jc w:val="both"/>
              <w:rPr>
                <w:rFonts w:ascii="宋体" w:hAnsi="宋体" w:eastAsia="宋体"/>
                <w:color w:val="auto"/>
                <w:sz w:val="21"/>
                <w:szCs w:val="21"/>
                <w:highlight w:val="none"/>
              </w:rPr>
            </w:pPr>
            <w:r>
              <w:rPr>
                <w:rFonts w:ascii="宋体" w:hAnsi="宋体" w:eastAsia="宋体"/>
                <w:color w:val="auto"/>
                <w:sz w:val="21"/>
                <w:szCs w:val="21"/>
                <w:highlight w:val="none"/>
              </w:rPr>
              <w:t>100</w:t>
            </w:r>
            <w:r>
              <w:rPr>
                <w:rFonts w:hint="eastAsia" w:ascii="宋体" w:hAnsi="宋体" w:eastAsia="宋体"/>
                <w:color w:val="auto"/>
                <w:sz w:val="21"/>
                <w:szCs w:val="21"/>
                <w:highlight w:val="none"/>
              </w:rPr>
              <w:t>万元×</w:t>
            </w:r>
            <w:r>
              <w:rPr>
                <w:rFonts w:ascii="宋体" w:hAnsi="宋体" w:eastAsia="宋体"/>
                <w:color w:val="auto"/>
                <w:sz w:val="21"/>
                <w:szCs w:val="21"/>
                <w:highlight w:val="none"/>
              </w:rPr>
              <w:t>1.5%</w:t>
            </w:r>
            <w:r>
              <w:rPr>
                <w:rFonts w:hint="eastAsia" w:ascii="宋体" w:hAnsi="宋体" w:eastAsia="宋体"/>
                <w:color w:val="auto"/>
                <w:sz w:val="21"/>
                <w:szCs w:val="21"/>
                <w:highlight w:val="none"/>
              </w:rPr>
              <w:t>＝</w:t>
            </w:r>
            <w:r>
              <w:rPr>
                <w:rFonts w:ascii="宋体" w:hAnsi="宋体" w:eastAsia="宋体"/>
                <w:color w:val="auto"/>
                <w:sz w:val="21"/>
                <w:szCs w:val="21"/>
                <w:highlight w:val="none"/>
              </w:rPr>
              <w:t xml:space="preserve">1.5 </w:t>
            </w:r>
            <w:r>
              <w:rPr>
                <w:rFonts w:hint="eastAsia" w:ascii="宋体" w:hAnsi="宋体" w:eastAsia="宋体"/>
                <w:color w:val="auto"/>
                <w:sz w:val="21"/>
                <w:szCs w:val="21"/>
                <w:highlight w:val="none"/>
              </w:rPr>
              <w:t>万元</w:t>
            </w:r>
          </w:p>
          <w:p>
            <w:pPr>
              <w:spacing w:after="0" w:line="360" w:lineRule="exact"/>
              <w:ind w:firstLine="420" w:firstLineChars="200"/>
              <w:rPr>
                <w:rFonts w:ascii="宋体" w:hAnsi="宋体" w:eastAsia="宋体"/>
                <w:color w:val="auto"/>
                <w:sz w:val="21"/>
                <w:szCs w:val="21"/>
                <w:highlight w:val="none"/>
              </w:rPr>
            </w:pPr>
            <w:r>
              <w:rPr>
                <w:rFonts w:hint="eastAsia" w:ascii="宋体" w:hAnsi="宋体" w:eastAsia="宋体" w:cs="Courier New"/>
                <w:color w:val="auto"/>
                <w:sz w:val="21"/>
                <w:szCs w:val="21"/>
                <w:highlight w:val="none"/>
              </w:rPr>
              <w:t>（2）</w:t>
            </w:r>
            <w:r>
              <w:rPr>
                <w:rFonts w:hint="eastAsia" w:ascii="宋体" w:hAnsi="宋体" w:eastAsia="宋体"/>
                <w:color w:val="auto"/>
                <w:sz w:val="21"/>
                <w:szCs w:val="21"/>
                <w:highlight w:val="none"/>
              </w:rPr>
              <w:t>采购代理机构指定的收取招标代理服务费的银行账户：</w:t>
            </w:r>
          </w:p>
          <w:p>
            <w:pPr>
              <w:spacing w:after="0"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户  名：广西睿翼工程咨询有限公司河池分公司</w:t>
            </w:r>
          </w:p>
          <w:p>
            <w:pPr>
              <w:spacing w:after="0"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账  号：2114810709300060820</w:t>
            </w:r>
          </w:p>
          <w:p>
            <w:pPr>
              <w:autoSpaceDE w:val="0"/>
              <w:autoSpaceDN w:val="0"/>
              <w:spacing w:after="0" w:line="360" w:lineRule="exact"/>
              <w:ind w:firstLine="420" w:firstLineChars="200"/>
              <w:textAlignment w:val="bottom"/>
              <w:rPr>
                <w:rFonts w:ascii="宋体" w:hAnsi="宋体" w:eastAsia="宋体"/>
                <w:color w:val="auto"/>
                <w:sz w:val="21"/>
                <w:szCs w:val="21"/>
                <w:highlight w:val="none"/>
              </w:rPr>
            </w:pPr>
            <w:r>
              <w:rPr>
                <w:rFonts w:hint="eastAsia" w:ascii="宋体" w:hAnsi="宋体" w:eastAsia="宋体"/>
                <w:color w:val="auto"/>
                <w:sz w:val="21"/>
                <w:szCs w:val="21"/>
                <w:highlight w:val="none"/>
              </w:rPr>
              <w:t>开户行：工行河池市金城江区金龙湾支行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625" w:type="dxa"/>
            <w:vAlign w:val="center"/>
          </w:tcPr>
          <w:p>
            <w:pPr>
              <w:spacing w:after="0" w:line="36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质疑函接收及联系方式</w:t>
            </w:r>
          </w:p>
        </w:tc>
        <w:tc>
          <w:tcPr>
            <w:tcW w:w="7226" w:type="dxa"/>
            <w:vAlign w:val="center"/>
          </w:tcPr>
          <w:p>
            <w:pPr>
              <w:spacing w:after="0" w:line="360" w:lineRule="exact"/>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接收质疑函的方式</w:t>
            </w:r>
            <w:r>
              <w:rPr>
                <w:rFonts w:hint="eastAsia" w:ascii="宋体" w:hAnsi="宋体" w:eastAsia="宋体"/>
                <w:color w:val="auto"/>
                <w:sz w:val="21"/>
                <w:szCs w:val="21"/>
                <w:highlight w:val="none"/>
              </w:rPr>
              <w:t>：接收供应商或其委托代理人以书面形式递交的质疑函原件，委托</w:t>
            </w:r>
            <w:r>
              <w:rPr>
                <w:rFonts w:ascii="宋体" w:hAnsi="宋体" w:eastAsia="宋体"/>
                <w:color w:val="auto"/>
                <w:sz w:val="21"/>
                <w:szCs w:val="21"/>
                <w:highlight w:val="none"/>
              </w:rPr>
              <w:t>代理人提出质疑</w:t>
            </w:r>
            <w:r>
              <w:rPr>
                <w:rFonts w:hint="eastAsia" w:ascii="宋体" w:hAnsi="宋体" w:eastAsia="宋体"/>
                <w:color w:val="auto"/>
                <w:sz w:val="21"/>
                <w:szCs w:val="21"/>
                <w:highlight w:val="none"/>
              </w:rPr>
              <w:t>的</w:t>
            </w:r>
            <w:r>
              <w:rPr>
                <w:rFonts w:ascii="宋体" w:hAnsi="宋体" w:eastAsia="宋体"/>
                <w:color w:val="auto"/>
                <w:sz w:val="21"/>
                <w:szCs w:val="21"/>
                <w:highlight w:val="none"/>
              </w:rPr>
              <w:t>，</w:t>
            </w:r>
            <w:r>
              <w:rPr>
                <w:rFonts w:hint="eastAsia" w:ascii="宋体" w:hAnsi="宋体" w:eastAsia="宋体"/>
                <w:color w:val="auto"/>
                <w:sz w:val="21"/>
                <w:szCs w:val="21"/>
                <w:highlight w:val="none"/>
              </w:rPr>
              <w:t>还</w:t>
            </w:r>
            <w:r>
              <w:rPr>
                <w:rFonts w:ascii="宋体" w:hAnsi="宋体" w:eastAsia="宋体"/>
                <w:color w:val="auto"/>
                <w:sz w:val="21"/>
                <w:szCs w:val="21"/>
                <w:highlight w:val="none"/>
              </w:rPr>
              <w:t>应当提交供应商签署的授权委托书</w:t>
            </w:r>
            <w:r>
              <w:rPr>
                <w:rFonts w:hint="eastAsia" w:ascii="宋体" w:hAnsi="宋体" w:eastAsia="宋体"/>
                <w:color w:val="auto"/>
                <w:sz w:val="21"/>
                <w:szCs w:val="21"/>
                <w:highlight w:val="none"/>
              </w:rPr>
              <w:t>。</w:t>
            </w:r>
          </w:p>
          <w:p>
            <w:pPr>
              <w:spacing w:after="0" w:line="360" w:lineRule="exact"/>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联系部门</w:t>
            </w:r>
            <w:r>
              <w:rPr>
                <w:rFonts w:hint="eastAsia" w:ascii="宋体" w:hAnsi="宋体" w:eastAsia="宋体"/>
                <w:color w:val="auto"/>
                <w:sz w:val="21"/>
                <w:szCs w:val="21"/>
                <w:highlight w:val="none"/>
              </w:rPr>
              <w:t>：广西睿翼工程咨询有限公司</w:t>
            </w:r>
          </w:p>
          <w:p>
            <w:pPr>
              <w:spacing w:after="0"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ascii="宋体" w:hAnsi="宋体" w:eastAsia="宋体"/>
                <w:color w:val="auto"/>
                <w:sz w:val="21"/>
                <w:szCs w:val="21"/>
                <w:highlight w:val="none"/>
              </w:rPr>
              <w:t>0778</w:t>
            </w:r>
            <w:r>
              <w:rPr>
                <w:rFonts w:hint="eastAsia" w:ascii="宋体" w:hAnsi="宋体" w:eastAsia="宋体"/>
                <w:color w:val="auto"/>
                <w:sz w:val="21"/>
                <w:szCs w:val="21"/>
                <w:highlight w:val="none"/>
              </w:rPr>
              <w:t>-</w:t>
            </w:r>
            <w:r>
              <w:rPr>
                <w:rFonts w:ascii="宋体" w:hAnsi="宋体" w:eastAsia="宋体"/>
                <w:color w:val="auto"/>
                <w:sz w:val="21"/>
                <w:szCs w:val="21"/>
                <w:highlight w:val="none"/>
              </w:rPr>
              <w:t>2211981</w:t>
            </w:r>
          </w:p>
          <w:p>
            <w:pPr>
              <w:spacing w:after="0"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通讯地址：金城江区金城中路2-4号铜鼓园写字楼3楼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ascii="宋体" w:hAnsi="宋体" w:eastAsia="宋体" w:cs="宋体"/>
                <w:color w:val="auto"/>
                <w:sz w:val="21"/>
                <w:szCs w:val="21"/>
                <w:highlight w:val="none"/>
              </w:rPr>
              <w:t>5</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theme="minorEastAsia"/>
                <w:color w:val="auto"/>
                <w:sz w:val="21"/>
                <w:szCs w:val="21"/>
                <w:highlight w:val="none"/>
              </w:rPr>
              <w:t>公章及签字</w:t>
            </w:r>
          </w:p>
        </w:tc>
        <w:tc>
          <w:tcPr>
            <w:tcW w:w="7226" w:type="dxa"/>
            <w:vAlign w:val="center"/>
          </w:tcPr>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本文件中描述</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的“公章”是指根据我国对公章的管理规定，用</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法定主体行为名称制作的印章，除本文件有特殊规定外，</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的财务章、部门章、分公司章、工会章、合同章、</w:t>
            </w:r>
            <w:r>
              <w:rPr>
                <w:rFonts w:hint="eastAsia" w:ascii="宋体" w:hAnsi="宋体" w:eastAsia="宋体" w:cs="宋体"/>
                <w:color w:val="auto"/>
                <w:sz w:val="21"/>
                <w:szCs w:val="21"/>
                <w:highlight w:val="none"/>
              </w:rPr>
              <w:t>竞标</w:t>
            </w:r>
            <w:r>
              <w:rPr>
                <w:rFonts w:ascii="宋体" w:hAnsi="宋体" w:eastAsia="宋体" w:cs="宋体"/>
                <w:color w:val="auto"/>
                <w:sz w:val="21"/>
                <w:szCs w:val="21"/>
                <w:highlight w:val="none"/>
              </w:rPr>
              <w:t>专用章、业务专用章及银行的转账章、现金收讫章、现金付讫章等其它形式印章均不能代替公章。</w:t>
            </w:r>
            <w:r>
              <w:rPr>
                <w:rFonts w:hint="eastAsia" w:ascii="宋体" w:hAnsi="宋体" w:eastAsia="宋体" w:cs="宋体"/>
                <w:b/>
                <w:color w:val="auto"/>
                <w:sz w:val="21"/>
                <w:szCs w:val="21"/>
                <w:highlight w:val="none"/>
              </w:rPr>
              <w:t>不符合要求的作竞标无效处理。</w:t>
            </w:r>
          </w:p>
          <w:p>
            <w:pPr>
              <w:spacing w:after="0"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本文件中描述</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签字</w:t>
            </w:r>
            <w:r>
              <w:rPr>
                <w:rFonts w:ascii="宋体" w:hAnsi="宋体" w:eastAsia="宋体" w:cs="宋体"/>
                <w:color w:val="auto"/>
                <w:sz w:val="21"/>
                <w:szCs w:val="21"/>
                <w:highlight w:val="none"/>
              </w:rPr>
              <w:t>”是指</w:t>
            </w:r>
            <w:r>
              <w:rPr>
                <w:rFonts w:hint="eastAsia" w:ascii="宋体" w:hAnsi="宋体" w:eastAsia="宋体" w:cs="宋体"/>
                <w:color w:val="auto"/>
                <w:sz w:val="21"/>
                <w:szCs w:val="21"/>
                <w:highlight w:val="none"/>
              </w:rPr>
              <w:t>供应商的法定代表人或被授权人亲自在文件规定签署处亲笔写上个人的名字的行为，私章、签字章、印鉴、影印等其它形式</w:t>
            </w:r>
            <w:r>
              <w:rPr>
                <w:rFonts w:ascii="宋体" w:hAnsi="宋体" w:eastAsia="宋体" w:cs="宋体"/>
                <w:color w:val="auto"/>
                <w:sz w:val="21"/>
                <w:szCs w:val="21"/>
                <w:highlight w:val="none"/>
              </w:rPr>
              <w:t>均不能代替</w:t>
            </w:r>
            <w:r>
              <w:rPr>
                <w:rFonts w:hint="eastAsia" w:ascii="宋体" w:hAnsi="宋体" w:eastAsia="宋体" w:cs="宋体"/>
                <w:color w:val="auto"/>
                <w:sz w:val="21"/>
                <w:szCs w:val="21"/>
                <w:highlight w:val="none"/>
              </w:rPr>
              <w:t>亲笔签字</w:t>
            </w:r>
            <w:r>
              <w:rPr>
                <w:rFonts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不符合要求的或漏签的作竞标无效处理。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ascii="宋体" w:hAnsi="宋体" w:eastAsia="宋体" w:cs="宋体"/>
                <w:color w:val="auto"/>
                <w:sz w:val="21"/>
                <w:szCs w:val="21"/>
                <w:highlight w:val="none"/>
              </w:rPr>
              <w:t>6</w:t>
            </w:r>
          </w:p>
        </w:tc>
        <w:tc>
          <w:tcPr>
            <w:tcW w:w="1625" w:type="dxa"/>
            <w:vAlign w:val="center"/>
          </w:tcPr>
          <w:p>
            <w:pPr>
              <w:spacing w:after="0"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7226" w:type="dxa"/>
            <w:vAlign w:val="center"/>
          </w:tcPr>
          <w:p>
            <w:pPr>
              <w:spacing w:after="0" w:line="360" w:lineRule="exact"/>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递交响应文件截止时间后，由采购人或采购代理机构对供应商进行信用信息查询，具体规定如下：</w:t>
            </w:r>
          </w:p>
          <w:p>
            <w:pPr>
              <w:spacing w:after="0" w:line="360" w:lineRule="exact"/>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查询渠道：“</w:t>
            </w:r>
            <w:r>
              <w:rPr>
                <w:rFonts w:ascii="宋体" w:hAnsi="宋体" w:eastAsia="宋体" w:cs="仿宋"/>
                <w:color w:val="auto"/>
                <w:sz w:val="21"/>
                <w:szCs w:val="21"/>
                <w:highlight w:val="none"/>
              </w:rPr>
              <w:t>信用中国</w:t>
            </w:r>
            <w:r>
              <w:rPr>
                <w:rFonts w:hint="eastAsia" w:ascii="宋体" w:hAnsi="宋体" w:eastAsia="宋体" w:cs="仿宋"/>
                <w:color w:val="auto"/>
                <w:sz w:val="21"/>
                <w:szCs w:val="21"/>
                <w:highlight w:val="none"/>
              </w:rPr>
              <w:t>”</w:t>
            </w:r>
            <w:r>
              <w:rPr>
                <w:rFonts w:ascii="宋体" w:hAnsi="宋体" w:eastAsia="宋体" w:cs="仿宋"/>
                <w:color w:val="auto"/>
                <w:sz w:val="21"/>
                <w:szCs w:val="21"/>
                <w:highlight w:val="none"/>
              </w:rPr>
              <w:t>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仿宋"/>
                <w:color w:val="auto"/>
                <w:sz w:val="21"/>
                <w:szCs w:val="21"/>
                <w:highlight w:val="none"/>
              </w:rPr>
              <w:t>www.ccgp.gov.cn</w:t>
            </w:r>
            <w:r>
              <w:rPr>
                <w:rFonts w:ascii="宋体" w:hAnsi="宋体" w:eastAsia="宋体" w:cs="仿宋"/>
                <w:color w:val="auto"/>
                <w:sz w:val="21"/>
                <w:szCs w:val="21"/>
                <w:highlight w:val="none"/>
              </w:rPr>
              <w:fldChar w:fldCharType="end"/>
            </w:r>
            <w:r>
              <w:rPr>
                <w:rFonts w:ascii="宋体" w:hAnsi="宋体" w:eastAsia="宋体" w:cs="仿宋"/>
                <w:color w:val="auto"/>
                <w:sz w:val="21"/>
                <w:szCs w:val="21"/>
                <w:highlight w:val="none"/>
              </w:rPr>
              <w:t>)</w:t>
            </w:r>
            <w:r>
              <w:rPr>
                <w:rFonts w:hint="eastAsia" w:ascii="宋体" w:hAnsi="宋体" w:eastAsia="宋体" w:cs="仿宋"/>
                <w:color w:val="auto"/>
                <w:sz w:val="21"/>
                <w:szCs w:val="21"/>
                <w:highlight w:val="none"/>
              </w:rPr>
              <w:t>等。</w:t>
            </w:r>
          </w:p>
          <w:p>
            <w:pPr>
              <w:spacing w:after="0" w:line="360" w:lineRule="exact"/>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w:t>
            </w:r>
            <w:r>
              <w:rPr>
                <w:rFonts w:ascii="宋体" w:hAnsi="宋体" w:eastAsia="宋体" w:cs="仿宋"/>
                <w:color w:val="auto"/>
                <w:sz w:val="21"/>
                <w:szCs w:val="21"/>
                <w:highlight w:val="none"/>
              </w:rPr>
              <w:t>信用中国</w:t>
            </w:r>
            <w:r>
              <w:rPr>
                <w:rFonts w:hint="eastAsia" w:ascii="宋体" w:hAnsi="宋体" w:eastAsia="宋体" w:cs="仿宋"/>
                <w:color w:val="auto"/>
                <w:sz w:val="21"/>
                <w:szCs w:val="21"/>
                <w:highlight w:val="none"/>
              </w:rPr>
              <w:t>”</w:t>
            </w:r>
            <w:r>
              <w:rPr>
                <w:rFonts w:ascii="宋体" w:hAnsi="宋体" w:eastAsia="宋体" w:cs="仿宋"/>
                <w:color w:val="auto"/>
                <w:sz w:val="21"/>
                <w:szCs w:val="21"/>
                <w:highlight w:val="none"/>
              </w:rPr>
              <w:t>网站</w:t>
            </w:r>
            <w:r>
              <w:rPr>
                <w:rFonts w:hint="eastAsia" w:ascii="宋体" w:hAnsi="宋体" w:eastAsia="宋体" w:cs="仿宋"/>
                <w:color w:val="auto"/>
                <w:sz w:val="21"/>
                <w:szCs w:val="21"/>
                <w:highlight w:val="none"/>
              </w:rPr>
              <w:t>查询内容：失信被执行人、重大税收违法案件当事人名单、政府采购严重违法失信行为记录名单</w:t>
            </w:r>
            <w:r>
              <w:rPr>
                <w:rFonts w:ascii="宋体" w:hAnsi="宋体" w:eastAsia="宋体" w:cs="仿宋"/>
                <w:color w:val="auto"/>
                <w:sz w:val="21"/>
                <w:szCs w:val="21"/>
                <w:highlight w:val="none"/>
              </w:rPr>
              <w:t>查询结果或界面截图</w:t>
            </w:r>
            <w:r>
              <w:rPr>
                <w:rFonts w:hint="eastAsia" w:ascii="宋体" w:hAnsi="宋体" w:eastAsia="宋体" w:cs="仿宋"/>
                <w:color w:val="auto"/>
                <w:sz w:val="21"/>
                <w:szCs w:val="21"/>
                <w:highlight w:val="none"/>
              </w:rPr>
              <w:t>；查询或打印截止时点：递交响应文件截止时间。</w:t>
            </w:r>
          </w:p>
          <w:p>
            <w:pPr>
              <w:spacing w:after="0" w:line="360" w:lineRule="exact"/>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w:t>
            </w:r>
            <w:r>
              <w:rPr>
                <w:rFonts w:ascii="宋体" w:hAnsi="宋体" w:eastAsia="宋体" w:cs="仿宋"/>
                <w:color w:val="auto"/>
                <w:sz w:val="21"/>
                <w:szCs w:val="21"/>
                <w:highlight w:val="none"/>
              </w:rPr>
              <w:t>中国政府采购网</w:t>
            </w:r>
            <w:r>
              <w:rPr>
                <w:rFonts w:hint="eastAsia" w:ascii="宋体" w:hAnsi="宋体" w:eastAsia="宋体" w:cs="仿宋"/>
                <w:color w:val="auto"/>
                <w:sz w:val="21"/>
                <w:szCs w:val="21"/>
                <w:highlight w:val="none"/>
              </w:rPr>
              <w:t>”</w:t>
            </w:r>
            <w:r>
              <w:rPr>
                <w:rFonts w:ascii="宋体" w:hAnsi="宋体" w:eastAsia="宋体" w:cs="仿宋"/>
                <w:color w:val="auto"/>
                <w:sz w:val="21"/>
                <w:szCs w:val="21"/>
                <w:highlight w:val="none"/>
              </w:rPr>
              <w:t>的查询内容：政府采购严重违法失信行为信息记录；查询时间：</w:t>
            </w:r>
            <w:r>
              <w:rPr>
                <w:rFonts w:hint="eastAsia" w:ascii="宋体" w:hAnsi="宋体" w:eastAsia="宋体" w:cs="仿宋"/>
                <w:color w:val="auto"/>
                <w:sz w:val="21"/>
                <w:szCs w:val="21"/>
                <w:highlight w:val="none"/>
              </w:rPr>
              <w:t>递交响应文件截止时间前</w:t>
            </w:r>
            <w:r>
              <w:rPr>
                <w:rFonts w:ascii="宋体" w:hAnsi="宋体" w:eastAsia="宋体" w:cs="仿宋"/>
                <w:color w:val="auto"/>
                <w:sz w:val="21"/>
                <w:szCs w:val="21"/>
                <w:highlight w:val="none"/>
              </w:rPr>
              <w:t>三年</w:t>
            </w:r>
            <w:r>
              <w:rPr>
                <w:rFonts w:hint="eastAsia" w:ascii="宋体" w:hAnsi="宋体" w:eastAsia="宋体" w:cs="仿宋"/>
                <w:color w:val="auto"/>
                <w:sz w:val="21"/>
                <w:szCs w:val="21"/>
                <w:highlight w:val="none"/>
              </w:rPr>
              <w:t>内</w:t>
            </w:r>
            <w:r>
              <w:rPr>
                <w:rFonts w:ascii="宋体" w:hAnsi="宋体" w:eastAsia="宋体" w:cs="仿宋"/>
                <w:color w:val="auto"/>
                <w:sz w:val="21"/>
                <w:szCs w:val="21"/>
                <w:highlight w:val="none"/>
              </w:rPr>
              <w:t>。</w:t>
            </w:r>
          </w:p>
          <w:p>
            <w:pPr>
              <w:spacing w:after="0" w:line="360" w:lineRule="exact"/>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查询记录和证据留存方式：在查询网站中直接打印查询记录，打印材料作为评审资料保存。</w:t>
            </w:r>
          </w:p>
          <w:p>
            <w:pPr>
              <w:spacing w:after="0" w:line="360" w:lineRule="exact"/>
              <w:ind w:firstLine="420" w:firstLineChars="200"/>
              <w:jc w:val="both"/>
              <w:rPr>
                <w:rFonts w:ascii="宋体" w:hAnsi="宋体" w:eastAsia="宋体" w:cs="宋体"/>
                <w:color w:val="auto"/>
                <w:sz w:val="21"/>
                <w:szCs w:val="21"/>
                <w:highlight w:val="none"/>
              </w:rPr>
            </w:pPr>
            <w:r>
              <w:rPr>
                <w:rFonts w:hint="eastAsia" w:ascii="宋体" w:hAnsi="宋体" w:eastAsia="宋体" w:cs="仿宋"/>
                <w:color w:val="auto"/>
                <w:sz w:val="21"/>
                <w:szCs w:val="21"/>
                <w:highlight w:val="none"/>
              </w:rPr>
              <w:t>信用信息使用规则：对在“</w:t>
            </w:r>
            <w:r>
              <w:rPr>
                <w:rFonts w:ascii="宋体" w:hAnsi="宋体" w:eastAsia="宋体" w:cs="仿宋"/>
                <w:color w:val="auto"/>
                <w:sz w:val="21"/>
                <w:szCs w:val="21"/>
                <w:highlight w:val="none"/>
              </w:rPr>
              <w:t>信用中国</w:t>
            </w:r>
            <w:r>
              <w:rPr>
                <w:rFonts w:hint="eastAsia" w:ascii="宋体" w:hAnsi="宋体" w:eastAsia="宋体" w:cs="仿宋"/>
                <w:color w:val="auto"/>
                <w:sz w:val="21"/>
                <w:szCs w:val="21"/>
                <w:highlight w:val="none"/>
              </w:rPr>
              <w:t>”</w:t>
            </w:r>
            <w:r>
              <w:rPr>
                <w:rFonts w:ascii="宋体" w:hAnsi="宋体" w:eastAsia="宋体" w:cs="仿宋"/>
                <w:color w:val="auto"/>
                <w:sz w:val="21"/>
                <w:szCs w:val="21"/>
                <w:highlight w:val="none"/>
              </w:rPr>
              <w:t>网站(www.creditchina.gov.cn)、中国政府采购网(www.ccgp.gov.cn)等渠道</w:t>
            </w:r>
            <w:r>
              <w:rPr>
                <w:rFonts w:hint="eastAsia" w:ascii="宋体" w:hAnsi="宋体" w:eastAsia="宋体" w:cs="仿宋"/>
                <w:color w:val="auto"/>
                <w:sz w:val="21"/>
                <w:szCs w:val="21"/>
                <w:highlight w:val="none"/>
              </w:rPr>
              <w:t>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eastAsia="宋体" w:cs="仿宋"/>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4"/>
        <w:spacing w:beforeLines="100" w:line="400" w:lineRule="exact"/>
        <w:rPr>
          <w:rFonts w:ascii="宋体" w:hAnsi="宋体" w:eastAsia="宋体"/>
          <w:color w:val="auto"/>
          <w:highlight w:val="none"/>
        </w:rPr>
      </w:pPr>
      <w:bookmarkStart w:id="54" w:name="_Toc246095454"/>
      <w:bookmarkStart w:id="55" w:name="_Toc246095516"/>
      <w:bookmarkStart w:id="56" w:name="_Toc246094910"/>
      <w:r>
        <w:rPr>
          <w:rFonts w:hint="eastAsia" w:ascii="宋体" w:hAnsi="宋体" w:eastAsia="宋体"/>
          <w:color w:val="auto"/>
          <w:highlight w:val="none"/>
        </w:rPr>
        <w:br w:type="page"/>
      </w:r>
      <w:bookmarkStart w:id="57" w:name="_Toc23082"/>
      <w:r>
        <w:rPr>
          <w:rFonts w:hint="eastAsia" w:ascii="宋体" w:hAnsi="宋体" w:eastAsia="宋体"/>
          <w:color w:val="auto"/>
          <w:highlight w:val="none"/>
        </w:rPr>
        <w:t>一、总则</w:t>
      </w:r>
      <w:bookmarkEnd w:id="54"/>
      <w:bookmarkEnd w:id="55"/>
      <w:bookmarkEnd w:id="56"/>
      <w:bookmarkEnd w:id="57"/>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l. 项目概况</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1.1适用范围：本文件仅适用于本文件中所叙述的货物类政府采购项目。</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1.2  采购人：见供应商须知前附表。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1.3  采购代理机构：见供应商须知前附表。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color w:val="auto"/>
          <w:sz w:val="24"/>
          <w:highlight w:val="none"/>
        </w:rPr>
        <w:t>1.4  项目名称：</w:t>
      </w:r>
      <w:r>
        <w:rPr>
          <w:rFonts w:hint="eastAsia" w:ascii="宋体" w:hAnsi="宋体" w:eastAsia="宋体"/>
          <w:bCs/>
          <w:color w:val="auto"/>
          <w:sz w:val="24"/>
          <w:highlight w:val="none"/>
        </w:rPr>
        <w:t>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color w:val="auto"/>
          <w:sz w:val="24"/>
          <w:highlight w:val="none"/>
        </w:rPr>
        <w:t>1.5  采购编号：</w:t>
      </w:r>
      <w:r>
        <w:rPr>
          <w:rFonts w:hint="eastAsia" w:ascii="宋体" w:hAnsi="宋体" w:eastAsia="宋体"/>
          <w:bCs/>
          <w:color w:val="auto"/>
          <w:sz w:val="24"/>
          <w:highlight w:val="none"/>
        </w:rPr>
        <w:t>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1.6  采购预算：见供应商须知前附表。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1.7  资金来源：见供应商须知前附表。</w:t>
      </w:r>
    </w:p>
    <w:p>
      <w:pPr>
        <w:spacing w:after="0" w:line="400" w:lineRule="exact"/>
        <w:ind w:firstLine="480" w:firstLineChars="200"/>
        <w:rPr>
          <w:rFonts w:ascii="宋体" w:hAnsi="宋体" w:eastAsia="宋体" w:cs="宋体"/>
          <w:bCs/>
          <w:color w:val="auto"/>
          <w:highlight w:val="none"/>
        </w:rPr>
      </w:pPr>
      <w:r>
        <w:rPr>
          <w:rFonts w:hint="eastAsia" w:ascii="宋体" w:hAnsi="宋体" w:eastAsia="宋体"/>
          <w:bCs/>
          <w:color w:val="auto"/>
          <w:sz w:val="24"/>
          <w:highlight w:val="none"/>
        </w:rPr>
        <w:t>1.8  预留采购份额：见供应商须知前附表。</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2.定义</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2.1 “采购人"是指依法进行政府采购的国家机关、事业单位、团体组织。</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2.2 “采购代理机构”是指依法设立、从事采购代理业务并提供相关服务的社会中介机构。</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2.4“货物”是指各种形态和种类的物品，包括原材料、燃料、设备、产品等。</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5</w:t>
      </w:r>
      <w:r>
        <w:rPr>
          <w:rFonts w:hint="eastAsia" w:ascii="宋体" w:hAnsi="宋体" w:eastAsia="宋体" w:cs="Arial"/>
          <w:color w:val="auto"/>
          <w:sz w:val="24"/>
          <w:highlight w:val="none"/>
        </w:rPr>
        <w:t>“服务”系指除货物和工程以外的其他政府采购对象。</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6</w:t>
      </w:r>
      <w:r>
        <w:rPr>
          <w:rFonts w:hint="eastAsia" w:ascii="宋体" w:hAnsi="宋体" w:eastAsia="宋体" w:cs="Arial"/>
          <w:color w:val="auto"/>
          <w:sz w:val="24"/>
          <w:highlight w:val="none"/>
        </w:rPr>
        <w:t>“响应文件”是指供应商根据本文件要求，编制包含报价、技术和服务等所有内容的文件。</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2.8</w:t>
      </w:r>
      <w:r>
        <w:rPr>
          <w:rFonts w:hint="eastAsia" w:ascii="宋体" w:hAnsi="宋体" w:eastAsia="宋体" w:cs="Arial"/>
          <w:color w:val="auto"/>
          <w:sz w:val="24"/>
          <w:highlight w:val="none"/>
        </w:rPr>
        <w:t>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9</w:t>
      </w:r>
      <w:r>
        <w:rPr>
          <w:rFonts w:hint="eastAsia" w:ascii="宋体" w:hAnsi="宋体" w:eastAsia="宋体" w:cs="Arial"/>
          <w:color w:val="auto"/>
          <w:sz w:val="24"/>
          <w:highlight w:val="none"/>
        </w:rPr>
        <w:t>标注“</w:t>
      </w:r>
      <w:r>
        <w:rPr>
          <w:rFonts w:hint="eastAsia" w:ascii="宋体" w:hAnsi="宋体" w:eastAsia="宋体" w:cs="宋体"/>
          <w:color w:val="auto"/>
          <w:sz w:val="21"/>
          <w:szCs w:val="21"/>
          <w:highlight w:val="none"/>
        </w:rPr>
        <w:t>▲</w:t>
      </w:r>
      <w:r>
        <w:rPr>
          <w:rFonts w:hint="eastAsia" w:ascii="宋体" w:hAnsi="宋体" w:eastAsia="宋体" w:cs="Arial"/>
          <w:color w:val="auto"/>
          <w:sz w:val="24"/>
          <w:highlight w:val="none"/>
        </w:rPr>
        <w:t>”号的条款或要求系指实质性条款或实质性要求。</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 供应商资格条件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 基本资格条件：见“供应商须知前附表”规定。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3.2 供应商的特定要求：见“供应商须知前附表”规定。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3.3 存在下列情形之一的供应商不得参加资格性审查： </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（2）在财政部门禁止参加政府采购活动期限以内的。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3.4 按本项目采购公告规定方式获得竞争性谈判文件。 </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3.5 本项目是否接受联合体竞标，见“供应商须知前附表”规定。</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 语言文字及计量单位</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 竞标费用</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5.2本项目的招标代理服务费按须知</w:t>
      </w:r>
      <w:r>
        <w:rPr>
          <w:rFonts w:hint="eastAsia" w:ascii="宋体" w:hAnsi="宋体" w:eastAsia="宋体"/>
          <w:b/>
          <w:bCs/>
          <w:color w:val="auto"/>
          <w:sz w:val="24"/>
          <w:highlight w:val="none"/>
        </w:rPr>
        <w:t>前附表</w:t>
      </w:r>
      <w:r>
        <w:rPr>
          <w:rFonts w:hint="eastAsia" w:ascii="宋体" w:hAnsi="宋体" w:eastAsia="宋体"/>
          <w:color w:val="auto"/>
          <w:sz w:val="24"/>
          <w:highlight w:val="none"/>
        </w:rPr>
        <w:t>的规定执行，由成交供应商在领取成交通知书前，一次性向采购代理机构支付。</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 现场勘察</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olor w:val="auto"/>
          <w:sz w:val="24"/>
          <w:highlight w:val="none"/>
        </w:rPr>
        <w:t>6.1</w:t>
      </w:r>
      <w:r>
        <w:rPr>
          <w:rFonts w:hint="eastAsia" w:ascii="宋体" w:hAnsi="宋体" w:eastAsia="宋体" w:cs="Arial"/>
          <w:color w:val="auto"/>
          <w:sz w:val="24"/>
          <w:highlight w:val="none"/>
        </w:rPr>
        <w:t>前附表如规定现场踏勘的，供应商应按规定时间地点参加踏勘。</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6.2 供应商应承担现场勘察的责任和风险。勘查现场的费用由供应商自己承担。采购人</w:t>
      </w:r>
      <w:r>
        <w:rPr>
          <w:rFonts w:ascii="宋体" w:hAnsi="宋体" w:eastAsia="宋体"/>
          <w:color w:val="auto"/>
          <w:sz w:val="24"/>
          <w:highlight w:val="none"/>
        </w:rPr>
        <w:t>对</w:t>
      </w:r>
      <w:r>
        <w:rPr>
          <w:rFonts w:hint="eastAsia" w:ascii="宋体" w:hAnsi="宋体" w:eastAsia="宋体"/>
          <w:color w:val="auto"/>
          <w:sz w:val="24"/>
          <w:highlight w:val="none"/>
        </w:rPr>
        <w:t>供应商</w:t>
      </w:r>
      <w:r>
        <w:rPr>
          <w:rFonts w:ascii="宋体" w:hAnsi="宋体" w:eastAsia="宋体"/>
          <w:color w:val="auto"/>
          <w:sz w:val="24"/>
          <w:highlight w:val="none"/>
        </w:rPr>
        <w:t>由此而做出的推论、理解和结论概不负责。</w:t>
      </w:r>
    </w:p>
    <w:p>
      <w:pPr>
        <w:pStyle w:val="4"/>
        <w:spacing w:beforeLines="100" w:line="400" w:lineRule="exact"/>
        <w:rPr>
          <w:rFonts w:ascii="宋体" w:hAnsi="宋体" w:eastAsia="宋体"/>
          <w:color w:val="auto"/>
          <w:highlight w:val="none"/>
        </w:rPr>
      </w:pPr>
      <w:bookmarkStart w:id="58" w:name="_Toc246094911"/>
      <w:bookmarkStart w:id="59" w:name="_Toc246095455"/>
      <w:bookmarkStart w:id="60" w:name="_Toc13358"/>
      <w:bookmarkStart w:id="61" w:name="_Toc246095517"/>
      <w:r>
        <w:rPr>
          <w:rFonts w:hint="eastAsia" w:ascii="宋体" w:hAnsi="宋体" w:eastAsia="宋体"/>
          <w:color w:val="auto"/>
          <w:highlight w:val="none"/>
        </w:rPr>
        <w:t>二、竞争性谈判文件</w:t>
      </w:r>
      <w:bookmarkEnd w:id="58"/>
      <w:bookmarkEnd w:id="59"/>
      <w:bookmarkEnd w:id="60"/>
      <w:bookmarkEnd w:id="61"/>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7. 竞争性谈判文件的组成</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7.1 竞争性谈判文件包括下列内容：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第一章 竞争性谈判公告</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第二章 供应商须知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 项目采购需求和说明</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第四章 评标办法</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第五章 合同条款</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第六章 响应文件格式</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8. 竞争性谈判文件的澄清</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8.1 供应商应仔细阅读和检查竞争性谈判文件的全部内容。如发现缺页、</w:t>
      </w:r>
      <w:r>
        <w:rPr>
          <w:rFonts w:hint="eastAsia" w:ascii="宋体" w:hAnsi="宋体" w:eastAsia="宋体" w:cs="Arial"/>
          <w:color w:val="auto"/>
          <w:sz w:val="24"/>
          <w:highlight w:val="none"/>
        </w:rPr>
        <w:t>有误或有不合理要求的</w:t>
      </w:r>
      <w:r>
        <w:rPr>
          <w:rFonts w:hint="eastAsia" w:ascii="宋体" w:hAnsi="宋体" w:eastAsia="宋体"/>
          <w:color w:val="auto"/>
          <w:sz w:val="24"/>
          <w:highlight w:val="none"/>
        </w:rPr>
        <w:t>，供应商必须在</w:t>
      </w:r>
      <w:r>
        <w:rPr>
          <w:rFonts w:ascii="宋体" w:hAnsi="宋体" w:eastAsia="宋体"/>
          <w:color w:val="auto"/>
          <w:sz w:val="24"/>
          <w:highlight w:val="none"/>
        </w:rPr>
        <w:t>提交首次响应文件截止之日前</w:t>
      </w:r>
      <w:r>
        <w:rPr>
          <w:rFonts w:hint="eastAsia" w:ascii="宋体" w:hAnsi="宋体" w:eastAsia="宋体"/>
          <w:color w:val="auto"/>
          <w:sz w:val="24"/>
          <w:highlight w:val="none"/>
        </w:rPr>
        <w:t>，以书面形式要求</w:t>
      </w:r>
      <w:r>
        <w:rPr>
          <w:rFonts w:ascii="宋体" w:hAnsi="宋体" w:eastAsia="宋体"/>
          <w:color w:val="auto"/>
          <w:sz w:val="24"/>
          <w:highlight w:val="none"/>
        </w:rPr>
        <w:t>采购人</w:t>
      </w:r>
      <w:r>
        <w:rPr>
          <w:rFonts w:hint="eastAsia" w:ascii="宋体" w:hAnsi="宋体" w:eastAsia="宋体"/>
          <w:color w:val="auto"/>
          <w:sz w:val="24"/>
          <w:highlight w:val="none"/>
        </w:rPr>
        <w:t>或</w:t>
      </w:r>
      <w:r>
        <w:rPr>
          <w:rFonts w:ascii="宋体" w:hAnsi="宋体" w:eastAsia="宋体"/>
          <w:color w:val="auto"/>
          <w:sz w:val="24"/>
          <w:highlight w:val="none"/>
        </w:rPr>
        <w:t>采购代理机构</w:t>
      </w:r>
      <w:r>
        <w:rPr>
          <w:rFonts w:hint="eastAsia" w:ascii="宋体" w:hAnsi="宋体" w:eastAsia="宋体"/>
          <w:color w:val="auto"/>
          <w:sz w:val="24"/>
          <w:highlight w:val="none"/>
        </w:rPr>
        <w:t>澄清。逾期不提出澄清要求视为对竞争性谈判文件无异议。</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olor w:val="auto"/>
          <w:sz w:val="24"/>
          <w:highlight w:val="none"/>
        </w:rPr>
        <w:t>8.2</w:t>
      </w:r>
      <w:r>
        <w:rPr>
          <w:rFonts w:ascii="宋体" w:hAnsi="宋体" w:eastAsia="宋体"/>
          <w:color w:val="auto"/>
          <w:sz w:val="24"/>
          <w:highlight w:val="none"/>
        </w:rPr>
        <w:t>采购人、采购代理机构可以对已发出的谈判文件进行必要的澄清，澄清的内容作为谈判文件的组成部分。澄清的内容可能影响响应文件编制的，</w:t>
      </w:r>
      <w:r>
        <w:rPr>
          <w:rFonts w:hint="eastAsia" w:ascii="宋体" w:hAnsi="宋体" w:eastAsia="宋体"/>
          <w:color w:val="auto"/>
          <w:sz w:val="24"/>
          <w:highlight w:val="none"/>
        </w:rPr>
        <w:t>谈判文件的澄清将在</w:t>
      </w:r>
      <w:r>
        <w:rPr>
          <w:rFonts w:hint="eastAsia" w:ascii="宋体" w:hAnsi="宋体" w:eastAsia="宋体" w:cs="Arial"/>
          <w:color w:val="auto"/>
          <w:sz w:val="24"/>
          <w:highlight w:val="none"/>
        </w:rPr>
        <w:t>提交首次响应文件截止之日3</w:t>
      </w:r>
      <w:r>
        <w:rPr>
          <w:rFonts w:hint="eastAsia" w:ascii="宋体" w:hAnsi="宋体" w:eastAsia="宋体"/>
          <w:color w:val="auto"/>
          <w:sz w:val="24"/>
          <w:highlight w:val="none"/>
        </w:rPr>
        <w:t>个工作日前以书面形式（</w:t>
      </w:r>
      <w:r>
        <w:rPr>
          <w:rFonts w:hint="eastAsia" w:ascii="宋体" w:hAnsi="宋体" w:eastAsia="宋体" w:cs="Arial"/>
          <w:color w:val="auto"/>
          <w:sz w:val="24"/>
          <w:highlight w:val="none"/>
        </w:rPr>
        <w:t>在发布竞争性谈判公告的政府采购信息发布媒体上发布</w:t>
      </w:r>
      <w:r>
        <w:rPr>
          <w:rFonts w:hint="eastAsia" w:ascii="宋体" w:hAnsi="宋体" w:eastAsia="宋体"/>
          <w:color w:val="auto"/>
          <w:sz w:val="24"/>
          <w:highlight w:val="none"/>
        </w:rPr>
        <w:t>）发给所有购买竞争性谈判文件的供应商，但不指明澄清问题的来源，供应商未及时关注采购代理机构在公告发布媒介上发布的澄清文件造成的损失，由供应商自行负责。</w:t>
      </w:r>
      <w:r>
        <w:rPr>
          <w:rFonts w:ascii="宋体" w:hAnsi="宋体" w:eastAsia="宋体"/>
          <w:color w:val="auto"/>
          <w:sz w:val="24"/>
          <w:highlight w:val="none"/>
        </w:rPr>
        <w:t>不足3个工作日的，</w:t>
      </w:r>
      <w:r>
        <w:rPr>
          <w:rFonts w:hint="eastAsia" w:ascii="宋体" w:hAnsi="宋体" w:eastAsia="宋体"/>
          <w:color w:val="auto"/>
          <w:sz w:val="24"/>
          <w:highlight w:val="none"/>
        </w:rPr>
        <w:t>将</w:t>
      </w:r>
      <w:r>
        <w:rPr>
          <w:rFonts w:ascii="宋体" w:hAnsi="宋体" w:eastAsia="宋体"/>
          <w:color w:val="auto"/>
          <w:sz w:val="24"/>
          <w:highlight w:val="none"/>
        </w:rPr>
        <w:t>顺延提交首次响应文件截止之日</w:t>
      </w:r>
      <w:r>
        <w:rPr>
          <w:rFonts w:hint="eastAsia" w:ascii="宋体" w:hAnsi="宋体" w:eastAsia="宋体"/>
          <w:color w:val="auto"/>
          <w:sz w:val="24"/>
          <w:highlight w:val="none"/>
        </w:rPr>
        <w:t>。</w:t>
      </w:r>
      <w:r>
        <w:rPr>
          <w:rFonts w:hint="eastAsia" w:ascii="宋体" w:hAnsi="宋体" w:eastAsia="宋体" w:cs="Arial"/>
          <w:color w:val="auto"/>
          <w:sz w:val="24"/>
          <w:highlight w:val="none"/>
        </w:rPr>
        <w:t>该澄清的内容为谈判文件的组成部分。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Arial"/>
          <w:color w:val="auto"/>
          <w:sz w:val="24"/>
          <w:highlight w:val="none"/>
        </w:rPr>
        <w:t>8.3当谈判文件与谈判文件的澄清就同一内容的表述不一致时，以最后发出的公告或书面文件为准。</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9. 竞争性谈判文件的修改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9.1</w:t>
      </w:r>
      <w:r>
        <w:rPr>
          <w:rFonts w:ascii="宋体" w:hAnsi="宋体" w:eastAsia="宋体"/>
          <w:color w:val="auto"/>
          <w:sz w:val="24"/>
          <w:highlight w:val="none"/>
        </w:rPr>
        <w:t>采购人、采购代理机构可以对已发出的谈判文件进行必要的</w:t>
      </w:r>
      <w:r>
        <w:rPr>
          <w:rFonts w:hint="eastAsia" w:ascii="宋体" w:hAnsi="宋体" w:eastAsia="宋体"/>
          <w:color w:val="auto"/>
          <w:sz w:val="24"/>
          <w:highlight w:val="none"/>
        </w:rPr>
        <w:t>修改</w:t>
      </w:r>
      <w:r>
        <w:rPr>
          <w:rFonts w:ascii="宋体" w:hAnsi="宋体" w:eastAsia="宋体"/>
          <w:color w:val="auto"/>
          <w:sz w:val="24"/>
          <w:highlight w:val="none"/>
        </w:rPr>
        <w:t>，</w:t>
      </w:r>
      <w:r>
        <w:rPr>
          <w:rFonts w:hint="eastAsia" w:ascii="宋体" w:hAnsi="宋体" w:eastAsia="宋体"/>
          <w:color w:val="auto"/>
          <w:sz w:val="24"/>
          <w:highlight w:val="none"/>
        </w:rPr>
        <w:t>修改</w:t>
      </w:r>
      <w:r>
        <w:rPr>
          <w:rFonts w:ascii="宋体" w:hAnsi="宋体" w:eastAsia="宋体"/>
          <w:color w:val="auto"/>
          <w:sz w:val="24"/>
          <w:highlight w:val="none"/>
        </w:rPr>
        <w:t>的内容作为谈判文件的组成部分。</w:t>
      </w:r>
      <w:r>
        <w:rPr>
          <w:rFonts w:hint="eastAsia" w:ascii="宋体" w:hAnsi="宋体" w:eastAsia="宋体"/>
          <w:color w:val="auto"/>
          <w:sz w:val="24"/>
          <w:highlight w:val="none"/>
        </w:rPr>
        <w:t>修改</w:t>
      </w:r>
      <w:r>
        <w:rPr>
          <w:rFonts w:ascii="宋体" w:hAnsi="宋体" w:eastAsia="宋体"/>
          <w:color w:val="auto"/>
          <w:sz w:val="24"/>
          <w:highlight w:val="none"/>
        </w:rPr>
        <w:t>的内容可能影响响应文件编制的，</w:t>
      </w:r>
      <w:r>
        <w:rPr>
          <w:rFonts w:hint="eastAsia" w:ascii="宋体" w:hAnsi="宋体" w:eastAsia="宋体"/>
          <w:color w:val="auto"/>
          <w:sz w:val="24"/>
          <w:highlight w:val="none"/>
        </w:rPr>
        <w:t>谈判文件的修改将在</w:t>
      </w:r>
      <w:r>
        <w:rPr>
          <w:rFonts w:hint="eastAsia" w:ascii="宋体" w:hAnsi="宋体" w:eastAsia="宋体" w:cs="Arial"/>
          <w:color w:val="auto"/>
          <w:sz w:val="24"/>
          <w:highlight w:val="none"/>
        </w:rPr>
        <w:t>提交首次响应文件截止之日3</w:t>
      </w:r>
      <w:r>
        <w:rPr>
          <w:rFonts w:hint="eastAsia" w:ascii="宋体" w:hAnsi="宋体" w:eastAsia="宋体"/>
          <w:color w:val="auto"/>
          <w:sz w:val="24"/>
          <w:highlight w:val="none"/>
        </w:rPr>
        <w:t>个工作日前以书面形式（</w:t>
      </w:r>
      <w:r>
        <w:rPr>
          <w:rFonts w:hint="eastAsia" w:ascii="宋体" w:hAnsi="宋体" w:eastAsia="宋体" w:cs="Arial"/>
          <w:color w:val="auto"/>
          <w:sz w:val="24"/>
          <w:highlight w:val="none"/>
        </w:rPr>
        <w:t>在发布竞争性谈判公告的政府采购信息发布媒体上发布</w:t>
      </w:r>
      <w:r>
        <w:rPr>
          <w:rFonts w:hint="eastAsia" w:ascii="宋体" w:hAnsi="宋体" w:eastAsia="宋体"/>
          <w:color w:val="auto"/>
          <w:sz w:val="24"/>
          <w:highlight w:val="none"/>
        </w:rPr>
        <w:t>）发给所有购买竞争性谈判文件的供应商，供应商未及时关注采购代理机构在公告发布媒介上发布的修改文件造成的损失，由供应商自行负责。</w:t>
      </w:r>
      <w:r>
        <w:rPr>
          <w:rFonts w:ascii="宋体" w:hAnsi="宋体" w:eastAsia="宋体"/>
          <w:color w:val="auto"/>
          <w:sz w:val="24"/>
          <w:highlight w:val="none"/>
        </w:rPr>
        <w:t>不足3个工作日的，</w:t>
      </w:r>
      <w:r>
        <w:rPr>
          <w:rFonts w:hint="eastAsia" w:ascii="宋体" w:hAnsi="宋体" w:eastAsia="宋体"/>
          <w:color w:val="auto"/>
          <w:sz w:val="24"/>
          <w:highlight w:val="none"/>
        </w:rPr>
        <w:t>将</w:t>
      </w:r>
      <w:r>
        <w:rPr>
          <w:rFonts w:ascii="宋体" w:hAnsi="宋体" w:eastAsia="宋体"/>
          <w:color w:val="auto"/>
          <w:sz w:val="24"/>
          <w:highlight w:val="none"/>
        </w:rPr>
        <w:t>顺延提交首次响应文件截止之日</w:t>
      </w:r>
      <w:r>
        <w:rPr>
          <w:rFonts w:hint="eastAsia" w:ascii="宋体" w:hAnsi="宋体" w:eastAsia="宋体"/>
          <w:color w:val="auto"/>
          <w:sz w:val="24"/>
          <w:highlight w:val="none"/>
        </w:rPr>
        <w:t>。</w:t>
      </w:r>
      <w:r>
        <w:rPr>
          <w:rFonts w:hint="eastAsia" w:ascii="宋体" w:hAnsi="宋体" w:eastAsia="宋体" w:cs="Arial"/>
          <w:color w:val="auto"/>
          <w:sz w:val="24"/>
          <w:highlight w:val="none"/>
        </w:rPr>
        <w:t>该修改的内容为谈判文件的组成部分。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9.2</w:t>
      </w:r>
      <w:r>
        <w:rPr>
          <w:rFonts w:hint="eastAsia" w:ascii="宋体" w:hAnsi="宋体" w:eastAsia="宋体" w:cs="Arial"/>
          <w:color w:val="auto"/>
          <w:sz w:val="24"/>
          <w:highlight w:val="none"/>
        </w:rPr>
        <w:t>当谈判文件与谈判文件的修改就同一内容的表述不一致时，以最后发出的公告或书面文件为准。</w:t>
      </w:r>
    </w:p>
    <w:p>
      <w:pPr>
        <w:pStyle w:val="4"/>
        <w:spacing w:beforeLines="100" w:line="400" w:lineRule="exact"/>
        <w:rPr>
          <w:rFonts w:ascii="宋体" w:hAnsi="宋体" w:eastAsia="宋体"/>
          <w:color w:val="auto"/>
          <w:highlight w:val="none"/>
        </w:rPr>
      </w:pPr>
      <w:bookmarkStart w:id="62" w:name="_Toc246095518"/>
      <w:bookmarkStart w:id="63" w:name="_Toc27175"/>
      <w:bookmarkStart w:id="64" w:name="_Toc246095456"/>
      <w:bookmarkStart w:id="65" w:name="_Toc246094912"/>
      <w:r>
        <w:rPr>
          <w:rFonts w:hint="eastAsia" w:ascii="宋体" w:hAnsi="宋体" w:eastAsia="宋体"/>
          <w:color w:val="auto"/>
          <w:highlight w:val="none"/>
        </w:rPr>
        <w:t>三、响应文件</w:t>
      </w:r>
      <w:bookmarkEnd w:id="62"/>
      <w:bookmarkEnd w:id="63"/>
      <w:bookmarkEnd w:id="64"/>
      <w:bookmarkEnd w:id="65"/>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10. 响应文件的组成</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10.1响应文件应分为价格文件和商务技术文件两个部分组成。</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10.1.1价格文件：</w:t>
      </w:r>
      <w:r>
        <w:rPr>
          <w:rFonts w:ascii="宋体" w:hAnsi="宋体" w:eastAsia="宋体"/>
          <w:color w:val="auto"/>
          <w:sz w:val="24"/>
          <w:highlight w:val="none"/>
        </w:rPr>
        <w:t>具体材料见“</w:t>
      </w:r>
      <w:r>
        <w:rPr>
          <w:rFonts w:hint="eastAsia" w:ascii="宋体" w:hAnsi="宋体" w:eastAsia="宋体"/>
          <w:color w:val="auto"/>
          <w:sz w:val="24"/>
          <w:highlight w:val="none"/>
        </w:rPr>
        <w:t>供应商</w:t>
      </w:r>
      <w:r>
        <w:rPr>
          <w:rFonts w:ascii="宋体" w:hAnsi="宋体" w:eastAsia="宋体"/>
          <w:color w:val="auto"/>
          <w:sz w:val="24"/>
          <w:highlight w:val="none"/>
        </w:rPr>
        <w:t>须知前附表”</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10.1.2 商务技术文件：</w:t>
      </w:r>
      <w:r>
        <w:rPr>
          <w:rFonts w:ascii="宋体" w:hAnsi="宋体" w:eastAsia="宋体"/>
          <w:color w:val="auto"/>
          <w:sz w:val="24"/>
          <w:highlight w:val="none"/>
        </w:rPr>
        <w:t>具体材料见“</w:t>
      </w:r>
      <w:r>
        <w:rPr>
          <w:rFonts w:hint="eastAsia" w:ascii="宋体" w:hAnsi="宋体" w:eastAsia="宋体"/>
          <w:color w:val="auto"/>
          <w:sz w:val="24"/>
          <w:highlight w:val="none"/>
        </w:rPr>
        <w:t>供应商</w:t>
      </w:r>
      <w:r>
        <w:rPr>
          <w:rFonts w:ascii="宋体" w:hAnsi="宋体" w:eastAsia="宋体"/>
          <w:color w:val="auto"/>
          <w:sz w:val="24"/>
          <w:highlight w:val="none"/>
        </w:rPr>
        <w:t>须知前附表”</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10.1.3 响应文件电子版：</w:t>
      </w:r>
      <w:r>
        <w:rPr>
          <w:rFonts w:ascii="宋体" w:hAnsi="宋体" w:eastAsia="宋体"/>
          <w:color w:val="auto"/>
          <w:sz w:val="24"/>
          <w:highlight w:val="none"/>
        </w:rPr>
        <w:t>具体材料见“</w:t>
      </w:r>
      <w:r>
        <w:rPr>
          <w:rFonts w:hint="eastAsia" w:ascii="宋体" w:hAnsi="宋体" w:eastAsia="宋体"/>
          <w:color w:val="auto"/>
          <w:sz w:val="24"/>
          <w:highlight w:val="none"/>
        </w:rPr>
        <w:t>供应商</w:t>
      </w:r>
      <w:r>
        <w:rPr>
          <w:rFonts w:ascii="宋体" w:hAnsi="宋体" w:eastAsia="宋体"/>
          <w:color w:val="auto"/>
          <w:sz w:val="24"/>
          <w:highlight w:val="none"/>
        </w:rPr>
        <w:t>须知前附表”</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10.2 供应商应按照采购人提供的响应文件格式和顺序，自行编制响应文件，响应文件应包含本须知第10.1条中规定的内容，但表格可以按同样格式扩展。</w:t>
      </w:r>
      <w:bookmarkStart w:id="66" w:name="_Toc219773118"/>
    </w:p>
    <w:bookmarkEnd w:id="66"/>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11. 谈判报价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11.1响应文件中的报价均采用人民币表示。谈判报价应按谈判文件中相关附表格式填写。</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11.2</w:t>
      </w:r>
      <w:r>
        <w:rPr>
          <w:rFonts w:hint="eastAsia" w:ascii="宋体" w:hAnsi="宋体" w:eastAsia="宋体" w:cs="Arial"/>
          <w:color w:val="auto"/>
          <w:sz w:val="24"/>
          <w:highlight w:val="none"/>
        </w:rPr>
        <w:t>最后谈判报价是履行合同的最终价格。应包括第三章“</w:t>
      </w:r>
      <w:r>
        <w:rPr>
          <w:rFonts w:hint="eastAsia" w:ascii="宋体" w:hAnsi="宋体" w:eastAsia="宋体"/>
          <w:color w:val="auto"/>
          <w:sz w:val="24"/>
          <w:highlight w:val="none"/>
        </w:rPr>
        <w:t>项目采购需求和说明</w:t>
      </w:r>
      <w:r>
        <w:rPr>
          <w:rFonts w:hint="eastAsia" w:ascii="宋体" w:hAnsi="宋体" w:eastAsia="宋体" w:cs="Arial"/>
          <w:color w:val="auto"/>
          <w:sz w:val="24"/>
          <w:highlight w:val="none"/>
        </w:rPr>
        <w:t>”规定的各项价格</w:t>
      </w:r>
      <w:r>
        <w:rPr>
          <w:rFonts w:hint="eastAsia" w:ascii="宋体" w:hAnsi="宋体" w:eastAsia="宋体"/>
          <w:color w:val="auto"/>
          <w:sz w:val="24"/>
          <w:highlight w:val="none"/>
        </w:rPr>
        <w:t>。若无特殊规定，报价包含完成本项目所有内容所需的一</w:t>
      </w:r>
      <w:r>
        <w:rPr>
          <w:rFonts w:hint="eastAsia" w:ascii="宋体" w:hAnsi="宋体" w:eastAsia="宋体" w:cs="Arial"/>
          <w:color w:val="auto"/>
          <w:sz w:val="24"/>
          <w:highlight w:val="none"/>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Pr>
          <w:rFonts w:hint="eastAsia" w:ascii="宋体" w:hAnsi="宋体" w:eastAsia="宋体"/>
          <w:color w:val="auto"/>
          <w:sz w:val="24"/>
          <w:highlight w:val="none"/>
        </w:rPr>
        <w:t>、义务和一般风险等一切费用。</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11.4供应商必须就所竞项目（或分标）的全部内容作完整唯一报价，漏项报价的或有选择的或有条件的报价，其竞标将视为无效。</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11.5供应商的报价超出采购预算价或最高限价（如有）的，其竞标无效。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12. 响应有效期</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12.1在供应商须知前附表规定的响应有效期内，供应商不得要求撤销或修改其响应文件。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13. 谈判保证金</w:t>
      </w:r>
    </w:p>
    <w:p>
      <w:pPr>
        <w:spacing w:after="0" w:line="400" w:lineRule="exact"/>
        <w:ind w:firstLine="480" w:firstLineChars="200"/>
        <w:rPr>
          <w:rFonts w:ascii="宋体" w:hAnsi="宋体" w:eastAsia="宋体"/>
          <w:b/>
          <w:color w:val="auto"/>
          <w:sz w:val="24"/>
          <w:highlight w:val="none"/>
        </w:rPr>
      </w:pPr>
      <w:r>
        <w:rPr>
          <w:rFonts w:hint="eastAsia" w:ascii="宋体" w:hAnsi="宋体" w:eastAsia="宋体"/>
          <w:color w:val="auto"/>
          <w:sz w:val="24"/>
          <w:highlight w:val="none"/>
        </w:rPr>
        <w:t>13.1 供应商应按供应商须知前附表规定的数额、方式要求交纳谈判保证金，</w:t>
      </w:r>
      <w:r>
        <w:rPr>
          <w:rFonts w:hint="eastAsia" w:ascii="宋体" w:hAnsi="宋体" w:eastAsia="宋体"/>
          <w:b/>
          <w:color w:val="auto"/>
          <w:sz w:val="24"/>
          <w:highlight w:val="none"/>
        </w:rPr>
        <w:t>否则其竞标无效。</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13.2办理谈判保证金手续时，请务必在银行进账单或电汇单的用途或空白栏上注明项目名称或采购编号，以免耽误谈判。对未按采购文件要求缴纳谈判保证金的响应文件，采购代理机构将视其为不响应谈判条件而予以拒绝。</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13.3</w:t>
      </w:r>
      <w:r>
        <w:rPr>
          <w:rFonts w:hint="eastAsia" w:ascii="宋体" w:hAnsi="宋体" w:eastAsia="宋体" w:cs="Arial"/>
          <w:color w:val="auto"/>
          <w:sz w:val="24"/>
          <w:highlight w:val="none"/>
        </w:rPr>
        <w:t>未成交供应商的谈判保证金在成交通知书发出后5个工作日内退还</w:t>
      </w:r>
      <w:r>
        <w:rPr>
          <w:rFonts w:hint="eastAsia" w:ascii="宋体" w:hAnsi="宋体" w:eastAsia="宋体"/>
          <w:color w:val="auto"/>
          <w:sz w:val="24"/>
          <w:highlight w:val="none"/>
        </w:rPr>
        <w:t>（不计利息）。成交人的谈判保证金，在成交人与采购人签订合同后 5个工作日内退还。谈判保证金一律以转账方式退还，不计利息。</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13.4 如供应商有下列情形之一的，其谈判保证金将不予退还：</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（一）供应商在提交响应文件截止时间后撤回响应文件的；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（二）供应商在响应文件中提供虚假材料的；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（三）除因不可抗力或谈判文件认可的情形以外，成交供应商不与采购人签订合同的；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（四）供应商与采购人、其他供应商或者采购代理机构恶意串通的；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（五）成交人在收到成交通知书后，未按竞争性谈判文件规定提交履约保证金；</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Arial"/>
          <w:color w:val="auto"/>
          <w:sz w:val="24"/>
          <w:highlight w:val="none"/>
        </w:rPr>
        <w:t>（六）法律法规</w:t>
      </w:r>
      <w:r>
        <w:rPr>
          <w:rFonts w:ascii="宋体" w:hAnsi="宋体" w:eastAsia="宋体" w:cs="Arial"/>
          <w:color w:val="auto"/>
          <w:sz w:val="24"/>
          <w:highlight w:val="none"/>
        </w:rPr>
        <w:t>规定的其他情形</w:t>
      </w:r>
      <w:r>
        <w:rPr>
          <w:rFonts w:hint="eastAsia" w:ascii="宋体" w:hAnsi="宋体" w:eastAsia="宋体" w:cs="Arial"/>
          <w:color w:val="auto"/>
          <w:sz w:val="24"/>
          <w:highlight w:val="none"/>
        </w:rPr>
        <w:t>。</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14. 响应文件编制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14.1 响应文件应按第六章“响应文件格式”进行编写，如有必要，可以增加附页，作为响应文件的组成部分。</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14.2 </w:t>
      </w:r>
      <w:r>
        <w:rPr>
          <w:rFonts w:hint="eastAsia" w:ascii="宋体" w:hAnsi="宋体" w:eastAsia="宋体"/>
          <w:color w:val="auto"/>
          <w:sz w:val="24"/>
          <w:highlight w:val="none"/>
        </w:rPr>
        <w:t>供应商应按本文件规定的格式和顺序编制、装订响应文件并编制完整的页码、目录，响应文件内容不完整、编排混乱导致响应文件被误读、漏读或者查找不到相关内容，后果由供应商自行负责。</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14.3 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14.4 响应文件正本一份，副本份数见供应商须知前附表。正本和副本的封面上应清楚地标记“正本”或“副本”的字样。</w:t>
      </w:r>
      <w:r>
        <w:rPr>
          <w:rFonts w:hint="eastAsia" w:ascii="宋体" w:hAnsi="宋体" w:eastAsia="宋体"/>
          <w:b/>
          <w:color w:val="auto"/>
          <w:sz w:val="24"/>
          <w:highlight w:val="none"/>
        </w:rPr>
        <w:t>副本可为已按要求签字盖章的正本的复印件</w:t>
      </w:r>
      <w:r>
        <w:rPr>
          <w:rFonts w:hint="eastAsia" w:ascii="宋体" w:hAnsi="宋体" w:eastAsia="宋体"/>
          <w:color w:val="auto"/>
          <w:sz w:val="24"/>
          <w:highlight w:val="none"/>
        </w:rPr>
        <w:t>，当副本和正本不一致时，以正本为准。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14.5响应文件的正本与副本应分别装订成册，并编制目录和页码。</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15. 响应文件的密封和标识</w:t>
      </w:r>
    </w:p>
    <w:p>
      <w:pPr>
        <w:spacing w:after="0" w:line="400" w:lineRule="exact"/>
        <w:ind w:firstLine="488" w:firstLineChars="200"/>
        <w:rPr>
          <w:rFonts w:ascii="宋体" w:hAnsi="宋体" w:eastAsia="宋体"/>
          <w:color w:val="auto"/>
          <w:sz w:val="24"/>
          <w:highlight w:val="none"/>
        </w:rPr>
      </w:pPr>
      <w:r>
        <w:rPr>
          <w:rFonts w:hint="eastAsia" w:ascii="宋体" w:hAnsi="宋体" w:eastAsia="宋体" w:cs="Courier New"/>
          <w:color w:val="auto"/>
          <w:spacing w:val="2"/>
          <w:sz w:val="24"/>
          <w:highlight w:val="none"/>
        </w:rPr>
        <w:t>15.1 将响应文件</w:t>
      </w:r>
      <w:r>
        <w:rPr>
          <w:rFonts w:hint="eastAsia" w:ascii="宋体" w:hAnsi="宋体" w:eastAsia="宋体" w:cs="宋体"/>
          <w:color w:val="auto"/>
          <w:sz w:val="24"/>
          <w:highlight w:val="none"/>
        </w:rPr>
        <w:t>“价格文件”书面版本</w:t>
      </w:r>
      <w:r>
        <w:rPr>
          <w:rFonts w:hint="eastAsia" w:ascii="宋体" w:hAnsi="宋体" w:eastAsia="宋体" w:cs="Courier New"/>
          <w:color w:val="auto"/>
          <w:spacing w:val="2"/>
          <w:sz w:val="24"/>
          <w:highlight w:val="none"/>
        </w:rPr>
        <w:t>的正本和全部副本</w:t>
      </w:r>
      <w:r>
        <w:rPr>
          <w:rFonts w:hint="eastAsia" w:ascii="宋体" w:hAnsi="宋体" w:eastAsia="宋体"/>
          <w:color w:val="auto"/>
          <w:sz w:val="24"/>
          <w:highlight w:val="none"/>
        </w:rPr>
        <w:t>密封在一个包封内。</w:t>
      </w:r>
      <w:r>
        <w:rPr>
          <w:rFonts w:hint="eastAsia" w:ascii="宋体" w:hAnsi="宋体" w:eastAsia="宋体" w:cs="Courier New"/>
          <w:color w:val="auto"/>
          <w:spacing w:val="2"/>
          <w:sz w:val="24"/>
          <w:highlight w:val="none"/>
        </w:rPr>
        <w:t>内层包封上应写明“</w:t>
      </w:r>
      <w:r>
        <w:rPr>
          <w:rFonts w:hint="eastAsia" w:ascii="宋体" w:hAnsi="宋体" w:eastAsia="宋体" w:cs="宋体"/>
          <w:color w:val="auto"/>
          <w:sz w:val="24"/>
          <w:highlight w:val="none"/>
        </w:rPr>
        <w:t>价格文件、</w:t>
      </w:r>
      <w:r>
        <w:rPr>
          <w:rFonts w:hint="eastAsia" w:ascii="宋体" w:hAnsi="宋体" w:eastAsia="宋体" w:cs="Courier New"/>
          <w:color w:val="auto"/>
          <w:spacing w:val="2"/>
          <w:sz w:val="24"/>
          <w:highlight w:val="none"/>
        </w:rPr>
        <w:t>供应商名称和地址、项目名称、采购编号”</w:t>
      </w:r>
      <w:r>
        <w:rPr>
          <w:rFonts w:hint="eastAsia" w:ascii="宋体" w:hAnsi="宋体" w:eastAsia="宋体"/>
          <w:color w:val="auto"/>
          <w:sz w:val="24"/>
          <w:highlight w:val="none"/>
        </w:rPr>
        <w:t>字样；</w:t>
      </w:r>
    </w:p>
    <w:p>
      <w:pPr>
        <w:spacing w:after="0" w:line="400" w:lineRule="exact"/>
        <w:ind w:firstLine="488" w:firstLineChars="200"/>
        <w:rPr>
          <w:rFonts w:ascii="宋体" w:hAnsi="宋体" w:eastAsia="宋体"/>
          <w:color w:val="auto"/>
          <w:sz w:val="24"/>
          <w:highlight w:val="none"/>
        </w:rPr>
      </w:pPr>
      <w:r>
        <w:rPr>
          <w:rFonts w:hint="eastAsia" w:ascii="宋体" w:hAnsi="宋体" w:eastAsia="宋体" w:cs="Courier New"/>
          <w:color w:val="auto"/>
          <w:spacing w:val="2"/>
          <w:sz w:val="24"/>
          <w:highlight w:val="none"/>
        </w:rPr>
        <w:t>15.2 将响应文件</w:t>
      </w:r>
      <w:r>
        <w:rPr>
          <w:rFonts w:hint="eastAsia" w:ascii="宋体" w:hAnsi="宋体" w:eastAsia="宋体" w:cs="宋体"/>
          <w:color w:val="auto"/>
          <w:sz w:val="24"/>
          <w:highlight w:val="none"/>
        </w:rPr>
        <w:t>“商务技术文件”书面版本</w:t>
      </w:r>
      <w:r>
        <w:rPr>
          <w:rFonts w:hint="eastAsia" w:ascii="宋体" w:hAnsi="宋体" w:eastAsia="宋体" w:cs="Courier New"/>
          <w:color w:val="auto"/>
          <w:spacing w:val="2"/>
          <w:sz w:val="24"/>
          <w:highlight w:val="none"/>
        </w:rPr>
        <w:t>的正本和全部副本</w:t>
      </w:r>
      <w:r>
        <w:rPr>
          <w:rFonts w:hint="eastAsia" w:ascii="宋体" w:hAnsi="宋体" w:eastAsia="宋体"/>
          <w:color w:val="auto"/>
          <w:sz w:val="24"/>
          <w:highlight w:val="none"/>
        </w:rPr>
        <w:t>密封在一个包封内。</w:t>
      </w:r>
      <w:r>
        <w:rPr>
          <w:rFonts w:hint="eastAsia" w:ascii="宋体" w:hAnsi="宋体" w:eastAsia="宋体" w:cs="Courier New"/>
          <w:color w:val="auto"/>
          <w:spacing w:val="2"/>
          <w:sz w:val="24"/>
          <w:highlight w:val="none"/>
        </w:rPr>
        <w:t>内层包封上应写明“</w:t>
      </w:r>
      <w:r>
        <w:rPr>
          <w:rFonts w:hint="eastAsia" w:ascii="宋体" w:hAnsi="宋体" w:eastAsia="宋体" w:cs="宋体"/>
          <w:color w:val="auto"/>
          <w:sz w:val="24"/>
          <w:highlight w:val="none"/>
        </w:rPr>
        <w:t>商务技术文件、</w:t>
      </w:r>
      <w:r>
        <w:rPr>
          <w:rFonts w:hint="eastAsia" w:ascii="宋体" w:hAnsi="宋体" w:eastAsia="宋体" w:cs="Courier New"/>
          <w:color w:val="auto"/>
          <w:spacing w:val="2"/>
          <w:sz w:val="24"/>
          <w:highlight w:val="none"/>
        </w:rPr>
        <w:t>供应商名称和地址、项目名称、采购编号”</w:t>
      </w:r>
      <w:r>
        <w:rPr>
          <w:rFonts w:hint="eastAsia" w:ascii="宋体" w:hAnsi="宋体" w:eastAsia="宋体"/>
          <w:color w:val="auto"/>
          <w:sz w:val="24"/>
          <w:highlight w:val="none"/>
        </w:rPr>
        <w:t>字样；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15.3 </w:t>
      </w:r>
      <w:r>
        <w:rPr>
          <w:rFonts w:hint="eastAsia" w:ascii="宋体" w:hAnsi="宋体" w:eastAsia="宋体"/>
          <w:bCs/>
          <w:color w:val="auto"/>
          <w:sz w:val="24"/>
          <w:highlight w:val="none"/>
        </w:rPr>
        <w:t>将</w:t>
      </w:r>
      <w:r>
        <w:rPr>
          <w:rFonts w:hint="eastAsia" w:ascii="宋体" w:hAnsi="宋体" w:eastAsia="宋体"/>
          <w:color w:val="auto"/>
          <w:sz w:val="24"/>
          <w:highlight w:val="none"/>
        </w:rPr>
        <w:t>响应文件电子版U盘单独包封，包封上标明“响应文件电子版、</w:t>
      </w:r>
      <w:r>
        <w:rPr>
          <w:rFonts w:hint="eastAsia" w:ascii="宋体" w:hAnsi="宋体" w:eastAsia="宋体" w:cs="Courier New"/>
          <w:color w:val="auto"/>
          <w:spacing w:val="2"/>
          <w:sz w:val="24"/>
          <w:highlight w:val="none"/>
        </w:rPr>
        <w:t>供应商名称和地址、项目名称、采购编号</w:t>
      </w:r>
      <w:r>
        <w:rPr>
          <w:rFonts w:hint="eastAsia" w:ascii="宋体" w:hAnsi="宋体" w:eastAsia="宋体"/>
          <w:color w:val="auto"/>
          <w:sz w:val="24"/>
          <w:highlight w:val="none"/>
        </w:rPr>
        <w:t>”；</w:t>
      </w:r>
    </w:p>
    <w:p>
      <w:pPr>
        <w:spacing w:after="0" w:line="400" w:lineRule="exact"/>
        <w:ind w:firstLine="488" w:firstLineChars="200"/>
        <w:rPr>
          <w:rFonts w:ascii="宋体" w:hAnsi="宋体" w:eastAsia="宋体"/>
          <w:color w:val="auto"/>
          <w:sz w:val="24"/>
          <w:highlight w:val="none"/>
        </w:rPr>
      </w:pPr>
      <w:r>
        <w:rPr>
          <w:rFonts w:hint="eastAsia" w:ascii="宋体" w:hAnsi="宋体" w:eastAsia="宋体" w:cs="Courier New"/>
          <w:color w:val="auto"/>
          <w:spacing w:val="2"/>
          <w:sz w:val="24"/>
          <w:highlight w:val="none"/>
        </w:rPr>
        <w:t xml:space="preserve">15.4 </w:t>
      </w:r>
      <w:r>
        <w:rPr>
          <w:rFonts w:hint="eastAsia" w:ascii="宋体" w:hAnsi="宋体" w:eastAsia="宋体"/>
          <w:color w:val="auto"/>
          <w:sz w:val="24"/>
          <w:highlight w:val="none"/>
        </w:rPr>
        <w:t>将按上述第15.1项至第15.3项的规定包封好的“</w:t>
      </w:r>
      <w:r>
        <w:rPr>
          <w:rFonts w:hint="eastAsia" w:ascii="宋体" w:hAnsi="宋体" w:eastAsia="宋体" w:cs="宋体"/>
          <w:color w:val="auto"/>
          <w:sz w:val="24"/>
          <w:highlight w:val="none"/>
        </w:rPr>
        <w:t>价格文件</w:t>
      </w:r>
      <w:r>
        <w:rPr>
          <w:rFonts w:hint="eastAsia" w:ascii="宋体" w:hAnsi="宋体" w:eastAsia="宋体"/>
          <w:color w:val="auto"/>
          <w:sz w:val="24"/>
          <w:highlight w:val="none"/>
        </w:rPr>
        <w:t>”、“</w:t>
      </w:r>
      <w:r>
        <w:rPr>
          <w:rFonts w:hint="eastAsia" w:ascii="宋体" w:hAnsi="宋体" w:eastAsia="宋体" w:cs="宋体"/>
          <w:color w:val="auto"/>
          <w:sz w:val="24"/>
          <w:highlight w:val="none"/>
        </w:rPr>
        <w:t>商务技术文件</w:t>
      </w:r>
      <w:r>
        <w:rPr>
          <w:rFonts w:hint="eastAsia" w:ascii="宋体" w:hAnsi="宋体" w:eastAsia="宋体"/>
          <w:color w:val="auto"/>
          <w:sz w:val="24"/>
          <w:highlight w:val="none"/>
        </w:rPr>
        <w:t>”和“响应文件电子版U盘”全部密封在一个外层包封内</w:t>
      </w:r>
      <w:r>
        <w:rPr>
          <w:rFonts w:hint="eastAsia" w:ascii="宋体" w:hAnsi="宋体" w:eastAsia="宋体" w:cs="Courier New"/>
          <w:color w:val="auto"/>
          <w:spacing w:val="2"/>
          <w:sz w:val="24"/>
          <w:highlight w:val="none"/>
        </w:rPr>
        <w:t>（即采用双层包封法密封）</w:t>
      </w:r>
      <w:r>
        <w:rPr>
          <w:rFonts w:hint="eastAsia" w:ascii="宋体" w:hAnsi="宋体" w:eastAsia="宋体"/>
          <w:color w:val="auto"/>
          <w:sz w:val="24"/>
          <w:highlight w:val="none"/>
        </w:rPr>
        <w:t>。在外层包封上写明</w:t>
      </w:r>
      <w:r>
        <w:rPr>
          <w:rFonts w:hint="eastAsia" w:ascii="宋体" w:hAnsi="宋体" w:eastAsia="宋体" w:cs="Arial"/>
          <w:color w:val="auto"/>
          <w:sz w:val="24"/>
          <w:highlight w:val="none"/>
        </w:rPr>
        <w:t>供应商名称、供应商地址、项目名称、采购编号、分包号或标段号（如有）等字样，并加盖供应商公章。</w:t>
      </w:r>
    </w:p>
    <w:p>
      <w:pPr>
        <w:spacing w:after="0" w:line="400" w:lineRule="exact"/>
        <w:ind w:firstLine="490" w:firstLineChars="200"/>
        <w:rPr>
          <w:rFonts w:ascii="宋体" w:hAnsi="宋体" w:eastAsia="宋体" w:cs="Courier New"/>
          <w:b/>
          <w:color w:val="auto"/>
          <w:spacing w:val="2"/>
          <w:sz w:val="24"/>
          <w:highlight w:val="none"/>
        </w:rPr>
      </w:pPr>
      <w:r>
        <w:rPr>
          <w:rFonts w:hint="eastAsia" w:ascii="宋体" w:hAnsi="宋体" w:eastAsia="宋体" w:cs="Courier New"/>
          <w:b/>
          <w:color w:val="auto"/>
          <w:spacing w:val="2"/>
          <w:sz w:val="24"/>
          <w:highlight w:val="none"/>
        </w:rPr>
        <w:t>外包封必须加盖供应商公章或由供应商法定代表人（或授权代表）签字以示密封。</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color w:val="auto"/>
          <w:spacing w:val="2"/>
          <w:sz w:val="24"/>
          <w:highlight w:val="none"/>
        </w:rPr>
        <w:t>15.5 未按本章第15.1条或15.4条要求密封和加写标记，作无效响应文件处理。</w:t>
      </w:r>
    </w:p>
    <w:p>
      <w:pPr>
        <w:spacing w:after="0" w:line="400" w:lineRule="exact"/>
        <w:ind w:firstLine="490" w:firstLineChars="200"/>
        <w:rPr>
          <w:rFonts w:ascii="宋体" w:hAnsi="宋体" w:eastAsia="宋体" w:cs="Courier New"/>
          <w:b/>
          <w:bCs/>
          <w:color w:val="auto"/>
          <w:spacing w:val="2"/>
          <w:sz w:val="24"/>
          <w:highlight w:val="none"/>
        </w:rPr>
      </w:pPr>
      <w:r>
        <w:rPr>
          <w:rFonts w:hint="eastAsia" w:ascii="宋体" w:hAnsi="宋体" w:eastAsia="宋体" w:cs="Courier New"/>
          <w:b/>
          <w:bCs/>
          <w:color w:val="auto"/>
          <w:spacing w:val="2"/>
          <w:sz w:val="24"/>
          <w:highlight w:val="none"/>
        </w:rPr>
        <w:t>16. 响应文件的递交</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bCs/>
          <w:color w:val="auto"/>
          <w:spacing w:val="2"/>
          <w:sz w:val="24"/>
          <w:highlight w:val="none"/>
        </w:rPr>
        <w:t xml:space="preserve">16.1 </w:t>
      </w:r>
      <w:r>
        <w:rPr>
          <w:rFonts w:hint="eastAsia" w:ascii="宋体" w:hAnsi="宋体" w:eastAsia="宋体" w:cs="Courier New"/>
          <w:color w:val="auto"/>
          <w:spacing w:val="2"/>
          <w:sz w:val="24"/>
          <w:highlight w:val="none"/>
        </w:rPr>
        <w:t>供应商应在</w:t>
      </w:r>
      <w:r>
        <w:rPr>
          <w:rFonts w:hint="eastAsia" w:ascii="宋体" w:hAnsi="宋体" w:eastAsia="宋体"/>
          <w:color w:val="auto"/>
          <w:sz w:val="24"/>
          <w:highlight w:val="none"/>
        </w:rPr>
        <w:t>供应商须知前附表</w:t>
      </w:r>
      <w:r>
        <w:rPr>
          <w:rFonts w:hint="eastAsia" w:ascii="宋体" w:hAnsi="宋体" w:eastAsia="宋体" w:cs="Courier New"/>
          <w:color w:val="auto"/>
          <w:spacing w:val="2"/>
          <w:sz w:val="24"/>
          <w:highlight w:val="none"/>
        </w:rPr>
        <w:t>规定的截止时间前递交响应文件。凡逾期送达的响应文件将视为无效响应文件处理。</w:t>
      </w:r>
    </w:p>
    <w:p>
      <w:pPr>
        <w:spacing w:after="0" w:line="400" w:lineRule="exact"/>
        <w:ind w:firstLine="488" w:firstLineChars="200"/>
        <w:rPr>
          <w:rFonts w:ascii="宋体" w:hAnsi="宋体" w:eastAsia="宋体" w:cs="Courier New"/>
          <w:bCs/>
          <w:color w:val="auto"/>
          <w:spacing w:val="2"/>
          <w:sz w:val="24"/>
          <w:highlight w:val="none"/>
        </w:rPr>
      </w:pPr>
      <w:r>
        <w:rPr>
          <w:rFonts w:hint="eastAsia" w:ascii="宋体" w:hAnsi="宋体" w:eastAsia="宋体" w:cs="Courier New"/>
          <w:bCs/>
          <w:color w:val="auto"/>
          <w:spacing w:val="2"/>
          <w:sz w:val="24"/>
          <w:highlight w:val="none"/>
        </w:rPr>
        <w:t>16.2 供应商按</w:t>
      </w:r>
      <w:r>
        <w:rPr>
          <w:rFonts w:hint="eastAsia" w:ascii="宋体" w:hAnsi="宋体" w:eastAsia="宋体"/>
          <w:color w:val="auto"/>
          <w:sz w:val="24"/>
          <w:highlight w:val="none"/>
        </w:rPr>
        <w:t>供应商须知前附表</w:t>
      </w:r>
      <w:r>
        <w:rPr>
          <w:rFonts w:hint="eastAsia" w:ascii="宋体" w:hAnsi="宋体" w:eastAsia="宋体" w:cs="Courier New"/>
          <w:color w:val="auto"/>
          <w:spacing w:val="2"/>
          <w:sz w:val="24"/>
          <w:highlight w:val="none"/>
        </w:rPr>
        <w:t>规定的地点</w:t>
      </w:r>
      <w:r>
        <w:rPr>
          <w:rFonts w:hint="eastAsia" w:ascii="宋体" w:hAnsi="宋体" w:eastAsia="宋体" w:cs="Courier New"/>
          <w:bCs/>
          <w:color w:val="auto"/>
          <w:spacing w:val="2"/>
          <w:sz w:val="24"/>
          <w:highlight w:val="none"/>
        </w:rPr>
        <w:t>递交响应文件，并由采购人或采购代理机构</w:t>
      </w:r>
      <w:r>
        <w:rPr>
          <w:rFonts w:hint="eastAsia" w:ascii="宋体" w:hAnsi="宋体" w:eastAsia="宋体" w:cs="Courier New"/>
          <w:color w:val="auto"/>
          <w:spacing w:val="2"/>
          <w:sz w:val="24"/>
          <w:highlight w:val="none"/>
        </w:rPr>
        <w:t>签收</w:t>
      </w:r>
      <w:r>
        <w:rPr>
          <w:rFonts w:hint="eastAsia" w:ascii="宋体" w:hAnsi="宋体" w:eastAsia="宋体" w:cs="Courier New"/>
          <w:b/>
          <w:color w:val="auto"/>
          <w:spacing w:val="2"/>
          <w:sz w:val="24"/>
          <w:highlight w:val="none"/>
        </w:rPr>
        <w:t>。</w:t>
      </w:r>
    </w:p>
    <w:p>
      <w:pPr>
        <w:spacing w:after="0" w:line="400" w:lineRule="exact"/>
        <w:ind w:firstLine="488" w:firstLineChars="200"/>
        <w:rPr>
          <w:rFonts w:ascii="宋体" w:hAnsi="宋体" w:eastAsia="宋体" w:cs="Courier New"/>
          <w:bCs/>
          <w:color w:val="auto"/>
          <w:spacing w:val="2"/>
          <w:sz w:val="24"/>
          <w:highlight w:val="none"/>
        </w:rPr>
      </w:pPr>
      <w:r>
        <w:rPr>
          <w:rFonts w:hint="eastAsia" w:ascii="宋体" w:hAnsi="宋体" w:eastAsia="宋体" w:cs="Courier New"/>
          <w:bCs/>
          <w:color w:val="auto"/>
          <w:spacing w:val="2"/>
          <w:sz w:val="24"/>
          <w:highlight w:val="none"/>
        </w:rPr>
        <w:t>16.3 除竞争性谈判文件另有规定外，供应商所递交的响应文件不予退还。</w:t>
      </w:r>
    </w:p>
    <w:p>
      <w:pPr>
        <w:spacing w:after="0" w:line="400" w:lineRule="exact"/>
        <w:ind w:firstLine="488" w:firstLineChars="200"/>
        <w:rPr>
          <w:rFonts w:ascii="宋体" w:hAnsi="宋体" w:eastAsia="宋体" w:cs="Courier New"/>
          <w:bCs/>
          <w:color w:val="auto"/>
          <w:spacing w:val="2"/>
          <w:sz w:val="24"/>
          <w:highlight w:val="none"/>
        </w:rPr>
      </w:pPr>
      <w:r>
        <w:rPr>
          <w:rFonts w:hint="eastAsia" w:ascii="宋体" w:hAnsi="宋体" w:eastAsia="宋体" w:cs="Courier New"/>
          <w:bCs/>
          <w:color w:val="auto"/>
          <w:spacing w:val="2"/>
          <w:sz w:val="24"/>
          <w:highlight w:val="none"/>
        </w:rPr>
        <w:t>16.4 逾期送达的或者未送达指定地点的响应文件，</w:t>
      </w:r>
      <w:r>
        <w:rPr>
          <w:rFonts w:hint="eastAsia" w:ascii="宋体" w:hAnsi="宋体" w:eastAsia="宋体" w:cs="Courier New"/>
          <w:color w:val="auto"/>
          <w:spacing w:val="2"/>
          <w:sz w:val="24"/>
          <w:highlight w:val="none"/>
        </w:rPr>
        <w:t>采购代理机构将拒绝接收</w:t>
      </w:r>
      <w:r>
        <w:rPr>
          <w:rFonts w:hint="eastAsia" w:ascii="宋体" w:hAnsi="宋体" w:eastAsia="宋体" w:cs="Courier New"/>
          <w:bCs/>
          <w:color w:val="auto"/>
          <w:spacing w:val="2"/>
          <w:sz w:val="24"/>
          <w:highlight w:val="none"/>
        </w:rPr>
        <w:t>。</w:t>
      </w:r>
    </w:p>
    <w:p>
      <w:pPr>
        <w:spacing w:after="0" w:line="400" w:lineRule="exact"/>
        <w:ind w:firstLine="490" w:firstLineChars="200"/>
        <w:rPr>
          <w:rFonts w:ascii="宋体" w:hAnsi="宋体" w:eastAsia="宋体" w:cs="Courier New"/>
          <w:b/>
          <w:bCs/>
          <w:color w:val="auto"/>
          <w:spacing w:val="2"/>
          <w:sz w:val="24"/>
          <w:highlight w:val="none"/>
        </w:rPr>
      </w:pPr>
      <w:r>
        <w:rPr>
          <w:rFonts w:hint="eastAsia" w:ascii="宋体" w:hAnsi="宋体" w:eastAsia="宋体" w:cs="Courier New"/>
          <w:b/>
          <w:bCs/>
          <w:color w:val="auto"/>
          <w:spacing w:val="2"/>
          <w:sz w:val="24"/>
          <w:highlight w:val="none"/>
        </w:rPr>
        <w:t>17. 响应文件的修改和撤回</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color w:val="auto"/>
          <w:spacing w:val="2"/>
          <w:sz w:val="24"/>
          <w:highlight w:val="none"/>
        </w:rPr>
        <w:t>17.1 在</w:t>
      </w:r>
      <w:r>
        <w:rPr>
          <w:rFonts w:hint="eastAsia" w:ascii="宋体" w:hAnsi="宋体" w:eastAsia="宋体"/>
          <w:color w:val="auto"/>
          <w:sz w:val="24"/>
          <w:highlight w:val="none"/>
        </w:rPr>
        <w:t>供应商须知前附表</w:t>
      </w:r>
      <w:r>
        <w:rPr>
          <w:rFonts w:hint="eastAsia" w:ascii="宋体" w:hAnsi="宋体" w:eastAsia="宋体" w:cs="Courier New"/>
          <w:color w:val="auto"/>
          <w:spacing w:val="2"/>
          <w:sz w:val="24"/>
          <w:highlight w:val="none"/>
        </w:rPr>
        <w:t>规定的</w:t>
      </w:r>
      <w:r>
        <w:rPr>
          <w:rFonts w:hint="eastAsia" w:ascii="宋体" w:hAnsi="宋体" w:eastAsia="宋体" w:cs="宋体"/>
          <w:color w:val="auto"/>
          <w:sz w:val="24"/>
          <w:highlight w:val="none"/>
        </w:rPr>
        <w:t>递交响应文件</w:t>
      </w:r>
      <w:r>
        <w:rPr>
          <w:rFonts w:hint="eastAsia" w:ascii="宋体" w:hAnsi="宋体" w:eastAsia="宋体" w:cs="Courier New"/>
          <w:color w:val="auto"/>
          <w:spacing w:val="2"/>
          <w:sz w:val="24"/>
          <w:highlight w:val="none"/>
        </w:rPr>
        <w:t>截止时间前，供应商可以修改或撤回已递交的响应文件，但应以书面形式通知采购人或采购代理机构。</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color w:val="auto"/>
          <w:spacing w:val="2"/>
          <w:sz w:val="24"/>
          <w:highlight w:val="none"/>
        </w:rPr>
        <w:t>17.2 供应商修改或撤回已递交响应文件的书面通知应按照本章第14.3项的要求签字或盖章。采购人或采购代理机构收到书面通知后，向供应商出具签收凭证。</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color w:val="auto"/>
          <w:spacing w:val="2"/>
          <w:sz w:val="24"/>
          <w:highlight w:val="none"/>
        </w:rPr>
        <w:t>17.3 修改的内容为响应文件的组成部分。修改的响应文件应按照本章第15条、第16条规定进行编制、密封、标记和递交，并标明“修改”字样。</w:t>
      </w:r>
    </w:p>
    <w:p>
      <w:pPr>
        <w:spacing w:after="0" w:line="400" w:lineRule="exact"/>
        <w:ind w:firstLine="490" w:firstLineChars="200"/>
        <w:rPr>
          <w:rFonts w:ascii="宋体" w:hAnsi="宋体" w:eastAsia="宋体" w:cs="Courier New"/>
          <w:b/>
          <w:bCs/>
          <w:color w:val="auto"/>
          <w:spacing w:val="2"/>
          <w:sz w:val="24"/>
          <w:highlight w:val="none"/>
        </w:rPr>
      </w:pPr>
      <w:r>
        <w:rPr>
          <w:rFonts w:hint="eastAsia" w:ascii="宋体" w:hAnsi="宋体" w:eastAsia="宋体" w:cs="Courier New"/>
          <w:b/>
          <w:bCs/>
          <w:color w:val="auto"/>
          <w:spacing w:val="2"/>
          <w:sz w:val="24"/>
          <w:highlight w:val="none"/>
        </w:rPr>
        <w:t>18.响应文件的编写说明</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18.1 响应文件的复印件均须加盖投标单位的公章。</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18.2 供应商在响应文件中提供不真实的材料，都将视为虚假应标，竞谈无效，并承担由此产生的经济与法律责任。</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18.3 供应商在详细报价中，应按竞争性</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文件提供的《项目采购需求》进行完整报价。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18.4 报价栏项目中如出现唯一的数字“0”或空白，则视报价为零。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18.5供应商必须自行承担因其响应文件中的任何错漏而导致的一切后果。</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18.6 响应文件必须用不褪色的墨水书写或打印，响应文件正本和副本除目录外，须由供应商的法定代表人或其委托代理人逐页签署姓名（本页正文内容已由供应商的法定代表人或其委托代理人签署姓名的可不签署）并逐页加盖供应商单位公章（本页正文内容已加盖单位章的除外），否则视为不响应竞争性谈判文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18.7 响应文件的编制、签署及密封和标记等均要求按本须知15、18.6条规定的要求，否则视为未响应竞争性谈判文件要求。</w:t>
      </w:r>
    </w:p>
    <w:p>
      <w:pPr>
        <w:pStyle w:val="24"/>
        <w:rPr>
          <w:color w:val="auto"/>
          <w:highlight w:val="none"/>
        </w:rPr>
      </w:pPr>
    </w:p>
    <w:p>
      <w:pPr>
        <w:pStyle w:val="4"/>
        <w:spacing w:beforeLines="100" w:line="400" w:lineRule="exact"/>
        <w:rPr>
          <w:rFonts w:ascii="宋体" w:hAnsi="宋体" w:eastAsia="宋体"/>
          <w:color w:val="auto"/>
          <w:highlight w:val="none"/>
        </w:rPr>
      </w:pPr>
      <w:bookmarkStart w:id="67" w:name="_Toc26527"/>
      <w:r>
        <w:rPr>
          <w:rFonts w:hint="eastAsia" w:ascii="宋体" w:hAnsi="宋体" w:eastAsia="宋体"/>
          <w:color w:val="auto"/>
          <w:highlight w:val="none"/>
        </w:rPr>
        <w:t>四、谈判与评审</w:t>
      </w:r>
      <w:bookmarkEnd w:id="67"/>
    </w:p>
    <w:p>
      <w:pPr>
        <w:pStyle w:val="20"/>
        <w:spacing w:line="400" w:lineRule="exact"/>
        <w:ind w:firstLine="482" w:firstLineChars="200"/>
        <w:rPr>
          <w:rFonts w:hAnsi="宋体"/>
          <w:b/>
          <w:color w:val="auto"/>
          <w:sz w:val="24"/>
          <w:highlight w:val="none"/>
        </w:rPr>
      </w:pPr>
      <w:r>
        <w:rPr>
          <w:rFonts w:hint="eastAsia" w:hAnsi="宋体"/>
          <w:b/>
          <w:color w:val="auto"/>
          <w:sz w:val="24"/>
          <w:highlight w:val="none"/>
        </w:rPr>
        <w:t>19. 谈判时间和地点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19.1 采购代理机构将在供应商须知前附表规定的时间和地点组织谈判，供应商的法定代表人或其授权委托人必须持供应商须知前附表规定的证件依时到现场参加谈判，否则作无效响应处理。</w:t>
      </w:r>
    </w:p>
    <w:p>
      <w:pPr>
        <w:pStyle w:val="20"/>
        <w:spacing w:line="400" w:lineRule="exact"/>
        <w:ind w:firstLine="482" w:firstLineChars="200"/>
        <w:rPr>
          <w:rFonts w:hAnsi="宋体"/>
          <w:b/>
          <w:color w:val="auto"/>
          <w:sz w:val="24"/>
          <w:highlight w:val="none"/>
        </w:rPr>
      </w:pPr>
      <w:r>
        <w:rPr>
          <w:rFonts w:hint="eastAsia" w:hAnsi="宋体"/>
          <w:b/>
          <w:color w:val="auto"/>
          <w:sz w:val="24"/>
          <w:highlight w:val="none"/>
        </w:rPr>
        <w:t>20. 谈判小组成立</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20.1竞争性谈判小组成立</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采购代理机构依据法律规定，在政府采购监督部门规定的专家库中上随机抽取政府采购评审专家与采购人组成竞争性谈判小组。</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20.2 竞争性谈判小组在采购活动过程中应当履行下列职责：</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 xml:space="preserve">（1）确认谈判文件； </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（2）从符合相应资格条件的供应商名单中确定不少于3家的供应商参加谈判；</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（3）审查供应商的响应文件并作出评价；</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（4）要求供应商解释或者澄清其响应文件；</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 xml:space="preserve">（5）编写评审报告； </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（6）告知采购人、采购代理机构在评审过程中发现的供应商的违法违规行为。</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20.3竞争性谈判小组成员应当履行下列义务：</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（1）遵纪守法，客观、公正、廉洁地履行职责；</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（2）根据采购文件的规定独立进行评审，对个人的评审意见承担法律责任；</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（3）参与评审报告的起草；</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（4）配合采购人、采购代理机构答复供应商提出的质疑；</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（5）配合财政部门的投诉处理和监督检查工作。</w:t>
      </w:r>
    </w:p>
    <w:p>
      <w:pPr>
        <w:pStyle w:val="20"/>
        <w:spacing w:line="400" w:lineRule="exact"/>
        <w:ind w:firstLine="482" w:firstLineChars="200"/>
        <w:rPr>
          <w:rFonts w:hAnsi="宋体"/>
          <w:b/>
          <w:color w:val="auto"/>
          <w:sz w:val="24"/>
          <w:highlight w:val="none"/>
        </w:rPr>
      </w:pPr>
      <w:r>
        <w:rPr>
          <w:rFonts w:hint="eastAsia" w:hAnsi="宋体"/>
          <w:b/>
          <w:bCs/>
          <w:color w:val="auto"/>
          <w:sz w:val="24"/>
          <w:highlight w:val="none"/>
        </w:rPr>
        <w:t>20.4 评</w:t>
      </w:r>
      <w:r>
        <w:rPr>
          <w:rFonts w:hint="eastAsia" w:hAnsi="宋体"/>
          <w:b/>
          <w:color w:val="auto"/>
          <w:sz w:val="24"/>
          <w:highlight w:val="none"/>
        </w:rPr>
        <w:t>审原则及方法</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（1）评审原则：</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评审活动遵循公平、公正、科学和择优的原则。</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（2）评审方法：</w:t>
      </w:r>
    </w:p>
    <w:p>
      <w:pPr>
        <w:pStyle w:val="20"/>
        <w:spacing w:line="400" w:lineRule="exact"/>
        <w:ind w:firstLine="480" w:firstLineChars="200"/>
        <w:rPr>
          <w:rFonts w:hAnsi="宋体"/>
          <w:color w:val="auto"/>
          <w:sz w:val="24"/>
          <w:highlight w:val="none"/>
        </w:rPr>
      </w:pPr>
      <w:r>
        <w:rPr>
          <w:rFonts w:hint="eastAsia" w:hAnsi="宋体"/>
          <w:color w:val="auto"/>
          <w:sz w:val="24"/>
          <w:highlight w:val="none"/>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20"/>
        <w:spacing w:line="400" w:lineRule="exact"/>
        <w:ind w:firstLine="482" w:firstLineChars="200"/>
        <w:rPr>
          <w:rFonts w:hAnsi="宋体"/>
          <w:b/>
          <w:color w:val="auto"/>
          <w:sz w:val="24"/>
          <w:highlight w:val="none"/>
        </w:rPr>
      </w:pPr>
      <w:r>
        <w:rPr>
          <w:rFonts w:hint="eastAsia" w:hAnsi="宋体"/>
          <w:b/>
          <w:color w:val="auto"/>
          <w:sz w:val="24"/>
          <w:highlight w:val="none"/>
        </w:rPr>
        <w:t>2</w:t>
      </w:r>
      <w:r>
        <w:rPr>
          <w:rFonts w:hAnsi="宋体"/>
          <w:b/>
          <w:color w:val="auto"/>
          <w:sz w:val="24"/>
          <w:highlight w:val="none"/>
        </w:rPr>
        <w:t>1</w:t>
      </w:r>
      <w:r>
        <w:rPr>
          <w:rFonts w:hint="eastAsia" w:hAnsi="宋体"/>
          <w:b/>
          <w:color w:val="auto"/>
          <w:sz w:val="24"/>
          <w:highlight w:val="none"/>
        </w:rPr>
        <w:t>. 评审程序</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w:t>
      </w:r>
      <w:r>
        <w:rPr>
          <w:rFonts w:hint="eastAsia" w:ascii="宋体" w:hAnsi="宋体" w:eastAsia="宋体" w:cs="宋体"/>
          <w:color w:val="auto"/>
          <w:sz w:val="24"/>
          <w:highlight w:val="none"/>
        </w:rPr>
        <w:t>.1</w:t>
      </w:r>
      <w:r>
        <w:rPr>
          <w:rFonts w:hint="eastAsia" w:ascii="宋体" w:hAnsi="宋体" w:eastAsia="宋体"/>
          <w:color w:val="auto"/>
          <w:sz w:val="24"/>
          <w:highlight w:val="none"/>
        </w:rPr>
        <w:t>谈判小组确认竞争性谈判文件。</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w:t>
      </w:r>
      <w:r>
        <w:rPr>
          <w:rFonts w:hint="eastAsia" w:ascii="宋体" w:hAnsi="宋体" w:eastAsia="宋体" w:cs="宋体"/>
          <w:color w:val="auto"/>
          <w:sz w:val="24"/>
          <w:highlight w:val="none"/>
        </w:rPr>
        <w:t>.2资格审查和符合性审查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资格条件</w:t>
      </w:r>
      <w:r>
        <w:rPr>
          <w:rFonts w:hint="eastAsia" w:ascii="宋体" w:hAnsi="宋体" w:eastAsia="宋体"/>
          <w:color w:val="auto"/>
          <w:sz w:val="24"/>
          <w:highlight w:val="none"/>
        </w:rPr>
        <w:t>不符合</w:t>
      </w:r>
      <w:r>
        <w:rPr>
          <w:rFonts w:ascii="宋体" w:hAnsi="宋体" w:eastAsia="宋体"/>
          <w:color w:val="auto"/>
          <w:sz w:val="24"/>
          <w:highlight w:val="none"/>
        </w:rPr>
        <w:t>的供应商</w:t>
      </w:r>
      <w:r>
        <w:rPr>
          <w:rFonts w:hint="eastAsia" w:ascii="宋体" w:hAnsi="宋体" w:eastAsia="宋体"/>
          <w:color w:val="auto"/>
          <w:sz w:val="24"/>
          <w:highlight w:val="none"/>
        </w:rPr>
        <w:t>或</w:t>
      </w:r>
      <w:r>
        <w:rPr>
          <w:rFonts w:ascii="宋体" w:hAnsi="宋体" w:eastAsia="宋体"/>
          <w:color w:val="auto"/>
          <w:sz w:val="24"/>
          <w:highlight w:val="none"/>
        </w:rPr>
        <w:t>未实质性响应谈判文件的响应文件按无效</w:t>
      </w:r>
      <w:r>
        <w:rPr>
          <w:rFonts w:hint="eastAsia" w:ascii="宋体" w:hAnsi="宋体" w:eastAsia="宋体"/>
          <w:color w:val="auto"/>
          <w:sz w:val="24"/>
          <w:highlight w:val="none"/>
        </w:rPr>
        <w:t>竞标</w:t>
      </w:r>
      <w:r>
        <w:rPr>
          <w:rFonts w:ascii="宋体" w:hAnsi="宋体" w:eastAsia="宋体"/>
          <w:color w:val="auto"/>
          <w:sz w:val="24"/>
          <w:highlight w:val="none"/>
        </w:rPr>
        <w:t>处理，谈判小组告知有关供应商。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21.2.1资格审查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供应商有下列情形之一的，资格审查不通过：</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（1）不符合《中华人民共和国政府采购法》第二十二条规定条件的。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（2）未按本项目采购公告规定方式获得竞争性谈判文件的。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（3）参加同一合同项下的政府采购活动的不同供应商，单位负责人为同一人或者存在直接控股、管理关系的。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（4）为本次采购项目提供整体设计、规范编制或者项目管理、监理、检测等服务的。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（5）在“信用中国”网站(www.creditchina.gov.cn)</w:t>
      </w:r>
      <w:r>
        <w:rPr>
          <w:rFonts w:hint="eastAsia" w:ascii="宋体" w:hAnsi="宋体" w:eastAsia="宋体" w:cs="宋体"/>
          <w:color w:val="auto"/>
          <w:sz w:val="24"/>
          <w:highlight w:val="none"/>
        </w:rPr>
        <w:t>、中国政府采购网（www.ccgp.gov.cn）等</w:t>
      </w:r>
      <w:r>
        <w:rPr>
          <w:rFonts w:hint="eastAsia" w:ascii="宋体" w:hAnsi="宋体" w:eastAsia="宋体"/>
          <w:color w:val="auto"/>
          <w:sz w:val="24"/>
          <w:highlight w:val="none"/>
        </w:rPr>
        <w:t>渠道被列入失信被执行人、重大税收违法案件当事人名单、政府采购严重违法失信行为记录名单的。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（6）不按照采购文件要求提供合格的资格证明材料的。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（7）违反国家法律法规规定的其他资格内容的。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21.2.2符合性审查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依据采购文件的规定，谈判小组对通过资格审查的供应商的响应文件从有效性、完整性和对采购文件的响应程度等几方面进行审查，以确定是否对采购文件的实质性要求和条件作出响应。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21.3</w:t>
      </w:r>
      <w:r>
        <w:rPr>
          <w:rFonts w:hint="eastAsia" w:ascii="宋体" w:hAnsi="宋体" w:eastAsia="宋体"/>
          <w:color w:val="auto"/>
          <w:sz w:val="24"/>
          <w:highlight w:val="none"/>
        </w:rPr>
        <w:t>澄清有关问题</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1.4</w:t>
      </w:r>
      <w:r>
        <w:rPr>
          <w:rFonts w:hint="eastAsia" w:ascii="宋体" w:hAnsi="宋体" w:eastAsia="宋体" w:cs="宋体"/>
          <w:color w:val="auto"/>
          <w:sz w:val="24"/>
          <w:highlight w:val="none"/>
        </w:rPr>
        <w:t>谈判</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谈判小组按已确定的</w:t>
      </w:r>
      <w:r>
        <w:rPr>
          <w:rFonts w:hint="eastAsia" w:ascii="宋体" w:hAnsi="宋体" w:eastAsia="宋体"/>
          <w:color w:val="auto"/>
          <w:sz w:val="24"/>
          <w:highlight w:val="none"/>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在谈判过程中，</w:t>
      </w:r>
      <w:r>
        <w:rPr>
          <w:rFonts w:hint="eastAsia" w:ascii="宋体" w:hAnsi="宋体" w:eastAsia="宋体"/>
          <w:color w:val="auto"/>
          <w:sz w:val="24"/>
          <w:highlight w:val="none"/>
          <w:u w:val="single"/>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对谈判文件作出的实质性变动是谈判文件的有效组成部分，谈判小组及时以书面形式同时通知所有参加谈判的供应商。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谈判中，谈判的任何一方不得透露与谈判有关的其他供应商的技术资料、价格和其他信息。</w:t>
      </w:r>
    </w:p>
    <w:p>
      <w:pPr>
        <w:tabs>
          <w:tab w:val="left" w:pos="540"/>
        </w:tabs>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采购代理机构对谈判过程和重要谈判内容进行记录，谈判双方在记录上签字确认。</w:t>
      </w:r>
    </w:p>
    <w:p>
      <w:pPr>
        <w:tabs>
          <w:tab w:val="left" w:pos="540"/>
        </w:tabs>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最后报价</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.3 最后报价是供应商响应文件的有效组成部分。</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.4 已经提交响应文件的供应商，在提交最后报价之前，可以根据谈判情况退出谈判。采购人、采购代理机构将退还退出谈判的供应商的保证金。</w:t>
      </w:r>
    </w:p>
    <w:p>
      <w:pPr>
        <w:tabs>
          <w:tab w:val="left" w:pos="540"/>
        </w:tabs>
        <w:spacing w:after="0" w:line="40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21.6</w:t>
      </w:r>
      <w:r>
        <w:rPr>
          <w:rFonts w:hint="eastAsia" w:ascii="宋体" w:hAnsi="宋体" w:eastAsia="宋体"/>
          <w:b/>
          <w:bCs/>
          <w:color w:val="auto"/>
          <w:sz w:val="24"/>
          <w:highlight w:val="none"/>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w:t>
      </w:r>
      <w:r>
        <w:rPr>
          <w:rFonts w:ascii="宋体" w:hAnsi="宋体" w:eastAsia="宋体"/>
          <w:b/>
          <w:bCs/>
          <w:color w:val="auto"/>
          <w:sz w:val="24"/>
          <w:highlight w:val="none"/>
        </w:rPr>
        <w:t>2</w:t>
      </w:r>
      <w:r>
        <w:rPr>
          <w:rFonts w:hint="eastAsia" w:ascii="宋体" w:hAnsi="宋体" w:eastAsia="宋体"/>
          <w:b/>
          <w:bCs/>
          <w:color w:val="auto"/>
          <w:sz w:val="24"/>
          <w:highlight w:val="none"/>
        </w:rPr>
        <w:t>. 错误修正</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2</w:t>
      </w:r>
      <w:r>
        <w:rPr>
          <w:rFonts w:hint="eastAsia" w:ascii="宋体" w:hAnsi="宋体" w:eastAsia="宋体" w:cs="Arial"/>
          <w:color w:val="auto"/>
          <w:sz w:val="24"/>
          <w:highlight w:val="none"/>
        </w:rPr>
        <w:t>.1响应文件如果出现计算或表达上的错误，修正错误的原则如下：</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（1）响应文件的大写金额和小写金额不一致的，以大写金额为准；</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（2）总价金额与按单价汇总金额不一致的，以单价金额计算结果为准；</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（3）单价金额小数点有明显错位的，应以总价为准，并修正单价；</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（4）对不同文字文本响应文件的解释发生异议的，以中文文本为准。</w:t>
      </w:r>
    </w:p>
    <w:p>
      <w:pPr>
        <w:pStyle w:val="20"/>
        <w:spacing w:line="400" w:lineRule="exact"/>
        <w:ind w:firstLine="480" w:firstLineChars="200"/>
        <w:rPr>
          <w:rFonts w:hAnsi="宋体"/>
          <w:b/>
          <w:color w:val="auto"/>
          <w:sz w:val="24"/>
          <w:highlight w:val="none"/>
        </w:rPr>
      </w:pPr>
      <w:r>
        <w:rPr>
          <w:rFonts w:hint="eastAsia" w:hAnsi="宋体" w:cs="Arial"/>
          <w:color w:val="auto"/>
          <w:sz w:val="24"/>
          <w:highlight w:val="none"/>
        </w:rPr>
        <w:t>2</w:t>
      </w:r>
      <w:r>
        <w:rPr>
          <w:rFonts w:hAnsi="宋体" w:cs="Arial"/>
          <w:color w:val="auto"/>
          <w:sz w:val="24"/>
          <w:highlight w:val="none"/>
        </w:rPr>
        <w:t>2</w:t>
      </w:r>
      <w:r>
        <w:rPr>
          <w:rFonts w:hint="eastAsia" w:hAnsi="宋体" w:cs="Arial"/>
          <w:color w:val="auto"/>
          <w:sz w:val="24"/>
          <w:highlight w:val="none"/>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w:t>
      </w:r>
      <w:r>
        <w:rPr>
          <w:rFonts w:ascii="宋体" w:hAnsi="宋体" w:eastAsia="宋体"/>
          <w:b/>
          <w:bCs/>
          <w:color w:val="auto"/>
          <w:sz w:val="24"/>
          <w:highlight w:val="none"/>
        </w:rPr>
        <w:t>3</w:t>
      </w:r>
      <w:r>
        <w:rPr>
          <w:rFonts w:hint="eastAsia" w:ascii="宋体" w:hAnsi="宋体" w:eastAsia="宋体"/>
          <w:b/>
          <w:bCs/>
          <w:color w:val="auto"/>
          <w:sz w:val="24"/>
          <w:highlight w:val="none"/>
        </w:rPr>
        <w:t>. 评审过程的保密</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w:t>
      </w:r>
      <w:r>
        <w:rPr>
          <w:rFonts w:ascii="宋体" w:hAnsi="宋体" w:eastAsia="宋体"/>
          <w:bCs/>
          <w:color w:val="auto"/>
          <w:sz w:val="24"/>
          <w:highlight w:val="none"/>
        </w:rPr>
        <w:t>3</w:t>
      </w:r>
      <w:r>
        <w:rPr>
          <w:rFonts w:hint="eastAsia" w:ascii="宋体" w:hAnsi="宋体" w:eastAsia="宋体"/>
          <w:bCs/>
          <w:color w:val="auto"/>
          <w:sz w:val="24"/>
          <w:highlight w:val="none"/>
        </w:rPr>
        <w:t>.1 在评审活动中，凡属于审查、澄清、评价和比较的有关资料及有关授予合同的信息，都不应向供应商或与评审无关的其他人泄露。</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2</w:t>
      </w:r>
      <w:r>
        <w:rPr>
          <w:rFonts w:ascii="宋体" w:hAnsi="宋体" w:eastAsia="宋体"/>
          <w:bCs/>
          <w:color w:val="auto"/>
          <w:sz w:val="24"/>
          <w:highlight w:val="none"/>
        </w:rPr>
        <w:t>3</w:t>
      </w:r>
      <w:r>
        <w:rPr>
          <w:rFonts w:hint="eastAsia" w:ascii="宋体" w:hAnsi="宋体" w:eastAsia="宋体"/>
          <w:bCs/>
          <w:color w:val="auto"/>
          <w:sz w:val="24"/>
          <w:highlight w:val="none"/>
        </w:rPr>
        <w:t>.2 在响应文件的审查、澄清、评价和比较以及授予合同的过程中，供应商对采购人和谈判小组成员施加影响的任何行为，都将导致被取消谈判资格。</w:t>
      </w:r>
    </w:p>
    <w:p>
      <w:pPr>
        <w:spacing w:after="0" w:line="400" w:lineRule="exact"/>
        <w:ind w:firstLine="480" w:firstLineChars="200"/>
        <w:rPr>
          <w:rFonts w:ascii="宋体" w:hAnsi="宋体" w:eastAsia="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b/>
          <w:bCs/>
          <w:color w:val="auto"/>
          <w:sz w:val="24"/>
          <w:highlight w:val="none"/>
        </w:rPr>
        <w:t>2</w:t>
      </w:r>
      <w:r>
        <w:rPr>
          <w:rFonts w:ascii="宋体" w:hAnsi="宋体" w:eastAsia="宋体"/>
          <w:b/>
          <w:bCs/>
          <w:color w:val="auto"/>
          <w:sz w:val="24"/>
          <w:highlight w:val="none"/>
        </w:rPr>
        <w:t>4</w:t>
      </w:r>
      <w:r>
        <w:rPr>
          <w:rFonts w:hint="eastAsia" w:ascii="宋体" w:hAnsi="宋体" w:eastAsia="宋体"/>
          <w:b/>
          <w:bCs/>
          <w:color w:val="auto"/>
          <w:sz w:val="24"/>
          <w:highlight w:val="none"/>
        </w:rPr>
        <w:t>.</w:t>
      </w:r>
      <w:bookmarkStart w:id="68" w:name="_Toc254970532"/>
      <w:bookmarkStart w:id="69" w:name="_Toc254970673"/>
      <w:r>
        <w:rPr>
          <w:rFonts w:hint="eastAsia" w:ascii="宋体" w:hAnsi="宋体" w:eastAsia="宋体"/>
          <w:b/>
          <w:bCs/>
          <w:color w:val="auto"/>
          <w:sz w:val="24"/>
          <w:highlight w:val="none"/>
        </w:rPr>
        <w:t xml:space="preserve"> 特别说明：</w:t>
      </w:r>
      <w:bookmarkEnd w:id="68"/>
      <w:bookmarkEnd w:id="69"/>
    </w:p>
    <w:p>
      <w:pPr>
        <w:spacing w:after="0" w:line="400" w:lineRule="exact"/>
        <w:ind w:firstLine="480" w:firstLineChars="200"/>
        <w:rPr>
          <w:rFonts w:ascii="宋体" w:hAnsi="宋体" w:eastAsia="宋体"/>
          <w:color w:val="auto"/>
          <w:sz w:val="24"/>
          <w:highlight w:val="none"/>
        </w:rPr>
      </w:pPr>
      <w:r>
        <w:rPr>
          <w:rFonts w:hint="eastAsia" w:ascii="宋体" w:hAnsi="宋体" w:eastAsia="宋体" w:cs="Arial"/>
          <w:color w:val="auto"/>
          <w:sz w:val="24"/>
          <w:highlight w:val="none"/>
        </w:rPr>
        <w:t>（本条款所述竞标人等同于供应商，评标等同于评审，竞标等同于谈判或响应）</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24.1单位负责人为同一人或者存在直接控股、管理关系的，不得参加同一合同项下投标或未划分分标的同一合同项下投标，否则响应文件将被视为无效。</w:t>
      </w:r>
      <w:r>
        <w:rPr>
          <w:rFonts w:hint="eastAsia" w:ascii="宋体" w:hAnsi="宋体" w:eastAsia="宋体"/>
          <w:b/>
          <w:color w:val="auto"/>
          <w:sz w:val="24"/>
          <w:highlight w:val="none"/>
        </w:rPr>
        <w:t>生产厂商授权给供应商后自己不得参加同一合同项下的政府采购活动；生产厂商对同一品牌同一型号的货物，仅能委托一个代理商参加竞标。</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24.3出现下列情形之一的，在评审过程中，取其中通过资格审查、符合性审查且报价最低的参加评审；当报价相同时，则由采购人自主选择确定一个参加评审的供应商，其他响应文件无效：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（1）根据桂财采[2016]42号的规定，提供相同品牌产品的不同</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参加同一合同项下投标的，评审时，按上述规定确定其中一家为有效供应商。</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（2）非单一产品采购项目中，多家</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提供的核心产品相同的，视为提供相同品牌产品，应当按一个供应商认定，评审时，按上述规定确定其中一家为有效供应商。核心产品在谈判文件中写明。</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24.4 </w:t>
      </w:r>
      <w:r>
        <w:rPr>
          <w:rFonts w:hint="eastAsia" w:ascii="宋体" w:hAnsi="宋体" w:eastAsia="宋体"/>
          <w:color w:val="auto"/>
          <w:sz w:val="24"/>
          <w:highlight w:val="none"/>
          <w:lang w:eastAsia="zh-CN"/>
        </w:rPr>
        <w:t>竞标人</w:t>
      </w:r>
      <w:r>
        <w:rPr>
          <w:rFonts w:hint="eastAsia" w:ascii="宋体" w:hAnsi="宋体" w:eastAsia="宋体"/>
          <w:color w:val="auto"/>
          <w:sz w:val="24"/>
          <w:highlight w:val="none"/>
        </w:rPr>
        <w:t>投标所使用的资格、信誉、荣誉、业绩与企业认证必须为本法人所拥有。</w:t>
      </w:r>
      <w:r>
        <w:rPr>
          <w:rFonts w:hint="eastAsia" w:ascii="宋体" w:hAnsi="宋体" w:eastAsia="宋体"/>
          <w:b/>
          <w:color w:val="auto"/>
          <w:sz w:val="24"/>
          <w:highlight w:val="none"/>
        </w:rPr>
        <w:t>（本采购文件第三章“项目采购需求和说明”另有约定的从其约定）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24.5 </w:t>
      </w:r>
      <w:r>
        <w:rPr>
          <w:rFonts w:hint="eastAsia" w:ascii="宋体" w:hAnsi="宋体" w:eastAsia="宋体"/>
          <w:color w:val="auto"/>
          <w:sz w:val="24"/>
          <w:highlight w:val="none"/>
          <w:lang w:eastAsia="zh-CN"/>
        </w:rPr>
        <w:t>竞标人</w:t>
      </w:r>
      <w:r>
        <w:rPr>
          <w:rFonts w:hint="eastAsia" w:ascii="宋体" w:hAnsi="宋体" w:eastAsia="宋体"/>
          <w:color w:val="auto"/>
          <w:sz w:val="24"/>
          <w:highlight w:val="none"/>
        </w:rPr>
        <w:t>应仔细阅读采购文件的所有内容，按照采购文件的要求提交响应文件，并对所提供的全部资料的真实性承担法律责任。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24.6</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在投标活动中提供任何虚假材料,其投标无效，并报监管部门查处；中标后发现的,成交供应商须依照《中华人民共和国消费者权益保护法》规定赔偿采购人，且民事赔偿并不免除违法</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的行政与刑事责任。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24.7在政府采购活动中，采购人员及相关人员与</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有下列利害关系之一的，应当回避：</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（1）参加采购活动前3年内与</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存在劳动关系；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（2）参加采购活动前3年内担任</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的董事、监事；</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（3）参加采购活动前3年内是</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的控股股东或者实际控制人；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（4）与</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的法定代表人或者负责人有夫妻、直系血亲、三代以内旁系血亲或者近姻亲关系；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（5）与</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有其他可能影响政府采购活动公平、公正进行的关系。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认为采购人员及相关人员与其他</w:t>
      </w:r>
      <w:r>
        <w:rPr>
          <w:rFonts w:hint="eastAsia" w:ascii="宋体" w:hAnsi="宋体" w:eastAsia="宋体"/>
          <w:b/>
          <w:color w:val="auto"/>
          <w:sz w:val="24"/>
          <w:highlight w:val="none"/>
          <w:lang w:eastAsia="zh-CN"/>
        </w:rPr>
        <w:t>竞标人</w:t>
      </w:r>
      <w:r>
        <w:rPr>
          <w:rFonts w:hint="eastAsia" w:ascii="宋体" w:hAnsi="宋体" w:eastAsia="宋体"/>
          <w:b/>
          <w:color w:val="auto"/>
          <w:sz w:val="24"/>
          <w:highlight w:val="none"/>
        </w:rPr>
        <w:t>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25. 供应商相互串通投标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有下列情形之一的视为供应商相互串通投标，响应文件将被视为无效：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（1）不同供应商的响应文件由同一单位或者个人编制；或不同供应商报名的IP地址一致的；</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（2）不同供应商委托同一单位或者个人办理投标事宜；</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（3）不同的供应商的响应文件载明的项目管理员为同一个人；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（4）不同供应商的响应文件异常一致或投标报价呈规律性差异；</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（5）不同供应商的响应文件相互混装；</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（6）不同供应商的投标保证金从同一单位或者个人账户转出。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 xml:space="preserve">6. </w:t>
      </w:r>
      <w:r>
        <w:rPr>
          <w:rFonts w:hint="eastAsia" w:ascii="宋体" w:hAnsi="宋体" w:eastAsia="宋体"/>
          <w:b/>
          <w:color w:val="auto"/>
          <w:sz w:val="24"/>
          <w:highlight w:val="none"/>
        </w:rPr>
        <w:t>供应商恶意串通投标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供应商有下列情形之一的，属于恶意串通行为：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（1）供应商直接或者间接从采购人或者采购代理机构处获得其他供应商的相关信息并修改其响应文件或者响应文件：</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（2）供应商按照采购人或者采购代理机构的授意撤换、修改响应文件或者响应文件；</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（3）供应商之间协商报价、技术方案等响应文件或者响应文件的实质性内容；</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（4）属于同一集团、协会、商会等组织成员的供应商按照该组织要求协同参加政府采购活动；</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（6）供应商之间商定部分供应商放弃参加政府采购活动或者放弃中标；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（7）供应商与采购人或者采购代理机构之间、供应商相互之间，为谋求特定供应商中标或者排斥其他供应商的其他串通行为。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7</w:t>
      </w:r>
      <w:r>
        <w:rPr>
          <w:rFonts w:hint="eastAsia" w:ascii="宋体" w:hAnsi="宋体" w:eastAsia="宋体"/>
          <w:b/>
          <w:color w:val="auto"/>
          <w:sz w:val="24"/>
          <w:highlight w:val="none"/>
        </w:rPr>
        <w:t>. 终止采购</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出现下列情形之一的，采购人或者采购代理机构终止竞争性谈判采购活动，发布项目终止公告并说明原因，重新开展采购活动：</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（一）因情况变化，不再符合规定的竞争性谈判采购方式适用情形的；</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（二）出现影响采购公正的违法、违规行为的；</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（三）在采购过程中符合竞争要求的供应商或者报价未超过采购预算的供应商不足3家的，但</w:t>
      </w:r>
      <w:r>
        <w:rPr>
          <w:rFonts w:hint="eastAsia" w:ascii="宋体" w:hAnsi="宋体" w:eastAsia="宋体"/>
          <w:color w:val="auto"/>
          <w:sz w:val="24"/>
          <w:highlight w:val="none"/>
        </w:rPr>
        <w:t>《政府采购非招标采购方式管理办法》</w:t>
      </w:r>
      <w:r>
        <w:rPr>
          <w:rFonts w:ascii="宋体" w:hAnsi="宋体" w:eastAsia="宋体"/>
          <w:color w:val="auto"/>
          <w:sz w:val="24"/>
          <w:highlight w:val="none"/>
        </w:rPr>
        <w:t>第二十七条第二款规定的情形除外。</w:t>
      </w:r>
    </w:p>
    <w:p>
      <w:pPr>
        <w:pStyle w:val="4"/>
        <w:spacing w:beforeLines="50" w:line="400" w:lineRule="exact"/>
        <w:rPr>
          <w:rFonts w:ascii="宋体" w:hAnsi="宋体" w:eastAsia="宋体"/>
          <w:color w:val="auto"/>
          <w:highlight w:val="none"/>
        </w:rPr>
      </w:pPr>
      <w:bookmarkStart w:id="70" w:name="_Toc246095522"/>
      <w:bookmarkStart w:id="71" w:name="_Toc246095460"/>
      <w:bookmarkStart w:id="72" w:name="_Toc246094916"/>
      <w:bookmarkStart w:id="73" w:name="_Toc3773"/>
      <w:r>
        <w:rPr>
          <w:rFonts w:hint="eastAsia" w:ascii="宋体" w:hAnsi="宋体" w:eastAsia="宋体"/>
          <w:color w:val="auto"/>
          <w:highlight w:val="none"/>
        </w:rPr>
        <w:t>五、</w:t>
      </w:r>
      <w:bookmarkEnd w:id="70"/>
      <w:bookmarkEnd w:id="71"/>
      <w:bookmarkEnd w:id="72"/>
      <w:r>
        <w:rPr>
          <w:rFonts w:hint="eastAsia" w:ascii="宋体" w:hAnsi="宋体" w:eastAsia="宋体"/>
          <w:color w:val="auto"/>
          <w:highlight w:val="none"/>
        </w:rPr>
        <w:t>评审结果</w:t>
      </w:r>
      <w:bookmarkEnd w:id="73"/>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8</w:t>
      </w:r>
      <w:r>
        <w:rPr>
          <w:rFonts w:hint="eastAsia" w:ascii="宋体" w:hAnsi="宋体" w:eastAsia="宋体"/>
          <w:b/>
          <w:color w:val="auto"/>
          <w:sz w:val="24"/>
          <w:highlight w:val="none"/>
        </w:rPr>
        <w:t>. 评审结果确定</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9</w:t>
      </w:r>
      <w:r>
        <w:rPr>
          <w:rFonts w:hint="eastAsia" w:ascii="宋体" w:hAnsi="宋体" w:eastAsia="宋体"/>
          <w:b/>
          <w:color w:val="auto"/>
          <w:sz w:val="24"/>
          <w:highlight w:val="none"/>
        </w:rPr>
        <w:t>. 成交通知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采购代理机构在成交供应商确定后2个工作日内，在省级以上财政部门指定的媒体上公告成交结果，同时向成交供应商发出成交通知书。</w:t>
      </w:r>
    </w:p>
    <w:p>
      <w:pPr>
        <w:pStyle w:val="4"/>
        <w:spacing w:beforeLines="100" w:line="400" w:lineRule="exact"/>
        <w:rPr>
          <w:rFonts w:ascii="宋体" w:hAnsi="宋体" w:eastAsia="宋体"/>
          <w:color w:val="auto"/>
          <w:highlight w:val="none"/>
        </w:rPr>
      </w:pPr>
      <w:bookmarkStart w:id="74" w:name="_Toc453"/>
      <w:r>
        <w:rPr>
          <w:rFonts w:hint="eastAsia" w:ascii="宋体" w:hAnsi="宋体" w:eastAsia="宋体"/>
          <w:color w:val="auto"/>
          <w:highlight w:val="none"/>
        </w:rPr>
        <w:t>六、合同授予</w:t>
      </w:r>
      <w:bookmarkEnd w:id="74"/>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30. 履约保证金</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30.1成交供应商应按供应商须知前附表规定的履约保证金的金额、方式，在签订合同前缴纳给采购人指定账户。否则,不予签订合同。</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Pr>
          <w:rFonts w:ascii="宋体" w:hAnsi="宋体" w:eastAsia="宋体"/>
          <w:color w:val="auto"/>
          <w:sz w:val="24"/>
          <w:highlight w:val="none"/>
        </w:rPr>
        <w:t>5</w:t>
      </w:r>
      <w:r>
        <w:rPr>
          <w:rFonts w:hint="eastAsia" w:ascii="宋体" w:hAnsi="宋体" w:eastAsia="宋体"/>
          <w:color w:val="auto"/>
          <w:sz w:val="24"/>
          <w:highlight w:val="none"/>
        </w:rPr>
        <w:t>个日历天内扣减成交供应商赔偿金和其他应从成交供应商扣回的款项后，将履约保证金的余额退还给成交供应商（无息）。</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30.4在履约保证金退还日期前，若成交供应商的开户名称、开户银行、账号有变动的，请以书面形式通知采购人，否则由此产生的后果由成交供应商自负。</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31. 签订合同</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.1</w:t>
      </w:r>
      <w:r>
        <w:rPr>
          <w:rFonts w:hint="eastAsia" w:ascii="宋体" w:hAnsi="宋体" w:eastAsia="宋体"/>
          <w:color w:val="auto"/>
          <w:sz w:val="24"/>
          <w:highlight w:val="none"/>
        </w:rPr>
        <w:t>成交供应商应</w:t>
      </w:r>
      <w:r>
        <w:rPr>
          <w:rFonts w:hint="eastAsia" w:ascii="宋体" w:hAnsi="宋体" w:eastAsia="宋体"/>
          <w:color w:val="auto"/>
          <w:sz w:val="24"/>
          <w:highlight w:val="none"/>
          <w:lang w:eastAsia="zh-CN"/>
        </w:rPr>
        <w:t>在</w:t>
      </w:r>
      <w:r>
        <w:rPr>
          <w:rFonts w:hint="eastAsia" w:ascii="宋体" w:hAnsi="宋体" w:eastAsia="宋体"/>
          <w:color w:val="auto"/>
          <w:sz w:val="24"/>
          <w:highlight w:val="none"/>
        </w:rPr>
        <w:t>成交通知书</w:t>
      </w:r>
      <w:r>
        <w:rPr>
          <w:rFonts w:hint="eastAsia" w:ascii="宋体" w:hAnsi="宋体" w:eastAsia="宋体"/>
          <w:color w:val="auto"/>
          <w:sz w:val="24"/>
          <w:highlight w:val="none"/>
          <w:lang w:eastAsia="zh-CN"/>
        </w:rPr>
        <w:t>发出之日起</w:t>
      </w:r>
      <w:r>
        <w:rPr>
          <w:rFonts w:hint="eastAsia" w:ascii="宋体" w:hAnsi="宋体" w:eastAsia="宋体"/>
          <w:color w:val="auto"/>
          <w:sz w:val="24"/>
          <w:highlight w:val="none"/>
          <w:lang w:val="en-US" w:eastAsia="zh-CN"/>
        </w:rPr>
        <w:t>15天内</w:t>
      </w:r>
      <w:r>
        <w:rPr>
          <w:rFonts w:hint="eastAsia" w:ascii="宋体" w:hAnsi="宋体" w:eastAsia="宋体"/>
          <w:color w:val="auto"/>
          <w:sz w:val="24"/>
          <w:highlight w:val="none"/>
        </w:rPr>
        <w:t>与采购人签订合同。</w:t>
      </w:r>
      <w:r>
        <w:rPr>
          <w:rFonts w:hint="eastAsia" w:ascii="宋体" w:hAnsi="宋体" w:eastAsia="宋体" w:cs="Arial"/>
          <w:color w:val="auto"/>
          <w:sz w:val="24"/>
          <w:highlight w:val="none"/>
        </w:rPr>
        <w:t>谈判文件、成交供应商的响应文件、应答文件等，均为签订政府采购合同的依据。</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.2</w:t>
      </w:r>
      <w:r>
        <w:rPr>
          <w:rFonts w:hint="eastAsia" w:ascii="宋体" w:hAnsi="宋体" w:eastAsia="宋体"/>
          <w:color w:val="auto"/>
          <w:sz w:val="24"/>
          <w:highlight w:val="none"/>
        </w:rPr>
        <w:t>如成交供应商不按成交通知书的规定签订合同，则按成交供应商违约处理，采购代理机构将不予退还成交供应商谈判保证金并上缴财政国库。</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.3成交供应商拒绝签订政府采购合同的，</w:t>
      </w:r>
      <w:r>
        <w:rPr>
          <w:rFonts w:hint="eastAsia" w:ascii="宋体" w:hAnsi="宋体" w:eastAsia="宋体"/>
          <w:color w:val="auto"/>
          <w:sz w:val="24"/>
          <w:highlight w:val="none"/>
        </w:rPr>
        <w:t>如</w:t>
      </w:r>
      <w:r>
        <w:rPr>
          <w:rFonts w:ascii="宋体" w:hAnsi="宋体" w:eastAsia="宋体"/>
          <w:color w:val="auto"/>
          <w:sz w:val="24"/>
          <w:highlight w:val="none"/>
        </w:rPr>
        <w:t>政府采购活动或</w:t>
      </w:r>
      <w:r>
        <w:rPr>
          <w:rFonts w:hint="eastAsia" w:ascii="宋体" w:hAnsi="宋体" w:eastAsia="宋体"/>
          <w:color w:val="auto"/>
          <w:sz w:val="24"/>
          <w:highlight w:val="none"/>
        </w:rPr>
        <w:t>成交</w:t>
      </w:r>
      <w:r>
        <w:rPr>
          <w:rFonts w:ascii="宋体" w:hAnsi="宋体" w:eastAsia="宋体"/>
          <w:color w:val="auto"/>
          <w:sz w:val="24"/>
          <w:highlight w:val="none"/>
        </w:rPr>
        <w:t>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4</w:t>
      </w:r>
      <w:r>
        <w:rPr>
          <w:rFonts w:hint="eastAsia" w:ascii="宋体" w:hAnsi="宋体" w:eastAsia="宋体"/>
          <w:color w:val="auto"/>
          <w:sz w:val="24"/>
          <w:highlight w:val="none"/>
        </w:rPr>
        <w:t>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32. 政府采购合同公告</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根据</w:t>
      </w:r>
      <w:r>
        <w:rPr>
          <w:rFonts w:ascii="宋体" w:hAnsi="宋体" w:eastAsia="宋体" w:cs="Arial"/>
          <w:color w:val="auto"/>
          <w:sz w:val="24"/>
          <w:highlight w:val="none"/>
        </w:rPr>
        <w:t>《中华人民共和国政府采购法实施条例》第五十条</w:t>
      </w:r>
      <w:r>
        <w:rPr>
          <w:rFonts w:hint="eastAsia" w:ascii="宋体" w:hAnsi="宋体" w:eastAsia="宋体" w:cs="Arial"/>
          <w:color w:val="auto"/>
          <w:sz w:val="24"/>
          <w:highlight w:val="none"/>
        </w:rPr>
        <w:t>规定，采购人应当自政府采购合同签订之日起2个工作日内，将政府采购合同在省级以上人民政府财政部门指定的媒体上公告，</w:t>
      </w:r>
      <w:r>
        <w:rPr>
          <w:rFonts w:ascii="宋体" w:hAnsi="宋体" w:eastAsia="宋体" w:cs="Arial"/>
          <w:color w:val="auto"/>
          <w:sz w:val="24"/>
          <w:highlight w:val="none"/>
        </w:rPr>
        <w:t>但政府采购合同中涉及国家秘密、商业秘密的内容除外。</w:t>
      </w:r>
    </w:p>
    <w:p>
      <w:pPr>
        <w:pStyle w:val="4"/>
        <w:spacing w:beforeLines="100" w:line="400" w:lineRule="exact"/>
        <w:rPr>
          <w:rFonts w:ascii="宋体" w:hAnsi="宋体" w:eastAsia="宋体"/>
          <w:color w:val="auto"/>
          <w:highlight w:val="none"/>
        </w:rPr>
      </w:pPr>
      <w:bookmarkStart w:id="75" w:name="_Toc246095523"/>
      <w:bookmarkStart w:id="76" w:name="_Toc246094917"/>
      <w:bookmarkStart w:id="77" w:name="_Toc23225"/>
      <w:bookmarkStart w:id="78" w:name="_Toc246095461"/>
      <w:r>
        <w:rPr>
          <w:rFonts w:hint="eastAsia" w:ascii="宋体" w:hAnsi="宋体" w:eastAsia="宋体"/>
          <w:color w:val="auto"/>
          <w:highlight w:val="none"/>
        </w:rPr>
        <w:t>七、其他</w:t>
      </w:r>
      <w:bookmarkEnd w:id="75"/>
      <w:bookmarkEnd w:id="76"/>
      <w:bookmarkEnd w:id="77"/>
      <w:bookmarkEnd w:id="78"/>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33. 招标代理服务费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33.1本项目招标代理服务费按本章33.2款规定的货物类费率标准，按差额定率累进法计算。成交人领取成交通知书前，应向采购代理机构一次付清招标代理服务费，否则，采购代理机构将视之为违约。</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33.2招标代理服务费标准：</w:t>
      </w:r>
    </w:p>
    <w:tbl>
      <w:tblPr>
        <w:tblStyle w:val="38"/>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             费率</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中标金额</w:t>
            </w:r>
          </w:p>
        </w:tc>
        <w:tc>
          <w:tcPr>
            <w:tcW w:w="1920"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货物招标</w:t>
            </w:r>
          </w:p>
        </w:tc>
        <w:tc>
          <w:tcPr>
            <w:tcW w:w="1907"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服务招标</w:t>
            </w:r>
          </w:p>
        </w:tc>
        <w:tc>
          <w:tcPr>
            <w:tcW w:w="1683"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100万元以下</w:t>
            </w:r>
          </w:p>
        </w:tc>
        <w:tc>
          <w:tcPr>
            <w:tcW w:w="1920"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1.5%</w:t>
            </w:r>
          </w:p>
        </w:tc>
        <w:tc>
          <w:tcPr>
            <w:tcW w:w="1907"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1.5%</w:t>
            </w:r>
          </w:p>
        </w:tc>
        <w:tc>
          <w:tcPr>
            <w:tcW w:w="1683"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1.0%</w:t>
            </w:r>
          </w:p>
        </w:tc>
      </w:tr>
    </w:tbl>
    <w:p>
      <w:pPr>
        <w:spacing w:after="0" w:line="400" w:lineRule="exact"/>
        <w:ind w:firstLine="482" w:firstLineChars="200"/>
        <w:rPr>
          <w:rFonts w:ascii="宋体" w:hAnsi="宋体" w:eastAsia="宋体"/>
          <w:b/>
          <w:color w:val="auto"/>
          <w:sz w:val="24"/>
          <w:highlight w:val="none"/>
        </w:rPr>
      </w:pP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34. 询问、质疑和投诉</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34</w:t>
      </w:r>
      <w:r>
        <w:rPr>
          <w:rFonts w:hint="eastAsia" w:ascii="宋体" w:hAnsi="宋体" w:eastAsia="宋体" w:cs="Arial"/>
          <w:color w:val="auto"/>
          <w:sz w:val="24"/>
          <w:highlight w:val="none"/>
        </w:rPr>
        <w:t>.1供应商对政府采购活动事项有疑问的，可以向采购人、采购代理机构提出询问。</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34</w:t>
      </w:r>
      <w:r>
        <w:rPr>
          <w:rFonts w:hint="eastAsia" w:ascii="宋体" w:hAnsi="宋体" w:eastAsia="宋体" w:cs="Arial"/>
          <w:color w:val="auto"/>
          <w:sz w:val="24"/>
          <w:highlight w:val="none"/>
        </w:rPr>
        <w:t>.2供应商认为采购文件、采购过程或成交结果使自己的合法权益受到损害的，应当在知道或者应知其权益受到损害之日起七个工作日内，以书面形式向采购人、采购代理机构提出质疑。具体计算起算时间如下：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（一）对可以质疑的采购文件提出质疑的，为收到采购文件之日或者采购文件公告期限届满之日；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（二）对采购过程提出质疑的，为各采购程序环节结束之日；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（三）对成交结果提出质疑的，为成交结果公告期限届满之日。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采购人或采购代理机构在收到供应商书面质疑后</w:t>
      </w:r>
      <w:r>
        <w:rPr>
          <w:rFonts w:ascii="宋体" w:hAnsi="宋体" w:eastAsia="宋体" w:cs="Arial"/>
          <w:color w:val="auto"/>
          <w:sz w:val="24"/>
          <w:highlight w:val="none"/>
        </w:rPr>
        <w:t>7</w:t>
      </w:r>
      <w:r>
        <w:rPr>
          <w:rFonts w:hint="eastAsia" w:ascii="宋体" w:hAnsi="宋体" w:eastAsia="宋体" w:cs="Arial"/>
          <w:color w:val="auto"/>
          <w:sz w:val="24"/>
          <w:highlight w:val="none"/>
        </w:rPr>
        <w:t>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34</w:t>
      </w:r>
      <w:r>
        <w:rPr>
          <w:rFonts w:hint="eastAsia" w:ascii="宋体" w:hAnsi="宋体" w:eastAsia="宋体" w:cs="Arial"/>
          <w:color w:val="auto"/>
          <w:sz w:val="24"/>
          <w:highlight w:val="none"/>
        </w:rPr>
        <w:t>.3供应商的</w:t>
      </w:r>
      <w:r>
        <w:rPr>
          <w:rFonts w:hint="eastAsia" w:ascii="宋体" w:hAnsi="宋体" w:eastAsia="宋体" w:cs="Arial"/>
          <w:bCs/>
          <w:color w:val="auto"/>
          <w:sz w:val="24"/>
          <w:highlight w:val="none"/>
        </w:rPr>
        <w:t>质疑和投诉行为应当符合《政府采购质疑和投诉办法》（中华人民共和国财政部令第94号）规定。</w:t>
      </w:r>
      <w:r>
        <w:rPr>
          <w:rFonts w:hint="eastAsia" w:ascii="宋体" w:hAnsi="宋体" w:eastAsia="宋体" w:cs="Arial"/>
          <w:color w:val="auto"/>
          <w:sz w:val="24"/>
          <w:highlight w:val="none"/>
        </w:rPr>
        <w:t>质疑、投诉应当采用书面形式，</w:t>
      </w:r>
      <w:r>
        <w:rPr>
          <w:rFonts w:hint="eastAsia" w:ascii="宋体" w:hAnsi="宋体" w:eastAsia="宋体" w:cs="Arial"/>
          <w:bCs/>
          <w:color w:val="auto"/>
          <w:sz w:val="24"/>
          <w:highlight w:val="none"/>
        </w:rPr>
        <w:t>质疑函、投诉书应按财政部发布《政府采购供应商质疑函范本》、《政府采购供应商投诉书范本》编制，</w:t>
      </w:r>
      <w:r>
        <w:rPr>
          <w:rFonts w:hint="eastAsia" w:ascii="宋体" w:hAnsi="宋体" w:eastAsia="宋体" w:cs="Arial"/>
          <w:color w:val="auto"/>
          <w:sz w:val="24"/>
          <w:highlight w:val="none"/>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供应商提出质疑应当提交质疑函和必要的证明材料，针对同一采购程序环节的质疑必须在法定质疑期内一次性提出。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35. 适用法律</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采购当事人的一切活动均适用于《中华人民共和国政府采购法》、《中华人民共和国政府采购法实施条例》、《</w:t>
      </w:r>
      <w:r>
        <w:rPr>
          <w:rFonts w:ascii="宋体" w:hAnsi="宋体" w:eastAsia="宋体"/>
          <w:color w:val="auto"/>
          <w:sz w:val="24"/>
          <w:highlight w:val="none"/>
        </w:rPr>
        <w:t>政府采购非招标采购方式管理办法</w:t>
      </w:r>
      <w:r>
        <w:rPr>
          <w:rFonts w:hint="eastAsia" w:ascii="宋体" w:hAnsi="宋体" w:eastAsia="宋体"/>
          <w:color w:val="auto"/>
          <w:sz w:val="24"/>
          <w:highlight w:val="none"/>
        </w:rPr>
        <w:t>》及相关规定。</w:t>
      </w:r>
    </w:p>
    <w:p>
      <w:pPr>
        <w:spacing w:after="0" w:line="400" w:lineRule="exact"/>
        <w:ind w:firstLine="480" w:firstLineChars="200"/>
        <w:rPr>
          <w:rFonts w:ascii="宋体" w:hAnsi="宋体" w:eastAsia="宋体"/>
          <w:color w:val="auto"/>
          <w:sz w:val="24"/>
          <w:highlight w:val="none"/>
        </w:rPr>
      </w:pPr>
    </w:p>
    <w:p>
      <w:pPr>
        <w:spacing w:after="0" w:line="400" w:lineRule="exact"/>
        <w:ind w:firstLine="440" w:firstLineChars="200"/>
        <w:rPr>
          <w:rFonts w:ascii="宋体" w:hAnsi="宋体" w:eastAsia="宋体"/>
          <w:color w:val="auto"/>
          <w:highlight w:val="none"/>
        </w:rPr>
        <w:sectPr>
          <w:headerReference r:id="rId9" w:type="first"/>
          <w:footerReference r:id="rId10" w:type="default"/>
          <w:footerReference r:id="rId11" w:type="even"/>
          <w:pgSz w:w="11907" w:h="16840"/>
          <w:pgMar w:top="1077" w:right="1275" w:bottom="1418" w:left="1077" w:header="624" w:footer="737" w:gutter="0"/>
          <w:pgNumType w:start="1"/>
          <w:cols w:space="720" w:num="1"/>
          <w:docGrid w:linePitch="312" w:charSpace="0"/>
        </w:sectPr>
      </w:pPr>
    </w:p>
    <w:p>
      <w:pPr>
        <w:pStyle w:val="3"/>
        <w:spacing w:beforeLines="50" w:afterLines="50"/>
        <w:ind w:firstLine="723" w:firstLineChars="200"/>
        <w:rPr>
          <w:rFonts w:ascii="宋体" w:hAnsi="宋体" w:eastAsia="宋体"/>
          <w:b/>
          <w:bCs/>
          <w:color w:val="auto"/>
          <w:highlight w:val="none"/>
        </w:rPr>
      </w:pPr>
      <w:bookmarkStart w:id="79" w:name="_Toc14373"/>
      <w:r>
        <w:rPr>
          <w:rFonts w:hint="eastAsia" w:ascii="宋体" w:hAnsi="宋体" w:eastAsia="宋体"/>
          <w:b/>
          <w:bCs/>
          <w:color w:val="auto"/>
          <w:highlight w:val="none"/>
        </w:rPr>
        <w:t>第三章  项目采购需求和说明</w:t>
      </w:r>
      <w:bookmarkEnd w:id="79"/>
    </w:p>
    <w:p>
      <w:pPr>
        <w:adjustRightInd/>
        <w:snapToGrid/>
        <w:spacing w:line="220" w:lineRule="atLeast"/>
        <w:rPr>
          <w:rFonts w:ascii="宋体" w:hAnsi="宋体" w:eastAsia="宋体"/>
          <w:color w:val="auto"/>
          <w:sz w:val="24"/>
          <w:highlight w:val="none"/>
        </w:rPr>
      </w:pPr>
    </w:p>
    <w:p>
      <w:pPr>
        <w:adjustRightInd/>
        <w:snapToGrid/>
        <w:spacing w:line="220" w:lineRule="atLeas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采购项目技术规格、参数及要求</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1、本一览表中设备或货物的技术参数及其性能（配置）是本项目的基本要求，竞标人可选优于本一览表的技术参数性能（配置）要求的设备或货物进行应标。 </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2、本项目采购需求中技术参数及需求不明确或有误的，请以详细、正确的技术参数进行响应并承诺，同时填写“技术响应、偏离情况说明表”。</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u w:val="single"/>
        </w:rPr>
        <w:t>本次采购将依据强制采购节能产品品目清单和节能产品认证证书实施政府强制采购。若采购货物含有此类产品时，供应商的竞标货物必须使用政府强制采购的节能产品，供应商在响应文件中必须提供所投产品获得国家确定的认证机构出具的、处于有效期之内的节能产品认证证书复印件（加盖供应商单位公章），否则相应竞标无效</w:t>
      </w:r>
      <w:r>
        <w:rPr>
          <w:rFonts w:hint="eastAsia" w:asciiTheme="minorEastAsia" w:hAnsiTheme="minorEastAsia" w:eastAsiaTheme="minorEastAsia"/>
          <w:color w:val="auto"/>
          <w:sz w:val="24"/>
          <w:highlight w:val="none"/>
        </w:rPr>
        <w:t>。</w:t>
      </w:r>
    </w:p>
    <w:p>
      <w:pPr>
        <w:spacing w:after="0" w:line="400" w:lineRule="exact"/>
        <w:ind w:firstLine="480" w:firstLineChars="200"/>
        <w:rPr>
          <w:color w:val="auto"/>
          <w:highlight w:val="none"/>
        </w:rPr>
      </w:pPr>
      <w:r>
        <w:rPr>
          <w:rFonts w:hint="eastAsia" w:asciiTheme="minorEastAsia" w:hAnsiTheme="minorEastAsia" w:eastAsiaTheme="minorEastAsia"/>
          <w:bCs/>
          <w:color w:val="auto"/>
          <w:sz w:val="24"/>
          <w:highlight w:val="none"/>
          <w:u w:val="single"/>
        </w:rPr>
        <w:t>台式计算机、便携式计算机、平板式微型计算机、激光打印机、针式打印机、液晶显示器、制冷压缩机、空调机组、专用制冷、空调设备、镇流器、空调机、电热水器、普通照明用双端荧光灯、电视设备、视频设备以及便器、水嘴均为节能产品政府采购目清单内标注“★”的品目，属于政府强制采购节能产品。</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5、竞争性谈判文件中所要求提供的证明材料，如为英文文本的请同时提供中文译本。</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r>
        <w:rPr>
          <w:rFonts w:hint="eastAsia" w:asciiTheme="majorEastAsia" w:hAnsiTheme="majorEastAsia" w:eastAsiaTheme="majorEastAsia" w:cstheme="majorEastAsia"/>
          <w:b/>
          <w:color w:val="auto"/>
          <w:sz w:val="24"/>
          <w:highlight w:val="none"/>
          <w:u w:val="single"/>
        </w:rPr>
        <w:t>竞争性谈判文件中标注“</w:t>
      </w:r>
      <w:r>
        <w:rPr>
          <w:rFonts w:hint="eastAsia" w:ascii="宋体" w:hAnsi="宋体" w:eastAsia="宋体" w:cs="宋体"/>
          <w:bCs/>
          <w:color w:val="auto"/>
          <w:sz w:val="24"/>
          <w:highlight w:val="none"/>
          <w:u w:val="single"/>
        </w:rPr>
        <w:t>▲</w:t>
      </w:r>
      <w:r>
        <w:rPr>
          <w:rFonts w:hint="eastAsia" w:asciiTheme="majorEastAsia" w:hAnsiTheme="majorEastAsia" w:eastAsiaTheme="majorEastAsia" w:cstheme="majorEastAsia"/>
          <w:b/>
          <w:color w:val="auto"/>
          <w:sz w:val="24"/>
          <w:highlight w:val="none"/>
          <w:u w:val="single"/>
        </w:rPr>
        <w:t>”号的条款为实质性条款，必须满足或优于，否则竞标无效</w:t>
      </w:r>
      <w:r>
        <w:rPr>
          <w:rFonts w:hint="eastAsia" w:asciiTheme="majorEastAsia" w:hAnsiTheme="majorEastAsia" w:eastAsiaTheme="majorEastAsia" w:cstheme="majorEastAsia"/>
          <w:b/>
          <w:color w:val="auto"/>
          <w:sz w:val="24"/>
          <w:highlight w:val="none"/>
        </w:rPr>
        <w:t>。</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7、供应商所投项目（或分标）货物如国家有强制性要求的应按国家规定执行，并提供相关证明材料。</w:t>
      </w:r>
    </w:p>
    <w:p>
      <w:pPr>
        <w:spacing w:after="0" w:line="400" w:lineRule="exact"/>
        <w:ind w:firstLine="482" w:firstLineChars="200"/>
        <w:rPr>
          <w:color w:val="auto"/>
          <w:highlight w:val="none"/>
        </w:rPr>
      </w:pPr>
      <w:r>
        <w:rPr>
          <w:rFonts w:hint="eastAsia" w:asciiTheme="majorEastAsia" w:hAnsiTheme="majorEastAsia" w:eastAsiaTheme="majorEastAsia" w:cstheme="majorEastAsia"/>
          <w:b/>
          <w:color w:val="auto"/>
          <w:sz w:val="24"/>
          <w:highlight w:val="none"/>
        </w:rPr>
        <w:t>8、最终报价有时间限制，请各供应商事前做好准备，以免耽误报价。最终报价时，供应商只需报一个总价，结算时，各分项单价按最终报价与第一次报价的比例进行调整。</w:t>
      </w:r>
    </w:p>
    <w:p>
      <w:pPr>
        <w:adjustRightInd/>
        <w:snapToGrid/>
        <w:spacing w:line="220" w:lineRule="atLeas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3614" w:firstLineChars="1200"/>
        <w:jc w:val="both"/>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货物需求一览表</w:t>
      </w:r>
    </w:p>
    <w:tbl>
      <w:tblPr>
        <w:tblStyle w:val="38"/>
        <w:tblW w:w="104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4"/>
        <w:gridCol w:w="8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27" w:type="dxa"/>
            <w:gridSpan w:val="2"/>
            <w:tcBorders>
              <w:top w:val="single" w:color="auto" w:sz="4" w:space="0"/>
              <w:left w:val="single" w:color="auto" w:sz="4" w:space="0"/>
              <w:bottom w:val="single" w:color="auto" w:sz="4" w:space="0"/>
              <w:right w:val="single" w:color="auto" w:sz="4" w:space="0"/>
            </w:tcBorders>
            <w:shd w:val="clear" w:color="auto" w:fill="auto"/>
            <w:vAlign w:val="center"/>
          </w:tcPr>
          <w:tbl>
            <w:tblPr>
              <w:tblStyle w:val="38"/>
              <w:tblW w:w="11367" w:type="dxa"/>
              <w:jc w:val="center"/>
              <w:tblLayout w:type="fixed"/>
              <w:tblCellMar>
                <w:top w:w="0" w:type="dxa"/>
                <w:left w:w="0" w:type="dxa"/>
                <w:bottom w:w="0" w:type="dxa"/>
                <w:right w:w="0" w:type="dxa"/>
              </w:tblCellMar>
            </w:tblPr>
            <w:tblGrid>
              <w:gridCol w:w="1530"/>
              <w:gridCol w:w="540"/>
              <w:gridCol w:w="5566"/>
              <w:gridCol w:w="554"/>
              <w:gridCol w:w="435"/>
              <w:gridCol w:w="886"/>
              <w:gridCol w:w="1856"/>
            </w:tblGrid>
            <w:tr>
              <w:tblPrEx>
                <w:tblCellMar>
                  <w:top w:w="0" w:type="dxa"/>
                  <w:left w:w="0" w:type="dxa"/>
                  <w:bottom w:w="0" w:type="dxa"/>
                  <w:right w:w="0" w:type="dxa"/>
                </w:tblCellMar>
              </w:tblPrEx>
              <w:trPr>
                <w:trHeight w:val="660"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设备名称</w:t>
                  </w:r>
                </w:p>
              </w:tc>
              <w:tc>
                <w:tcPr>
                  <w:tcW w:w="5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基本技术参数</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单位</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数量</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单价（元）</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金额（元）</w:t>
                  </w:r>
                </w:p>
              </w:tc>
            </w:tr>
            <w:tr>
              <w:tblPrEx>
                <w:tblCellMar>
                  <w:top w:w="0" w:type="dxa"/>
                  <w:left w:w="0" w:type="dxa"/>
                  <w:bottom w:w="0" w:type="dxa"/>
                  <w:right w:w="0" w:type="dxa"/>
                </w:tblCellMar>
              </w:tblPrEx>
              <w:trPr>
                <w:trHeight w:val="113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肺功能测定仪</w:t>
                  </w:r>
                </w:p>
              </w:tc>
              <w:tc>
                <w:tcPr>
                  <w:tcW w:w="5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产品标准及认证</w:t>
                  </w:r>
                </w:p>
                <w:p>
                  <w:pPr>
                    <w:widowControl/>
                    <w:numPr>
                      <w:ilvl w:val="0"/>
                      <w:numId w:val="0"/>
                    </w:numPr>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产品注册名称：肺功能测定仪；</w:t>
                  </w:r>
                </w:p>
                <w:p>
                  <w:pPr>
                    <w:widowControl/>
                    <w:numPr>
                      <w:ilvl w:val="0"/>
                      <w:numId w:val="0"/>
                    </w:numPr>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产品注册标准：符合国家肺功能仪有关技术规范要求和技术标准。</w:t>
                  </w:r>
                </w:p>
                <w:p>
                  <w:pPr>
                    <w:widowControl/>
                    <w:numPr>
                      <w:ilvl w:val="0"/>
                      <w:numId w:val="0"/>
                    </w:numPr>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▲产品检测原理：采用压差检测技术原理。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二、 产品功能参数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▲检测显示参数包含：FVC（用力肺活量）：FVC、FEV1、FEV3、FEV6、 FEV1/FVC、FEV3/FVC、FEV1/VC Max、PEF、FEF25、FEF50、FEF75、 MMEF、VEXP、FET 等呼气指标，PIF、FIVC、FIF50%、FEF50%/FIF50% 等吸气指标；VC(肺活量)：VC、VT、IRV、ERV、IC 等；符合肺功能测定仪技术标准；</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可进行支气管舒张试验，可出具舒张试验报告；</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可检测呼气、吸气指标，实时显示动态曲线（流量容积曲线、时间容积曲线）；具备中国人预计值公式；</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便携式设计，方便床旁及基层医疗卫生机构使用，适用于在社区体检或现场流调等工作开展；</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产品具备防止交叉感染防控的恰当措施,提供匹配的一次性肺功能呼吸过滤器,或整体抛弃式的传感检测回路。所使用的呼吸过滤耗材细菌过滤率需高于99.9%；</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同时支持 A4 报告打印或仪器自带打印功能，并能生成具有矢量流量容积曲线和时间容积曲线的PDF格式报告；</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7.仪器自带平衡感应，并有智能语音提示功能,方便基层患者掌握检查要领，得出准确的检查结果；</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8.配合智能数据移动终端，可实现患者信息多模式录入，支持手动输入模式、身份证读卡模式、二维码信息生成模式；</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9.配合智能数据移动终端，可做肺年龄评估，能够评估受检者的肺部相对年龄，适合吸烟者的肺部评测及戒烟门诊的有效提示；</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10.智能数据移动终端，内嵌入患教视频，便于受试者观看学习，以提高肺功能检查的配合程度。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三、 产品质控功能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配套3L定标筒的定标精度为±0.4%；</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★仪器支持容量定标、三流速线性验证；</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具备自动测量环境参数（温度、湿度、大气压）并进行 BTPS 自动修正功能；</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需具备肺功能测定仪、3L 定标筒所必须的检验校准及标定设备，后续可根据临床需求提供必要的质控校准检测服务；</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系统软件可根据检测结果进行自动质控评级。</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 产品数据传输</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支持无线数据互联功能；</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支持单台仪器离线工作及与 PC 端联机工作模式。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五、 PC 端软件功能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检测模块：肺通气功能检查（FVC、VC）、支气管舒张试验等；实时显示流量容积（F-V）曲线、时间容积（V-T）曲线等；</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质控管理模块：容量定标、线性验证，并形成质控报告；自动计算质控评级；依据 ATS/ERS 智能推荐可接受度高的测量曲线；</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肺功能检查对象信息收集及管理模块：可录入检查对象基本信息、症状、危险因素、呼吸系统疾病史、身体测量结果、禁忌症、及定期的慢阻肺高危人群及患者的随访管理等信息；</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随访问卷模块：CAT、mMRC、COPD-SQ 等问卷配置；</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报告生成及打印模块：支持多种报告模板，包括肺量计检查、支气管舒张试验；</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工作台账模块：检测结果统计及报告导出；</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数据通讯模块：支持对接医院 HIS 系统；支持多中心及分级诊疗工作模式等功能；</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账号管理及设置模块：账号及密码管理，账户基本信息配置，版本升级、设备管理、预计值选择、数据同步等。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六、 云端数据平台功能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项目管理功能：包括基础信息，汇总信息，随访内容设置，项目参与单位等；</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质控管理功能：设备质控定标报告，检查报告质量管理；查看某个中心的质控报告，可在线批注、留言；</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肺功能检查对象信息管理功能：包括调查对象姓名、性别、出生年月日、民族、身份证号、婚姻状况、职业、户籍地址、实际居住地址、联系电话、门诊号/住院号、症状、危险因素、呼吸病史、身体测量、禁忌症、慢阻肺高危人群及患者的随访管理等；</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肺功能报告管理模块：肺功能报告汇总；肺功能质控等级；在线查看肺功能报告详情；在线解读批注；FVC 检查质量、FEV1 检查质量、肺通气功能障碍类型、肺通气功能障碍程度、舒张试验阴性/阳性、GOLD分级等分析图表展示；实时查看及动态展示本中心、本地区、本省肺功能检查情况；</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数据导出功能：支持自定义时间范围数据导出；支持全部数据导出，包括检查对象基础信息、肺功能报告数据、随访数据等；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数据共享：检查对象的基本信息和肺功能检查、诊断等相关数据和信息可传输共享至居民电子健康档案和区域人口健康信息平台等；</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安全性要求：保护调查对象隐私，保证信息平台和所收集信息的安全性；</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具备可定制扩展功能。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七、 团队服务支持能力</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团队具备实施肺功能检测能力培训的经验；</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团队具备丰富的全国肺功能规范化培训经验。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八、 配置清单</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肺功能测定仪 1 台；</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智能数据移动终端1台；</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定标精度为±0.4%的 3L 定标筒1个，随货一次性交付；</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肺功能PC端软件1套；</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肺功能云平台系统1套；</w:t>
                  </w:r>
                </w:p>
                <w:p>
                  <w:pPr>
                    <w:widowControl/>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培训耗材1批（一次性肺功能呼吸过滤嘴30个）；</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 流量传感器备用件20个。</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30000.00</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300000.00</w:t>
                  </w:r>
                </w:p>
              </w:tc>
            </w:tr>
            <w:tr>
              <w:tblPrEx>
                <w:tblCellMar>
                  <w:top w:w="0" w:type="dxa"/>
                  <w:left w:w="0" w:type="dxa"/>
                  <w:bottom w:w="0" w:type="dxa"/>
                  <w:right w:w="0" w:type="dxa"/>
                </w:tblCellMar>
              </w:tblPrEx>
              <w:trPr>
                <w:trHeight w:val="1135" w:hRule="atLeast"/>
                <w:jc w:val="center"/>
              </w:trPr>
              <w:tc>
                <w:tcPr>
                  <w:tcW w:w="95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300000.00</w:t>
                  </w:r>
                </w:p>
              </w:tc>
            </w:tr>
          </w:tbl>
          <w:p>
            <w:pPr>
              <w:jc w:val="center"/>
              <w:rPr>
                <w:color w:val="auto"/>
                <w:sz w:val="24"/>
                <w:szCs w:val="24"/>
                <w:highlight w:val="none"/>
              </w:rPr>
            </w:pPr>
          </w:p>
          <w:p>
            <w:pPr>
              <w:spacing w:after="0" w:line="380" w:lineRule="exact"/>
              <w:ind w:firstLine="422" w:firstLineChars="200"/>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w:t>
            </w:r>
            <w:r>
              <w:rPr>
                <w:rFonts w:hint="eastAsia" w:asciiTheme="majorEastAsia" w:hAnsiTheme="majorEastAsia" w:eastAsiaTheme="majorEastAsia" w:cstheme="majorEastAsia"/>
                <w:color w:val="auto"/>
                <w:sz w:val="21"/>
                <w:szCs w:val="21"/>
                <w:highlight w:val="none"/>
                <w:lang w:eastAsia="zh-CN"/>
              </w:rPr>
              <w:t>采购上限控制</w:t>
            </w:r>
            <w:r>
              <w:rPr>
                <w:rFonts w:hint="eastAsia" w:asciiTheme="majorEastAsia" w:hAnsiTheme="majorEastAsia" w:eastAsiaTheme="majorEastAsia" w:cstheme="majorEastAsia"/>
                <w:color w:val="auto"/>
                <w:sz w:val="21"/>
                <w:szCs w:val="21"/>
                <w:highlight w:val="none"/>
              </w:rPr>
              <w:t>价</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val="0"/>
                <w:color w:val="auto"/>
                <w:sz w:val="21"/>
                <w:szCs w:val="21"/>
                <w:highlight w:val="none"/>
                <w:lang w:eastAsia="zh-CN"/>
              </w:rPr>
              <w:t>本项目合计采购上限控制价为人民币</w:t>
            </w:r>
            <w:r>
              <w:rPr>
                <w:rFonts w:hint="eastAsia" w:asciiTheme="majorEastAsia" w:hAnsiTheme="majorEastAsia" w:eastAsiaTheme="majorEastAsia" w:cstheme="majorEastAsia"/>
                <w:b w:val="0"/>
                <w:color w:val="auto"/>
                <w:sz w:val="21"/>
                <w:szCs w:val="21"/>
                <w:highlight w:val="none"/>
                <w:lang w:val="en-US" w:eastAsia="zh-CN"/>
              </w:rPr>
              <w:t>300000.00元</w:t>
            </w:r>
            <w:r>
              <w:rPr>
                <w:rFonts w:hint="eastAsia" w:asciiTheme="majorEastAsia" w:hAnsiTheme="majorEastAsia" w:eastAsiaTheme="majorEastAsia" w:cstheme="majorEastAsia"/>
                <w:b w:val="0"/>
                <w:color w:val="auto"/>
                <w:sz w:val="21"/>
                <w:szCs w:val="21"/>
                <w:highlight w:val="none"/>
              </w:rPr>
              <w:t>有效报价范围为小于或等于采购</w:t>
            </w:r>
            <w:r>
              <w:rPr>
                <w:rFonts w:hint="eastAsia" w:asciiTheme="majorEastAsia" w:hAnsiTheme="majorEastAsia" w:eastAsiaTheme="majorEastAsia" w:cstheme="majorEastAsia"/>
                <w:b w:val="0"/>
                <w:color w:val="auto"/>
                <w:sz w:val="21"/>
                <w:szCs w:val="21"/>
                <w:highlight w:val="none"/>
                <w:lang w:eastAsia="zh-CN"/>
              </w:rPr>
              <w:t>上限</w:t>
            </w:r>
            <w:r>
              <w:rPr>
                <w:rFonts w:hint="eastAsia" w:asciiTheme="majorEastAsia" w:hAnsiTheme="majorEastAsia" w:eastAsiaTheme="majorEastAsia" w:cstheme="majorEastAsia"/>
                <w:b w:val="0"/>
                <w:color w:val="auto"/>
                <w:sz w:val="21"/>
                <w:szCs w:val="21"/>
                <w:highlight w:val="none"/>
              </w:rPr>
              <w:t>控制价</w:t>
            </w:r>
            <w:r>
              <w:rPr>
                <w:rFonts w:hint="eastAsia" w:asciiTheme="majorEastAsia" w:hAnsiTheme="majorEastAsia" w:eastAsiaTheme="majorEastAsia" w:cstheme="majorEastAsia"/>
                <w:b w:val="0"/>
                <w:color w:val="auto"/>
                <w:sz w:val="21"/>
                <w:szCs w:val="21"/>
                <w:highlight w:val="none"/>
                <w:lang w:eastAsia="zh-CN"/>
              </w:rPr>
              <w:t>及对应的单价</w:t>
            </w:r>
            <w:r>
              <w:rPr>
                <w:rFonts w:hint="eastAsia" w:asciiTheme="majorEastAsia" w:hAnsiTheme="majorEastAsia" w:eastAsiaTheme="majorEastAsia" w:cstheme="majorEastAsia"/>
                <w:b w:val="0"/>
                <w:color w:val="auto"/>
                <w:sz w:val="21"/>
                <w:szCs w:val="21"/>
                <w:highlight w:val="none"/>
              </w:rPr>
              <w:t>，大于采购</w:t>
            </w:r>
            <w:r>
              <w:rPr>
                <w:rFonts w:hint="eastAsia" w:asciiTheme="majorEastAsia" w:hAnsiTheme="majorEastAsia" w:eastAsiaTheme="majorEastAsia" w:cstheme="majorEastAsia"/>
                <w:b w:val="0"/>
                <w:color w:val="auto"/>
                <w:sz w:val="21"/>
                <w:szCs w:val="21"/>
                <w:highlight w:val="none"/>
                <w:lang w:eastAsia="zh-CN"/>
              </w:rPr>
              <w:t>上限</w:t>
            </w:r>
            <w:r>
              <w:rPr>
                <w:rFonts w:hint="eastAsia" w:asciiTheme="majorEastAsia" w:hAnsiTheme="majorEastAsia" w:eastAsiaTheme="majorEastAsia" w:cstheme="majorEastAsia"/>
                <w:b w:val="0"/>
                <w:color w:val="auto"/>
                <w:sz w:val="21"/>
                <w:szCs w:val="21"/>
                <w:highlight w:val="none"/>
              </w:rPr>
              <w:t>控制价的为无效竞标。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为落实政府采购政策需满足的要求</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具体见本采购文件“供应商须知”。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规范标准</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采购标的需满足的质量、安全、技术规格、物理特性等</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见项目采购需求清单表“功能目标及技术指标”。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采购标的验收标准</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货物到达现场后，成交人应在采购人单位人员在场情况下当面开箱，共同清点、检查外观，作出开箱记录，双方签字确认。成交人应保证货物到达采购人所在地完好无损，如有缺漏、损坏，由成交人负责调换、补齐或赔偿。验收过程中所产生的一切费用均由成交人承担，报价时应考虑相关费用。</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2、成交人提供的货物需全新、完好、无破损，应提供完备的技术或服务资料、装箱单和合格证等，并派遣专业人员进行现场安装调试。验收合格条件如下：</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（1）货物或服务技术参数与采购合同一致，性能或指标达到规定的标准。</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（2）技术或资料、装箱单、合格证等资料齐全。</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（3）在测试或试运行期间所出现的问题得到解决，并运行或工作正常。</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（4）在规定时间内完成交货及验收，并经采购人确认。</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3、项目验收应遵循国家及行业相关验收标准：成交人在安装调试完成后需提交全部图纸、配置资料、交验收报告、测试报告（如有）等。</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4、在安装调试并试运行符合要求后，才作最终验收。</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5、为保证《项目采购需求和说明》中带有“</w:t>
            </w:r>
            <w:r>
              <w:rPr>
                <w:rFonts w:hint="eastAsia" w:ascii="宋体" w:hAnsi="宋体" w:eastAsia="宋体" w:cs="宋体"/>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号的技术指标和性能达到采购文件要求及与合同、响应文件相符，如采购人对成交人所竞标货物的技术指标有质疑，供货时须进行现场演示，以确认是否达到合同、采购文件、响应文件中所规定的技术功能要求；成交人未提供的或演示效果达不到合同、采购文件、响应文件中所规定的技术功能要求，则视为合同违约，所有损失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其他技术及服务要求</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、成交供应商接到采购人送货电话或传真，24 小时内送到</w:t>
            </w:r>
            <w:r>
              <w:rPr>
                <w:rFonts w:hint="eastAsia" w:asciiTheme="majorEastAsia" w:hAnsiTheme="majorEastAsia" w:eastAsiaTheme="majorEastAsia" w:cstheme="majorEastAsia"/>
                <w:color w:val="auto"/>
                <w:sz w:val="21"/>
                <w:szCs w:val="21"/>
                <w:highlight w:val="none"/>
                <w:lang w:eastAsia="zh-CN"/>
              </w:rPr>
              <w:t>业主</w:t>
            </w:r>
            <w:r>
              <w:rPr>
                <w:rFonts w:hint="eastAsia" w:asciiTheme="majorEastAsia" w:hAnsiTheme="majorEastAsia" w:eastAsiaTheme="majorEastAsia" w:cstheme="majorEastAsia"/>
                <w:color w:val="auto"/>
                <w:sz w:val="21"/>
                <w:szCs w:val="21"/>
                <w:highlight w:val="none"/>
              </w:rPr>
              <w:t>指定地点。如供货商以数量太少、路途远等为由拒不送货或延迟送货的，由此造成的无法及时维修的实际损失由供应商负责。超过五次以上的，将中止双方合作，直至整改完成为止。</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、采购人有权对供货商的销货及进货发票进行检查。</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供货商在协议有效期内发生转让、兼并、撤销等情况变化时，须提前一个月向采购人提交书面公函，在公函中须明确协议供货商有关权利和义务等继承的方法或终止供应商协议供货申请，采购人在收到公函之日起，在 7个工作日内以书面形式提交回复。</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、在协议供货有效期内，供货商法人名称、经营场所、联系人等发生变更时，须以书面形式并附证明材料向采购提交变更备案。</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、采购人可根据项目实际情况增加或减少采购数量，供应商成交单价不得调整，不得因此向采购人进行索赔。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4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2" w:firstLineChars="200"/>
              <w:jc w:val="center"/>
              <w:rPr>
                <w:rFonts w:asciiTheme="majorEastAsia" w:hAnsiTheme="majorEastAsia" w:eastAsiaTheme="majorEastAsia" w:cstheme="majorEastAsia"/>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三、商务条款（不满足商务要求的竞标无效）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质保期</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按国家“三包”规定执行“三包”。必须保证所有产品均为正牌厂家生产全新原装产品，并完全符合国家有关产品质量、服务和环保标准，非贴牌产品，非长期积压的污损货品；免费保修期不得低于 3 年（免费保修期从设备验收合格之日起计算）。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交货时间及地点</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宋体" w:hAnsi="宋体" w:eastAsia="宋体"/>
                <w:color w:val="auto"/>
                <w:szCs w:val="21"/>
                <w:highlight w:val="none"/>
              </w:rPr>
              <w:t>自签订合同之日起</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0天内交货并安装调试完毕</w:t>
            </w:r>
            <w:r>
              <w:rPr>
                <w:rFonts w:hint="eastAsia" w:asciiTheme="majorEastAsia" w:hAnsiTheme="majorEastAsia" w:eastAsiaTheme="majorEastAsia" w:cstheme="majorEastAsia"/>
                <w:color w:val="auto"/>
                <w:sz w:val="21"/>
                <w:szCs w:val="21"/>
                <w:highlight w:val="none"/>
              </w:rPr>
              <w:t>。</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售后服务要求</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质保期内负责维修、更换零部件，除另行特别注明外，服务内容如下：</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（1）负责免费送货上门，负责免费安装调试合格。</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（2）免费提供现场技术培训，保证使用人员正常操作设备的各种功能，终身提供免费技术支持。</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（3）采购人预定的多余材料，供应商应无条件给予免费退货；</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（4）报价所列清单以外的维修材料的采购（如特殊少用维修配件）， 价格由双方协商，由供货商参照市场售价供货，不得高于市场价；</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（5）紧急维修所需的材料，无论时间、数量，供应商必须保证及时送达采购人指定地点。如营业点无相关材料的，供应商必须及时调货配送；</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（6）因采购材料常用品牌停产或暂时无货，临时更换其他品牌的，其质量必须相当于或者优于原采购品牌的质量。</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（7）提供固定送货和维修人员热线电话，接到质量问题通知，必须 1小时内到达现场；</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（8）提供货物符合国家有关标准。若供货物出现质量问题，采购人有权要求供应商在 1 个工作日内整改，并发出书面警告通知，所供货物再次出现质量问题，采购人有权取消其定点供应商资格。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40" w:firstLineChars="200"/>
              <w:rPr>
                <w:rFonts w:asciiTheme="majorEastAsia" w:hAnsiTheme="majorEastAsia" w:eastAsiaTheme="majorEastAsia" w:cstheme="majorEastAsia"/>
                <w:color w:val="auto"/>
                <w:sz w:val="21"/>
                <w:szCs w:val="21"/>
                <w:highlight w:val="none"/>
              </w:rPr>
            </w:pPr>
            <w:r>
              <w:rPr>
                <w:rFonts w:hint="eastAsia" w:ascii="宋体" w:hAnsi="宋体" w:eastAsia="宋体"/>
                <w:color w:val="auto"/>
                <w:highlight w:val="none"/>
                <w:lang w:eastAsia="zh-CN"/>
              </w:rPr>
              <w:t>本项目无预付</w:t>
            </w:r>
            <w:r>
              <w:rPr>
                <w:rFonts w:hint="eastAsia" w:ascii="宋体" w:hAnsi="宋体" w:eastAsia="宋体"/>
                <w:color w:val="auto"/>
                <w:highlight w:val="none"/>
                <w:lang w:val="en-US" w:eastAsia="zh-CN"/>
              </w:rPr>
              <w:t>款。</w:t>
            </w:r>
            <w:r>
              <w:rPr>
                <w:rFonts w:hint="eastAsia" w:ascii="宋体" w:hAnsi="宋体" w:eastAsia="宋体"/>
                <w:color w:val="auto"/>
                <w:highlight w:val="none"/>
                <w:lang w:eastAsia="zh-CN"/>
              </w:rPr>
              <w:t>供应商</w:t>
            </w:r>
            <w:r>
              <w:rPr>
                <w:rFonts w:hint="eastAsia" w:ascii="宋体" w:hAnsi="宋体" w:eastAsia="宋体"/>
                <w:color w:val="auto"/>
                <w:highlight w:val="none"/>
              </w:rPr>
              <w:t>在规定的</w:t>
            </w:r>
            <w:r>
              <w:rPr>
                <w:rFonts w:hint="eastAsia" w:ascii="宋体" w:hAnsi="宋体" w:eastAsia="宋体"/>
                <w:color w:val="auto"/>
                <w:highlight w:val="none"/>
                <w:lang w:eastAsia="zh-CN"/>
              </w:rPr>
              <w:t>交货期</w:t>
            </w:r>
            <w:r>
              <w:rPr>
                <w:rFonts w:hint="eastAsia" w:ascii="宋体" w:hAnsi="宋体" w:eastAsia="宋体"/>
                <w:color w:val="auto"/>
                <w:highlight w:val="none"/>
              </w:rPr>
              <w:t>内将</w:t>
            </w:r>
            <w:r>
              <w:rPr>
                <w:rFonts w:hint="eastAsia" w:ascii="宋体" w:hAnsi="宋体" w:eastAsia="宋体"/>
                <w:color w:val="auto"/>
                <w:highlight w:val="none"/>
                <w:lang w:eastAsia="zh-CN"/>
              </w:rPr>
              <w:t>全部</w:t>
            </w:r>
            <w:r>
              <w:rPr>
                <w:rFonts w:hint="eastAsia" w:ascii="宋体" w:hAnsi="宋体" w:eastAsia="宋体"/>
                <w:color w:val="auto"/>
                <w:highlight w:val="none"/>
              </w:rPr>
              <w:t>货物运到业主指定地点</w:t>
            </w:r>
            <w:r>
              <w:rPr>
                <w:rFonts w:hint="eastAsia" w:ascii="宋体" w:hAnsi="宋体" w:eastAsia="宋体"/>
                <w:color w:val="auto"/>
                <w:highlight w:val="none"/>
                <w:lang w:eastAsia="zh-CN"/>
              </w:rPr>
              <w:t>，</w:t>
            </w:r>
            <w:r>
              <w:rPr>
                <w:rFonts w:hint="eastAsia" w:ascii="宋体" w:hAnsi="宋体" w:eastAsia="宋体"/>
                <w:color w:val="auto"/>
                <w:highlight w:val="none"/>
              </w:rPr>
              <w:t>验收并安装调试、培训合格后，</w:t>
            </w:r>
            <w:r>
              <w:rPr>
                <w:rFonts w:hint="eastAsia" w:ascii="宋体" w:hAnsi="宋体" w:eastAsia="宋体"/>
                <w:color w:val="auto"/>
                <w:highlight w:val="none"/>
                <w:lang w:eastAsia="zh-CN"/>
              </w:rPr>
              <w:t>供应商</w:t>
            </w:r>
            <w:r>
              <w:rPr>
                <w:rFonts w:hint="eastAsia" w:ascii="宋体" w:hAnsi="宋体" w:eastAsia="宋体"/>
                <w:color w:val="auto"/>
                <w:highlight w:val="none"/>
              </w:rPr>
              <w:t>将该批设备的增值税发票、清单、质量检验合格证明、货运提单</w:t>
            </w:r>
            <w:r>
              <w:rPr>
                <w:rFonts w:hint="eastAsia" w:ascii="宋体" w:hAnsi="宋体" w:eastAsia="宋体"/>
                <w:color w:val="auto"/>
                <w:highlight w:val="none"/>
                <w:lang w:eastAsia="zh-CN"/>
              </w:rPr>
              <w:t>等材料</w:t>
            </w:r>
            <w:r>
              <w:rPr>
                <w:rFonts w:hint="eastAsia" w:ascii="宋体" w:hAnsi="宋体" w:eastAsia="宋体"/>
                <w:color w:val="auto"/>
                <w:highlight w:val="none"/>
              </w:rPr>
              <w:t>提供给</w:t>
            </w:r>
            <w:r>
              <w:rPr>
                <w:rFonts w:hint="eastAsia" w:ascii="宋体" w:hAnsi="宋体" w:eastAsia="宋体"/>
                <w:color w:val="auto"/>
                <w:highlight w:val="none"/>
                <w:lang w:eastAsia="zh-CN"/>
              </w:rPr>
              <w:t>采购人</w:t>
            </w:r>
            <w:r>
              <w:rPr>
                <w:rFonts w:hint="eastAsia" w:ascii="宋体" w:hAnsi="宋体" w:eastAsia="宋体"/>
                <w:color w:val="auto"/>
                <w:highlight w:val="none"/>
              </w:rPr>
              <w:t>，</w:t>
            </w:r>
            <w:r>
              <w:rPr>
                <w:rFonts w:hint="eastAsia" w:ascii="宋体" w:hAnsi="宋体" w:eastAsia="宋体"/>
                <w:color w:val="auto"/>
                <w:highlight w:val="none"/>
                <w:lang w:eastAsia="zh-CN"/>
              </w:rPr>
              <w:t>采购方</w:t>
            </w:r>
            <w:r>
              <w:rPr>
                <w:rFonts w:hint="eastAsia" w:ascii="宋体" w:hAnsi="宋体" w:eastAsia="宋体"/>
                <w:color w:val="auto"/>
                <w:highlight w:val="none"/>
              </w:rPr>
              <w:t>验明无误后，</w:t>
            </w:r>
            <w:r>
              <w:rPr>
                <w:rFonts w:hint="eastAsia" w:ascii="宋体" w:hAnsi="宋体" w:eastAsia="宋体"/>
                <w:color w:val="auto"/>
                <w:highlight w:val="none"/>
                <w:lang w:eastAsia="zh-CN"/>
              </w:rPr>
              <w:t>向成交供应商支付剩余合同价的</w:t>
            </w:r>
            <w:r>
              <w:rPr>
                <w:rFonts w:hint="eastAsia" w:ascii="宋体" w:hAnsi="宋体" w:eastAsia="宋体"/>
                <w:color w:val="auto"/>
                <w:highlight w:val="none"/>
                <w:lang w:val="en-US" w:eastAsia="zh-CN"/>
              </w:rPr>
              <w:t>95%</w:t>
            </w:r>
            <w:r>
              <w:rPr>
                <w:rFonts w:hint="eastAsia" w:ascii="宋体" w:hAnsi="宋体" w:eastAsia="宋体"/>
                <w:color w:val="auto"/>
                <w:highlight w:val="none"/>
              </w:rPr>
              <w:t>。剩余的合同总金额</w:t>
            </w:r>
            <w:r>
              <w:rPr>
                <w:rFonts w:hint="eastAsia" w:ascii="宋体" w:hAnsi="宋体" w:eastAsia="宋体"/>
                <w:color w:val="auto"/>
                <w:highlight w:val="none"/>
                <w:lang w:val="en-US" w:eastAsia="zh-CN"/>
              </w:rPr>
              <w:t>5</w:t>
            </w:r>
            <w:r>
              <w:rPr>
                <w:rFonts w:hint="eastAsia" w:ascii="宋体" w:hAnsi="宋体" w:eastAsia="宋体"/>
                <w:color w:val="auto"/>
                <w:highlight w:val="none"/>
              </w:rPr>
              <w:t>%的货款作为质保金满一年后支付（自验收合格之日起算，一年后无质量问题无息退还）。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竞标报价</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供应商在谈判竞标报价中应包含货物、货物标准附件、备品备件、专用工具、设备安装辅材（线槽/线管及电源）、施工辅材、包装、运输、装卸、保险、货到就位的各种费用以及安装、调试、税金、售后服务、技术培训及其他所有成本费用；采购人不再支付任何费用。如出现参数不满足或由于成交人的原因造成品质不满足采购要求，采购人有权要求更换设备或变更方案，不增加任何费用。</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2、供应商负责工人人身、设备安全责任，验收前，设备丢失自行负责。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4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2" w:firstLineChars="20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sz w:val="21"/>
                <w:szCs w:val="21"/>
                <w:highlight w:val="none"/>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jc w:val="center"/>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t>进口产品</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是否接受进口产品：</w:t>
            </w:r>
          </w:p>
          <w:p>
            <w:pPr>
              <w:spacing w:after="0" w:line="400" w:lineRule="exact"/>
              <w:ind w:firstLine="440" w:firstLineChars="200"/>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sym w:font="Wingdings" w:char="F0FE"/>
            </w:r>
            <w:r>
              <w:rPr>
                <w:rFonts w:hint="eastAsia" w:asciiTheme="minorEastAsia" w:hAnsiTheme="minorEastAsia" w:eastAsiaTheme="minorEastAsia"/>
                <w:color w:val="auto"/>
                <w:highlight w:val="none"/>
              </w:rPr>
              <w:t>否，本项目所有采购货物均不接受进口产品。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jc w:val="center"/>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t>样品要求</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ind w:firstLine="44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是否要求递交样品：</w:t>
            </w:r>
          </w:p>
          <w:p>
            <w:pPr>
              <w:spacing w:after="0" w:line="400" w:lineRule="exact"/>
              <w:ind w:firstLine="440" w:firstLineChars="200"/>
              <w:rPr>
                <w:rFonts w:ascii="宋体" w:hAnsi="宋体" w:eastAsia="宋体" w:cs="宋体"/>
                <w:b/>
                <w:color w:val="auto"/>
                <w:sz w:val="21"/>
                <w:szCs w:val="21"/>
                <w:highlight w:val="none"/>
              </w:rPr>
            </w:pPr>
            <w:r>
              <w:rPr>
                <w:rFonts w:hint="eastAsia" w:cs="Times New Roman" w:asciiTheme="minorEastAsia" w:hAnsiTheme="minorEastAsia" w:eastAsiaTheme="minorEastAsia"/>
                <w:color w:val="auto"/>
                <w:kern w:val="2"/>
                <w:highlight w:val="none"/>
              </w:rPr>
              <w:sym w:font="Wingdings" w:char="F0FE"/>
            </w:r>
            <w:r>
              <w:rPr>
                <w:rFonts w:hint="eastAsia" w:cs="Times New Roman" w:asciiTheme="minorEastAsia" w:hAnsiTheme="minorEastAsia" w:eastAsiaTheme="minorEastAsia"/>
                <w:color w:val="auto"/>
                <w:kern w:val="2"/>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jc w:val="center"/>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t>产品演示要求</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spacing w:line="400" w:lineRule="exact"/>
              <w:jc w:val="both"/>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是否进行产品演示：</w:t>
            </w:r>
          </w:p>
          <w:p>
            <w:pPr>
              <w:pStyle w:val="102"/>
              <w:spacing w:line="400" w:lineRule="exact"/>
              <w:ind w:firstLine="440" w:firstLineChars="200"/>
              <w:jc w:val="both"/>
              <w:rPr>
                <w:rFonts w:hAnsi="宋体"/>
                <w:b/>
                <w:color w:val="auto"/>
                <w:sz w:val="21"/>
                <w:szCs w:val="21"/>
                <w:highlight w:val="none"/>
              </w:rPr>
            </w:pPr>
            <w:r>
              <w:rPr>
                <w:rFonts w:hint="eastAsia" w:asciiTheme="minorEastAsia" w:hAnsiTheme="minorEastAsia" w:eastAsiaTheme="minorEastAsia"/>
                <w:color w:val="auto"/>
                <w:sz w:val="22"/>
                <w:szCs w:val="22"/>
                <w:highlight w:val="none"/>
              </w:rPr>
              <w:sym w:font="Wingdings" w:char="F0FE"/>
            </w:r>
            <w:r>
              <w:rPr>
                <w:rFonts w:hint="eastAsia" w:asciiTheme="minorEastAsia" w:hAnsiTheme="minorEastAsia" w:eastAsiaTheme="minorEastAsia"/>
                <w:color w:val="auto"/>
                <w:sz w:val="22"/>
                <w:szCs w:val="22"/>
                <w:highlight w:val="none"/>
              </w:rPr>
              <w:t>否，本项目所有采购货物均不进行产品演示。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jc w:val="center"/>
              <w:rPr>
                <w:rFonts w:ascii="宋体" w:hAnsi="宋体" w:eastAsia="宋体" w:cs="宋体"/>
                <w:b/>
                <w:color w:val="auto"/>
                <w:sz w:val="21"/>
                <w:szCs w:val="21"/>
                <w:highlight w:val="none"/>
              </w:rPr>
            </w:pPr>
            <w:r>
              <w:rPr>
                <w:rFonts w:hint="eastAsia" w:asciiTheme="minorEastAsia" w:hAnsiTheme="minorEastAsia" w:eastAsiaTheme="minorEastAsia"/>
                <w:b/>
                <w:color w:val="auto"/>
                <w:highlight w:val="none"/>
              </w:rPr>
              <w:t>核心产品</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2" w:firstLineChars="200"/>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eastAsia="zh-CN"/>
              </w:rPr>
              <w:t>本项目</w:t>
            </w:r>
            <w:r>
              <w:rPr>
                <w:rFonts w:hint="eastAsia" w:asciiTheme="majorEastAsia" w:hAnsiTheme="majorEastAsia" w:eastAsiaTheme="majorEastAsia" w:cstheme="majorEastAsia"/>
                <w:b/>
                <w:color w:val="auto"/>
                <w:sz w:val="21"/>
                <w:szCs w:val="21"/>
                <w:highlight w:val="none"/>
              </w:rPr>
              <w:t>核心产品</w:t>
            </w:r>
            <w:r>
              <w:rPr>
                <w:rFonts w:hint="eastAsia" w:asciiTheme="majorEastAsia" w:hAnsiTheme="majorEastAsia" w:eastAsiaTheme="majorEastAsia" w:cstheme="majorEastAsia"/>
                <w:b/>
                <w:color w:val="auto"/>
                <w:sz w:val="21"/>
                <w:szCs w:val="21"/>
                <w:highlight w:val="none"/>
                <w:lang w:eastAsia="zh-CN"/>
              </w:rPr>
              <w:t>为：</w:t>
            </w:r>
            <w:r>
              <w:rPr>
                <w:rFonts w:hint="eastAsia" w:asciiTheme="majorEastAsia" w:hAnsiTheme="majorEastAsia" w:eastAsiaTheme="majorEastAsia" w:cstheme="majorEastAsia"/>
                <w:b/>
                <w:color w:val="auto"/>
                <w:sz w:val="21"/>
                <w:szCs w:val="21"/>
                <w:highlight w:val="none"/>
                <w:lang w:val="en-US" w:eastAsia="zh-CN"/>
              </w:rPr>
              <w:t xml:space="preserve"> </w:t>
            </w:r>
            <w:r>
              <w:rPr>
                <w:rFonts w:hint="eastAsia" w:asciiTheme="majorEastAsia" w:hAnsiTheme="majorEastAsia" w:eastAsiaTheme="majorEastAsia" w:cstheme="majorEastAsia"/>
                <w:b/>
                <w:color w:val="auto"/>
                <w:sz w:val="21"/>
                <w:szCs w:val="21"/>
                <w:highlight w:val="none"/>
                <w:u w:val="single"/>
                <w:lang w:val="en-US" w:eastAsia="zh-CN"/>
              </w:rPr>
              <w:t xml:space="preserve"> 肺功能仪 </w:t>
            </w:r>
            <w:r>
              <w:rPr>
                <w:rFonts w:hint="eastAsia" w:asciiTheme="majorEastAsia" w:hAnsiTheme="majorEastAsia" w:eastAsiaTheme="majorEastAsia" w:cstheme="majorEastAsia"/>
                <w:b/>
                <w:color w:val="auto"/>
                <w:sz w:val="21"/>
                <w:szCs w:val="21"/>
                <w:highlight w:val="none"/>
              </w:rPr>
              <w:t>。</w:t>
            </w:r>
          </w:p>
          <w:p>
            <w:pPr>
              <w:spacing w:after="0" w:line="400" w:lineRule="exact"/>
              <w:ind w:firstLine="422" w:firstLineChars="200"/>
              <w:rPr>
                <w:rFonts w:ascii="宋体" w:hAnsi="宋体" w:eastAsia="宋体" w:cs="宋体"/>
                <w:b/>
                <w:color w:val="auto"/>
                <w:sz w:val="21"/>
                <w:szCs w:val="21"/>
                <w:highlight w:val="none"/>
              </w:rPr>
            </w:pPr>
            <w:r>
              <w:rPr>
                <w:rFonts w:hint="eastAsia" w:asciiTheme="majorEastAsia" w:hAnsiTheme="majorEastAsia" w:eastAsiaTheme="majorEastAsia" w:cstheme="majorEastAsia"/>
                <w:b/>
                <w:color w:val="auto"/>
                <w:sz w:val="21"/>
                <w:szCs w:val="21"/>
                <w:highlight w:val="none"/>
              </w:rPr>
              <w:t>本项目货物提供相同品牌产品的不同供应商参加单一产品的同一合同项下的政府采购活动的（或非单一产品采购项目中，多家供应商提供的核心产品品牌相同的），取其中质量和服务均能满足谈判文件实质性响应要求且最后竞标总报价最低的供应商参加评审；最后报价相同时，则由采购人自主选择确定一家供应商参加评审，其他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jc w:val="center"/>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t>备品备件及易损件</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ind w:firstLine="440" w:firstLineChars="200"/>
              <w:rPr>
                <w:rFonts w:ascii="宋体" w:hAnsi="宋体" w:eastAsia="宋体" w:cs="宋体"/>
                <w:b/>
                <w:color w:val="auto"/>
                <w:sz w:val="21"/>
                <w:szCs w:val="21"/>
                <w:highlight w:val="none"/>
              </w:rPr>
            </w:pPr>
            <w:r>
              <w:rPr>
                <w:rFonts w:hint="eastAsia" w:cs="Times New Roman" w:asciiTheme="minorEastAsia" w:hAnsiTheme="minorEastAsia" w:eastAsiaTheme="minorEastAsia"/>
                <w:color w:val="auto"/>
                <w:kern w:val="2"/>
                <w:highlight w:val="none"/>
              </w:rPr>
              <w:t>成交人售后服务中，维修使用的备品备件及易损件应为原厂配件，未经采购人同意不得使用非原厂配件，质保期内维修使用的备品备件及易损件的费用，由成交人承担。质量保证期过后，采购人需要继续由原成交人提供售后服务的，该成交人应以优惠价格提供售后服务，常用的、容易损坏的备品备件及易损件的优惠价格清单须在响应文件中列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ind w:firstLine="442" w:firstLineChars="200"/>
              <w:rPr>
                <w:rFonts w:ascii="宋体" w:hAnsi="宋体" w:eastAsia="宋体" w:cs="宋体"/>
                <w:b/>
                <w:color w:val="auto"/>
                <w:sz w:val="21"/>
                <w:szCs w:val="21"/>
                <w:highlight w:val="none"/>
              </w:rPr>
            </w:pPr>
            <w:r>
              <w:rPr>
                <w:rFonts w:hint="eastAsia" w:ascii="宋体" w:hAnsi="宋体" w:eastAsia="宋体" w:cs="宋体"/>
                <w:b/>
                <w:color w:val="auto"/>
                <w:highlight w:val="none"/>
                <w:lang w:eastAsia="zh-CN"/>
              </w:rPr>
              <w:t>▲</w:t>
            </w:r>
            <w:r>
              <w:rPr>
                <w:rFonts w:hint="eastAsia" w:asciiTheme="minorEastAsia" w:hAnsiTheme="minorEastAsia" w:eastAsiaTheme="minorEastAsia"/>
                <w:b/>
                <w:color w:val="auto"/>
                <w:highlight w:val="none"/>
              </w:rPr>
              <w:t>其他</w:t>
            </w:r>
          </w:p>
        </w:tc>
        <w:tc>
          <w:tcPr>
            <w:tcW w:w="8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0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供应商响应文件中必须提供供应产品的品牌和型号（注：如为定制、非标产品可不填写），如不填写视为不满足。</w:t>
            </w:r>
          </w:p>
        </w:tc>
      </w:tr>
    </w:tbl>
    <w:p>
      <w:pPr>
        <w:spacing w:after="0" w:line="400" w:lineRule="exact"/>
        <w:ind w:firstLine="440" w:firstLineChars="200"/>
        <w:rPr>
          <w:rFonts w:ascii="宋体" w:hAnsi="宋体" w:eastAsia="宋体"/>
          <w:color w:val="auto"/>
          <w:highlight w:val="none"/>
        </w:rPr>
      </w:pPr>
    </w:p>
    <w:p>
      <w:pPr>
        <w:pStyle w:val="3"/>
        <w:spacing w:line="380" w:lineRule="exact"/>
        <w:rPr>
          <w:rFonts w:ascii="宋体" w:hAnsi="宋体" w:eastAsia="宋体"/>
          <w:color w:val="auto"/>
          <w:highlight w:val="none"/>
        </w:rPr>
      </w:pPr>
      <w:bookmarkStart w:id="80" w:name="_Toc246095524"/>
      <w:bookmarkStart w:id="81" w:name="_Toc246094918"/>
      <w:bookmarkStart w:id="82" w:name="_Toc246095462"/>
    </w:p>
    <w:p>
      <w:pPr>
        <w:pStyle w:val="3"/>
        <w:spacing w:line="380" w:lineRule="exact"/>
        <w:rPr>
          <w:rFonts w:ascii="宋体" w:hAnsi="宋体" w:eastAsia="宋体"/>
          <w:color w:val="auto"/>
          <w:highlight w:val="none"/>
        </w:rPr>
      </w:pPr>
      <w:r>
        <w:rPr>
          <w:rFonts w:hint="eastAsia" w:ascii="宋体" w:hAnsi="宋体" w:eastAsia="宋体"/>
          <w:color w:val="auto"/>
          <w:highlight w:val="none"/>
        </w:rPr>
        <w:br w:type="page"/>
      </w:r>
    </w:p>
    <w:p>
      <w:pPr>
        <w:pStyle w:val="3"/>
        <w:spacing w:line="380" w:lineRule="exact"/>
        <w:rPr>
          <w:rFonts w:ascii="宋体" w:hAnsi="宋体" w:eastAsia="宋体"/>
          <w:color w:val="auto"/>
          <w:highlight w:val="none"/>
        </w:rPr>
      </w:pPr>
      <w:bookmarkStart w:id="83" w:name="_Toc11191"/>
      <w:r>
        <w:rPr>
          <w:rFonts w:hint="eastAsia" w:ascii="宋体" w:hAnsi="宋体" w:eastAsia="宋体"/>
          <w:color w:val="auto"/>
          <w:highlight w:val="none"/>
        </w:rPr>
        <w:t xml:space="preserve">第四章  </w:t>
      </w:r>
      <w:bookmarkEnd w:id="80"/>
      <w:bookmarkEnd w:id="81"/>
      <w:bookmarkEnd w:id="82"/>
      <w:r>
        <w:rPr>
          <w:rFonts w:hint="eastAsia" w:ascii="宋体" w:hAnsi="宋体" w:eastAsia="宋体"/>
          <w:color w:val="auto"/>
          <w:highlight w:val="none"/>
        </w:rPr>
        <w:t>评审方法及评审标准</w:t>
      </w:r>
      <w:bookmarkEnd w:id="83"/>
    </w:p>
    <w:p>
      <w:pPr>
        <w:spacing w:after="0" w:line="380" w:lineRule="exact"/>
        <w:ind w:firstLine="482" w:firstLineChars="200"/>
        <w:outlineLvl w:val="1"/>
        <w:rPr>
          <w:rFonts w:ascii="宋体" w:hAnsi="宋体" w:eastAsia="宋体" w:cs="Arial"/>
          <w:b/>
          <w:bCs/>
          <w:color w:val="auto"/>
          <w:sz w:val="24"/>
          <w:highlight w:val="none"/>
        </w:rPr>
      </w:pPr>
      <w:bookmarkStart w:id="84" w:name="_Toc8052"/>
      <w:r>
        <w:rPr>
          <w:rFonts w:hint="eastAsia" w:ascii="宋体" w:hAnsi="宋体" w:eastAsia="宋体" w:cs="Arial"/>
          <w:b/>
          <w:bCs/>
          <w:color w:val="auto"/>
          <w:sz w:val="24"/>
          <w:highlight w:val="none"/>
        </w:rPr>
        <w:t>一、评审原则</w:t>
      </w:r>
      <w:bookmarkEnd w:id="84"/>
    </w:p>
    <w:p>
      <w:pPr>
        <w:spacing w:after="0" w:line="380" w:lineRule="exact"/>
        <w:ind w:firstLine="480" w:firstLineChars="200"/>
        <w:rPr>
          <w:rFonts w:ascii="宋体" w:hAnsi="宋体" w:eastAsia="宋体" w:cs="Arial"/>
          <w:bCs/>
          <w:color w:val="auto"/>
          <w:sz w:val="24"/>
          <w:highlight w:val="none"/>
        </w:rPr>
      </w:pPr>
      <w:r>
        <w:rPr>
          <w:rFonts w:hint="eastAsia" w:ascii="宋体" w:hAnsi="宋体" w:eastAsia="宋体" w:cs="Arial"/>
          <w:color w:val="auto"/>
          <w:sz w:val="24"/>
          <w:highlight w:val="none"/>
        </w:rPr>
        <w:t>1．</w:t>
      </w:r>
      <w:r>
        <w:rPr>
          <w:rFonts w:hint="eastAsia" w:ascii="宋体" w:hAnsi="宋体" w:eastAsia="宋体" w:cs="Arial"/>
          <w:bCs/>
          <w:color w:val="auto"/>
          <w:sz w:val="24"/>
          <w:highlight w:val="none"/>
        </w:rPr>
        <w:t>谈判小组成员构成：本采购项目的谈判小组成员分别由依法抽取的政府采购评审专家、采购人代表共三人及以上单数构成，其中政府采购评审专家人数不少于谈判小组成员总数的三分之二。</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hint="eastAsia" w:ascii="宋体" w:hAnsi="宋体" w:eastAsia="宋体" w:cs="Arial"/>
          <w:bCs/>
          <w:color w:val="auto"/>
          <w:sz w:val="24"/>
          <w:highlight w:val="none"/>
        </w:rPr>
        <w:t>评审依据：谈判小组将以竞争性谈判文件为评标依据，对供应商的响应文件进行资格性及符合性审查，以确定其是否符合资格条件及满足采购文件的实质性要求。</w:t>
      </w:r>
    </w:p>
    <w:p>
      <w:pPr>
        <w:spacing w:after="0" w:line="380" w:lineRule="exact"/>
        <w:ind w:firstLine="480" w:firstLineChars="200"/>
        <w:rPr>
          <w:rFonts w:ascii="宋体" w:hAnsi="宋体" w:eastAsia="宋体" w:cs="Arial"/>
          <w:bCs/>
          <w:color w:val="auto"/>
          <w:sz w:val="24"/>
          <w:highlight w:val="none"/>
        </w:rPr>
      </w:pPr>
      <w:r>
        <w:rPr>
          <w:rFonts w:hint="eastAsia" w:ascii="宋体" w:hAnsi="宋体" w:eastAsia="宋体" w:cs="Arial"/>
          <w:color w:val="auto"/>
          <w:sz w:val="24"/>
          <w:highlight w:val="none"/>
        </w:rPr>
        <w:t>3．</w:t>
      </w:r>
      <w:r>
        <w:rPr>
          <w:rFonts w:hint="eastAsia" w:ascii="宋体" w:hAnsi="宋体" w:eastAsia="宋体" w:cs="Arial"/>
          <w:bCs/>
          <w:color w:val="auto"/>
          <w:sz w:val="24"/>
          <w:highlight w:val="none"/>
        </w:rPr>
        <w:t>评审方法：最低评标价法。</w:t>
      </w:r>
    </w:p>
    <w:p>
      <w:pPr>
        <w:spacing w:after="0" w:line="380" w:lineRule="exact"/>
        <w:ind w:firstLine="480" w:firstLineChars="200"/>
        <w:rPr>
          <w:rFonts w:ascii="宋体" w:hAnsi="宋体" w:eastAsia="宋体" w:cs="Arial"/>
          <w:bCs/>
          <w:color w:val="auto"/>
          <w:sz w:val="24"/>
          <w:highlight w:val="none"/>
        </w:rPr>
      </w:pPr>
      <w:r>
        <w:rPr>
          <w:rFonts w:hint="eastAsia" w:ascii="宋体" w:hAnsi="宋体" w:eastAsia="宋体" w:cs="Arial"/>
          <w:bCs/>
          <w:color w:val="auto"/>
          <w:sz w:val="24"/>
          <w:highlight w:val="none"/>
        </w:rPr>
        <w:t>4．评审程序</w:t>
      </w:r>
    </w:p>
    <w:p>
      <w:pPr>
        <w:widowControl w:val="0"/>
        <w:numPr>
          <w:ilvl w:val="0"/>
          <w:numId w:val="4"/>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资格性检查；</w:t>
      </w:r>
    </w:p>
    <w:p>
      <w:pPr>
        <w:widowControl w:val="0"/>
        <w:numPr>
          <w:ilvl w:val="0"/>
          <w:numId w:val="4"/>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符合性检查；</w:t>
      </w:r>
    </w:p>
    <w:p>
      <w:pPr>
        <w:widowControl w:val="0"/>
        <w:numPr>
          <w:ilvl w:val="0"/>
          <w:numId w:val="4"/>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谈判；</w:t>
      </w:r>
    </w:p>
    <w:p>
      <w:pPr>
        <w:widowControl w:val="0"/>
        <w:numPr>
          <w:ilvl w:val="0"/>
          <w:numId w:val="4"/>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重新提交响应文件（如谈判文件有实质性变动或谈判后确定最终设计解决方案）；</w:t>
      </w:r>
    </w:p>
    <w:p>
      <w:pPr>
        <w:widowControl w:val="0"/>
        <w:numPr>
          <w:ilvl w:val="0"/>
          <w:numId w:val="4"/>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最后报价；</w:t>
      </w:r>
    </w:p>
    <w:p>
      <w:pPr>
        <w:widowControl w:val="0"/>
        <w:numPr>
          <w:ilvl w:val="0"/>
          <w:numId w:val="4"/>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推荐成交候选供应商名单。</w:t>
      </w:r>
    </w:p>
    <w:p>
      <w:pPr>
        <w:spacing w:after="0" w:line="380" w:lineRule="exact"/>
        <w:ind w:firstLine="482" w:firstLineChars="200"/>
        <w:outlineLvl w:val="1"/>
        <w:rPr>
          <w:rFonts w:ascii="宋体" w:hAnsi="宋体" w:eastAsia="宋体" w:cs="Arial"/>
          <w:b/>
          <w:bCs/>
          <w:color w:val="auto"/>
          <w:sz w:val="24"/>
          <w:highlight w:val="none"/>
        </w:rPr>
      </w:pPr>
      <w:bookmarkStart w:id="85" w:name="_Toc17167"/>
      <w:r>
        <w:rPr>
          <w:rFonts w:hint="eastAsia" w:ascii="宋体" w:hAnsi="宋体" w:eastAsia="宋体" w:cs="Arial"/>
          <w:b/>
          <w:bCs/>
          <w:color w:val="auto"/>
          <w:sz w:val="24"/>
          <w:highlight w:val="none"/>
        </w:rPr>
        <w:t>二、评审标准</w:t>
      </w:r>
      <w:bookmarkEnd w:id="85"/>
    </w:p>
    <w:p>
      <w:pPr>
        <w:spacing w:after="0" w:line="380" w:lineRule="exact"/>
        <w:ind w:firstLine="482" w:firstLineChars="200"/>
        <w:rPr>
          <w:rFonts w:ascii="宋体" w:hAnsi="宋体" w:eastAsia="宋体" w:cs="Arial"/>
          <w:b/>
          <w:color w:val="auto"/>
          <w:sz w:val="24"/>
          <w:highlight w:val="none"/>
        </w:rPr>
      </w:pPr>
      <w:r>
        <w:rPr>
          <w:rFonts w:hint="eastAsia" w:ascii="宋体" w:hAnsi="宋体" w:eastAsia="宋体" w:cs="Arial"/>
          <w:b/>
          <w:color w:val="auto"/>
          <w:sz w:val="24"/>
          <w:highlight w:val="none"/>
        </w:rPr>
        <w:t>1、资格性检查</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由谈判小组对所有供应商的响应文件进行资格审查。以确定供应商是否具备竞标资格。资格性检查表如下，缺少任何一项或有任何一项不合格者，其资格性审查视为不合格。</w:t>
      </w:r>
    </w:p>
    <w:tbl>
      <w:tblPr>
        <w:tblStyle w:val="38"/>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评审内容及评审标准</w:t>
            </w:r>
          </w:p>
        </w:tc>
      </w:tr>
      <w:tr>
        <w:tblPrEx>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审查法人或者其他组织的营业执照等证明文件、自然人的身份证明。须按以下要求提供，材料须有效。</w:t>
            </w:r>
          </w:p>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w:t>
            </w:r>
            <w:r>
              <w:rPr>
                <w:rFonts w:hint="eastAsia" w:ascii="宋体" w:hAnsi="宋体" w:eastAsia="宋体" w:cs="宋体"/>
                <w:color w:val="auto"/>
                <w:sz w:val="24"/>
                <w:szCs w:val="24"/>
                <w:highlight w:val="none"/>
                <w:lang w:eastAsia="zh-CN"/>
              </w:rPr>
              <w:t>经第三方审计的2019年度的财务报表（账务报表至少包含资产负债表、利润表、现金流量表及其附注、审计报告）</w:t>
            </w:r>
            <w:r>
              <w:rPr>
                <w:rFonts w:hint="eastAsia" w:ascii="宋体" w:hAnsi="宋体" w:eastAsia="宋体" w:cs="宋体"/>
                <w:color w:val="auto"/>
                <w:sz w:val="24"/>
                <w:szCs w:val="24"/>
                <w:highlight w:val="none"/>
              </w:rPr>
              <w:t>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①审查提交响应文件截止之日</w:t>
            </w:r>
            <w:r>
              <w:rPr>
                <w:rFonts w:hint="eastAsia" w:ascii="宋体" w:hAnsi="宋体" w:eastAsia="宋体" w:cs="宋体"/>
                <w:color w:val="auto"/>
                <w:sz w:val="24"/>
                <w:highlight w:val="none"/>
              </w:rPr>
              <w:t>前三个月内任意一个月</w:t>
            </w:r>
            <w:r>
              <w:rPr>
                <w:rFonts w:hint="eastAsia" w:ascii="宋体" w:hAnsi="宋体" w:eastAsia="宋体" w:cs="宋体"/>
                <w:color w:val="auto"/>
                <w:sz w:val="24"/>
                <w:szCs w:val="24"/>
                <w:highlight w:val="none"/>
              </w:rPr>
              <w:t>的依法缴纳税费证明复印件。</w:t>
            </w:r>
          </w:p>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②审查提交响应文件截止之日前</w:t>
            </w:r>
            <w:r>
              <w:rPr>
                <w:rFonts w:hint="eastAsia" w:ascii="宋体" w:hAnsi="宋体" w:eastAsia="宋体" w:cs="宋体"/>
                <w:color w:val="auto"/>
                <w:sz w:val="24"/>
                <w:highlight w:val="none"/>
              </w:rPr>
              <w:t>前三个月内任意一个月</w:t>
            </w:r>
            <w:r>
              <w:rPr>
                <w:rFonts w:hint="eastAsia" w:ascii="宋体" w:hAnsi="宋体" w:eastAsia="宋体" w:cs="宋体"/>
                <w:color w:val="auto"/>
                <w:sz w:val="24"/>
                <w:szCs w:val="24"/>
                <w:highlight w:val="none"/>
              </w:rPr>
              <w:t>的依法缴纳社会保险费证明记录复印件。</w:t>
            </w:r>
          </w:p>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供应商成立不足</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个月的，无须提供缴纳税费证明及社保缴费证明。依法免税的供应商，须提供相应文件证明其依法免税</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（6）诚信要求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审核要求：供应商未被列入失信被执行人、重大税收违法案件当事人名单、政府采购严重违法失信行为记录名单。</w:t>
            </w:r>
          </w:p>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B、审核内容：供应商在“信用中国”网站（www.creditchina.gov.cn）、中国政府采购网（www.ccgp.gov.cn）的主体信用记录</w:t>
            </w:r>
            <w:r>
              <w:rPr>
                <w:rFonts w:ascii="宋体" w:hAnsi="宋体" w:eastAsia="宋体" w:cs="宋体"/>
                <w:color w:val="auto"/>
                <w:sz w:val="24"/>
                <w:szCs w:val="24"/>
                <w:highlight w:val="none"/>
              </w:rPr>
              <w:t>查询结果或界面截图（</w:t>
            </w:r>
            <w:r>
              <w:rPr>
                <w:rFonts w:hint="eastAsia" w:ascii="宋体" w:hAnsi="宋体" w:eastAsia="宋体" w:cs="仿宋"/>
                <w:color w:val="auto"/>
                <w:sz w:val="24"/>
                <w:highlight w:val="none"/>
              </w:rPr>
              <w:t>由采购人或采购代理机构对供应商进行信用信息查询，并将查询结果提供给谈判小组</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p>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①“信用中国”查询内容：失信被执行人、重大税收违法案件当事人名单、政府采购严重违法失信行为记录名单</w:t>
            </w:r>
            <w:r>
              <w:rPr>
                <w:rFonts w:ascii="宋体" w:hAnsi="宋体" w:eastAsia="宋体" w:cs="宋体"/>
                <w:color w:val="auto"/>
                <w:sz w:val="24"/>
                <w:szCs w:val="24"/>
                <w:highlight w:val="none"/>
              </w:rPr>
              <w:t>查询结果或界面截图</w:t>
            </w:r>
            <w:r>
              <w:rPr>
                <w:rFonts w:hint="eastAsia" w:ascii="宋体" w:hAnsi="宋体" w:eastAsia="宋体" w:cs="宋体"/>
                <w:color w:val="auto"/>
                <w:sz w:val="24"/>
                <w:szCs w:val="24"/>
                <w:highlight w:val="none"/>
              </w:rPr>
              <w:t>；查询或打印截止时点：</w:t>
            </w:r>
            <w:r>
              <w:rPr>
                <w:rFonts w:hint="eastAsia" w:ascii="宋体" w:hAnsi="宋体" w:eastAsia="宋体" w:cs="仿宋"/>
                <w:color w:val="auto"/>
                <w:sz w:val="24"/>
                <w:highlight w:val="none"/>
              </w:rPr>
              <w:t>递交响应文件截止时间</w:t>
            </w:r>
            <w:r>
              <w:rPr>
                <w:rFonts w:hint="eastAsia" w:ascii="宋体" w:hAnsi="宋体" w:eastAsia="宋体" w:cs="宋体"/>
                <w:color w:val="auto"/>
                <w:sz w:val="24"/>
                <w:szCs w:val="24"/>
                <w:highlight w:val="none"/>
              </w:rPr>
              <w:t>。</w:t>
            </w:r>
          </w:p>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②“中国政府采购网”的查询内容：政府采购严重违法失信行为信息记录</w:t>
            </w:r>
            <w:r>
              <w:rPr>
                <w:rFonts w:ascii="宋体" w:hAnsi="宋体" w:eastAsia="宋体" w:cs="宋体"/>
                <w:color w:val="auto"/>
                <w:sz w:val="24"/>
                <w:szCs w:val="24"/>
                <w:highlight w:val="none"/>
              </w:rPr>
              <w:t>（查询界面截图须显示</w:t>
            </w:r>
            <w:r>
              <w:rPr>
                <w:rFonts w:hint="eastAsia" w:ascii="宋体" w:hAnsi="宋体" w:eastAsia="宋体" w:cs="宋体"/>
                <w:color w:val="auto"/>
                <w:sz w:val="24"/>
                <w:szCs w:val="24"/>
                <w:highlight w:val="none"/>
                <w:lang w:eastAsia="zh-CN"/>
              </w:rPr>
              <w:t>竞标人</w:t>
            </w:r>
            <w:r>
              <w:rPr>
                <w:rFonts w:ascii="宋体" w:hAnsi="宋体" w:eastAsia="宋体" w:cs="宋体"/>
                <w:color w:val="auto"/>
                <w:sz w:val="24"/>
                <w:szCs w:val="24"/>
                <w:highlight w:val="none"/>
              </w:rPr>
              <w:t>名称以及查询结果）；查询时间：</w:t>
            </w:r>
            <w:r>
              <w:rPr>
                <w:rFonts w:hint="eastAsia" w:ascii="宋体" w:hAnsi="宋体" w:eastAsia="宋体" w:cs="仿宋"/>
                <w:color w:val="auto"/>
                <w:sz w:val="24"/>
                <w:highlight w:val="none"/>
              </w:rPr>
              <w:t>递交响应文件截止时间前</w:t>
            </w:r>
            <w:r>
              <w:rPr>
                <w:rFonts w:ascii="宋体" w:hAnsi="宋体" w:eastAsia="宋体" w:cs="仿宋"/>
                <w:color w:val="auto"/>
                <w:sz w:val="24"/>
                <w:highlight w:val="none"/>
              </w:rPr>
              <w:t>三年</w:t>
            </w:r>
            <w:r>
              <w:rPr>
                <w:rFonts w:hint="eastAsia" w:ascii="宋体" w:hAnsi="宋体" w:eastAsia="宋体" w:cs="仿宋"/>
                <w:color w:val="auto"/>
                <w:sz w:val="24"/>
                <w:highlight w:val="none"/>
              </w:rPr>
              <w:t>内</w:t>
            </w:r>
            <w:r>
              <w:rPr>
                <w:rFonts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（7）法律、行政法规规定的其他条件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须符合“供应商须知前附表”3.1的要求</w:t>
            </w:r>
          </w:p>
        </w:tc>
      </w:tr>
    </w:tbl>
    <w:p>
      <w:pPr>
        <w:spacing w:after="0" w:line="380" w:lineRule="exact"/>
        <w:ind w:firstLine="480" w:firstLineChars="200"/>
        <w:rPr>
          <w:rFonts w:ascii="宋体" w:hAnsi="宋体" w:eastAsia="宋体" w:cs="Arial"/>
          <w:color w:val="auto"/>
          <w:sz w:val="24"/>
          <w:highlight w:val="none"/>
        </w:rPr>
      </w:pPr>
    </w:p>
    <w:p>
      <w:pPr>
        <w:spacing w:after="0" w:line="380" w:lineRule="exact"/>
        <w:ind w:firstLine="482" w:firstLineChars="200"/>
        <w:rPr>
          <w:rFonts w:ascii="宋体" w:hAnsi="宋体" w:eastAsia="宋体" w:cs="Arial"/>
          <w:b/>
          <w:color w:val="auto"/>
          <w:sz w:val="24"/>
          <w:highlight w:val="none"/>
        </w:rPr>
      </w:pPr>
      <w:r>
        <w:rPr>
          <w:rFonts w:hint="eastAsia" w:ascii="宋体" w:hAnsi="宋体" w:eastAsia="宋体" w:cs="Arial"/>
          <w:b/>
          <w:color w:val="auto"/>
          <w:sz w:val="24"/>
          <w:highlight w:val="none"/>
        </w:rPr>
        <w:t xml:space="preserve">2、符合性检查 </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8"/>
        <w:tblW w:w="9813" w:type="dxa"/>
        <w:jc w:val="center"/>
        <w:tblLayout w:type="fixed"/>
        <w:tblCellMar>
          <w:top w:w="0" w:type="dxa"/>
          <w:left w:w="108" w:type="dxa"/>
          <w:bottom w:w="0" w:type="dxa"/>
          <w:right w:w="108" w:type="dxa"/>
        </w:tblCellMar>
      </w:tblPr>
      <w:tblGrid>
        <w:gridCol w:w="574"/>
        <w:gridCol w:w="955"/>
        <w:gridCol w:w="2010"/>
        <w:gridCol w:w="6274"/>
      </w:tblGrid>
      <w:tr>
        <w:tblPrEx>
          <w:tblCellMar>
            <w:top w:w="0" w:type="dxa"/>
            <w:left w:w="108" w:type="dxa"/>
            <w:bottom w:w="0" w:type="dxa"/>
            <w:right w:w="108" w:type="dxa"/>
          </w:tblCellMar>
        </w:tblPrEx>
        <w:trPr>
          <w:trHeight w:val="495" w:hRule="atLeast"/>
          <w:tblHeader/>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序号</w:t>
            </w:r>
          </w:p>
        </w:tc>
        <w:tc>
          <w:tcPr>
            <w:tcW w:w="296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评审因素</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评审内容及评审标准</w:t>
            </w:r>
          </w:p>
        </w:tc>
      </w:tr>
      <w:tr>
        <w:tblPrEx>
          <w:tblCellMar>
            <w:top w:w="0" w:type="dxa"/>
            <w:left w:w="108" w:type="dxa"/>
            <w:bottom w:w="0" w:type="dxa"/>
            <w:right w:w="108" w:type="dxa"/>
          </w:tblCellMar>
        </w:tblPrEx>
        <w:trPr>
          <w:trHeight w:val="540"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1</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有效性审查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响应文件签署</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 xml:space="preserve">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法定代表人身份证明及授权委托书</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ind w:firstLine="450"/>
              <w:rPr>
                <w:rFonts w:ascii="宋体" w:hAnsi="宋体" w:eastAsia="宋体" w:cs="Arial"/>
                <w:color w:val="auto"/>
                <w:sz w:val="24"/>
                <w:highlight w:val="none"/>
              </w:rPr>
            </w:pPr>
            <w:r>
              <w:rPr>
                <w:rFonts w:hint="eastAsia" w:ascii="宋体" w:hAnsi="宋体" w:eastAsia="宋体" w:cs="Arial"/>
                <w:color w:val="auto"/>
                <w:sz w:val="24"/>
                <w:highlight w:val="none"/>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响应文件或竞标报价唯一性</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同一供应商不得提交两个以上不同的响应文件或者竞标报价，但采购文件要求提交备选竞标的除外。</w:t>
            </w:r>
          </w:p>
        </w:tc>
      </w:tr>
      <w:tr>
        <w:tblPrEx>
          <w:tblCellMar>
            <w:top w:w="0" w:type="dxa"/>
            <w:left w:w="108" w:type="dxa"/>
            <w:bottom w:w="0" w:type="dxa"/>
            <w:right w:w="108" w:type="dxa"/>
          </w:tblCellMar>
        </w:tblPrEx>
        <w:trPr>
          <w:trHeight w:val="389"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附加条件</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响应文件不得含有招标不能接受的附加条件。</w:t>
            </w:r>
          </w:p>
        </w:tc>
      </w:tr>
      <w:tr>
        <w:tblPrEx>
          <w:tblCellMar>
            <w:top w:w="0" w:type="dxa"/>
            <w:left w:w="108" w:type="dxa"/>
            <w:bottom w:w="0" w:type="dxa"/>
            <w:right w:w="108" w:type="dxa"/>
          </w:tblCellMar>
        </w:tblPrEx>
        <w:trPr>
          <w:trHeight w:val="81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竞标报价</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报价超出采购预算金额或最高限价（如有）的，竞标无效。提交选择性报价的，竞标无效。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联合体供应商（如允许） </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提交联合体协议书，并明确联合体牵头人，并符合采购文件规定。</w:t>
            </w:r>
          </w:p>
        </w:tc>
      </w:tr>
      <w:tr>
        <w:tblPrEx>
          <w:tblCellMar>
            <w:top w:w="0" w:type="dxa"/>
            <w:left w:w="108" w:type="dxa"/>
            <w:bottom w:w="0" w:type="dxa"/>
            <w:right w:w="108" w:type="dxa"/>
          </w:tblCellMar>
        </w:tblPrEx>
        <w:trPr>
          <w:trHeight w:val="435"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2</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完整性审查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响应文件份数</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响应文件内容</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3</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对采购文件的响应程度审查 </w:t>
            </w: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实质性条款响应</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对采购文件中所有标注“</w:t>
            </w:r>
            <w:r>
              <w:rPr>
                <w:rFonts w:hint="eastAsia" w:ascii="宋体" w:hAnsi="宋体" w:eastAsia="宋体" w:cs="宋体"/>
                <w:color w:val="auto"/>
                <w:sz w:val="21"/>
                <w:szCs w:val="21"/>
                <w:highlight w:val="none"/>
              </w:rPr>
              <w:t>▲</w:t>
            </w:r>
            <w:r>
              <w:rPr>
                <w:rFonts w:hint="eastAsia" w:ascii="宋体" w:hAnsi="宋体" w:eastAsia="宋体" w:cs="Arial"/>
                <w:color w:val="auto"/>
                <w:sz w:val="24"/>
                <w:highlight w:val="none"/>
              </w:rPr>
              <w:t>”号的实质性条款要求响应均无负偏离。</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第三章《项目采购需求和说明》允许负偏离项数</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非“</w:t>
            </w:r>
            <w:r>
              <w:rPr>
                <w:rFonts w:hint="eastAsia" w:ascii="宋体" w:hAnsi="宋体" w:eastAsia="宋体" w:cs="宋体"/>
                <w:color w:val="auto"/>
                <w:sz w:val="21"/>
                <w:szCs w:val="21"/>
                <w:highlight w:val="none"/>
              </w:rPr>
              <w:t>▲</w:t>
            </w:r>
            <w:r>
              <w:rPr>
                <w:rFonts w:hint="eastAsia" w:ascii="宋体" w:hAnsi="宋体" w:eastAsia="宋体" w:cs="Arial"/>
                <w:color w:val="auto"/>
                <w:sz w:val="24"/>
                <w:highlight w:val="none"/>
              </w:rPr>
              <w:t>”号要求或技术指标发生负偏离或不响应达到“项目采购需求和说明”规定的项数的，竞标无效。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响应文件格式</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响应文件未按第二章第10.1项和第六章“响应文件格式”的规定编写和提供。</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竞标保证金</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足额、及时缴纳竞标保证金</w:t>
            </w:r>
          </w:p>
        </w:tc>
      </w:tr>
      <w:tr>
        <w:tblPrEx>
          <w:tblCellMar>
            <w:top w:w="0" w:type="dxa"/>
            <w:left w:w="108" w:type="dxa"/>
            <w:bottom w:w="0" w:type="dxa"/>
            <w:right w:w="108"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jc w:val="both"/>
              <w:rPr>
                <w:rFonts w:ascii="宋体" w:hAnsi="宋体" w:eastAsia="宋体" w:cs="Arial"/>
                <w:color w:val="auto"/>
                <w:sz w:val="24"/>
                <w:highlight w:val="none"/>
              </w:rPr>
            </w:pPr>
            <w:r>
              <w:rPr>
                <w:rFonts w:hint="eastAsia" w:ascii="宋体" w:hAnsi="宋体" w:eastAsia="宋体" w:cs="Arial"/>
                <w:color w:val="auto"/>
                <w:sz w:val="24"/>
                <w:highlight w:val="none"/>
              </w:rPr>
              <w:t xml:space="preserve">竞标有效期 </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jc w:val="both"/>
              <w:rPr>
                <w:rFonts w:ascii="宋体" w:hAnsi="宋体" w:eastAsia="宋体" w:cs="Arial"/>
                <w:color w:val="auto"/>
                <w:sz w:val="24"/>
                <w:highlight w:val="none"/>
              </w:rPr>
            </w:pPr>
            <w:r>
              <w:rPr>
                <w:rFonts w:hint="eastAsia" w:ascii="宋体" w:hAnsi="宋体" w:eastAsia="宋体" w:cs="Arial"/>
                <w:color w:val="auto"/>
                <w:sz w:val="24"/>
                <w:highlight w:val="none"/>
              </w:rPr>
              <w:t xml:space="preserve">    满足采购文件规定并在第六章“响应文件格式”谈判书做出响应的。</w:t>
            </w:r>
          </w:p>
        </w:tc>
      </w:tr>
    </w:tbl>
    <w:p>
      <w:pPr>
        <w:spacing w:after="0" w:line="380" w:lineRule="exact"/>
        <w:ind w:firstLine="480" w:firstLineChars="200"/>
        <w:rPr>
          <w:rFonts w:ascii="宋体" w:hAnsi="宋体" w:eastAsia="宋体" w:cs="Arial"/>
          <w:color w:val="auto"/>
          <w:sz w:val="24"/>
          <w:highlight w:val="none"/>
        </w:rPr>
      </w:pPr>
    </w:p>
    <w:p>
      <w:pPr>
        <w:spacing w:after="0" w:line="380" w:lineRule="exact"/>
        <w:ind w:firstLine="482" w:firstLineChars="200"/>
        <w:rPr>
          <w:rFonts w:ascii="宋体" w:hAnsi="宋体" w:eastAsia="宋体" w:cs="Arial"/>
          <w:b/>
          <w:color w:val="auto"/>
          <w:sz w:val="24"/>
          <w:highlight w:val="none"/>
        </w:rPr>
      </w:pPr>
      <w:r>
        <w:rPr>
          <w:rFonts w:hint="eastAsia" w:ascii="宋体" w:hAnsi="宋体" w:eastAsia="宋体" w:cs="Arial"/>
          <w:b/>
          <w:color w:val="auto"/>
          <w:sz w:val="24"/>
          <w:highlight w:val="none"/>
        </w:rPr>
        <w:t>3、详细评审</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谈判小组按谈判文件规定的程序与供应商进行谈判。对实质性响应谈判文件的供应商最后报价进行评审。</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（1）谈判小组将依照本谈判文件相关规定对质量和服务均能满足竞争性谈判实质性要求的供应商所提交的最后报价进行政策性扣除，即</w:t>
      </w:r>
      <w:r>
        <w:rPr>
          <w:rFonts w:hint="eastAsia" w:ascii="宋体" w:hAnsi="宋体" w:eastAsia="宋体" w:cs="Arial"/>
          <w:color w:val="auto"/>
          <w:sz w:val="24"/>
          <w:highlight w:val="none"/>
          <w:u w:val="single"/>
        </w:rPr>
        <w:t>评标价=最后报价×（1—小型和微型企业政策性扣除）</w:t>
      </w:r>
      <w:r>
        <w:rPr>
          <w:rFonts w:hint="eastAsia" w:ascii="宋体" w:hAnsi="宋体" w:eastAsia="宋体" w:cs="Arial"/>
          <w:color w:val="auto"/>
          <w:sz w:val="24"/>
          <w:highlight w:val="none"/>
        </w:rPr>
        <w:t>。依据</w:t>
      </w:r>
      <w:r>
        <w:rPr>
          <w:rFonts w:hint="eastAsia" w:ascii="宋体" w:hAnsi="宋体" w:eastAsia="宋体" w:cs="Arial"/>
          <w:color w:val="auto"/>
          <w:sz w:val="24"/>
          <w:highlight w:val="none"/>
          <w:u w:val="single"/>
        </w:rPr>
        <w:t>评标价</w:t>
      </w:r>
      <w:r>
        <w:rPr>
          <w:rFonts w:hint="eastAsia" w:ascii="宋体" w:hAnsi="宋体" w:eastAsia="宋体" w:cs="Arial"/>
          <w:color w:val="auto"/>
          <w:sz w:val="24"/>
          <w:highlight w:val="none"/>
        </w:rPr>
        <w:t>按照由低到高的顺序提出3名以上成交候选人，并编写评审报告。</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（2）小型和微型企业最终报价扣除计算</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①按照《政府采购促进中小企业发展暂行办法》（财库[2011]181号），对小型和微型企业产品的最后报价给予</w:t>
      </w:r>
      <w:r>
        <w:rPr>
          <w:rFonts w:hint="eastAsia" w:ascii="宋体" w:hAnsi="宋体" w:eastAsia="宋体" w:cs="Arial"/>
          <w:color w:val="auto"/>
          <w:sz w:val="24"/>
          <w:highlight w:val="none"/>
          <w:lang w:val="en-US" w:eastAsia="zh-CN"/>
        </w:rPr>
        <w:t>10</w:t>
      </w:r>
      <w:r>
        <w:rPr>
          <w:rFonts w:hint="eastAsia" w:ascii="宋体" w:hAnsi="宋体" w:eastAsia="宋体" w:cs="Arial"/>
          <w:color w:val="auto"/>
          <w:sz w:val="24"/>
          <w:highlight w:val="none"/>
        </w:rPr>
        <w:t>%的扣除，扣除后的价格为评标报价，即评标报价=最终报价×（1-</w:t>
      </w:r>
      <w:r>
        <w:rPr>
          <w:rFonts w:hint="eastAsia" w:ascii="宋体" w:hAnsi="宋体" w:eastAsia="宋体" w:cs="Arial"/>
          <w:color w:val="auto"/>
          <w:sz w:val="24"/>
          <w:highlight w:val="none"/>
          <w:lang w:val="en-US" w:eastAsia="zh-CN"/>
        </w:rPr>
        <w:t>10</w:t>
      </w:r>
      <w:r>
        <w:rPr>
          <w:rFonts w:hint="eastAsia" w:ascii="宋体" w:hAnsi="宋体" w:eastAsia="宋体" w:cs="Arial"/>
          <w:color w:val="auto"/>
          <w:sz w:val="24"/>
          <w:highlight w:val="none"/>
        </w:rPr>
        <w:t>%）；大中型企业与小型、微型企业组成联合体竞标，其中小型、微型企业的协议合同金额占到联合体协议合同总金额30%以上的，联合体最终报价给予2%的扣除，扣除后的价格为评标报价，即评标报价=最终报价×（1-2%）。</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②按照《财政部、司法部关于政府采购支持监狱企业发展有关问题的通知》（财库〔2014〕68号）之规定，监狱企业视同小型、微型企业，享受预留份额、评审中价格扣除等政府采购政策。</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3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除上述情况外，评标价=最后报价</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w:t>
      </w:r>
      <w:r>
        <w:rPr>
          <w:rFonts w:ascii="宋体" w:hAnsi="宋体" w:eastAsia="宋体" w:cs="Arial"/>
          <w:color w:val="auto"/>
          <w:sz w:val="24"/>
          <w:highlight w:val="none"/>
        </w:rPr>
        <w:t>3</w:t>
      </w:r>
      <w:r>
        <w:rPr>
          <w:rFonts w:hint="eastAsia" w:ascii="宋体" w:hAnsi="宋体" w:eastAsia="宋体" w:cs="Arial"/>
          <w:color w:val="auto"/>
          <w:sz w:val="24"/>
          <w:highlight w:val="none"/>
        </w:rPr>
        <w:t>）</w:t>
      </w:r>
      <w:r>
        <w:rPr>
          <w:rFonts w:ascii="宋体" w:hAnsi="宋体" w:eastAsia="宋体" w:cs="Arial"/>
          <w:color w:val="auto"/>
          <w:sz w:val="24"/>
          <w:highlight w:val="none"/>
        </w:rPr>
        <w:t>谈判小组从质量和服务均能满足</w:t>
      </w:r>
      <w:r>
        <w:rPr>
          <w:rFonts w:hint="eastAsia" w:ascii="宋体" w:hAnsi="宋体" w:eastAsia="宋体" w:cs="Arial"/>
          <w:color w:val="auto"/>
          <w:sz w:val="24"/>
          <w:highlight w:val="none"/>
        </w:rPr>
        <w:t>谈判</w:t>
      </w:r>
      <w:r>
        <w:rPr>
          <w:rFonts w:ascii="宋体" w:hAnsi="宋体" w:eastAsia="宋体" w:cs="Arial"/>
          <w:color w:val="auto"/>
          <w:sz w:val="24"/>
          <w:highlight w:val="none"/>
        </w:rPr>
        <w:t>文件实质性响应要求的</w:t>
      </w:r>
      <w:r>
        <w:rPr>
          <w:rFonts w:hint="eastAsia" w:ascii="宋体" w:hAnsi="宋体" w:eastAsia="宋体" w:cs="Arial"/>
          <w:color w:val="auto"/>
          <w:sz w:val="24"/>
          <w:highlight w:val="none"/>
        </w:rPr>
        <w:t>供应商</w:t>
      </w:r>
      <w:r>
        <w:rPr>
          <w:rFonts w:ascii="宋体" w:hAnsi="宋体" w:eastAsia="宋体" w:cs="Arial"/>
          <w:color w:val="auto"/>
          <w:sz w:val="24"/>
          <w:highlight w:val="none"/>
        </w:rPr>
        <w:t>中，按照</w:t>
      </w:r>
      <w:r>
        <w:rPr>
          <w:rFonts w:hint="eastAsia" w:ascii="宋体" w:hAnsi="宋体" w:eastAsia="宋体" w:cs="Arial"/>
          <w:color w:val="auto"/>
          <w:sz w:val="24"/>
          <w:highlight w:val="none"/>
        </w:rPr>
        <w:t>最后评标价</w:t>
      </w:r>
      <w:r>
        <w:rPr>
          <w:rFonts w:ascii="宋体" w:hAnsi="宋体" w:eastAsia="宋体" w:cs="Arial"/>
          <w:color w:val="auto"/>
          <w:sz w:val="24"/>
          <w:highlight w:val="none"/>
        </w:rPr>
        <w:t>由低到高的顺序提出3名以上成交候选人</w:t>
      </w:r>
      <w:r>
        <w:rPr>
          <w:rFonts w:hint="eastAsia" w:ascii="宋体" w:hAnsi="宋体" w:eastAsia="宋体" w:cs="Arial"/>
          <w:color w:val="auto"/>
          <w:sz w:val="24"/>
          <w:highlight w:val="none"/>
        </w:rPr>
        <w:t>（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w:t>
      </w:r>
      <w:r>
        <w:rPr>
          <w:rFonts w:ascii="宋体" w:hAnsi="宋体" w:eastAsia="宋体" w:cs="Arial"/>
          <w:color w:val="auto"/>
          <w:sz w:val="24"/>
          <w:highlight w:val="none"/>
        </w:rPr>
        <w:t>4</w:t>
      </w:r>
      <w:r>
        <w:rPr>
          <w:rFonts w:hint="eastAsia" w:ascii="宋体" w:hAnsi="宋体" w:eastAsia="宋体" w:cs="Arial"/>
          <w:color w:val="auto"/>
          <w:sz w:val="24"/>
          <w:highlight w:val="none"/>
        </w:rPr>
        <w:t>）成交价格=成交供应商的最后报价。</w:t>
      </w:r>
    </w:p>
    <w:p>
      <w:pPr>
        <w:spacing w:after="0" w:line="3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）谈判小组完成评标后，向采购人提交书面评审报告。</w:t>
      </w:r>
    </w:p>
    <w:p>
      <w:pPr>
        <w:spacing w:after="0" w:line="380" w:lineRule="exact"/>
        <w:ind w:firstLine="482" w:firstLineChars="200"/>
        <w:outlineLvl w:val="1"/>
        <w:rPr>
          <w:rFonts w:ascii="宋体" w:hAnsi="宋体" w:eastAsia="宋体" w:cs="Arial"/>
          <w:b/>
          <w:bCs/>
          <w:color w:val="auto"/>
          <w:sz w:val="24"/>
          <w:highlight w:val="none"/>
        </w:rPr>
      </w:pPr>
      <w:bookmarkStart w:id="86" w:name="_Toc23866"/>
      <w:r>
        <w:rPr>
          <w:rFonts w:hint="eastAsia" w:ascii="宋体" w:hAnsi="宋体" w:eastAsia="宋体" w:cs="Arial"/>
          <w:b/>
          <w:bCs/>
          <w:color w:val="auto"/>
          <w:sz w:val="24"/>
          <w:highlight w:val="none"/>
        </w:rPr>
        <w:t>三、确定成交供应商</w:t>
      </w:r>
      <w:bookmarkEnd w:id="86"/>
    </w:p>
    <w:p>
      <w:pPr>
        <w:pStyle w:val="20"/>
        <w:tabs>
          <w:tab w:val="left" w:pos="4214"/>
        </w:tabs>
        <w:spacing w:line="380" w:lineRule="exact"/>
        <w:ind w:firstLine="480" w:firstLineChars="200"/>
        <w:rPr>
          <w:rFonts w:hAnsi="宋体"/>
          <w:color w:val="auto"/>
          <w:sz w:val="24"/>
          <w:szCs w:val="24"/>
          <w:highlight w:val="none"/>
        </w:rPr>
      </w:pPr>
      <w:r>
        <w:rPr>
          <w:rFonts w:hint="eastAsia" w:hAnsi="宋体"/>
          <w:color w:val="auto"/>
          <w:sz w:val="24"/>
          <w:szCs w:val="24"/>
          <w:highlight w:val="none"/>
        </w:rPr>
        <w:t>1、采购人应当确定谈判小组推荐排名第一的供应商为成交供应商。</w:t>
      </w:r>
    </w:p>
    <w:p>
      <w:pPr>
        <w:pStyle w:val="20"/>
        <w:spacing w:line="380" w:lineRule="exact"/>
        <w:ind w:firstLine="480" w:firstLineChars="200"/>
        <w:rPr>
          <w:rFonts w:hAnsi="宋体"/>
          <w:color w:val="auto"/>
          <w:sz w:val="24"/>
          <w:szCs w:val="24"/>
          <w:highlight w:val="none"/>
        </w:rPr>
      </w:pPr>
      <w:r>
        <w:rPr>
          <w:rFonts w:hint="eastAsia" w:hAnsi="宋体"/>
          <w:color w:val="auto"/>
          <w:sz w:val="24"/>
          <w:szCs w:val="24"/>
          <w:highlight w:val="none"/>
        </w:rPr>
        <w:t>2、</w:t>
      </w:r>
      <w:bookmarkStart w:id="87" w:name="_Toc430011367"/>
      <w:r>
        <w:rPr>
          <w:rFonts w:hint="eastAsia" w:hAnsi="宋体"/>
          <w:color w:val="auto"/>
          <w:sz w:val="24"/>
          <w:szCs w:val="24"/>
          <w:highlight w:val="none"/>
        </w:rPr>
        <w:t>如排名第一的成交候选人拒绝与采购人签订合同的，采购人按“供应商须知”第31.3款处理。</w:t>
      </w:r>
    </w:p>
    <w:bookmarkEnd w:id="87"/>
    <w:p>
      <w:pPr>
        <w:rPr>
          <w:rFonts w:ascii="宋体" w:hAnsi="宋体" w:eastAsia="宋体"/>
          <w:color w:val="auto"/>
          <w:highlight w:val="none"/>
        </w:rPr>
        <w:sectPr>
          <w:pgSz w:w="11907" w:h="16840"/>
          <w:pgMar w:top="1077" w:right="1275" w:bottom="1418" w:left="1077" w:header="624" w:footer="737" w:gutter="0"/>
          <w:cols w:space="720" w:num="1"/>
          <w:docGrid w:linePitch="312" w:charSpace="0"/>
        </w:sectPr>
      </w:pPr>
      <w:bookmarkStart w:id="88" w:name="_Toc246095463"/>
      <w:bookmarkStart w:id="89" w:name="_Toc246094919"/>
      <w:bookmarkStart w:id="90" w:name="_Toc246095525"/>
    </w:p>
    <w:p>
      <w:pPr>
        <w:pStyle w:val="3"/>
        <w:spacing w:beforeLines="100" w:afterLines="100" w:line="580" w:lineRule="exact"/>
        <w:rPr>
          <w:rFonts w:ascii="宋体" w:hAnsi="宋体" w:eastAsia="宋体"/>
          <w:b/>
          <w:bCs/>
          <w:color w:val="auto"/>
          <w:highlight w:val="none"/>
        </w:rPr>
      </w:pPr>
      <w:bookmarkStart w:id="91" w:name="_Toc15224"/>
      <w:r>
        <w:rPr>
          <w:rFonts w:hint="eastAsia" w:ascii="宋体" w:hAnsi="宋体" w:eastAsia="宋体"/>
          <w:b/>
          <w:bCs/>
          <w:color w:val="auto"/>
          <w:highlight w:val="none"/>
        </w:rPr>
        <w:t>第五章  合同条款</w:t>
      </w:r>
      <w:bookmarkEnd w:id="88"/>
      <w:bookmarkEnd w:id="89"/>
      <w:bookmarkEnd w:id="90"/>
      <w:bookmarkEnd w:id="91"/>
    </w:p>
    <w:p>
      <w:pPr>
        <w:spacing w:line="500" w:lineRule="exac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《广西壮族自治区政府采购合同》</w:t>
      </w:r>
    </w:p>
    <w:p>
      <w:pPr>
        <w:spacing w:line="500" w:lineRule="exact"/>
        <w:jc w:val="center"/>
        <w:rPr>
          <w:rFonts w:ascii="宋体" w:hAnsi="宋体" w:eastAsia="宋体"/>
          <w:bCs/>
          <w:color w:val="auto"/>
          <w:sz w:val="24"/>
          <w:highlight w:val="none"/>
          <w:u w:val="single"/>
        </w:rPr>
      </w:pPr>
      <w:r>
        <w:rPr>
          <w:rFonts w:hint="eastAsia" w:ascii="宋体" w:hAnsi="宋体" w:eastAsia="宋体"/>
          <w:bCs/>
          <w:color w:val="auto"/>
          <w:sz w:val="24"/>
          <w:highlight w:val="none"/>
        </w:rPr>
        <w:t>合同编号：</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采购人（甲方）  采 购 计 划 号</w:t>
      </w:r>
    </w:p>
    <w:p>
      <w:pPr>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供 应 商（乙方）</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项目名称：</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采购编号：</w:t>
      </w:r>
    </w:p>
    <w:p>
      <w:pPr>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签订地点：</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签订时间：</w:t>
      </w:r>
    </w:p>
    <w:p>
      <w:pPr>
        <w:spacing w:line="500" w:lineRule="exact"/>
        <w:rPr>
          <w:rFonts w:ascii="宋体" w:hAnsi="宋体" w:eastAsia="宋体"/>
          <w:color w:val="auto"/>
          <w:sz w:val="24"/>
          <w:highlight w:val="none"/>
          <w:u w:val="single"/>
        </w:rPr>
      </w:pP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根据《中华人民共和国政府采购法》、《中华人民共和国合同法》等法律、法规规定，按照采购文件的规定条款和中标（成交）供应商的响应文件及其承诺，甲乙双方签订本合同。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第一条　合同标的</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1、供货一览表</w:t>
      </w:r>
    </w:p>
    <w:tbl>
      <w:tblPr>
        <w:tblStyle w:val="38"/>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33"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货物名称</w:t>
            </w:r>
          </w:p>
        </w:tc>
        <w:tc>
          <w:tcPr>
            <w:tcW w:w="1059"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商标品牌</w:t>
            </w:r>
          </w:p>
        </w:tc>
        <w:tc>
          <w:tcPr>
            <w:tcW w:w="1233"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规格型号、参数</w:t>
            </w:r>
          </w:p>
        </w:tc>
        <w:tc>
          <w:tcPr>
            <w:tcW w:w="1210"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生产厂家</w:t>
            </w:r>
          </w:p>
        </w:tc>
        <w:tc>
          <w:tcPr>
            <w:tcW w:w="908"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数量</w:t>
            </w:r>
          </w:p>
        </w:tc>
        <w:tc>
          <w:tcPr>
            <w:tcW w:w="668"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单位</w:t>
            </w:r>
          </w:p>
        </w:tc>
        <w:tc>
          <w:tcPr>
            <w:tcW w:w="947"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单价</w:t>
            </w:r>
          </w:p>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（元）</w:t>
            </w:r>
          </w:p>
        </w:tc>
        <w:tc>
          <w:tcPr>
            <w:tcW w:w="1573"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金额</w:t>
            </w:r>
          </w:p>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233" w:type="dxa"/>
            <w:vAlign w:val="center"/>
          </w:tcPr>
          <w:p>
            <w:pPr>
              <w:spacing w:line="500" w:lineRule="exact"/>
              <w:rPr>
                <w:rFonts w:ascii="宋体" w:hAnsi="宋体" w:eastAsia="宋体"/>
                <w:color w:val="auto"/>
                <w:sz w:val="24"/>
                <w:highlight w:val="none"/>
              </w:rPr>
            </w:pPr>
          </w:p>
        </w:tc>
        <w:tc>
          <w:tcPr>
            <w:tcW w:w="1059" w:type="dxa"/>
            <w:vAlign w:val="center"/>
          </w:tcPr>
          <w:p>
            <w:pPr>
              <w:spacing w:line="500" w:lineRule="exact"/>
              <w:rPr>
                <w:rFonts w:ascii="宋体" w:hAnsi="宋体" w:eastAsia="宋体"/>
                <w:color w:val="auto"/>
                <w:sz w:val="24"/>
                <w:highlight w:val="none"/>
              </w:rPr>
            </w:pPr>
          </w:p>
        </w:tc>
        <w:tc>
          <w:tcPr>
            <w:tcW w:w="1233" w:type="dxa"/>
            <w:vAlign w:val="center"/>
          </w:tcPr>
          <w:p>
            <w:pPr>
              <w:spacing w:line="500" w:lineRule="exact"/>
              <w:rPr>
                <w:rFonts w:ascii="宋体" w:hAnsi="宋体" w:eastAsia="宋体"/>
                <w:color w:val="auto"/>
                <w:sz w:val="24"/>
                <w:highlight w:val="none"/>
              </w:rPr>
            </w:pPr>
          </w:p>
        </w:tc>
        <w:tc>
          <w:tcPr>
            <w:tcW w:w="1210" w:type="dxa"/>
          </w:tcPr>
          <w:p>
            <w:pPr>
              <w:spacing w:line="500" w:lineRule="exact"/>
              <w:rPr>
                <w:rFonts w:ascii="宋体" w:hAnsi="宋体" w:eastAsia="宋体"/>
                <w:color w:val="auto"/>
                <w:sz w:val="24"/>
                <w:highlight w:val="none"/>
              </w:rPr>
            </w:pPr>
          </w:p>
        </w:tc>
        <w:tc>
          <w:tcPr>
            <w:tcW w:w="908" w:type="dxa"/>
          </w:tcPr>
          <w:p>
            <w:pPr>
              <w:spacing w:line="500" w:lineRule="exact"/>
              <w:rPr>
                <w:rFonts w:ascii="宋体" w:hAnsi="宋体" w:eastAsia="宋体"/>
                <w:color w:val="auto"/>
                <w:sz w:val="24"/>
                <w:highlight w:val="none"/>
              </w:rPr>
            </w:pPr>
          </w:p>
        </w:tc>
        <w:tc>
          <w:tcPr>
            <w:tcW w:w="668" w:type="dxa"/>
          </w:tcPr>
          <w:p>
            <w:pPr>
              <w:spacing w:line="500" w:lineRule="exact"/>
              <w:rPr>
                <w:rFonts w:ascii="宋体" w:hAnsi="宋体" w:eastAsia="宋体"/>
                <w:color w:val="auto"/>
                <w:sz w:val="24"/>
                <w:highlight w:val="none"/>
              </w:rPr>
            </w:pPr>
          </w:p>
        </w:tc>
        <w:tc>
          <w:tcPr>
            <w:tcW w:w="947" w:type="dxa"/>
            <w:vAlign w:val="center"/>
          </w:tcPr>
          <w:p>
            <w:pPr>
              <w:spacing w:line="500" w:lineRule="exact"/>
              <w:rPr>
                <w:rFonts w:ascii="宋体" w:hAnsi="宋体" w:eastAsia="宋体"/>
                <w:color w:val="auto"/>
                <w:sz w:val="24"/>
                <w:highlight w:val="none"/>
              </w:rPr>
            </w:pPr>
          </w:p>
        </w:tc>
        <w:tc>
          <w:tcPr>
            <w:tcW w:w="1573" w:type="dxa"/>
            <w:vAlign w:val="center"/>
          </w:tcPr>
          <w:p>
            <w:pPr>
              <w:spacing w:line="50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233" w:type="dxa"/>
            <w:vAlign w:val="center"/>
          </w:tcPr>
          <w:p>
            <w:pPr>
              <w:spacing w:line="500" w:lineRule="exact"/>
              <w:rPr>
                <w:rFonts w:ascii="宋体" w:hAnsi="宋体" w:eastAsia="宋体"/>
                <w:color w:val="auto"/>
                <w:sz w:val="24"/>
                <w:highlight w:val="none"/>
              </w:rPr>
            </w:pPr>
          </w:p>
        </w:tc>
        <w:tc>
          <w:tcPr>
            <w:tcW w:w="1059" w:type="dxa"/>
            <w:vAlign w:val="center"/>
          </w:tcPr>
          <w:p>
            <w:pPr>
              <w:spacing w:line="500" w:lineRule="exact"/>
              <w:rPr>
                <w:rFonts w:ascii="宋体" w:hAnsi="宋体" w:eastAsia="宋体"/>
                <w:color w:val="auto"/>
                <w:sz w:val="24"/>
                <w:highlight w:val="none"/>
              </w:rPr>
            </w:pPr>
          </w:p>
        </w:tc>
        <w:tc>
          <w:tcPr>
            <w:tcW w:w="1233" w:type="dxa"/>
            <w:vAlign w:val="center"/>
          </w:tcPr>
          <w:p>
            <w:pPr>
              <w:spacing w:line="500" w:lineRule="exact"/>
              <w:rPr>
                <w:rFonts w:ascii="宋体" w:hAnsi="宋体" w:eastAsia="宋体"/>
                <w:color w:val="auto"/>
                <w:sz w:val="24"/>
                <w:highlight w:val="none"/>
              </w:rPr>
            </w:pPr>
          </w:p>
        </w:tc>
        <w:tc>
          <w:tcPr>
            <w:tcW w:w="1210" w:type="dxa"/>
          </w:tcPr>
          <w:p>
            <w:pPr>
              <w:spacing w:line="500" w:lineRule="exact"/>
              <w:rPr>
                <w:rFonts w:ascii="宋体" w:hAnsi="宋体" w:eastAsia="宋体"/>
                <w:color w:val="auto"/>
                <w:sz w:val="24"/>
                <w:highlight w:val="none"/>
              </w:rPr>
            </w:pPr>
          </w:p>
        </w:tc>
        <w:tc>
          <w:tcPr>
            <w:tcW w:w="908" w:type="dxa"/>
          </w:tcPr>
          <w:p>
            <w:pPr>
              <w:spacing w:line="500" w:lineRule="exact"/>
              <w:rPr>
                <w:rFonts w:ascii="宋体" w:hAnsi="宋体" w:eastAsia="宋体"/>
                <w:color w:val="auto"/>
                <w:sz w:val="24"/>
                <w:highlight w:val="none"/>
              </w:rPr>
            </w:pPr>
          </w:p>
        </w:tc>
        <w:tc>
          <w:tcPr>
            <w:tcW w:w="668" w:type="dxa"/>
          </w:tcPr>
          <w:p>
            <w:pPr>
              <w:spacing w:line="500" w:lineRule="exact"/>
              <w:rPr>
                <w:rFonts w:ascii="宋体" w:hAnsi="宋体" w:eastAsia="宋体"/>
                <w:color w:val="auto"/>
                <w:sz w:val="24"/>
                <w:highlight w:val="none"/>
              </w:rPr>
            </w:pPr>
          </w:p>
        </w:tc>
        <w:tc>
          <w:tcPr>
            <w:tcW w:w="947" w:type="dxa"/>
            <w:vAlign w:val="center"/>
          </w:tcPr>
          <w:p>
            <w:pPr>
              <w:spacing w:line="500" w:lineRule="exact"/>
              <w:rPr>
                <w:rFonts w:ascii="宋体" w:hAnsi="宋体" w:eastAsia="宋体"/>
                <w:color w:val="auto"/>
                <w:sz w:val="24"/>
                <w:highlight w:val="none"/>
              </w:rPr>
            </w:pPr>
          </w:p>
        </w:tc>
        <w:tc>
          <w:tcPr>
            <w:tcW w:w="1573" w:type="dxa"/>
            <w:vAlign w:val="center"/>
          </w:tcPr>
          <w:p>
            <w:pPr>
              <w:spacing w:line="50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233" w:type="dxa"/>
            <w:vAlign w:val="center"/>
          </w:tcPr>
          <w:p>
            <w:pPr>
              <w:spacing w:line="500" w:lineRule="exact"/>
              <w:rPr>
                <w:rFonts w:ascii="宋体" w:hAnsi="宋体" w:eastAsia="宋体"/>
                <w:color w:val="auto"/>
                <w:sz w:val="24"/>
                <w:highlight w:val="none"/>
              </w:rPr>
            </w:pPr>
          </w:p>
        </w:tc>
        <w:tc>
          <w:tcPr>
            <w:tcW w:w="1059" w:type="dxa"/>
            <w:vAlign w:val="center"/>
          </w:tcPr>
          <w:p>
            <w:pPr>
              <w:spacing w:line="500" w:lineRule="exact"/>
              <w:rPr>
                <w:rFonts w:ascii="宋体" w:hAnsi="宋体" w:eastAsia="宋体"/>
                <w:color w:val="auto"/>
                <w:sz w:val="24"/>
                <w:highlight w:val="none"/>
              </w:rPr>
            </w:pPr>
          </w:p>
        </w:tc>
        <w:tc>
          <w:tcPr>
            <w:tcW w:w="1233" w:type="dxa"/>
            <w:vAlign w:val="center"/>
          </w:tcPr>
          <w:p>
            <w:pPr>
              <w:spacing w:line="500" w:lineRule="exact"/>
              <w:rPr>
                <w:rFonts w:ascii="宋体" w:hAnsi="宋体" w:eastAsia="宋体"/>
                <w:color w:val="auto"/>
                <w:sz w:val="24"/>
                <w:highlight w:val="none"/>
              </w:rPr>
            </w:pPr>
          </w:p>
        </w:tc>
        <w:tc>
          <w:tcPr>
            <w:tcW w:w="1210" w:type="dxa"/>
          </w:tcPr>
          <w:p>
            <w:pPr>
              <w:spacing w:line="500" w:lineRule="exact"/>
              <w:rPr>
                <w:rFonts w:ascii="宋体" w:hAnsi="宋体" w:eastAsia="宋体"/>
                <w:color w:val="auto"/>
                <w:sz w:val="24"/>
                <w:highlight w:val="none"/>
              </w:rPr>
            </w:pPr>
          </w:p>
        </w:tc>
        <w:tc>
          <w:tcPr>
            <w:tcW w:w="908" w:type="dxa"/>
          </w:tcPr>
          <w:p>
            <w:pPr>
              <w:spacing w:line="500" w:lineRule="exact"/>
              <w:rPr>
                <w:rFonts w:ascii="宋体" w:hAnsi="宋体" w:eastAsia="宋体"/>
                <w:color w:val="auto"/>
                <w:sz w:val="24"/>
                <w:highlight w:val="none"/>
              </w:rPr>
            </w:pPr>
          </w:p>
        </w:tc>
        <w:tc>
          <w:tcPr>
            <w:tcW w:w="668" w:type="dxa"/>
          </w:tcPr>
          <w:p>
            <w:pPr>
              <w:spacing w:line="500" w:lineRule="exact"/>
              <w:rPr>
                <w:rFonts w:ascii="宋体" w:hAnsi="宋体" w:eastAsia="宋体"/>
                <w:color w:val="auto"/>
                <w:sz w:val="24"/>
                <w:highlight w:val="none"/>
              </w:rPr>
            </w:pPr>
          </w:p>
        </w:tc>
        <w:tc>
          <w:tcPr>
            <w:tcW w:w="947" w:type="dxa"/>
            <w:vAlign w:val="center"/>
          </w:tcPr>
          <w:p>
            <w:pPr>
              <w:spacing w:line="500" w:lineRule="exact"/>
              <w:rPr>
                <w:rFonts w:ascii="宋体" w:hAnsi="宋体" w:eastAsia="宋体"/>
                <w:color w:val="auto"/>
                <w:sz w:val="24"/>
                <w:highlight w:val="none"/>
              </w:rPr>
            </w:pPr>
          </w:p>
        </w:tc>
        <w:tc>
          <w:tcPr>
            <w:tcW w:w="1573" w:type="dxa"/>
            <w:vAlign w:val="center"/>
          </w:tcPr>
          <w:p>
            <w:pPr>
              <w:spacing w:line="50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人民币合计金额：</w:t>
            </w:r>
          </w:p>
        </w:tc>
      </w:tr>
    </w:tbl>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2、合同合计金额包括</w:t>
      </w:r>
      <w:r>
        <w:rPr>
          <w:rFonts w:hint="eastAsia" w:ascii="宋体" w:hAnsi="宋体" w:eastAsia="宋体"/>
          <w:color w:val="auto"/>
          <w:highlight w:val="none"/>
        </w:rPr>
        <w:t>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w:t>
      </w:r>
      <w:r>
        <w:rPr>
          <w:rFonts w:hint="eastAsia" w:ascii="宋体" w:hAnsi="宋体" w:eastAsia="宋体"/>
          <w:color w:val="auto"/>
          <w:sz w:val="24"/>
          <w:highlight w:val="none"/>
        </w:rPr>
        <w:t>。如采购文件对其另有规定的，从其规定。</w:t>
      </w:r>
    </w:p>
    <w:p>
      <w:pPr>
        <w:spacing w:after="0" w:line="400" w:lineRule="exact"/>
        <w:ind w:firstLine="482" w:firstLineChars="200"/>
        <w:jc w:val="both"/>
        <w:rPr>
          <w:rFonts w:ascii="宋体" w:hAnsi="宋体" w:eastAsia="宋体"/>
          <w:b/>
          <w:color w:val="auto"/>
          <w:sz w:val="24"/>
          <w:highlight w:val="none"/>
        </w:rPr>
      </w:pPr>
      <w:r>
        <w:rPr>
          <w:rFonts w:hint="eastAsia" w:ascii="宋体" w:hAnsi="宋体" w:eastAsia="宋体"/>
          <w:b/>
          <w:color w:val="auto"/>
          <w:sz w:val="24"/>
          <w:highlight w:val="none"/>
        </w:rPr>
        <w:t>第二条　权利保证</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1、乙方应保证所提供货物在使用时不会侵犯任何第三方的专利权、商标权、工业设计权或其他权利。</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、乙方应按采购文件规定的时间向甲方提供使用货物的有关技术资料。</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0" w:line="400" w:lineRule="exact"/>
        <w:ind w:firstLine="480" w:firstLineChars="200"/>
        <w:jc w:val="both"/>
        <w:rPr>
          <w:rFonts w:ascii="宋体" w:hAnsi="宋体" w:eastAsia="宋体"/>
          <w:color w:val="auto"/>
          <w:sz w:val="24"/>
          <w:highlight w:val="none"/>
          <w:u w:val="single"/>
        </w:rPr>
      </w:pPr>
      <w:r>
        <w:rPr>
          <w:rFonts w:hint="eastAsia" w:ascii="宋体" w:hAnsi="宋体" w:eastAsia="宋体"/>
          <w:color w:val="auto"/>
          <w:sz w:val="24"/>
          <w:highlight w:val="none"/>
        </w:rPr>
        <w:t>4、乙方保证所交付的货物的所有权完全属于乙方且无任何抵押、质押、查封等产权瑕疵。</w:t>
      </w:r>
    </w:p>
    <w:p>
      <w:pPr>
        <w:spacing w:after="0" w:line="400" w:lineRule="exact"/>
        <w:ind w:firstLine="482" w:firstLineChars="200"/>
        <w:jc w:val="both"/>
        <w:rPr>
          <w:rFonts w:ascii="宋体" w:hAnsi="宋体" w:eastAsia="宋体"/>
          <w:b/>
          <w:color w:val="auto"/>
          <w:sz w:val="24"/>
          <w:highlight w:val="none"/>
        </w:rPr>
      </w:pPr>
      <w:r>
        <w:rPr>
          <w:rFonts w:hint="eastAsia" w:ascii="宋体" w:hAnsi="宋体" w:eastAsia="宋体"/>
          <w:b/>
          <w:color w:val="auto"/>
          <w:sz w:val="24"/>
          <w:highlight w:val="none"/>
        </w:rPr>
        <w:t>第三条　包装和运输</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1.乙方提供的货物均应按采购文件要求及响应文件承诺的包装材料、包装标准、包装方式进行包装，每一包装单元内应附详细的装箱单和质量合格证。</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.乙方应在货物发运前对其进行满足运输距离、防潮、防震、防锈和防破损装卸等要求包装，以保证货物安全运达甲方指定地点。</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.使用说明书、质量检验证明书、随配附件和工具以及清单一并附于货物内。</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.乙方在货物发运手续办理完毕后二十四小时内或货到甲方四十八小时前通知甲方，以准备接货。</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olor w:val="auto"/>
          <w:sz w:val="24"/>
          <w:highlight w:val="none"/>
        </w:rPr>
        <w:t>.货物的运输方式：</w:t>
      </w:r>
      <w:r>
        <w:rPr>
          <w:rFonts w:hint="eastAsia" w:ascii="宋体" w:hAnsi="宋体" w:eastAsia="宋体"/>
          <w:color w:val="auto"/>
          <w:sz w:val="24"/>
          <w:highlight w:val="none"/>
          <w:u w:val="single"/>
        </w:rPr>
        <w:t xml:space="preserve"> 不限 。</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6</w:t>
      </w:r>
      <w:r>
        <w:rPr>
          <w:rFonts w:hint="eastAsia" w:ascii="宋体" w:hAnsi="宋体" w:eastAsia="宋体"/>
          <w:color w:val="auto"/>
          <w:sz w:val="24"/>
          <w:highlight w:val="none"/>
        </w:rPr>
        <w:t>.货物在规定的交付期限内由乙方送达甲方指定的地点视为交付，乙方同时需通知甲方货物已送达。</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7</w:t>
      </w:r>
      <w:r>
        <w:rPr>
          <w:rFonts w:hint="eastAsia" w:ascii="宋体" w:hAnsi="宋体" w:eastAsia="宋体"/>
          <w:color w:val="auto"/>
          <w:sz w:val="24"/>
          <w:highlight w:val="none"/>
        </w:rPr>
        <w:t>.乙方负责货物运输，货物运输合理损耗及计算方法：</w:t>
      </w:r>
      <w:r>
        <w:rPr>
          <w:rFonts w:hint="eastAsia" w:ascii="宋体" w:hAnsi="宋体" w:eastAsia="宋体"/>
          <w:color w:val="auto"/>
          <w:sz w:val="24"/>
          <w:highlight w:val="none"/>
          <w:u w:val="single"/>
        </w:rPr>
        <w:t xml:space="preserve"> 本合同交付货物不接受损耗，由乙方自行为其货物运输办理相关保险 。</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8</w:t>
      </w:r>
      <w:r>
        <w:rPr>
          <w:rFonts w:hint="eastAsia" w:ascii="宋体" w:hAnsi="宋体" w:eastAsia="宋体"/>
          <w:color w:val="auto"/>
          <w:sz w:val="24"/>
          <w:highlight w:val="none"/>
        </w:rPr>
        <w:t>.货物在交付甲方前发生的风险均由乙方负责。</w:t>
      </w:r>
    </w:p>
    <w:p>
      <w:pPr>
        <w:spacing w:after="0" w:line="400" w:lineRule="exact"/>
        <w:ind w:firstLine="482" w:firstLineChars="200"/>
        <w:jc w:val="both"/>
        <w:rPr>
          <w:rFonts w:ascii="宋体" w:hAnsi="宋体" w:eastAsia="宋体"/>
          <w:b/>
          <w:color w:val="auto"/>
          <w:sz w:val="24"/>
          <w:highlight w:val="none"/>
        </w:rPr>
      </w:pPr>
      <w:r>
        <w:rPr>
          <w:rFonts w:hint="eastAsia" w:ascii="宋体" w:hAnsi="宋体" w:eastAsia="宋体"/>
          <w:b/>
          <w:color w:val="auto"/>
          <w:sz w:val="24"/>
          <w:highlight w:val="none"/>
        </w:rPr>
        <w:t>第四条　交付和交付验收</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1、交货时间：</w:t>
      </w:r>
      <w:r>
        <w:rPr>
          <w:rFonts w:hint="eastAsia" w:ascii="宋体" w:hAnsi="宋体" w:eastAsia="宋体"/>
          <w:color w:val="auto"/>
          <w:sz w:val="24"/>
          <w:highlight w:val="none"/>
          <w:u w:val="single"/>
        </w:rPr>
        <w:t>按乙方响应文件中承诺的不超过招标要求的时间 。</w:t>
      </w:r>
      <w:r>
        <w:rPr>
          <w:rFonts w:hint="eastAsia" w:ascii="宋体" w:hAnsi="宋体" w:eastAsia="宋体"/>
          <w:color w:val="auto"/>
          <w:sz w:val="24"/>
          <w:highlight w:val="none"/>
        </w:rPr>
        <w:t>地点：</w:t>
      </w:r>
      <w:r>
        <w:rPr>
          <w:rFonts w:hint="eastAsia" w:ascii="宋体" w:hAnsi="宋体" w:eastAsia="宋体"/>
          <w:color w:val="auto"/>
          <w:sz w:val="24"/>
          <w:highlight w:val="none"/>
          <w:u w:val="single"/>
        </w:rPr>
        <w:t xml:space="preserve">采购人指定地点 </w:t>
      </w:r>
      <w:r>
        <w:rPr>
          <w:rFonts w:hint="eastAsia" w:ascii="宋体" w:hAnsi="宋体" w:eastAsia="宋体"/>
          <w:color w:val="auto"/>
          <w:sz w:val="24"/>
          <w:highlight w:val="none"/>
        </w:rPr>
        <w:t>。</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2、甲方对乙方提交的货物依据采购文件和乙方响应文件中承诺的技术规格要求和国家有关质量标准进行现场初步验收，外观、说明书符合采购文件技术要求的，给予签收，初步验收不合格的不予签收。</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3、乙方交货前应对产品作出全面检查和对验收文件进行整理，并列出清单（如装箱清单、用户手册、原厂保修卡、随机资料、工具和备品、备件等），作为甲方收货验收和使用的技术条件依据，检验的结果应随货物交甲方。货物属于进口产品的，供货时应同时附上中文使用说明书，如有缺失应及时补齐，否则视为逾期交货。</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4、甲方应当在到货后七个工作日内进行验收，逾期不验收的，乙方可视同验收合格。验收合格后由甲乙双方签署货物验收单并加盖采购人公章，甲乙双方各执一份。</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6、因产品或施工质量问题发生争议的，应邀请国家认可的质量检测机构对进行鉴定。符合标准的，鉴定费由甲方承担；不符合标准的，鉴定费由乙方承担。</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7</w:t>
      </w:r>
      <w:r>
        <w:rPr>
          <w:rFonts w:hint="eastAsia" w:ascii="宋体" w:hAnsi="宋体" w:eastAsia="宋体"/>
          <w:color w:val="auto"/>
          <w:sz w:val="24"/>
          <w:highlight w:val="none"/>
        </w:rPr>
        <w:t>、甲方对验收有异议的，在验收后五个工作日内以书面形式向乙方提出，乙方应自收到甲方书面异议后</w:t>
      </w:r>
      <w:r>
        <w:rPr>
          <w:rFonts w:hint="eastAsia" w:ascii="宋体" w:hAnsi="宋体" w:eastAsia="宋体"/>
          <w:color w:val="auto"/>
          <w:sz w:val="24"/>
          <w:highlight w:val="none"/>
          <w:u w:val="single"/>
        </w:rPr>
        <w:t xml:space="preserve"> 五 </w:t>
      </w:r>
      <w:r>
        <w:rPr>
          <w:rFonts w:hint="eastAsia" w:ascii="宋体" w:hAnsi="宋体" w:eastAsia="宋体"/>
          <w:color w:val="auto"/>
          <w:sz w:val="24"/>
          <w:highlight w:val="none"/>
        </w:rPr>
        <w:t>日内及时予以解决。</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第五条　安装和培训</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甲方应提供必要安装条件（如场地、电源、水源等）。</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乙方负责甲方有关人员的培训。培训时间、地点：</w:t>
      </w:r>
      <w:r>
        <w:rPr>
          <w:rFonts w:hint="eastAsia" w:ascii="宋体" w:hAnsi="宋体" w:eastAsia="宋体"/>
          <w:color w:val="auto"/>
          <w:sz w:val="24"/>
          <w:highlight w:val="none"/>
          <w:u w:val="single"/>
        </w:rPr>
        <w:t xml:space="preserve">  按乙方响应文件承诺  </w:t>
      </w:r>
      <w:r>
        <w:rPr>
          <w:rFonts w:hint="eastAsia" w:ascii="宋体" w:hAnsi="宋体" w:eastAsia="宋体"/>
          <w:color w:val="auto"/>
          <w:sz w:val="24"/>
          <w:highlight w:val="none"/>
        </w:rPr>
        <w:t>。</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其他按乙方响应文件承诺执行。</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第六条　付款方式、保证金</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1. </w:t>
      </w:r>
      <w:r>
        <w:rPr>
          <w:rFonts w:hint="eastAsia" w:ascii="宋体" w:hAnsi="宋体" w:eastAsia="宋体"/>
          <w:color w:val="auto"/>
          <w:sz w:val="24"/>
          <w:highlight w:val="none"/>
        </w:rPr>
        <w:t>当采购数量与实际使用数量不一致时，乙方应根据实际使用量供货，合同的最终结算金额按实际使用量乘以成交单价进行计算。</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资金性质：</w:t>
      </w:r>
      <w:r>
        <w:rPr>
          <w:rFonts w:hint="eastAsia" w:ascii="宋体" w:hAnsi="宋体" w:eastAsia="宋体"/>
          <w:color w:val="auto"/>
          <w:sz w:val="24"/>
          <w:highlight w:val="none"/>
          <w:u w:val="single"/>
        </w:rPr>
        <w:t xml:space="preserve">财政资金  </w:t>
      </w:r>
      <w:r>
        <w:rPr>
          <w:rFonts w:hint="eastAsia" w:ascii="宋体" w:hAnsi="宋体" w:eastAsia="宋体"/>
          <w:color w:val="auto"/>
          <w:sz w:val="24"/>
          <w:highlight w:val="none"/>
        </w:rPr>
        <w:t>。</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付款方式：</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项目无预付款。供应商在规定的交货期内将全部货物运到业主指定地点，验收并安装调试、培训合格后，供应商将该批设备的增值税发票、清单、质量检验合格证明、货运提单等材料提供给采购人，采购方验明无误后，向成交供应商支付剩余合同价的95%。剩余的合同总金额5%的货款作为质保金满一年后支付（自验收合格之日起算，一年后无质量问题无息退还）。</w:t>
      </w:r>
    </w:p>
    <w:p>
      <w:pPr>
        <w:spacing w:after="0" w:line="440" w:lineRule="exact"/>
        <w:ind w:firstLine="480" w:firstLineChars="200"/>
        <w:rPr>
          <w:rFonts w:hint="eastAsia" w:ascii="宋体" w:hAnsi="宋体" w:eastAsia="宋体"/>
          <w:bCs/>
          <w:color w:val="auto"/>
          <w:sz w:val="24"/>
          <w:highlight w:val="none"/>
          <w:lang w:eastAsia="zh-CN"/>
        </w:rPr>
      </w:pPr>
      <w:r>
        <w:rPr>
          <w:rFonts w:hint="eastAsia" w:ascii="宋体" w:hAnsi="宋体" w:eastAsia="宋体"/>
          <w:bCs/>
          <w:color w:val="auto"/>
          <w:sz w:val="24"/>
          <w:highlight w:val="none"/>
        </w:rPr>
        <w:t>4.履约保证金：</w:t>
      </w:r>
      <w:r>
        <w:rPr>
          <w:rFonts w:hint="eastAsia" w:ascii="宋体" w:hAnsi="宋体" w:eastAsia="宋体"/>
          <w:b/>
          <w:bCs w:val="0"/>
          <w:color w:val="auto"/>
          <w:sz w:val="24"/>
          <w:highlight w:val="none"/>
          <w:lang w:eastAsia="zh-CN"/>
        </w:rPr>
        <w:t>无</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第七条  税费</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本合同执行中相关的一切税费均由乙方负担。</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第八条  质量保证及售后服务</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乙方应按采购文件规定的货物性能、技术要求、质量标准向甲方提供未经使用的全新产品。不符合要求的，根据实际情况，经双方协商，可按以下办法处理：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（1）更换：由乙方承担所发生的全部费用。</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（2）贬值处理：由甲乙双方合议定价。</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（3）退货处理：乙方应退还甲方支付的合同款，同时应承担该货物的直接费用（运输、保险、检验、货款利息及银行手续费等）。</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2.如在使用过程中发生质量问题，乙方在接到甲方通知后在按乙方响应文件中承诺的不超过招标要求的响应时间小时内到达甲方现场处理。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3.乙方应按照国家有关法律法规和“三包”规定以及采购文件、响应文件和本合同所附的《售后服务方案》，为甲方提供售后服务。</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.在质保期内，乙方应对货物出现的质量及安全问题负责处理解决并承担一切费用。</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olor w:val="auto"/>
          <w:sz w:val="24"/>
          <w:highlight w:val="none"/>
        </w:rPr>
        <w:t>.上述的货物免费保修期</w:t>
      </w:r>
      <w:r>
        <w:rPr>
          <w:rFonts w:hint="eastAsia" w:ascii="宋体" w:hAnsi="宋体" w:eastAsia="宋体"/>
          <w:color w:val="auto"/>
          <w:sz w:val="24"/>
          <w:highlight w:val="none"/>
          <w:u w:val="single"/>
        </w:rPr>
        <w:t>按乙方响应文件承诺</w:t>
      </w:r>
      <w:r>
        <w:rPr>
          <w:rFonts w:hint="eastAsia" w:ascii="宋体" w:hAnsi="宋体" w:eastAsia="宋体"/>
          <w:color w:val="auto"/>
          <w:sz w:val="24"/>
          <w:highlight w:val="none"/>
        </w:rPr>
        <w:t>，因人为因素出现的故障不在免费保修范围内。超过保修期的机器设备，终生维修，维修时只收部件成本费。</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6.乙方提供的服务承诺和售后服务及保修期责任等其它具体约定事项：</w:t>
      </w:r>
      <w:r>
        <w:rPr>
          <w:rFonts w:hint="eastAsia" w:ascii="宋体" w:hAnsi="宋体" w:eastAsia="宋体"/>
          <w:color w:val="auto"/>
          <w:sz w:val="24"/>
          <w:highlight w:val="none"/>
          <w:u w:val="single"/>
        </w:rPr>
        <w:t>（见合同附件）</w:t>
      </w:r>
      <w:r>
        <w:rPr>
          <w:rFonts w:hint="eastAsia" w:ascii="宋体" w:hAnsi="宋体" w:eastAsia="宋体"/>
          <w:color w:val="auto"/>
          <w:sz w:val="24"/>
          <w:highlight w:val="none"/>
        </w:rPr>
        <w:t>。</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第九条  调试和验收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1.甲方对乙方提供的货物在使用前进行调试时，乙方需负责安装并培训甲方的使用操作人员，并协助甲方一起调试，直到符合技术要求，甲方才做最终验收。</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 </w:t>
      </w:r>
      <w:r>
        <w:rPr>
          <w:rFonts w:hint="eastAsia" w:ascii="宋体" w:hAnsi="宋体" w:eastAsia="宋体"/>
          <w:color w:val="auto"/>
          <w:sz w:val="24"/>
          <w:highlight w:val="none"/>
        </w:rPr>
        <w:t>验收由甲方组织，乙方配合进行。对技术复杂的货物，甲方应请国家认可的专业检测机构参与最终验收，并由其出具质量检测报告。</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）货物在乙方通知安装调试完毕后七个工作日内验收。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w:t>
      </w:r>
      <w:r>
        <w:rPr>
          <w:rFonts w:hint="eastAsia" w:ascii="宋体" w:hAnsi="宋体" w:eastAsia="宋体"/>
          <w:color w:val="auto"/>
          <w:sz w:val="24"/>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）如货物经乙方</w:t>
      </w:r>
      <w:r>
        <w:rPr>
          <w:rFonts w:ascii="宋体" w:hAnsi="宋体" w:eastAsia="宋体"/>
          <w:color w:val="auto"/>
          <w:sz w:val="24"/>
          <w:highlight w:val="none"/>
        </w:rPr>
        <w:t>1</w:t>
      </w:r>
      <w:r>
        <w:rPr>
          <w:rFonts w:hint="eastAsia" w:ascii="宋体" w:hAnsi="宋体" w:eastAsia="宋体"/>
          <w:color w:val="auto"/>
          <w:sz w:val="24"/>
          <w:highlight w:val="none"/>
        </w:rPr>
        <w:t>次维修仍不能达到合同约定的质量标准，甲方有权退货，并视作乙方不能交付货物而须支付违约赔偿金给甲方，甲方还可依法追究乙方的违约责任，并按虚假应标上报处理。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）验收结束后，应当出具验收书，列明各项标准的验收情况及项目总体评价，由验收双方共同签署。</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货物安装完成后七个工作日内，甲方无故不进行验收工作并已使用货物的，视同已安装调试完成并验收合格。验收合格的项目，甲方在验收书签署之日后日内向乙方支付采购资金，在日内退还履约保证金（如有）。验收不合格的项目，将按本合同第十条违约责任处理，未作约定的，按照《合同法》规定处理。</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 验收时乙方必须在现场，验收完毕后作出验收结果报告；验收费用由乙方负责。</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 其他未尽事宜应严格按照《关于印发广西壮族自治区政府采购项目履约验收管理办法的通知》</w:t>
      </w:r>
      <w:r>
        <w:rPr>
          <w:rFonts w:ascii="宋体" w:hAnsi="宋体" w:eastAsia="宋体"/>
          <w:color w:val="auto"/>
          <w:sz w:val="24"/>
          <w:highlight w:val="none"/>
        </w:rPr>
        <w:t>[</w:t>
      </w:r>
      <w:r>
        <w:rPr>
          <w:rFonts w:hint="eastAsia" w:ascii="宋体" w:hAnsi="宋体" w:eastAsia="宋体"/>
          <w:color w:val="auto"/>
          <w:sz w:val="24"/>
          <w:highlight w:val="none"/>
        </w:rPr>
        <w:t>桂财采〔</w:t>
      </w:r>
      <w:r>
        <w:rPr>
          <w:rFonts w:ascii="宋体" w:hAnsi="宋体" w:eastAsia="宋体"/>
          <w:color w:val="auto"/>
          <w:sz w:val="24"/>
          <w:highlight w:val="none"/>
        </w:rPr>
        <w:t>2015</w:t>
      </w:r>
      <w:r>
        <w:rPr>
          <w:rFonts w:hint="eastAsia" w:ascii="宋体" w:hAnsi="宋体" w:eastAsia="宋体"/>
          <w:color w:val="auto"/>
          <w:sz w:val="24"/>
          <w:highlight w:val="none"/>
        </w:rPr>
        <w:t>〕</w:t>
      </w:r>
      <w:r>
        <w:rPr>
          <w:rFonts w:ascii="宋体" w:hAnsi="宋体" w:eastAsia="宋体"/>
          <w:color w:val="auto"/>
          <w:sz w:val="24"/>
          <w:highlight w:val="none"/>
        </w:rPr>
        <w:t>22</w:t>
      </w:r>
      <w:r>
        <w:rPr>
          <w:rFonts w:hint="eastAsia" w:ascii="宋体" w:hAnsi="宋体" w:eastAsia="宋体"/>
          <w:color w:val="auto"/>
          <w:sz w:val="24"/>
          <w:highlight w:val="none"/>
        </w:rPr>
        <w:t>号</w:t>
      </w:r>
      <w:r>
        <w:rPr>
          <w:rFonts w:ascii="宋体" w:hAnsi="宋体" w:eastAsia="宋体"/>
          <w:color w:val="auto"/>
          <w:sz w:val="24"/>
          <w:highlight w:val="none"/>
        </w:rPr>
        <w:t>]</w:t>
      </w:r>
      <w:r>
        <w:rPr>
          <w:rFonts w:hint="eastAsia" w:ascii="宋体" w:hAnsi="宋体" w:eastAsia="宋体"/>
          <w:color w:val="auto"/>
          <w:sz w:val="24"/>
          <w:highlight w:val="none"/>
        </w:rPr>
        <w:t>以及《财政部关于进一步加强政府采购需求和履约验收管理的指导意见》</w:t>
      </w:r>
      <w:r>
        <w:rPr>
          <w:rFonts w:ascii="宋体" w:hAnsi="宋体" w:eastAsia="宋体"/>
          <w:color w:val="auto"/>
          <w:sz w:val="24"/>
          <w:highlight w:val="none"/>
        </w:rPr>
        <w:t>[</w:t>
      </w:r>
      <w:r>
        <w:rPr>
          <w:rFonts w:hint="eastAsia" w:ascii="宋体" w:hAnsi="宋体" w:eastAsia="宋体"/>
          <w:color w:val="auto"/>
          <w:sz w:val="24"/>
          <w:highlight w:val="none"/>
        </w:rPr>
        <w:t>财库〔</w:t>
      </w:r>
      <w:r>
        <w:rPr>
          <w:rFonts w:ascii="宋体" w:hAnsi="宋体" w:eastAsia="宋体"/>
          <w:color w:val="auto"/>
          <w:sz w:val="24"/>
          <w:highlight w:val="none"/>
        </w:rPr>
        <w:t>2016</w:t>
      </w:r>
      <w:r>
        <w:rPr>
          <w:rFonts w:hint="eastAsia" w:ascii="宋体" w:hAnsi="宋体" w:eastAsia="宋体"/>
          <w:color w:val="auto"/>
          <w:sz w:val="24"/>
          <w:highlight w:val="none"/>
        </w:rPr>
        <w:t>〕</w:t>
      </w:r>
      <w:r>
        <w:rPr>
          <w:rFonts w:ascii="宋体" w:hAnsi="宋体" w:eastAsia="宋体"/>
          <w:color w:val="auto"/>
          <w:sz w:val="24"/>
          <w:highlight w:val="none"/>
        </w:rPr>
        <w:t>205</w:t>
      </w:r>
      <w:r>
        <w:rPr>
          <w:rFonts w:hint="eastAsia" w:ascii="宋体" w:hAnsi="宋体" w:eastAsia="宋体"/>
          <w:color w:val="auto"/>
          <w:sz w:val="24"/>
          <w:highlight w:val="none"/>
        </w:rPr>
        <w:t>号</w:t>
      </w:r>
      <w:r>
        <w:rPr>
          <w:rFonts w:ascii="宋体" w:hAnsi="宋体" w:eastAsia="宋体"/>
          <w:color w:val="auto"/>
          <w:sz w:val="24"/>
          <w:highlight w:val="none"/>
        </w:rPr>
        <w:t>]</w:t>
      </w:r>
      <w:r>
        <w:rPr>
          <w:rFonts w:hint="eastAsia" w:ascii="宋体" w:hAnsi="宋体" w:eastAsia="宋体"/>
          <w:color w:val="auto"/>
          <w:sz w:val="24"/>
          <w:highlight w:val="none"/>
        </w:rPr>
        <w:t>规定执行。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第十条　违约责任</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乙方提供的货物如侵犯了第三方合法权益而引发的任何纠纷或诉讼，均由乙方负责交涉并承担全部责任。</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因包装、运输引起的货物损坏，按质量不合格处罚。</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 乙方未按本合同和响应文件中规定的服务承诺提供售后服务的，乙方应按本合同合计金额 5%向甲方支付违约金。</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 乙方提供的货物在质量保证期内，因设计、工艺或材料的缺陷和其它质量原因造成的问题，由乙方负责，费用从质量保证金中扣除，不足另补。</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 其它违约行为按违约货款额5%收取违约金并赔偿经济损失。</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第十一条  不可抗力事件处理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在合同有效期内，任何一方因不可抗力事件导致不能履行合同，则合同履行期可延长，其延长期与不可抗力影响期相同。</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不可抗力事件发生后，应立即通知对方，并寄送有关权威机构出具的证明。</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不可抗力事件延续一百二十天以上，双方应通过友好协商，确定是否继续履行合同。</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第十二条  合同争议解决</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因货物质量问题发生争议的，应邀请国家认可的质量检测机构对货物质量进行鉴定。货物符合标准的，鉴定费由甲方承担；货物不符合标准的，鉴定费由乙方承担。</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因履行本合同引起的或与本合同有关的争议，甲乙双方应首先通过友好协商解决，如果协商不能解决，可向仲裁委员会申请仲裁或向人民法院提起诉讼。</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诉讼期间，本合同继续履行。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第十三条  合同生效及其它</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合同经双方法定代表人或被授权代表签字并加盖单位公章后生效。</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2.合同执行中涉及采购资金和采购内容修改或补充的，须经财政部门审批，并签书面补充协议报财政部门备案，方可作为主合同不可分割的一部分。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3.本合同未尽事宜，遵照《合同法》有关条文执行。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第十四条　合同的变更、终止与转让</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除《中华人民共和国政府采购法》第五十条规定的情形外，本合同一经签订，甲乙双方不得擅自变更、中止或终止。</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未经甲方书面同意，乙方不得擅自转让（无进口资格的供应商委托进口货物除外）其应履行的合同义务。</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第十五条　签订本合同依据</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采购文件；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乙方提供的响应文件；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响应承诺书；</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 中标通知书。</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第十六条　</w:t>
      </w:r>
      <w:r>
        <w:rPr>
          <w:rFonts w:hint="eastAsia" w:ascii="宋体" w:hAnsi="宋体" w:eastAsia="宋体"/>
          <w:color w:val="auto"/>
          <w:sz w:val="24"/>
          <w:highlight w:val="none"/>
        </w:rPr>
        <w:t>本合同一式份，具有同等法律效力，采购代理机构、政府采购监督管理处各一份，甲方份，乙方份（可根据需要另增加）。</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本合同甲乙双方签字盖章后生效。</w:t>
      </w:r>
    </w:p>
    <w:p>
      <w:pPr>
        <w:spacing w:line="500" w:lineRule="exact"/>
        <w:rPr>
          <w:rFonts w:ascii="宋体" w:hAnsi="宋体" w:eastAsia="宋体"/>
          <w:color w:val="auto"/>
          <w:sz w:val="24"/>
          <w:highlight w:val="none"/>
          <w:u w:val="single"/>
        </w:rPr>
      </w:pPr>
    </w:p>
    <w:tbl>
      <w:tblPr>
        <w:tblStyle w:val="3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甲方（章）           </w:t>
            </w:r>
          </w:p>
          <w:p>
            <w:pPr>
              <w:spacing w:line="500" w:lineRule="exact"/>
              <w:rPr>
                <w:rFonts w:ascii="宋体" w:hAnsi="宋体" w:eastAsia="宋体"/>
                <w:color w:val="auto"/>
                <w:sz w:val="24"/>
                <w:highlight w:val="none"/>
              </w:rPr>
            </w:pP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年   月   日</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乙方（章）              </w:t>
            </w:r>
          </w:p>
          <w:p>
            <w:pPr>
              <w:spacing w:line="500" w:lineRule="exact"/>
              <w:rPr>
                <w:rFonts w:ascii="宋体" w:hAnsi="宋体" w:eastAsia="宋体"/>
                <w:color w:val="auto"/>
                <w:sz w:val="24"/>
                <w:highlight w:val="none"/>
              </w:rPr>
            </w:pP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单位地址：</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法定代表人：</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委托代理人：</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电话：</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电子邮箱：</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开户银行：</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账号：</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邮政编码：</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邮政编码：</w:t>
            </w:r>
          </w:p>
        </w:tc>
      </w:tr>
    </w:tbl>
    <w:p>
      <w:pPr>
        <w:spacing w:line="500" w:lineRule="exact"/>
        <w:rPr>
          <w:rFonts w:ascii="宋体" w:hAnsi="宋体" w:eastAsia="宋体"/>
          <w:color w:val="auto"/>
          <w:sz w:val="28"/>
          <w:szCs w:val="28"/>
          <w:highlight w:val="none"/>
        </w:rPr>
      </w:pPr>
    </w:p>
    <w:p>
      <w:pPr>
        <w:spacing w:line="500" w:lineRule="exact"/>
        <w:rPr>
          <w:rFonts w:ascii="宋体" w:hAnsi="宋体" w:eastAsia="宋体"/>
          <w:color w:val="auto"/>
          <w:highlight w:val="none"/>
        </w:rPr>
      </w:pPr>
      <w:r>
        <w:rPr>
          <w:rFonts w:ascii="宋体" w:hAnsi="宋体" w:eastAsia="宋体"/>
          <w:color w:val="auto"/>
          <w:highlight w:val="none"/>
        </w:rPr>
        <w:br w:type="page"/>
      </w:r>
    </w:p>
    <w:p>
      <w:pPr>
        <w:pStyle w:val="102"/>
        <w:rPr>
          <w:rFonts w:hAnsi="宋体" w:cs="Times New Roman"/>
          <w:color w:val="auto"/>
          <w:kern w:val="2"/>
          <w:highlight w:val="none"/>
        </w:rPr>
      </w:pPr>
    </w:p>
    <w:p>
      <w:pPr>
        <w:pStyle w:val="102"/>
        <w:rPr>
          <w:rFonts w:hAnsi="宋体" w:cs="Times New Roman"/>
          <w:color w:val="auto"/>
          <w:kern w:val="2"/>
          <w:highlight w:val="none"/>
        </w:rPr>
      </w:pPr>
      <w:r>
        <w:rPr>
          <w:rFonts w:hint="eastAsia" w:hAnsi="宋体" w:cs="Times New Roman"/>
          <w:color w:val="auto"/>
          <w:kern w:val="2"/>
          <w:highlight w:val="none"/>
        </w:rPr>
        <w:t>合同附件</w:t>
      </w:r>
      <w:r>
        <w:rPr>
          <w:rFonts w:hAnsi="宋体" w:cs="Times New Roman"/>
          <w:color w:val="auto"/>
          <w:kern w:val="2"/>
          <w:highlight w:val="none"/>
        </w:rPr>
        <w:t xml:space="preserve">1 </w:t>
      </w:r>
    </w:p>
    <w:p>
      <w:pPr>
        <w:pStyle w:val="102"/>
        <w:jc w:val="center"/>
        <w:rPr>
          <w:rFonts w:hAnsi="宋体" w:cs="Times New Roman"/>
          <w:b/>
          <w:color w:val="auto"/>
          <w:kern w:val="2"/>
          <w:sz w:val="28"/>
          <w:szCs w:val="28"/>
          <w:highlight w:val="none"/>
        </w:rPr>
      </w:pPr>
      <w:r>
        <w:rPr>
          <w:rFonts w:hint="eastAsia" w:hAnsi="宋体" w:cs="Times New Roman"/>
          <w:b/>
          <w:color w:val="auto"/>
          <w:kern w:val="2"/>
          <w:sz w:val="28"/>
          <w:szCs w:val="28"/>
          <w:highlight w:val="none"/>
        </w:rPr>
        <w:t>响应承诺书</w:t>
      </w:r>
    </w:p>
    <w:p>
      <w:pPr>
        <w:pStyle w:val="102"/>
        <w:rPr>
          <w:rFonts w:hAnsi="宋体" w:cs="Times New Roman"/>
          <w:b/>
          <w:color w:val="auto"/>
          <w:kern w:val="2"/>
          <w:sz w:val="28"/>
          <w:szCs w:val="28"/>
          <w:highlight w:val="none"/>
        </w:rPr>
      </w:pPr>
      <w:r>
        <w:rPr>
          <w:rFonts w:hint="eastAsia" w:hAnsi="宋体" w:cs="Times New Roman"/>
          <w:color w:val="auto"/>
          <w:kern w:val="2"/>
          <w:highlight w:val="none"/>
        </w:rPr>
        <w:t>一般货物类</w:t>
      </w:r>
    </w:p>
    <w:tbl>
      <w:tblPr>
        <w:tblStyle w:val="3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1</w:t>
            </w:r>
            <w:r>
              <w:rPr>
                <w:rFonts w:hint="eastAsia" w:hAnsi="宋体" w:cs="Times New Roman"/>
                <w:color w:val="auto"/>
                <w:kern w:val="2"/>
                <w:highlight w:val="none"/>
              </w:rPr>
              <w:t>．乙方承诺具体事项：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2</w:t>
            </w:r>
            <w:r>
              <w:rPr>
                <w:rFonts w:hint="eastAsia" w:hAnsi="宋体" w:cs="Times New Roman"/>
                <w:color w:val="auto"/>
                <w:kern w:val="2"/>
                <w:highlight w:val="none"/>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3</w:t>
            </w:r>
            <w:r>
              <w:rPr>
                <w:rFonts w:hint="eastAsia" w:hAnsi="宋体" w:cs="Times New Roman"/>
                <w:color w:val="auto"/>
                <w:kern w:val="2"/>
                <w:highlight w:val="none"/>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4</w:t>
            </w:r>
            <w:r>
              <w:rPr>
                <w:rFonts w:hint="eastAsia" w:hAnsi="宋体" w:cs="Times New Roman"/>
                <w:color w:val="auto"/>
                <w:kern w:val="2"/>
                <w:highlight w:val="none"/>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1" w:type="dxa"/>
          </w:tcPr>
          <w:p>
            <w:pPr>
              <w:pStyle w:val="102"/>
              <w:rPr>
                <w:rFonts w:hAnsi="宋体" w:cs="Times New Roman"/>
                <w:color w:val="auto"/>
                <w:kern w:val="2"/>
                <w:highlight w:val="none"/>
              </w:rPr>
            </w:pPr>
            <w:r>
              <w:rPr>
                <w:rFonts w:hint="eastAsia" w:hAnsi="宋体" w:cs="Times New Roman"/>
                <w:color w:val="auto"/>
                <w:kern w:val="2"/>
                <w:highlight w:val="none"/>
              </w:rPr>
              <w:t>甲方</w:t>
            </w:r>
            <w:r>
              <w:rPr>
                <w:rFonts w:hAnsi="宋体" w:cs="Times New Roman"/>
                <w:color w:val="auto"/>
                <w:kern w:val="2"/>
                <w:highlight w:val="none"/>
              </w:rPr>
              <w:t>(</w:t>
            </w:r>
            <w:r>
              <w:rPr>
                <w:rFonts w:hint="eastAsia" w:hAnsi="宋体" w:cs="Times New Roman"/>
                <w:color w:val="auto"/>
                <w:kern w:val="2"/>
                <w:highlight w:val="none"/>
              </w:rPr>
              <w:t>章</w:t>
            </w:r>
            <w:r>
              <w:rPr>
                <w:rFonts w:hAnsi="宋体" w:cs="Times New Roman"/>
                <w:color w:val="auto"/>
                <w:kern w:val="2"/>
                <w:highlight w:val="none"/>
              </w:rPr>
              <w:t>)</w:t>
            </w:r>
          </w:p>
          <w:p>
            <w:pPr>
              <w:pStyle w:val="102"/>
              <w:rPr>
                <w:rFonts w:hAnsi="宋体" w:cs="Times New Roman"/>
                <w:color w:val="auto"/>
                <w:kern w:val="2"/>
                <w:highlight w:val="none"/>
              </w:rPr>
            </w:pPr>
          </w:p>
          <w:p>
            <w:pPr>
              <w:pStyle w:val="102"/>
              <w:rPr>
                <w:rFonts w:hAnsi="宋体" w:cs="Times New Roman"/>
                <w:color w:val="auto"/>
                <w:kern w:val="2"/>
                <w:highlight w:val="none"/>
              </w:rPr>
            </w:pPr>
          </w:p>
          <w:p>
            <w:pPr>
              <w:pStyle w:val="102"/>
              <w:ind w:firstLine="2640" w:firstLineChars="1100"/>
              <w:rPr>
                <w:rFonts w:hAnsi="宋体" w:cs="Times New Roman"/>
                <w:color w:val="auto"/>
                <w:kern w:val="2"/>
                <w:highlight w:val="none"/>
              </w:rPr>
            </w:pPr>
            <w:r>
              <w:rPr>
                <w:rFonts w:hint="eastAsia" w:hAnsi="宋体" w:cs="Times New Roman"/>
                <w:color w:val="auto"/>
                <w:kern w:val="2"/>
                <w:highlight w:val="none"/>
              </w:rPr>
              <w:t>年 月 日</w:t>
            </w:r>
          </w:p>
        </w:tc>
        <w:tc>
          <w:tcPr>
            <w:tcW w:w="4536" w:type="dxa"/>
          </w:tcPr>
          <w:p>
            <w:pPr>
              <w:pStyle w:val="102"/>
              <w:rPr>
                <w:rFonts w:hAnsi="宋体" w:cs="Times New Roman"/>
                <w:color w:val="auto"/>
                <w:kern w:val="2"/>
                <w:highlight w:val="none"/>
              </w:rPr>
            </w:pPr>
            <w:r>
              <w:rPr>
                <w:rFonts w:hint="eastAsia" w:hAnsi="宋体" w:cs="Times New Roman"/>
                <w:color w:val="auto"/>
                <w:kern w:val="2"/>
                <w:highlight w:val="none"/>
              </w:rPr>
              <w:t>乙方</w:t>
            </w:r>
            <w:r>
              <w:rPr>
                <w:rFonts w:hAnsi="宋体" w:cs="Times New Roman"/>
                <w:color w:val="auto"/>
                <w:kern w:val="2"/>
                <w:highlight w:val="none"/>
              </w:rPr>
              <w:t>(</w:t>
            </w:r>
            <w:r>
              <w:rPr>
                <w:rFonts w:hint="eastAsia" w:hAnsi="宋体" w:cs="Times New Roman"/>
                <w:color w:val="auto"/>
                <w:kern w:val="2"/>
                <w:highlight w:val="none"/>
              </w:rPr>
              <w:t>章</w:t>
            </w:r>
            <w:r>
              <w:rPr>
                <w:rFonts w:hAnsi="宋体" w:cs="Times New Roman"/>
                <w:color w:val="auto"/>
                <w:kern w:val="2"/>
                <w:highlight w:val="none"/>
              </w:rPr>
              <w:t>)</w:t>
            </w:r>
          </w:p>
          <w:p>
            <w:pPr>
              <w:pStyle w:val="102"/>
              <w:rPr>
                <w:rFonts w:hAnsi="宋体" w:cs="Times New Roman"/>
                <w:color w:val="auto"/>
                <w:kern w:val="2"/>
                <w:highlight w:val="none"/>
              </w:rPr>
            </w:pPr>
          </w:p>
          <w:p>
            <w:pPr>
              <w:pStyle w:val="102"/>
              <w:rPr>
                <w:rFonts w:hAnsi="宋体" w:cs="Times New Roman"/>
                <w:color w:val="auto"/>
                <w:kern w:val="2"/>
                <w:highlight w:val="none"/>
              </w:rPr>
            </w:pPr>
          </w:p>
          <w:p>
            <w:pPr>
              <w:pStyle w:val="102"/>
              <w:ind w:firstLine="2880" w:firstLineChars="1200"/>
              <w:rPr>
                <w:rFonts w:hAnsi="宋体" w:cs="Times New Roman"/>
                <w:color w:val="auto"/>
                <w:kern w:val="2"/>
                <w:highlight w:val="none"/>
              </w:rPr>
            </w:pPr>
            <w:r>
              <w:rPr>
                <w:rFonts w:hint="eastAsia" w:hAnsi="宋体" w:cs="Times New Roman"/>
                <w:color w:val="auto"/>
                <w:kern w:val="2"/>
                <w:highlight w:val="none"/>
              </w:rPr>
              <w:t>年 月 日</w:t>
            </w:r>
          </w:p>
        </w:tc>
      </w:tr>
    </w:tbl>
    <w:p>
      <w:pPr>
        <w:ind w:left="440" w:hanging="440" w:hangingChars="200"/>
        <w:rPr>
          <w:rFonts w:ascii="宋体" w:hAnsi="宋体" w:eastAsia="宋体"/>
          <w:color w:val="auto"/>
          <w:sz w:val="24"/>
          <w:highlight w:val="none"/>
        </w:rPr>
      </w:pPr>
      <w:r>
        <w:rPr>
          <w:rFonts w:hint="eastAsia" w:ascii="宋体" w:hAnsi="宋体" w:eastAsia="宋体"/>
          <w:color w:val="auto"/>
          <w:szCs w:val="21"/>
          <w:highlight w:val="none"/>
        </w:rPr>
        <w:t>注：售后服务事项填不下时可另加附页</w:t>
      </w:r>
    </w:p>
    <w:p>
      <w:pPr>
        <w:ind w:left="440" w:hanging="440" w:hangingChars="200"/>
        <w:rPr>
          <w:rFonts w:ascii="宋体" w:hAnsi="宋体" w:eastAsia="宋体"/>
          <w:color w:val="auto"/>
          <w:szCs w:val="21"/>
          <w:highlight w:val="none"/>
        </w:rPr>
      </w:pPr>
    </w:p>
    <w:p>
      <w:pPr>
        <w:adjustRightInd/>
        <w:snapToGrid/>
        <w:spacing w:line="220" w:lineRule="atLeast"/>
        <w:rPr>
          <w:rFonts w:ascii="宋体" w:hAnsi="宋体" w:eastAsia="宋体"/>
          <w:color w:val="auto"/>
          <w:sz w:val="24"/>
          <w:highlight w:val="none"/>
        </w:rPr>
      </w:pPr>
    </w:p>
    <w:p>
      <w:pPr>
        <w:adjustRightInd/>
        <w:snapToGrid/>
        <w:spacing w:line="220" w:lineRule="atLeast"/>
        <w:rPr>
          <w:rFonts w:ascii="宋体" w:hAnsi="宋体" w:eastAsia="宋体"/>
          <w:color w:val="auto"/>
          <w:sz w:val="24"/>
          <w:highlight w:val="none"/>
        </w:rPr>
      </w:pPr>
      <w:r>
        <w:rPr>
          <w:rFonts w:ascii="宋体" w:hAnsi="宋体" w:eastAsia="宋体"/>
          <w:color w:val="auto"/>
          <w:sz w:val="24"/>
          <w:highlight w:val="none"/>
        </w:rPr>
        <w:br w:type="page"/>
      </w:r>
    </w:p>
    <w:p>
      <w:pPr>
        <w:rPr>
          <w:rFonts w:ascii="宋体" w:hAnsi="宋体" w:eastAsia="宋体"/>
          <w:color w:val="auto"/>
          <w:sz w:val="24"/>
          <w:highlight w:val="none"/>
        </w:rPr>
      </w:pPr>
      <w:r>
        <w:rPr>
          <w:rFonts w:hint="eastAsia" w:ascii="宋体" w:hAnsi="宋体" w:eastAsia="宋体"/>
          <w:color w:val="auto"/>
          <w:sz w:val="24"/>
          <w:highlight w:val="none"/>
        </w:rPr>
        <w:t>附件</w:t>
      </w:r>
      <w:r>
        <w:rPr>
          <w:rFonts w:ascii="宋体" w:hAnsi="宋体" w:eastAsia="宋体"/>
          <w:color w:val="auto"/>
          <w:sz w:val="24"/>
          <w:highlight w:val="none"/>
        </w:rPr>
        <w:t>2</w:t>
      </w:r>
      <w:r>
        <w:rPr>
          <w:rFonts w:hint="eastAsia" w:ascii="宋体" w:hAnsi="宋体" w:eastAsia="宋体"/>
          <w:color w:val="auto"/>
          <w:sz w:val="24"/>
          <w:highlight w:val="none"/>
        </w:rPr>
        <w:t>：</w:t>
      </w:r>
    </w:p>
    <w:p>
      <w:pPr>
        <w:shd w:val="clear" w:color="auto" w:fill="FFFFFF"/>
        <w:spacing w:line="580" w:lineRule="exact"/>
        <w:jc w:val="center"/>
        <w:rPr>
          <w:rFonts w:ascii="宋体" w:hAnsi="宋体" w:eastAsia="宋体" w:cs="宋体"/>
          <w:color w:val="auto"/>
          <w:sz w:val="32"/>
          <w:szCs w:val="32"/>
          <w:highlight w:val="none"/>
        </w:rPr>
      </w:pPr>
      <w:r>
        <w:rPr>
          <w:rFonts w:hint="eastAsia" w:ascii="宋体" w:hAnsi="宋体" w:eastAsia="宋体" w:cs="黑体"/>
          <w:color w:val="auto"/>
          <w:sz w:val="32"/>
          <w:szCs w:val="32"/>
          <w:highlight w:val="none"/>
        </w:rPr>
        <w:t>广西壮族自治区政府采购项目合同验收书</w:t>
      </w:r>
      <w:r>
        <w:rPr>
          <w:rFonts w:hint="eastAsia" w:ascii="宋体" w:hAnsi="宋体" w:eastAsia="宋体" w:cs="宋体"/>
          <w:color w:val="auto"/>
          <w:sz w:val="32"/>
          <w:szCs w:val="32"/>
          <w:highlight w:val="none"/>
        </w:rPr>
        <w:t>（格式）</w:t>
      </w:r>
    </w:p>
    <w:p>
      <w:pPr>
        <w:shd w:val="clear" w:color="auto" w:fill="FFFFFF"/>
        <w:spacing w:line="440" w:lineRule="exact"/>
        <w:ind w:firstLine="482"/>
        <w:rPr>
          <w:rFonts w:ascii="宋体" w:hAnsi="宋体" w:eastAsia="宋体" w:cs="宋体"/>
          <w:color w:val="auto"/>
          <w:sz w:val="24"/>
          <w:highlight w:val="none"/>
        </w:rPr>
      </w:pPr>
      <w:r>
        <w:rPr>
          <w:rFonts w:hint="eastAsia" w:ascii="宋体" w:hAnsi="宋体" w:eastAsia="宋体" w:cs="宋体"/>
          <w:color w:val="auto"/>
          <w:sz w:val="24"/>
          <w:highlight w:val="none"/>
        </w:rPr>
        <w:t>根据政府采购项目（</w:t>
      </w:r>
      <w:r>
        <w:rPr>
          <w:rFonts w:hint="eastAsia" w:ascii="宋体" w:hAnsi="宋体" w:eastAsia="宋体" w:cs="宋体"/>
          <w:color w:val="auto"/>
          <w:sz w:val="24"/>
          <w:highlight w:val="none"/>
          <w:u w:val="single"/>
        </w:rPr>
        <w:t>采购合同编号：</w:t>
      </w:r>
      <w:r>
        <w:rPr>
          <w:rFonts w:hint="eastAsia" w:ascii="宋体" w:hAnsi="宋体" w:eastAsia="宋体" w:cs="宋体"/>
          <w:color w:val="auto"/>
          <w:sz w:val="24"/>
          <w:highlight w:val="none"/>
          <w:u w:val="single"/>
        </w:rPr>
        <w:softHyphen/>
      </w:r>
      <w:r>
        <w:rPr>
          <w:rFonts w:hint="eastAsia" w:ascii="宋体" w:hAnsi="宋体" w:eastAsia="宋体" w:cs="宋体"/>
          <w:color w:val="auto"/>
          <w:sz w:val="24"/>
          <w:highlight w:val="none"/>
        </w:rPr>
        <w:t>）的约定，我单位对（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 政府采购项目成交供应商（</w:t>
      </w:r>
      <w:r>
        <w:rPr>
          <w:rFonts w:hint="eastAsia" w:ascii="宋体" w:hAnsi="宋体" w:eastAsia="宋体" w:cs="宋体"/>
          <w:color w:val="auto"/>
          <w:sz w:val="24"/>
          <w:highlight w:val="none"/>
          <w:u w:val="single"/>
        </w:rPr>
        <w:t xml:space="preserve"> 公司名称 </w:t>
      </w:r>
      <w:r>
        <w:rPr>
          <w:rFonts w:hint="eastAsia" w:ascii="宋体" w:hAnsi="宋体" w:eastAsia="宋体" w:cs="宋体"/>
          <w:color w:val="auto"/>
          <w:sz w:val="24"/>
          <w:highlight w:val="none"/>
        </w:rPr>
        <w:t>） 提供的货物（或工程、服务）进行了验收，验收情况如下：</w:t>
      </w:r>
    </w:p>
    <w:tbl>
      <w:tblPr>
        <w:tblStyle w:val="38"/>
        <w:tblW w:w="9177" w:type="dxa"/>
        <w:jc w:val="center"/>
        <w:tblLayout w:type="fixed"/>
        <w:tblCellMar>
          <w:top w:w="0" w:type="dxa"/>
          <w:left w:w="0" w:type="dxa"/>
          <w:bottom w:w="0" w:type="dxa"/>
          <w:right w:w="0" w:type="dxa"/>
        </w:tblCellMar>
      </w:tblPr>
      <w:tblGrid>
        <w:gridCol w:w="1159"/>
        <w:gridCol w:w="2093"/>
        <w:gridCol w:w="798"/>
        <w:gridCol w:w="102"/>
        <w:gridCol w:w="2002"/>
        <w:gridCol w:w="178"/>
        <w:gridCol w:w="685"/>
        <w:gridCol w:w="2160"/>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验收方式：</w:t>
            </w:r>
          </w:p>
        </w:tc>
        <w:tc>
          <w:tcPr>
            <w:tcW w:w="592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atLeast"/>
              <w:ind w:firstLine="48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20" w:lineRule="atLeas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金 额</w:t>
            </w: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641" w:hRule="atLeast"/>
          <w:jc w:val="center"/>
        </w:trPr>
        <w:tc>
          <w:tcPr>
            <w:tcW w:w="9177" w:type="dxa"/>
            <w:gridSpan w:val="8"/>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rPr>
                <w:rFonts w:ascii="宋体" w:hAnsi="宋体" w:eastAsia="宋体" w:cs="宋体"/>
                <w:color w:val="auto"/>
                <w:szCs w:val="21"/>
                <w:highlight w:val="none"/>
              </w:rPr>
            </w:pPr>
            <w:r>
              <w:rPr>
                <w:rFonts w:hint="eastAsia" w:ascii="宋体" w:hAnsi="宋体" w:eastAsia="宋体" w:cs="宋体"/>
                <w:color w:val="auto"/>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46"/>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394"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693" w:hRule="atLeast"/>
          <w:jc w:val="center"/>
        </w:trPr>
        <w:tc>
          <w:tcPr>
            <w:tcW w:w="1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01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50" w:hRule="atLeast"/>
          <w:jc w:val="center"/>
        </w:trPr>
        <w:tc>
          <w:tcPr>
            <w:tcW w:w="11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159" w:type="dxa"/>
            <w:vMerge w:val="continue"/>
            <w:tcBorders>
              <w:top w:val="nil"/>
              <w:left w:val="single" w:color="auto" w:sz="8" w:space="0"/>
              <w:bottom w:val="single" w:color="auto" w:sz="8" w:space="0"/>
              <w:right w:val="single" w:color="auto" w:sz="8" w:space="0"/>
            </w:tcBorders>
            <w:vAlign w:val="center"/>
          </w:tcPr>
          <w:p>
            <w:pPr>
              <w:rPr>
                <w:rFonts w:ascii="宋体" w:hAnsi="宋体" w:eastAsia="宋体" w:cs="宋体"/>
                <w:color w:val="auto"/>
                <w:szCs w:val="21"/>
                <w:highlight w:val="none"/>
              </w:rPr>
            </w:pP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rPr>
                <w:rFonts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签字：</w:t>
            </w:r>
          </w:p>
        </w:tc>
      </w:tr>
      <w:tr>
        <w:tblPrEx>
          <w:tblCellMar>
            <w:top w:w="0" w:type="dxa"/>
            <w:left w:w="0" w:type="dxa"/>
            <w:bottom w:w="0" w:type="dxa"/>
            <w:right w:w="0" w:type="dxa"/>
          </w:tblCellMar>
        </w:tblPrEx>
        <w:trPr>
          <w:trHeight w:val="507"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监督人员或其他相关人员签字：</w:t>
            </w:r>
          </w:p>
          <w:p>
            <w:pPr>
              <w:spacing w:before="100" w:beforeAutospacing="1" w:after="100" w:afterAutospacing="1" w:line="320" w:lineRule="atLeast"/>
              <w:ind w:firstLine="74"/>
              <w:rPr>
                <w:rFonts w:ascii="宋体" w:hAnsi="宋体" w:eastAsia="宋体" w:cs="宋体"/>
                <w:color w:val="auto"/>
                <w:szCs w:val="21"/>
                <w:highlight w:val="none"/>
              </w:rPr>
            </w:pPr>
            <w:r>
              <w:rPr>
                <w:rFonts w:hint="eastAsia" w:ascii="宋体" w:hAnsi="宋体" w:eastAsia="宋体" w:cs="宋体"/>
                <w:color w:val="auto"/>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rPr>
                <w:rFonts w:ascii="宋体" w:hAnsi="宋体" w:eastAsia="宋体" w:cs="宋体"/>
                <w:color w:val="auto"/>
                <w:szCs w:val="21"/>
                <w:highlight w:val="none"/>
              </w:rPr>
            </w:pPr>
            <w:r>
              <w:rPr>
                <w:rFonts w:hint="eastAsia" w:ascii="宋体" w:hAnsi="宋体" w:eastAsia="宋体" w:cs="宋体"/>
                <w:color w:val="auto"/>
                <w:szCs w:val="21"/>
                <w:highlight w:val="none"/>
              </w:rPr>
              <w:t>中标或者成交供应商负责人签字或盖章：</w:t>
            </w:r>
          </w:p>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c>
          <w:tcPr>
            <w:tcW w:w="5025"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ind w:firstLine="44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采购人或受托机构的意见（盖章）：</w:t>
            </w:r>
          </w:p>
          <w:p>
            <w:pPr>
              <w:spacing w:before="100" w:beforeAutospacing="1" w:after="100" w:afterAutospacing="1" w:line="320" w:lineRule="atLeast"/>
              <w:ind w:firstLine="44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r>
    </w:tbl>
    <w:p>
      <w:pPr>
        <w:rPr>
          <w:rFonts w:ascii="宋体" w:hAnsi="宋体" w:eastAsia="宋体"/>
          <w:color w:val="auto"/>
          <w:sz w:val="28"/>
          <w:szCs w:val="28"/>
          <w:highlight w:val="none"/>
        </w:rPr>
      </w:pPr>
      <w:r>
        <w:rPr>
          <w:rFonts w:hint="eastAsia" w:ascii="宋体" w:hAnsi="宋体" w:eastAsia="宋体"/>
          <w:color w:val="auto"/>
          <w:highlight w:val="none"/>
        </w:rPr>
        <w:br w:type="page"/>
      </w:r>
      <w:r>
        <w:rPr>
          <w:rFonts w:hint="eastAsia" w:ascii="宋体" w:hAnsi="宋体" w:eastAsia="宋体"/>
          <w:color w:val="auto"/>
          <w:sz w:val="28"/>
          <w:szCs w:val="28"/>
          <w:highlight w:val="none"/>
        </w:rPr>
        <w:t>附件</w:t>
      </w:r>
      <w:r>
        <w:rPr>
          <w:rFonts w:ascii="宋体" w:hAnsi="宋体" w:eastAsia="宋体"/>
          <w:color w:val="auto"/>
          <w:sz w:val="28"/>
          <w:szCs w:val="28"/>
          <w:highlight w:val="none"/>
        </w:rPr>
        <w:t>3</w:t>
      </w:r>
      <w:r>
        <w:rPr>
          <w:rFonts w:hint="eastAsia" w:ascii="宋体" w:hAnsi="宋体" w:eastAsia="宋体"/>
          <w:color w:val="auto"/>
          <w:sz w:val="28"/>
          <w:szCs w:val="28"/>
          <w:highlight w:val="none"/>
        </w:rPr>
        <w:t>：</w:t>
      </w:r>
    </w:p>
    <w:p>
      <w:pPr>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政府采购项目履约保证金退付意见书</w:t>
      </w:r>
    </w:p>
    <w:tbl>
      <w:tblPr>
        <w:tblStyle w:val="3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供</w:t>
            </w:r>
          </w:p>
          <w:p>
            <w:pPr>
              <w:jc w:val="center"/>
              <w:rPr>
                <w:rFonts w:ascii="宋体" w:hAnsi="宋体" w:eastAsia="宋体"/>
                <w:color w:val="auto"/>
                <w:szCs w:val="21"/>
                <w:highlight w:val="none"/>
              </w:rPr>
            </w:pPr>
            <w:r>
              <w:rPr>
                <w:rFonts w:hint="eastAsia" w:ascii="宋体" w:hAnsi="宋体" w:eastAsia="宋体"/>
                <w:color w:val="auto"/>
                <w:szCs w:val="21"/>
                <w:highlight w:val="none"/>
              </w:rPr>
              <w:t>应</w:t>
            </w:r>
          </w:p>
          <w:p>
            <w:pPr>
              <w:jc w:val="center"/>
              <w:rPr>
                <w:rFonts w:ascii="宋体" w:hAnsi="宋体" w:eastAsia="宋体"/>
                <w:color w:val="auto"/>
                <w:szCs w:val="21"/>
                <w:highlight w:val="none"/>
              </w:rPr>
            </w:pPr>
            <w:r>
              <w:rPr>
                <w:rFonts w:hint="eastAsia" w:ascii="宋体" w:hAnsi="宋体" w:eastAsia="宋体"/>
                <w:color w:val="auto"/>
                <w:szCs w:val="21"/>
                <w:highlight w:val="none"/>
              </w:rPr>
              <w:t>商</w:t>
            </w:r>
          </w:p>
          <w:p>
            <w:pPr>
              <w:jc w:val="center"/>
              <w:rPr>
                <w:rFonts w:ascii="宋体" w:hAnsi="宋体" w:eastAsia="宋体"/>
                <w:color w:val="auto"/>
                <w:szCs w:val="21"/>
                <w:highlight w:val="none"/>
              </w:rPr>
            </w:pPr>
            <w:r>
              <w:rPr>
                <w:rFonts w:hint="eastAsia" w:ascii="宋体" w:hAnsi="宋体" w:eastAsia="宋体"/>
                <w:color w:val="auto"/>
                <w:szCs w:val="21"/>
                <w:highlight w:val="none"/>
              </w:rPr>
              <w:t>申</w:t>
            </w:r>
          </w:p>
          <w:p>
            <w:pPr>
              <w:jc w:val="center"/>
              <w:rPr>
                <w:rFonts w:ascii="宋体" w:hAnsi="宋体" w:eastAsia="宋体"/>
                <w:color w:val="auto"/>
                <w:szCs w:val="21"/>
                <w:highlight w:val="none"/>
              </w:rPr>
            </w:pPr>
            <w:r>
              <w:rPr>
                <w:rFonts w:hint="eastAsia" w:ascii="宋体" w:hAnsi="宋体" w:eastAsia="宋体"/>
                <w:color w:val="auto"/>
                <w:szCs w:val="21"/>
                <w:highlight w:val="none"/>
              </w:rPr>
              <w:t>请</w:t>
            </w: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highlight w:val="none"/>
              </w:rPr>
            </w:pPr>
            <w:r>
              <w:rPr>
                <w:rFonts w:hint="eastAsia" w:ascii="宋体" w:hAnsi="宋体" w:eastAsia="宋体"/>
                <w:color w:val="auto"/>
                <w:szCs w:val="21"/>
                <w:highlight w:val="none"/>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highlight w:val="none"/>
              </w:rPr>
            </w:pP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highlight w:val="none"/>
              </w:rPr>
            </w:pPr>
            <w:r>
              <w:rPr>
                <w:rFonts w:hint="eastAsia" w:ascii="宋体" w:hAnsi="宋体" w:eastAsia="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highlight w:val="none"/>
              </w:rPr>
            </w:pPr>
          </w:p>
        </w:tc>
        <w:tc>
          <w:tcPr>
            <w:tcW w:w="8655" w:type="dxa"/>
            <w:tcBorders>
              <w:top w:val="single" w:color="auto" w:sz="4" w:space="0"/>
              <w:left w:val="single" w:color="auto" w:sz="4" w:space="0"/>
              <w:bottom w:val="single" w:color="auto" w:sz="4" w:space="0"/>
              <w:right w:val="single" w:color="auto" w:sz="4" w:space="0"/>
            </w:tcBorders>
          </w:tcPr>
          <w:p>
            <w:pPr>
              <w:spacing w:after="0"/>
              <w:rPr>
                <w:rFonts w:ascii="宋体" w:hAnsi="宋体" w:eastAsia="宋体"/>
                <w:color w:val="auto"/>
                <w:szCs w:val="21"/>
                <w:highlight w:val="none"/>
              </w:rPr>
            </w:pPr>
            <w:r>
              <w:rPr>
                <w:rFonts w:hint="eastAsia" w:ascii="宋体" w:hAnsi="宋体" w:eastAsia="宋体"/>
                <w:color w:val="auto"/>
                <w:szCs w:val="21"/>
                <w:highlight w:val="none"/>
              </w:rPr>
              <w:t xml:space="preserve">  该项目已于年月日验收并交付使用。根据合同规定，该项目的履约保证金期限于年月日已满，请将履约保证金（大写）￥（小写）退付到达以下账户。</w:t>
            </w:r>
          </w:p>
          <w:p>
            <w:pPr>
              <w:spacing w:after="0" w:line="400" w:lineRule="exact"/>
              <w:ind w:firstLine="705"/>
              <w:rPr>
                <w:rFonts w:ascii="宋体" w:hAnsi="宋体" w:eastAsia="宋体"/>
                <w:color w:val="auto"/>
                <w:szCs w:val="21"/>
                <w:highlight w:val="none"/>
              </w:rPr>
            </w:pPr>
            <w:r>
              <w:rPr>
                <w:rFonts w:hint="eastAsia" w:ascii="宋体" w:hAnsi="宋体" w:eastAsia="宋体"/>
                <w:color w:val="auto"/>
                <w:szCs w:val="21"/>
                <w:highlight w:val="none"/>
              </w:rPr>
              <w:t>单位名称：</w:t>
            </w:r>
          </w:p>
          <w:p>
            <w:pPr>
              <w:spacing w:after="0" w:line="400" w:lineRule="exact"/>
              <w:ind w:firstLine="705"/>
              <w:rPr>
                <w:rFonts w:ascii="宋体" w:hAnsi="宋体" w:eastAsia="宋体"/>
                <w:color w:val="auto"/>
                <w:szCs w:val="21"/>
                <w:highlight w:val="none"/>
              </w:rPr>
            </w:pPr>
            <w:r>
              <w:rPr>
                <w:rFonts w:hint="eastAsia" w:ascii="宋体" w:hAnsi="宋体" w:eastAsia="宋体"/>
                <w:color w:val="auto"/>
                <w:szCs w:val="21"/>
                <w:highlight w:val="none"/>
              </w:rPr>
              <w:t>开户银行：</w:t>
            </w:r>
          </w:p>
          <w:p>
            <w:pPr>
              <w:spacing w:after="0" w:line="400" w:lineRule="exact"/>
              <w:ind w:firstLine="705"/>
              <w:rPr>
                <w:rFonts w:ascii="宋体" w:hAnsi="宋体" w:eastAsia="宋体"/>
                <w:color w:val="auto"/>
                <w:szCs w:val="21"/>
                <w:highlight w:val="none"/>
              </w:rPr>
            </w:pPr>
            <w:r>
              <w:rPr>
                <w:rFonts w:hint="eastAsia" w:ascii="宋体" w:hAnsi="宋体" w:eastAsia="宋体"/>
                <w:color w:val="auto"/>
                <w:szCs w:val="21"/>
                <w:highlight w:val="none"/>
              </w:rPr>
              <w:t>账   号：</w:t>
            </w:r>
          </w:p>
          <w:p>
            <w:pPr>
              <w:spacing w:after="0" w:line="400" w:lineRule="exact"/>
              <w:ind w:firstLine="660" w:firstLineChars="300"/>
              <w:rPr>
                <w:rFonts w:ascii="宋体" w:hAnsi="宋体" w:eastAsia="宋体"/>
                <w:color w:val="auto"/>
                <w:szCs w:val="21"/>
                <w:highlight w:val="none"/>
              </w:rPr>
            </w:pPr>
            <w:r>
              <w:rPr>
                <w:rFonts w:hint="eastAsia" w:ascii="宋体" w:hAnsi="宋体" w:eastAsia="宋体"/>
                <w:color w:val="auto"/>
                <w:szCs w:val="21"/>
                <w:highlight w:val="none"/>
              </w:rPr>
              <w:t>联系人及电话：</w:t>
            </w:r>
          </w:p>
          <w:p>
            <w:pPr>
              <w:spacing w:after="0" w:line="520" w:lineRule="exact"/>
              <w:jc w:val="center"/>
              <w:rPr>
                <w:rFonts w:ascii="宋体" w:hAnsi="宋体" w:eastAsia="宋体"/>
                <w:color w:val="auto"/>
                <w:szCs w:val="21"/>
                <w:highlight w:val="none"/>
              </w:rPr>
            </w:pPr>
            <w:r>
              <w:rPr>
                <w:rFonts w:hint="eastAsia" w:ascii="宋体" w:hAnsi="宋体" w:eastAsia="宋体"/>
                <w:color w:val="auto"/>
                <w:szCs w:val="21"/>
                <w:highlight w:val="none"/>
              </w:rPr>
              <w:t xml:space="preserve">                                     供应商签章：</w:t>
            </w:r>
          </w:p>
          <w:p>
            <w:pPr>
              <w:spacing w:after="0" w:line="520" w:lineRule="exact"/>
              <w:jc w:val="center"/>
              <w:rPr>
                <w:rFonts w:ascii="宋体" w:hAnsi="宋体" w:eastAsia="宋体"/>
                <w:color w:val="auto"/>
                <w:szCs w:val="21"/>
                <w:highlight w:val="none"/>
              </w:rPr>
            </w:pPr>
            <w:r>
              <w:rPr>
                <w:rFonts w:hint="eastAsia" w:ascii="宋体" w:hAnsi="宋体" w:eastAsia="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采</w:t>
            </w:r>
          </w:p>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购</w:t>
            </w:r>
          </w:p>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人</w:t>
            </w:r>
          </w:p>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意</w:t>
            </w:r>
          </w:p>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见</w:t>
            </w:r>
          </w:p>
        </w:tc>
        <w:tc>
          <w:tcPr>
            <w:tcW w:w="8655" w:type="dxa"/>
            <w:tcBorders>
              <w:top w:val="single" w:color="auto" w:sz="4" w:space="0"/>
              <w:left w:val="single" w:color="auto" w:sz="4" w:space="0"/>
              <w:bottom w:val="single" w:color="auto" w:sz="4" w:space="0"/>
              <w:right w:val="single" w:color="auto" w:sz="4" w:space="0"/>
            </w:tcBorders>
          </w:tcPr>
          <w:p>
            <w:pPr>
              <w:spacing w:after="120"/>
              <w:rPr>
                <w:rFonts w:ascii="宋体" w:hAnsi="宋体" w:eastAsia="宋体"/>
                <w:color w:val="auto"/>
                <w:szCs w:val="21"/>
                <w:highlight w:val="none"/>
              </w:rPr>
            </w:pPr>
            <w:r>
              <w:rPr>
                <w:rFonts w:hint="eastAsia" w:ascii="宋体" w:hAnsi="宋体" w:eastAsia="宋体"/>
                <w:color w:val="auto"/>
                <w:szCs w:val="21"/>
                <w:highlight w:val="none"/>
              </w:rPr>
              <w:t>退付意见：是否同意退付履约保证金及退付金额：</w:t>
            </w:r>
          </w:p>
          <w:p>
            <w:pPr>
              <w:spacing w:after="120"/>
              <w:rPr>
                <w:rFonts w:ascii="宋体" w:hAnsi="宋体" w:eastAsia="宋体"/>
                <w:color w:val="auto"/>
                <w:szCs w:val="21"/>
                <w:highlight w:val="none"/>
              </w:rPr>
            </w:pPr>
          </w:p>
          <w:p>
            <w:pPr>
              <w:spacing w:after="120" w:line="520" w:lineRule="exact"/>
              <w:rPr>
                <w:rFonts w:ascii="宋体" w:hAnsi="宋体" w:eastAsia="宋体"/>
                <w:color w:val="auto"/>
                <w:szCs w:val="21"/>
                <w:highlight w:val="none"/>
              </w:rPr>
            </w:pPr>
            <w:r>
              <w:rPr>
                <w:rFonts w:hint="eastAsia" w:ascii="宋体" w:hAnsi="宋体" w:eastAsia="宋体"/>
                <w:color w:val="auto"/>
                <w:szCs w:val="21"/>
                <w:highlight w:val="none"/>
              </w:rPr>
              <w:t>联系人及电话：                                 采购人签章</w:t>
            </w:r>
          </w:p>
          <w:p>
            <w:pPr>
              <w:spacing w:after="120" w:line="520" w:lineRule="exact"/>
              <w:jc w:val="center"/>
              <w:rPr>
                <w:rFonts w:ascii="宋体" w:hAnsi="宋体" w:eastAsia="宋体"/>
                <w:color w:val="auto"/>
                <w:szCs w:val="21"/>
                <w:highlight w:val="none"/>
              </w:rPr>
            </w:pPr>
            <w:r>
              <w:rPr>
                <w:rFonts w:hint="eastAsia" w:ascii="宋体" w:hAnsi="宋体" w:eastAsia="宋体"/>
                <w:color w:val="auto"/>
                <w:szCs w:val="21"/>
                <w:highlight w:val="none"/>
              </w:rPr>
              <w:t xml:space="preserve">                                        年    月     日</w:t>
            </w:r>
          </w:p>
        </w:tc>
      </w:tr>
    </w:tbl>
    <w:p>
      <w:pPr>
        <w:spacing w:line="500" w:lineRule="exact"/>
        <w:rPr>
          <w:rFonts w:ascii="宋体" w:hAnsi="宋体" w:eastAsia="宋体"/>
          <w:color w:val="auto"/>
          <w:highlight w:val="none"/>
        </w:rPr>
      </w:pPr>
      <w:r>
        <w:rPr>
          <w:rFonts w:hint="eastAsia" w:ascii="宋体" w:hAnsi="宋体" w:eastAsia="宋体"/>
          <w:b/>
          <w:bCs/>
          <w:color w:val="auto"/>
          <w:szCs w:val="21"/>
          <w:highlight w:val="none"/>
        </w:rPr>
        <w:t>注：供应商凭经采购人审批的退付意见书到保证金收取单位办理履约保证金退付事宜。</w:t>
      </w:r>
    </w:p>
    <w:p>
      <w:pPr>
        <w:adjustRightInd/>
        <w:snapToGrid/>
        <w:spacing w:line="220" w:lineRule="atLeast"/>
        <w:rPr>
          <w:rFonts w:ascii="宋体" w:hAnsi="宋体" w:eastAsia="宋体" w:cs="Times New Roman"/>
          <w:color w:val="auto"/>
          <w:sz w:val="36"/>
          <w:szCs w:val="20"/>
          <w:highlight w:val="none"/>
        </w:rPr>
      </w:pPr>
      <w:bookmarkStart w:id="92" w:name="_Toc246095475"/>
      <w:bookmarkStart w:id="93" w:name="_Toc246095537"/>
      <w:bookmarkStart w:id="94" w:name="_Toc246094931"/>
      <w:r>
        <w:rPr>
          <w:rFonts w:ascii="宋体" w:hAnsi="宋体" w:eastAsia="宋体"/>
          <w:color w:val="auto"/>
          <w:highlight w:val="none"/>
        </w:rPr>
        <w:br w:type="page"/>
      </w:r>
    </w:p>
    <w:p>
      <w:pPr>
        <w:pStyle w:val="3"/>
        <w:rPr>
          <w:rFonts w:ascii="宋体" w:hAnsi="宋体" w:eastAsia="宋体"/>
          <w:color w:val="auto"/>
          <w:highlight w:val="none"/>
        </w:rPr>
      </w:pPr>
    </w:p>
    <w:p>
      <w:pPr>
        <w:pStyle w:val="3"/>
        <w:rPr>
          <w:rFonts w:ascii="宋体" w:hAnsi="宋体" w:eastAsia="宋体"/>
          <w:color w:val="auto"/>
          <w:highlight w:val="none"/>
        </w:rPr>
      </w:pPr>
      <w:bookmarkStart w:id="95" w:name="_Toc10098"/>
      <w:r>
        <w:rPr>
          <w:rFonts w:hint="eastAsia" w:ascii="宋体" w:hAnsi="宋体" w:eastAsia="宋体"/>
          <w:color w:val="auto"/>
          <w:highlight w:val="none"/>
        </w:rPr>
        <w:t>第六章  响应文件格式</w:t>
      </w:r>
      <w:bookmarkEnd w:id="92"/>
      <w:bookmarkEnd w:id="93"/>
      <w:bookmarkEnd w:id="94"/>
      <w:bookmarkEnd w:id="95"/>
    </w:p>
    <w:p>
      <w:pPr>
        <w:rPr>
          <w:rFonts w:ascii="宋体" w:hAnsi="宋体" w:eastAsia="宋体"/>
          <w:color w:val="auto"/>
          <w:highlight w:val="none"/>
        </w:rPr>
      </w:pPr>
    </w:p>
    <w:p>
      <w:pPr>
        <w:rPr>
          <w:rFonts w:ascii="宋体" w:hAnsi="宋体" w:eastAsia="宋体"/>
          <w:color w:val="auto"/>
          <w:highlight w:val="none"/>
        </w:rPr>
      </w:pPr>
    </w:p>
    <w:p>
      <w:pPr>
        <w:jc w:val="center"/>
        <w:rPr>
          <w:rFonts w:ascii="宋体" w:hAnsi="宋体" w:eastAsia="宋体"/>
          <w:color w:val="auto"/>
          <w:highlight w:val="none"/>
        </w:rPr>
      </w:pPr>
      <w:r>
        <w:rPr>
          <w:rFonts w:hint="eastAsia" w:ascii="宋体" w:hAnsi="宋体" w:eastAsia="宋体"/>
          <w:color w:val="auto"/>
          <w:highlight w:val="none"/>
        </w:rPr>
        <w:t>（用于响应文件封面）</w:t>
      </w:r>
    </w:p>
    <w:p>
      <w:pPr>
        <w:rPr>
          <w:rFonts w:ascii="宋体" w:hAnsi="宋体" w:eastAsia="宋体"/>
          <w:color w:val="auto"/>
          <w:highlight w:val="none"/>
        </w:rPr>
      </w:pPr>
    </w:p>
    <w:p>
      <w:pPr>
        <w:jc w:val="center"/>
        <w:rPr>
          <w:rFonts w:ascii="宋体" w:hAnsi="宋体" w:eastAsia="宋体"/>
          <w:color w:val="auto"/>
          <w:sz w:val="84"/>
          <w:szCs w:val="84"/>
          <w:highlight w:val="none"/>
        </w:rPr>
      </w:pPr>
      <w:r>
        <w:rPr>
          <w:rFonts w:hint="eastAsia" w:ascii="宋体" w:hAnsi="宋体" w:eastAsia="宋体"/>
          <w:color w:val="auto"/>
          <w:sz w:val="84"/>
          <w:szCs w:val="84"/>
          <w:highlight w:val="none"/>
        </w:rPr>
        <w:t>响应文件</w:t>
      </w:r>
    </w:p>
    <w:p>
      <w:pPr>
        <w:rPr>
          <w:rFonts w:ascii="宋体" w:hAnsi="宋体" w:eastAsia="宋体"/>
          <w:color w:val="auto"/>
          <w:highlight w:val="none"/>
        </w:rPr>
      </w:pPr>
    </w:p>
    <w:p>
      <w:pPr>
        <w:jc w:val="center"/>
        <w:rPr>
          <w:rFonts w:ascii="宋体" w:hAnsi="宋体" w:eastAsia="宋体"/>
          <w:color w:val="auto"/>
          <w:sz w:val="30"/>
          <w:szCs w:val="30"/>
          <w:highlight w:val="none"/>
        </w:rPr>
      </w:pPr>
      <w:r>
        <w:rPr>
          <w:rFonts w:hint="eastAsia" w:ascii="宋体" w:hAnsi="宋体" w:eastAsia="宋体"/>
          <w:color w:val="auto"/>
          <w:sz w:val="30"/>
          <w:szCs w:val="30"/>
          <w:highlight w:val="none"/>
        </w:rPr>
        <w:t>（正/副本）</w:t>
      </w:r>
    </w:p>
    <w:p>
      <w:pPr>
        <w:rPr>
          <w:rFonts w:ascii="宋体" w:hAnsi="宋体" w:eastAsia="宋体"/>
          <w:color w:val="auto"/>
          <w:highlight w:val="none"/>
        </w:rPr>
      </w:pPr>
    </w:p>
    <w:p>
      <w:pPr>
        <w:rPr>
          <w:rFonts w:ascii="宋体" w:hAnsi="宋体" w:eastAsia="宋体"/>
          <w:color w:val="auto"/>
          <w:sz w:val="28"/>
          <w:szCs w:val="28"/>
          <w:highlight w:val="none"/>
        </w:rPr>
      </w:pPr>
    </w:p>
    <w:p>
      <w:pPr>
        <w:spacing w:line="600" w:lineRule="exact"/>
        <w:ind w:firstLine="1400" w:firstLineChars="50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项目名称：</w:t>
      </w:r>
      <w:r>
        <w:rPr>
          <w:rFonts w:hint="eastAsia" w:ascii="宋体" w:hAnsi="宋体" w:eastAsia="宋体"/>
          <w:color w:val="auto"/>
          <w:sz w:val="28"/>
          <w:szCs w:val="28"/>
          <w:highlight w:val="none"/>
          <w:u w:val="single"/>
        </w:rPr>
        <w:t xml:space="preserve">    （项目名称）   </w:t>
      </w:r>
    </w:p>
    <w:p>
      <w:pPr>
        <w:spacing w:line="600" w:lineRule="exact"/>
        <w:ind w:firstLine="1400" w:firstLineChars="50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采购编号：</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响应文件内容：</w:t>
      </w:r>
      <w:r>
        <w:rPr>
          <w:rFonts w:hint="eastAsia" w:ascii="宋体" w:hAnsi="宋体" w:eastAsia="宋体"/>
          <w:color w:val="auto"/>
          <w:sz w:val="28"/>
          <w:szCs w:val="28"/>
          <w:highlight w:val="none"/>
          <w:u w:val="single"/>
        </w:rPr>
        <w:t xml:space="preserve">        价格文件/商务技术文件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供应商名称：</w:t>
      </w:r>
      <w:r>
        <w:rPr>
          <w:rFonts w:hint="eastAsia" w:ascii="宋体" w:hAnsi="宋体" w:eastAsia="宋体"/>
          <w:color w:val="auto"/>
          <w:sz w:val="28"/>
          <w:szCs w:val="28"/>
          <w:highlight w:val="none"/>
          <w:u w:val="single"/>
        </w:rPr>
        <w:t xml:space="preserve">        （盖单位公章）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法定代表人或其委托代理人：</w:t>
      </w:r>
      <w:r>
        <w:rPr>
          <w:rFonts w:hint="eastAsia" w:ascii="宋体" w:hAnsi="宋体" w:eastAsia="宋体"/>
          <w:color w:val="auto"/>
          <w:sz w:val="28"/>
          <w:szCs w:val="28"/>
          <w:highlight w:val="none"/>
          <w:u w:val="single"/>
        </w:rPr>
        <w:t xml:space="preserve">      （签字）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rPr>
          <w:rFonts w:ascii="宋体" w:hAnsi="宋体" w:eastAsia="宋体"/>
          <w:color w:val="auto"/>
          <w:highlight w:val="none"/>
        </w:rPr>
      </w:pPr>
      <w:r>
        <w:rPr>
          <w:rFonts w:ascii="宋体" w:hAnsi="宋体" w:eastAsia="宋体"/>
          <w:color w:val="auto"/>
          <w:highlight w:val="none"/>
        </w:rPr>
        <w:br w:type="page"/>
      </w:r>
    </w:p>
    <w:p>
      <w:pPr>
        <w:spacing w:line="30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附件一：</w:t>
      </w:r>
    </w:p>
    <w:p>
      <w:pPr>
        <w:spacing w:line="30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谈判报价表</w:t>
      </w:r>
    </w:p>
    <w:p>
      <w:pPr>
        <w:rPr>
          <w:rFonts w:ascii="宋体" w:hAnsi="宋体" w:eastAsia="宋体"/>
          <w:color w:val="auto"/>
          <w:sz w:val="24"/>
          <w:highlight w:val="none"/>
          <w:u w:val="single"/>
        </w:rPr>
      </w:pPr>
      <w:r>
        <w:rPr>
          <w:rFonts w:hint="eastAsia" w:ascii="宋体" w:hAnsi="宋体" w:eastAsia="宋体"/>
          <w:color w:val="auto"/>
          <w:sz w:val="24"/>
          <w:highlight w:val="none"/>
        </w:rPr>
        <w:t>采购编号:</w:t>
      </w:r>
    </w:p>
    <w:p>
      <w:pPr>
        <w:rPr>
          <w:rFonts w:ascii="宋体" w:hAnsi="宋体" w:eastAsia="宋体"/>
          <w:color w:val="auto"/>
          <w:sz w:val="24"/>
          <w:highlight w:val="none"/>
          <w:u w:val="single"/>
        </w:rPr>
      </w:pPr>
      <w:r>
        <w:rPr>
          <w:rFonts w:hint="eastAsia" w:ascii="宋体" w:hAnsi="宋体" w:eastAsia="宋体"/>
          <w:color w:val="auto"/>
          <w:sz w:val="24"/>
          <w:highlight w:val="none"/>
        </w:rPr>
        <w:t>项目名称:</w:t>
      </w:r>
    </w:p>
    <w:p>
      <w:pPr>
        <w:rPr>
          <w:rFonts w:ascii="宋体" w:hAnsi="宋体" w:eastAsia="宋体"/>
          <w:color w:val="auto"/>
          <w:sz w:val="24"/>
          <w:highlight w:val="none"/>
        </w:rPr>
      </w:pPr>
      <w:r>
        <w:rPr>
          <w:rFonts w:hint="eastAsia" w:ascii="宋体" w:hAnsi="宋体" w:eastAsia="宋体"/>
          <w:color w:val="auto"/>
          <w:sz w:val="24"/>
          <w:highlight w:val="none"/>
          <w:u w:val="single"/>
        </w:rPr>
        <w:t>　　</w:t>
      </w:r>
      <w:r>
        <w:rPr>
          <w:rFonts w:hint="eastAsia" w:ascii="宋体" w:hAnsi="宋体" w:eastAsia="宋体"/>
          <w:color w:val="auto"/>
          <w:sz w:val="24"/>
          <w:highlight w:val="none"/>
        </w:rPr>
        <w:t>分标（有分标时填写）</w:t>
      </w:r>
    </w:p>
    <w:tbl>
      <w:tblPr>
        <w:tblStyle w:val="38"/>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10"/>
        <w:gridCol w:w="534"/>
        <w:gridCol w:w="1422"/>
        <w:gridCol w:w="1689"/>
        <w:gridCol w:w="141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610"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货物名称</w:t>
            </w:r>
          </w:p>
        </w:tc>
        <w:tc>
          <w:tcPr>
            <w:tcW w:w="534"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数量①</w:t>
            </w:r>
          </w:p>
        </w:tc>
        <w:tc>
          <w:tcPr>
            <w:tcW w:w="1422"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品牌及规格型号、生产厂家及国别</w:t>
            </w:r>
          </w:p>
        </w:tc>
        <w:tc>
          <w:tcPr>
            <w:tcW w:w="1689"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技术参数及性能配置</w:t>
            </w:r>
          </w:p>
        </w:tc>
        <w:tc>
          <w:tcPr>
            <w:tcW w:w="1413"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单价（元）</w:t>
            </w:r>
          </w:p>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②</w:t>
            </w:r>
          </w:p>
        </w:tc>
        <w:tc>
          <w:tcPr>
            <w:tcW w:w="1864"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单项合价（元）</w:t>
            </w:r>
          </w:p>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N</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总报价：人民币</w:t>
            </w:r>
            <w:r>
              <w:rPr>
                <w:rFonts w:hint="eastAsia" w:ascii="宋体" w:hAnsi="宋体" w:eastAsia="宋体"/>
                <w:color w:val="auto"/>
                <w:sz w:val="24"/>
                <w:highlight w:val="none"/>
                <w:u w:val="single"/>
              </w:rPr>
              <w:t xml:space="preserve">              （￥                 </w:t>
            </w:r>
            <w:r>
              <w:rPr>
                <w:rFonts w:hint="eastAsia" w:ascii="宋体" w:hAnsi="宋体" w:eastAsia="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质保期：</w:t>
            </w:r>
          </w:p>
        </w:tc>
      </w:tr>
    </w:tbl>
    <w:p>
      <w:pPr>
        <w:spacing w:after="0" w:line="360" w:lineRule="exact"/>
        <w:jc w:val="both"/>
        <w:rPr>
          <w:rFonts w:ascii="宋体" w:hAnsi="宋体" w:eastAsia="宋体"/>
          <w:color w:val="auto"/>
          <w:highlight w:val="none"/>
        </w:rPr>
      </w:pPr>
      <w:r>
        <w:rPr>
          <w:rFonts w:hint="eastAsia" w:ascii="宋体" w:hAnsi="宋体" w:eastAsia="宋体"/>
          <w:color w:val="auto"/>
          <w:highlight w:val="none"/>
        </w:rPr>
        <w:t>注：1.所有价格均用人民币表示，单位为元，精确到小数点后两位数。</w:t>
      </w:r>
    </w:p>
    <w:p>
      <w:pPr>
        <w:spacing w:after="0" w:line="360" w:lineRule="exact"/>
        <w:ind w:firstLine="440" w:firstLineChars="200"/>
        <w:jc w:val="both"/>
        <w:rPr>
          <w:rFonts w:ascii="宋体" w:hAnsi="宋体" w:eastAsia="宋体"/>
          <w:color w:val="auto"/>
          <w:highlight w:val="none"/>
        </w:rPr>
      </w:pPr>
      <w:r>
        <w:rPr>
          <w:rFonts w:hint="eastAsia" w:ascii="宋体" w:hAnsi="宋体" w:eastAsia="宋体"/>
          <w:bCs/>
          <w:color w:val="auto"/>
          <w:highlight w:val="none"/>
        </w:rPr>
        <w:t>2.各供应商</w:t>
      </w:r>
      <w:r>
        <w:rPr>
          <w:rFonts w:hint="eastAsia" w:ascii="宋体" w:hAnsi="宋体" w:eastAsia="宋体"/>
          <w:color w:val="auto"/>
          <w:highlight w:val="none"/>
        </w:rPr>
        <w:t>必须就“项目采购需求和说明”中所有内容作完整唯一报价，否则，其响应文件无效。</w:t>
      </w:r>
    </w:p>
    <w:p>
      <w:pPr>
        <w:spacing w:after="0" w:line="360" w:lineRule="exact"/>
        <w:ind w:firstLine="440" w:firstLineChars="200"/>
        <w:jc w:val="both"/>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此表的总报价是所有需采购方支付的本次采购标的金额总数，即竞标总价。竞标总价须包含完成用户需求要求所有内容的全部费用。</w:t>
      </w:r>
      <w:r>
        <w:rPr>
          <w:rFonts w:ascii="宋体" w:hAnsi="宋体" w:eastAsia="宋体"/>
          <w:color w:val="auto"/>
          <w:highlight w:val="none"/>
        </w:rPr>
        <w:tab/>
      </w:r>
    </w:p>
    <w:p>
      <w:pPr>
        <w:spacing w:after="0" w:line="360" w:lineRule="exact"/>
        <w:ind w:firstLine="440" w:firstLineChars="200"/>
        <w:jc w:val="both"/>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olor w:val="auto"/>
          <w:highlight w:val="none"/>
        </w:rPr>
        <w:t>若此表由多页构成的，需逐页加盖供应商公章。</w:t>
      </w:r>
    </w:p>
    <w:p>
      <w:pPr>
        <w:spacing w:after="120"/>
        <w:rPr>
          <w:rFonts w:ascii="宋体" w:hAnsi="宋体" w:eastAsia="宋体"/>
          <w:color w:val="auto"/>
          <w:highlight w:val="none"/>
        </w:rPr>
      </w:pPr>
    </w:p>
    <w:p>
      <w:pPr>
        <w:spacing w:after="120"/>
        <w:rPr>
          <w:rFonts w:ascii="宋体" w:hAnsi="宋体" w:eastAsia="宋体"/>
          <w:color w:val="auto"/>
          <w:highlight w:val="none"/>
        </w:rPr>
      </w:pP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after="120" w:line="360" w:lineRule="auto"/>
        <w:ind w:left="1320" w:leftChars="600"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 xml:space="preserve">地址：      </w:t>
      </w:r>
      <w:r>
        <w:rPr>
          <w:rFonts w:hint="eastAsia" w:ascii="宋体" w:hAnsi="宋体" w:eastAsia="宋体" w:cs="宋体"/>
          <w:color w:val="auto"/>
          <w:sz w:val="24"/>
          <w:highlight w:val="none"/>
        </w:rPr>
        <w:t>邮编</w:t>
      </w:r>
      <w:r>
        <w:rPr>
          <w:rFonts w:hint="eastAsia" w:ascii="宋体" w:hAnsi="宋体" w:eastAsia="宋体"/>
          <w:color w:val="auto"/>
          <w:sz w:val="24"/>
          <w:highlight w:val="none"/>
        </w:rPr>
        <w:t>：</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olor w:val="auto"/>
          <w:sz w:val="24"/>
          <w:highlight w:val="none"/>
        </w:rPr>
        <w:t xml:space="preserve">：      </w:t>
      </w:r>
      <w:r>
        <w:rPr>
          <w:rFonts w:hint="eastAsia" w:ascii="宋体" w:hAnsi="宋体" w:eastAsia="宋体" w:cs="宋体"/>
          <w:color w:val="auto"/>
          <w:sz w:val="24"/>
          <w:highlight w:val="none"/>
        </w:rPr>
        <w:t>传</w:t>
      </w:r>
      <w:r>
        <w:rPr>
          <w:rFonts w:hint="eastAsia" w:ascii="宋体" w:hAnsi="宋体" w:eastAsia="宋体"/>
          <w:color w:val="auto"/>
          <w:sz w:val="24"/>
          <w:highlight w:val="none"/>
        </w:rPr>
        <w:t>真：</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日期：  年  月  日</w:t>
      </w:r>
    </w:p>
    <w:p>
      <w:pPr>
        <w:spacing w:line="300" w:lineRule="auto"/>
        <w:rPr>
          <w:rFonts w:ascii="宋体" w:hAnsi="宋体" w:eastAsia="宋体"/>
          <w:b/>
          <w:bCs/>
          <w:color w:val="auto"/>
          <w:sz w:val="24"/>
          <w:highlight w:val="none"/>
        </w:rPr>
      </w:pPr>
      <w:r>
        <w:rPr>
          <w:rFonts w:ascii="宋体" w:hAnsi="宋体" w:eastAsia="宋体"/>
          <w:color w:val="auto"/>
          <w:szCs w:val="21"/>
          <w:highlight w:val="none"/>
        </w:rPr>
        <w:br w:type="page"/>
      </w:r>
      <w:r>
        <w:rPr>
          <w:rFonts w:hint="eastAsia" w:ascii="宋体" w:hAnsi="宋体" w:eastAsia="宋体"/>
          <w:b/>
          <w:bCs/>
          <w:color w:val="auto"/>
          <w:sz w:val="24"/>
          <w:highlight w:val="none"/>
        </w:rPr>
        <w:t>附件二：</w:t>
      </w:r>
    </w:p>
    <w:p>
      <w:pPr>
        <w:spacing w:beforeLines="50" w:afterLines="50" w:line="600" w:lineRule="exact"/>
        <w:jc w:val="center"/>
        <w:rPr>
          <w:rFonts w:ascii="宋体" w:hAnsi="宋体" w:eastAsia="宋体"/>
          <w:b/>
          <w:bCs/>
          <w:color w:val="auto"/>
          <w:sz w:val="32"/>
          <w:szCs w:val="32"/>
          <w:highlight w:val="none"/>
        </w:rPr>
      </w:pPr>
      <w:bookmarkStart w:id="96" w:name="_Toc246095476"/>
      <w:bookmarkStart w:id="97" w:name="_Toc246095538"/>
      <w:bookmarkStart w:id="98" w:name="_Toc246094932"/>
      <w:r>
        <w:rPr>
          <w:rFonts w:hint="eastAsia" w:ascii="宋体" w:hAnsi="宋体" w:eastAsia="宋体"/>
          <w:b/>
          <w:bCs/>
          <w:color w:val="auto"/>
          <w:sz w:val="32"/>
          <w:szCs w:val="32"/>
          <w:highlight w:val="none"/>
        </w:rPr>
        <w:t>谈判书</w:t>
      </w:r>
      <w:bookmarkEnd w:id="96"/>
      <w:bookmarkEnd w:id="97"/>
      <w:bookmarkEnd w:id="98"/>
    </w:p>
    <w:p>
      <w:pPr>
        <w:spacing w:after="0" w:line="420" w:lineRule="exact"/>
        <w:rPr>
          <w:rFonts w:ascii="宋体" w:hAnsi="宋体" w:eastAsia="宋体"/>
          <w:color w:val="auto"/>
          <w:sz w:val="24"/>
          <w:highlight w:val="none"/>
          <w:u w:val="single"/>
        </w:rPr>
      </w:pPr>
      <w:r>
        <w:rPr>
          <w:rFonts w:hint="eastAsia" w:ascii="宋体" w:hAnsi="宋体" w:eastAsia="宋体"/>
          <w:color w:val="auto"/>
          <w:sz w:val="24"/>
          <w:highlight w:val="none"/>
        </w:rPr>
        <w:t>致：(采购代理机构)</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根据贵方的</w:t>
      </w:r>
      <w:r>
        <w:rPr>
          <w:rFonts w:hint="eastAsia" w:ascii="宋体" w:hAnsi="宋体" w:eastAsia="宋体" w:cs="Arial"/>
          <w:color w:val="auto"/>
          <w:sz w:val="24"/>
          <w:highlight w:val="none"/>
          <w:u w:val="single"/>
        </w:rPr>
        <w:t xml:space="preserve">   （项目名称） （采购编号：     ）  </w:t>
      </w:r>
      <w:r>
        <w:rPr>
          <w:rFonts w:hint="eastAsia" w:ascii="宋体" w:hAnsi="宋体" w:eastAsia="宋体" w:cs="Arial"/>
          <w:color w:val="auto"/>
          <w:sz w:val="24"/>
          <w:highlight w:val="none"/>
        </w:rPr>
        <w:t>项目政府采购的谈判邀请，我方授权代表</w:t>
      </w:r>
      <w:r>
        <w:rPr>
          <w:rFonts w:hint="eastAsia" w:ascii="宋体" w:hAnsi="宋体" w:eastAsia="宋体" w:cs="Arial"/>
          <w:color w:val="auto"/>
          <w:sz w:val="24"/>
          <w:highlight w:val="none"/>
          <w:u w:val="single"/>
        </w:rPr>
        <w:t xml:space="preserve">         （姓名和职务）</w:t>
      </w:r>
      <w:r>
        <w:rPr>
          <w:rFonts w:hint="eastAsia" w:ascii="宋体" w:hAnsi="宋体" w:eastAsia="宋体" w:cs="Arial"/>
          <w:color w:val="auto"/>
          <w:sz w:val="24"/>
          <w:highlight w:val="none"/>
        </w:rPr>
        <w:t>经正式授权并代表供应商</w:t>
      </w:r>
      <w:r>
        <w:rPr>
          <w:rFonts w:hint="eastAsia" w:ascii="宋体" w:hAnsi="宋体" w:eastAsia="宋体" w:cs="Arial"/>
          <w:color w:val="auto"/>
          <w:sz w:val="24"/>
          <w:highlight w:val="none"/>
          <w:u w:val="single"/>
        </w:rPr>
        <w:t xml:space="preserve">    （供应商名称）   </w:t>
      </w:r>
      <w:r>
        <w:rPr>
          <w:rFonts w:hint="eastAsia" w:ascii="宋体" w:hAnsi="宋体" w:eastAsia="宋体" w:cs="Arial"/>
          <w:color w:val="auto"/>
          <w:sz w:val="24"/>
          <w:highlight w:val="none"/>
        </w:rPr>
        <w:t>提交响应文件正本一份、副本份。</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在此，授权代表宣布同意如下：</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3．本次响应文件有效期</w:t>
      </w:r>
      <w:r>
        <w:rPr>
          <w:rFonts w:hint="eastAsia" w:ascii="宋体" w:hAnsi="宋体" w:eastAsia="宋体" w:cs="宋体"/>
          <w:color w:val="auto"/>
          <w:sz w:val="24"/>
          <w:highlight w:val="none"/>
        </w:rPr>
        <w:t>自响应文件提交截止之日起天（日历天）</w:t>
      </w:r>
      <w:r>
        <w:rPr>
          <w:rFonts w:hint="eastAsia" w:ascii="宋体" w:hAnsi="宋体" w:eastAsia="宋体" w:cs="Arial"/>
          <w:color w:val="auto"/>
          <w:sz w:val="24"/>
          <w:highlight w:val="none"/>
        </w:rPr>
        <w:t>内。</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4．如成交，供应商将按“竞争性谈判文件”及政府采购法律、法规的规定履行合同责任和义务。</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5．供应商同意按照贵方要求提供与谈判有关的一切数据或资料。</w:t>
      </w:r>
    </w:p>
    <w:p>
      <w:pPr>
        <w:autoSpaceDE w:val="0"/>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6. 本项目谈判保证金请退回如下账号：</w:t>
      </w:r>
    </w:p>
    <w:tbl>
      <w:tblPr>
        <w:tblStyle w:val="38"/>
        <w:tblW w:w="8984" w:type="dxa"/>
        <w:jc w:val="center"/>
        <w:tblLayout w:type="fixed"/>
        <w:tblCellMar>
          <w:top w:w="0" w:type="dxa"/>
          <w:left w:w="108" w:type="dxa"/>
          <w:bottom w:w="0" w:type="dxa"/>
          <w:right w:w="108" w:type="dxa"/>
        </w:tblCellMar>
      </w:tblPr>
      <w:tblGrid>
        <w:gridCol w:w="3533"/>
        <w:gridCol w:w="1731"/>
        <w:gridCol w:w="1860"/>
        <w:gridCol w:w="1860"/>
      </w:tblGrid>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供应商（收款单位）名称</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Arial"/>
                <w:color w:val="auto"/>
                <w:sz w:val="24"/>
                <w:highlight w:val="none"/>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供应商地址</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Arial"/>
                <w:color w:val="auto"/>
                <w:sz w:val="24"/>
                <w:highlight w:val="none"/>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开户银行</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Arial"/>
                <w:color w:val="auto"/>
                <w:sz w:val="24"/>
                <w:highlight w:val="none"/>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账    号</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Arial"/>
                <w:color w:val="auto"/>
                <w:sz w:val="24"/>
                <w:highlight w:val="none"/>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联 系 人</w:t>
            </w:r>
          </w:p>
        </w:tc>
        <w:tc>
          <w:tcPr>
            <w:tcW w:w="1731"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Arial"/>
                <w:color w:val="auto"/>
                <w:sz w:val="24"/>
                <w:highlight w:val="none"/>
              </w:rPr>
            </w:pPr>
          </w:p>
        </w:tc>
        <w:tc>
          <w:tcPr>
            <w:tcW w:w="1860" w:type="dxa"/>
            <w:tcBorders>
              <w:top w:val="single" w:color="000000" w:sz="4" w:space="0"/>
              <w:left w:val="single" w:color="000000" w:sz="4" w:space="0"/>
              <w:bottom w:val="single" w:color="000000" w:sz="4" w:space="0"/>
            </w:tcBorders>
            <w:vAlign w:val="center"/>
          </w:tcPr>
          <w:p>
            <w:pPr>
              <w:spacing w:after="0" w:line="42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联系电话</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宋体" w:hAnsi="宋体" w:eastAsia="宋体" w:cs="Arial"/>
                <w:color w:val="auto"/>
                <w:sz w:val="24"/>
                <w:highlight w:val="none"/>
              </w:rPr>
            </w:pPr>
          </w:p>
        </w:tc>
      </w:tr>
    </w:tbl>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7．与本次谈判有关的一切正式往来信函请寄：</w:t>
      </w:r>
    </w:p>
    <w:p>
      <w:pPr>
        <w:spacing w:after="0" w:line="420" w:lineRule="exact"/>
        <w:ind w:left="1320" w:leftChars="600" w:firstLine="480" w:firstLineChars="200"/>
        <w:rPr>
          <w:rFonts w:ascii="宋体" w:hAnsi="宋体" w:eastAsia="宋体"/>
          <w:color w:val="auto"/>
          <w:sz w:val="24"/>
          <w:highlight w:val="none"/>
        </w:rPr>
      </w:pP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地址：       邮编：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电话：       传真：</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日期：  年  月  日</w:t>
      </w:r>
    </w:p>
    <w:p>
      <w:pPr>
        <w:spacing w:after="0" w:line="420" w:lineRule="exact"/>
        <w:ind w:left="1320" w:leftChars="600" w:firstLine="480" w:firstLineChars="200"/>
        <w:rPr>
          <w:rFonts w:ascii="宋体" w:hAnsi="宋体" w:eastAsia="宋体"/>
          <w:color w:val="auto"/>
          <w:sz w:val="24"/>
          <w:highlight w:val="none"/>
        </w:rPr>
      </w:pPr>
    </w:p>
    <w:p>
      <w:pPr>
        <w:spacing w:after="0" w:line="420" w:lineRule="exact"/>
        <w:rPr>
          <w:rFonts w:ascii="宋体" w:hAnsi="宋体" w:eastAsia="宋体"/>
          <w:b/>
          <w:color w:val="auto"/>
          <w:sz w:val="24"/>
          <w:highlight w:val="none"/>
        </w:rPr>
      </w:pPr>
      <w:bookmarkStart w:id="99" w:name="_Toc405196519"/>
      <w:r>
        <w:rPr>
          <w:rFonts w:hint="eastAsia" w:ascii="宋体" w:hAnsi="宋体" w:eastAsia="宋体"/>
          <w:color w:val="auto"/>
          <w:highlight w:val="none"/>
        </w:rPr>
        <w:br w:type="page"/>
      </w:r>
      <w:r>
        <w:rPr>
          <w:rFonts w:hint="eastAsia" w:ascii="宋体" w:hAnsi="宋体" w:eastAsia="宋体"/>
          <w:b/>
          <w:color w:val="auto"/>
          <w:sz w:val="24"/>
          <w:highlight w:val="none"/>
        </w:rPr>
        <w:t>附件三：</w:t>
      </w:r>
    </w:p>
    <w:bookmarkEnd w:id="99"/>
    <w:p>
      <w:pPr>
        <w:spacing w:beforeLines="50" w:afterLines="50" w:line="600" w:lineRule="exac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竞标声明书</w:t>
      </w:r>
    </w:p>
    <w:p>
      <w:pPr>
        <w:spacing w:after="0" w:line="400" w:lineRule="exact"/>
        <w:rPr>
          <w:rFonts w:ascii="宋体" w:hAnsi="宋体" w:eastAsia="宋体"/>
          <w:color w:val="auto"/>
          <w:sz w:val="24"/>
          <w:highlight w:val="none"/>
        </w:rPr>
      </w:pPr>
    </w:p>
    <w:p>
      <w:pPr>
        <w:spacing w:after="0" w:line="400" w:lineRule="exact"/>
        <w:rPr>
          <w:rFonts w:ascii="宋体" w:hAnsi="宋体" w:eastAsia="宋体"/>
          <w:color w:val="auto"/>
          <w:sz w:val="24"/>
          <w:szCs w:val="20"/>
          <w:highlight w:val="none"/>
        </w:rPr>
      </w:pPr>
      <w:r>
        <w:rPr>
          <w:rFonts w:hint="eastAsia" w:ascii="宋体" w:hAnsi="宋体" w:eastAsia="宋体"/>
          <w:color w:val="auto"/>
          <w:sz w:val="24"/>
          <w:highlight w:val="none"/>
        </w:rPr>
        <w:t>致：(采购代理机构)</w:t>
      </w:r>
    </w:p>
    <w:p>
      <w:pPr>
        <w:spacing w:after="0" w:line="400" w:lineRule="exact"/>
        <w:ind w:firstLine="720" w:firstLineChars="300"/>
        <w:rPr>
          <w:rFonts w:ascii="宋体" w:hAnsi="宋体" w:eastAsia="宋体"/>
          <w:color w:val="auto"/>
          <w:sz w:val="24"/>
          <w:szCs w:val="20"/>
          <w:highlight w:val="none"/>
        </w:rPr>
      </w:pPr>
      <w:r>
        <w:rPr>
          <w:rFonts w:hint="eastAsia" w:ascii="宋体" w:hAnsi="宋体" w:eastAsia="宋体"/>
          <w:color w:val="auto"/>
          <w:sz w:val="24"/>
          <w:highlight w:val="none"/>
          <w:u w:val="single"/>
        </w:rPr>
        <w:t>（供应商名称）</w:t>
      </w:r>
      <w:r>
        <w:rPr>
          <w:rFonts w:hint="eastAsia" w:ascii="宋体" w:hAnsi="宋体" w:eastAsia="宋体"/>
          <w:color w:val="auto"/>
          <w:sz w:val="24"/>
          <w:highlight w:val="none"/>
        </w:rPr>
        <w:t>系中华人民共和国合法企业，经营地址：。</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我</w:t>
      </w:r>
      <w:r>
        <w:rPr>
          <w:rFonts w:hint="eastAsia" w:ascii="宋体" w:hAnsi="宋体" w:eastAsia="宋体"/>
          <w:color w:val="auto"/>
          <w:sz w:val="24"/>
          <w:highlight w:val="none"/>
          <w:u w:val="single"/>
        </w:rPr>
        <w:t>（姓名）</w:t>
      </w:r>
      <w:r>
        <w:rPr>
          <w:rFonts w:hint="eastAsia" w:ascii="宋体" w:hAnsi="宋体" w:eastAsia="宋体"/>
          <w:color w:val="auto"/>
          <w:sz w:val="24"/>
          <w:highlight w:val="none"/>
        </w:rPr>
        <w:t>系</w:t>
      </w:r>
      <w:r>
        <w:rPr>
          <w:rFonts w:hint="eastAsia" w:ascii="宋体" w:hAnsi="宋体" w:eastAsia="宋体"/>
          <w:color w:val="auto"/>
          <w:sz w:val="24"/>
          <w:highlight w:val="none"/>
          <w:u w:val="single"/>
        </w:rPr>
        <w:t>（供应商名称）</w:t>
      </w:r>
      <w:r>
        <w:rPr>
          <w:rFonts w:hint="eastAsia" w:ascii="宋体" w:hAnsi="宋体" w:eastAsia="宋体"/>
          <w:color w:val="auto"/>
          <w:sz w:val="24"/>
          <w:highlight w:val="none"/>
        </w:rPr>
        <w:t>的法定代表人，我方愿意参加贵方组织的</w:t>
      </w:r>
      <w:r>
        <w:rPr>
          <w:rFonts w:hint="eastAsia" w:ascii="宋体" w:hAnsi="宋体" w:eastAsia="宋体"/>
          <w:color w:val="auto"/>
          <w:sz w:val="24"/>
          <w:highlight w:val="none"/>
          <w:u w:val="single"/>
        </w:rPr>
        <w:t xml:space="preserve">（项目名称）（采购编号：      </w:t>
      </w:r>
      <w:r>
        <w:rPr>
          <w:rFonts w:hint="eastAsia" w:ascii="宋体" w:hAnsi="宋体" w:eastAsia="宋体"/>
          <w:color w:val="auto"/>
          <w:sz w:val="24"/>
          <w:highlight w:val="none"/>
        </w:rPr>
        <w:t>）的竞标，为便于贵方公正、择优地确定成交人及其服务，我方就本次竞标有关事项郑重声明如下：</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1.我方向贵方提交的所有响应文件、资料都是准确的和真实的。</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0" w:line="400" w:lineRule="exact"/>
        <w:ind w:firstLine="480" w:firstLineChars="200"/>
        <w:rPr>
          <w:rFonts w:ascii="宋体" w:hAnsi="宋体" w:eastAsia="宋体"/>
          <w:color w:val="auto"/>
          <w:sz w:val="24"/>
          <w:szCs w:val="20"/>
          <w:highlight w:val="none"/>
        </w:rPr>
      </w:pPr>
      <w:r>
        <w:rPr>
          <w:rFonts w:ascii="宋体" w:hAnsi="宋体" w:eastAsia="宋体"/>
          <w:color w:val="auto"/>
          <w:sz w:val="24"/>
          <w:szCs w:val="20"/>
          <w:highlight w:val="none"/>
        </w:rPr>
        <w:t>3</w:t>
      </w:r>
      <w:r>
        <w:rPr>
          <w:rFonts w:hint="eastAsia" w:ascii="宋体" w:hAnsi="宋体" w:eastAsia="宋体"/>
          <w:color w:val="auto"/>
          <w:sz w:val="24"/>
          <w:szCs w:val="20"/>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szCs w:val="20"/>
          <w:highlight w:val="none"/>
        </w:rPr>
        <w:t>□我方本次响应文件</w:t>
      </w:r>
      <w:r>
        <w:rPr>
          <w:rFonts w:hint="eastAsia" w:ascii="宋体" w:hAnsi="宋体" w:eastAsia="宋体" w:cs="宋体"/>
          <w:color w:val="auto"/>
          <w:sz w:val="24"/>
          <w:highlight w:val="none"/>
        </w:rPr>
        <w:t>内容中</w:t>
      </w:r>
      <w:r>
        <w:rPr>
          <w:rFonts w:hint="eastAsia" w:ascii="宋体" w:hAnsi="宋体" w:eastAsia="宋体"/>
          <w:color w:val="auto"/>
          <w:sz w:val="24"/>
          <w:szCs w:val="20"/>
          <w:highlight w:val="none"/>
        </w:rPr>
        <w:t>未</w:t>
      </w:r>
      <w:r>
        <w:rPr>
          <w:rFonts w:hint="eastAsia" w:ascii="宋体" w:hAnsi="宋体" w:eastAsia="宋体" w:cs="宋体"/>
          <w:color w:val="auto"/>
          <w:sz w:val="24"/>
          <w:highlight w:val="none"/>
        </w:rPr>
        <w:t>涉及商业秘密；</w:t>
      </w:r>
    </w:p>
    <w:p>
      <w:pPr>
        <w:spacing w:after="0" w:line="400" w:lineRule="exact"/>
        <w:ind w:firstLine="480" w:firstLineChars="200"/>
        <w:rPr>
          <w:rFonts w:ascii="宋体" w:hAnsi="宋体" w:eastAsia="宋体"/>
          <w:color w:val="auto"/>
          <w:sz w:val="24"/>
          <w:szCs w:val="20"/>
          <w:highlight w:val="none"/>
          <w:u w:val="single"/>
        </w:rPr>
      </w:pPr>
      <w:r>
        <w:rPr>
          <w:rFonts w:hint="eastAsia" w:ascii="宋体" w:hAnsi="宋体" w:eastAsia="宋体"/>
          <w:color w:val="auto"/>
          <w:sz w:val="24"/>
          <w:szCs w:val="20"/>
          <w:highlight w:val="none"/>
        </w:rPr>
        <w:t>□我方本次响应文件</w:t>
      </w:r>
      <w:r>
        <w:rPr>
          <w:rFonts w:hint="eastAsia" w:ascii="宋体" w:hAnsi="宋体" w:eastAsia="宋体" w:cs="宋体"/>
          <w:color w:val="auto"/>
          <w:sz w:val="24"/>
          <w:highlight w:val="none"/>
        </w:rPr>
        <w:t>涉及商业秘密的内容有：；</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.我方在此声明，完全符合《中华人民共和国政府采购法》第二十二条规定的供应商资格条件，我方对此声明负全部法律责任。</w:t>
      </w:r>
    </w:p>
    <w:p>
      <w:pPr>
        <w:spacing w:after="0" w:line="400" w:lineRule="exact"/>
        <w:ind w:firstLine="480" w:firstLineChars="200"/>
        <w:rPr>
          <w:rFonts w:ascii="宋体" w:hAnsi="宋体" w:eastAsia="宋体"/>
          <w:color w:val="auto"/>
          <w:sz w:val="24"/>
          <w:szCs w:val="20"/>
          <w:highlight w:val="none"/>
          <w:u w:val="single"/>
        </w:rPr>
      </w:pPr>
      <w:r>
        <w:rPr>
          <w:rFonts w:hint="eastAsia" w:ascii="宋体" w:hAnsi="宋体" w:eastAsia="宋体"/>
          <w:color w:val="auto"/>
          <w:sz w:val="24"/>
          <w:highlight w:val="none"/>
          <w:lang w:val="zh-CN"/>
        </w:rPr>
        <w:t>5.以上事项如有虚假或隐瞒，我方愿意承担一切后果，并不再寻求任何旨在减轻或免除法律责任的辩解。</w:t>
      </w:r>
    </w:p>
    <w:p>
      <w:pPr>
        <w:spacing w:after="0" w:line="400" w:lineRule="exact"/>
        <w:ind w:firstLine="480" w:firstLineChars="200"/>
        <w:rPr>
          <w:rFonts w:ascii="宋体" w:hAnsi="宋体" w:eastAsia="宋体"/>
          <w:color w:val="auto"/>
          <w:sz w:val="24"/>
          <w:szCs w:val="20"/>
          <w:highlight w:val="none"/>
          <w:u w:val="single"/>
        </w:rPr>
      </w:pPr>
    </w:p>
    <w:p>
      <w:pPr>
        <w:spacing w:line="400" w:lineRule="exact"/>
        <w:ind w:firstLine="5476" w:firstLineChars="2282"/>
        <w:rPr>
          <w:rFonts w:ascii="宋体" w:hAnsi="宋体" w:eastAsia="宋体"/>
          <w:color w:val="auto"/>
          <w:sz w:val="24"/>
          <w:highlight w:val="none"/>
        </w:rPr>
      </w:pPr>
    </w:p>
    <w:p>
      <w:pPr>
        <w:spacing w:line="4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400" w:lineRule="exact"/>
        <w:ind w:firstLine="3720" w:firstLineChars="1550"/>
        <w:rPr>
          <w:rFonts w:ascii="宋体" w:hAnsi="宋体" w:eastAsia="宋体"/>
          <w:color w:val="auto"/>
          <w:sz w:val="24"/>
          <w:highlight w:val="none"/>
          <w:u w:val="single"/>
        </w:rPr>
      </w:pPr>
      <w:r>
        <w:rPr>
          <w:rFonts w:hint="eastAsia" w:ascii="宋体" w:hAnsi="宋体" w:eastAsia="宋体"/>
          <w:color w:val="auto"/>
          <w:sz w:val="24"/>
          <w:highlight w:val="none"/>
        </w:rPr>
        <w:t>法定代表人</w:t>
      </w:r>
      <w:r>
        <w:rPr>
          <w:rFonts w:hint="eastAsia" w:ascii="宋体" w:hAnsi="宋体" w:eastAsia="宋体"/>
          <w:color w:val="auto"/>
          <w:sz w:val="24"/>
          <w:highlight w:val="none"/>
          <w:lang w:eastAsia="zh-CN"/>
        </w:rPr>
        <w:t>或授权委托代理人</w:t>
      </w:r>
      <w:r>
        <w:rPr>
          <w:rFonts w:hint="eastAsia" w:ascii="宋体" w:hAnsi="宋体" w:eastAsia="宋体"/>
          <w:color w:val="auto"/>
          <w:sz w:val="24"/>
          <w:highlight w:val="none"/>
        </w:rPr>
        <w:t>签字：</w:t>
      </w:r>
    </w:p>
    <w:p>
      <w:pPr>
        <w:spacing w:line="4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日期：  年  月  日</w:t>
      </w:r>
    </w:p>
    <w:p>
      <w:pPr>
        <w:adjustRightInd/>
        <w:snapToGrid/>
        <w:spacing w:line="220" w:lineRule="atLeast"/>
        <w:rPr>
          <w:rFonts w:ascii="宋体" w:hAnsi="宋体" w:eastAsia="宋体"/>
          <w:b/>
          <w:color w:val="auto"/>
          <w:sz w:val="24"/>
          <w:highlight w:val="none"/>
        </w:rPr>
      </w:pPr>
      <w:r>
        <w:rPr>
          <w:rFonts w:ascii="宋体" w:hAnsi="宋体" w:eastAsia="宋体"/>
          <w:b/>
          <w:color w:val="auto"/>
          <w:sz w:val="24"/>
          <w:highlight w:val="none"/>
        </w:rPr>
        <w:br w:type="page"/>
      </w:r>
    </w:p>
    <w:p>
      <w:pPr>
        <w:spacing w:line="360" w:lineRule="auto"/>
        <w:ind w:firstLine="482" w:firstLineChars="200"/>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附件四：谈判保证金交纳证明材料复印件</w:t>
      </w:r>
    </w:p>
    <w:p>
      <w:pPr>
        <w:spacing w:after="0" w:line="420" w:lineRule="exact"/>
        <w:rPr>
          <w:rFonts w:asciiTheme="minorEastAsia" w:hAnsiTheme="minorEastAsia" w:eastAsiaTheme="minorEastAsia"/>
          <w:color w:val="auto"/>
          <w:highlight w:val="none"/>
        </w:rPr>
      </w:pPr>
    </w:p>
    <w:p>
      <w:pPr>
        <w:pStyle w:val="20"/>
        <w:spacing w:line="440" w:lineRule="exact"/>
        <w:rPr>
          <w:rFonts w:hint="eastAsia" w:hAnsi="宋体"/>
          <w:b/>
          <w:color w:val="auto"/>
          <w:sz w:val="21"/>
          <w:szCs w:val="21"/>
          <w:highlight w:val="none"/>
        </w:rPr>
      </w:pPr>
    </w:p>
    <w:p>
      <w:pPr>
        <w:pStyle w:val="20"/>
        <w:spacing w:line="440" w:lineRule="exact"/>
        <w:ind w:firstLine="3584" w:firstLineChars="1700"/>
        <w:rPr>
          <w:rFonts w:hint="eastAsia" w:hAnsi="宋体"/>
          <w:b/>
          <w:color w:val="auto"/>
          <w:sz w:val="21"/>
          <w:szCs w:val="21"/>
          <w:highlight w:val="none"/>
        </w:rPr>
      </w:pPr>
      <w:r>
        <w:rPr>
          <w:rFonts w:hint="eastAsia" w:hAnsi="宋体"/>
          <w:b/>
          <w:color w:val="auto"/>
          <w:sz w:val="21"/>
          <w:szCs w:val="21"/>
          <w:highlight w:val="none"/>
          <w:lang w:eastAsia="zh-CN"/>
        </w:rPr>
        <w:t>竞标</w:t>
      </w:r>
      <w:r>
        <w:rPr>
          <w:rFonts w:hint="eastAsia" w:hAnsi="宋体"/>
          <w:b/>
          <w:color w:val="auto"/>
          <w:sz w:val="21"/>
          <w:szCs w:val="21"/>
          <w:highlight w:val="none"/>
        </w:rPr>
        <w:t xml:space="preserve">保函（格式1） </w:t>
      </w:r>
    </w:p>
    <w:p>
      <w:pPr>
        <w:pStyle w:val="20"/>
        <w:spacing w:line="440" w:lineRule="exact"/>
        <w:rPr>
          <w:rFonts w:hint="eastAsia" w:hAnsi="宋体"/>
          <w:b/>
          <w:color w:val="auto"/>
          <w:sz w:val="21"/>
          <w:szCs w:val="21"/>
          <w:highlight w:val="none"/>
        </w:rPr>
      </w:pPr>
    </w:p>
    <w:p>
      <w:pPr>
        <w:pStyle w:val="20"/>
        <w:spacing w:line="440" w:lineRule="exact"/>
        <w:rPr>
          <w:rFonts w:hint="eastAsia" w:hAnsi="宋体"/>
          <w:b/>
          <w:color w:val="auto"/>
          <w:sz w:val="21"/>
          <w:szCs w:val="21"/>
          <w:highlight w:val="none"/>
        </w:rPr>
      </w:pPr>
      <w:r>
        <w:rPr>
          <w:rFonts w:hint="eastAsia" w:hAnsi="宋体"/>
          <w:b/>
          <w:color w:val="auto"/>
          <w:sz w:val="21"/>
          <w:szCs w:val="21"/>
          <w:highlight w:val="none"/>
        </w:rPr>
        <w:t>（采购人名称）：</w:t>
      </w:r>
    </w:p>
    <w:p>
      <w:pPr>
        <w:pStyle w:val="20"/>
        <w:spacing w:line="440" w:lineRule="exact"/>
        <w:ind w:firstLine="632" w:firstLineChars="300"/>
        <w:rPr>
          <w:rFonts w:hint="eastAsia" w:hAnsi="宋体"/>
          <w:b/>
          <w:color w:val="auto"/>
          <w:sz w:val="21"/>
          <w:szCs w:val="21"/>
          <w:highlight w:val="none"/>
        </w:rPr>
      </w:pPr>
      <w:r>
        <w:rPr>
          <w:rFonts w:hint="eastAsia" w:hAnsi="宋体"/>
          <w:b/>
          <w:color w:val="auto"/>
          <w:sz w:val="21"/>
          <w:szCs w:val="21"/>
          <w:highlight w:val="none"/>
        </w:rPr>
        <w:t>鉴于</w:t>
      </w:r>
      <w:r>
        <w:rPr>
          <w:rFonts w:hint="eastAsia" w:hAnsi="宋体"/>
          <w:b/>
          <w:color w:val="auto"/>
          <w:sz w:val="21"/>
          <w:szCs w:val="21"/>
          <w:highlight w:val="none"/>
          <w:u w:val="single"/>
        </w:rPr>
        <w:t xml:space="preserve">          </w:t>
      </w:r>
      <w:r>
        <w:rPr>
          <w:rFonts w:hint="eastAsia" w:hAnsi="宋体"/>
          <w:b/>
          <w:color w:val="auto"/>
          <w:sz w:val="21"/>
          <w:szCs w:val="21"/>
          <w:highlight w:val="none"/>
        </w:rPr>
        <w:t>（</w:t>
      </w:r>
      <w:r>
        <w:rPr>
          <w:rFonts w:hint="eastAsia" w:hAnsi="宋体"/>
          <w:b/>
          <w:color w:val="auto"/>
          <w:sz w:val="21"/>
          <w:szCs w:val="21"/>
          <w:highlight w:val="none"/>
          <w:lang w:eastAsia="zh-CN"/>
        </w:rPr>
        <w:t>竞标人</w:t>
      </w:r>
      <w:r>
        <w:rPr>
          <w:rFonts w:hint="eastAsia" w:hAnsi="宋体"/>
          <w:b/>
          <w:color w:val="auto"/>
          <w:sz w:val="21"/>
          <w:szCs w:val="21"/>
          <w:highlight w:val="none"/>
        </w:rPr>
        <w:t>名称）（以下称“</w:t>
      </w:r>
      <w:r>
        <w:rPr>
          <w:rFonts w:hint="eastAsia" w:hAnsi="宋体"/>
          <w:b/>
          <w:color w:val="auto"/>
          <w:sz w:val="21"/>
          <w:szCs w:val="21"/>
          <w:highlight w:val="none"/>
          <w:lang w:eastAsia="zh-CN"/>
        </w:rPr>
        <w:t>竞标人</w:t>
      </w:r>
      <w:r>
        <w:rPr>
          <w:rFonts w:hint="eastAsia" w:hAnsi="宋体"/>
          <w:b/>
          <w:color w:val="auto"/>
          <w:sz w:val="21"/>
          <w:szCs w:val="21"/>
          <w:highlight w:val="none"/>
        </w:rPr>
        <w:t>”）于</w:t>
      </w:r>
      <w:r>
        <w:rPr>
          <w:rFonts w:hint="eastAsia" w:hAnsi="宋体"/>
          <w:b/>
          <w:color w:val="auto"/>
          <w:sz w:val="21"/>
          <w:szCs w:val="21"/>
          <w:highlight w:val="none"/>
          <w:u w:val="single"/>
        </w:rPr>
        <w:t xml:space="preserve">      </w:t>
      </w:r>
      <w:r>
        <w:rPr>
          <w:rFonts w:hint="eastAsia" w:hAnsi="宋体"/>
          <w:b/>
          <w:color w:val="auto"/>
          <w:sz w:val="21"/>
          <w:szCs w:val="21"/>
          <w:highlight w:val="none"/>
        </w:rPr>
        <w:t>年</w:t>
      </w:r>
      <w:r>
        <w:rPr>
          <w:rFonts w:hint="eastAsia" w:hAnsi="宋体"/>
          <w:b/>
          <w:color w:val="auto"/>
          <w:sz w:val="21"/>
          <w:szCs w:val="21"/>
          <w:highlight w:val="none"/>
          <w:u w:val="single"/>
        </w:rPr>
        <w:t xml:space="preserve">     </w:t>
      </w:r>
      <w:r>
        <w:rPr>
          <w:rFonts w:hint="eastAsia" w:hAnsi="宋体"/>
          <w:b/>
          <w:color w:val="auto"/>
          <w:sz w:val="21"/>
          <w:szCs w:val="21"/>
          <w:highlight w:val="none"/>
        </w:rPr>
        <w:t>月</w:t>
      </w:r>
      <w:r>
        <w:rPr>
          <w:rFonts w:hint="eastAsia" w:hAnsi="宋体"/>
          <w:b/>
          <w:color w:val="auto"/>
          <w:sz w:val="21"/>
          <w:szCs w:val="21"/>
          <w:highlight w:val="none"/>
          <w:u w:val="single"/>
        </w:rPr>
        <w:t xml:space="preserve">   </w:t>
      </w:r>
      <w:r>
        <w:rPr>
          <w:rFonts w:hint="eastAsia" w:hAnsi="宋体"/>
          <w:b/>
          <w:color w:val="auto"/>
          <w:sz w:val="21"/>
          <w:szCs w:val="21"/>
          <w:highlight w:val="none"/>
        </w:rPr>
        <w:t>日参加</w:t>
      </w:r>
      <w:r>
        <w:rPr>
          <w:rFonts w:hint="eastAsia" w:hAnsi="宋体"/>
          <w:b/>
          <w:color w:val="auto"/>
          <w:sz w:val="21"/>
          <w:szCs w:val="21"/>
          <w:highlight w:val="none"/>
          <w:u w:val="single"/>
        </w:rPr>
        <w:t xml:space="preserve">          </w:t>
      </w:r>
      <w:r>
        <w:rPr>
          <w:rFonts w:hint="eastAsia" w:hAnsi="宋体"/>
          <w:b/>
          <w:color w:val="auto"/>
          <w:sz w:val="21"/>
          <w:szCs w:val="21"/>
          <w:highlight w:val="none"/>
        </w:rPr>
        <w:t>（项目名称）的</w:t>
      </w:r>
      <w:r>
        <w:rPr>
          <w:rFonts w:hint="eastAsia" w:hAnsi="宋体"/>
          <w:b/>
          <w:color w:val="auto"/>
          <w:sz w:val="21"/>
          <w:szCs w:val="21"/>
          <w:highlight w:val="none"/>
          <w:lang w:eastAsia="zh-CN"/>
        </w:rPr>
        <w:t>竞标</w:t>
      </w:r>
      <w:r>
        <w:rPr>
          <w:rFonts w:hint="eastAsia" w:hAnsi="宋体"/>
          <w:b/>
          <w:color w:val="auto"/>
          <w:sz w:val="21"/>
          <w:szCs w:val="21"/>
          <w:highlight w:val="none"/>
        </w:rPr>
        <w:t>，</w:t>
      </w:r>
      <w:r>
        <w:rPr>
          <w:rFonts w:hint="eastAsia" w:hAnsi="宋体"/>
          <w:b/>
          <w:color w:val="auto"/>
          <w:sz w:val="21"/>
          <w:szCs w:val="21"/>
          <w:highlight w:val="none"/>
          <w:u w:val="single"/>
        </w:rPr>
        <w:t xml:space="preserve">         </w:t>
      </w:r>
      <w:r>
        <w:rPr>
          <w:rFonts w:hint="eastAsia" w:hAnsi="宋体"/>
          <w:b/>
          <w:color w:val="auto"/>
          <w:sz w:val="21"/>
          <w:szCs w:val="21"/>
          <w:highlight w:val="none"/>
        </w:rPr>
        <w:t>（担保人名称，以下简称“我方”）无条件地、不可撤销地保证：</w:t>
      </w:r>
      <w:r>
        <w:rPr>
          <w:rFonts w:hint="eastAsia" w:hAnsi="宋体"/>
          <w:b/>
          <w:color w:val="auto"/>
          <w:sz w:val="21"/>
          <w:szCs w:val="21"/>
          <w:highlight w:val="none"/>
          <w:lang w:eastAsia="zh-CN"/>
        </w:rPr>
        <w:t>竞标人</w:t>
      </w:r>
      <w:r>
        <w:rPr>
          <w:rFonts w:hint="eastAsia" w:hAnsi="宋体"/>
          <w:b/>
          <w:color w:val="auto"/>
          <w:sz w:val="21"/>
          <w:szCs w:val="21"/>
          <w:highlight w:val="none"/>
        </w:rPr>
        <w:t>在规定的</w:t>
      </w:r>
      <w:r>
        <w:rPr>
          <w:rFonts w:hint="eastAsia" w:hAnsi="宋体"/>
          <w:b/>
          <w:color w:val="auto"/>
          <w:sz w:val="21"/>
          <w:szCs w:val="21"/>
          <w:highlight w:val="none"/>
          <w:lang w:eastAsia="zh-CN"/>
        </w:rPr>
        <w:t>谈判</w:t>
      </w:r>
      <w:r>
        <w:rPr>
          <w:rFonts w:hint="eastAsia" w:hAnsi="宋体"/>
          <w:b/>
          <w:color w:val="auto"/>
          <w:sz w:val="21"/>
          <w:szCs w:val="21"/>
          <w:highlight w:val="none"/>
        </w:rPr>
        <w:t>响应文件有效期内撤销或修改其</w:t>
      </w:r>
      <w:r>
        <w:rPr>
          <w:rFonts w:hint="eastAsia" w:hAnsi="宋体"/>
          <w:b/>
          <w:color w:val="auto"/>
          <w:sz w:val="21"/>
          <w:szCs w:val="21"/>
          <w:highlight w:val="none"/>
          <w:lang w:eastAsia="zh-CN"/>
        </w:rPr>
        <w:t>谈判</w:t>
      </w:r>
      <w:r>
        <w:rPr>
          <w:rFonts w:hint="eastAsia" w:hAnsi="宋体"/>
          <w:b/>
          <w:color w:val="auto"/>
          <w:sz w:val="21"/>
          <w:szCs w:val="21"/>
          <w:highlight w:val="none"/>
        </w:rPr>
        <w:t>响应文件的，或者</w:t>
      </w:r>
      <w:r>
        <w:rPr>
          <w:rFonts w:hint="eastAsia" w:hAnsi="宋体"/>
          <w:b/>
          <w:color w:val="auto"/>
          <w:sz w:val="21"/>
          <w:szCs w:val="21"/>
          <w:highlight w:val="none"/>
          <w:lang w:eastAsia="zh-CN"/>
        </w:rPr>
        <w:t>竞标人</w:t>
      </w:r>
      <w:r>
        <w:rPr>
          <w:rFonts w:hint="eastAsia" w:hAnsi="宋体"/>
          <w:b/>
          <w:color w:val="auto"/>
          <w:sz w:val="21"/>
          <w:szCs w:val="21"/>
          <w:highlight w:val="none"/>
        </w:rPr>
        <w:t>在收到成交通知书后无正当理由拒签合同或拒交规定履约担保的，我方承担保证责任。收到你方书面通知后，在7日内无条件向你方支付人民币（大写）</w:t>
      </w:r>
      <w:r>
        <w:rPr>
          <w:rFonts w:hint="eastAsia" w:hAnsi="宋体"/>
          <w:b/>
          <w:color w:val="auto"/>
          <w:sz w:val="21"/>
          <w:szCs w:val="21"/>
          <w:highlight w:val="none"/>
          <w:u w:val="single"/>
        </w:rPr>
        <w:t xml:space="preserve">         </w:t>
      </w:r>
      <w:r>
        <w:rPr>
          <w:rFonts w:hint="eastAsia" w:hAnsi="宋体"/>
          <w:b/>
          <w:color w:val="auto"/>
          <w:sz w:val="21"/>
          <w:szCs w:val="21"/>
          <w:highlight w:val="none"/>
        </w:rPr>
        <w:t>元（</w:t>
      </w:r>
      <w:r>
        <w:rPr>
          <w:rFonts w:hint="eastAsia" w:hAnsi="宋体"/>
          <w:b/>
          <w:color w:val="auto"/>
          <w:sz w:val="21"/>
          <w:szCs w:val="21"/>
          <w:highlight w:val="none"/>
          <w:u w:val="single"/>
        </w:rPr>
        <w:t xml:space="preserve">     </w:t>
      </w:r>
      <w:r>
        <w:rPr>
          <w:rFonts w:hint="eastAsia" w:hAnsi="宋体"/>
          <w:b/>
          <w:color w:val="auto"/>
          <w:sz w:val="21"/>
          <w:szCs w:val="21"/>
          <w:highlight w:val="none"/>
        </w:rPr>
        <w:t>元 ）。</w:t>
      </w:r>
    </w:p>
    <w:p>
      <w:pPr>
        <w:pStyle w:val="20"/>
        <w:spacing w:line="440" w:lineRule="exact"/>
        <w:rPr>
          <w:rFonts w:hint="eastAsia" w:hAnsi="宋体"/>
          <w:b/>
          <w:color w:val="auto"/>
          <w:sz w:val="21"/>
          <w:szCs w:val="21"/>
          <w:highlight w:val="none"/>
        </w:rPr>
      </w:pPr>
      <w:r>
        <w:rPr>
          <w:rFonts w:hint="eastAsia" w:hAnsi="宋体"/>
          <w:b/>
          <w:color w:val="auto"/>
          <w:sz w:val="21"/>
          <w:szCs w:val="21"/>
          <w:highlight w:val="none"/>
        </w:rPr>
        <w:t>本保函在</w:t>
      </w:r>
      <w:r>
        <w:rPr>
          <w:rFonts w:hint="eastAsia" w:hAnsi="宋体"/>
          <w:b/>
          <w:color w:val="auto"/>
          <w:sz w:val="21"/>
          <w:szCs w:val="21"/>
          <w:highlight w:val="none"/>
          <w:lang w:eastAsia="zh-CN"/>
        </w:rPr>
        <w:t>竞标</w:t>
      </w:r>
      <w:r>
        <w:rPr>
          <w:rFonts w:hint="eastAsia" w:hAnsi="宋体"/>
          <w:b/>
          <w:color w:val="auto"/>
          <w:sz w:val="21"/>
          <w:szCs w:val="21"/>
          <w:highlight w:val="none"/>
        </w:rPr>
        <w:t>有效期内保持有效。要求我方承担保证责任的书面通知应在</w:t>
      </w:r>
      <w:r>
        <w:rPr>
          <w:rFonts w:hint="eastAsia" w:hAnsi="宋体"/>
          <w:b/>
          <w:color w:val="auto"/>
          <w:sz w:val="21"/>
          <w:szCs w:val="21"/>
          <w:highlight w:val="none"/>
          <w:lang w:eastAsia="zh-CN"/>
        </w:rPr>
        <w:t>竞标</w:t>
      </w:r>
      <w:r>
        <w:rPr>
          <w:rFonts w:hint="eastAsia" w:hAnsi="宋体"/>
          <w:b/>
          <w:color w:val="auto"/>
          <w:sz w:val="21"/>
          <w:szCs w:val="21"/>
          <w:highlight w:val="none"/>
        </w:rPr>
        <w:t>有效期内送达我方。</w:t>
      </w:r>
    </w:p>
    <w:p>
      <w:pPr>
        <w:pStyle w:val="20"/>
        <w:spacing w:line="440" w:lineRule="exact"/>
        <w:rPr>
          <w:rFonts w:hint="eastAsia" w:hAnsi="宋体"/>
          <w:b/>
          <w:color w:val="auto"/>
          <w:sz w:val="21"/>
          <w:szCs w:val="21"/>
          <w:highlight w:val="none"/>
        </w:rPr>
      </w:pPr>
      <w:r>
        <w:rPr>
          <w:rFonts w:hint="eastAsia" w:hAnsi="宋体"/>
          <w:b/>
          <w:color w:val="auto"/>
          <w:sz w:val="21"/>
          <w:szCs w:val="21"/>
          <w:highlight w:val="none"/>
        </w:rPr>
        <w:t xml:space="preserve"> </w:t>
      </w:r>
    </w:p>
    <w:p>
      <w:pPr>
        <w:pStyle w:val="20"/>
        <w:spacing w:line="440" w:lineRule="exact"/>
        <w:rPr>
          <w:rFonts w:hint="eastAsia" w:hAnsi="宋体"/>
          <w:b/>
          <w:color w:val="auto"/>
          <w:sz w:val="21"/>
          <w:szCs w:val="21"/>
          <w:highlight w:val="none"/>
        </w:rPr>
      </w:pPr>
    </w:p>
    <w:p>
      <w:pPr>
        <w:pStyle w:val="20"/>
        <w:spacing w:line="440" w:lineRule="exact"/>
        <w:ind w:firstLine="1476" w:firstLineChars="700"/>
        <w:jc w:val="left"/>
        <w:rPr>
          <w:rFonts w:hint="eastAsia" w:hAnsi="宋体"/>
          <w:b/>
          <w:color w:val="auto"/>
          <w:sz w:val="21"/>
          <w:szCs w:val="21"/>
          <w:highlight w:val="none"/>
        </w:rPr>
      </w:pPr>
      <w:r>
        <w:rPr>
          <w:rFonts w:hint="eastAsia" w:hAnsi="宋体"/>
          <w:b/>
          <w:color w:val="auto"/>
          <w:sz w:val="21"/>
          <w:szCs w:val="21"/>
          <w:highlight w:val="none"/>
        </w:rPr>
        <w:t>担保人名称：</w:t>
      </w:r>
      <w:r>
        <w:rPr>
          <w:rFonts w:hint="eastAsia" w:hAnsi="宋体"/>
          <w:b/>
          <w:color w:val="auto"/>
          <w:sz w:val="21"/>
          <w:szCs w:val="21"/>
          <w:highlight w:val="none"/>
          <w:u w:val="single"/>
        </w:rPr>
        <w:t xml:space="preserve">                          </w:t>
      </w:r>
      <w:r>
        <w:rPr>
          <w:rFonts w:hint="eastAsia" w:hAnsi="宋体"/>
          <w:b/>
          <w:color w:val="auto"/>
          <w:sz w:val="21"/>
          <w:szCs w:val="21"/>
          <w:highlight w:val="none"/>
        </w:rPr>
        <w:t>（盖单位公章）</w:t>
      </w:r>
    </w:p>
    <w:p>
      <w:pPr>
        <w:pStyle w:val="20"/>
        <w:spacing w:line="440" w:lineRule="exact"/>
        <w:ind w:firstLine="1476" w:firstLineChars="700"/>
        <w:jc w:val="left"/>
        <w:rPr>
          <w:rFonts w:hint="eastAsia" w:hAnsi="宋体"/>
          <w:b/>
          <w:color w:val="auto"/>
          <w:sz w:val="21"/>
          <w:szCs w:val="21"/>
          <w:highlight w:val="none"/>
        </w:rPr>
      </w:pPr>
      <w:r>
        <w:rPr>
          <w:rFonts w:hint="eastAsia" w:hAnsi="宋体"/>
          <w:b/>
          <w:color w:val="auto"/>
          <w:sz w:val="21"/>
          <w:szCs w:val="21"/>
          <w:highlight w:val="none"/>
        </w:rPr>
        <w:t>法定代表人或其委托代理人：</w:t>
      </w:r>
      <w:r>
        <w:rPr>
          <w:rFonts w:hint="eastAsia" w:hAnsi="宋体"/>
          <w:b/>
          <w:color w:val="auto"/>
          <w:sz w:val="21"/>
          <w:szCs w:val="21"/>
          <w:highlight w:val="none"/>
          <w:u w:val="single"/>
        </w:rPr>
        <w:t xml:space="preserve">            </w:t>
      </w:r>
      <w:r>
        <w:rPr>
          <w:rFonts w:hint="eastAsia" w:hAnsi="宋体"/>
          <w:b/>
          <w:color w:val="auto"/>
          <w:sz w:val="21"/>
          <w:szCs w:val="21"/>
          <w:highlight w:val="none"/>
        </w:rPr>
        <w:t>（签字）</w:t>
      </w:r>
    </w:p>
    <w:p>
      <w:pPr>
        <w:pStyle w:val="20"/>
        <w:spacing w:line="440" w:lineRule="exact"/>
        <w:ind w:firstLine="1476" w:firstLineChars="700"/>
        <w:jc w:val="left"/>
        <w:rPr>
          <w:rFonts w:hint="eastAsia" w:hAnsi="宋体"/>
          <w:b/>
          <w:color w:val="auto"/>
          <w:sz w:val="21"/>
          <w:szCs w:val="21"/>
          <w:highlight w:val="none"/>
          <w:u w:val="single"/>
        </w:rPr>
      </w:pPr>
      <w:r>
        <w:rPr>
          <w:rFonts w:hint="eastAsia" w:hAnsi="宋体"/>
          <w:b/>
          <w:color w:val="auto"/>
          <w:sz w:val="21"/>
          <w:szCs w:val="21"/>
          <w:highlight w:val="none"/>
        </w:rPr>
        <w:t>地    址：</w:t>
      </w:r>
    </w:p>
    <w:p>
      <w:pPr>
        <w:pStyle w:val="20"/>
        <w:spacing w:line="440" w:lineRule="exact"/>
        <w:ind w:firstLine="1476" w:firstLineChars="700"/>
        <w:jc w:val="left"/>
        <w:rPr>
          <w:rFonts w:hint="eastAsia" w:hAnsi="宋体"/>
          <w:b/>
          <w:color w:val="auto"/>
          <w:sz w:val="21"/>
          <w:szCs w:val="21"/>
          <w:highlight w:val="none"/>
        </w:rPr>
      </w:pPr>
      <w:r>
        <w:rPr>
          <w:rFonts w:hint="eastAsia" w:hAnsi="宋体"/>
          <w:b/>
          <w:color w:val="auto"/>
          <w:sz w:val="21"/>
          <w:szCs w:val="21"/>
          <w:highlight w:val="none"/>
        </w:rPr>
        <w:t>邮政编码：</w:t>
      </w:r>
    </w:p>
    <w:p>
      <w:pPr>
        <w:pStyle w:val="20"/>
        <w:spacing w:line="440" w:lineRule="exact"/>
        <w:ind w:firstLine="1476" w:firstLineChars="700"/>
        <w:jc w:val="left"/>
        <w:rPr>
          <w:rFonts w:hint="eastAsia" w:hAnsi="宋体"/>
          <w:b/>
          <w:color w:val="auto"/>
          <w:sz w:val="21"/>
          <w:szCs w:val="21"/>
          <w:highlight w:val="none"/>
        </w:rPr>
      </w:pPr>
      <w:r>
        <w:rPr>
          <w:rFonts w:hint="eastAsia" w:hAnsi="宋体"/>
          <w:b/>
          <w:color w:val="auto"/>
          <w:sz w:val="21"/>
          <w:szCs w:val="21"/>
          <w:highlight w:val="none"/>
        </w:rPr>
        <w:t>电    话：</w:t>
      </w:r>
    </w:p>
    <w:p>
      <w:pPr>
        <w:pStyle w:val="20"/>
        <w:spacing w:line="440" w:lineRule="exact"/>
        <w:ind w:firstLine="1476" w:firstLineChars="700"/>
        <w:jc w:val="left"/>
        <w:rPr>
          <w:rFonts w:hint="eastAsia" w:hAnsi="宋体"/>
          <w:b/>
          <w:color w:val="auto"/>
          <w:sz w:val="21"/>
          <w:szCs w:val="21"/>
          <w:highlight w:val="none"/>
        </w:rPr>
      </w:pPr>
      <w:r>
        <w:rPr>
          <w:rFonts w:hint="eastAsia" w:hAnsi="宋体"/>
          <w:b/>
          <w:color w:val="auto"/>
          <w:sz w:val="21"/>
          <w:szCs w:val="21"/>
          <w:highlight w:val="none"/>
        </w:rPr>
        <w:t>传    真：</w:t>
      </w:r>
    </w:p>
    <w:p>
      <w:pPr>
        <w:pStyle w:val="20"/>
        <w:spacing w:line="440" w:lineRule="exact"/>
        <w:jc w:val="left"/>
        <w:rPr>
          <w:rFonts w:hint="eastAsia" w:hAnsi="宋体"/>
          <w:b/>
          <w:color w:val="auto"/>
          <w:sz w:val="21"/>
          <w:szCs w:val="21"/>
          <w:highlight w:val="none"/>
        </w:rPr>
      </w:pPr>
    </w:p>
    <w:p>
      <w:pPr>
        <w:pStyle w:val="20"/>
        <w:spacing w:line="440" w:lineRule="exact"/>
        <w:ind w:firstLine="3373" w:firstLineChars="1600"/>
        <w:jc w:val="left"/>
        <w:rPr>
          <w:rFonts w:hint="eastAsia" w:hAnsi="宋体"/>
          <w:b/>
          <w:color w:val="auto"/>
          <w:sz w:val="21"/>
          <w:szCs w:val="21"/>
          <w:highlight w:val="none"/>
        </w:rPr>
      </w:pPr>
      <w:r>
        <w:rPr>
          <w:rFonts w:hint="eastAsia" w:hAnsi="宋体"/>
          <w:b/>
          <w:color w:val="auto"/>
          <w:sz w:val="21"/>
          <w:szCs w:val="21"/>
          <w:highlight w:val="none"/>
        </w:rPr>
        <w:t>年      月      日</w:t>
      </w:r>
    </w:p>
    <w:p>
      <w:pPr>
        <w:pStyle w:val="20"/>
        <w:spacing w:line="440" w:lineRule="exact"/>
        <w:rPr>
          <w:rFonts w:hint="eastAsia" w:hAnsi="宋体"/>
          <w:b/>
          <w:color w:val="auto"/>
          <w:sz w:val="21"/>
          <w:szCs w:val="21"/>
          <w:highlight w:val="none"/>
        </w:rPr>
      </w:pPr>
    </w:p>
    <w:p>
      <w:pPr>
        <w:pStyle w:val="20"/>
        <w:spacing w:line="440" w:lineRule="exact"/>
        <w:rPr>
          <w:rFonts w:hint="eastAsia" w:hAnsi="宋体"/>
          <w:b/>
          <w:color w:val="auto"/>
          <w:sz w:val="21"/>
          <w:szCs w:val="21"/>
          <w:highlight w:val="none"/>
        </w:rPr>
      </w:pPr>
      <w:r>
        <w:rPr>
          <w:rFonts w:hint="eastAsia" w:hAnsi="宋体"/>
          <w:b/>
          <w:color w:val="auto"/>
          <w:sz w:val="21"/>
          <w:szCs w:val="21"/>
          <w:highlight w:val="none"/>
        </w:rPr>
        <w:t>注：</w:t>
      </w:r>
      <w:r>
        <w:rPr>
          <w:rFonts w:hint="eastAsia" w:hAnsi="宋体"/>
          <w:b/>
          <w:color w:val="auto"/>
          <w:sz w:val="21"/>
          <w:szCs w:val="21"/>
          <w:highlight w:val="none"/>
          <w:lang w:eastAsia="zh-CN"/>
        </w:rPr>
        <w:t>竞标</w:t>
      </w:r>
      <w:r>
        <w:rPr>
          <w:rFonts w:hint="eastAsia" w:hAnsi="宋体"/>
          <w:b/>
          <w:color w:val="auto"/>
          <w:sz w:val="21"/>
          <w:szCs w:val="21"/>
          <w:highlight w:val="none"/>
        </w:rPr>
        <w:t>保证金采取担保的，采用上述格式。竞争性</w:t>
      </w:r>
      <w:r>
        <w:rPr>
          <w:rFonts w:hint="eastAsia" w:hAnsi="宋体"/>
          <w:b/>
          <w:color w:val="auto"/>
          <w:sz w:val="21"/>
          <w:szCs w:val="21"/>
          <w:highlight w:val="none"/>
          <w:lang w:eastAsia="zh-CN"/>
        </w:rPr>
        <w:t>谈判</w:t>
      </w:r>
      <w:r>
        <w:rPr>
          <w:rFonts w:hint="eastAsia" w:hAnsi="宋体"/>
          <w:b/>
          <w:color w:val="auto"/>
          <w:sz w:val="21"/>
          <w:szCs w:val="21"/>
          <w:highlight w:val="none"/>
        </w:rPr>
        <w:t>响应文件在此附上保函证明原件的扫描件。</w:t>
      </w:r>
    </w:p>
    <w:p>
      <w:pPr>
        <w:pStyle w:val="20"/>
        <w:spacing w:line="440" w:lineRule="exact"/>
        <w:rPr>
          <w:rFonts w:hint="eastAsia" w:hAnsi="宋体"/>
          <w:b/>
          <w:color w:val="auto"/>
          <w:sz w:val="21"/>
          <w:szCs w:val="21"/>
          <w:highlight w:val="none"/>
        </w:rPr>
      </w:pPr>
      <w:r>
        <w:rPr>
          <w:rFonts w:hint="eastAsia" w:hAnsi="宋体"/>
          <w:b/>
          <w:color w:val="auto"/>
          <w:sz w:val="21"/>
          <w:szCs w:val="21"/>
          <w:highlight w:val="none"/>
        </w:rPr>
        <w:br w:type="page"/>
      </w:r>
    </w:p>
    <w:p>
      <w:pPr>
        <w:pStyle w:val="20"/>
        <w:spacing w:line="440" w:lineRule="exact"/>
        <w:ind w:firstLine="2891" w:firstLineChars="1200"/>
        <w:rPr>
          <w:rFonts w:hint="eastAsia" w:hAnsi="宋体"/>
          <w:b/>
          <w:color w:val="auto"/>
          <w:sz w:val="24"/>
          <w:szCs w:val="24"/>
          <w:highlight w:val="none"/>
        </w:rPr>
      </w:pPr>
      <w:r>
        <w:rPr>
          <w:rFonts w:hint="eastAsia" w:hAnsi="宋体"/>
          <w:b/>
          <w:color w:val="auto"/>
          <w:sz w:val="24"/>
          <w:szCs w:val="24"/>
          <w:highlight w:val="none"/>
        </w:rPr>
        <w:t>银行转帐、电汇(格式2)</w:t>
      </w:r>
    </w:p>
    <w:p>
      <w:pPr>
        <w:pStyle w:val="20"/>
        <w:spacing w:line="440" w:lineRule="exact"/>
        <w:ind w:firstLine="1687" w:firstLineChars="700"/>
        <w:rPr>
          <w:rFonts w:hint="eastAsia" w:hAnsi="宋体"/>
          <w:b/>
          <w:color w:val="auto"/>
          <w:sz w:val="24"/>
          <w:szCs w:val="24"/>
          <w:highlight w:val="none"/>
        </w:rPr>
      </w:pPr>
      <w:r>
        <w:rPr>
          <w:rFonts w:hint="eastAsia" w:hAnsi="宋体"/>
          <w:b/>
          <w:color w:val="auto"/>
          <w:sz w:val="24"/>
          <w:szCs w:val="24"/>
          <w:highlight w:val="none"/>
          <w:lang w:eastAsia="zh-CN"/>
        </w:rPr>
        <w:t>竞标</w:t>
      </w:r>
      <w:r>
        <w:rPr>
          <w:rFonts w:hint="eastAsia" w:hAnsi="宋体"/>
          <w:b/>
          <w:color w:val="auto"/>
          <w:sz w:val="24"/>
          <w:szCs w:val="24"/>
          <w:highlight w:val="none"/>
        </w:rPr>
        <w:t>保证金交款、退款函及</w:t>
      </w:r>
      <w:r>
        <w:rPr>
          <w:rFonts w:hint="eastAsia" w:hAnsi="宋体"/>
          <w:b/>
          <w:color w:val="auto"/>
          <w:sz w:val="24"/>
          <w:szCs w:val="24"/>
          <w:highlight w:val="none"/>
          <w:lang w:eastAsia="zh-CN"/>
        </w:rPr>
        <w:t>竞标</w:t>
      </w:r>
      <w:r>
        <w:rPr>
          <w:rFonts w:hint="eastAsia" w:hAnsi="宋体"/>
          <w:b/>
          <w:color w:val="auto"/>
          <w:sz w:val="24"/>
          <w:szCs w:val="24"/>
          <w:highlight w:val="none"/>
        </w:rPr>
        <w:t>保证金交款凭证</w:t>
      </w:r>
    </w:p>
    <w:tbl>
      <w:tblPr>
        <w:tblStyle w:val="38"/>
        <w:tblpPr w:leftFromText="180" w:rightFromText="180" w:vertAnchor="page" w:horzAnchor="margin" w:tblpY="3451"/>
        <w:tblW w:w="0" w:type="auto"/>
        <w:tblInd w:w="0" w:type="dxa"/>
        <w:tblLayout w:type="fixed"/>
        <w:tblCellMar>
          <w:top w:w="0" w:type="dxa"/>
          <w:left w:w="108" w:type="dxa"/>
          <w:bottom w:w="0" w:type="dxa"/>
          <w:right w:w="108" w:type="dxa"/>
        </w:tblCellMar>
      </w:tblPr>
      <w:tblGrid>
        <w:gridCol w:w="1170"/>
        <w:gridCol w:w="2624"/>
        <w:gridCol w:w="593"/>
        <w:gridCol w:w="487"/>
        <w:gridCol w:w="1395"/>
        <w:gridCol w:w="244"/>
        <w:gridCol w:w="1817"/>
        <w:gridCol w:w="732"/>
      </w:tblGrid>
      <w:tr>
        <w:tblPrEx>
          <w:tblCellMar>
            <w:top w:w="0" w:type="dxa"/>
            <w:left w:w="108" w:type="dxa"/>
            <w:bottom w:w="0" w:type="dxa"/>
            <w:right w:w="108" w:type="dxa"/>
          </w:tblCellMar>
        </w:tblPrEx>
        <w:trPr>
          <w:trHeight w:val="630" w:hRule="atLeast"/>
        </w:trPr>
        <w:tc>
          <w:tcPr>
            <w:tcW w:w="9062" w:type="dxa"/>
            <w:gridSpan w:val="8"/>
            <w:tcBorders>
              <w:top w:val="nil"/>
              <w:left w:val="nil"/>
              <w:bottom w:val="single" w:color="auto" w:sz="4" w:space="0"/>
              <w:right w:val="nil"/>
            </w:tcBorders>
            <w:noWrap w:val="0"/>
            <w:vAlign w:val="center"/>
          </w:tcPr>
          <w:p>
            <w:pPr>
              <w:pStyle w:val="20"/>
              <w:spacing w:line="440" w:lineRule="exact"/>
              <w:ind w:firstLine="2741" w:firstLineChars="1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保证金交款、退款函</w:t>
            </w:r>
          </w:p>
        </w:tc>
      </w:tr>
      <w:tr>
        <w:tblPrEx>
          <w:tblCellMar>
            <w:top w:w="0" w:type="dxa"/>
            <w:left w:w="108" w:type="dxa"/>
            <w:bottom w:w="0" w:type="dxa"/>
            <w:right w:w="108" w:type="dxa"/>
          </w:tblCellMar>
        </w:tblPrEx>
        <w:trPr>
          <w:trHeight w:val="573" w:hRule="atLeast"/>
        </w:trPr>
        <w:tc>
          <w:tcPr>
            <w:tcW w:w="1170" w:type="dxa"/>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采购编号</w:t>
            </w:r>
          </w:p>
        </w:tc>
        <w:tc>
          <w:tcPr>
            <w:tcW w:w="2624" w:type="dxa"/>
            <w:tcBorders>
              <w:top w:val="single" w:color="auto" w:sz="4" w:space="0"/>
              <w:left w:val="nil"/>
              <w:bottom w:val="single" w:color="auto" w:sz="4" w:space="0"/>
              <w:right w:val="single" w:color="000000"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1080" w:type="dxa"/>
            <w:gridSpan w:val="2"/>
            <w:tcBorders>
              <w:top w:val="nil"/>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3456" w:type="dxa"/>
            <w:gridSpan w:val="3"/>
            <w:tcBorders>
              <w:top w:val="single" w:color="auto" w:sz="4" w:space="0"/>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732" w:type="dxa"/>
            <w:vMerge w:val="restart"/>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请将保证金交款凭证复印件贴于下面</w:t>
            </w:r>
          </w:p>
        </w:tc>
      </w:tr>
      <w:tr>
        <w:tblPrEx>
          <w:tblCellMar>
            <w:top w:w="0" w:type="dxa"/>
            <w:left w:w="108" w:type="dxa"/>
            <w:bottom w:w="0" w:type="dxa"/>
            <w:right w:w="108" w:type="dxa"/>
          </w:tblCellMar>
        </w:tblPrEx>
        <w:trPr>
          <w:trHeight w:val="510" w:hRule="atLeast"/>
        </w:trPr>
        <w:tc>
          <w:tcPr>
            <w:tcW w:w="1170" w:type="dxa"/>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交款单位</w:t>
            </w:r>
          </w:p>
        </w:tc>
        <w:tc>
          <w:tcPr>
            <w:tcW w:w="3704" w:type="dxa"/>
            <w:gridSpan w:val="3"/>
            <w:tcBorders>
              <w:top w:val="single" w:color="auto" w:sz="4" w:space="0"/>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1395" w:type="dxa"/>
            <w:tcBorders>
              <w:top w:val="single" w:color="auto" w:sz="4" w:space="0"/>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c>
          <w:tcPr>
            <w:tcW w:w="2061" w:type="dxa"/>
            <w:gridSpan w:val="2"/>
            <w:tcBorders>
              <w:top w:val="single" w:color="auto" w:sz="4" w:space="0"/>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10" w:hRule="atLeast"/>
        </w:trPr>
        <w:tc>
          <w:tcPr>
            <w:tcW w:w="1170" w:type="dxa"/>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保证金金额</w:t>
            </w:r>
          </w:p>
        </w:tc>
        <w:tc>
          <w:tcPr>
            <w:tcW w:w="2624" w:type="dxa"/>
            <w:tcBorders>
              <w:top w:val="nil"/>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c>
          <w:tcPr>
            <w:tcW w:w="4536" w:type="dxa"/>
            <w:gridSpan w:val="5"/>
            <w:vMerge w:val="restart"/>
            <w:tcBorders>
              <w:top w:val="nil"/>
              <w:left w:val="single" w:color="auto" w:sz="4" w:space="0"/>
              <w:bottom w:val="nil"/>
              <w:right w:val="single" w:color="000000" w:sz="4" w:space="0"/>
            </w:tcBorders>
            <w:noWrap w:val="0"/>
            <w:vAlign w:val="top"/>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若我单位不成交请代理单位于该项目成交通知书发出后5个工作日内将保证金退回原交款人。                               </w:t>
            </w: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10" w:hRule="atLeast"/>
        </w:trPr>
        <w:tc>
          <w:tcPr>
            <w:tcW w:w="3794" w:type="dxa"/>
            <w:gridSpan w:val="2"/>
            <w:tcBorders>
              <w:top w:val="nil"/>
              <w:left w:val="single" w:color="auto" w:sz="4" w:space="0"/>
              <w:bottom w:val="nil"/>
              <w:right w:val="single" w:color="000000"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退款信息：</w:t>
            </w:r>
          </w:p>
        </w:tc>
        <w:tc>
          <w:tcPr>
            <w:tcW w:w="4536" w:type="dxa"/>
            <w:gridSpan w:val="5"/>
            <w:vMerge w:val="continue"/>
            <w:tcBorders>
              <w:top w:val="nil"/>
              <w:left w:val="single" w:color="auto" w:sz="4" w:space="0"/>
              <w:bottom w:val="nil"/>
              <w:right w:val="single" w:color="000000"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10"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户    名</w:t>
            </w:r>
          </w:p>
        </w:tc>
        <w:tc>
          <w:tcPr>
            <w:tcW w:w="2624" w:type="dxa"/>
            <w:tcBorders>
              <w:top w:val="single" w:color="auto" w:sz="4" w:space="0"/>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4536" w:type="dxa"/>
            <w:gridSpan w:val="5"/>
            <w:vMerge w:val="restart"/>
            <w:tcBorders>
              <w:top w:val="nil"/>
              <w:left w:val="single" w:color="auto" w:sz="4" w:space="0"/>
              <w:bottom w:val="nil"/>
              <w:right w:val="single" w:color="000000" w:sz="4" w:space="0"/>
            </w:tcBorders>
            <w:noWrap w:val="0"/>
            <w:vAlign w:val="top"/>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 若我单位成交，请代理单位收到我单位提交的合同后5个工作日内将保证金退回原交款人。                                     </w:t>
            </w: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10" w:hRule="atLeast"/>
        </w:trPr>
        <w:tc>
          <w:tcPr>
            <w:tcW w:w="1170" w:type="dxa"/>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账    号</w:t>
            </w:r>
          </w:p>
        </w:tc>
        <w:tc>
          <w:tcPr>
            <w:tcW w:w="2624" w:type="dxa"/>
            <w:tcBorders>
              <w:top w:val="single" w:color="auto" w:sz="4" w:space="0"/>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4536" w:type="dxa"/>
            <w:gridSpan w:val="5"/>
            <w:vMerge w:val="continue"/>
            <w:tcBorders>
              <w:top w:val="nil"/>
              <w:left w:val="single" w:color="auto" w:sz="4" w:space="0"/>
              <w:bottom w:val="nil"/>
              <w:right w:val="single" w:color="000000"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10" w:hRule="atLeast"/>
        </w:trPr>
        <w:tc>
          <w:tcPr>
            <w:tcW w:w="1170" w:type="dxa"/>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汇入地点</w:t>
            </w:r>
          </w:p>
        </w:tc>
        <w:tc>
          <w:tcPr>
            <w:tcW w:w="2624" w:type="dxa"/>
            <w:tcBorders>
              <w:top w:val="single" w:color="auto" w:sz="4" w:space="0"/>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省       市（县）  </w:t>
            </w:r>
          </w:p>
        </w:tc>
        <w:tc>
          <w:tcPr>
            <w:tcW w:w="593" w:type="dxa"/>
            <w:tcBorders>
              <w:top w:val="nil"/>
              <w:left w:val="nil"/>
              <w:bottom w:val="nil"/>
              <w:right w:val="nil"/>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3943" w:type="dxa"/>
            <w:gridSpan w:val="4"/>
            <w:tcBorders>
              <w:top w:val="nil"/>
              <w:left w:val="nil"/>
              <w:bottom w:val="nil"/>
              <w:right w:val="single" w:color="000000"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供应商盖章：</w:t>
            </w: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10" w:hRule="atLeast"/>
        </w:trPr>
        <w:tc>
          <w:tcPr>
            <w:tcW w:w="1170" w:type="dxa"/>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开户银行</w:t>
            </w:r>
          </w:p>
        </w:tc>
        <w:tc>
          <w:tcPr>
            <w:tcW w:w="2624" w:type="dxa"/>
            <w:tcBorders>
              <w:top w:val="single" w:color="auto" w:sz="4" w:space="0"/>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593" w:type="dxa"/>
            <w:tcBorders>
              <w:top w:val="nil"/>
              <w:left w:val="nil"/>
              <w:bottom w:val="single" w:color="auto" w:sz="4" w:space="0"/>
              <w:right w:val="nil"/>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2126" w:type="dxa"/>
            <w:gridSpan w:val="3"/>
            <w:tcBorders>
              <w:top w:val="nil"/>
              <w:left w:val="nil"/>
              <w:bottom w:val="single" w:color="auto" w:sz="4" w:space="0"/>
              <w:right w:val="nil"/>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w:t>
            </w:r>
          </w:p>
        </w:tc>
        <w:tc>
          <w:tcPr>
            <w:tcW w:w="1817" w:type="dxa"/>
            <w:tcBorders>
              <w:top w:val="nil"/>
              <w:left w:val="nil"/>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 </w:t>
            </w: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345" w:hRule="atLeast"/>
        </w:trPr>
        <w:tc>
          <w:tcPr>
            <w:tcW w:w="8330" w:type="dxa"/>
            <w:gridSpan w:val="7"/>
            <w:tcBorders>
              <w:top w:val="single" w:color="auto" w:sz="4" w:space="0"/>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备注：保证金交纳到以下账户</w:t>
            </w: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345" w:hRule="atLeast"/>
        </w:trPr>
        <w:tc>
          <w:tcPr>
            <w:tcW w:w="8330" w:type="dxa"/>
            <w:gridSpan w:val="7"/>
            <w:tcBorders>
              <w:top w:val="single" w:color="auto" w:sz="4" w:space="0"/>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户  名： </w:t>
            </w:r>
            <w:r>
              <w:rPr>
                <w:rFonts w:hint="eastAsia" w:ascii="宋体" w:hAnsi="宋体" w:eastAsia="宋体" w:cs="宋体"/>
                <w:b/>
                <w:color w:val="auto"/>
                <w:sz w:val="21"/>
                <w:szCs w:val="21"/>
                <w:highlight w:val="none"/>
                <w:lang w:val="en-US" w:eastAsia="zh-CN"/>
              </w:rPr>
              <w:t>广西睿翼工程咨询有限公司河池分公司</w:t>
            </w: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345" w:hRule="atLeast"/>
        </w:trPr>
        <w:tc>
          <w:tcPr>
            <w:tcW w:w="8330" w:type="dxa"/>
            <w:gridSpan w:val="7"/>
            <w:tcBorders>
              <w:top w:val="single" w:color="auto" w:sz="4" w:space="0"/>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开户行 ： </w:t>
            </w:r>
            <w:r>
              <w:rPr>
                <w:rFonts w:hint="eastAsia" w:ascii="宋体" w:hAnsi="宋体" w:eastAsia="宋体" w:cs="宋体"/>
                <w:b/>
                <w:color w:val="auto"/>
                <w:sz w:val="21"/>
                <w:szCs w:val="21"/>
                <w:highlight w:val="none"/>
                <w:lang w:val="en-US" w:eastAsia="zh-CN"/>
              </w:rPr>
              <w:t>中国工商银行河池市金龙湾支行</w:t>
            </w: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345" w:hRule="atLeast"/>
        </w:trPr>
        <w:tc>
          <w:tcPr>
            <w:tcW w:w="8330" w:type="dxa"/>
            <w:gridSpan w:val="7"/>
            <w:tcBorders>
              <w:top w:val="single" w:color="auto" w:sz="4" w:space="0"/>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帐  号：</w:t>
            </w:r>
            <w:r>
              <w:rPr>
                <w:rFonts w:hint="eastAsia" w:ascii="宋体" w:hAnsi="宋体" w:eastAsia="宋体" w:cs="宋体"/>
                <w:b/>
                <w:color w:val="auto"/>
                <w:sz w:val="21"/>
                <w:szCs w:val="21"/>
                <w:highlight w:val="none"/>
                <w:lang w:val="en-US" w:eastAsia="zh-CN"/>
              </w:rPr>
              <w:t>2114 8107 0930 0060 820</w:t>
            </w:r>
            <w:r>
              <w:rPr>
                <w:rFonts w:hint="eastAsia" w:ascii="宋体" w:hAnsi="宋体" w:eastAsia="宋体" w:cs="宋体"/>
                <w:b/>
                <w:color w:val="auto"/>
                <w:sz w:val="21"/>
                <w:szCs w:val="21"/>
                <w:highlight w:val="none"/>
              </w:rPr>
              <w:t xml:space="preserve">  </w:t>
            </w:r>
          </w:p>
        </w:tc>
        <w:tc>
          <w:tcPr>
            <w:tcW w:w="732" w:type="dxa"/>
            <w:vMerge w:val="continue"/>
            <w:tcBorders>
              <w:top w:val="nil"/>
              <w:left w:val="single" w:color="auto" w:sz="4" w:space="0"/>
              <w:bottom w:val="single" w:color="auto" w:sz="4" w:space="0"/>
              <w:right w:val="single" w:color="auto" w:sz="4" w:space="0"/>
            </w:tcBorders>
            <w:noWrap w:val="0"/>
            <w:vAlign w:val="center"/>
          </w:tcPr>
          <w:p>
            <w:pPr>
              <w:pStyle w:val="20"/>
              <w:spacing w:line="440" w:lineRule="exact"/>
              <w:rPr>
                <w:rFonts w:hint="eastAsia" w:ascii="宋体" w:hAnsi="宋体" w:eastAsia="宋体" w:cs="宋体"/>
                <w:b/>
                <w:color w:val="auto"/>
                <w:sz w:val="21"/>
                <w:szCs w:val="21"/>
                <w:highlight w:val="none"/>
              </w:rPr>
            </w:pPr>
          </w:p>
        </w:tc>
      </w:tr>
    </w:tbl>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ind w:firstLine="2108" w:firstLineChars="10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保证金银行转帐底单复印件；</w:t>
      </w: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注：竞争性</w:t>
      </w:r>
      <w:r>
        <w:rPr>
          <w:rFonts w:hint="eastAsia" w:ascii="宋体" w:hAnsi="宋体" w:eastAsia="宋体" w:cs="宋体"/>
          <w:b/>
          <w:color w:val="auto"/>
          <w:sz w:val="21"/>
          <w:szCs w:val="21"/>
          <w:highlight w:val="none"/>
          <w:lang w:eastAsia="zh-CN"/>
        </w:rPr>
        <w:t>谈判</w:t>
      </w:r>
      <w:r>
        <w:rPr>
          <w:rFonts w:hint="eastAsia" w:ascii="宋体" w:hAnsi="宋体" w:eastAsia="宋体" w:cs="宋体"/>
          <w:b/>
          <w:color w:val="auto"/>
          <w:sz w:val="21"/>
          <w:szCs w:val="21"/>
          <w:highlight w:val="none"/>
        </w:rPr>
        <w:t>响应文件必须附此函，以便及时退还</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保证金，</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保证金退还帐户必须与交款帐户一致并在“开户银行”一栏中写明退还账户的详细开户行名称，否则由此造成</w:t>
      </w:r>
      <w:r>
        <w:rPr>
          <w:rFonts w:hint="eastAsia" w:ascii="宋体" w:hAnsi="宋体" w:eastAsia="宋体" w:cs="宋体"/>
          <w:b/>
          <w:color w:val="auto"/>
          <w:sz w:val="21"/>
          <w:szCs w:val="21"/>
          <w:highlight w:val="none"/>
          <w:lang w:eastAsia="zh-CN"/>
        </w:rPr>
        <w:t>竞标</w:t>
      </w:r>
      <w:r>
        <w:rPr>
          <w:rFonts w:hint="eastAsia" w:ascii="宋体" w:hAnsi="宋体" w:eastAsia="宋体" w:cs="宋体"/>
          <w:b/>
          <w:color w:val="auto"/>
          <w:sz w:val="21"/>
          <w:szCs w:val="21"/>
          <w:highlight w:val="none"/>
        </w:rPr>
        <w:t>保证金不能及时退还或退错的后果由供应商自负。供应商按要求开标时同时另附一份此函原件。</w:t>
      </w:r>
    </w:p>
    <w:p>
      <w:pPr>
        <w:pStyle w:val="20"/>
        <w:spacing w:line="440" w:lineRule="exact"/>
        <w:rPr>
          <w:rFonts w:hint="eastAsia" w:ascii="宋体" w:hAnsi="宋体" w:eastAsia="宋体" w:cs="宋体"/>
          <w:b/>
          <w:color w:val="auto"/>
          <w:sz w:val="21"/>
          <w:szCs w:val="21"/>
          <w:highlight w:val="none"/>
        </w:rPr>
      </w:pPr>
    </w:p>
    <w:p>
      <w:pPr>
        <w:pStyle w:val="20"/>
        <w:spacing w:line="440" w:lineRule="exact"/>
        <w:rPr>
          <w:rFonts w:hAnsi="宋体"/>
          <w:b/>
          <w:color w:val="auto"/>
          <w:sz w:val="24"/>
          <w:szCs w:val="24"/>
          <w:highlight w:val="none"/>
        </w:rPr>
      </w:pPr>
    </w:p>
    <w:p>
      <w:pPr>
        <w:pStyle w:val="20"/>
        <w:spacing w:line="440" w:lineRule="exact"/>
        <w:rPr>
          <w:rFonts w:hint="eastAsia" w:hAnsi="宋体"/>
          <w:b/>
          <w:color w:val="auto"/>
          <w:sz w:val="24"/>
          <w:szCs w:val="24"/>
          <w:highlight w:val="none"/>
        </w:rPr>
      </w:pPr>
    </w:p>
    <w:p>
      <w:pPr>
        <w:pStyle w:val="20"/>
        <w:spacing w:line="440" w:lineRule="exact"/>
        <w:rPr>
          <w:rFonts w:hAnsi="宋体"/>
          <w:b/>
          <w:color w:val="auto"/>
          <w:sz w:val="24"/>
          <w:szCs w:val="24"/>
          <w:highlight w:val="none"/>
        </w:rPr>
      </w:pPr>
      <w:r>
        <w:rPr>
          <w:rFonts w:hint="eastAsia" w:hAnsi="宋体"/>
          <w:b/>
          <w:color w:val="auto"/>
          <w:sz w:val="24"/>
          <w:szCs w:val="24"/>
          <w:highlight w:val="none"/>
        </w:rPr>
        <w:t>附件五：</w:t>
      </w:r>
    </w:p>
    <w:p>
      <w:pPr>
        <w:pStyle w:val="20"/>
        <w:spacing w:line="440" w:lineRule="exact"/>
        <w:ind w:firstLine="2570" w:firstLineChars="800"/>
        <w:rPr>
          <w:rFonts w:hAnsi="宋体"/>
          <w:b/>
          <w:color w:val="auto"/>
          <w:sz w:val="32"/>
          <w:szCs w:val="32"/>
          <w:highlight w:val="none"/>
        </w:rPr>
      </w:pPr>
    </w:p>
    <w:p>
      <w:pPr>
        <w:pStyle w:val="20"/>
        <w:spacing w:line="440" w:lineRule="exact"/>
        <w:ind w:firstLine="2570" w:firstLineChars="800"/>
        <w:rPr>
          <w:rFonts w:hAnsi="宋体"/>
          <w:b/>
          <w:color w:val="auto"/>
          <w:sz w:val="32"/>
          <w:szCs w:val="32"/>
          <w:highlight w:val="none"/>
        </w:rPr>
      </w:pPr>
    </w:p>
    <w:p>
      <w:pPr>
        <w:pStyle w:val="20"/>
        <w:spacing w:line="440" w:lineRule="exact"/>
        <w:rPr>
          <w:rFonts w:hAnsi="宋体"/>
          <w:b/>
          <w:color w:val="auto"/>
          <w:sz w:val="32"/>
          <w:szCs w:val="32"/>
          <w:highlight w:val="none"/>
        </w:rPr>
      </w:pPr>
      <w:r>
        <w:rPr>
          <w:rFonts w:hint="eastAsia" w:hAnsi="宋体"/>
          <w:b/>
          <w:color w:val="auto"/>
          <w:sz w:val="32"/>
          <w:szCs w:val="32"/>
          <w:highlight w:val="none"/>
        </w:rPr>
        <w:t>技术响应、偏离情况说明表</w:t>
      </w: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u w:val="single"/>
        </w:rPr>
      </w:pPr>
      <w:r>
        <w:rPr>
          <w:rFonts w:hint="eastAsia" w:ascii="宋体" w:hAnsi="宋体" w:eastAsia="宋体"/>
          <w:color w:val="auto"/>
          <w:szCs w:val="21"/>
          <w:highlight w:val="none"/>
        </w:rPr>
        <w:t>采购编号：</w:t>
      </w:r>
    </w:p>
    <w:p>
      <w:pPr>
        <w:spacing w:line="300" w:lineRule="auto"/>
        <w:rPr>
          <w:rFonts w:ascii="宋体" w:hAnsi="宋体" w:eastAsia="宋体"/>
          <w:b/>
          <w:color w:val="auto"/>
          <w:szCs w:val="21"/>
          <w:highlight w:val="none"/>
        </w:rPr>
      </w:pPr>
      <w:r>
        <w:rPr>
          <w:rFonts w:hint="eastAsia" w:ascii="宋体" w:hAnsi="宋体" w:eastAsia="宋体"/>
          <w:color w:val="auto"/>
          <w:szCs w:val="21"/>
          <w:highlight w:val="none"/>
        </w:rPr>
        <w:t>项目名称：</w:t>
      </w:r>
    </w:p>
    <w:tbl>
      <w:tblPr>
        <w:tblStyle w:val="38"/>
        <w:tblW w:w="92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774"/>
        <w:gridCol w:w="2720"/>
        <w:gridCol w:w="1633"/>
        <w:gridCol w:w="13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828" w:type="dxa"/>
            <w:vAlign w:val="center"/>
          </w:tcPr>
          <w:p>
            <w:pPr>
              <w:spacing w:line="300" w:lineRule="auto"/>
              <w:jc w:val="center"/>
              <w:outlineLvl w:val="9"/>
              <w:rPr>
                <w:rFonts w:ascii="宋体" w:hAnsi="宋体" w:eastAsia="宋体"/>
                <w:color w:val="auto"/>
                <w:szCs w:val="21"/>
                <w:highlight w:val="none"/>
              </w:rPr>
            </w:pPr>
            <w:bookmarkStart w:id="100" w:name="_Toc173066401"/>
            <w:bookmarkStart w:id="101" w:name="_Toc392056928"/>
            <w:bookmarkStart w:id="102" w:name="_Toc437203424"/>
            <w:bookmarkStart w:id="103" w:name="_Toc254970729"/>
            <w:bookmarkStart w:id="104" w:name="_Toc254970588"/>
            <w:bookmarkStart w:id="105" w:name="_Toc173211900"/>
            <w:r>
              <w:rPr>
                <w:rFonts w:hint="eastAsia" w:ascii="宋体" w:hAnsi="宋体" w:eastAsia="宋体"/>
                <w:color w:val="auto"/>
                <w:szCs w:val="21"/>
                <w:highlight w:val="none"/>
              </w:rPr>
              <w:t>序号</w:t>
            </w:r>
            <w:bookmarkEnd w:id="100"/>
            <w:bookmarkEnd w:id="101"/>
            <w:bookmarkEnd w:id="102"/>
            <w:bookmarkEnd w:id="103"/>
            <w:bookmarkEnd w:id="104"/>
            <w:bookmarkEnd w:id="105"/>
          </w:p>
        </w:tc>
        <w:tc>
          <w:tcPr>
            <w:tcW w:w="2774" w:type="dxa"/>
            <w:vAlign w:val="center"/>
          </w:tcPr>
          <w:p>
            <w:pPr>
              <w:spacing w:line="300" w:lineRule="auto"/>
              <w:jc w:val="center"/>
              <w:outlineLvl w:val="9"/>
              <w:rPr>
                <w:rFonts w:ascii="宋体" w:hAnsi="宋体" w:eastAsia="宋体"/>
                <w:color w:val="auto"/>
                <w:szCs w:val="21"/>
                <w:highlight w:val="none"/>
              </w:rPr>
            </w:pPr>
            <w:bookmarkStart w:id="106" w:name="_Toc173066402"/>
            <w:bookmarkStart w:id="107" w:name="_Toc392056929"/>
            <w:bookmarkStart w:id="108" w:name="_Toc254970589"/>
            <w:bookmarkStart w:id="109" w:name="_Toc254970730"/>
            <w:bookmarkStart w:id="110" w:name="_Toc173211901"/>
            <w:bookmarkStart w:id="111" w:name="_Toc437203425"/>
            <w:r>
              <w:rPr>
                <w:rFonts w:hint="eastAsia" w:ascii="宋体" w:hAnsi="宋体" w:eastAsia="宋体"/>
                <w:color w:val="auto"/>
                <w:szCs w:val="21"/>
                <w:highlight w:val="none"/>
              </w:rPr>
              <w:t>竞争性谈判文件要求</w:t>
            </w:r>
            <w:bookmarkEnd w:id="106"/>
            <w:bookmarkEnd w:id="107"/>
            <w:bookmarkEnd w:id="108"/>
            <w:bookmarkEnd w:id="109"/>
            <w:bookmarkEnd w:id="110"/>
            <w:bookmarkEnd w:id="111"/>
          </w:p>
        </w:tc>
        <w:tc>
          <w:tcPr>
            <w:tcW w:w="2720" w:type="dxa"/>
            <w:vAlign w:val="center"/>
          </w:tcPr>
          <w:p>
            <w:pPr>
              <w:spacing w:line="300" w:lineRule="auto"/>
              <w:jc w:val="center"/>
              <w:outlineLvl w:val="9"/>
              <w:rPr>
                <w:rFonts w:ascii="宋体" w:hAnsi="宋体" w:eastAsia="宋体"/>
                <w:color w:val="auto"/>
                <w:szCs w:val="21"/>
                <w:highlight w:val="none"/>
              </w:rPr>
            </w:pPr>
            <w:bookmarkStart w:id="112" w:name="_Toc254970590"/>
            <w:bookmarkStart w:id="113" w:name="_Toc392056930"/>
            <w:bookmarkStart w:id="114" w:name="_Toc173066403"/>
            <w:bookmarkStart w:id="115" w:name="_Toc254970731"/>
            <w:bookmarkStart w:id="116" w:name="_Toc437203426"/>
            <w:bookmarkStart w:id="117" w:name="_Toc173211902"/>
            <w:r>
              <w:rPr>
                <w:rFonts w:hint="eastAsia" w:ascii="宋体" w:hAnsi="宋体" w:eastAsia="宋体"/>
                <w:color w:val="auto"/>
                <w:szCs w:val="21"/>
                <w:highlight w:val="none"/>
              </w:rPr>
              <w:t>谈判响应文件具体响应</w:t>
            </w:r>
            <w:bookmarkEnd w:id="112"/>
            <w:bookmarkEnd w:id="113"/>
            <w:bookmarkEnd w:id="114"/>
            <w:bookmarkEnd w:id="115"/>
            <w:bookmarkEnd w:id="116"/>
            <w:bookmarkEnd w:id="117"/>
          </w:p>
        </w:tc>
        <w:tc>
          <w:tcPr>
            <w:tcW w:w="1633" w:type="dxa"/>
            <w:vAlign w:val="center"/>
          </w:tcPr>
          <w:p>
            <w:pPr>
              <w:spacing w:line="300" w:lineRule="auto"/>
              <w:jc w:val="center"/>
              <w:outlineLvl w:val="9"/>
              <w:rPr>
                <w:rFonts w:ascii="宋体" w:hAnsi="宋体" w:eastAsia="宋体"/>
                <w:color w:val="auto"/>
                <w:szCs w:val="21"/>
                <w:highlight w:val="none"/>
              </w:rPr>
            </w:pPr>
            <w:bookmarkStart w:id="118" w:name="_Toc437203427"/>
            <w:bookmarkStart w:id="119" w:name="_Toc173066404"/>
            <w:bookmarkStart w:id="120" w:name="_Toc254970732"/>
            <w:bookmarkStart w:id="121" w:name="_Toc392056931"/>
            <w:bookmarkStart w:id="122" w:name="_Toc173211903"/>
            <w:bookmarkStart w:id="123" w:name="_Toc254970591"/>
            <w:r>
              <w:rPr>
                <w:rFonts w:hint="eastAsia" w:ascii="宋体" w:hAnsi="宋体" w:eastAsia="宋体"/>
                <w:color w:val="auto"/>
                <w:szCs w:val="21"/>
                <w:highlight w:val="none"/>
              </w:rPr>
              <w:t>响应/偏离</w:t>
            </w:r>
            <w:bookmarkEnd w:id="118"/>
            <w:bookmarkEnd w:id="119"/>
            <w:bookmarkEnd w:id="120"/>
            <w:bookmarkEnd w:id="121"/>
            <w:bookmarkEnd w:id="122"/>
            <w:bookmarkEnd w:id="123"/>
          </w:p>
        </w:tc>
        <w:tc>
          <w:tcPr>
            <w:tcW w:w="1342" w:type="dxa"/>
            <w:vAlign w:val="center"/>
          </w:tcPr>
          <w:p>
            <w:pPr>
              <w:spacing w:line="300" w:lineRule="auto"/>
              <w:jc w:val="center"/>
              <w:outlineLvl w:val="9"/>
              <w:rPr>
                <w:rFonts w:ascii="宋体" w:hAnsi="宋体" w:eastAsia="宋体"/>
                <w:color w:val="auto"/>
                <w:szCs w:val="21"/>
                <w:highlight w:val="none"/>
              </w:rPr>
            </w:pPr>
            <w:bookmarkStart w:id="124" w:name="_Toc254970592"/>
            <w:bookmarkStart w:id="125" w:name="_Toc173066405"/>
            <w:bookmarkStart w:id="126" w:name="_Toc437203428"/>
            <w:bookmarkStart w:id="127" w:name="_Toc392056932"/>
            <w:bookmarkStart w:id="128" w:name="_Toc254970733"/>
            <w:bookmarkStart w:id="129" w:name="_Toc173211904"/>
            <w:r>
              <w:rPr>
                <w:rFonts w:hint="eastAsia" w:ascii="宋体" w:hAnsi="宋体" w:eastAsia="宋体"/>
                <w:color w:val="auto"/>
                <w:szCs w:val="21"/>
                <w:highlight w:val="none"/>
              </w:rPr>
              <w:t>说明</w:t>
            </w:r>
            <w:bookmarkEnd w:id="124"/>
            <w:bookmarkEnd w:id="125"/>
            <w:bookmarkEnd w:id="126"/>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outlineLvl w:val="9"/>
              <w:rPr>
                <w:rFonts w:ascii="宋体" w:hAnsi="宋体" w:eastAsia="宋体"/>
                <w:color w:val="auto"/>
                <w:szCs w:val="21"/>
                <w:highlight w:val="none"/>
              </w:rPr>
            </w:pPr>
            <w:bookmarkStart w:id="130" w:name="_Toc173066406"/>
            <w:bookmarkStart w:id="131" w:name="_Toc392056933"/>
            <w:bookmarkStart w:id="132" w:name="_Toc173211905"/>
            <w:bookmarkStart w:id="133" w:name="_Toc254970734"/>
            <w:bookmarkStart w:id="134" w:name="_Toc254970593"/>
            <w:bookmarkStart w:id="135" w:name="_Toc437203429"/>
            <w:r>
              <w:rPr>
                <w:rFonts w:hint="eastAsia" w:ascii="宋体" w:hAnsi="宋体" w:eastAsia="宋体"/>
                <w:color w:val="auto"/>
                <w:szCs w:val="21"/>
                <w:highlight w:val="none"/>
              </w:rPr>
              <w:t>1</w:t>
            </w:r>
            <w:bookmarkEnd w:id="130"/>
            <w:bookmarkEnd w:id="131"/>
            <w:bookmarkEnd w:id="132"/>
            <w:bookmarkEnd w:id="133"/>
            <w:bookmarkEnd w:id="134"/>
            <w:bookmarkEnd w:id="135"/>
          </w:p>
        </w:tc>
        <w:tc>
          <w:tcPr>
            <w:tcW w:w="2774" w:type="dxa"/>
            <w:vAlign w:val="center"/>
          </w:tcPr>
          <w:p>
            <w:pPr>
              <w:spacing w:line="300" w:lineRule="auto"/>
              <w:jc w:val="center"/>
              <w:outlineLvl w:val="9"/>
              <w:rPr>
                <w:rFonts w:ascii="宋体" w:hAnsi="宋体" w:eastAsia="宋体"/>
                <w:color w:val="auto"/>
                <w:szCs w:val="21"/>
                <w:highlight w:val="none"/>
              </w:rPr>
            </w:pPr>
          </w:p>
        </w:tc>
        <w:tc>
          <w:tcPr>
            <w:tcW w:w="2720" w:type="dxa"/>
            <w:vAlign w:val="center"/>
          </w:tcPr>
          <w:p>
            <w:pPr>
              <w:spacing w:line="300" w:lineRule="auto"/>
              <w:jc w:val="center"/>
              <w:outlineLvl w:val="9"/>
              <w:rPr>
                <w:rFonts w:ascii="宋体" w:hAnsi="宋体" w:eastAsia="宋体"/>
                <w:color w:val="auto"/>
                <w:szCs w:val="21"/>
                <w:highlight w:val="none"/>
              </w:rPr>
            </w:pPr>
          </w:p>
        </w:tc>
        <w:tc>
          <w:tcPr>
            <w:tcW w:w="1633" w:type="dxa"/>
            <w:vAlign w:val="center"/>
          </w:tcPr>
          <w:p>
            <w:pPr>
              <w:spacing w:line="300" w:lineRule="auto"/>
              <w:jc w:val="center"/>
              <w:outlineLvl w:val="9"/>
              <w:rPr>
                <w:rFonts w:ascii="宋体" w:hAnsi="宋体" w:eastAsia="宋体"/>
                <w:color w:val="auto"/>
                <w:szCs w:val="21"/>
                <w:highlight w:val="none"/>
              </w:rPr>
            </w:pPr>
          </w:p>
        </w:tc>
        <w:tc>
          <w:tcPr>
            <w:tcW w:w="1342" w:type="dxa"/>
            <w:vAlign w:val="center"/>
          </w:tcPr>
          <w:p>
            <w:pPr>
              <w:spacing w:line="300" w:lineRule="auto"/>
              <w:jc w:val="center"/>
              <w:outlineLvl w:val="9"/>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outlineLvl w:val="9"/>
              <w:rPr>
                <w:rFonts w:ascii="宋体" w:hAnsi="宋体" w:eastAsia="宋体"/>
                <w:color w:val="auto"/>
                <w:szCs w:val="21"/>
                <w:highlight w:val="none"/>
              </w:rPr>
            </w:pPr>
            <w:bookmarkStart w:id="136" w:name="_Toc254970735"/>
            <w:bookmarkStart w:id="137" w:name="_Toc437203430"/>
            <w:bookmarkStart w:id="138" w:name="_Toc173066407"/>
            <w:bookmarkStart w:id="139" w:name="_Toc173211906"/>
            <w:bookmarkStart w:id="140" w:name="_Toc254970594"/>
            <w:bookmarkStart w:id="141" w:name="_Toc392056934"/>
            <w:r>
              <w:rPr>
                <w:rFonts w:hint="eastAsia" w:ascii="宋体" w:hAnsi="宋体" w:eastAsia="宋体"/>
                <w:color w:val="auto"/>
                <w:szCs w:val="21"/>
                <w:highlight w:val="none"/>
              </w:rPr>
              <w:t>2</w:t>
            </w:r>
            <w:bookmarkEnd w:id="136"/>
            <w:bookmarkEnd w:id="137"/>
            <w:bookmarkEnd w:id="138"/>
            <w:bookmarkEnd w:id="139"/>
            <w:bookmarkEnd w:id="140"/>
            <w:bookmarkEnd w:id="141"/>
          </w:p>
        </w:tc>
        <w:tc>
          <w:tcPr>
            <w:tcW w:w="2774" w:type="dxa"/>
            <w:vAlign w:val="center"/>
          </w:tcPr>
          <w:p>
            <w:pPr>
              <w:spacing w:line="300" w:lineRule="auto"/>
              <w:jc w:val="center"/>
              <w:outlineLvl w:val="9"/>
              <w:rPr>
                <w:rFonts w:ascii="宋体" w:hAnsi="宋体" w:eastAsia="宋体"/>
                <w:color w:val="auto"/>
                <w:szCs w:val="21"/>
                <w:highlight w:val="none"/>
              </w:rPr>
            </w:pPr>
          </w:p>
        </w:tc>
        <w:tc>
          <w:tcPr>
            <w:tcW w:w="2720" w:type="dxa"/>
            <w:vAlign w:val="center"/>
          </w:tcPr>
          <w:p>
            <w:pPr>
              <w:spacing w:line="300" w:lineRule="auto"/>
              <w:jc w:val="center"/>
              <w:outlineLvl w:val="9"/>
              <w:rPr>
                <w:rFonts w:ascii="宋体" w:hAnsi="宋体" w:eastAsia="宋体"/>
                <w:color w:val="auto"/>
                <w:szCs w:val="21"/>
                <w:highlight w:val="none"/>
              </w:rPr>
            </w:pPr>
          </w:p>
        </w:tc>
        <w:tc>
          <w:tcPr>
            <w:tcW w:w="1633" w:type="dxa"/>
            <w:vAlign w:val="center"/>
          </w:tcPr>
          <w:p>
            <w:pPr>
              <w:spacing w:line="300" w:lineRule="auto"/>
              <w:jc w:val="center"/>
              <w:outlineLvl w:val="9"/>
              <w:rPr>
                <w:rFonts w:ascii="宋体" w:hAnsi="宋体" w:eastAsia="宋体"/>
                <w:color w:val="auto"/>
                <w:szCs w:val="21"/>
                <w:highlight w:val="none"/>
              </w:rPr>
            </w:pPr>
          </w:p>
        </w:tc>
        <w:tc>
          <w:tcPr>
            <w:tcW w:w="1342" w:type="dxa"/>
            <w:vAlign w:val="center"/>
          </w:tcPr>
          <w:p>
            <w:pPr>
              <w:spacing w:line="300" w:lineRule="auto"/>
              <w:jc w:val="center"/>
              <w:outlineLvl w:val="9"/>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outlineLvl w:val="9"/>
              <w:rPr>
                <w:rFonts w:ascii="宋体" w:hAnsi="宋体" w:eastAsia="宋体"/>
                <w:color w:val="auto"/>
                <w:szCs w:val="21"/>
                <w:highlight w:val="none"/>
              </w:rPr>
            </w:pPr>
            <w:bookmarkStart w:id="142" w:name="_Toc173211907"/>
            <w:bookmarkStart w:id="143" w:name="_Toc254970736"/>
            <w:bookmarkStart w:id="144" w:name="_Toc173066408"/>
            <w:bookmarkStart w:id="145" w:name="_Toc437203431"/>
            <w:bookmarkStart w:id="146" w:name="_Toc392056935"/>
            <w:bookmarkStart w:id="147" w:name="_Toc254970595"/>
            <w:r>
              <w:rPr>
                <w:rFonts w:hint="eastAsia" w:ascii="宋体" w:hAnsi="宋体" w:eastAsia="宋体"/>
                <w:color w:val="auto"/>
                <w:szCs w:val="21"/>
                <w:highlight w:val="none"/>
              </w:rPr>
              <w:t>3</w:t>
            </w:r>
            <w:bookmarkEnd w:id="142"/>
            <w:bookmarkEnd w:id="143"/>
            <w:bookmarkEnd w:id="144"/>
            <w:bookmarkEnd w:id="145"/>
            <w:bookmarkEnd w:id="146"/>
            <w:bookmarkEnd w:id="147"/>
          </w:p>
        </w:tc>
        <w:tc>
          <w:tcPr>
            <w:tcW w:w="2774" w:type="dxa"/>
            <w:vAlign w:val="center"/>
          </w:tcPr>
          <w:p>
            <w:pPr>
              <w:spacing w:line="300" w:lineRule="auto"/>
              <w:jc w:val="center"/>
              <w:outlineLvl w:val="9"/>
              <w:rPr>
                <w:rFonts w:ascii="宋体" w:hAnsi="宋体" w:eastAsia="宋体"/>
                <w:color w:val="auto"/>
                <w:szCs w:val="21"/>
                <w:highlight w:val="none"/>
              </w:rPr>
            </w:pPr>
          </w:p>
        </w:tc>
        <w:tc>
          <w:tcPr>
            <w:tcW w:w="2720" w:type="dxa"/>
            <w:vAlign w:val="center"/>
          </w:tcPr>
          <w:p>
            <w:pPr>
              <w:spacing w:line="300" w:lineRule="auto"/>
              <w:jc w:val="center"/>
              <w:outlineLvl w:val="9"/>
              <w:rPr>
                <w:rFonts w:ascii="宋体" w:hAnsi="宋体" w:eastAsia="宋体"/>
                <w:color w:val="auto"/>
                <w:szCs w:val="21"/>
                <w:highlight w:val="none"/>
              </w:rPr>
            </w:pPr>
          </w:p>
        </w:tc>
        <w:tc>
          <w:tcPr>
            <w:tcW w:w="1633" w:type="dxa"/>
            <w:vAlign w:val="center"/>
          </w:tcPr>
          <w:p>
            <w:pPr>
              <w:spacing w:line="300" w:lineRule="auto"/>
              <w:jc w:val="center"/>
              <w:outlineLvl w:val="9"/>
              <w:rPr>
                <w:rFonts w:ascii="宋体" w:hAnsi="宋体" w:eastAsia="宋体"/>
                <w:color w:val="auto"/>
                <w:szCs w:val="21"/>
                <w:highlight w:val="none"/>
              </w:rPr>
            </w:pPr>
          </w:p>
        </w:tc>
        <w:tc>
          <w:tcPr>
            <w:tcW w:w="1342" w:type="dxa"/>
            <w:vAlign w:val="center"/>
          </w:tcPr>
          <w:p>
            <w:pPr>
              <w:spacing w:line="300" w:lineRule="auto"/>
              <w:jc w:val="center"/>
              <w:outlineLvl w:val="9"/>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outlineLvl w:val="9"/>
              <w:rPr>
                <w:rFonts w:ascii="宋体" w:hAnsi="宋体" w:eastAsia="宋体"/>
                <w:color w:val="auto"/>
                <w:szCs w:val="21"/>
                <w:highlight w:val="none"/>
              </w:rPr>
            </w:pPr>
            <w:bookmarkStart w:id="148" w:name="_Toc173211908"/>
            <w:bookmarkStart w:id="149" w:name="_Toc392056936"/>
            <w:bookmarkStart w:id="150" w:name="_Toc254970737"/>
            <w:bookmarkStart w:id="151" w:name="_Toc254970596"/>
            <w:bookmarkStart w:id="152" w:name="_Toc437203432"/>
            <w:bookmarkStart w:id="153" w:name="_Toc173066409"/>
            <w:r>
              <w:rPr>
                <w:rFonts w:hint="eastAsia" w:ascii="宋体" w:hAnsi="宋体" w:eastAsia="宋体"/>
                <w:color w:val="auto"/>
                <w:szCs w:val="21"/>
                <w:highlight w:val="none"/>
              </w:rPr>
              <w:t>4</w:t>
            </w:r>
            <w:bookmarkEnd w:id="148"/>
            <w:bookmarkEnd w:id="149"/>
            <w:bookmarkEnd w:id="150"/>
            <w:bookmarkEnd w:id="151"/>
            <w:bookmarkEnd w:id="152"/>
            <w:bookmarkEnd w:id="153"/>
          </w:p>
        </w:tc>
        <w:tc>
          <w:tcPr>
            <w:tcW w:w="2774" w:type="dxa"/>
            <w:vAlign w:val="center"/>
          </w:tcPr>
          <w:p>
            <w:pPr>
              <w:spacing w:line="300" w:lineRule="auto"/>
              <w:jc w:val="center"/>
              <w:outlineLvl w:val="9"/>
              <w:rPr>
                <w:rFonts w:ascii="宋体" w:hAnsi="宋体" w:eastAsia="宋体"/>
                <w:color w:val="auto"/>
                <w:szCs w:val="21"/>
                <w:highlight w:val="none"/>
              </w:rPr>
            </w:pPr>
          </w:p>
        </w:tc>
        <w:tc>
          <w:tcPr>
            <w:tcW w:w="2720" w:type="dxa"/>
            <w:vAlign w:val="center"/>
          </w:tcPr>
          <w:p>
            <w:pPr>
              <w:spacing w:line="300" w:lineRule="auto"/>
              <w:jc w:val="center"/>
              <w:outlineLvl w:val="9"/>
              <w:rPr>
                <w:rFonts w:ascii="宋体" w:hAnsi="宋体" w:eastAsia="宋体"/>
                <w:color w:val="auto"/>
                <w:szCs w:val="21"/>
                <w:highlight w:val="none"/>
              </w:rPr>
            </w:pPr>
          </w:p>
        </w:tc>
        <w:tc>
          <w:tcPr>
            <w:tcW w:w="1633" w:type="dxa"/>
            <w:vAlign w:val="center"/>
          </w:tcPr>
          <w:p>
            <w:pPr>
              <w:spacing w:line="300" w:lineRule="auto"/>
              <w:jc w:val="center"/>
              <w:outlineLvl w:val="9"/>
              <w:rPr>
                <w:rFonts w:ascii="宋体" w:hAnsi="宋体" w:eastAsia="宋体"/>
                <w:color w:val="auto"/>
                <w:szCs w:val="21"/>
                <w:highlight w:val="none"/>
              </w:rPr>
            </w:pPr>
          </w:p>
        </w:tc>
        <w:tc>
          <w:tcPr>
            <w:tcW w:w="1342" w:type="dxa"/>
            <w:vAlign w:val="center"/>
          </w:tcPr>
          <w:p>
            <w:pPr>
              <w:spacing w:line="300" w:lineRule="auto"/>
              <w:jc w:val="center"/>
              <w:outlineLvl w:val="9"/>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outlineLvl w:val="9"/>
              <w:rPr>
                <w:rFonts w:ascii="宋体" w:hAnsi="宋体" w:eastAsia="宋体"/>
                <w:color w:val="auto"/>
                <w:szCs w:val="21"/>
                <w:highlight w:val="none"/>
              </w:rPr>
            </w:pPr>
            <w:bookmarkStart w:id="154" w:name="_Toc437203433"/>
            <w:bookmarkStart w:id="155" w:name="_Toc392056937"/>
            <w:bookmarkStart w:id="156" w:name="_Toc254970738"/>
            <w:bookmarkStart w:id="157" w:name="_Toc173066410"/>
            <w:bookmarkStart w:id="158" w:name="_Toc254970597"/>
            <w:bookmarkStart w:id="159" w:name="_Toc173211909"/>
            <w:r>
              <w:rPr>
                <w:rFonts w:hint="eastAsia" w:ascii="宋体" w:hAnsi="宋体" w:eastAsia="宋体"/>
                <w:color w:val="auto"/>
                <w:szCs w:val="21"/>
                <w:highlight w:val="none"/>
              </w:rPr>
              <w:t>5</w:t>
            </w:r>
            <w:bookmarkEnd w:id="154"/>
            <w:bookmarkEnd w:id="155"/>
            <w:bookmarkEnd w:id="156"/>
            <w:bookmarkEnd w:id="157"/>
            <w:bookmarkEnd w:id="158"/>
            <w:bookmarkEnd w:id="159"/>
          </w:p>
        </w:tc>
        <w:tc>
          <w:tcPr>
            <w:tcW w:w="2774" w:type="dxa"/>
            <w:vAlign w:val="center"/>
          </w:tcPr>
          <w:p>
            <w:pPr>
              <w:spacing w:line="300" w:lineRule="auto"/>
              <w:jc w:val="center"/>
              <w:outlineLvl w:val="9"/>
              <w:rPr>
                <w:rFonts w:ascii="宋体" w:hAnsi="宋体" w:eastAsia="宋体"/>
                <w:color w:val="auto"/>
                <w:szCs w:val="21"/>
                <w:highlight w:val="none"/>
              </w:rPr>
            </w:pPr>
          </w:p>
        </w:tc>
        <w:tc>
          <w:tcPr>
            <w:tcW w:w="2720" w:type="dxa"/>
            <w:vAlign w:val="center"/>
          </w:tcPr>
          <w:p>
            <w:pPr>
              <w:spacing w:line="300" w:lineRule="auto"/>
              <w:jc w:val="center"/>
              <w:outlineLvl w:val="9"/>
              <w:rPr>
                <w:rFonts w:ascii="宋体" w:hAnsi="宋体" w:eastAsia="宋体"/>
                <w:color w:val="auto"/>
                <w:szCs w:val="21"/>
                <w:highlight w:val="none"/>
              </w:rPr>
            </w:pPr>
          </w:p>
        </w:tc>
        <w:tc>
          <w:tcPr>
            <w:tcW w:w="1633" w:type="dxa"/>
            <w:vAlign w:val="center"/>
          </w:tcPr>
          <w:p>
            <w:pPr>
              <w:spacing w:line="300" w:lineRule="auto"/>
              <w:jc w:val="center"/>
              <w:outlineLvl w:val="9"/>
              <w:rPr>
                <w:rFonts w:ascii="宋体" w:hAnsi="宋体" w:eastAsia="宋体"/>
                <w:color w:val="auto"/>
                <w:szCs w:val="21"/>
                <w:highlight w:val="none"/>
              </w:rPr>
            </w:pPr>
          </w:p>
        </w:tc>
        <w:tc>
          <w:tcPr>
            <w:tcW w:w="1342" w:type="dxa"/>
            <w:vAlign w:val="center"/>
          </w:tcPr>
          <w:p>
            <w:pPr>
              <w:spacing w:line="300" w:lineRule="auto"/>
              <w:jc w:val="center"/>
              <w:outlineLvl w:val="9"/>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28" w:type="dxa"/>
            <w:vAlign w:val="center"/>
          </w:tcPr>
          <w:p>
            <w:pPr>
              <w:spacing w:line="300" w:lineRule="auto"/>
              <w:jc w:val="center"/>
              <w:outlineLvl w:val="9"/>
              <w:rPr>
                <w:rFonts w:ascii="宋体" w:hAnsi="宋体" w:eastAsia="宋体"/>
                <w:color w:val="auto"/>
                <w:szCs w:val="21"/>
                <w:highlight w:val="none"/>
              </w:rPr>
            </w:pPr>
            <w:bookmarkStart w:id="160" w:name="_Toc173211914"/>
            <w:bookmarkStart w:id="161" w:name="_Toc254970743"/>
            <w:bookmarkStart w:id="162" w:name="_Toc254970602"/>
            <w:bookmarkStart w:id="163" w:name="_Toc392056938"/>
            <w:bookmarkStart w:id="164" w:name="_Toc173066415"/>
            <w:bookmarkStart w:id="165" w:name="_Toc437203434"/>
            <w:r>
              <w:rPr>
                <w:rFonts w:hint="eastAsia" w:ascii="宋体" w:hAnsi="宋体" w:eastAsia="宋体"/>
                <w:color w:val="auto"/>
                <w:szCs w:val="21"/>
                <w:highlight w:val="none"/>
              </w:rPr>
              <w:t>…</w:t>
            </w:r>
            <w:bookmarkEnd w:id="160"/>
            <w:bookmarkEnd w:id="161"/>
            <w:bookmarkEnd w:id="162"/>
            <w:bookmarkEnd w:id="163"/>
            <w:bookmarkEnd w:id="164"/>
            <w:bookmarkEnd w:id="165"/>
          </w:p>
        </w:tc>
        <w:tc>
          <w:tcPr>
            <w:tcW w:w="2774" w:type="dxa"/>
            <w:vAlign w:val="center"/>
          </w:tcPr>
          <w:p>
            <w:pPr>
              <w:spacing w:line="300" w:lineRule="auto"/>
              <w:jc w:val="center"/>
              <w:outlineLvl w:val="9"/>
              <w:rPr>
                <w:rFonts w:ascii="宋体" w:hAnsi="宋体" w:eastAsia="宋体"/>
                <w:color w:val="auto"/>
                <w:szCs w:val="21"/>
                <w:highlight w:val="none"/>
              </w:rPr>
            </w:pPr>
          </w:p>
        </w:tc>
        <w:tc>
          <w:tcPr>
            <w:tcW w:w="2720" w:type="dxa"/>
            <w:vAlign w:val="center"/>
          </w:tcPr>
          <w:p>
            <w:pPr>
              <w:spacing w:line="300" w:lineRule="auto"/>
              <w:jc w:val="center"/>
              <w:outlineLvl w:val="9"/>
              <w:rPr>
                <w:rFonts w:ascii="宋体" w:hAnsi="宋体" w:eastAsia="宋体"/>
                <w:color w:val="auto"/>
                <w:szCs w:val="21"/>
                <w:highlight w:val="none"/>
              </w:rPr>
            </w:pPr>
          </w:p>
        </w:tc>
        <w:tc>
          <w:tcPr>
            <w:tcW w:w="1633" w:type="dxa"/>
            <w:tcBorders>
              <w:right w:val="single" w:color="auto" w:sz="4" w:space="0"/>
            </w:tcBorders>
            <w:vAlign w:val="center"/>
          </w:tcPr>
          <w:p>
            <w:pPr>
              <w:spacing w:line="300" w:lineRule="auto"/>
              <w:jc w:val="center"/>
              <w:outlineLvl w:val="9"/>
              <w:rPr>
                <w:rFonts w:ascii="宋体" w:hAnsi="宋体" w:eastAsia="宋体"/>
                <w:color w:val="auto"/>
                <w:szCs w:val="21"/>
                <w:highlight w:val="none"/>
              </w:rPr>
            </w:pPr>
          </w:p>
        </w:tc>
        <w:tc>
          <w:tcPr>
            <w:tcW w:w="1342" w:type="dxa"/>
            <w:tcBorders>
              <w:left w:val="single" w:color="auto" w:sz="4" w:space="0"/>
            </w:tcBorders>
            <w:vAlign w:val="center"/>
          </w:tcPr>
          <w:p>
            <w:pPr>
              <w:spacing w:line="300" w:lineRule="auto"/>
              <w:jc w:val="center"/>
              <w:outlineLvl w:val="9"/>
              <w:rPr>
                <w:rFonts w:ascii="宋体" w:hAnsi="宋体" w:eastAsia="宋体"/>
                <w:color w:val="auto"/>
                <w:szCs w:val="21"/>
                <w:highlight w:val="none"/>
              </w:rPr>
            </w:pPr>
          </w:p>
        </w:tc>
      </w:tr>
    </w:tbl>
    <w:p>
      <w:pPr>
        <w:spacing w:line="300" w:lineRule="auto"/>
        <w:rPr>
          <w:rFonts w:ascii="宋体" w:hAnsi="宋体" w:eastAsia="宋体"/>
          <w:color w:val="auto"/>
          <w:szCs w:val="21"/>
          <w:highlight w:val="none"/>
        </w:rPr>
      </w:pPr>
    </w:p>
    <w:p>
      <w:pPr>
        <w:pStyle w:val="17"/>
        <w:spacing w:line="300" w:lineRule="auto"/>
        <w:ind w:firstLine="0" w:firstLineChars="0"/>
        <w:rPr>
          <w:color w:val="auto"/>
          <w:szCs w:val="21"/>
          <w:highlight w:val="none"/>
        </w:rPr>
      </w:pPr>
      <w:r>
        <w:rPr>
          <w:rFonts w:hint="eastAsia"/>
          <w:color w:val="auto"/>
          <w:szCs w:val="21"/>
          <w:highlight w:val="none"/>
        </w:rPr>
        <w:t>说明：应对照竞争性谈判文件“第三章 谈判采购技术规格、参数及要求”，逐条说明所提供货物和服务已对竞争性谈判文件的技术规格做出了实质性的响应并且满足</w:t>
      </w:r>
      <w:r>
        <w:rPr>
          <w:rFonts w:hint="eastAsia"/>
          <w:b/>
          <w:bCs/>
          <w:color w:val="auto"/>
          <w:szCs w:val="21"/>
          <w:highlight w:val="none"/>
        </w:rPr>
        <w:t>设备性能要求</w:t>
      </w:r>
      <w:r>
        <w:rPr>
          <w:rFonts w:hint="eastAsia"/>
          <w:color w:val="auto"/>
          <w:szCs w:val="21"/>
          <w:highlight w:val="none"/>
        </w:rPr>
        <w:t>，并申明与技术规格条文的响应和偏离。特别对有具体参数要求的指标，谈判供应商必须提供所供设备的具体参数值。如果仅注明“符合”、“满足”或简单复制竞争性谈判文件要求，将导致谈判被拒绝。</w:t>
      </w:r>
    </w:p>
    <w:p>
      <w:pPr>
        <w:pStyle w:val="20"/>
        <w:spacing w:line="300" w:lineRule="auto"/>
        <w:rPr>
          <w:rFonts w:hAnsi="宋体"/>
          <w:color w:val="auto"/>
          <w:highlight w:val="none"/>
        </w:rPr>
      </w:pPr>
    </w:p>
    <w:p>
      <w:pPr>
        <w:spacing w:line="500" w:lineRule="exact"/>
        <w:ind w:left="0" w:leftChars="0" w:firstLine="218" w:firstLineChars="91"/>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left="0" w:leftChars="0" w:firstLine="218" w:firstLineChars="91"/>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20"/>
        <w:spacing w:line="500" w:lineRule="exact"/>
        <w:ind w:left="0" w:leftChars="0" w:firstLine="218" w:firstLineChars="91"/>
        <w:rPr>
          <w:rFonts w:hAnsi="宋体"/>
          <w:color w:val="auto"/>
          <w:sz w:val="24"/>
          <w:highlight w:val="none"/>
        </w:rPr>
      </w:pPr>
      <w:r>
        <w:rPr>
          <w:rFonts w:hint="eastAsia" w:hAnsi="宋体"/>
          <w:color w:val="auto"/>
          <w:sz w:val="24"/>
          <w:highlight w:val="none"/>
        </w:rPr>
        <w:t>日期：  年  月  日</w:t>
      </w: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rPr>
      </w:pPr>
    </w:p>
    <w:p>
      <w:pPr>
        <w:ind w:firstLine="4321" w:firstLineChars="1345"/>
        <w:rPr>
          <w:rFonts w:ascii="宋体" w:hAnsi="宋体" w:eastAsia="宋体"/>
          <w:b/>
          <w:color w:val="auto"/>
          <w:sz w:val="32"/>
          <w:szCs w:val="32"/>
          <w:highlight w:val="none"/>
        </w:rPr>
      </w:pPr>
      <w:r>
        <w:rPr>
          <w:rFonts w:hint="eastAsia" w:ascii="宋体" w:hAnsi="宋体" w:eastAsia="宋体"/>
          <w:b/>
          <w:color w:val="auto"/>
          <w:sz w:val="32"/>
          <w:szCs w:val="32"/>
          <w:highlight w:val="none"/>
        </w:rPr>
        <w:t>商务偏离表</w:t>
      </w:r>
    </w:p>
    <w:p>
      <w:pPr>
        <w:ind w:firstLine="562" w:firstLineChars="200"/>
        <w:rPr>
          <w:rFonts w:ascii="宋体" w:hAnsi="宋体" w:eastAsia="宋体"/>
          <w:b/>
          <w:color w:val="auto"/>
          <w:sz w:val="28"/>
          <w:szCs w:val="28"/>
          <w:highlight w:val="none"/>
        </w:rPr>
      </w:pPr>
    </w:p>
    <w:p>
      <w:pPr>
        <w:spacing w:afterLines="50" w:line="420" w:lineRule="exact"/>
        <w:ind w:firstLine="44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采购编号：</w:t>
      </w:r>
    </w:p>
    <w:p>
      <w:pPr>
        <w:pStyle w:val="20"/>
        <w:spacing w:afterLines="50" w:line="420" w:lineRule="exact"/>
        <w:ind w:firstLine="420" w:firstLineChars="200"/>
        <w:rPr>
          <w:rFonts w:hAnsi="宋体"/>
          <w:b/>
          <w:color w:val="auto"/>
          <w:sz w:val="24"/>
          <w:szCs w:val="24"/>
          <w:highlight w:val="none"/>
          <w:u w:val="single"/>
        </w:rPr>
      </w:pPr>
      <w:r>
        <w:rPr>
          <w:rFonts w:hint="eastAsia" w:hAnsi="宋体"/>
          <w:color w:val="auto"/>
          <w:szCs w:val="21"/>
          <w:highlight w:val="none"/>
        </w:rPr>
        <w:t>项目名称：</w:t>
      </w:r>
    </w:p>
    <w:tbl>
      <w:tblPr>
        <w:tblStyle w:val="38"/>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188"/>
        <w:gridCol w:w="2694"/>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vAlign w:val="center"/>
          </w:tcPr>
          <w:p>
            <w:pPr>
              <w:pStyle w:val="20"/>
              <w:ind w:left="-574" w:leftChars="-261" w:firstLine="548" w:firstLineChars="260"/>
              <w:jc w:val="center"/>
              <w:rPr>
                <w:rFonts w:hAnsi="宋体" w:cs="Courier New"/>
                <w:b/>
                <w:color w:val="auto"/>
                <w:highlight w:val="none"/>
              </w:rPr>
            </w:pPr>
            <w:r>
              <w:rPr>
                <w:rFonts w:hint="eastAsia" w:hAnsi="宋体" w:cs="Courier New"/>
                <w:b/>
                <w:color w:val="auto"/>
                <w:highlight w:val="none"/>
              </w:rPr>
              <w:t>序号</w:t>
            </w:r>
          </w:p>
        </w:tc>
        <w:tc>
          <w:tcPr>
            <w:tcW w:w="3188" w:type="dxa"/>
            <w:vAlign w:val="center"/>
          </w:tcPr>
          <w:p>
            <w:pPr>
              <w:pStyle w:val="20"/>
              <w:jc w:val="center"/>
              <w:rPr>
                <w:rFonts w:hAnsi="宋体" w:cs="Courier New"/>
                <w:b/>
                <w:color w:val="auto"/>
                <w:highlight w:val="none"/>
              </w:rPr>
            </w:pPr>
            <w:r>
              <w:rPr>
                <w:rFonts w:hint="eastAsia" w:hAnsi="宋体" w:cs="Courier New"/>
                <w:b/>
                <w:color w:val="auto"/>
                <w:highlight w:val="none"/>
              </w:rPr>
              <w:t>竞争性谈判文件的商务条款</w:t>
            </w:r>
          </w:p>
        </w:tc>
        <w:tc>
          <w:tcPr>
            <w:tcW w:w="2694" w:type="dxa"/>
            <w:vAlign w:val="center"/>
          </w:tcPr>
          <w:p>
            <w:pPr>
              <w:pStyle w:val="20"/>
              <w:jc w:val="center"/>
              <w:rPr>
                <w:rFonts w:hAnsi="宋体" w:cs="Courier New"/>
                <w:b/>
                <w:color w:val="auto"/>
                <w:highlight w:val="none"/>
              </w:rPr>
            </w:pPr>
            <w:r>
              <w:rPr>
                <w:rFonts w:hint="eastAsia" w:hAnsi="宋体" w:cs="Courier New"/>
                <w:b/>
                <w:color w:val="auto"/>
                <w:highlight w:val="none"/>
              </w:rPr>
              <w:t>响应文件响应内容</w:t>
            </w:r>
          </w:p>
        </w:tc>
        <w:tc>
          <w:tcPr>
            <w:tcW w:w="1798" w:type="dxa"/>
            <w:vAlign w:val="center"/>
          </w:tcPr>
          <w:p>
            <w:pPr>
              <w:pStyle w:val="20"/>
              <w:jc w:val="center"/>
              <w:rPr>
                <w:rFonts w:hAnsi="宋体" w:cs="Courier New"/>
                <w:b/>
                <w:color w:val="auto"/>
                <w:highlight w:val="none"/>
              </w:rPr>
            </w:pPr>
            <w:r>
              <w:rPr>
                <w:rFonts w:hint="eastAsia" w:hAnsi="宋体" w:cs="Courier New"/>
                <w:b/>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highlight w:val="none"/>
              </w:rPr>
            </w:pPr>
          </w:p>
        </w:tc>
        <w:tc>
          <w:tcPr>
            <w:tcW w:w="3188" w:type="dxa"/>
          </w:tcPr>
          <w:p>
            <w:pPr>
              <w:pStyle w:val="20"/>
              <w:rPr>
                <w:rFonts w:hAnsi="宋体" w:cs="Courier New"/>
                <w:color w:val="auto"/>
                <w:highlight w:val="none"/>
              </w:rPr>
            </w:pPr>
          </w:p>
        </w:tc>
        <w:tc>
          <w:tcPr>
            <w:tcW w:w="2694" w:type="dxa"/>
          </w:tcPr>
          <w:p>
            <w:pPr>
              <w:pStyle w:val="20"/>
              <w:rPr>
                <w:rFonts w:hAnsi="宋体" w:cs="Courier New"/>
                <w:color w:val="auto"/>
                <w:highlight w:val="none"/>
              </w:rPr>
            </w:pPr>
          </w:p>
        </w:tc>
        <w:tc>
          <w:tcPr>
            <w:tcW w:w="1798" w:type="dxa"/>
          </w:tcPr>
          <w:p>
            <w:pPr>
              <w:pStyle w:val="20"/>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highlight w:val="none"/>
              </w:rPr>
            </w:pPr>
          </w:p>
        </w:tc>
        <w:tc>
          <w:tcPr>
            <w:tcW w:w="3188" w:type="dxa"/>
          </w:tcPr>
          <w:p>
            <w:pPr>
              <w:pStyle w:val="20"/>
              <w:rPr>
                <w:rFonts w:hAnsi="宋体" w:cs="Courier New"/>
                <w:color w:val="auto"/>
                <w:highlight w:val="none"/>
              </w:rPr>
            </w:pPr>
          </w:p>
        </w:tc>
        <w:tc>
          <w:tcPr>
            <w:tcW w:w="2694" w:type="dxa"/>
          </w:tcPr>
          <w:p>
            <w:pPr>
              <w:pStyle w:val="20"/>
              <w:rPr>
                <w:rFonts w:hAnsi="宋体" w:cs="Courier New"/>
                <w:color w:val="auto"/>
                <w:highlight w:val="none"/>
              </w:rPr>
            </w:pPr>
          </w:p>
        </w:tc>
        <w:tc>
          <w:tcPr>
            <w:tcW w:w="1798" w:type="dxa"/>
          </w:tcPr>
          <w:p>
            <w:pPr>
              <w:pStyle w:val="20"/>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highlight w:val="none"/>
              </w:rPr>
            </w:pPr>
          </w:p>
        </w:tc>
        <w:tc>
          <w:tcPr>
            <w:tcW w:w="3188" w:type="dxa"/>
          </w:tcPr>
          <w:p>
            <w:pPr>
              <w:pStyle w:val="20"/>
              <w:rPr>
                <w:rFonts w:hAnsi="宋体" w:cs="Courier New"/>
                <w:color w:val="auto"/>
                <w:highlight w:val="none"/>
              </w:rPr>
            </w:pPr>
          </w:p>
        </w:tc>
        <w:tc>
          <w:tcPr>
            <w:tcW w:w="2694" w:type="dxa"/>
          </w:tcPr>
          <w:p>
            <w:pPr>
              <w:pStyle w:val="20"/>
              <w:rPr>
                <w:rFonts w:hAnsi="宋体" w:cs="Courier New"/>
                <w:color w:val="auto"/>
                <w:highlight w:val="none"/>
              </w:rPr>
            </w:pPr>
          </w:p>
        </w:tc>
        <w:tc>
          <w:tcPr>
            <w:tcW w:w="1798" w:type="dxa"/>
          </w:tcPr>
          <w:p>
            <w:pPr>
              <w:pStyle w:val="20"/>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highlight w:val="none"/>
              </w:rPr>
            </w:pPr>
          </w:p>
        </w:tc>
        <w:tc>
          <w:tcPr>
            <w:tcW w:w="3188" w:type="dxa"/>
          </w:tcPr>
          <w:p>
            <w:pPr>
              <w:pStyle w:val="20"/>
              <w:rPr>
                <w:rFonts w:hAnsi="宋体" w:cs="Courier New"/>
                <w:color w:val="auto"/>
                <w:highlight w:val="none"/>
              </w:rPr>
            </w:pPr>
          </w:p>
        </w:tc>
        <w:tc>
          <w:tcPr>
            <w:tcW w:w="2694" w:type="dxa"/>
          </w:tcPr>
          <w:p>
            <w:pPr>
              <w:pStyle w:val="20"/>
              <w:rPr>
                <w:rFonts w:hAnsi="宋体" w:cs="Courier New"/>
                <w:color w:val="auto"/>
                <w:highlight w:val="none"/>
              </w:rPr>
            </w:pPr>
          </w:p>
        </w:tc>
        <w:tc>
          <w:tcPr>
            <w:tcW w:w="1798" w:type="dxa"/>
          </w:tcPr>
          <w:p>
            <w:pPr>
              <w:pStyle w:val="20"/>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highlight w:val="none"/>
              </w:rPr>
            </w:pPr>
          </w:p>
        </w:tc>
        <w:tc>
          <w:tcPr>
            <w:tcW w:w="3188" w:type="dxa"/>
          </w:tcPr>
          <w:p>
            <w:pPr>
              <w:pStyle w:val="20"/>
              <w:rPr>
                <w:rFonts w:hAnsi="宋体" w:cs="Courier New"/>
                <w:color w:val="auto"/>
                <w:highlight w:val="none"/>
              </w:rPr>
            </w:pPr>
          </w:p>
        </w:tc>
        <w:tc>
          <w:tcPr>
            <w:tcW w:w="2694" w:type="dxa"/>
          </w:tcPr>
          <w:p>
            <w:pPr>
              <w:pStyle w:val="20"/>
              <w:rPr>
                <w:rFonts w:hAnsi="宋体" w:cs="Courier New"/>
                <w:color w:val="auto"/>
                <w:highlight w:val="none"/>
              </w:rPr>
            </w:pPr>
          </w:p>
        </w:tc>
        <w:tc>
          <w:tcPr>
            <w:tcW w:w="1798" w:type="dxa"/>
          </w:tcPr>
          <w:p>
            <w:pPr>
              <w:pStyle w:val="20"/>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20"/>
              <w:rPr>
                <w:rFonts w:hAnsi="宋体" w:cs="Courier New"/>
                <w:color w:val="auto"/>
                <w:highlight w:val="none"/>
              </w:rPr>
            </w:pPr>
          </w:p>
        </w:tc>
        <w:tc>
          <w:tcPr>
            <w:tcW w:w="3188" w:type="dxa"/>
          </w:tcPr>
          <w:p>
            <w:pPr>
              <w:pStyle w:val="20"/>
              <w:rPr>
                <w:rFonts w:hAnsi="宋体" w:cs="Courier New"/>
                <w:color w:val="auto"/>
                <w:highlight w:val="none"/>
              </w:rPr>
            </w:pPr>
          </w:p>
        </w:tc>
        <w:tc>
          <w:tcPr>
            <w:tcW w:w="2694" w:type="dxa"/>
          </w:tcPr>
          <w:p>
            <w:pPr>
              <w:pStyle w:val="20"/>
              <w:rPr>
                <w:rFonts w:hAnsi="宋体" w:cs="Courier New"/>
                <w:color w:val="auto"/>
                <w:highlight w:val="none"/>
              </w:rPr>
            </w:pPr>
          </w:p>
        </w:tc>
        <w:tc>
          <w:tcPr>
            <w:tcW w:w="1798" w:type="dxa"/>
          </w:tcPr>
          <w:p>
            <w:pPr>
              <w:pStyle w:val="20"/>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tcPr>
          <w:p>
            <w:pPr>
              <w:pStyle w:val="20"/>
              <w:rPr>
                <w:rFonts w:hAnsi="宋体" w:cs="Courier New"/>
                <w:color w:val="auto"/>
                <w:highlight w:val="none"/>
              </w:rPr>
            </w:pPr>
          </w:p>
        </w:tc>
        <w:tc>
          <w:tcPr>
            <w:tcW w:w="3188" w:type="dxa"/>
          </w:tcPr>
          <w:p>
            <w:pPr>
              <w:pStyle w:val="20"/>
              <w:rPr>
                <w:rFonts w:hAnsi="宋体" w:cs="Courier New"/>
                <w:color w:val="auto"/>
                <w:highlight w:val="none"/>
              </w:rPr>
            </w:pPr>
          </w:p>
        </w:tc>
        <w:tc>
          <w:tcPr>
            <w:tcW w:w="2694" w:type="dxa"/>
          </w:tcPr>
          <w:p>
            <w:pPr>
              <w:pStyle w:val="20"/>
              <w:rPr>
                <w:rFonts w:hAnsi="宋体" w:cs="Courier New"/>
                <w:color w:val="auto"/>
                <w:highlight w:val="none"/>
              </w:rPr>
            </w:pPr>
          </w:p>
        </w:tc>
        <w:tc>
          <w:tcPr>
            <w:tcW w:w="1798" w:type="dxa"/>
          </w:tcPr>
          <w:p>
            <w:pPr>
              <w:pStyle w:val="20"/>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tcPr>
          <w:p>
            <w:pPr>
              <w:pStyle w:val="20"/>
              <w:rPr>
                <w:rFonts w:hAnsi="宋体" w:cs="Courier New"/>
                <w:color w:val="auto"/>
                <w:highlight w:val="none"/>
              </w:rPr>
            </w:pPr>
          </w:p>
        </w:tc>
        <w:tc>
          <w:tcPr>
            <w:tcW w:w="3188" w:type="dxa"/>
          </w:tcPr>
          <w:p>
            <w:pPr>
              <w:pStyle w:val="20"/>
              <w:rPr>
                <w:rFonts w:hAnsi="宋体" w:cs="Courier New"/>
                <w:color w:val="auto"/>
                <w:highlight w:val="none"/>
              </w:rPr>
            </w:pPr>
          </w:p>
        </w:tc>
        <w:tc>
          <w:tcPr>
            <w:tcW w:w="2694" w:type="dxa"/>
          </w:tcPr>
          <w:p>
            <w:pPr>
              <w:pStyle w:val="20"/>
              <w:rPr>
                <w:rFonts w:hAnsi="宋体" w:cs="Courier New"/>
                <w:color w:val="auto"/>
                <w:highlight w:val="none"/>
              </w:rPr>
            </w:pPr>
          </w:p>
        </w:tc>
        <w:tc>
          <w:tcPr>
            <w:tcW w:w="1798" w:type="dxa"/>
          </w:tcPr>
          <w:p>
            <w:pPr>
              <w:pStyle w:val="20"/>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tcPr>
          <w:p>
            <w:pPr>
              <w:pStyle w:val="20"/>
              <w:rPr>
                <w:rFonts w:hAnsi="宋体" w:cs="Courier New"/>
                <w:color w:val="auto"/>
                <w:highlight w:val="none"/>
              </w:rPr>
            </w:pPr>
          </w:p>
        </w:tc>
        <w:tc>
          <w:tcPr>
            <w:tcW w:w="3188" w:type="dxa"/>
          </w:tcPr>
          <w:p>
            <w:pPr>
              <w:pStyle w:val="20"/>
              <w:rPr>
                <w:rFonts w:hAnsi="宋体" w:cs="Courier New"/>
                <w:color w:val="auto"/>
                <w:highlight w:val="none"/>
              </w:rPr>
            </w:pPr>
          </w:p>
        </w:tc>
        <w:tc>
          <w:tcPr>
            <w:tcW w:w="2694" w:type="dxa"/>
          </w:tcPr>
          <w:p>
            <w:pPr>
              <w:pStyle w:val="20"/>
              <w:rPr>
                <w:rFonts w:hAnsi="宋体" w:cs="Courier New"/>
                <w:color w:val="auto"/>
                <w:highlight w:val="none"/>
              </w:rPr>
            </w:pPr>
          </w:p>
        </w:tc>
        <w:tc>
          <w:tcPr>
            <w:tcW w:w="1798" w:type="dxa"/>
          </w:tcPr>
          <w:p>
            <w:pPr>
              <w:pStyle w:val="20"/>
              <w:rPr>
                <w:rFonts w:hAnsi="宋体" w:cs="Courier New"/>
                <w:color w:val="auto"/>
                <w:highlight w:val="none"/>
              </w:rPr>
            </w:pPr>
          </w:p>
        </w:tc>
      </w:tr>
    </w:tbl>
    <w:p>
      <w:pPr>
        <w:pStyle w:val="20"/>
        <w:spacing w:line="360" w:lineRule="exact"/>
        <w:ind w:firstLine="360" w:firstLineChars="150"/>
        <w:rPr>
          <w:rFonts w:hAnsi="宋体"/>
          <w:color w:val="auto"/>
          <w:sz w:val="24"/>
          <w:szCs w:val="24"/>
          <w:highlight w:val="none"/>
        </w:rPr>
      </w:pPr>
      <w:r>
        <w:rPr>
          <w:rFonts w:hint="eastAsia" w:hAnsi="宋体"/>
          <w:color w:val="auto"/>
          <w:sz w:val="24"/>
          <w:szCs w:val="24"/>
          <w:highlight w:val="none"/>
        </w:rPr>
        <w:t>注：“偏离”系指“正偏离”、“负偏离”或“无偏离”。</w:t>
      </w:r>
    </w:p>
    <w:p>
      <w:pPr>
        <w:pStyle w:val="20"/>
        <w:spacing w:line="360" w:lineRule="exact"/>
        <w:ind w:firstLine="360" w:firstLineChars="150"/>
        <w:rPr>
          <w:rFonts w:hAnsi="宋体"/>
          <w:color w:val="auto"/>
          <w:sz w:val="24"/>
          <w:szCs w:val="24"/>
          <w:highlight w:val="none"/>
        </w:rPr>
      </w:pPr>
      <w:r>
        <w:rPr>
          <w:rFonts w:hint="eastAsia" w:hAnsi="宋体"/>
          <w:color w:val="auto"/>
          <w:sz w:val="24"/>
          <w:szCs w:val="24"/>
          <w:highlight w:val="none"/>
        </w:rPr>
        <w:t>请逐条对应竞争性谈判文件的第三章“项目需求”中要求的“商务条款”，认真填写该表。</w:t>
      </w:r>
    </w:p>
    <w:p>
      <w:pPr>
        <w:pStyle w:val="20"/>
        <w:spacing w:line="600" w:lineRule="exact"/>
        <w:rPr>
          <w:rFonts w:hAnsi="宋体"/>
          <w:color w:val="auto"/>
          <w:sz w:val="24"/>
          <w:szCs w:val="24"/>
          <w:highlight w:val="none"/>
        </w:rPr>
      </w:pPr>
    </w:p>
    <w:p>
      <w:pPr>
        <w:pStyle w:val="20"/>
        <w:spacing w:line="600" w:lineRule="exact"/>
        <w:ind w:firstLine="480" w:firstLineChars="200"/>
        <w:rPr>
          <w:rFonts w:hAnsi="宋体"/>
          <w:color w:val="auto"/>
          <w:sz w:val="24"/>
          <w:szCs w:val="24"/>
          <w:highlight w:val="none"/>
        </w:rPr>
      </w:pPr>
      <w:r>
        <w:rPr>
          <w:rFonts w:hint="eastAsia" w:hAnsi="宋体"/>
          <w:color w:val="auto"/>
          <w:sz w:val="24"/>
          <w:szCs w:val="24"/>
          <w:highlight w:val="none"/>
        </w:rPr>
        <w:t>法定代表人或法定代表人授权代表：</w:t>
      </w:r>
      <w:r>
        <w:rPr>
          <w:rFonts w:hint="eastAsia" w:hAnsi="宋体"/>
          <w:color w:val="auto"/>
          <w:sz w:val="24"/>
          <w:highlight w:val="none"/>
          <w:u w:val="single"/>
        </w:rPr>
        <w:t xml:space="preserve">（签字）  </w:t>
      </w:r>
    </w:p>
    <w:p>
      <w:pPr>
        <w:pStyle w:val="20"/>
        <w:spacing w:line="600" w:lineRule="exact"/>
        <w:ind w:firstLine="480" w:firstLineChars="200"/>
        <w:rPr>
          <w:rFonts w:hAnsi="宋体"/>
          <w:color w:val="auto"/>
          <w:sz w:val="24"/>
          <w:szCs w:val="24"/>
          <w:highlight w:val="none"/>
          <w:u w:val="single"/>
        </w:rPr>
      </w:pPr>
      <w:r>
        <w:rPr>
          <w:rFonts w:hint="eastAsia" w:hAnsi="宋体"/>
          <w:color w:val="auto"/>
          <w:sz w:val="24"/>
          <w:szCs w:val="24"/>
          <w:highlight w:val="none"/>
        </w:rPr>
        <w:t>供应商：</w:t>
      </w:r>
      <w:r>
        <w:rPr>
          <w:rFonts w:hint="eastAsia" w:hAnsi="宋体"/>
          <w:color w:val="auto"/>
          <w:sz w:val="24"/>
          <w:szCs w:val="24"/>
          <w:highlight w:val="none"/>
          <w:u w:val="single"/>
        </w:rPr>
        <w:t xml:space="preserve">（单位名称并盖公章）      </w:t>
      </w:r>
    </w:p>
    <w:p>
      <w:pPr>
        <w:spacing w:line="300" w:lineRule="auto"/>
        <w:rPr>
          <w:rFonts w:ascii="宋体" w:hAnsi="宋体" w:eastAsia="宋体"/>
          <w:color w:val="auto"/>
          <w:szCs w:val="21"/>
          <w:highlight w:val="none"/>
        </w:rPr>
      </w:pPr>
      <w:r>
        <w:rPr>
          <w:rFonts w:hint="eastAsia" w:ascii="宋体" w:hAnsi="宋体" w:eastAsia="宋体"/>
          <w:color w:val="auto"/>
          <w:sz w:val="24"/>
          <w:highlight w:val="none"/>
        </w:rPr>
        <w:t xml:space="preserve">                      年    月    日</w:t>
      </w:r>
    </w:p>
    <w:p>
      <w:pPr>
        <w:spacing w:line="300" w:lineRule="auto"/>
        <w:rPr>
          <w:rFonts w:ascii="宋体" w:hAnsi="宋体" w:eastAsia="宋体"/>
          <w:b/>
          <w:color w:val="auto"/>
          <w:szCs w:val="21"/>
          <w:highlight w:val="none"/>
        </w:rPr>
      </w:pPr>
    </w:p>
    <w:p>
      <w:pPr>
        <w:spacing w:beforeLines="50" w:after="50"/>
        <w:rPr>
          <w:rFonts w:ascii="宋体" w:hAnsi="宋体" w:eastAsia="宋体"/>
          <w:b/>
          <w:color w:val="auto"/>
          <w:kern w:val="2"/>
          <w:sz w:val="24"/>
          <w:szCs w:val="24"/>
          <w:highlight w:val="none"/>
        </w:rPr>
      </w:pPr>
    </w:p>
    <w:p>
      <w:pPr>
        <w:spacing w:beforeLines="50" w:after="50"/>
        <w:rPr>
          <w:rFonts w:ascii="宋体" w:hAnsi="宋体" w:eastAsia="宋体"/>
          <w:b/>
          <w:color w:val="auto"/>
          <w:kern w:val="2"/>
          <w:sz w:val="24"/>
          <w:szCs w:val="24"/>
          <w:highlight w:val="none"/>
        </w:rPr>
      </w:pPr>
    </w:p>
    <w:p>
      <w:pPr>
        <w:spacing w:beforeLines="50" w:after="50"/>
        <w:rPr>
          <w:rFonts w:ascii="宋体" w:hAnsi="宋体" w:eastAsia="宋体"/>
          <w:b/>
          <w:color w:val="auto"/>
          <w:kern w:val="2"/>
          <w:sz w:val="24"/>
          <w:szCs w:val="24"/>
          <w:highlight w:val="none"/>
        </w:rPr>
      </w:pPr>
    </w:p>
    <w:p>
      <w:pPr>
        <w:adjustRightInd/>
        <w:snapToGrid/>
        <w:spacing w:line="220" w:lineRule="atLeast"/>
        <w:rPr>
          <w:rFonts w:ascii="宋体" w:hAnsi="宋体" w:eastAsia="宋体" w:cs="宋体"/>
          <w:color w:val="auto"/>
          <w:szCs w:val="21"/>
          <w:highlight w:val="none"/>
        </w:rPr>
      </w:pPr>
      <w:r>
        <w:rPr>
          <w:rFonts w:hint="eastAsia" w:ascii="宋体" w:hAnsi="宋体" w:eastAsia="宋体"/>
          <w:b/>
          <w:color w:val="auto"/>
          <w:sz w:val="24"/>
          <w:szCs w:val="24"/>
          <w:highlight w:val="none"/>
        </w:rPr>
        <w:t>附件六：</w:t>
      </w:r>
    </w:p>
    <w:p>
      <w:pPr>
        <w:spacing w:beforeLines="50" w:after="5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具备履行合同所必需的设备和专业技术服务能力的承诺书</w:t>
      </w:r>
    </w:p>
    <w:p>
      <w:pPr>
        <w:spacing w:after="0" w:line="400" w:lineRule="exact"/>
        <w:rPr>
          <w:rFonts w:ascii="宋体" w:hAnsi="宋体" w:eastAsia="宋体" w:cs="宋体"/>
          <w:b/>
          <w:bCs/>
          <w:color w:val="auto"/>
          <w:sz w:val="24"/>
          <w:szCs w:val="24"/>
          <w:highlight w:val="none"/>
        </w:rPr>
      </w:pPr>
    </w:p>
    <w:p>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（采购人或代理机构）     </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我单位参加贵公司组织的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编号：）政府采购活动。我单位在此郑重承诺:我单位具有履行合同所必需的设备和专业技术服务能力，完全符合《中华人民共和国政府采购法》第二十二条规定的供应商资格条件，按照采购文件的要求提交响应文件（响应文件），并对所提供的全部资料的真实性承担法律责任。</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after="0" w:line="400" w:lineRule="exact"/>
        <w:ind w:firstLine="480" w:firstLineChars="200"/>
        <w:rPr>
          <w:rFonts w:ascii="宋体" w:hAnsi="宋体" w:eastAsia="宋体" w:cs="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20"/>
        <w:spacing w:line="500" w:lineRule="exact"/>
        <w:ind w:firstLine="3720" w:firstLineChars="1550"/>
        <w:rPr>
          <w:rFonts w:hAnsi="宋体"/>
          <w:color w:val="auto"/>
          <w:sz w:val="24"/>
          <w:highlight w:val="none"/>
        </w:rPr>
      </w:pPr>
      <w:r>
        <w:rPr>
          <w:rFonts w:hint="eastAsia" w:hAnsi="宋体"/>
          <w:color w:val="auto"/>
          <w:sz w:val="24"/>
          <w:highlight w:val="none"/>
        </w:rPr>
        <w:t>日期：  年  月  日</w:t>
      </w:r>
    </w:p>
    <w:p>
      <w:pPr>
        <w:spacing w:beforeLines="50" w:after="50" w:line="360" w:lineRule="auto"/>
        <w:rPr>
          <w:rFonts w:ascii="宋体" w:hAnsi="宋体" w:eastAsia="宋体" w:cs="宋体"/>
          <w:color w:val="auto"/>
          <w:szCs w:val="21"/>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r>
        <w:rPr>
          <w:rFonts w:hint="eastAsia" w:ascii="宋体" w:hAnsi="宋体" w:eastAsia="宋体"/>
          <w:b/>
          <w:color w:val="auto"/>
          <w:sz w:val="24"/>
          <w:szCs w:val="24"/>
          <w:highlight w:val="none"/>
        </w:rPr>
        <w:t>附件七：</w:t>
      </w:r>
    </w:p>
    <w:p>
      <w:pPr>
        <w:pStyle w:val="20"/>
        <w:spacing w:line="400" w:lineRule="exact"/>
        <w:rPr>
          <w:rFonts w:hAnsi="宋体"/>
          <w:b/>
          <w:color w:val="auto"/>
          <w:szCs w:val="21"/>
          <w:highlight w:val="none"/>
        </w:rPr>
      </w:pPr>
    </w:p>
    <w:p>
      <w:pPr>
        <w:pStyle w:val="20"/>
        <w:spacing w:line="400" w:lineRule="exact"/>
        <w:jc w:val="center"/>
        <w:rPr>
          <w:rFonts w:hAnsi="宋体"/>
          <w:b/>
          <w:color w:val="auto"/>
          <w:sz w:val="28"/>
          <w:szCs w:val="28"/>
          <w:highlight w:val="none"/>
        </w:rPr>
      </w:pPr>
      <w:r>
        <w:rPr>
          <w:rFonts w:hint="eastAsia" w:hAnsi="宋体"/>
          <w:b/>
          <w:color w:val="auto"/>
          <w:sz w:val="28"/>
          <w:szCs w:val="28"/>
          <w:highlight w:val="none"/>
        </w:rPr>
        <w:t>参加政府采购活动前三年内在经营活动中没有重大违法记录的书面声明</w:t>
      </w:r>
    </w:p>
    <w:p>
      <w:pPr>
        <w:pStyle w:val="20"/>
        <w:spacing w:line="400" w:lineRule="exact"/>
        <w:rPr>
          <w:rFonts w:hAnsi="宋体"/>
          <w:color w:val="auto"/>
          <w:szCs w:val="21"/>
          <w:highlight w:val="none"/>
        </w:rPr>
      </w:pPr>
    </w:p>
    <w:p>
      <w:pPr>
        <w:pStyle w:val="20"/>
        <w:spacing w:line="400" w:lineRule="exact"/>
        <w:rPr>
          <w:rFonts w:hAnsi="宋体"/>
          <w:color w:val="auto"/>
          <w:szCs w:val="21"/>
          <w:highlight w:val="none"/>
        </w:rPr>
      </w:pPr>
    </w:p>
    <w:p>
      <w:pPr>
        <w:pStyle w:val="20"/>
        <w:spacing w:line="500" w:lineRule="exact"/>
        <w:rPr>
          <w:rFonts w:hAnsi="宋体"/>
          <w:color w:val="auto"/>
          <w:sz w:val="24"/>
          <w:szCs w:val="24"/>
          <w:highlight w:val="none"/>
        </w:rPr>
      </w:pPr>
      <w:r>
        <w:rPr>
          <w:rFonts w:hint="eastAsia" w:hAnsi="宋体"/>
          <w:color w:val="auto"/>
          <w:sz w:val="24"/>
          <w:szCs w:val="24"/>
          <w:highlight w:val="none"/>
        </w:rPr>
        <w:t>致：________(采购代理机构)</w:t>
      </w:r>
    </w:p>
    <w:p>
      <w:pPr>
        <w:pStyle w:val="20"/>
        <w:spacing w:line="500" w:lineRule="exact"/>
        <w:ind w:firstLine="480" w:firstLineChars="200"/>
        <w:rPr>
          <w:rFonts w:hAnsi="宋体"/>
          <w:color w:val="auto"/>
          <w:sz w:val="24"/>
          <w:szCs w:val="24"/>
          <w:highlight w:val="none"/>
        </w:rPr>
      </w:pPr>
      <w:r>
        <w:rPr>
          <w:rFonts w:hint="eastAsia" w:hAnsi="宋体"/>
          <w:color w:val="auto"/>
          <w:sz w:val="24"/>
          <w:szCs w:val="24"/>
          <w:highlight w:val="none"/>
        </w:rPr>
        <w:t>我单位参加贵公司组织的</w:t>
      </w:r>
      <w:r>
        <w:rPr>
          <w:rFonts w:hint="eastAsia" w:hAnsi="宋体"/>
          <w:color w:val="auto"/>
          <w:sz w:val="24"/>
          <w:szCs w:val="24"/>
          <w:highlight w:val="none"/>
          <w:u w:val="single"/>
        </w:rPr>
        <w:t>（项目名称）</w:t>
      </w:r>
      <w:r>
        <w:rPr>
          <w:rFonts w:hint="eastAsia" w:hAnsi="宋体"/>
          <w:color w:val="auto"/>
          <w:sz w:val="24"/>
          <w:szCs w:val="24"/>
          <w:highlight w:val="none"/>
        </w:rPr>
        <w:t>（采购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0"/>
        <w:spacing w:line="500" w:lineRule="exact"/>
        <w:ind w:firstLine="480" w:firstLineChars="200"/>
        <w:rPr>
          <w:rFonts w:hAnsi="宋体"/>
          <w:color w:val="auto"/>
          <w:sz w:val="24"/>
          <w:szCs w:val="24"/>
          <w:highlight w:val="none"/>
        </w:rPr>
      </w:pPr>
      <w:r>
        <w:rPr>
          <w:rFonts w:hint="eastAsia" w:hAnsi="宋体"/>
          <w:color w:val="auto"/>
          <w:sz w:val="24"/>
          <w:szCs w:val="24"/>
          <w:highlight w:val="none"/>
        </w:rPr>
        <w:t>特此承诺。</w:t>
      </w:r>
    </w:p>
    <w:p>
      <w:pPr>
        <w:pStyle w:val="20"/>
        <w:spacing w:line="400" w:lineRule="exact"/>
        <w:rPr>
          <w:rFonts w:hAnsi="宋体"/>
          <w:color w:val="auto"/>
          <w:szCs w:val="21"/>
          <w:highlight w:val="none"/>
        </w:rPr>
      </w:pPr>
    </w:p>
    <w:p>
      <w:pPr>
        <w:pStyle w:val="20"/>
        <w:spacing w:line="300" w:lineRule="auto"/>
        <w:ind w:firstLine="1680" w:firstLineChars="700"/>
        <w:rPr>
          <w:rFonts w:hAnsi="宋体"/>
          <w:color w:val="auto"/>
          <w:sz w:val="24"/>
          <w:szCs w:val="24"/>
          <w:highlight w:val="none"/>
        </w:rPr>
      </w:pPr>
    </w:p>
    <w:p>
      <w:pPr>
        <w:pStyle w:val="20"/>
        <w:spacing w:line="300" w:lineRule="auto"/>
        <w:ind w:firstLine="1680" w:firstLineChars="700"/>
        <w:rPr>
          <w:rFonts w:hAnsi="宋体"/>
          <w:color w:val="auto"/>
          <w:sz w:val="24"/>
          <w:szCs w:val="24"/>
          <w:highlight w:val="none"/>
        </w:rPr>
      </w:pPr>
    </w:p>
    <w:p>
      <w:pPr>
        <w:pStyle w:val="20"/>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20"/>
        <w:spacing w:line="500" w:lineRule="exact"/>
        <w:ind w:firstLine="3720" w:firstLineChars="1550"/>
        <w:rPr>
          <w:rFonts w:hAnsi="宋体"/>
          <w:color w:val="auto"/>
          <w:sz w:val="24"/>
          <w:highlight w:val="none"/>
        </w:rPr>
      </w:pPr>
      <w:r>
        <w:rPr>
          <w:rFonts w:hint="eastAsia" w:hAnsi="宋体"/>
          <w:color w:val="auto"/>
          <w:sz w:val="24"/>
          <w:highlight w:val="none"/>
        </w:rPr>
        <w:t>日期：  年  月  日</w:t>
      </w:r>
    </w:p>
    <w:p>
      <w:pPr>
        <w:pStyle w:val="20"/>
        <w:spacing w:line="400" w:lineRule="exact"/>
        <w:rPr>
          <w:rFonts w:hAnsi="宋体"/>
          <w:color w:val="auto"/>
          <w:szCs w:val="21"/>
          <w:highlight w:val="none"/>
        </w:rPr>
      </w:pPr>
    </w:p>
    <w:p>
      <w:pPr>
        <w:spacing w:beforeLines="50" w:after="50"/>
        <w:rPr>
          <w:rFonts w:ascii="宋体" w:hAnsi="宋体" w:eastAsia="宋体"/>
          <w:color w:val="auto"/>
          <w:szCs w:val="21"/>
          <w:highlight w:val="none"/>
        </w:rPr>
      </w:pPr>
      <w:r>
        <w:rPr>
          <w:rFonts w:ascii="宋体" w:hAnsi="宋体" w:eastAsia="宋体"/>
          <w:color w:val="auto"/>
          <w:szCs w:val="21"/>
          <w:highlight w:val="none"/>
        </w:rPr>
        <w:br w:type="page"/>
      </w:r>
    </w:p>
    <w:p>
      <w:pPr>
        <w:pStyle w:val="20"/>
        <w:spacing w:line="440" w:lineRule="exact"/>
        <w:rPr>
          <w:rFonts w:hAnsi="宋体"/>
          <w:b/>
          <w:color w:val="auto"/>
          <w:sz w:val="24"/>
          <w:szCs w:val="24"/>
          <w:highlight w:val="none"/>
        </w:rPr>
      </w:pPr>
      <w:r>
        <w:rPr>
          <w:rFonts w:hint="eastAsia" w:hAnsi="宋体"/>
          <w:b/>
          <w:color w:val="auto"/>
          <w:sz w:val="24"/>
          <w:szCs w:val="24"/>
          <w:highlight w:val="none"/>
        </w:rPr>
        <w:t>附件八：</w:t>
      </w:r>
    </w:p>
    <w:p>
      <w:pPr>
        <w:pStyle w:val="20"/>
        <w:spacing w:line="400" w:lineRule="exact"/>
        <w:rPr>
          <w:rFonts w:hAnsi="宋体"/>
          <w:color w:val="auto"/>
          <w:szCs w:val="21"/>
          <w:highlight w:val="none"/>
        </w:rPr>
      </w:pPr>
    </w:p>
    <w:p>
      <w:pPr>
        <w:pStyle w:val="101"/>
        <w:ind w:firstLine="0" w:firstLineChars="0"/>
        <w:jc w:val="center"/>
        <w:rPr>
          <w:rFonts w:ascii="宋体" w:hAnsi="宋体"/>
          <w:b/>
          <w:color w:val="auto"/>
          <w:sz w:val="30"/>
          <w:szCs w:val="30"/>
          <w:highlight w:val="none"/>
        </w:rPr>
      </w:pPr>
      <w:r>
        <w:rPr>
          <w:rFonts w:hint="eastAsia" w:ascii="宋体" w:hAnsi="宋体"/>
          <w:b/>
          <w:color w:val="auto"/>
          <w:sz w:val="30"/>
          <w:szCs w:val="30"/>
          <w:highlight w:val="none"/>
        </w:rPr>
        <w:t>供应商控股及管理关系情况申报表</w:t>
      </w:r>
    </w:p>
    <w:p>
      <w:pPr>
        <w:spacing w:line="440" w:lineRule="exact"/>
        <w:rPr>
          <w:rFonts w:ascii="宋体" w:hAnsi="宋体" w:eastAsia="宋体"/>
          <w:color w:val="auto"/>
          <w:sz w:val="24"/>
          <w:szCs w:val="24"/>
          <w:highlight w:val="none"/>
        </w:rPr>
      </w:pPr>
    </w:p>
    <w:p>
      <w:pPr>
        <w:spacing w:line="440" w:lineRule="exact"/>
        <w:rPr>
          <w:rFonts w:ascii="宋体" w:hAnsi="宋体" w:eastAsia="宋体"/>
          <w:color w:val="auto"/>
          <w:kern w:val="2"/>
          <w:sz w:val="24"/>
          <w:szCs w:val="24"/>
          <w:highlight w:val="none"/>
        </w:rPr>
      </w:pPr>
      <w:r>
        <w:rPr>
          <w:rFonts w:hint="eastAsia" w:ascii="宋体" w:hAnsi="宋体" w:eastAsia="宋体"/>
          <w:color w:val="auto"/>
          <w:sz w:val="24"/>
          <w:szCs w:val="24"/>
          <w:highlight w:val="none"/>
        </w:rPr>
        <w:t>致：________(采购代理机构)</w:t>
      </w:r>
    </w:p>
    <w:p>
      <w:pPr>
        <w:spacing w:line="440" w:lineRule="exact"/>
        <w:ind w:firstLine="480" w:firstLineChars="200"/>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我单位参加</w:t>
      </w:r>
      <w:r>
        <w:rPr>
          <w:rFonts w:hint="eastAsia" w:ascii="宋体" w:hAnsi="宋体" w:eastAsia="宋体"/>
          <w:color w:val="auto"/>
          <w:kern w:val="2"/>
          <w:sz w:val="24"/>
          <w:szCs w:val="24"/>
          <w:highlight w:val="none"/>
          <w:u w:val="single"/>
        </w:rPr>
        <w:t xml:space="preserve">   （项目名称）      </w:t>
      </w:r>
      <w:r>
        <w:rPr>
          <w:rFonts w:hint="eastAsia" w:ascii="宋体" w:hAnsi="宋体" w:eastAsia="宋体"/>
          <w:color w:val="auto"/>
          <w:kern w:val="2"/>
          <w:sz w:val="24"/>
          <w:szCs w:val="24"/>
          <w:highlight w:val="none"/>
        </w:rPr>
        <w:t>的竞标，根据《中华人民共和国政府采购法》及相关规定，特就本单位控股及管理关系情况申报如下，并承担申报不实的责任。</w:t>
      </w:r>
    </w:p>
    <w:tbl>
      <w:tblPr>
        <w:tblStyle w:val="3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供应商名称</w:t>
            </w:r>
          </w:p>
        </w:tc>
        <w:tc>
          <w:tcPr>
            <w:tcW w:w="6455" w:type="dxa"/>
            <w:gridSpan w:val="2"/>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法定代表人</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单位负责人</w:t>
            </w: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姓名</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宋体" w:hAnsi="宋体" w:eastAsia="宋体"/>
                <w:color w:val="auto"/>
                <w:kern w:val="2"/>
                <w:sz w:val="24"/>
                <w:szCs w:val="24"/>
                <w:highlight w:val="none"/>
              </w:rPr>
            </w:pP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身份证号</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控股股东</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投资人名称及出资比例</w:t>
            </w:r>
          </w:p>
        </w:tc>
        <w:tc>
          <w:tcPr>
            <w:tcW w:w="6455" w:type="dxa"/>
            <w:gridSpan w:val="2"/>
            <w:vAlign w:val="center"/>
          </w:tcPr>
          <w:p>
            <w:pPr>
              <w:spacing w:after="0" w:line="36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非控股股东</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投资人名称及出资比例</w:t>
            </w:r>
          </w:p>
        </w:tc>
        <w:tc>
          <w:tcPr>
            <w:tcW w:w="6455" w:type="dxa"/>
            <w:gridSpan w:val="2"/>
            <w:vAlign w:val="center"/>
          </w:tcPr>
          <w:p>
            <w:pPr>
              <w:spacing w:after="0" w:line="36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管理关系单位名称</w:t>
            </w: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管理关系单位名称</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宋体" w:hAnsi="宋体" w:eastAsia="宋体"/>
                <w:color w:val="auto"/>
                <w:kern w:val="2"/>
                <w:sz w:val="24"/>
                <w:szCs w:val="24"/>
                <w:highlight w:val="none"/>
              </w:rPr>
            </w:pP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被管理关系单位名称</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备注：</w:t>
            </w:r>
          </w:p>
        </w:tc>
      </w:tr>
    </w:tbl>
    <w:p>
      <w:pPr>
        <w:spacing w:after="0" w:line="3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注：</w:t>
      </w:r>
    </w:p>
    <w:p>
      <w:pPr>
        <w:pStyle w:val="101"/>
        <w:numPr>
          <w:ilvl w:val="3"/>
          <w:numId w:val="5"/>
        </w:numPr>
        <w:adjustRightInd w:val="0"/>
        <w:snapToGrid w:val="0"/>
        <w:spacing w:line="340" w:lineRule="exact"/>
        <w:ind w:left="0" w:firstLine="480"/>
        <w:rPr>
          <w:rFonts w:ascii="宋体" w:hAnsi="宋体" w:cstheme="minorBidi"/>
          <w:color w:val="auto"/>
          <w:sz w:val="24"/>
          <w:highlight w:val="none"/>
        </w:rPr>
      </w:pPr>
      <w:r>
        <w:rPr>
          <w:rFonts w:hint="eastAsia" w:ascii="宋体" w:hAnsi="宋体" w:cstheme="minorBidi"/>
          <w:color w:val="auto"/>
          <w:sz w:val="24"/>
          <w:highlight w:val="none"/>
        </w:rPr>
        <w:t>控股股东</w:t>
      </w:r>
      <w:r>
        <w:rPr>
          <w:rFonts w:ascii="宋体" w:hAnsi="宋体" w:cstheme="minorBidi"/>
          <w:color w:val="auto"/>
          <w:sz w:val="24"/>
          <w:highlight w:val="none"/>
        </w:rPr>
        <w:t>/</w:t>
      </w:r>
      <w:r>
        <w:rPr>
          <w:rFonts w:hint="eastAsia" w:ascii="宋体" w:hAnsi="宋体" w:cstheme="minorBidi"/>
          <w:color w:val="auto"/>
          <w:sz w:val="24"/>
          <w:highlight w:val="none"/>
        </w:rPr>
        <w:t>投资人是指出资比例在</w:t>
      </w:r>
      <w:r>
        <w:rPr>
          <w:rFonts w:ascii="宋体" w:hAnsi="宋体" w:cstheme="minorBidi"/>
          <w:color w:val="auto"/>
          <w:sz w:val="24"/>
          <w:highlight w:val="none"/>
        </w:rPr>
        <w:t>50%</w:t>
      </w:r>
      <w:r>
        <w:rPr>
          <w:rFonts w:hint="eastAsia" w:ascii="宋体" w:hAnsi="宋体" w:cstheme="minorBidi"/>
          <w:color w:val="auto"/>
          <w:sz w:val="24"/>
          <w:highlight w:val="none"/>
        </w:rPr>
        <w:t>以上，或者出资比例不足</w:t>
      </w:r>
      <w:r>
        <w:rPr>
          <w:rFonts w:ascii="宋体" w:hAnsi="宋体" w:cstheme="minorBidi"/>
          <w:color w:val="auto"/>
          <w:sz w:val="24"/>
          <w:highlight w:val="none"/>
        </w:rPr>
        <w:t>50%</w:t>
      </w:r>
      <w:r>
        <w:rPr>
          <w:rFonts w:hint="eastAsia" w:ascii="宋体" w:hAnsi="宋体" w:cstheme="minorBidi"/>
          <w:color w:val="auto"/>
          <w:sz w:val="24"/>
          <w:highlight w:val="none"/>
        </w:rPr>
        <w:t>，但享有公司股东会</w:t>
      </w:r>
      <w:r>
        <w:rPr>
          <w:rFonts w:ascii="宋体" w:hAnsi="宋体" w:cstheme="minorBidi"/>
          <w:color w:val="auto"/>
          <w:sz w:val="24"/>
          <w:highlight w:val="none"/>
        </w:rPr>
        <w:t>/</w:t>
      </w:r>
      <w:r>
        <w:rPr>
          <w:rFonts w:hint="eastAsia" w:ascii="宋体" w:hAnsi="宋体" w:cstheme="minorBidi"/>
          <w:color w:val="auto"/>
          <w:sz w:val="24"/>
          <w:highlight w:val="none"/>
        </w:rPr>
        <w:t>董事会控制权的投资方（含单位或者个人）；</w:t>
      </w:r>
    </w:p>
    <w:p>
      <w:pPr>
        <w:pStyle w:val="101"/>
        <w:numPr>
          <w:ilvl w:val="3"/>
          <w:numId w:val="5"/>
        </w:numPr>
        <w:adjustRightInd w:val="0"/>
        <w:snapToGrid w:val="0"/>
        <w:spacing w:line="340" w:lineRule="exact"/>
        <w:ind w:left="0" w:firstLine="480"/>
        <w:rPr>
          <w:rFonts w:ascii="宋体" w:hAnsi="宋体" w:cstheme="minorBidi"/>
          <w:color w:val="auto"/>
          <w:sz w:val="24"/>
          <w:highlight w:val="none"/>
        </w:rPr>
      </w:pPr>
      <w:r>
        <w:rPr>
          <w:rFonts w:hint="eastAsia" w:ascii="宋体" w:hAnsi="宋体" w:cstheme="minorBidi"/>
          <w:color w:val="auto"/>
          <w:sz w:val="24"/>
          <w:highlight w:val="none"/>
        </w:rPr>
        <w:t>管理关系单位是指与不具有出资持股关系的其他单位之间存在管理与被管理关系的单位；</w:t>
      </w:r>
    </w:p>
    <w:p>
      <w:pPr>
        <w:pStyle w:val="101"/>
        <w:numPr>
          <w:ilvl w:val="3"/>
          <w:numId w:val="5"/>
        </w:numPr>
        <w:adjustRightInd w:val="0"/>
        <w:snapToGrid w:val="0"/>
        <w:spacing w:line="340" w:lineRule="exact"/>
        <w:ind w:left="0" w:firstLine="480"/>
        <w:rPr>
          <w:rFonts w:ascii="宋体" w:hAnsi="宋体"/>
          <w:color w:val="auto"/>
          <w:sz w:val="24"/>
          <w:highlight w:val="none"/>
        </w:rPr>
      </w:pPr>
      <w:r>
        <w:rPr>
          <w:rFonts w:hint="eastAsia" w:ascii="宋体" w:hAnsi="宋体" w:cstheme="minorBidi"/>
          <w:color w:val="auto"/>
          <w:sz w:val="24"/>
          <w:highlight w:val="none"/>
        </w:rPr>
        <w:t>如未有相关情况，请在相应栏填写“无”。</w:t>
      </w:r>
    </w:p>
    <w:p>
      <w:pPr>
        <w:pStyle w:val="20"/>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20"/>
        <w:spacing w:line="500" w:lineRule="exact"/>
        <w:ind w:firstLine="3720" w:firstLineChars="1550"/>
        <w:rPr>
          <w:rFonts w:hAnsi="宋体"/>
          <w:color w:val="auto"/>
          <w:szCs w:val="21"/>
          <w:highlight w:val="none"/>
        </w:rPr>
      </w:pPr>
      <w:r>
        <w:rPr>
          <w:rFonts w:hint="eastAsia" w:hAnsi="宋体"/>
          <w:color w:val="auto"/>
          <w:sz w:val="24"/>
          <w:highlight w:val="none"/>
        </w:rPr>
        <w:t>日期：  年  月  日</w:t>
      </w:r>
    </w:p>
    <w:p>
      <w:pPr>
        <w:pStyle w:val="20"/>
        <w:spacing w:line="440" w:lineRule="exact"/>
        <w:rPr>
          <w:rFonts w:hAnsi="宋体"/>
          <w:color w:val="auto"/>
          <w:sz w:val="24"/>
          <w:highlight w:val="none"/>
        </w:rPr>
      </w:pPr>
      <w:r>
        <w:rPr>
          <w:rFonts w:hAnsi="宋体"/>
          <w:color w:val="auto"/>
          <w:sz w:val="24"/>
          <w:highlight w:val="none"/>
        </w:rPr>
        <w:br w:type="page"/>
      </w:r>
      <w:r>
        <w:rPr>
          <w:rFonts w:hint="eastAsia" w:hAnsi="宋体"/>
          <w:b/>
          <w:color w:val="auto"/>
          <w:sz w:val="24"/>
          <w:szCs w:val="24"/>
          <w:highlight w:val="none"/>
        </w:rPr>
        <w:t>附件九：</w:t>
      </w:r>
    </w:p>
    <w:p>
      <w:pPr>
        <w:pStyle w:val="20"/>
        <w:spacing w:line="440" w:lineRule="exact"/>
        <w:jc w:val="center"/>
        <w:rPr>
          <w:rFonts w:hAnsi="宋体"/>
          <w:b/>
          <w:color w:val="auto"/>
          <w:sz w:val="32"/>
          <w:szCs w:val="32"/>
          <w:highlight w:val="none"/>
        </w:rPr>
      </w:pPr>
    </w:p>
    <w:p>
      <w:pPr>
        <w:spacing w:beforeLines="50" w:afterLines="50" w:line="600" w:lineRule="exact"/>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法定代表人身份证明</w:t>
      </w:r>
    </w:p>
    <w:p>
      <w:pPr>
        <w:pStyle w:val="20"/>
        <w:spacing w:line="460" w:lineRule="exact"/>
        <w:ind w:firstLine="616" w:firstLineChars="257"/>
        <w:rPr>
          <w:rFonts w:hAnsi="宋体"/>
          <w:color w:val="auto"/>
          <w:sz w:val="24"/>
          <w:highlight w:val="none"/>
          <w:u w:val="single"/>
        </w:rPr>
      </w:pPr>
      <w:r>
        <w:rPr>
          <w:rFonts w:hint="eastAsia" w:hAnsi="宋体"/>
          <w:color w:val="auto"/>
          <w:sz w:val="24"/>
          <w:highlight w:val="none"/>
        </w:rPr>
        <w:t>供应商：</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单位性质：</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地    址：</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成立时间：年月日</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经营期限：</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姓    名：性      别：</w:t>
      </w:r>
    </w:p>
    <w:p>
      <w:pPr>
        <w:pStyle w:val="20"/>
        <w:spacing w:line="460" w:lineRule="exact"/>
        <w:ind w:firstLine="616" w:firstLineChars="257"/>
        <w:rPr>
          <w:rFonts w:hAnsi="宋体"/>
          <w:color w:val="auto"/>
          <w:sz w:val="24"/>
          <w:highlight w:val="none"/>
          <w:u w:val="single"/>
        </w:rPr>
      </w:pPr>
      <w:r>
        <w:rPr>
          <w:rFonts w:hint="eastAsia" w:hAnsi="宋体"/>
          <w:color w:val="auto"/>
          <w:sz w:val="24"/>
          <w:highlight w:val="none"/>
        </w:rPr>
        <w:t>年    龄：职      务：</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身份证号码：</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系</w:t>
      </w:r>
      <w:r>
        <w:rPr>
          <w:rFonts w:hint="eastAsia" w:hAnsi="宋体"/>
          <w:color w:val="auto"/>
          <w:sz w:val="24"/>
          <w:highlight w:val="none"/>
          <w:u w:val="single"/>
        </w:rPr>
        <w:t xml:space="preserve">（供应商名称）               </w:t>
      </w:r>
      <w:r>
        <w:rPr>
          <w:rFonts w:hint="eastAsia" w:hAnsi="宋体"/>
          <w:color w:val="auto"/>
          <w:sz w:val="24"/>
          <w:highlight w:val="none"/>
        </w:rPr>
        <w:t>的法定代表人。</w:t>
      </w:r>
    </w:p>
    <w:p>
      <w:pPr>
        <w:pStyle w:val="20"/>
        <w:spacing w:line="460" w:lineRule="exact"/>
        <w:ind w:firstLine="616" w:firstLineChars="257"/>
        <w:rPr>
          <w:rFonts w:hAnsi="宋体"/>
          <w:color w:val="auto"/>
          <w:sz w:val="24"/>
          <w:highlight w:val="none"/>
        </w:rPr>
      </w:pPr>
      <w:r>
        <w:rPr>
          <w:rFonts w:hint="eastAsia" w:hAnsi="宋体"/>
          <w:color w:val="auto"/>
          <w:sz w:val="24"/>
          <w:highlight w:val="none"/>
        </w:rPr>
        <w:t>特此证明。</w:t>
      </w:r>
    </w:p>
    <w:p>
      <w:pPr>
        <w:pStyle w:val="20"/>
        <w:spacing w:line="460" w:lineRule="exact"/>
        <w:ind w:firstLine="616" w:firstLineChars="257"/>
        <w:rPr>
          <w:rFonts w:hAnsi="宋体"/>
          <w:color w:val="auto"/>
          <w:sz w:val="24"/>
          <w:szCs w:val="24"/>
          <w:highlight w:val="none"/>
        </w:rPr>
      </w:pPr>
      <w:r>
        <w:rPr>
          <w:rFonts w:hint="eastAsia" w:hAnsi="宋体"/>
          <w:color w:val="auto"/>
          <w:kern w:val="0"/>
          <w:sz w:val="24"/>
          <w:highlight w:val="none"/>
        </w:rPr>
        <w:t>附：法定代表人有效的身份证正反面复印件，并加盖公章。</w:t>
      </w:r>
    </w:p>
    <w:p>
      <w:pPr>
        <w:pStyle w:val="20"/>
        <w:spacing w:line="460" w:lineRule="exact"/>
        <w:ind w:firstLine="616" w:firstLineChars="257"/>
        <w:rPr>
          <w:rFonts w:hAnsi="宋体"/>
          <w:color w:val="auto"/>
          <w:sz w:val="24"/>
          <w:szCs w:val="24"/>
          <w:highlight w:val="none"/>
        </w:rPr>
      </w:pPr>
    </w:p>
    <w:p>
      <w:pPr>
        <w:pStyle w:val="20"/>
        <w:spacing w:line="460" w:lineRule="exact"/>
        <w:ind w:firstLine="616" w:firstLineChars="257"/>
        <w:rPr>
          <w:rFonts w:hAnsi="宋体"/>
          <w:color w:val="auto"/>
          <w:sz w:val="24"/>
          <w:szCs w:val="24"/>
          <w:highlight w:val="none"/>
        </w:rPr>
      </w:pPr>
    </w:p>
    <w:p>
      <w:pPr>
        <w:pStyle w:val="20"/>
        <w:spacing w:line="460" w:lineRule="exact"/>
        <w:ind w:firstLine="616" w:firstLineChars="257"/>
        <w:rPr>
          <w:rFonts w:hAnsi="宋体"/>
          <w:color w:val="auto"/>
          <w:sz w:val="24"/>
          <w:szCs w:val="24"/>
          <w:highlight w:val="none"/>
        </w:rPr>
      </w:pPr>
    </w:p>
    <w:p>
      <w:pPr>
        <w:pStyle w:val="20"/>
        <w:spacing w:line="460" w:lineRule="exact"/>
        <w:ind w:firstLine="616" w:firstLineChars="257"/>
        <w:rPr>
          <w:rFonts w:hAnsi="宋体"/>
          <w:color w:val="auto"/>
          <w:sz w:val="24"/>
          <w:szCs w:val="24"/>
          <w:highlight w:val="none"/>
        </w:rPr>
      </w:pPr>
    </w:p>
    <w:p>
      <w:pPr>
        <w:spacing w:after="0" w:line="500" w:lineRule="exact"/>
        <w:ind w:firstLine="3840" w:firstLineChars="16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pStyle w:val="20"/>
        <w:spacing w:line="460" w:lineRule="exact"/>
        <w:ind w:firstLine="3840" w:firstLineChars="1600"/>
        <w:rPr>
          <w:rFonts w:hAnsi="宋体"/>
          <w:color w:val="auto"/>
          <w:sz w:val="24"/>
          <w:szCs w:val="24"/>
          <w:highlight w:val="none"/>
        </w:rPr>
      </w:pPr>
      <w:r>
        <w:rPr>
          <w:rFonts w:hint="eastAsia" w:hAnsi="宋体"/>
          <w:color w:val="auto"/>
          <w:sz w:val="24"/>
          <w:highlight w:val="none"/>
        </w:rPr>
        <w:t>日期：  年  月  日</w:t>
      </w:r>
    </w:p>
    <w:p>
      <w:pPr>
        <w:adjustRightInd/>
        <w:snapToGrid/>
        <w:spacing w:line="220" w:lineRule="atLeast"/>
        <w:rPr>
          <w:rFonts w:ascii="宋体" w:hAnsi="宋体" w:eastAsia="宋体"/>
          <w:color w:val="auto"/>
          <w:sz w:val="24"/>
          <w:highlight w:val="none"/>
        </w:rPr>
      </w:pPr>
      <w:r>
        <w:rPr>
          <w:rFonts w:ascii="宋体" w:hAnsi="宋体" w:eastAsia="宋体"/>
          <w:color w:val="auto"/>
          <w:sz w:val="24"/>
          <w:highlight w:val="none"/>
        </w:rPr>
        <w:br w:type="page"/>
      </w:r>
    </w:p>
    <w:p>
      <w:pPr>
        <w:spacing w:line="400" w:lineRule="exact"/>
        <w:rPr>
          <w:rFonts w:ascii="宋体" w:hAnsi="宋体" w:eastAsia="宋体"/>
          <w:b/>
          <w:color w:val="auto"/>
          <w:sz w:val="24"/>
          <w:highlight w:val="none"/>
        </w:rPr>
      </w:pPr>
    </w:p>
    <w:p>
      <w:pPr>
        <w:spacing w:line="400" w:lineRule="exact"/>
        <w:rPr>
          <w:rFonts w:ascii="宋体" w:hAnsi="宋体" w:eastAsia="宋体"/>
          <w:color w:val="auto"/>
          <w:sz w:val="24"/>
          <w:highlight w:val="none"/>
        </w:rPr>
      </w:pPr>
      <w:r>
        <w:rPr>
          <w:rFonts w:hint="eastAsia" w:ascii="宋体" w:hAnsi="宋体" w:eastAsia="宋体"/>
          <w:b/>
          <w:color w:val="auto"/>
          <w:sz w:val="24"/>
          <w:highlight w:val="none"/>
        </w:rPr>
        <w:t>附件十：</w:t>
      </w:r>
    </w:p>
    <w:p>
      <w:pPr>
        <w:spacing w:beforeLines="50" w:afterLines="50" w:line="600" w:lineRule="exact"/>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法定代表人授权委托书</w:t>
      </w:r>
    </w:p>
    <w:p>
      <w:pPr>
        <w:autoSpaceDE w:val="0"/>
        <w:rPr>
          <w:rFonts w:ascii="宋体" w:hAnsi="宋体" w:eastAsia="宋体" w:cs="Arial"/>
          <w:b/>
          <w:color w:val="auto"/>
          <w:szCs w:val="21"/>
          <w:highlight w:val="none"/>
        </w:rPr>
      </w:pPr>
    </w:p>
    <w:p>
      <w:pPr>
        <w:spacing w:after="0" w:line="440" w:lineRule="exact"/>
        <w:rPr>
          <w:rFonts w:ascii="宋体" w:hAnsi="宋体" w:eastAsia="宋体" w:cs="Arial"/>
          <w:b/>
          <w:bCs/>
          <w:color w:val="auto"/>
          <w:sz w:val="24"/>
          <w:highlight w:val="none"/>
        </w:rPr>
      </w:pPr>
      <w:r>
        <w:rPr>
          <w:rFonts w:hint="eastAsia" w:ascii="宋体" w:hAnsi="宋体" w:eastAsia="宋体" w:cs="Arial"/>
          <w:bCs/>
          <w:color w:val="auto"/>
          <w:sz w:val="24"/>
          <w:highlight w:val="none"/>
        </w:rPr>
        <w:t>致</w:t>
      </w:r>
      <w:r>
        <w:rPr>
          <w:rFonts w:hint="eastAsia" w:ascii="宋体" w:hAnsi="宋体" w:eastAsia="宋体" w:cs="Arial"/>
          <w:color w:val="auto"/>
          <w:sz w:val="24"/>
          <w:highlight w:val="none"/>
        </w:rPr>
        <w:t>：（采购代理机构）</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我</w:t>
      </w:r>
      <w:r>
        <w:rPr>
          <w:rFonts w:hint="eastAsia" w:ascii="宋体" w:hAnsi="宋体" w:eastAsia="宋体" w:cs="Arial"/>
          <w:color w:val="auto"/>
          <w:sz w:val="24"/>
          <w:highlight w:val="none"/>
          <w:u w:val="single"/>
        </w:rPr>
        <w:t>（姓名）</w:t>
      </w:r>
      <w:r>
        <w:rPr>
          <w:rFonts w:hint="eastAsia" w:ascii="宋体" w:hAnsi="宋体" w:eastAsia="宋体" w:cs="Arial"/>
          <w:color w:val="auto"/>
          <w:sz w:val="24"/>
          <w:highlight w:val="none"/>
        </w:rPr>
        <w:t>系</w:t>
      </w:r>
      <w:r>
        <w:rPr>
          <w:rFonts w:hint="eastAsia" w:ascii="宋体" w:hAnsi="宋体" w:eastAsia="宋体" w:cs="Arial"/>
          <w:color w:val="auto"/>
          <w:sz w:val="24"/>
          <w:highlight w:val="none"/>
          <w:u w:val="single"/>
        </w:rPr>
        <w:t>（供应商名称）</w:t>
      </w:r>
      <w:r>
        <w:rPr>
          <w:rFonts w:hint="eastAsia" w:ascii="宋体" w:hAnsi="宋体" w:eastAsia="宋体" w:cs="Arial"/>
          <w:color w:val="auto"/>
          <w:sz w:val="24"/>
          <w:highlight w:val="none"/>
        </w:rPr>
        <w:t>的法定代表人，现授权委托本单位在职职工</w:t>
      </w:r>
      <w:r>
        <w:rPr>
          <w:rFonts w:hint="eastAsia" w:ascii="宋体" w:hAnsi="宋体" w:eastAsia="宋体" w:cs="Arial"/>
          <w:color w:val="auto"/>
          <w:sz w:val="24"/>
          <w:highlight w:val="none"/>
          <w:u w:val="single"/>
        </w:rPr>
        <w:t xml:space="preserve"> （姓名）</w:t>
      </w:r>
      <w:r>
        <w:rPr>
          <w:rFonts w:hint="eastAsia" w:ascii="宋体" w:hAnsi="宋体" w:eastAsia="宋体" w:cs="Arial"/>
          <w:color w:val="auto"/>
          <w:sz w:val="24"/>
          <w:highlight w:val="none"/>
        </w:rPr>
        <w:t>以我方的名义参加</w:t>
      </w:r>
      <w:r>
        <w:rPr>
          <w:rFonts w:hint="eastAsia" w:ascii="宋体" w:hAnsi="宋体" w:eastAsia="宋体"/>
          <w:color w:val="auto"/>
          <w:sz w:val="24"/>
          <w:highlight w:val="none"/>
          <w:u w:val="single"/>
        </w:rPr>
        <w:t xml:space="preserve">（项目名称）（采购编号：      </w:t>
      </w:r>
      <w:r>
        <w:rPr>
          <w:rFonts w:hint="eastAsia" w:ascii="宋体" w:hAnsi="宋体" w:eastAsia="宋体"/>
          <w:color w:val="auto"/>
          <w:sz w:val="24"/>
          <w:highlight w:val="none"/>
        </w:rPr>
        <w:t>）</w:t>
      </w:r>
      <w:r>
        <w:rPr>
          <w:rFonts w:hint="eastAsia" w:ascii="宋体" w:hAnsi="宋体" w:eastAsia="宋体" w:cs="Arial"/>
          <w:color w:val="auto"/>
          <w:sz w:val="24"/>
          <w:highlight w:val="none"/>
        </w:rPr>
        <w:t>项目的竞标活动，并代表我方全权办理针对上述项目的响应文件签署、响应文件提交、谈判、签订合同和处理一切有关事宜等。</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我方对被授权人的签名事项负全部责任。</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授权委托期限：年月日至年月日。被授权人在授权书有效期内签署的所有文件均有效。</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被授权人无转委托权，特此委托。</w:t>
      </w:r>
    </w:p>
    <w:p>
      <w:pPr>
        <w:spacing w:after="0" w:line="440" w:lineRule="exact"/>
        <w:ind w:firstLine="480" w:firstLineChars="200"/>
        <w:rPr>
          <w:rFonts w:ascii="宋体" w:hAnsi="宋体" w:eastAsia="宋体" w:cs="Arial"/>
          <w:color w:val="auto"/>
          <w:sz w:val="24"/>
          <w:highlight w:val="none"/>
        </w:rPr>
      </w:pP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附：被授权人有效的身份证正反面复印件，并加盖公章。</w:t>
      </w:r>
    </w:p>
    <w:p>
      <w:pPr>
        <w:spacing w:line="440" w:lineRule="exact"/>
        <w:ind w:firstLine="480" w:firstLineChars="200"/>
        <w:rPr>
          <w:rFonts w:ascii="宋体" w:hAnsi="宋体" w:eastAsia="宋体" w:cs="Arial"/>
          <w:color w:val="auto"/>
          <w:sz w:val="24"/>
          <w:highlight w:val="none"/>
        </w:rPr>
      </w:pP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法定代表人（签字）：</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法定代表人身份证号码：</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委托代理人（签字）：</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委托代理人身份证号码：</w:t>
      </w:r>
    </w:p>
    <w:p>
      <w:pPr>
        <w:spacing w:line="440" w:lineRule="exact"/>
        <w:ind w:firstLine="2880" w:firstLineChars="1200"/>
        <w:rPr>
          <w:rFonts w:ascii="宋体" w:hAnsi="宋体" w:eastAsia="宋体" w:cs="Arial"/>
          <w:color w:val="auto"/>
          <w:sz w:val="24"/>
          <w:highlight w:val="none"/>
        </w:rPr>
      </w:pPr>
      <w:r>
        <w:rPr>
          <w:rFonts w:hint="eastAsia" w:ascii="宋体" w:hAnsi="宋体" w:eastAsia="宋体"/>
          <w:color w:val="auto"/>
          <w:sz w:val="24"/>
          <w:highlight w:val="none"/>
        </w:rPr>
        <w:t>日期：  年  月  日</w:t>
      </w:r>
    </w:p>
    <w:p>
      <w:pPr>
        <w:spacing w:line="440" w:lineRule="exact"/>
        <w:ind w:firstLine="480" w:firstLineChars="200"/>
        <w:rPr>
          <w:rFonts w:ascii="宋体" w:hAnsi="宋体" w:eastAsia="宋体" w:cs="Arial"/>
          <w:color w:val="auto"/>
          <w:sz w:val="24"/>
          <w:highlight w:val="none"/>
        </w:rPr>
      </w:pPr>
    </w:p>
    <w:p>
      <w:pPr>
        <w:adjustRightInd/>
        <w:snapToGrid/>
        <w:spacing w:line="220" w:lineRule="atLeast"/>
        <w:rPr>
          <w:rFonts w:ascii="宋体" w:hAnsi="宋体" w:eastAsia="宋体" w:cs="Arial"/>
          <w:color w:val="auto"/>
          <w:kern w:val="2"/>
          <w:sz w:val="24"/>
          <w:szCs w:val="24"/>
          <w:highlight w:val="none"/>
        </w:rPr>
      </w:pPr>
      <w:r>
        <w:rPr>
          <w:rFonts w:ascii="宋体" w:hAnsi="宋体" w:eastAsia="宋体" w:cs="Arial"/>
          <w:color w:val="auto"/>
          <w:sz w:val="24"/>
          <w:szCs w:val="24"/>
          <w:highlight w:val="none"/>
        </w:rPr>
        <w:br w:type="page"/>
      </w:r>
    </w:p>
    <w:p>
      <w:pPr>
        <w:pStyle w:val="13"/>
        <w:overflowPunct w:val="0"/>
        <w:ind w:firstLine="0"/>
        <w:rPr>
          <w:rFonts w:ascii="宋体" w:hAnsi="宋体"/>
          <w:color w:val="auto"/>
          <w:sz w:val="24"/>
          <w:highlight w:val="none"/>
        </w:rPr>
      </w:pPr>
    </w:p>
    <w:p>
      <w:pPr>
        <w:spacing w:line="300" w:lineRule="auto"/>
        <w:rPr>
          <w:rFonts w:ascii="宋体" w:hAnsi="宋体" w:eastAsia="宋体" w:cs="Arial"/>
          <w:b/>
          <w:color w:val="auto"/>
          <w:sz w:val="24"/>
          <w:highlight w:val="none"/>
        </w:rPr>
      </w:pPr>
      <w:r>
        <w:rPr>
          <w:rFonts w:hint="eastAsia" w:ascii="宋体" w:hAnsi="宋体" w:eastAsia="宋体" w:cs="Arial"/>
          <w:b/>
          <w:color w:val="auto"/>
          <w:sz w:val="24"/>
          <w:highlight w:val="none"/>
        </w:rPr>
        <w:t>附件十一：</w:t>
      </w:r>
    </w:p>
    <w:p>
      <w:pPr>
        <w:spacing w:before="50"/>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中小企业声明函</w:t>
      </w:r>
    </w:p>
    <w:p>
      <w:pPr>
        <w:spacing w:after="0" w:line="400" w:lineRule="exact"/>
        <w:rPr>
          <w:rFonts w:ascii="宋体" w:hAnsi="宋体" w:eastAsia="宋体"/>
          <w:color w:val="auto"/>
          <w:szCs w:val="21"/>
          <w:highlight w:val="none"/>
        </w:rPr>
      </w:pP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本公司郑重声明，根据《政府采购促进中小企业发展暂行办法》（财库[2011]181号）的规定，本公司为（请填写：中型、小型、微型）企业。即，本公司同时满足以下条件：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2.本公司参加单位的项目采购活动提供本企业制造的货物，由本企业承担工程、提供服务，或者提供其他（请填写：中型、小型、微型）企业制造的货物。本条所称货物不包括使用大型企业注册商标的货物。</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本公司对上述声明的真实性负责。如有虚假，将依法承担相应责任。</w:t>
      </w:r>
    </w:p>
    <w:p>
      <w:pPr>
        <w:spacing w:before="50" w:line="400" w:lineRule="exact"/>
        <w:rPr>
          <w:rFonts w:ascii="宋体" w:hAnsi="宋体" w:eastAsia="宋体"/>
          <w:color w:val="auto"/>
          <w:szCs w:val="21"/>
          <w:highlight w:val="none"/>
        </w:rPr>
      </w:pPr>
    </w:p>
    <w:p>
      <w:pPr>
        <w:spacing w:before="50" w:line="400" w:lineRule="exact"/>
        <w:rPr>
          <w:rFonts w:ascii="宋体" w:hAnsi="宋体" w:eastAsia="宋体"/>
          <w:color w:val="auto"/>
          <w:sz w:val="28"/>
          <w:szCs w:val="28"/>
          <w:highlight w:val="none"/>
        </w:rPr>
      </w:pPr>
      <w:r>
        <w:rPr>
          <w:rFonts w:hint="eastAsia" w:ascii="宋体" w:hAnsi="宋体" w:eastAsia="宋体"/>
          <w:color w:val="auto"/>
          <w:szCs w:val="21"/>
          <w:highlight w:val="none"/>
        </w:rPr>
        <w:t>　　　　　　　　　　　　　　　　　　　　　　　　　　</w:t>
      </w:r>
      <w:r>
        <w:rPr>
          <w:rFonts w:hint="eastAsia" w:ascii="宋体" w:hAnsi="宋体" w:eastAsia="宋体"/>
          <w:color w:val="auto"/>
          <w:sz w:val="28"/>
          <w:szCs w:val="28"/>
          <w:highlight w:val="none"/>
        </w:rPr>
        <w:t>　</w:t>
      </w:r>
    </w:p>
    <w:p>
      <w:pPr>
        <w:spacing w:before="50" w:line="400" w:lineRule="exact"/>
        <w:ind w:firstLine="5040" w:firstLineChars="2100"/>
        <w:rPr>
          <w:rFonts w:ascii="宋体" w:hAnsi="宋体" w:eastAsia="宋体"/>
          <w:color w:val="auto"/>
          <w:sz w:val="24"/>
          <w:szCs w:val="24"/>
          <w:highlight w:val="none"/>
        </w:rPr>
      </w:pPr>
      <w:r>
        <w:rPr>
          <w:rFonts w:hint="eastAsia" w:ascii="宋体" w:hAnsi="宋体" w:eastAsia="宋体"/>
          <w:color w:val="auto"/>
          <w:sz w:val="24"/>
          <w:szCs w:val="24"/>
          <w:highlight w:val="none"/>
        </w:rPr>
        <w:t>企业名称（盖章）：</w:t>
      </w:r>
    </w:p>
    <w:p>
      <w:pPr>
        <w:spacing w:before="50" w:line="400" w:lineRule="exact"/>
        <w:rPr>
          <w:rFonts w:ascii="宋体" w:hAnsi="宋体" w:eastAsia="宋体"/>
          <w:color w:val="auto"/>
          <w:sz w:val="24"/>
          <w:szCs w:val="24"/>
          <w:highlight w:val="none"/>
        </w:rPr>
      </w:pPr>
    </w:p>
    <w:p>
      <w:pPr>
        <w:spacing w:before="50"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日期：</w:t>
      </w:r>
    </w:p>
    <w:p>
      <w:pPr>
        <w:pStyle w:val="20"/>
        <w:spacing w:line="440" w:lineRule="exact"/>
        <w:rPr>
          <w:rFonts w:hAnsi="宋体"/>
          <w:b/>
          <w:color w:val="auto"/>
          <w:szCs w:val="21"/>
          <w:highlight w:val="none"/>
        </w:rPr>
      </w:pPr>
    </w:p>
    <w:p>
      <w:pPr>
        <w:adjustRightInd/>
        <w:snapToGrid/>
        <w:spacing w:line="220" w:lineRule="atLeast"/>
        <w:rPr>
          <w:rFonts w:ascii="宋体" w:hAnsi="宋体" w:eastAsia="宋体"/>
          <w:b/>
          <w:color w:val="auto"/>
          <w:kern w:val="2"/>
          <w:sz w:val="21"/>
          <w:szCs w:val="21"/>
          <w:highlight w:val="none"/>
        </w:rPr>
      </w:pPr>
      <w:r>
        <w:rPr>
          <w:rFonts w:ascii="宋体" w:hAnsi="宋体" w:eastAsia="宋体"/>
          <w:b/>
          <w:color w:val="auto"/>
          <w:szCs w:val="21"/>
          <w:highlight w:val="none"/>
        </w:rPr>
        <w:br w:type="page"/>
      </w:r>
    </w:p>
    <w:p>
      <w:pPr>
        <w:rPr>
          <w:rFonts w:ascii="宋体" w:hAnsi="宋体" w:eastAsia="宋体"/>
          <w:b/>
          <w:color w:val="auto"/>
          <w:sz w:val="24"/>
          <w:szCs w:val="24"/>
          <w:highlight w:val="none"/>
        </w:rPr>
      </w:pPr>
    </w:p>
    <w:p>
      <w:pPr>
        <w:rPr>
          <w:rFonts w:ascii="宋体" w:hAnsi="宋体" w:eastAsia="宋体" w:cs="仿宋"/>
          <w:b/>
          <w:color w:val="auto"/>
          <w:sz w:val="32"/>
          <w:szCs w:val="32"/>
          <w:highlight w:val="none"/>
        </w:rPr>
      </w:pPr>
      <w:r>
        <w:rPr>
          <w:rFonts w:hint="eastAsia" w:ascii="宋体" w:hAnsi="宋体" w:eastAsia="宋体"/>
          <w:b/>
          <w:color w:val="auto"/>
          <w:sz w:val="24"/>
          <w:szCs w:val="24"/>
          <w:highlight w:val="none"/>
        </w:rPr>
        <w:t>附件十二：</w:t>
      </w:r>
    </w:p>
    <w:p>
      <w:pPr>
        <w:jc w:val="center"/>
        <w:rPr>
          <w:rFonts w:ascii="宋体" w:hAnsi="宋体" w:eastAsia="宋体" w:cs="仿宋"/>
          <w:b/>
          <w:color w:val="auto"/>
          <w:sz w:val="32"/>
          <w:szCs w:val="32"/>
          <w:highlight w:val="none"/>
        </w:rPr>
      </w:pPr>
    </w:p>
    <w:p>
      <w:pPr>
        <w:spacing w:line="588" w:lineRule="exact"/>
        <w:jc w:val="center"/>
        <w:rPr>
          <w:rFonts w:ascii="宋体" w:hAnsi="宋体" w:eastAsia="宋体"/>
          <w:b/>
          <w:color w:val="auto"/>
          <w:spacing w:val="6"/>
          <w:sz w:val="32"/>
          <w:szCs w:val="32"/>
          <w:highlight w:val="none"/>
        </w:rPr>
      </w:pPr>
      <w:bookmarkStart w:id="166" w:name="OLE_LINK14"/>
      <w:bookmarkStart w:id="167" w:name="OLE_LINK13"/>
      <w:r>
        <w:rPr>
          <w:rFonts w:hint="eastAsia" w:ascii="宋体" w:hAnsi="宋体" w:eastAsia="宋体"/>
          <w:b/>
          <w:color w:val="auto"/>
          <w:spacing w:val="6"/>
          <w:sz w:val="32"/>
          <w:szCs w:val="32"/>
          <w:highlight w:val="none"/>
        </w:rPr>
        <w:t>残疾人福利性单位声明函</w:t>
      </w:r>
    </w:p>
    <w:bookmarkEnd w:id="166"/>
    <w:bookmarkEnd w:id="167"/>
    <w:p>
      <w:pPr>
        <w:spacing w:line="588" w:lineRule="exact"/>
        <w:ind w:firstLine="504" w:firstLineChars="200"/>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仿宋"/>
          <w:color w:val="auto"/>
          <w:sz w:val="24"/>
          <w:szCs w:val="24"/>
          <w:highlight w:val="none"/>
        </w:rPr>
        <w:t>〔2017〕 141</w:t>
      </w:r>
      <w:r>
        <w:rPr>
          <w:rFonts w:hint="eastAsia" w:ascii="宋体" w:hAnsi="宋体" w:eastAsia="宋体"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本单位对上述声明的真实性负责。如有虚假，将依法承担相应责任。</w:t>
      </w:r>
    </w:p>
    <w:p>
      <w:pPr>
        <w:spacing w:line="588" w:lineRule="exact"/>
        <w:ind w:firstLine="504" w:firstLineChars="200"/>
        <w:rPr>
          <w:rFonts w:ascii="宋体" w:hAnsi="宋体" w:eastAsia="宋体" w:cs="仿宋"/>
          <w:color w:val="auto"/>
          <w:spacing w:val="6"/>
          <w:sz w:val="24"/>
          <w:szCs w:val="24"/>
          <w:highlight w:val="none"/>
        </w:rPr>
      </w:pPr>
    </w:p>
    <w:p>
      <w:pPr>
        <w:spacing w:line="588" w:lineRule="exact"/>
        <w:ind w:firstLine="504" w:firstLineChars="200"/>
        <w:rPr>
          <w:rFonts w:ascii="宋体" w:hAnsi="宋体" w:eastAsia="宋体" w:cs="仿宋"/>
          <w:color w:val="auto"/>
          <w:spacing w:val="6"/>
          <w:sz w:val="24"/>
          <w:szCs w:val="24"/>
          <w:highlight w:val="none"/>
        </w:rPr>
      </w:pPr>
    </w:p>
    <w:p>
      <w:pPr>
        <w:tabs>
          <w:tab w:val="left" w:pos="4860"/>
        </w:tabs>
        <w:spacing w:line="588" w:lineRule="exact"/>
        <w:ind w:right="1560" w:firstLine="504" w:firstLineChars="200"/>
        <w:jc w:val="center"/>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 xml:space="preserve">              日  期：</w:t>
      </w: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pStyle w:val="20"/>
        <w:ind w:firstLine="281" w:firstLineChars="100"/>
        <w:outlineLvl w:val="2"/>
        <w:rPr>
          <w:rFonts w:hAnsi="宋体" w:cs="仿宋"/>
          <w:b/>
          <w:bCs/>
          <w:color w:val="auto"/>
          <w:sz w:val="28"/>
          <w:szCs w:val="28"/>
          <w:highlight w:val="none"/>
        </w:rPr>
      </w:pPr>
    </w:p>
    <w:p>
      <w:pPr>
        <w:spacing w:after="0" w:line="360" w:lineRule="exact"/>
        <w:ind w:firstLine="446" w:firstLineChars="200"/>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注：1、</w:t>
      </w:r>
      <w:r>
        <w:rPr>
          <w:rFonts w:hint="eastAsia" w:ascii="宋体" w:hAnsi="宋体" w:eastAsia="宋体"/>
          <w:b/>
          <w:color w:val="auto"/>
          <w:spacing w:val="6"/>
          <w:sz w:val="21"/>
          <w:szCs w:val="21"/>
          <w:highlight w:val="none"/>
          <w:u w:val="single"/>
        </w:rPr>
        <w:t>成交供应商为残疾人福利性单位的，成交结果将同时公告其《残疾人福利性单位声明函》，接受社会监督</w:t>
      </w:r>
      <w:r>
        <w:rPr>
          <w:rFonts w:hint="eastAsia" w:ascii="宋体" w:hAnsi="宋体" w:eastAsia="宋体"/>
          <w:b/>
          <w:color w:val="auto"/>
          <w:spacing w:val="6"/>
          <w:sz w:val="21"/>
          <w:szCs w:val="21"/>
          <w:highlight w:val="none"/>
        </w:rPr>
        <w:t>。</w:t>
      </w:r>
    </w:p>
    <w:p>
      <w:pPr>
        <w:spacing w:after="0" w:line="360" w:lineRule="exact"/>
        <w:ind w:firstLine="446" w:firstLineChars="200"/>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2、</w:t>
      </w:r>
      <w:r>
        <w:rPr>
          <w:rFonts w:hint="eastAsia" w:ascii="宋体" w:hAnsi="宋体" w:eastAsia="宋体"/>
          <w:b/>
          <w:color w:val="auto"/>
          <w:spacing w:val="6"/>
          <w:sz w:val="21"/>
          <w:szCs w:val="21"/>
          <w:highlight w:val="none"/>
          <w:u w:val="single"/>
        </w:rPr>
        <w:t>供应商提供的《残疾人福利性单位声明函》与事实不符的，依照《政府采购法》第七十七条第一款的规定追究法律责任</w:t>
      </w:r>
      <w:r>
        <w:rPr>
          <w:rFonts w:hint="eastAsia" w:ascii="宋体" w:hAnsi="宋体" w:eastAsia="宋体"/>
          <w:b/>
          <w:color w:val="auto"/>
          <w:spacing w:val="6"/>
          <w:sz w:val="21"/>
          <w:szCs w:val="21"/>
          <w:highlight w:val="none"/>
        </w:rPr>
        <w:t>。</w:t>
      </w:r>
    </w:p>
    <w:p>
      <w:pPr>
        <w:adjustRightInd/>
        <w:snapToGrid/>
        <w:spacing w:after="0"/>
        <w:rPr>
          <w:rFonts w:ascii="宋体" w:hAnsi="宋体" w:eastAsia="宋体"/>
          <w:b/>
          <w:color w:val="auto"/>
          <w:spacing w:val="6"/>
          <w:sz w:val="21"/>
          <w:szCs w:val="21"/>
          <w:highlight w:val="none"/>
        </w:rPr>
      </w:pP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50</w: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rPr>
      <w:t>广西桂水工程咨询有限公司编制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3</w:t>
    </w:r>
    <w:r>
      <w:fldChar w:fldCharType="end"/>
    </w:r>
  </w:p>
  <w:p>
    <w:pPr>
      <w:pStyle w:val="24"/>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50</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auto" w:sz="4" w:space="1"/>
      </w:pBdr>
      <w:jc w:val="center"/>
      <w:rPr>
        <w:rFonts w:ascii="宋体" w:hAnsi="宋体"/>
      </w:rPr>
    </w:pPr>
    <w:r>
      <w:rPr>
        <w:rFonts w:hint="eastAsia"/>
      </w:rPr>
      <w:t>项目名称：</w:t>
    </w:r>
    <w:r>
      <w:rPr>
        <w:rFonts w:hint="eastAsia"/>
        <w:lang w:eastAsia="zh-CN"/>
      </w:rPr>
      <w:t>广西基层呼吸系统疾病早期筛查干预能力提升项目-医疗设备采购（肺功能仪）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olor w:val="000000"/>
        <w:szCs w:val="21"/>
      </w:rPr>
      <w:t>田东县平马镇东区小学项目地质勘察服务</w:t>
    </w:r>
    <w:r>
      <w:rPr>
        <w:rFonts w:hint="eastAsia" w:ascii="宋体" w:hAnsi="宋体"/>
      </w:rPr>
      <w:t>GXZC2019-J1-0016-GS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D8C6"/>
    <w:multiLevelType w:val="singleLevel"/>
    <w:tmpl w:val="2693D8C6"/>
    <w:lvl w:ilvl="0" w:tentative="0">
      <w:start w:val="1"/>
      <w:numFmt w:val="chineseCounting"/>
      <w:suff w:val="nothing"/>
      <w:lvlText w:val="%1、"/>
      <w:lvlJc w:val="left"/>
      <w:rPr>
        <w:rFonts w:hint="eastAsia"/>
      </w:rPr>
    </w:lvl>
  </w:abstractNum>
  <w:abstractNum w:abstractNumId="1">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6C94796"/>
    <w:multiLevelType w:val="multilevel"/>
    <w:tmpl w:val="76C9479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0"/>
  <w:displayHorizontalDrawingGridEvery w:val="1"/>
  <w:displayVerticalDrawingGridEvery w:val="1"/>
  <w:noPunctuationKerning w:val="1"/>
  <w:characterSpacingControl w:val="compressPunctuation"/>
  <w:compat>
    <w:ulTrailSpace/>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42D"/>
    <w:rsid w:val="0000582E"/>
    <w:rsid w:val="00006497"/>
    <w:rsid w:val="00010EBE"/>
    <w:rsid w:val="00011BD1"/>
    <w:rsid w:val="00012F29"/>
    <w:rsid w:val="00014271"/>
    <w:rsid w:val="00014CFD"/>
    <w:rsid w:val="00025E43"/>
    <w:rsid w:val="00027B3D"/>
    <w:rsid w:val="0003115D"/>
    <w:rsid w:val="0003228F"/>
    <w:rsid w:val="00044165"/>
    <w:rsid w:val="00047131"/>
    <w:rsid w:val="000476A1"/>
    <w:rsid w:val="00052612"/>
    <w:rsid w:val="0006081F"/>
    <w:rsid w:val="0006381C"/>
    <w:rsid w:val="00063996"/>
    <w:rsid w:val="000661B9"/>
    <w:rsid w:val="00066D2D"/>
    <w:rsid w:val="00072A41"/>
    <w:rsid w:val="00072E71"/>
    <w:rsid w:val="00082304"/>
    <w:rsid w:val="00084BC7"/>
    <w:rsid w:val="000874EE"/>
    <w:rsid w:val="0009116B"/>
    <w:rsid w:val="000A5CEB"/>
    <w:rsid w:val="000B108F"/>
    <w:rsid w:val="000C7966"/>
    <w:rsid w:val="000D6913"/>
    <w:rsid w:val="000D6DB4"/>
    <w:rsid w:val="000D7F91"/>
    <w:rsid w:val="000E6841"/>
    <w:rsid w:val="0010330F"/>
    <w:rsid w:val="001048D0"/>
    <w:rsid w:val="00116902"/>
    <w:rsid w:val="00120BD6"/>
    <w:rsid w:val="0012341F"/>
    <w:rsid w:val="00127D2F"/>
    <w:rsid w:val="0013462E"/>
    <w:rsid w:val="001374B9"/>
    <w:rsid w:val="001400BE"/>
    <w:rsid w:val="001437AA"/>
    <w:rsid w:val="00157D15"/>
    <w:rsid w:val="00161DA4"/>
    <w:rsid w:val="001621C3"/>
    <w:rsid w:val="001629DF"/>
    <w:rsid w:val="00163CFE"/>
    <w:rsid w:val="001666AB"/>
    <w:rsid w:val="0016748D"/>
    <w:rsid w:val="001778E6"/>
    <w:rsid w:val="001806D3"/>
    <w:rsid w:val="00180C61"/>
    <w:rsid w:val="00187741"/>
    <w:rsid w:val="00191ABE"/>
    <w:rsid w:val="001A2331"/>
    <w:rsid w:val="001B2444"/>
    <w:rsid w:val="001B3046"/>
    <w:rsid w:val="001B3834"/>
    <w:rsid w:val="001B4468"/>
    <w:rsid w:val="001B7744"/>
    <w:rsid w:val="001C6A83"/>
    <w:rsid w:val="001D01E1"/>
    <w:rsid w:val="001D5599"/>
    <w:rsid w:val="001E2141"/>
    <w:rsid w:val="001E6B61"/>
    <w:rsid w:val="001E7AC8"/>
    <w:rsid w:val="001F2213"/>
    <w:rsid w:val="001F629E"/>
    <w:rsid w:val="001F7C0B"/>
    <w:rsid w:val="0020543F"/>
    <w:rsid w:val="00206998"/>
    <w:rsid w:val="002136A2"/>
    <w:rsid w:val="002144A7"/>
    <w:rsid w:val="00224DC6"/>
    <w:rsid w:val="00226066"/>
    <w:rsid w:val="00227779"/>
    <w:rsid w:val="00227DFE"/>
    <w:rsid w:val="00231D59"/>
    <w:rsid w:val="002320C7"/>
    <w:rsid w:val="00240B85"/>
    <w:rsid w:val="00251D3F"/>
    <w:rsid w:val="00253524"/>
    <w:rsid w:val="00260A04"/>
    <w:rsid w:val="00263902"/>
    <w:rsid w:val="002646FC"/>
    <w:rsid w:val="00266240"/>
    <w:rsid w:val="002711FB"/>
    <w:rsid w:val="002770A6"/>
    <w:rsid w:val="002772CF"/>
    <w:rsid w:val="00280F6B"/>
    <w:rsid w:val="0028604F"/>
    <w:rsid w:val="002965D3"/>
    <w:rsid w:val="002A07F2"/>
    <w:rsid w:val="002D59E1"/>
    <w:rsid w:val="002D6B72"/>
    <w:rsid w:val="002E1E4B"/>
    <w:rsid w:val="002E4844"/>
    <w:rsid w:val="002E5953"/>
    <w:rsid w:val="002E5EFB"/>
    <w:rsid w:val="002F4F85"/>
    <w:rsid w:val="003050DF"/>
    <w:rsid w:val="003072BA"/>
    <w:rsid w:val="00312326"/>
    <w:rsid w:val="0031468E"/>
    <w:rsid w:val="00317F98"/>
    <w:rsid w:val="00321947"/>
    <w:rsid w:val="00323B43"/>
    <w:rsid w:val="003401E1"/>
    <w:rsid w:val="00346D8D"/>
    <w:rsid w:val="00346E52"/>
    <w:rsid w:val="00355F98"/>
    <w:rsid w:val="00356975"/>
    <w:rsid w:val="00357D0F"/>
    <w:rsid w:val="00365BCA"/>
    <w:rsid w:val="00380E67"/>
    <w:rsid w:val="00382B59"/>
    <w:rsid w:val="0038475E"/>
    <w:rsid w:val="0039158A"/>
    <w:rsid w:val="003A2E59"/>
    <w:rsid w:val="003A3794"/>
    <w:rsid w:val="003A475A"/>
    <w:rsid w:val="003A569D"/>
    <w:rsid w:val="003A6221"/>
    <w:rsid w:val="003C2530"/>
    <w:rsid w:val="003C4770"/>
    <w:rsid w:val="003C548A"/>
    <w:rsid w:val="003C74DD"/>
    <w:rsid w:val="003D088B"/>
    <w:rsid w:val="003D1FAF"/>
    <w:rsid w:val="003D37D8"/>
    <w:rsid w:val="003E1940"/>
    <w:rsid w:val="003E4C5A"/>
    <w:rsid w:val="003E56B7"/>
    <w:rsid w:val="003E660B"/>
    <w:rsid w:val="003E6750"/>
    <w:rsid w:val="003F7A8C"/>
    <w:rsid w:val="004029B5"/>
    <w:rsid w:val="00402CFE"/>
    <w:rsid w:val="00404E91"/>
    <w:rsid w:val="00407742"/>
    <w:rsid w:val="004102BE"/>
    <w:rsid w:val="004104E3"/>
    <w:rsid w:val="00411286"/>
    <w:rsid w:val="00426133"/>
    <w:rsid w:val="00430375"/>
    <w:rsid w:val="00432317"/>
    <w:rsid w:val="004358AB"/>
    <w:rsid w:val="004430DB"/>
    <w:rsid w:val="004473D9"/>
    <w:rsid w:val="004477C5"/>
    <w:rsid w:val="0045378D"/>
    <w:rsid w:val="00453CA5"/>
    <w:rsid w:val="00456967"/>
    <w:rsid w:val="00463A95"/>
    <w:rsid w:val="00465AFC"/>
    <w:rsid w:val="00470522"/>
    <w:rsid w:val="00476834"/>
    <w:rsid w:val="00486A5B"/>
    <w:rsid w:val="004A1AAF"/>
    <w:rsid w:val="004A3DE7"/>
    <w:rsid w:val="004B7674"/>
    <w:rsid w:val="004D0110"/>
    <w:rsid w:val="004D2CFC"/>
    <w:rsid w:val="004E02F7"/>
    <w:rsid w:val="004E5913"/>
    <w:rsid w:val="004E7B57"/>
    <w:rsid w:val="004F14CF"/>
    <w:rsid w:val="004F4588"/>
    <w:rsid w:val="004F50D2"/>
    <w:rsid w:val="004F7961"/>
    <w:rsid w:val="00511335"/>
    <w:rsid w:val="00514CED"/>
    <w:rsid w:val="00515724"/>
    <w:rsid w:val="0051714C"/>
    <w:rsid w:val="00517A92"/>
    <w:rsid w:val="005200CC"/>
    <w:rsid w:val="00523BE9"/>
    <w:rsid w:val="005278F2"/>
    <w:rsid w:val="005318C5"/>
    <w:rsid w:val="00534937"/>
    <w:rsid w:val="0053757D"/>
    <w:rsid w:val="0054143E"/>
    <w:rsid w:val="00541BC8"/>
    <w:rsid w:val="00543DD7"/>
    <w:rsid w:val="00544657"/>
    <w:rsid w:val="00544BB9"/>
    <w:rsid w:val="00547052"/>
    <w:rsid w:val="00556798"/>
    <w:rsid w:val="0056210E"/>
    <w:rsid w:val="0056288F"/>
    <w:rsid w:val="00570D3C"/>
    <w:rsid w:val="005721D0"/>
    <w:rsid w:val="00573113"/>
    <w:rsid w:val="00586769"/>
    <w:rsid w:val="0058710C"/>
    <w:rsid w:val="00591382"/>
    <w:rsid w:val="005A57FB"/>
    <w:rsid w:val="005A64F3"/>
    <w:rsid w:val="005A6C96"/>
    <w:rsid w:val="005B0581"/>
    <w:rsid w:val="005B0C14"/>
    <w:rsid w:val="005B2EA3"/>
    <w:rsid w:val="005B68FA"/>
    <w:rsid w:val="005C56F2"/>
    <w:rsid w:val="005D4031"/>
    <w:rsid w:val="005D4B96"/>
    <w:rsid w:val="005E1E6C"/>
    <w:rsid w:val="005F001B"/>
    <w:rsid w:val="005F25BA"/>
    <w:rsid w:val="006013A4"/>
    <w:rsid w:val="00601BE5"/>
    <w:rsid w:val="0060404C"/>
    <w:rsid w:val="00606E45"/>
    <w:rsid w:val="00610990"/>
    <w:rsid w:val="00611CB2"/>
    <w:rsid w:val="00613B9E"/>
    <w:rsid w:val="00614096"/>
    <w:rsid w:val="00617327"/>
    <w:rsid w:val="00634741"/>
    <w:rsid w:val="00634868"/>
    <w:rsid w:val="00637A8A"/>
    <w:rsid w:val="006415BD"/>
    <w:rsid w:val="00641D6E"/>
    <w:rsid w:val="00642C6C"/>
    <w:rsid w:val="00643D21"/>
    <w:rsid w:val="00644EE8"/>
    <w:rsid w:val="006451F3"/>
    <w:rsid w:val="00645D9B"/>
    <w:rsid w:val="00647694"/>
    <w:rsid w:val="0064790C"/>
    <w:rsid w:val="00651EAF"/>
    <w:rsid w:val="00651EFC"/>
    <w:rsid w:val="00656AD0"/>
    <w:rsid w:val="00663D0B"/>
    <w:rsid w:val="00664961"/>
    <w:rsid w:val="00664F84"/>
    <w:rsid w:val="00667D2D"/>
    <w:rsid w:val="006726C0"/>
    <w:rsid w:val="00673589"/>
    <w:rsid w:val="006743EF"/>
    <w:rsid w:val="0067697C"/>
    <w:rsid w:val="006804FC"/>
    <w:rsid w:val="00691C59"/>
    <w:rsid w:val="00697BF1"/>
    <w:rsid w:val="006A4319"/>
    <w:rsid w:val="006B0788"/>
    <w:rsid w:val="006B1AF6"/>
    <w:rsid w:val="006C1AEA"/>
    <w:rsid w:val="006C665A"/>
    <w:rsid w:val="006D4EC7"/>
    <w:rsid w:val="006D4FA3"/>
    <w:rsid w:val="006D60C4"/>
    <w:rsid w:val="006E0736"/>
    <w:rsid w:val="006E11BE"/>
    <w:rsid w:val="006E4679"/>
    <w:rsid w:val="006F1C37"/>
    <w:rsid w:val="006F2607"/>
    <w:rsid w:val="006F6263"/>
    <w:rsid w:val="0070306B"/>
    <w:rsid w:val="00705D39"/>
    <w:rsid w:val="00711817"/>
    <w:rsid w:val="0071222A"/>
    <w:rsid w:val="00723532"/>
    <w:rsid w:val="00735F4F"/>
    <w:rsid w:val="007407ED"/>
    <w:rsid w:val="0074108A"/>
    <w:rsid w:val="00743365"/>
    <w:rsid w:val="00747D6F"/>
    <w:rsid w:val="00754BAC"/>
    <w:rsid w:val="00754D03"/>
    <w:rsid w:val="00761FAD"/>
    <w:rsid w:val="00764728"/>
    <w:rsid w:val="007654A4"/>
    <w:rsid w:val="007705EE"/>
    <w:rsid w:val="00770879"/>
    <w:rsid w:val="00782386"/>
    <w:rsid w:val="00785F49"/>
    <w:rsid w:val="00790DEF"/>
    <w:rsid w:val="00795F52"/>
    <w:rsid w:val="007A0CAF"/>
    <w:rsid w:val="007B2C90"/>
    <w:rsid w:val="007B33D0"/>
    <w:rsid w:val="007B691C"/>
    <w:rsid w:val="007B7D96"/>
    <w:rsid w:val="007C64AA"/>
    <w:rsid w:val="007E6605"/>
    <w:rsid w:val="007F3EE4"/>
    <w:rsid w:val="007F4FA4"/>
    <w:rsid w:val="007F7FCB"/>
    <w:rsid w:val="00802B9A"/>
    <w:rsid w:val="00803360"/>
    <w:rsid w:val="008042EE"/>
    <w:rsid w:val="00812CFB"/>
    <w:rsid w:val="00813D10"/>
    <w:rsid w:val="00816147"/>
    <w:rsid w:val="008170E3"/>
    <w:rsid w:val="008216FE"/>
    <w:rsid w:val="008227AF"/>
    <w:rsid w:val="008233FF"/>
    <w:rsid w:val="0082344F"/>
    <w:rsid w:val="00831269"/>
    <w:rsid w:val="00833C8B"/>
    <w:rsid w:val="00842401"/>
    <w:rsid w:val="00844F3A"/>
    <w:rsid w:val="00846E83"/>
    <w:rsid w:val="008609A7"/>
    <w:rsid w:val="00871A16"/>
    <w:rsid w:val="00871DA8"/>
    <w:rsid w:val="00871E9A"/>
    <w:rsid w:val="00872578"/>
    <w:rsid w:val="00875111"/>
    <w:rsid w:val="00877871"/>
    <w:rsid w:val="00877A75"/>
    <w:rsid w:val="00891DF6"/>
    <w:rsid w:val="00896825"/>
    <w:rsid w:val="008969C5"/>
    <w:rsid w:val="008A338C"/>
    <w:rsid w:val="008A7344"/>
    <w:rsid w:val="008A7FF3"/>
    <w:rsid w:val="008B6095"/>
    <w:rsid w:val="008B7726"/>
    <w:rsid w:val="008C4FD8"/>
    <w:rsid w:val="008C5AB5"/>
    <w:rsid w:val="008C6005"/>
    <w:rsid w:val="008C7B90"/>
    <w:rsid w:val="008D4A71"/>
    <w:rsid w:val="008E05CC"/>
    <w:rsid w:val="008E56A2"/>
    <w:rsid w:val="008E5E66"/>
    <w:rsid w:val="008F25C3"/>
    <w:rsid w:val="008F37B0"/>
    <w:rsid w:val="00900D3C"/>
    <w:rsid w:val="00903E45"/>
    <w:rsid w:val="009071F4"/>
    <w:rsid w:val="00910BAD"/>
    <w:rsid w:val="009111BB"/>
    <w:rsid w:val="00912DBC"/>
    <w:rsid w:val="00912EEF"/>
    <w:rsid w:val="00914C06"/>
    <w:rsid w:val="00916285"/>
    <w:rsid w:val="00916B70"/>
    <w:rsid w:val="00920CC8"/>
    <w:rsid w:val="00921430"/>
    <w:rsid w:val="009353B0"/>
    <w:rsid w:val="009359CA"/>
    <w:rsid w:val="00936118"/>
    <w:rsid w:val="00937A6D"/>
    <w:rsid w:val="0094392D"/>
    <w:rsid w:val="00943C65"/>
    <w:rsid w:val="00950E3C"/>
    <w:rsid w:val="00952674"/>
    <w:rsid w:val="00957F62"/>
    <w:rsid w:val="009617FC"/>
    <w:rsid w:val="00961D5F"/>
    <w:rsid w:val="00964E44"/>
    <w:rsid w:val="00973C11"/>
    <w:rsid w:val="009750E8"/>
    <w:rsid w:val="00985035"/>
    <w:rsid w:val="009901F5"/>
    <w:rsid w:val="009903D9"/>
    <w:rsid w:val="009920BA"/>
    <w:rsid w:val="009958C6"/>
    <w:rsid w:val="009A0891"/>
    <w:rsid w:val="009A206B"/>
    <w:rsid w:val="009A3BF6"/>
    <w:rsid w:val="009A4747"/>
    <w:rsid w:val="009B245A"/>
    <w:rsid w:val="009B5AFE"/>
    <w:rsid w:val="009B6493"/>
    <w:rsid w:val="009D19FD"/>
    <w:rsid w:val="009D2B7D"/>
    <w:rsid w:val="009D2F55"/>
    <w:rsid w:val="009D402F"/>
    <w:rsid w:val="009D46C5"/>
    <w:rsid w:val="009D779F"/>
    <w:rsid w:val="009E3FD4"/>
    <w:rsid w:val="009E4EEB"/>
    <w:rsid w:val="009F067F"/>
    <w:rsid w:val="009F1863"/>
    <w:rsid w:val="009F2E07"/>
    <w:rsid w:val="009F7F5F"/>
    <w:rsid w:val="00A30543"/>
    <w:rsid w:val="00A34005"/>
    <w:rsid w:val="00A3684E"/>
    <w:rsid w:val="00A4059B"/>
    <w:rsid w:val="00A432FF"/>
    <w:rsid w:val="00A436B9"/>
    <w:rsid w:val="00A43840"/>
    <w:rsid w:val="00A44999"/>
    <w:rsid w:val="00A550BA"/>
    <w:rsid w:val="00A732A6"/>
    <w:rsid w:val="00A737DC"/>
    <w:rsid w:val="00A74EEE"/>
    <w:rsid w:val="00A764E7"/>
    <w:rsid w:val="00A7685F"/>
    <w:rsid w:val="00A843E9"/>
    <w:rsid w:val="00A87EB2"/>
    <w:rsid w:val="00A93C09"/>
    <w:rsid w:val="00A9417D"/>
    <w:rsid w:val="00A949C2"/>
    <w:rsid w:val="00A95F2F"/>
    <w:rsid w:val="00AC758B"/>
    <w:rsid w:val="00AD4F15"/>
    <w:rsid w:val="00AE0A6E"/>
    <w:rsid w:val="00AF37E6"/>
    <w:rsid w:val="00AF4847"/>
    <w:rsid w:val="00B01CA8"/>
    <w:rsid w:val="00B03356"/>
    <w:rsid w:val="00B03D30"/>
    <w:rsid w:val="00B0602F"/>
    <w:rsid w:val="00B141D5"/>
    <w:rsid w:val="00B17B59"/>
    <w:rsid w:val="00B20C57"/>
    <w:rsid w:val="00B23E19"/>
    <w:rsid w:val="00B244B5"/>
    <w:rsid w:val="00B32B68"/>
    <w:rsid w:val="00B378AA"/>
    <w:rsid w:val="00B40E79"/>
    <w:rsid w:val="00B41008"/>
    <w:rsid w:val="00B4198E"/>
    <w:rsid w:val="00B4441A"/>
    <w:rsid w:val="00B44C9C"/>
    <w:rsid w:val="00B51CAE"/>
    <w:rsid w:val="00B6039E"/>
    <w:rsid w:val="00B620AB"/>
    <w:rsid w:val="00B64C7F"/>
    <w:rsid w:val="00B7257B"/>
    <w:rsid w:val="00B75025"/>
    <w:rsid w:val="00B759D4"/>
    <w:rsid w:val="00B812C5"/>
    <w:rsid w:val="00B81932"/>
    <w:rsid w:val="00B81DC2"/>
    <w:rsid w:val="00B86EFB"/>
    <w:rsid w:val="00B92840"/>
    <w:rsid w:val="00B93178"/>
    <w:rsid w:val="00B979AF"/>
    <w:rsid w:val="00BA3E69"/>
    <w:rsid w:val="00BA6E86"/>
    <w:rsid w:val="00BB4C08"/>
    <w:rsid w:val="00BB7092"/>
    <w:rsid w:val="00BC2C98"/>
    <w:rsid w:val="00BC65A1"/>
    <w:rsid w:val="00BD1FF1"/>
    <w:rsid w:val="00BD50EC"/>
    <w:rsid w:val="00BE3423"/>
    <w:rsid w:val="00BE6A3E"/>
    <w:rsid w:val="00BF1857"/>
    <w:rsid w:val="00BF234B"/>
    <w:rsid w:val="00BF6D7F"/>
    <w:rsid w:val="00C05221"/>
    <w:rsid w:val="00C052F8"/>
    <w:rsid w:val="00C14CAC"/>
    <w:rsid w:val="00C21DE7"/>
    <w:rsid w:val="00C22AB5"/>
    <w:rsid w:val="00C308C7"/>
    <w:rsid w:val="00C32396"/>
    <w:rsid w:val="00C3500F"/>
    <w:rsid w:val="00C43870"/>
    <w:rsid w:val="00C439EE"/>
    <w:rsid w:val="00C43C2A"/>
    <w:rsid w:val="00C53AF2"/>
    <w:rsid w:val="00C55031"/>
    <w:rsid w:val="00C57964"/>
    <w:rsid w:val="00C60A34"/>
    <w:rsid w:val="00C6358A"/>
    <w:rsid w:val="00C6472A"/>
    <w:rsid w:val="00C7158A"/>
    <w:rsid w:val="00C74193"/>
    <w:rsid w:val="00C903B4"/>
    <w:rsid w:val="00C93A97"/>
    <w:rsid w:val="00CA0471"/>
    <w:rsid w:val="00CA0D37"/>
    <w:rsid w:val="00CA72C6"/>
    <w:rsid w:val="00CB1135"/>
    <w:rsid w:val="00CB2A90"/>
    <w:rsid w:val="00CB34E6"/>
    <w:rsid w:val="00CB5579"/>
    <w:rsid w:val="00CC37BD"/>
    <w:rsid w:val="00CC5F65"/>
    <w:rsid w:val="00CC74C3"/>
    <w:rsid w:val="00CE08E0"/>
    <w:rsid w:val="00CF06A8"/>
    <w:rsid w:val="00CF74F9"/>
    <w:rsid w:val="00D005C7"/>
    <w:rsid w:val="00D063A0"/>
    <w:rsid w:val="00D10CEE"/>
    <w:rsid w:val="00D220A6"/>
    <w:rsid w:val="00D24EA1"/>
    <w:rsid w:val="00D26D4D"/>
    <w:rsid w:val="00D31D50"/>
    <w:rsid w:val="00D32522"/>
    <w:rsid w:val="00D369D5"/>
    <w:rsid w:val="00D4554C"/>
    <w:rsid w:val="00D55E0D"/>
    <w:rsid w:val="00D56B0D"/>
    <w:rsid w:val="00D609AD"/>
    <w:rsid w:val="00D635E9"/>
    <w:rsid w:val="00D63737"/>
    <w:rsid w:val="00D63D9E"/>
    <w:rsid w:val="00D754A3"/>
    <w:rsid w:val="00D76A20"/>
    <w:rsid w:val="00D83388"/>
    <w:rsid w:val="00D905AF"/>
    <w:rsid w:val="00D943AE"/>
    <w:rsid w:val="00D952EB"/>
    <w:rsid w:val="00D97E25"/>
    <w:rsid w:val="00D97F1B"/>
    <w:rsid w:val="00DA7311"/>
    <w:rsid w:val="00DB08A0"/>
    <w:rsid w:val="00DB2463"/>
    <w:rsid w:val="00DB7C29"/>
    <w:rsid w:val="00DC2423"/>
    <w:rsid w:val="00DC3409"/>
    <w:rsid w:val="00DC441E"/>
    <w:rsid w:val="00DC4E36"/>
    <w:rsid w:val="00DC5868"/>
    <w:rsid w:val="00DD3BD9"/>
    <w:rsid w:val="00DD54C1"/>
    <w:rsid w:val="00DD5776"/>
    <w:rsid w:val="00DE1F54"/>
    <w:rsid w:val="00DE2A89"/>
    <w:rsid w:val="00DF7CB5"/>
    <w:rsid w:val="00E00207"/>
    <w:rsid w:val="00E07BF1"/>
    <w:rsid w:val="00E12FEC"/>
    <w:rsid w:val="00E16682"/>
    <w:rsid w:val="00E16BEE"/>
    <w:rsid w:val="00E172C2"/>
    <w:rsid w:val="00E22940"/>
    <w:rsid w:val="00E25130"/>
    <w:rsid w:val="00E26CD6"/>
    <w:rsid w:val="00E30355"/>
    <w:rsid w:val="00E335A7"/>
    <w:rsid w:val="00E406AA"/>
    <w:rsid w:val="00E443B0"/>
    <w:rsid w:val="00E44911"/>
    <w:rsid w:val="00E47518"/>
    <w:rsid w:val="00E47E16"/>
    <w:rsid w:val="00E54ED4"/>
    <w:rsid w:val="00E6613B"/>
    <w:rsid w:val="00E70138"/>
    <w:rsid w:val="00E73C5E"/>
    <w:rsid w:val="00E76C89"/>
    <w:rsid w:val="00E81436"/>
    <w:rsid w:val="00E823FB"/>
    <w:rsid w:val="00E84F3B"/>
    <w:rsid w:val="00E87CFC"/>
    <w:rsid w:val="00E93D95"/>
    <w:rsid w:val="00E94A42"/>
    <w:rsid w:val="00E95A2C"/>
    <w:rsid w:val="00E95A95"/>
    <w:rsid w:val="00E97DC9"/>
    <w:rsid w:val="00EA6A66"/>
    <w:rsid w:val="00EA7A3F"/>
    <w:rsid w:val="00EA7D96"/>
    <w:rsid w:val="00EB029A"/>
    <w:rsid w:val="00EB0942"/>
    <w:rsid w:val="00EB30FD"/>
    <w:rsid w:val="00EB3D1F"/>
    <w:rsid w:val="00EB6BBB"/>
    <w:rsid w:val="00EB77CF"/>
    <w:rsid w:val="00EC3B4B"/>
    <w:rsid w:val="00EC4C02"/>
    <w:rsid w:val="00ED1A6D"/>
    <w:rsid w:val="00ED4171"/>
    <w:rsid w:val="00ED761F"/>
    <w:rsid w:val="00EE16C8"/>
    <w:rsid w:val="00EE4031"/>
    <w:rsid w:val="00EE5366"/>
    <w:rsid w:val="00EF1593"/>
    <w:rsid w:val="00EF1A5F"/>
    <w:rsid w:val="00EF4BDE"/>
    <w:rsid w:val="00EF52C1"/>
    <w:rsid w:val="00EF792F"/>
    <w:rsid w:val="00F02718"/>
    <w:rsid w:val="00F03791"/>
    <w:rsid w:val="00F07C5A"/>
    <w:rsid w:val="00F110AE"/>
    <w:rsid w:val="00F12ECC"/>
    <w:rsid w:val="00F133DD"/>
    <w:rsid w:val="00F13538"/>
    <w:rsid w:val="00F1499B"/>
    <w:rsid w:val="00F32DB4"/>
    <w:rsid w:val="00F3663D"/>
    <w:rsid w:val="00F41F4A"/>
    <w:rsid w:val="00F42B01"/>
    <w:rsid w:val="00F53E19"/>
    <w:rsid w:val="00F60605"/>
    <w:rsid w:val="00F63395"/>
    <w:rsid w:val="00F64E98"/>
    <w:rsid w:val="00F67A39"/>
    <w:rsid w:val="00F70D82"/>
    <w:rsid w:val="00F70D94"/>
    <w:rsid w:val="00F73847"/>
    <w:rsid w:val="00F86BE9"/>
    <w:rsid w:val="00F872A5"/>
    <w:rsid w:val="00F9160E"/>
    <w:rsid w:val="00F941EA"/>
    <w:rsid w:val="00F9740E"/>
    <w:rsid w:val="00F977E6"/>
    <w:rsid w:val="00FB1D71"/>
    <w:rsid w:val="00FB362C"/>
    <w:rsid w:val="00FB429A"/>
    <w:rsid w:val="00FC0085"/>
    <w:rsid w:val="00FC0265"/>
    <w:rsid w:val="00FC0821"/>
    <w:rsid w:val="00FC2CB8"/>
    <w:rsid w:val="00FC70D5"/>
    <w:rsid w:val="00FE4D30"/>
    <w:rsid w:val="00FE6C0D"/>
    <w:rsid w:val="00FF1190"/>
    <w:rsid w:val="04FD4FA9"/>
    <w:rsid w:val="074362FB"/>
    <w:rsid w:val="0A0D163A"/>
    <w:rsid w:val="0DFC6666"/>
    <w:rsid w:val="0E2606E6"/>
    <w:rsid w:val="0FE94625"/>
    <w:rsid w:val="11F31941"/>
    <w:rsid w:val="130D1AF3"/>
    <w:rsid w:val="155F3889"/>
    <w:rsid w:val="169E0446"/>
    <w:rsid w:val="18A669BD"/>
    <w:rsid w:val="1A5E31E5"/>
    <w:rsid w:val="20BD69FE"/>
    <w:rsid w:val="255965B5"/>
    <w:rsid w:val="256650ED"/>
    <w:rsid w:val="26133CB3"/>
    <w:rsid w:val="27576C68"/>
    <w:rsid w:val="28313A5A"/>
    <w:rsid w:val="2842597A"/>
    <w:rsid w:val="2A08568F"/>
    <w:rsid w:val="2C990C31"/>
    <w:rsid w:val="308A7881"/>
    <w:rsid w:val="31AF4F80"/>
    <w:rsid w:val="350E52C3"/>
    <w:rsid w:val="35756478"/>
    <w:rsid w:val="35CF3B6F"/>
    <w:rsid w:val="39F13E7D"/>
    <w:rsid w:val="3A18020A"/>
    <w:rsid w:val="3ACE29AA"/>
    <w:rsid w:val="3ADE7F11"/>
    <w:rsid w:val="3C2C6631"/>
    <w:rsid w:val="3D0E565A"/>
    <w:rsid w:val="3D66218D"/>
    <w:rsid w:val="3F792CAE"/>
    <w:rsid w:val="41A91664"/>
    <w:rsid w:val="424375F7"/>
    <w:rsid w:val="45F9534F"/>
    <w:rsid w:val="4E89072B"/>
    <w:rsid w:val="4EB63D2C"/>
    <w:rsid w:val="4F346424"/>
    <w:rsid w:val="4F62756F"/>
    <w:rsid w:val="50C614E1"/>
    <w:rsid w:val="518F4806"/>
    <w:rsid w:val="52993E9A"/>
    <w:rsid w:val="55824716"/>
    <w:rsid w:val="573A052C"/>
    <w:rsid w:val="5E3A1CF6"/>
    <w:rsid w:val="604014A7"/>
    <w:rsid w:val="62865373"/>
    <w:rsid w:val="62CC4F49"/>
    <w:rsid w:val="664A2C8B"/>
    <w:rsid w:val="6CBA4629"/>
    <w:rsid w:val="6E1C0440"/>
    <w:rsid w:val="725C1ADF"/>
    <w:rsid w:val="77AA52FB"/>
    <w:rsid w:val="7942201C"/>
    <w:rsid w:val="798C013C"/>
    <w:rsid w:val="7B504DF9"/>
    <w:rsid w:val="7F0D2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8"/>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4">
    <w:name w:val="heading 2"/>
    <w:basedOn w:val="1"/>
    <w:next w:val="1"/>
    <w:link w:val="57"/>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5">
    <w:name w:val="heading 3"/>
    <w:basedOn w:val="1"/>
    <w:next w:val="1"/>
    <w:link w:val="50"/>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6">
    <w:name w:val="heading 4"/>
    <w:basedOn w:val="1"/>
    <w:next w:val="1"/>
    <w:link w:val="51"/>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7">
    <w:name w:val="heading 5"/>
    <w:basedOn w:val="1"/>
    <w:next w:val="1"/>
    <w:link w:val="52"/>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8">
    <w:name w:val="heading 6"/>
    <w:basedOn w:val="1"/>
    <w:next w:val="1"/>
    <w:link w:val="53"/>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9">
    <w:name w:val="heading 7"/>
    <w:basedOn w:val="1"/>
    <w:next w:val="1"/>
    <w:link w:val="54"/>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0">
    <w:name w:val="heading 8"/>
    <w:basedOn w:val="1"/>
    <w:next w:val="1"/>
    <w:link w:val="55"/>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1">
    <w:name w:val="heading 9"/>
    <w:basedOn w:val="1"/>
    <w:next w:val="1"/>
    <w:link w:val="56"/>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70"/>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12">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3">
    <w:name w:val="Normal Indent"/>
    <w:basedOn w:val="1"/>
    <w:link w:val="98"/>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4">
    <w:name w:val="Document Map"/>
    <w:basedOn w:val="1"/>
    <w:link w:val="75"/>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5">
    <w:name w:val="annotation text"/>
    <w:basedOn w:val="1"/>
    <w:link w:val="65"/>
    <w:qFormat/>
    <w:uiPriority w:val="0"/>
    <w:pPr>
      <w:widowControl w:val="0"/>
      <w:adjustRightInd/>
      <w:snapToGrid/>
      <w:spacing w:after="0"/>
    </w:pPr>
    <w:rPr>
      <w:rFonts w:ascii="Times New Roman" w:hAnsi="Times New Roman" w:eastAsia="宋体" w:cs="Times New Roman"/>
      <w:kern w:val="2"/>
      <w:sz w:val="21"/>
      <w:szCs w:val="24"/>
    </w:rPr>
  </w:style>
  <w:style w:type="paragraph" w:styleId="16">
    <w:name w:val="Body Text"/>
    <w:basedOn w:val="1"/>
    <w:next w:val="1"/>
    <w:link w:val="74"/>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17">
    <w:name w:val="Body Text Indent"/>
    <w:basedOn w:val="1"/>
    <w:link w:val="66"/>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18">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19">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20">
    <w:name w:val="Plain Text"/>
    <w:basedOn w:val="1"/>
    <w:link w:val="61"/>
    <w:qFormat/>
    <w:uiPriority w:val="0"/>
    <w:pPr>
      <w:widowControl w:val="0"/>
      <w:adjustRightInd/>
      <w:snapToGrid/>
      <w:spacing w:after="0"/>
      <w:jc w:val="both"/>
    </w:pPr>
    <w:rPr>
      <w:rFonts w:ascii="宋体" w:hAnsi="Courier New" w:eastAsia="宋体"/>
      <w:kern w:val="2"/>
      <w:sz w:val="21"/>
    </w:rPr>
  </w:style>
  <w:style w:type="paragraph" w:styleId="21">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2">
    <w:name w:val="Date"/>
    <w:basedOn w:val="1"/>
    <w:next w:val="1"/>
    <w:link w:val="76"/>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3">
    <w:name w:val="Balloon Text"/>
    <w:basedOn w:val="1"/>
    <w:link w:val="71"/>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4">
    <w:name w:val="footer"/>
    <w:basedOn w:val="1"/>
    <w:link w:val="47"/>
    <w:unhideWhenUsed/>
    <w:qFormat/>
    <w:uiPriority w:val="0"/>
    <w:pPr>
      <w:tabs>
        <w:tab w:val="center" w:pos="4153"/>
        <w:tab w:val="right" w:pos="8306"/>
      </w:tabs>
    </w:pPr>
    <w:rPr>
      <w:sz w:val="18"/>
      <w:szCs w:val="18"/>
    </w:rPr>
  </w:style>
  <w:style w:type="paragraph" w:styleId="25">
    <w:name w:val="header"/>
    <w:basedOn w:val="1"/>
    <w:link w:val="46"/>
    <w:unhideWhenUsed/>
    <w:qFormat/>
    <w:uiPriority w:val="0"/>
    <w:pPr>
      <w:pBdr>
        <w:bottom w:val="single" w:color="auto" w:sz="6" w:space="1"/>
      </w:pBdr>
      <w:tabs>
        <w:tab w:val="center" w:pos="4153"/>
        <w:tab w:val="right" w:pos="8306"/>
      </w:tabs>
      <w:jc w:val="center"/>
    </w:pPr>
    <w:rPr>
      <w:sz w:val="18"/>
      <w:szCs w:val="18"/>
    </w:rPr>
  </w:style>
  <w:style w:type="paragraph" w:styleId="26">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7">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8">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29">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0">
    <w:name w:val="Body Text Indent 3"/>
    <w:basedOn w:val="1"/>
    <w:link w:val="73"/>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1">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2">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3">
    <w:name w:val="Body Text 2"/>
    <w:basedOn w:val="1"/>
    <w:link w:val="64"/>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4">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35">
    <w:name w:val="annotation subject"/>
    <w:basedOn w:val="15"/>
    <w:next w:val="15"/>
    <w:link w:val="72"/>
    <w:semiHidden/>
    <w:qFormat/>
    <w:uiPriority w:val="0"/>
    <w:rPr>
      <w:b/>
      <w:bCs/>
    </w:rPr>
  </w:style>
  <w:style w:type="paragraph" w:styleId="36">
    <w:name w:val="Body Text First Indent 2"/>
    <w:basedOn w:val="17"/>
    <w:next w:val="37"/>
    <w:unhideWhenUsed/>
    <w:qFormat/>
    <w:uiPriority w:val="99"/>
    <w:pPr>
      <w:spacing w:after="120" w:line="240" w:lineRule="auto"/>
      <w:ind w:left="420" w:leftChars="200" w:firstLine="420"/>
    </w:pPr>
    <w:rPr>
      <w:rFonts w:ascii="Times New Roman"/>
      <w:sz w:val="28"/>
    </w:rPr>
  </w:style>
  <w:style w:type="paragraph" w:styleId="37">
    <w:name w:val="Intense Quote"/>
    <w:basedOn w:val="1"/>
    <w:next w:val="1"/>
    <w:qFormat/>
    <w:uiPriority w:val="0"/>
    <w:pPr>
      <w:pBdr>
        <w:bottom w:val="single" w:color="4F81BD" w:sz="4" w:space="4"/>
      </w:pBdr>
      <w:spacing w:before="200" w:after="280"/>
      <w:ind w:left="936" w:right="936"/>
    </w:pPr>
    <w:rPr>
      <w:rFonts w:ascii="Calibri" w:hAnsi="Calibri" w:eastAsia="宋体" w:cs="Times New Roman"/>
      <w:b/>
      <w:i/>
      <w:color w:val="4F81BD"/>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basedOn w:val="40"/>
    <w:qFormat/>
    <w:uiPriority w:val="99"/>
    <w:rPr>
      <w:color w:val="0000FF"/>
      <w:u w:val="single"/>
    </w:rPr>
  </w:style>
  <w:style w:type="character" w:styleId="45">
    <w:name w:val="annotation reference"/>
    <w:qFormat/>
    <w:uiPriority w:val="0"/>
    <w:rPr>
      <w:sz w:val="21"/>
      <w:szCs w:val="21"/>
    </w:rPr>
  </w:style>
  <w:style w:type="character" w:customStyle="1" w:styleId="46">
    <w:name w:val="页眉 Char"/>
    <w:basedOn w:val="40"/>
    <w:link w:val="25"/>
    <w:semiHidden/>
    <w:qFormat/>
    <w:uiPriority w:val="99"/>
    <w:rPr>
      <w:rFonts w:ascii="Tahoma" w:hAnsi="Tahoma"/>
      <w:sz w:val="18"/>
      <w:szCs w:val="18"/>
    </w:rPr>
  </w:style>
  <w:style w:type="character" w:customStyle="1" w:styleId="47">
    <w:name w:val="页脚 Char"/>
    <w:basedOn w:val="40"/>
    <w:link w:val="24"/>
    <w:semiHidden/>
    <w:qFormat/>
    <w:uiPriority w:val="99"/>
    <w:rPr>
      <w:rFonts w:ascii="Tahoma" w:hAnsi="Tahoma"/>
      <w:sz w:val="18"/>
      <w:szCs w:val="18"/>
    </w:rPr>
  </w:style>
  <w:style w:type="character" w:customStyle="1" w:styleId="48">
    <w:name w:val="标题 1 Char"/>
    <w:basedOn w:val="40"/>
    <w:link w:val="3"/>
    <w:qFormat/>
    <w:uiPriority w:val="0"/>
    <w:rPr>
      <w:rFonts w:ascii="黑体" w:hAnsi="Times New Roman" w:eastAsia="黑体" w:cs="Times New Roman"/>
      <w:sz w:val="36"/>
      <w:szCs w:val="20"/>
    </w:rPr>
  </w:style>
  <w:style w:type="character" w:customStyle="1" w:styleId="49">
    <w:name w:val="标题 2 Char"/>
    <w:basedOn w:val="40"/>
    <w:qFormat/>
    <w:uiPriority w:val="0"/>
    <w:rPr>
      <w:rFonts w:asciiTheme="majorHAnsi" w:hAnsiTheme="majorHAnsi" w:eastAsiaTheme="majorEastAsia" w:cstheme="majorBidi"/>
      <w:b/>
      <w:bCs/>
      <w:sz w:val="32"/>
      <w:szCs w:val="32"/>
    </w:rPr>
  </w:style>
  <w:style w:type="character" w:customStyle="1" w:styleId="50">
    <w:name w:val="标题 3 Char"/>
    <w:basedOn w:val="40"/>
    <w:link w:val="5"/>
    <w:qFormat/>
    <w:uiPriority w:val="0"/>
    <w:rPr>
      <w:rFonts w:ascii="宋体" w:hAnsi="宋体" w:eastAsia="宋体" w:cs="Times New Roman"/>
      <w:bCs/>
      <w:sz w:val="30"/>
      <w:szCs w:val="32"/>
    </w:rPr>
  </w:style>
  <w:style w:type="character" w:customStyle="1" w:styleId="51">
    <w:name w:val="标题 4 Char"/>
    <w:basedOn w:val="40"/>
    <w:link w:val="6"/>
    <w:qFormat/>
    <w:uiPriority w:val="0"/>
    <w:rPr>
      <w:rFonts w:ascii="Cambria" w:hAnsi="Cambria" w:eastAsia="宋体" w:cs="Times New Roman"/>
      <w:b/>
      <w:bCs/>
      <w:kern w:val="2"/>
      <w:sz w:val="28"/>
      <w:szCs w:val="28"/>
    </w:rPr>
  </w:style>
  <w:style w:type="character" w:customStyle="1" w:styleId="52">
    <w:name w:val="标题 5 Char"/>
    <w:basedOn w:val="40"/>
    <w:link w:val="7"/>
    <w:qFormat/>
    <w:uiPriority w:val="0"/>
    <w:rPr>
      <w:rFonts w:ascii="Times New Roman" w:hAnsi="Times New Roman" w:eastAsia="宋体" w:cs="Times New Roman"/>
      <w:b/>
      <w:bCs/>
      <w:kern w:val="2"/>
      <w:sz w:val="28"/>
      <w:szCs w:val="28"/>
    </w:rPr>
  </w:style>
  <w:style w:type="character" w:customStyle="1" w:styleId="53">
    <w:name w:val="标题 6 Char"/>
    <w:basedOn w:val="40"/>
    <w:link w:val="8"/>
    <w:qFormat/>
    <w:uiPriority w:val="0"/>
    <w:rPr>
      <w:rFonts w:ascii="Arial" w:hAnsi="Arial" w:eastAsia="黑体" w:cs="Times New Roman"/>
      <w:b/>
      <w:bCs/>
      <w:sz w:val="24"/>
      <w:szCs w:val="24"/>
    </w:rPr>
  </w:style>
  <w:style w:type="character" w:customStyle="1" w:styleId="54">
    <w:name w:val="标题 7 Char"/>
    <w:basedOn w:val="40"/>
    <w:link w:val="9"/>
    <w:qFormat/>
    <w:uiPriority w:val="0"/>
    <w:rPr>
      <w:rFonts w:ascii="Times New Roman" w:hAnsi="Times New Roman" w:eastAsia="宋体" w:cs="Times New Roman"/>
      <w:b/>
      <w:bCs/>
      <w:sz w:val="24"/>
      <w:szCs w:val="24"/>
    </w:rPr>
  </w:style>
  <w:style w:type="character" w:customStyle="1" w:styleId="55">
    <w:name w:val="标题 8 Char"/>
    <w:basedOn w:val="40"/>
    <w:link w:val="10"/>
    <w:qFormat/>
    <w:uiPriority w:val="0"/>
    <w:rPr>
      <w:rFonts w:ascii="Arial" w:hAnsi="Arial" w:eastAsia="黑体" w:cs="Times New Roman"/>
      <w:sz w:val="24"/>
      <w:szCs w:val="24"/>
    </w:rPr>
  </w:style>
  <w:style w:type="character" w:customStyle="1" w:styleId="56">
    <w:name w:val="标题 9 Char"/>
    <w:basedOn w:val="40"/>
    <w:link w:val="11"/>
    <w:qFormat/>
    <w:uiPriority w:val="0"/>
    <w:rPr>
      <w:rFonts w:ascii="Arial" w:hAnsi="Arial" w:eastAsia="黑体" w:cs="Times New Roman"/>
      <w:sz w:val="21"/>
      <w:szCs w:val="21"/>
    </w:rPr>
  </w:style>
  <w:style w:type="character" w:customStyle="1" w:styleId="57">
    <w:name w:val="标题 2 Char1"/>
    <w:link w:val="4"/>
    <w:qFormat/>
    <w:uiPriority w:val="0"/>
    <w:rPr>
      <w:rFonts w:ascii="Arial" w:hAnsi="Arial" w:eastAsia="黑体" w:cs="Times New Roman"/>
      <w:bCs/>
      <w:sz w:val="32"/>
      <w:szCs w:val="32"/>
    </w:rPr>
  </w:style>
  <w:style w:type="character" w:customStyle="1" w:styleId="58">
    <w:name w:val="样式 标题 3 + 五号 黑色 Char"/>
    <w:link w:val="59"/>
    <w:qFormat/>
    <w:uiPriority w:val="0"/>
    <w:rPr>
      <w:rFonts w:ascii="宋体" w:hAnsi="宋体"/>
      <w:bCs/>
      <w:color w:val="000000"/>
      <w:sz w:val="28"/>
      <w:szCs w:val="32"/>
    </w:rPr>
  </w:style>
  <w:style w:type="paragraph" w:customStyle="1" w:styleId="59">
    <w:name w:val="样式 标题 3 + 五号 黑色"/>
    <w:basedOn w:val="5"/>
    <w:link w:val="58"/>
    <w:qFormat/>
    <w:uiPriority w:val="0"/>
    <w:rPr>
      <w:rFonts w:hint="default" w:eastAsia="微软雅黑" w:cstheme="minorBidi"/>
      <w:color w:val="000000"/>
      <w:sz w:val="28"/>
    </w:rPr>
  </w:style>
  <w:style w:type="character" w:customStyle="1" w:styleId="60">
    <w:name w:val="标题 2 Char Char"/>
    <w:qFormat/>
    <w:uiPriority w:val="0"/>
    <w:rPr>
      <w:rFonts w:ascii="Arial" w:hAnsi="Arial" w:eastAsia="黑体"/>
      <w:bCs/>
      <w:sz w:val="32"/>
      <w:szCs w:val="32"/>
      <w:lang w:val="en-US" w:eastAsia="zh-CN" w:bidi="ar-SA"/>
    </w:rPr>
  </w:style>
  <w:style w:type="character" w:customStyle="1" w:styleId="61">
    <w:name w:val="纯文本 Char2"/>
    <w:link w:val="20"/>
    <w:qFormat/>
    <w:uiPriority w:val="0"/>
    <w:rPr>
      <w:rFonts w:ascii="宋体" w:hAnsi="Courier New" w:eastAsia="宋体"/>
      <w:kern w:val="2"/>
      <w:sz w:val="21"/>
    </w:rPr>
  </w:style>
  <w:style w:type="character" w:customStyle="1" w:styleId="62">
    <w:name w:val="样式 标题 2 Char"/>
    <w:basedOn w:val="57"/>
    <w:link w:val="63"/>
    <w:qFormat/>
    <w:uiPriority w:val="0"/>
    <w:rPr>
      <w:rFonts w:ascii="Arial" w:hAnsi="Arial" w:eastAsia="黑体" w:cs="Times New Roman"/>
      <w:sz w:val="32"/>
      <w:szCs w:val="32"/>
    </w:rPr>
  </w:style>
  <w:style w:type="paragraph" w:customStyle="1" w:styleId="63">
    <w:name w:val="样式 标题 2"/>
    <w:basedOn w:val="4"/>
    <w:link w:val="62"/>
    <w:qFormat/>
    <w:uiPriority w:val="0"/>
  </w:style>
  <w:style w:type="character" w:customStyle="1" w:styleId="64">
    <w:name w:val="正文文本 2 Char"/>
    <w:basedOn w:val="40"/>
    <w:link w:val="33"/>
    <w:qFormat/>
    <w:uiPriority w:val="0"/>
    <w:rPr>
      <w:rFonts w:ascii="Times New Roman" w:hAnsi="Times New Roman" w:eastAsia="宋体" w:cs="Times New Roman"/>
      <w:kern w:val="2"/>
      <w:sz w:val="21"/>
      <w:szCs w:val="24"/>
    </w:rPr>
  </w:style>
  <w:style w:type="character" w:customStyle="1" w:styleId="65">
    <w:name w:val="批注文字 Char"/>
    <w:basedOn w:val="40"/>
    <w:link w:val="15"/>
    <w:qFormat/>
    <w:uiPriority w:val="0"/>
    <w:rPr>
      <w:rFonts w:ascii="Times New Roman" w:hAnsi="Times New Roman" w:eastAsia="宋体" w:cs="Times New Roman"/>
      <w:kern w:val="2"/>
      <w:sz w:val="21"/>
      <w:szCs w:val="24"/>
    </w:rPr>
  </w:style>
  <w:style w:type="character" w:customStyle="1" w:styleId="66">
    <w:name w:val="正文文本缩进 Char"/>
    <w:basedOn w:val="40"/>
    <w:link w:val="17"/>
    <w:qFormat/>
    <w:uiPriority w:val="0"/>
    <w:rPr>
      <w:rFonts w:ascii="宋体" w:hAnsi="宋体" w:eastAsia="宋体" w:cs="Courier New"/>
      <w:spacing w:val="2"/>
      <w:kern w:val="2"/>
      <w:sz w:val="21"/>
      <w:szCs w:val="24"/>
    </w:rPr>
  </w:style>
  <w:style w:type="paragraph" w:customStyle="1" w:styleId="67">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8">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9">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70">
    <w:name w:val="正文文本缩进 2 Char"/>
    <w:basedOn w:val="40"/>
    <w:link w:val="2"/>
    <w:qFormat/>
    <w:uiPriority w:val="0"/>
    <w:rPr>
      <w:rFonts w:ascii="Times New Roman" w:hAnsi="Times New Roman" w:eastAsia="宋体" w:cs="Times New Roman"/>
      <w:kern w:val="2"/>
      <w:sz w:val="21"/>
      <w:szCs w:val="24"/>
    </w:rPr>
  </w:style>
  <w:style w:type="character" w:customStyle="1" w:styleId="71">
    <w:name w:val="批注框文本 Char"/>
    <w:basedOn w:val="40"/>
    <w:link w:val="23"/>
    <w:qFormat/>
    <w:uiPriority w:val="0"/>
    <w:rPr>
      <w:rFonts w:ascii="Times New Roman" w:hAnsi="Times New Roman" w:eastAsia="宋体" w:cs="Times New Roman"/>
      <w:kern w:val="2"/>
      <w:sz w:val="18"/>
      <w:szCs w:val="18"/>
    </w:rPr>
  </w:style>
  <w:style w:type="character" w:customStyle="1" w:styleId="72">
    <w:name w:val="批注主题 Char"/>
    <w:basedOn w:val="65"/>
    <w:link w:val="35"/>
    <w:semiHidden/>
    <w:qFormat/>
    <w:uiPriority w:val="0"/>
    <w:rPr>
      <w:rFonts w:ascii="Times New Roman" w:hAnsi="Times New Roman" w:eastAsia="宋体" w:cs="Times New Roman"/>
      <w:b/>
      <w:bCs/>
      <w:kern w:val="2"/>
      <w:sz w:val="21"/>
      <w:szCs w:val="24"/>
    </w:rPr>
  </w:style>
  <w:style w:type="character" w:customStyle="1" w:styleId="73">
    <w:name w:val="正文文本缩进 3 Char"/>
    <w:basedOn w:val="40"/>
    <w:link w:val="30"/>
    <w:qFormat/>
    <w:uiPriority w:val="0"/>
    <w:rPr>
      <w:rFonts w:ascii="宋体" w:hAnsi="Courier New" w:eastAsia="宋体" w:cs="Courier New"/>
      <w:kern w:val="2"/>
      <w:sz w:val="21"/>
      <w:szCs w:val="24"/>
    </w:rPr>
  </w:style>
  <w:style w:type="character" w:customStyle="1" w:styleId="74">
    <w:name w:val="正文文本 Char"/>
    <w:basedOn w:val="40"/>
    <w:link w:val="16"/>
    <w:qFormat/>
    <w:uiPriority w:val="0"/>
    <w:rPr>
      <w:rFonts w:ascii="Times New Roman" w:hAnsi="Times New Roman" w:eastAsia="宋体" w:cs="Times New Roman"/>
      <w:kern w:val="2"/>
      <w:sz w:val="52"/>
      <w:szCs w:val="24"/>
    </w:rPr>
  </w:style>
  <w:style w:type="character" w:customStyle="1" w:styleId="75">
    <w:name w:val="文档结构图 Char"/>
    <w:basedOn w:val="40"/>
    <w:link w:val="14"/>
    <w:semiHidden/>
    <w:qFormat/>
    <w:uiPriority w:val="0"/>
    <w:rPr>
      <w:rFonts w:ascii="Times New Roman" w:hAnsi="Times New Roman" w:eastAsia="宋体" w:cs="Times New Roman"/>
      <w:kern w:val="2"/>
      <w:sz w:val="21"/>
      <w:szCs w:val="24"/>
      <w:shd w:val="clear" w:color="auto" w:fill="000080"/>
    </w:rPr>
  </w:style>
  <w:style w:type="character" w:customStyle="1" w:styleId="76">
    <w:name w:val="日期 Char"/>
    <w:basedOn w:val="40"/>
    <w:link w:val="22"/>
    <w:qFormat/>
    <w:uiPriority w:val="0"/>
    <w:rPr>
      <w:rFonts w:ascii="Times New Roman" w:hAnsi="Times New Roman" w:eastAsia="宋体" w:cs="Times New Roman"/>
      <w:kern w:val="2"/>
      <w:sz w:val="21"/>
      <w:szCs w:val="24"/>
    </w:rPr>
  </w:style>
  <w:style w:type="character" w:customStyle="1" w:styleId="77">
    <w:name w:val="纯文本 Char"/>
    <w:basedOn w:val="40"/>
    <w:qFormat/>
    <w:uiPriority w:val="0"/>
    <w:rPr>
      <w:rFonts w:ascii="宋体" w:hAnsi="Courier New" w:eastAsia="宋体" w:cs="Courier New"/>
      <w:sz w:val="21"/>
      <w:szCs w:val="21"/>
    </w:rPr>
  </w:style>
  <w:style w:type="paragraph" w:customStyle="1" w:styleId="78">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79">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80">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81">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82">
    <w:name w:val="1"/>
    <w:basedOn w:val="1"/>
    <w:next w:val="20"/>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83">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4">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85">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86">
    <w:name w:val="Char Char Char Char"/>
    <w:basedOn w:val="14"/>
    <w:qFormat/>
    <w:uiPriority w:val="0"/>
    <w:rPr>
      <w:rFonts w:ascii="宋体" w:hAnsi="Courier New"/>
      <w:szCs w:val="20"/>
    </w:rPr>
  </w:style>
  <w:style w:type="paragraph" w:customStyle="1" w:styleId="87">
    <w:name w:val="样式3"/>
    <w:basedOn w:val="20"/>
    <w:qFormat/>
    <w:uiPriority w:val="0"/>
    <w:pPr>
      <w:adjustRightInd w:val="0"/>
      <w:spacing w:line="0" w:lineRule="atLeast"/>
      <w:textAlignment w:val="baseline"/>
      <w:outlineLvl w:val="0"/>
    </w:pPr>
    <w:rPr>
      <w:sz w:val="28"/>
    </w:rPr>
  </w:style>
  <w:style w:type="paragraph" w:customStyle="1" w:styleId="88">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9">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90">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91">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92">
    <w:name w:val="默认段落字体 Para Char Char Char Char Char Char Char Char Char1 Char"/>
    <w:basedOn w:val="14"/>
    <w:qFormat/>
    <w:uiPriority w:val="0"/>
    <w:pPr>
      <w:adjustRightInd w:val="0"/>
      <w:spacing w:line="436" w:lineRule="exact"/>
      <w:ind w:left="357"/>
      <w:jc w:val="left"/>
      <w:outlineLvl w:val="3"/>
    </w:pPr>
    <w:rPr>
      <w:shd w:val="clear" w:color="auto" w:fill="000080"/>
    </w:rPr>
  </w:style>
  <w:style w:type="character" w:customStyle="1" w:styleId="93">
    <w:name w:val="Char Char2"/>
    <w:qFormat/>
    <w:uiPriority w:val="0"/>
    <w:rPr>
      <w:rFonts w:ascii="宋体" w:hAnsi="Courier New" w:eastAsia="宋体" w:cs="Courier New"/>
      <w:szCs w:val="21"/>
    </w:rPr>
  </w:style>
  <w:style w:type="character" w:customStyle="1" w:styleId="94">
    <w:name w:val="普通文字 Char Char2"/>
    <w:qFormat/>
    <w:uiPriority w:val="0"/>
    <w:rPr>
      <w:rFonts w:ascii="宋体" w:hAnsi="宋体"/>
      <w:kern w:val="1"/>
      <w:sz w:val="21"/>
      <w:lang w:eastAsia="ar-SA"/>
    </w:rPr>
  </w:style>
  <w:style w:type="paragraph" w:styleId="95">
    <w:name w:val="List Paragraph"/>
    <w:basedOn w:val="1"/>
    <w:qFormat/>
    <w:uiPriority w:val="34"/>
    <w:pPr>
      <w:ind w:firstLine="420" w:firstLineChars="200"/>
    </w:pPr>
  </w:style>
  <w:style w:type="paragraph" w:customStyle="1" w:styleId="96">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7">
    <w:name w:val="纯文本 Char1"/>
    <w:qFormat/>
    <w:uiPriority w:val="0"/>
    <w:rPr>
      <w:rFonts w:ascii="宋体" w:hAnsi="Courier New" w:eastAsia="宋体" w:cs="Courier New"/>
      <w:szCs w:val="21"/>
    </w:rPr>
  </w:style>
  <w:style w:type="character" w:customStyle="1" w:styleId="98">
    <w:name w:val="正文缩进 Char"/>
    <w:link w:val="13"/>
    <w:qFormat/>
    <w:uiPriority w:val="0"/>
    <w:rPr>
      <w:rFonts w:ascii="Times New Roman" w:hAnsi="Times New Roman" w:eastAsia="宋体" w:cs="Times New Roman"/>
      <w:kern w:val="2"/>
      <w:sz w:val="21"/>
      <w:szCs w:val="20"/>
    </w:rPr>
  </w:style>
  <w:style w:type="character" w:customStyle="1" w:styleId="99">
    <w:name w:val="Char Char10"/>
    <w:qFormat/>
    <w:uiPriority w:val="0"/>
    <w:rPr>
      <w:rFonts w:ascii="宋体" w:hAnsi="Courier New" w:eastAsia="宋体" w:cs="Courier New"/>
      <w:kern w:val="2"/>
      <w:sz w:val="21"/>
      <w:szCs w:val="21"/>
      <w:lang w:val="en-US" w:eastAsia="zh-CN" w:bidi="ar-SA"/>
    </w:rPr>
  </w:style>
  <w:style w:type="character" w:customStyle="1" w:styleId="100">
    <w:name w:val="日期 Char1"/>
    <w:qFormat/>
    <w:uiPriority w:val="0"/>
    <w:rPr>
      <w:kern w:val="2"/>
      <w:sz w:val="21"/>
      <w:szCs w:val="24"/>
    </w:rPr>
  </w:style>
  <w:style w:type="paragraph" w:customStyle="1" w:styleId="101">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0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3">
    <w:name w:val="Unresolved Mention"/>
    <w:basedOn w:val="40"/>
    <w:semiHidden/>
    <w:unhideWhenUsed/>
    <w:qFormat/>
    <w:uiPriority w:val="99"/>
    <w:rPr>
      <w:color w:val="605E5C"/>
      <w:shd w:val="clear" w:color="auto" w:fill="E1DFDD"/>
    </w:rPr>
  </w:style>
  <w:style w:type="character" w:customStyle="1" w:styleId="104">
    <w:name w:val="font11"/>
    <w:basedOn w:val="40"/>
    <w:qFormat/>
    <w:uiPriority w:val="0"/>
    <w:rPr>
      <w:rFonts w:hint="eastAsia" w:ascii="宋体" w:hAnsi="宋体" w:eastAsia="宋体" w:cs="宋体"/>
      <w:color w:val="000000"/>
      <w:sz w:val="24"/>
      <w:szCs w:val="24"/>
      <w:u w:val="none"/>
    </w:rPr>
  </w:style>
  <w:style w:type="character" w:customStyle="1" w:styleId="105">
    <w:name w:val="font51"/>
    <w:basedOn w:val="40"/>
    <w:qFormat/>
    <w:uiPriority w:val="0"/>
    <w:rPr>
      <w:rFonts w:hint="eastAsia" w:ascii="宋体" w:hAnsi="宋体" w:eastAsia="宋体" w:cs="宋体"/>
      <w:color w:val="000000"/>
      <w:sz w:val="22"/>
      <w:szCs w:val="22"/>
      <w:u w:val="none"/>
    </w:rPr>
  </w:style>
  <w:style w:type="character" w:customStyle="1" w:styleId="106">
    <w:name w:val="font01"/>
    <w:basedOn w:val="4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D7144-23DB-4541-83C3-C005EDB7E9BB}">
  <ds:schemaRefs/>
</ds:datastoreItem>
</file>

<file path=docProps/app.xml><?xml version="1.0" encoding="utf-8"?>
<Properties xmlns="http://schemas.openxmlformats.org/officeDocument/2006/extended-properties" xmlns:vt="http://schemas.openxmlformats.org/officeDocument/2006/docPropsVTypes">
  <Template>Normal</Template>
  <Pages>64</Pages>
  <Words>6520</Words>
  <Characters>37170</Characters>
  <Lines>309</Lines>
  <Paragraphs>87</Paragraphs>
  <TotalTime>7</TotalTime>
  <ScaleCrop>false</ScaleCrop>
  <LinksUpToDate>false</LinksUpToDate>
  <CharactersWithSpaces>43603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2020-04-17T05:48:00Z</dcterms:created>
  <dc:creator>Administrator</dc:creator>
  <cp:lastModifiedBy>Strulle</cp:lastModifiedBy>
  <cp:lastPrinted>2020-09-14T02:44:00Z</cp:lastPrinted>
  <dcterms:modified xsi:type="dcterms:W3CDTF">2020-11-25T08:55:09Z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