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Ansi="宋体" w:cs="宋体"/>
          <w:color w:val="auto"/>
          <w:spacing w:val="30"/>
          <w:kern w:val="52"/>
          <w:sz w:val="64"/>
          <w:szCs w:val="64"/>
          <w:highlight w:val="none"/>
        </w:rPr>
      </w:pPr>
      <w:r>
        <w:rPr>
          <w:rFonts w:hAnsi="宋体" w:cs="宋体"/>
          <w:color w:val="auto"/>
          <w:sz w:val="32"/>
          <w:highlight w:val="none"/>
        </w:rPr>
        <w:drawing>
          <wp:inline distT="0" distB="0" distL="114300" distR="114300">
            <wp:extent cx="1371600" cy="1343025"/>
            <wp:effectExtent l="0" t="0" r="0" b="9525"/>
            <wp:docPr id="1" name="图片 1" descr="003838bb567ad4db658ca6a05c2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838bb567ad4db658ca6a05c2e123"/>
                    <pic:cNvPicPr>
                      <a:picLocks noChangeAspect="1"/>
                    </pic:cNvPicPr>
                  </pic:nvPicPr>
                  <pic:blipFill>
                    <a:blip r:embed="rId7"/>
                    <a:stretch>
                      <a:fillRect/>
                    </a:stretch>
                  </pic:blipFill>
                  <pic:spPr>
                    <a:xfrm>
                      <a:off x="0" y="0"/>
                      <a:ext cx="1371600" cy="1343025"/>
                    </a:xfrm>
                    <a:prstGeom prst="rect">
                      <a:avLst/>
                    </a:prstGeom>
                    <a:noFill/>
                    <a:ln>
                      <a:noFill/>
                    </a:ln>
                  </pic:spPr>
                </pic:pic>
              </a:graphicData>
            </a:graphic>
          </wp:inline>
        </w:drawing>
      </w:r>
    </w:p>
    <w:p>
      <w:pPr>
        <w:jc w:val="center"/>
        <w:rPr>
          <w:rFonts w:ascii="宋体" w:cs="宋体"/>
          <w:b/>
          <w:color w:val="auto"/>
          <w:sz w:val="72"/>
          <w:szCs w:val="72"/>
          <w:highlight w:val="none"/>
        </w:rPr>
      </w:pPr>
      <w:r>
        <w:rPr>
          <w:rFonts w:hint="eastAsia" w:ascii="宋体" w:hAnsi="宋体" w:cs="宋体"/>
          <w:b/>
          <w:color w:val="auto"/>
          <w:sz w:val="72"/>
          <w:szCs w:val="72"/>
          <w:highlight w:val="none"/>
        </w:rPr>
        <w:t>广西建采项目管理有限公司</w:t>
      </w:r>
    </w:p>
    <w:p>
      <w:pPr>
        <w:snapToGrid w:val="0"/>
        <w:spacing w:beforeLines="50" w:line="360" w:lineRule="auto"/>
        <w:jc w:val="center"/>
        <w:rPr>
          <w:rFonts w:ascii="宋体" w:cs="宋体"/>
          <w:color w:val="auto"/>
          <w:sz w:val="44"/>
          <w:szCs w:val="44"/>
          <w:highlight w:val="none"/>
        </w:rPr>
      </w:pPr>
    </w:p>
    <w:p>
      <w:pPr>
        <w:snapToGrid w:val="0"/>
        <w:spacing w:beforeLines="50" w:line="360" w:lineRule="auto"/>
        <w:jc w:val="center"/>
        <w:rPr>
          <w:rFonts w:ascii="宋体" w:cs="宋体"/>
          <w:b/>
          <w:bCs/>
          <w:color w:val="auto"/>
          <w:sz w:val="84"/>
          <w:szCs w:val="84"/>
          <w:highlight w:val="none"/>
        </w:rPr>
      </w:pPr>
      <w:r>
        <w:rPr>
          <w:rFonts w:hint="eastAsia" w:ascii="宋体" w:hAnsi="宋体" w:cs="宋体"/>
          <w:color w:val="auto"/>
          <w:sz w:val="84"/>
          <w:szCs w:val="84"/>
          <w:highlight w:val="none"/>
        </w:rPr>
        <w:t>竞争性谈判文件</w:t>
      </w:r>
    </w:p>
    <w:p>
      <w:pPr>
        <w:snapToGrid w:val="0"/>
        <w:spacing w:line="360" w:lineRule="auto"/>
        <w:rPr>
          <w:rFonts w:ascii="宋体" w:cs="宋体"/>
          <w:color w:val="auto"/>
          <w:sz w:val="30"/>
          <w:szCs w:val="72"/>
          <w:highlight w:val="none"/>
        </w:rPr>
      </w:pPr>
    </w:p>
    <w:p>
      <w:pPr>
        <w:pStyle w:val="14"/>
        <w:snapToGrid w:val="0"/>
        <w:spacing w:line="360" w:lineRule="auto"/>
        <w:ind w:firstLine="1193" w:firstLineChars="396"/>
        <w:rPr>
          <w:rFonts w:hAnsi="宋体" w:cs="宋体"/>
          <w:b/>
          <w:bCs/>
          <w:color w:val="auto"/>
          <w:sz w:val="30"/>
          <w:szCs w:val="30"/>
          <w:highlight w:val="none"/>
        </w:rPr>
      </w:pPr>
    </w:p>
    <w:p>
      <w:pPr>
        <w:pStyle w:val="14"/>
        <w:snapToGrid w:val="0"/>
        <w:spacing w:line="360" w:lineRule="auto"/>
        <w:ind w:firstLine="1807" w:firstLineChars="600"/>
        <w:rPr>
          <w:rFonts w:hAnsi="宋体" w:cs="宋体"/>
          <w:b/>
          <w:bCs/>
          <w:color w:val="auto"/>
          <w:sz w:val="30"/>
          <w:szCs w:val="30"/>
          <w:highlight w:val="none"/>
        </w:rPr>
      </w:pPr>
    </w:p>
    <w:p>
      <w:pPr>
        <w:pStyle w:val="14"/>
        <w:snapToGrid w:val="0"/>
        <w:spacing w:line="360" w:lineRule="auto"/>
        <w:rPr>
          <w:rFonts w:hint="eastAsia"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：平桂区黄田卫生院改建项目(设备采购)</w:t>
      </w:r>
    </w:p>
    <w:p>
      <w:pPr>
        <w:pStyle w:val="14"/>
        <w:snapToGrid w:val="0"/>
        <w:spacing w:line="360" w:lineRule="auto"/>
        <w:rPr>
          <w:rFonts w:hAnsi="宋体" w:cs="宋体"/>
          <w:b/>
          <w:bCs/>
          <w:color w:val="auto"/>
          <w:sz w:val="30"/>
          <w:szCs w:val="30"/>
          <w:highlight w:val="none"/>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HZZC2023-J1-030071-JCXM</w:t>
      </w:r>
      <w:r>
        <w:rPr>
          <w:rFonts w:hAnsi="宋体" w:cs="宋体"/>
          <w:b/>
          <w:bCs/>
          <w:color w:val="auto"/>
          <w:sz w:val="30"/>
          <w:szCs w:val="30"/>
          <w:highlight w:val="none"/>
        </w:rPr>
        <w:t xml:space="preserve"> </w:t>
      </w:r>
    </w:p>
    <w:p>
      <w:pPr>
        <w:pStyle w:val="14"/>
        <w:snapToGrid w:val="0"/>
        <w:spacing w:line="360" w:lineRule="auto"/>
        <w:ind w:firstLine="1125" w:firstLineChars="393"/>
        <w:rPr>
          <w:rFonts w:hAnsi="宋体" w:cs="宋体"/>
          <w:b/>
          <w:bCs/>
          <w:color w:val="auto"/>
          <w:w w:val="95"/>
          <w:sz w:val="30"/>
          <w:szCs w:val="30"/>
          <w:highlight w:val="none"/>
        </w:rPr>
      </w:pPr>
    </w:p>
    <w:p>
      <w:pPr>
        <w:pStyle w:val="14"/>
        <w:snapToGrid w:val="0"/>
        <w:spacing w:line="360" w:lineRule="auto"/>
        <w:ind w:firstLine="1125" w:firstLineChars="393"/>
        <w:rPr>
          <w:rFonts w:hAnsi="宋体" w:cs="宋体"/>
          <w:b/>
          <w:bCs/>
          <w:color w:val="auto"/>
          <w:w w:val="95"/>
          <w:sz w:val="30"/>
          <w:szCs w:val="30"/>
          <w:highlight w:val="none"/>
        </w:rPr>
      </w:pPr>
    </w:p>
    <w:p>
      <w:pPr>
        <w:pStyle w:val="14"/>
        <w:snapToGrid w:val="0"/>
        <w:spacing w:line="360" w:lineRule="auto"/>
        <w:ind w:firstLine="1125" w:firstLineChars="393"/>
        <w:rPr>
          <w:rFonts w:hAnsi="宋体" w:cs="宋体"/>
          <w:b/>
          <w:bCs/>
          <w:color w:val="auto"/>
          <w:w w:val="95"/>
          <w:sz w:val="30"/>
          <w:szCs w:val="30"/>
          <w:highlight w:val="none"/>
        </w:rPr>
      </w:pPr>
    </w:p>
    <w:p>
      <w:pPr>
        <w:pStyle w:val="14"/>
        <w:snapToGrid w:val="0"/>
        <w:spacing w:line="360" w:lineRule="auto"/>
        <w:ind w:firstLine="1125" w:firstLineChars="393"/>
        <w:rPr>
          <w:rFonts w:hAnsi="宋体" w:cs="宋体"/>
          <w:b/>
          <w:bCs/>
          <w:color w:val="auto"/>
          <w:w w:val="95"/>
          <w:sz w:val="30"/>
          <w:szCs w:val="30"/>
          <w:highlight w:val="none"/>
        </w:rPr>
      </w:pPr>
    </w:p>
    <w:p>
      <w:pPr>
        <w:pStyle w:val="14"/>
        <w:snapToGrid w:val="0"/>
        <w:spacing w:line="360" w:lineRule="auto"/>
        <w:ind w:firstLine="1125" w:firstLineChars="393"/>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lang w:eastAsia="zh-CN"/>
        </w:rPr>
        <w:t>贺州市平桂区卫生健康局</w:t>
      </w:r>
    </w:p>
    <w:p>
      <w:pPr>
        <w:pStyle w:val="14"/>
        <w:snapToGrid w:val="0"/>
        <w:spacing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广西建采项目管理有限公司</w:t>
      </w:r>
    </w:p>
    <w:p>
      <w:pPr>
        <w:pStyle w:val="14"/>
        <w:snapToGrid w:val="0"/>
        <w:spacing w:line="360" w:lineRule="auto"/>
        <w:ind w:firstLine="1125" w:firstLineChars="393"/>
        <w:rPr>
          <w:rFonts w:hAnsi="宋体" w:cs="宋体"/>
          <w:b/>
          <w:bCs/>
          <w:color w:val="auto"/>
          <w:w w:val="95"/>
          <w:sz w:val="30"/>
          <w:szCs w:val="30"/>
          <w:highlight w:val="none"/>
        </w:rPr>
      </w:pPr>
    </w:p>
    <w:p>
      <w:pPr>
        <w:pStyle w:val="14"/>
        <w:snapToGrid w:val="0"/>
        <w:spacing w:line="360" w:lineRule="auto"/>
        <w:jc w:val="center"/>
        <w:rPr>
          <w:rFonts w:hAnsi="宋体" w:cs="宋体"/>
          <w:color w:val="auto"/>
          <w:szCs w:val="20"/>
          <w:highlight w:val="none"/>
        </w:rPr>
      </w:pPr>
      <w:r>
        <w:rPr>
          <w:rFonts w:hAnsi="宋体" w:cs="宋体"/>
          <w:b/>
          <w:bCs/>
          <w:color w:val="auto"/>
          <w:w w:val="95"/>
          <w:sz w:val="30"/>
          <w:szCs w:val="30"/>
          <w:highlight w:val="none"/>
        </w:rPr>
        <w:t>2023</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6</w:t>
      </w:r>
      <w:r>
        <w:rPr>
          <w:rFonts w:hint="eastAsia" w:hAnsi="宋体" w:cs="宋体"/>
          <w:b/>
          <w:bCs/>
          <w:color w:val="auto"/>
          <w:w w:val="95"/>
          <w:sz w:val="30"/>
          <w:szCs w:val="30"/>
          <w:highlight w:val="none"/>
        </w:rPr>
        <w:t>月</w:t>
      </w:r>
    </w:p>
    <w:p>
      <w:pPr>
        <w:spacing w:line="360" w:lineRule="auto"/>
        <w:jc w:val="center"/>
        <w:rPr>
          <w:rFonts w:ascii="宋体" w:cs="宋体"/>
          <w:b/>
          <w:color w:val="auto"/>
          <w:sz w:val="44"/>
          <w:szCs w:val="44"/>
          <w:highlight w:val="none"/>
        </w:rPr>
      </w:pPr>
      <w:r>
        <w:rPr>
          <w:rFonts w:ascii="宋体" w:cs="宋体"/>
          <w:b/>
          <w:color w:val="auto"/>
          <w:sz w:val="30"/>
          <w:szCs w:val="30"/>
          <w:highlight w:val="none"/>
        </w:rPr>
        <w:br w:type="page"/>
      </w:r>
    </w:p>
    <w:p>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pPr>
        <w:spacing w:line="400" w:lineRule="exact"/>
        <w:jc w:val="center"/>
        <w:rPr>
          <w:rFonts w:ascii="宋体" w:cs="宋体"/>
          <w:b/>
          <w:color w:val="auto"/>
          <w:sz w:val="44"/>
          <w:szCs w:val="44"/>
          <w:highlight w:val="none"/>
        </w:rPr>
      </w:pPr>
    </w:p>
    <w:p>
      <w:pPr>
        <w:pStyle w:val="2"/>
        <w:tabs>
          <w:tab w:val="right" w:leader="dot" w:pos="9638"/>
        </w:tabs>
        <w:rPr>
          <w:rFonts w:ascii="宋体" w:cs="宋体"/>
          <w:color w:val="auto"/>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\z \u</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"_Toc14271" </w:instrText>
      </w:r>
      <w:r>
        <w:rPr>
          <w:color w:val="auto"/>
          <w:highlight w:val="none"/>
        </w:rPr>
        <w:fldChar w:fldCharType="separate"/>
      </w:r>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竞争性谈判公告</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_Toc14271 </w:instrText>
      </w:r>
      <w:r>
        <w:rPr>
          <w:rFonts w:ascii="宋体" w:hAnsi="宋体" w:cs="宋体"/>
          <w:color w:val="auto"/>
          <w:highlight w:val="none"/>
        </w:rPr>
        <w:fldChar w:fldCharType="separate"/>
      </w:r>
      <w:r>
        <w:rPr>
          <w:rFonts w:ascii="宋体" w:hAnsi="宋体" w:cs="宋体"/>
          <w:color w:val="auto"/>
          <w:highlight w:val="none"/>
        </w:rPr>
        <w:t>2</w:t>
      </w:r>
      <w:r>
        <w:rPr>
          <w:rFonts w:ascii="宋体" w:hAnsi="宋体" w:cs="宋体"/>
          <w:color w:val="auto"/>
          <w:highlight w:val="none"/>
        </w:rPr>
        <w:fldChar w:fldCharType="end"/>
      </w:r>
      <w:r>
        <w:rPr>
          <w:rFonts w:ascii="宋体" w:hAnsi="宋体" w:cs="宋体"/>
          <w:color w:val="auto"/>
          <w:highlight w:val="none"/>
        </w:rPr>
        <w:fldChar w:fldCharType="end"/>
      </w:r>
    </w:p>
    <w:p>
      <w:pPr>
        <w:pStyle w:val="2"/>
        <w:tabs>
          <w:tab w:val="right" w:leader="dot" w:pos="9638"/>
        </w:tabs>
        <w:rPr>
          <w:rFonts w:ascii="宋体" w:cs="宋体"/>
          <w:color w:val="auto"/>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rPr>
        <w:t>供应商须知</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_Toc9759 </w:instrText>
      </w:r>
      <w:r>
        <w:rPr>
          <w:rFonts w:ascii="宋体" w:hAnsi="宋体" w:cs="宋体"/>
          <w:color w:val="auto"/>
          <w:highlight w:val="none"/>
        </w:rPr>
        <w:fldChar w:fldCharType="separate"/>
      </w:r>
      <w:r>
        <w:rPr>
          <w:rFonts w:ascii="宋体" w:hAnsi="宋体" w:cs="宋体"/>
          <w:color w:val="auto"/>
          <w:highlight w:val="none"/>
        </w:rPr>
        <w:t>5</w:t>
      </w:r>
      <w:r>
        <w:rPr>
          <w:rFonts w:ascii="宋体" w:hAnsi="宋体" w:cs="宋体"/>
          <w:color w:val="auto"/>
          <w:highlight w:val="none"/>
        </w:rPr>
        <w:fldChar w:fldCharType="end"/>
      </w:r>
      <w:r>
        <w:rPr>
          <w:rFonts w:ascii="宋体" w:hAnsi="宋体" w:cs="宋体"/>
          <w:color w:val="auto"/>
          <w:highlight w:val="none"/>
        </w:rPr>
        <w:fldChar w:fldCharType="end"/>
      </w:r>
    </w:p>
    <w:p>
      <w:pPr>
        <w:pStyle w:val="2"/>
        <w:tabs>
          <w:tab w:val="right" w:leader="dot" w:pos="9638"/>
        </w:tabs>
        <w:rPr>
          <w:rFonts w:ascii="宋体" w:cs="宋体"/>
          <w:color w:val="auto"/>
          <w:highlight w:val="none"/>
        </w:rPr>
      </w:pPr>
      <w:r>
        <w:rPr>
          <w:color w:val="auto"/>
          <w:highlight w:val="none"/>
        </w:rPr>
        <w:fldChar w:fldCharType="begin"/>
      </w:r>
      <w:r>
        <w:rPr>
          <w:color w:val="auto"/>
          <w:highlight w:val="none"/>
        </w:rPr>
        <w:instrText xml:space="preserve"> HYPERLINK \l "_Toc676" </w:instrText>
      </w:r>
      <w:r>
        <w:rPr>
          <w:color w:val="auto"/>
          <w:highlight w:val="none"/>
        </w:rPr>
        <w:fldChar w:fldCharType="separate"/>
      </w:r>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_Toc676 </w:instrText>
      </w:r>
      <w:r>
        <w:rPr>
          <w:rFonts w:ascii="宋体" w:hAnsi="宋体" w:cs="宋体"/>
          <w:color w:val="auto"/>
          <w:highlight w:val="none"/>
        </w:rPr>
        <w:fldChar w:fldCharType="separate"/>
      </w:r>
      <w:r>
        <w:rPr>
          <w:rFonts w:ascii="宋体" w:hAnsi="宋体" w:cs="宋体"/>
          <w:color w:val="auto"/>
          <w:highlight w:val="none"/>
        </w:rPr>
        <w:t>6</w:t>
      </w:r>
      <w:r>
        <w:rPr>
          <w:rFonts w:ascii="宋体" w:hAnsi="宋体" w:cs="宋体"/>
          <w:color w:val="auto"/>
          <w:highlight w:val="none"/>
        </w:rPr>
        <w:fldChar w:fldCharType="end"/>
      </w:r>
      <w:r>
        <w:rPr>
          <w:rFonts w:ascii="宋体" w:hAnsi="宋体" w:cs="宋体"/>
          <w:color w:val="auto"/>
          <w:highlight w:val="none"/>
        </w:rPr>
        <w:fldChar w:fldCharType="end"/>
      </w:r>
    </w:p>
    <w:p>
      <w:pPr>
        <w:pStyle w:val="2"/>
        <w:tabs>
          <w:tab w:val="right" w:leader="dot" w:pos="9638"/>
        </w:tabs>
        <w:rPr>
          <w:rFonts w:ascii="宋体" w:cs="宋体"/>
          <w:color w:val="auto"/>
          <w:highlight w:val="none"/>
        </w:rPr>
      </w:pPr>
      <w:r>
        <w:rPr>
          <w:color w:val="auto"/>
          <w:highlight w:val="none"/>
        </w:rPr>
        <w:fldChar w:fldCharType="begin"/>
      </w:r>
      <w:r>
        <w:rPr>
          <w:color w:val="auto"/>
          <w:highlight w:val="none"/>
        </w:rPr>
        <w:instrText xml:space="preserve"> HYPERLINK \l "_Toc10267" </w:instrText>
      </w:r>
      <w:r>
        <w:rPr>
          <w:color w:val="auto"/>
          <w:highlight w:val="none"/>
        </w:rPr>
        <w:fldChar w:fldCharType="separate"/>
      </w:r>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评审程序和评定成交的标准</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_Toc10267 </w:instrText>
      </w:r>
      <w:r>
        <w:rPr>
          <w:rFonts w:ascii="宋体" w:hAnsi="宋体" w:cs="宋体"/>
          <w:color w:val="auto"/>
          <w:highlight w:val="none"/>
        </w:rPr>
        <w:fldChar w:fldCharType="separate"/>
      </w:r>
      <w:r>
        <w:rPr>
          <w:rFonts w:ascii="宋体" w:hAnsi="宋体" w:cs="宋体"/>
          <w:color w:val="auto"/>
          <w:highlight w:val="none"/>
        </w:rPr>
        <w:t>6</w:t>
      </w:r>
      <w:r>
        <w:rPr>
          <w:rFonts w:ascii="宋体" w:hAnsi="宋体" w:cs="宋体"/>
          <w:color w:val="auto"/>
          <w:highlight w:val="none"/>
        </w:rPr>
        <w:fldChar w:fldCharType="end"/>
      </w:r>
      <w:r>
        <w:rPr>
          <w:rFonts w:ascii="宋体" w:hAnsi="宋体" w:cs="宋体"/>
          <w:color w:val="auto"/>
          <w:highlight w:val="none"/>
        </w:rPr>
        <w:fldChar w:fldCharType="end"/>
      </w:r>
    </w:p>
    <w:p>
      <w:pPr>
        <w:pStyle w:val="2"/>
        <w:tabs>
          <w:tab w:val="right" w:leader="dot" w:pos="9638"/>
        </w:tabs>
        <w:rPr>
          <w:rFonts w:ascii="宋体" w:cs="宋体"/>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_Toc12503 </w:instrText>
      </w:r>
      <w:r>
        <w:rPr>
          <w:rFonts w:ascii="宋体" w:hAnsi="宋体" w:cs="宋体"/>
          <w:color w:val="auto"/>
          <w:highlight w:val="none"/>
        </w:rPr>
        <w:fldChar w:fldCharType="separate"/>
      </w:r>
      <w:r>
        <w:rPr>
          <w:rFonts w:ascii="宋体" w:hAnsi="宋体" w:cs="宋体"/>
          <w:color w:val="auto"/>
          <w:highlight w:val="none"/>
        </w:rPr>
        <w:t>6</w:t>
      </w:r>
      <w:r>
        <w:rPr>
          <w:rFonts w:ascii="宋体" w:hAnsi="宋体" w:cs="宋体"/>
          <w:color w:val="auto"/>
          <w:highlight w:val="none"/>
        </w:rPr>
        <w:fldChar w:fldCharType="end"/>
      </w:r>
      <w:r>
        <w:rPr>
          <w:rFonts w:ascii="宋体" w:hAnsi="宋体" w:cs="宋体"/>
          <w:color w:val="auto"/>
          <w:highlight w:val="none"/>
        </w:rPr>
        <w:fldChar w:fldCharType="end"/>
      </w:r>
    </w:p>
    <w:p>
      <w:pPr>
        <w:pStyle w:val="2"/>
        <w:tabs>
          <w:tab w:val="right" w:leader="dot" w:pos="9638"/>
        </w:tabs>
        <w:rPr>
          <w:rFonts w:ascii="宋体" w:cs="宋体"/>
          <w:color w:val="auto"/>
          <w:highlight w:val="none"/>
        </w:rPr>
      </w:pPr>
      <w:r>
        <w:rPr>
          <w:color w:val="auto"/>
          <w:highlight w:val="none"/>
        </w:rPr>
        <w:fldChar w:fldCharType="begin"/>
      </w:r>
      <w:r>
        <w:rPr>
          <w:color w:val="auto"/>
          <w:highlight w:val="none"/>
        </w:rPr>
        <w:instrText xml:space="preserve"> HYPERLINK \l "_Toc27822" </w:instrText>
      </w:r>
      <w:r>
        <w:rPr>
          <w:color w:val="auto"/>
          <w:highlight w:val="none"/>
        </w:rPr>
        <w:fldChar w:fldCharType="separate"/>
      </w:r>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合同文本</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_Toc27822 </w:instrText>
      </w:r>
      <w:r>
        <w:rPr>
          <w:rFonts w:ascii="宋体" w:hAnsi="宋体" w:cs="宋体"/>
          <w:color w:val="auto"/>
          <w:highlight w:val="none"/>
        </w:rPr>
        <w:fldChar w:fldCharType="separate"/>
      </w:r>
      <w:r>
        <w:rPr>
          <w:rFonts w:ascii="宋体" w:hAnsi="宋体" w:cs="宋体"/>
          <w:color w:val="auto"/>
          <w:highlight w:val="none"/>
        </w:rPr>
        <w:t>6</w:t>
      </w:r>
      <w:r>
        <w:rPr>
          <w:rFonts w:ascii="宋体" w:hAnsi="宋体" w:cs="宋体"/>
          <w:color w:val="auto"/>
          <w:highlight w:val="none"/>
        </w:rPr>
        <w:fldChar w:fldCharType="end"/>
      </w:r>
      <w:r>
        <w:rPr>
          <w:rFonts w:ascii="宋体" w:hAnsi="宋体" w:cs="宋体"/>
          <w:color w:val="auto"/>
          <w:highlight w:val="none"/>
        </w:rPr>
        <w:fldChar w:fldCharType="end"/>
      </w:r>
    </w:p>
    <w:p>
      <w:pPr>
        <w:pStyle w:val="19"/>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pPr>
        <w:spacing w:line="400" w:lineRule="exact"/>
        <w:jc w:val="left"/>
        <w:rPr>
          <w:rFonts w:ascii="宋体" w:cs="宋体"/>
          <w:b/>
          <w:color w:val="auto"/>
          <w:sz w:val="32"/>
          <w:szCs w:val="32"/>
          <w:highlight w:val="none"/>
        </w:rPr>
      </w:pPr>
    </w:p>
    <w:p>
      <w:pPr>
        <w:spacing w:line="400" w:lineRule="exact"/>
        <w:jc w:val="center"/>
        <w:rPr>
          <w:rFonts w:ascii="宋体" w:cs="宋体"/>
          <w:b/>
          <w:color w:val="auto"/>
          <w:sz w:val="32"/>
          <w:szCs w:val="32"/>
          <w:highlight w:val="none"/>
        </w:rPr>
      </w:pPr>
    </w:p>
    <w:p>
      <w:pPr>
        <w:spacing w:line="400" w:lineRule="exact"/>
        <w:jc w:val="center"/>
        <w:rPr>
          <w:rFonts w:ascii="宋体" w:cs="宋体"/>
          <w:b/>
          <w:color w:val="auto"/>
          <w:sz w:val="32"/>
          <w:szCs w:val="32"/>
          <w:highlight w:val="none"/>
        </w:rPr>
      </w:pPr>
    </w:p>
    <w:p>
      <w:pPr>
        <w:spacing w:line="400" w:lineRule="exact"/>
        <w:jc w:val="center"/>
        <w:rPr>
          <w:rFonts w:ascii="宋体" w:cs="宋体"/>
          <w:b/>
          <w:color w:val="auto"/>
          <w:sz w:val="32"/>
          <w:szCs w:val="32"/>
          <w:highlight w:val="none"/>
        </w:rPr>
      </w:pPr>
    </w:p>
    <w:p>
      <w:pPr>
        <w:spacing w:line="400" w:lineRule="exact"/>
        <w:jc w:val="center"/>
        <w:rPr>
          <w:rFonts w:ascii="宋体" w:cs="宋体"/>
          <w:b/>
          <w:color w:val="auto"/>
          <w:sz w:val="32"/>
          <w:szCs w:val="32"/>
          <w:highlight w:val="none"/>
        </w:rPr>
      </w:pPr>
    </w:p>
    <w:p>
      <w:pPr>
        <w:spacing w:line="400" w:lineRule="exact"/>
        <w:rPr>
          <w:rFonts w:ascii="宋体" w:cs="宋体"/>
          <w:b/>
          <w:color w:val="auto"/>
          <w:sz w:val="32"/>
          <w:szCs w:val="32"/>
          <w:highlight w:val="none"/>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p>
    <w:p>
      <w:pPr>
        <w:pStyle w:val="3"/>
        <w:spacing w:line="240" w:lineRule="auto"/>
        <w:jc w:val="center"/>
        <w:rPr>
          <w:rFonts w:ascii="宋体" w:cs="宋体"/>
          <w:b w:val="0"/>
          <w:bCs w:val="0"/>
          <w:color w:val="auto"/>
          <w:sz w:val="32"/>
          <w:szCs w:val="32"/>
          <w:highlight w:val="none"/>
        </w:rPr>
      </w:pPr>
      <w:bookmarkStart w:id="0" w:name="_Toc14271"/>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竞争性谈判公告</w:t>
      </w:r>
      <w:bookmarkEnd w:id="0"/>
    </w:p>
    <w:p>
      <w:pPr>
        <w:pStyle w:val="14"/>
        <w:jc w:val="center"/>
        <w:rPr>
          <w:rFonts w:hAnsi="宋体" w:cs="宋体"/>
          <w:b/>
          <w:color w:val="auto"/>
          <w:sz w:val="28"/>
          <w:szCs w:val="28"/>
          <w:highlight w:val="none"/>
        </w:rPr>
      </w:pPr>
      <w:r>
        <w:rPr>
          <w:rFonts w:hint="eastAsia" w:hAnsi="宋体" w:cs="宋体"/>
          <w:b/>
          <w:color w:val="auto"/>
          <w:sz w:val="28"/>
          <w:szCs w:val="28"/>
          <w:highlight w:val="none"/>
        </w:rPr>
        <w:t>广西建采项目管理有限公司</w:t>
      </w:r>
    </w:p>
    <w:p>
      <w:pPr>
        <w:jc w:val="center"/>
        <w:rPr>
          <w:rFonts w:ascii="宋体" w:cs="宋体"/>
          <w:bCs/>
          <w:color w:val="auto"/>
          <w:sz w:val="28"/>
          <w:szCs w:val="28"/>
          <w:highlight w:val="none"/>
        </w:rPr>
      </w:pPr>
      <w:r>
        <w:rPr>
          <w:rFonts w:hint="eastAsia" w:ascii="宋体" w:hAnsi="宋体" w:cs="宋体"/>
          <w:b/>
          <w:color w:val="auto"/>
          <w:sz w:val="28"/>
          <w:szCs w:val="28"/>
          <w:highlight w:val="none"/>
        </w:rPr>
        <w:t>关于平桂区黄田卫生院改建项目(设备采购)（</w:t>
      </w:r>
      <w:r>
        <w:rPr>
          <w:rFonts w:hint="eastAsia" w:ascii="宋体" w:hAnsi="宋体" w:cs="宋体"/>
          <w:b/>
          <w:color w:val="auto"/>
          <w:sz w:val="28"/>
          <w:szCs w:val="28"/>
          <w:highlight w:val="none"/>
          <w:lang w:eastAsia="zh-CN"/>
        </w:rPr>
        <w:t>HZZC2023-J1-030071-JCXM</w:t>
      </w:r>
      <w:r>
        <w:rPr>
          <w:rFonts w:hint="eastAsia" w:ascii="宋体" w:hAnsi="宋体" w:cs="宋体"/>
          <w:b/>
          <w:color w:val="auto"/>
          <w:sz w:val="28"/>
          <w:szCs w:val="28"/>
          <w:highlight w:val="none"/>
        </w:rPr>
        <w:t>）</w:t>
      </w:r>
    </w:p>
    <w:p>
      <w:pPr>
        <w:jc w:val="center"/>
        <w:rPr>
          <w:rFonts w:ascii="宋体" w:cs="宋体"/>
          <w:color w:val="auto"/>
          <w:szCs w:val="21"/>
          <w:highlight w:val="none"/>
        </w:rPr>
      </w:pPr>
      <w:r>
        <w:rPr>
          <w:rFonts w:hint="eastAsia" w:ascii="宋体" w:hAnsi="宋体" w:cs="宋体"/>
          <w:b/>
          <w:color w:val="auto"/>
          <w:kern w:val="0"/>
          <w:sz w:val="28"/>
          <w:szCs w:val="28"/>
          <w:highlight w:val="none"/>
        </w:rPr>
        <w:t>竞争性谈判公告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cs="宋体"/>
          <w:color w:val="auto"/>
          <w:szCs w:val="21"/>
          <w:highlight w:val="none"/>
        </w:rPr>
      </w:pPr>
      <w:bookmarkStart w:id="1" w:name="_Hlk37430271"/>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平桂区黄田卫生院改建项目(设备采购)的潜在供应商应在政采云平台（</w:t>
      </w:r>
      <w:r>
        <w:rPr>
          <w:rFonts w:ascii="宋体" w:hAnsi="宋体" w:cs="宋体"/>
          <w:color w:val="auto"/>
          <w:szCs w:val="21"/>
          <w:highlight w:val="none"/>
        </w:rPr>
        <w:t>https://www.zcygov.cn/</w:t>
      </w:r>
      <w:r>
        <w:rPr>
          <w:rFonts w:hint="eastAsia" w:ascii="宋体" w:hAnsi="宋体" w:cs="宋体"/>
          <w:color w:val="auto"/>
          <w:szCs w:val="21"/>
          <w:highlight w:val="none"/>
        </w:rPr>
        <w:t>）获取（下载）竞争性谈判文件，并于</w:t>
      </w: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w:t>
      </w:r>
      <w:r>
        <w:rPr>
          <w:rFonts w:ascii="宋体" w:cs="宋体"/>
          <w:color w:val="auto"/>
          <w:szCs w:val="21"/>
          <w:highlight w:val="none"/>
        </w:rPr>
        <w:t>0</w:t>
      </w:r>
      <w:r>
        <w:rPr>
          <w:rFonts w:hint="eastAsia" w:ascii="宋体" w:hAnsi="宋体" w:cs="宋体"/>
          <w:color w:val="auto"/>
          <w:szCs w:val="21"/>
          <w:highlight w:val="none"/>
        </w:rPr>
        <w:t>分（北京时间）前提交响应文件。</w:t>
      </w:r>
    </w:p>
    <w:p>
      <w:pPr>
        <w:spacing w:line="400" w:lineRule="exact"/>
        <w:ind w:firstLine="420" w:firstLineChars="200"/>
        <w:rPr>
          <w:rFonts w:ascii="宋体" w:cs="宋体"/>
          <w:color w:val="auto"/>
          <w:szCs w:val="21"/>
          <w:highlight w:val="none"/>
        </w:rPr>
      </w:pPr>
      <w:bookmarkStart w:id="2" w:name="_Toc28359095"/>
      <w:bookmarkStart w:id="3" w:name="_Toc35393805"/>
      <w:bookmarkStart w:id="4" w:name="_Toc28359018"/>
      <w:bookmarkStart w:id="5" w:name="_Toc35393636"/>
      <w:bookmarkStart w:id="6" w:name="_Toc71366047"/>
      <w:bookmarkStart w:id="7" w:name="_Toc71365369"/>
      <w:bookmarkStart w:id="118" w:name="_GoBack"/>
      <w:r>
        <w:rPr>
          <w:rFonts w:hint="eastAsia" w:ascii="宋体" w:hAnsi="宋体" w:cs="宋体"/>
          <w:color w:val="auto"/>
          <w:szCs w:val="21"/>
          <w:highlight w:val="none"/>
        </w:rPr>
        <w:t>一、项目基本情况</w:t>
      </w:r>
    </w:p>
    <w:p>
      <w:pPr>
        <w:spacing w:line="400" w:lineRule="exact"/>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HZZC2023-J1-030071-JCXM</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项目名称：平桂区黄田卫生院改建项目(设备采购)</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采购方式：竞争性谈判</w:t>
      </w:r>
    </w:p>
    <w:p>
      <w:pPr>
        <w:spacing w:line="400" w:lineRule="exact"/>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壹佰万元整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lang w:eastAsia="zh-CN"/>
        </w:rPr>
        <w:t>0000.00）</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最高限价：壹佰万元整（￥1000000.00）</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采购需求：采购一批医疗设备，如需进一步了解详细内容，具体详见第三章</w:t>
      </w:r>
      <w:r>
        <w:rPr>
          <w:rFonts w:ascii="宋体" w:hAnsi="宋体" w:cs="宋体"/>
          <w:color w:val="auto"/>
          <w:szCs w:val="21"/>
          <w:highlight w:val="none"/>
        </w:rPr>
        <w:t xml:space="preserve"> </w:t>
      </w:r>
      <w:r>
        <w:rPr>
          <w:rFonts w:hint="eastAsia" w:ascii="宋体" w:hAnsi="宋体" w:cs="宋体"/>
          <w:color w:val="auto"/>
          <w:szCs w:val="21"/>
          <w:highlight w:val="none"/>
        </w:rPr>
        <w:t>《采购需求》。</w:t>
      </w:r>
    </w:p>
    <w:p>
      <w:pPr>
        <w:spacing w:line="400" w:lineRule="exact"/>
        <w:ind w:firstLine="420" w:firstLineChars="200"/>
        <w:rPr>
          <w:rFonts w:asci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s="宋体"/>
          <w:bCs/>
          <w:color w:val="auto"/>
          <w:szCs w:val="21"/>
          <w:highlight w:val="none"/>
          <w:lang w:eastAsia="zh-CN"/>
        </w:rPr>
        <w:t>签订合同后15个工作日内安装调试完毕并交付使用</w:t>
      </w:r>
      <w:r>
        <w:rPr>
          <w:rFonts w:hint="eastAsia" w:ascii="宋体" w:hAnsi="宋体" w:cs="宋体"/>
          <w:bCs/>
          <w:color w:val="auto"/>
          <w:szCs w:val="21"/>
          <w:highlight w:val="none"/>
        </w:rPr>
        <w:t>。</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本项目（是</w:t>
      </w:r>
      <w:r>
        <w:rPr>
          <w:rFonts w:ascii="宋体" w:hAnsi="宋体" w:cs="宋体"/>
          <w:color w:val="auto"/>
          <w:szCs w:val="21"/>
          <w:highlight w:val="none"/>
        </w:rPr>
        <w:t>/</w:t>
      </w:r>
      <w:r>
        <w:rPr>
          <w:rFonts w:hint="eastAsia" w:ascii="宋体" w:hAnsi="宋体" w:cs="宋体"/>
          <w:color w:val="auto"/>
          <w:szCs w:val="21"/>
          <w:highlight w:val="none"/>
        </w:rPr>
        <w:t>否）接受联合体：否。</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二、申请人的资格条件：</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pPr>
        <w:spacing w:line="400" w:lineRule="exact"/>
        <w:ind w:firstLine="420" w:firstLineChars="200"/>
        <w:rPr>
          <w:rFonts w:hint="eastAsia" w:ascii="宋体" w:eastAsia="宋体" w:cs="宋体"/>
          <w:color w:val="auto"/>
          <w:szCs w:val="21"/>
          <w:highlight w:val="none"/>
          <w:u w:val="none"/>
          <w:lang w:val="en-US" w:eastAsia="zh-CN"/>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u w:val="none"/>
        </w:rPr>
        <w:t>本项目属于专门面向中小企业采购的项目，供应商应为中小企业、监狱企业、残疾人福利性单位</w:t>
      </w:r>
      <w:r>
        <w:rPr>
          <w:rFonts w:hint="eastAsia" w:ascii="宋体" w:hAnsi="宋体" w:cs="宋体"/>
          <w:color w:val="auto"/>
          <w:szCs w:val="21"/>
          <w:highlight w:val="none"/>
        </w:rPr>
        <w:t>；</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、本项目的特定资格要求：竞标人须具有国家主管部门颁发的有效的医疗器械生产许可证，或按《医疗器械经营监督管理办法》（国家市场监督管理总局令第</w:t>
      </w:r>
      <w:r>
        <w:rPr>
          <w:rFonts w:ascii="宋体" w:hAnsi="宋体" w:cs="宋体"/>
          <w:color w:val="auto"/>
          <w:szCs w:val="21"/>
          <w:highlight w:val="none"/>
        </w:rPr>
        <w:t>54</w:t>
      </w:r>
      <w:r>
        <w:rPr>
          <w:rFonts w:hint="eastAsia" w:ascii="宋体" w:hAnsi="宋体" w:cs="宋体"/>
          <w:color w:val="auto"/>
          <w:szCs w:val="21"/>
          <w:highlight w:val="none"/>
        </w:rPr>
        <w:t>号）医疗器械分类管理要求具有有效的医疗器械经营备案凭证或许可证。</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三、获取竞争性谈判文件</w:t>
      </w:r>
    </w:p>
    <w:p>
      <w:pPr>
        <w:spacing w:line="400" w:lineRule="exact"/>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日至</w:t>
      </w: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12:00-23:59</w:t>
      </w:r>
      <w:r>
        <w:rPr>
          <w:rFonts w:hint="eastAsia" w:ascii="宋体" w:hAnsi="宋体" w:cs="宋体"/>
          <w:color w:val="auto"/>
          <w:szCs w:val="21"/>
          <w:highlight w:val="none"/>
        </w:rPr>
        <w:t>（北京时间，法定节假日除外）。</w:t>
      </w:r>
    </w:p>
    <w:p>
      <w:pPr>
        <w:spacing w:line="400" w:lineRule="exact"/>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地点：“政采云”平台（</w:t>
      </w:r>
      <w:r>
        <w:rPr>
          <w:rFonts w:ascii="宋体" w:hAnsi="宋体" w:cs="宋体"/>
          <w:bCs/>
          <w:color w:val="auto"/>
          <w:kern w:val="0"/>
          <w:szCs w:val="21"/>
          <w:highlight w:val="none"/>
        </w:rPr>
        <w:t>http</w:t>
      </w:r>
      <w:r>
        <w:rPr>
          <w:rFonts w:hint="eastAsia" w:ascii="宋体" w:hAnsi="宋体" w:cs="宋体"/>
          <w:bCs/>
          <w:color w:val="auto"/>
          <w:kern w:val="0"/>
          <w:szCs w:val="21"/>
          <w:highlight w:val="none"/>
        </w:rPr>
        <w:t>：</w:t>
      </w:r>
      <w:r>
        <w:rPr>
          <w:rFonts w:ascii="宋体" w:hAnsi="宋体" w:cs="宋体"/>
          <w:bCs/>
          <w:color w:val="auto"/>
          <w:kern w:val="0"/>
          <w:szCs w:val="21"/>
          <w:highlight w:val="none"/>
        </w:rPr>
        <w:t>//www.zcygov.cn</w:t>
      </w:r>
      <w:r>
        <w:rPr>
          <w:rFonts w:hint="eastAsia" w:ascii="宋体" w:hAnsi="宋体" w:cs="宋体"/>
          <w:bCs/>
          <w:color w:val="auto"/>
          <w:kern w:val="0"/>
          <w:szCs w:val="21"/>
          <w:highlight w:val="none"/>
        </w:rPr>
        <w:t>）。</w:t>
      </w:r>
    </w:p>
    <w:p>
      <w:pPr>
        <w:spacing w:line="400" w:lineRule="exact"/>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方式：网上下载。本项目不发放纸质文件，供应商应自行在“政采云”平台（</w:t>
      </w:r>
      <w:r>
        <w:rPr>
          <w:rFonts w:ascii="宋体" w:hAnsi="宋体" w:cs="宋体"/>
          <w:bCs/>
          <w:color w:val="auto"/>
          <w:kern w:val="0"/>
          <w:szCs w:val="21"/>
          <w:highlight w:val="none"/>
        </w:rPr>
        <w:t>http</w:t>
      </w:r>
      <w:r>
        <w:rPr>
          <w:rFonts w:hint="eastAsia" w:ascii="宋体" w:hAnsi="宋体" w:cs="宋体"/>
          <w:bCs/>
          <w:color w:val="auto"/>
          <w:kern w:val="0"/>
          <w:szCs w:val="21"/>
          <w:highlight w:val="none"/>
        </w:rPr>
        <w:t>：</w:t>
      </w:r>
      <w:r>
        <w:rPr>
          <w:rFonts w:ascii="宋体" w:hAnsi="宋体" w:cs="宋体"/>
          <w:bCs/>
          <w:color w:val="auto"/>
          <w:kern w:val="0"/>
          <w:szCs w:val="21"/>
          <w:highlight w:val="none"/>
        </w:rPr>
        <w:t>//www.zcygov.cn</w:t>
      </w:r>
      <w:r>
        <w:rPr>
          <w:rFonts w:hint="eastAsia" w:ascii="宋体" w:hAnsi="宋体" w:cs="宋体"/>
          <w:bCs/>
          <w:color w:val="auto"/>
          <w:kern w:val="0"/>
          <w:szCs w:val="21"/>
          <w:highlight w:val="none"/>
        </w:rPr>
        <w:t>）下载竞争性谈判文件（操作路径：登录“政采云”平台</w:t>
      </w:r>
      <w:r>
        <w:rPr>
          <w:rFonts w:ascii="宋体" w:cs="宋体"/>
          <w:bCs/>
          <w:color w:val="auto"/>
          <w:kern w:val="0"/>
          <w:szCs w:val="21"/>
          <w:highlight w:val="none"/>
        </w:rPr>
        <w:t>-</w:t>
      </w:r>
      <w:r>
        <w:rPr>
          <w:rFonts w:hint="eastAsia" w:ascii="宋体" w:hAnsi="宋体" w:cs="宋体"/>
          <w:bCs/>
          <w:color w:val="auto"/>
          <w:kern w:val="0"/>
          <w:szCs w:val="21"/>
          <w:highlight w:val="none"/>
        </w:rPr>
        <w:t>项目采购</w:t>
      </w:r>
      <w:r>
        <w:rPr>
          <w:rFonts w:ascii="宋体" w:cs="宋体"/>
          <w:bCs/>
          <w:color w:val="auto"/>
          <w:kern w:val="0"/>
          <w:szCs w:val="21"/>
          <w:highlight w:val="none"/>
        </w:rPr>
        <w:t>-</w:t>
      </w:r>
      <w:r>
        <w:rPr>
          <w:rFonts w:hint="eastAsia" w:ascii="宋体" w:hAnsi="宋体" w:cs="宋体"/>
          <w:bCs/>
          <w:color w:val="auto"/>
          <w:kern w:val="0"/>
          <w:szCs w:val="21"/>
          <w:highlight w:val="none"/>
        </w:rPr>
        <w:t>获取采购文件</w:t>
      </w:r>
      <w:r>
        <w:rPr>
          <w:rFonts w:ascii="宋体" w:cs="宋体"/>
          <w:bCs/>
          <w:color w:val="auto"/>
          <w:kern w:val="0"/>
          <w:szCs w:val="21"/>
          <w:highlight w:val="none"/>
        </w:rPr>
        <w:t>-</w:t>
      </w:r>
      <w:r>
        <w:rPr>
          <w:rFonts w:hint="eastAsia" w:ascii="宋体" w:hAnsi="宋体" w:cs="宋体"/>
          <w:bCs/>
          <w:color w:val="auto"/>
          <w:kern w:val="0"/>
          <w:szCs w:val="21"/>
          <w:highlight w:val="none"/>
        </w:rPr>
        <w:t>找到本项目</w:t>
      </w:r>
      <w:r>
        <w:rPr>
          <w:rFonts w:ascii="宋体" w:cs="宋体"/>
          <w:bCs/>
          <w:color w:val="auto"/>
          <w:kern w:val="0"/>
          <w:szCs w:val="21"/>
          <w:highlight w:val="none"/>
        </w:rPr>
        <w:t>-</w:t>
      </w:r>
      <w:r>
        <w:rPr>
          <w:rFonts w:hint="eastAsia" w:ascii="宋体" w:hAnsi="宋体" w:cs="宋体"/>
          <w:bCs/>
          <w:color w:val="auto"/>
          <w:kern w:val="0"/>
          <w:szCs w:val="21"/>
          <w:highlight w:val="none"/>
        </w:rPr>
        <w:t>点击“申请获取采购文件”），电子响应文件制作需要基于“政采云”平台获取的竞争性谈判文件编制。</w:t>
      </w:r>
    </w:p>
    <w:p>
      <w:pPr>
        <w:spacing w:line="400" w:lineRule="exact"/>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四、响应文件提交</w:t>
      </w:r>
    </w:p>
    <w:p>
      <w:pPr>
        <w:spacing w:line="400" w:lineRule="exact"/>
        <w:ind w:left="422"/>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15时30分</w:t>
      </w:r>
      <w:r>
        <w:rPr>
          <w:rFonts w:hint="eastAsia" w:ascii="宋体" w:hAnsi="宋体" w:cs="宋体"/>
          <w:color w:val="auto"/>
          <w:szCs w:val="21"/>
          <w:highlight w:val="none"/>
        </w:rPr>
        <w:t>（北京时间）</w:t>
      </w:r>
    </w:p>
    <w:p>
      <w:pPr>
        <w:spacing w:line="400" w:lineRule="exact"/>
        <w:ind w:left="422"/>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、地点：通过“政采云”平台在线提交。</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五、开启</w:t>
      </w:r>
    </w:p>
    <w:p>
      <w:pPr>
        <w:spacing w:line="400" w:lineRule="exact"/>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ascii="宋体" w:hAnsi="宋体" w:cs="宋体"/>
          <w:bCs/>
          <w:color w:val="auto"/>
          <w:kern w:val="0"/>
          <w:szCs w:val="21"/>
          <w:highlight w:val="none"/>
        </w:rPr>
        <w:t>2023</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15时30分</w:t>
      </w:r>
      <w:r>
        <w:rPr>
          <w:rFonts w:hint="eastAsia" w:ascii="宋体" w:hAnsi="宋体" w:cs="宋体"/>
          <w:bCs/>
          <w:color w:val="auto"/>
          <w:kern w:val="0"/>
          <w:szCs w:val="21"/>
          <w:highlight w:val="none"/>
        </w:rPr>
        <w:t>（北京时间）</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、地点：通过“政采云”平台在线提交。</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六、公告期限</w:t>
      </w:r>
    </w:p>
    <w:p>
      <w:pPr>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七、其他补充事宜</w:t>
      </w:r>
    </w:p>
    <w:p>
      <w:pPr>
        <w:widowControl/>
        <w:spacing w:line="400" w:lineRule="exact"/>
        <w:ind w:firstLine="420" w:firstLineChars="200"/>
        <w:rPr>
          <w:rFonts w:hint="eastAsia" w:asci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rPr>
        <w:t>、竞标保证金（人民币）：</w:t>
      </w:r>
      <w:r>
        <w:rPr>
          <w:rFonts w:hint="eastAsia" w:ascii="宋体" w:hAnsi="宋体" w:cs="宋体"/>
          <w:color w:val="auto"/>
          <w:szCs w:val="21"/>
          <w:highlight w:val="none"/>
          <w:lang w:val="en-US" w:eastAsia="zh-CN"/>
        </w:rPr>
        <w:t>壹万元整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000.00）</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竞标保证金的交纳方式：银行转账、支票、汇票、本票或者金融、担保机构出具的保函，禁止采用现钞方式。采用银行转账方式的，在响应文件提交截止时间前交至以下账户且到账；并注明项目名称或项目编号及所竞分标（如有）。</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开户名：贺州市公共资源交易中心</w:t>
      </w:r>
    </w:p>
    <w:p>
      <w:pPr>
        <w:widowControl/>
        <w:spacing w:line="400" w:lineRule="exact"/>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r>
        <w:rPr>
          <w:rFonts w:hint="eastAsia" w:ascii="宋体" w:hAnsi="宋体" w:cs="宋体"/>
          <w:color w:val="auto"/>
          <w:szCs w:val="21"/>
          <w:highlight w:val="none"/>
          <w:lang w:eastAsia="zh-CN"/>
        </w:rPr>
        <w:t>94500901000883888802308</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开户行：中国邮政储蓄银行</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、网上查询地址：中国政府采购网、广西政府采购网、</w:t>
      </w:r>
      <w:r>
        <w:rPr>
          <w:rFonts w:hint="eastAsia" w:ascii="宋体" w:hAnsi="宋体" w:cs="宋体"/>
          <w:color w:val="auto"/>
          <w:szCs w:val="21"/>
          <w:highlight w:val="none"/>
          <w:lang w:val="en-US" w:eastAsia="zh-CN"/>
        </w:rPr>
        <w:t>全国公共资源交易平台（广西·贺州）</w:t>
      </w:r>
      <w:r>
        <w:rPr>
          <w:rFonts w:hint="eastAsia" w:ascii="宋体" w:hAnsi="宋体" w:cs="宋体"/>
          <w:color w:val="auto"/>
          <w:szCs w:val="21"/>
          <w:highlight w:val="none"/>
        </w:rPr>
        <w:t>。</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、谈判注意事项：</w:t>
      </w:r>
    </w:p>
    <w:p>
      <w:pPr>
        <w:widowControl/>
        <w:spacing w:line="400" w:lineRule="exact"/>
        <w:ind w:firstLine="420" w:firstLineChars="200"/>
        <w:rPr>
          <w:rFonts w:ascii="宋体" w:cs="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）响应文件提交方式：本项目为全流程电子化政府采购项目，通过“政采云”平台（</w:t>
      </w:r>
      <w:r>
        <w:rPr>
          <w:rFonts w:ascii="宋体" w:hAnsi="宋体" w:cs="宋体"/>
          <w:color w:val="auto"/>
          <w:szCs w:val="21"/>
          <w:highlight w:val="none"/>
        </w:rPr>
        <w:t>http</w:t>
      </w:r>
      <w:r>
        <w:rPr>
          <w:rFonts w:hint="eastAsia" w:ascii="宋体" w:hAnsi="宋体" w:cs="宋体"/>
          <w:color w:val="auto"/>
          <w:szCs w:val="21"/>
          <w:highlight w:val="none"/>
        </w:rPr>
        <w:t>：</w:t>
      </w:r>
      <w:r>
        <w:rPr>
          <w:rFonts w:ascii="宋体" w:hAnsi="宋体" w:cs="宋体"/>
          <w:color w:val="auto"/>
          <w:szCs w:val="21"/>
          <w:highlight w:val="none"/>
        </w:rPr>
        <w:t>//www.zcygov.cn</w:t>
      </w:r>
      <w:r>
        <w:rPr>
          <w:rFonts w:hint="eastAsia" w:ascii="宋体" w:hAnsi="宋体" w:cs="宋体"/>
          <w:color w:val="auto"/>
          <w:szCs w:val="21"/>
          <w:highlight w:val="none"/>
        </w:rPr>
        <w:t>）实行在线电子竞标，供应商应先安装“政采云电子交易客户端”（请自行前往“政采云”平台进行下载），并按照本项目竞争性谈判文件和“政采云”平台的要求编制、加密后在首次响应文件提交截止时间前通过网络上传至“政采云”平台，</w:t>
      </w:r>
      <w:r>
        <w:rPr>
          <w:rFonts w:hint="eastAsia" w:ascii="宋体" w:hAnsi="宋体" w:cs="宋体"/>
          <w:b/>
          <w:color w:val="auto"/>
          <w:szCs w:val="21"/>
          <w:highlight w:val="none"/>
        </w:rPr>
        <w:t>供应商在“政采云”平台提交电子版响应文件时，请填写参加远程开标活动经办人联系方式。</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）供应商应及时熟悉掌握电子标系统操作指南（见政采云电子卖场首页右上角</w:t>
      </w:r>
      <w:r>
        <w:rPr>
          <w:rFonts w:ascii="宋体" w:hAnsi="宋体" w:cs="宋体"/>
          <w:color w:val="auto"/>
          <w:szCs w:val="21"/>
          <w:highlight w:val="none"/>
        </w:rPr>
        <w:t>—</w:t>
      </w:r>
      <w:r>
        <w:rPr>
          <w:rFonts w:hint="eastAsia" w:ascii="宋体" w:hAnsi="宋体" w:cs="宋体"/>
          <w:color w:val="auto"/>
          <w:szCs w:val="21"/>
          <w:highlight w:val="none"/>
        </w:rPr>
        <w:t>服务中心</w:t>
      </w:r>
      <w:r>
        <w:rPr>
          <w:rFonts w:ascii="宋体" w:hAnsi="宋体" w:cs="宋体"/>
          <w:color w:val="auto"/>
          <w:szCs w:val="21"/>
          <w:highlight w:val="none"/>
        </w:rPr>
        <w:t>—</w:t>
      </w:r>
      <w:r>
        <w:rPr>
          <w:rFonts w:hint="eastAsia" w:ascii="宋体" w:hAnsi="宋体" w:cs="宋体"/>
          <w:color w:val="auto"/>
          <w:szCs w:val="21"/>
          <w:highlight w:val="none"/>
        </w:rPr>
        <w:t>帮助文档</w:t>
      </w:r>
      <w:r>
        <w:rPr>
          <w:rFonts w:ascii="宋体" w:hAnsi="宋体" w:cs="宋体"/>
          <w:color w:val="auto"/>
          <w:szCs w:val="21"/>
          <w:highlight w:val="none"/>
        </w:rPr>
        <w:t>—</w:t>
      </w:r>
      <w:r>
        <w:rPr>
          <w:rFonts w:hint="eastAsia" w:ascii="宋体" w:hAnsi="宋体" w:cs="宋体"/>
          <w:color w:val="auto"/>
          <w:szCs w:val="21"/>
          <w:highlight w:val="none"/>
        </w:rPr>
        <w:t>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ascii="宋体" w:hAnsi="宋体" w:cs="宋体"/>
          <w:color w:val="auto"/>
          <w:szCs w:val="21"/>
          <w:highlight w:val="none"/>
        </w:rPr>
        <w:t>https://service.zcygov.cn/#/knowledges/tree?tag=AG1DtGwBFdiHxlNdhY0r</w:t>
      </w:r>
      <w:r>
        <w:rPr>
          <w:rFonts w:ascii="宋体" w:hAnsi="宋体" w:cs="宋体"/>
          <w:color w:val="auto"/>
          <w:szCs w:val="21"/>
          <w:highlight w:val="none"/>
        </w:rPr>
        <w:fldChar w:fldCharType="end"/>
      </w:r>
      <w:r>
        <w:rPr>
          <w:rFonts w:hint="eastAsia" w:ascii="宋体" w:hAnsi="宋体" w:cs="宋体"/>
          <w:color w:val="auto"/>
          <w:szCs w:val="21"/>
          <w:highlight w:val="none"/>
        </w:rPr>
        <w:t>；及时完成</w:t>
      </w:r>
      <w:r>
        <w:rPr>
          <w:rFonts w:ascii="宋体" w:hAnsi="宋体" w:cs="宋体"/>
          <w:color w:val="auto"/>
          <w:szCs w:val="21"/>
          <w:highlight w:val="none"/>
        </w:rPr>
        <w:t>CA</w:t>
      </w:r>
      <w:r>
        <w:rPr>
          <w:rFonts w:hint="eastAsia" w:ascii="宋体" w:hAnsi="宋体" w:cs="宋体"/>
          <w:color w:val="auto"/>
          <w:szCs w:val="21"/>
          <w:highlight w:val="none"/>
        </w:rPr>
        <w:t>申领和绑定（见广西壮族自治区政府采购网</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cs="宋体"/>
          <w:color w:val="auto"/>
          <w:szCs w:val="21"/>
          <w:highlight w:val="none"/>
        </w:rPr>
        <w:t>-</w:t>
      </w:r>
      <w:r>
        <w:rPr>
          <w:rFonts w:hint="eastAsia" w:ascii="宋体" w:hAnsi="宋体" w:cs="宋体"/>
          <w:color w:val="auto"/>
          <w:szCs w:val="21"/>
          <w:highlight w:val="none"/>
        </w:rPr>
        <w:t>政采云</w:t>
      </w:r>
      <w:r>
        <w:rPr>
          <w:rFonts w:ascii="宋体" w:hAnsi="宋体" w:cs="宋体"/>
          <w:color w:val="auto"/>
          <w:szCs w:val="21"/>
          <w:highlight w:val="none"/>
        </w:rPr>
        <w:t>CA</w:t>
      </w:r>
      <w:r>
        <w:rPr>
          <w:rFonts w:hint="eastAsia" w:ascii="宋体" w:hAnsi="宋体" w:cs="宋体"/>
          <w:color w:val="auto"/>
          <w:szCs w:val="21"/>
          <w:highlight w:val="none"/>
        </w:rPr>
        <w:t>证书办理操作指南）。</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认证）的供应商将无法参与本项目政府采购活动，潜在供应商应当在首次响应文件提交截止时间前，完成电子交易平台上的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数字证书办理及响应文件的提交。完成</w:t>
      </w:r>
      <w:r>
        <w:rPr>
          <w:rFonts w:ascii="宋体" w:hAnsi="宋体" w:cs="宋体"/>
          <w:color w:val="auto"/>
          <w:szCs w:val="21"/>
          <w:highlight w:val="none"/>
        </w:rPr>
        <w:t>CA</w:t>
      </w:r>
      <w:r>
        <w:rPr>
          <w:rFonts w:hint="eastAsia" w:ascii="宋体" w:hAnsi="宋体" w:cs="宋体"/>
          <w:color w:val="auto"/>
          <w:szCs w:val="21"/>
          <w:highlight w:val="none"/>
        </w:rPr>
        <w:t>数字证书办理预计</w:t>
      </w:r>
      <w:r>
        <w:rPr>
          <w:rFonts w:ascii="宋体" w:hAnsi="宋体" w:cs="宋体"/>
          <w:color w:val="auto"/>
          <w:szCs w:val="21"/>
          <w:highlight w:val="none"/>
        </w:rPr>
        <w:t>7</w:t>
      </w:r>
      <w:r>
        <w:rPr>
          <w:rFonts w:hint="eastAsia" w:ascii="宋体" w:hAnsi="宋体" w:cs="宋体"/>
          <w:color w:val="auto"/>
          <w:szCs w:val="21"/>
          <w:highlight w:val="none"/>
        </w:rPr>
        <w:t>日左右，供应商只需办理其中一家</w:t>
      </w:r>
      <w:r>
        <w:rPr>
          <w:rFonts w:ascii="宋体" w:hAnsi="宋体" w:cs="宋体"/>
          <w:color w:val="auto"/>
          <w:szCs w:val="21"/>
          <w:highlight w:val="none"/>
        </w:rPr>
        <w:t>CA</w:t>
      </w:r>
      <w:r>
        <w:rPr>
          <w:rFonts w:hint="eastAsia" w:ascii="宋体" w:hAnsi="宋体" w:cs="宋体"/>
          <w:color w:val="auto"/>
          <w:szCs w:val="21"/>
          <w:highlight w:val="none"/>
        </w:rPr>
        <w:t>数字证书及签章，建议各供应商抓紧时间办理。</w:t>
      </w:r>
    </w:p>
    <w:p>
      <w:pPr>
        <w:widowControl/>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）为确保网上操作合法、有效和安全，请供应商确保在电子竞标过程中能够对相关数据电文进行加密和使用电子签章，妥善保管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p>
    <w:p>
      <w:pPr>
        <w:spacing w:line="400" w:lineRule="exact"/>
        <w:ind w:firstLine="422" w:firstLineChars="200"/>
        <w:rPr>
          <w:rFonts w:ascii="宋体" w:cs="宋体"/>
          <w:b/>
          <w:bCs/>
          <w:color w:val="auto"/>
          <w:szCs w:val="21"/>
          <w:highlight w:val="none"/>
        </w:rPr>
      </w:pPr>
      <w:r>
        <w:rPr>
          <w:rFonts w:hint="eastAsia" w:ascii="宋体" w:hAnsi="宋体" w:cs="宋体"/>
          <w:b/>
          <w:bCs/>
          <w:color w:val="auto"/>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证书在线解密：首次响应文件开启时，须要供应商携带制作响应文件时用来加密的有效数字证书（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认证）登录“政采云”平台电子开标大厅现场按规定时间对加密的响应文件进行解密，否则后果自负。</w:t>
      </w:r>
    </w:p>
    <w:p>
      <w:pPr>
        <w:widowControl/>
        <w:spacing w:line="400" w:lineRule="exact"/>
        <w:ind w:firstLine="420" w:firstLineChars="200"/>
        <w:rPr>
          <w:rFonts w:ascii="宋体" w:cs="宋体"/>
          <w:bCs/>
          <w:color w:val="auto"/>
          <w:szCs w:val="21"/>
          <w:highlight w:val="none"/>
          <w:u w:val="single"/>
        </w:rPr>
      </w:pPr>
      <w:r>
        <w:rPr>
          <w:rFonts w:ascii="宋体" w:hAnsi="宋体" w:cs="宋体"/>
          <w:color w:val="auto"/>
          <w:szCs w:val="21"/>
          <w:highlight w:val="none"/>
        </w:rPr>
        <w:t>8</w:t>
      </w:r>
      <w:r>
        <w:rPr>
          <w:rFonts w:hint="eastAsia" w:ascii="宋体" w:hAnsi="宋体" w:cs="宋体"/>
          <w:color w:val="auto"/>
          <w:szCs w:val="21"/>
          <w:highlight w:val="none"/>
        </w:rPr>
        <w:t>、供应商需要在具备有摄像头及语音功能且互联网网络状况良好的电脑登录“政采云”平台远程开标大厅参与本次谈判，否则后果自负。</w:t>
      </w:r>
    </w:p>
    <w:p>
      <w:pPr>
        <w:widowControl/>
        <w:spacing w:line="400" w:lineRule="exact"/>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、若对项目采购电子交易系统操作有疑问，可登录“政采云”平台（</w:t>
      </w:r>
      <w:r>
        <w:rPr>
          <w:rFonts w:ascii="宋体" w:hAnsi="宋体" w:cs="宋体"/>
          <w:color w:val="auto"/>
          <w:szCs w:val="21"/>
          <w:highlight w:val="none"/>
        </w:rPr>
        <w:t>https://www.zcygov.cn/</w:t>
      </w:r>
      <w:r>
        <w:rPr>
          <w:rFonts w:hint="eastAsia" w:ascii="宋体" w:hAnsi="宋体" w:cs="宋体"/>
          <w:color w:val="auto"/>
          <w:szCs w:val="21"/>
          <w:highlight w:val="none"/>
        </w:rPr>
        <w:t>），点击右侧咨询小采，获取采小蜜智能服务管家帮助，或拨打政采云服务热线</w:t>
      </w:r>
      <w:r>
        <w:rPr>
          <w:rFonts w:ascii="宋体" w:hAnsi="宋体" w:cs="宋体"/>
          <w:color w:val="auto"/>
          <w:szCs w:val="21"/>
          <w:highlight w:val="none"/>
        </w:rPr>
        <w:t>400-881-7190</w:t>
      </w:r>
      <w:r>
        <w:rPr>
          <w:rFonts w:hint="eastAsia" w:ascii="宋体" w:hAnsi="宋体" w:cs="宋体"/>
          <w:color w:val="auto"/>
          <w:szCs w:val="21"/>
          <w:highlight w:val="none"/>
        </w:rPr>
        <w:t>获取热线服务帮助。</w:t>
      </w:r>
    </w:p>
    <w:p>
      <w:pPr>
        <w:widowControl/>
        <w:spacing w:line="400" w:lineRule="exact"/>
        <w:ind w:firstLine="420" w:firstLineChars="200"/>
        <w:rPr>
          <w:rFonts w:hint="eastAsia" w:ascii="宋体" w:eastAsia="宋体" w:cs="宋体"/>
          <w:color w:val="auto"/>
          <w:szCs w:val="21"/>
          <w:highlight w:val="none"/>
          <w:lang w:eastAsia="zh-CN"/>
        </w:rPr>
      </w:pPr>
      <w:r>
        <w:rPr>
          <w:rFonts w:ascii="宋体" w:hAnsi="宋体" w:cs="宋体"/>
          <w:color w:val="auto"/>
          <w:szCs w:val="21"/>
          <w:highlight w:val="none"/>
        </w:rPr>
        <w:t>10</w:t>
      </w:r>
      <w:r>
        <w:rPr>
          <w:rFonts w:hint="eastAsia" w:ascii="宋体" w:hAnsi="宋体" w:cs="宋体"/>
          <w:color w:val="auto"/>
          <w:szCs w:val="21"/>
          <w:highlight w:val="none"/>
        </w:rPr>
        <w:t>、监管部门：</w:t>
      </w:r>
      <w:r>
        <w:rPr>
          <w:rFonts w:hint="eastAsia" w:ascii="宋体" w:hAnsi="宋体" w:cs="宋体"/>
          <w:color w:val="auto"/>
          <w:szCs w:val="21"/>
          <w:highlight w:val="none"/>
          <w:lang w:eastAsia="zh-CN"/>
        </w:rPr>
        <w:t>贺州市平桂区政府采购管理办公室</w:t>
      </w:r>
      <w:r>
        <w:rPr>
          <w:rFonts w:ascii="宋体" w:hAnsi="宋体" w:cs="宋体"/>
          <w:color w:val="auto"/>
          <w:szCs w:val="21"/>
          <w:highlight w:val="none"/>
        </w:rPr>
        <w:t xml:space="preserve">       </w:t>
      </w:r>
      <w:r>
        <w:rPr>
          <w:rFonts w:hint="eastAsia" w:ascii="宋体" w:hAnsi="宋体" w:cs="宋体"/>
          <w:color w:val="auto"/>
          <w:szCs w:val="21"/>
          <w:highlight w:val="none"/>
        </w:rPr>
        <w:t>联系电话：</w:t>
      </w:r>
      <w:r>
        <w:rPr>
          <w:rFonts w:ascii="宋体" w:hAnsi="宋体" w:cs="宋体"/>
          <w:color w:val="auto"/>
          <w:szCs w:val="21"/>
          <w:highlight w:val="none"/>
        </w:rPr>
        <w:t>0774-</w:t>
      </w:r>
      <w:r>
        <w:rPr>
          <w:rFonts w:hint="eastAsia" w:ascii="宋体" w:hAnsi="宋体" w:cs="宋体"/>
          <w:color w:val="auto"/>
          <w:szCs w:val="21"/>
          <w:highlight w:val="none"/>
          <w:lang w:eastAsia="zh-CN"/>
        </w:rPr>
        <w:t>8832896</w:t>
      </w:r>
    </w:p>
    <w:p>
      <w:pPr>
        <w:spacing w:line="400" w:lineRule="exact"/>
        <w:ind w:firstLine="315" w:firstLineChars="150"/>
        <w:rPr>
          <w:rFonts w:ascii="宋体" w:cs="宋体"/>
          <w:color w:val="auto"/>
          <w:szCs w:val="21"/>
          <w:highlight w:val="none"/>
        </w:rPr>
      </w:pPr>
      <w:r>
        <w:rPr>
          <w:rFonts w:hint="eastAsia" w:ascii="宋体" w:hAnsi="宋体" w:cs="宋体"/>
          <w:color w:val="auto"/>
          <w:szCs w:val="21"/>
          <w:highlight w:val="none"/>
        </w:rPr>
        <w:t>八、凡对本次采购提出询问，请按以下方式联系。</w:t>
      </w:r>
      <w:bookmarkEnd w:id="2"/>
      <w:bookmarkEnd w:id="3"/>
      <w:bookmarkEnd w:id="4"/>
      <w:bookmarkEnd w:id="5"/>
      <w:bookmarkEnd w:id="6"/>
      <w:bookmarkEnd w:id="7"/>
    </w:p>
    <w:p>
      <w:pPr>
        <w:spacing w:line="400" w:lineRule="exact"/>
        <w:ind w:firstLine="567" w:firstLineChars="270"/>
        <w:jc w:val="left"/>
        <w:rPr>
          <w:rFonts w:ascii="宋体" w:cs="宋体"/>
          <w:color w:val="auto"/>
          <w:szCs w:val="21"/>
          <w:highlight w:val="none"/>
        </w:rPr>
      </w:pPr>
      <w:bookmarkStart w:id="8" w:name="_Toc35393637"/>
      <w:bookmarkStart w:id="9" w:name="_Toc28359019"/>
      <w:bookmarkStart w:id="10" w:name="_Toc28359096"/>
      <w:bookmarkStart w:id="11" w:name="_Toc35393806"/>
      <w:r>
        <w:rPr>
          <w:rFonts w:ascii="宋体" w:hAnsi="宋体" w:cs="宋体"/>
          <w:color w:val="auto"/>
          <w:szCs w:val="21"/>
          <w:highlight w:val="none"/>
        </w:rPr>
        <w:t>1.</w:t>
      </w:r>
      <w:r>
        <w:rPr>
          <w:rFonts w:hint="eastAsia" w:ascii="宋体" w:hAnsi="宋体" w:cs="宋体"/>
          <w:color w:val="auto"/>
          <w:szCs w:val="21"/>
          <w:highlight w:val="none"/>
        </w:rPr>
        <w:t>采购人信息</w:t>
      </w:r>
    </w:p>
    <w:p>
      <w:pPr>
        <w:spacing w:line="400" w:lineRule="exact"/>
        <w:ind w:firstLine="567" w:firstLineChars="27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称：贺州市平桂区卫生健康局</w:t>
      </w:r>
    </w:p>
    <w:p>
      <w:pPr>
        <w:spacing w:line="40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地址：贺州市平桂区平桂大道安顺大厦C座6楼</w:t>
      </w:r>
    </w:p>
    <w:p>
      <w:pPr>
        <w:spacing w:line="400" w:lineRule="exact"/>
        <w:ind w:firstLine="567" w:firstLineChars="270"/>
        <w:jc w:val="left"/>
        <w:rPr>
          <w:rFonts w:hint="default" w:ascii="宋体" w:eastAsia="宋体" w:cs="宋体"/>
          <w:color w:val="auto"/>
          <w:szCs w:val="21"/>
          <w:highlight w:val="none"/>
          <w:u w:val="single"/>
          <w:lang w:val="en-US" w:eastAsia="zh-CN"/>
        </w:rPr>
      </w:pPr>
      <w:r>
        <w:rPr>
          <w:rFonts w:hint="eastAsia" w:ascii="宋体" w:hAnsi="宋体" w:cs="宋体"/>
          <w:color w:val="auto"/>
          <w:szCs w:val="21"/>
          <w:highlight w:val="none"/>
        </w:rPr>
        <w:t>联系方式：</w:t>
      </w:r>
      <w:bookmarkStart w:id="12" w:name="_Toc28359009"/>
      <w:bookmarkStart w:id="13" w:name="_Toc28359086"/>
      <w:r>
        <w:rPr>
          <w:rFonts w:hint="eastAsia" w:ascii="宋体" w:hAnsi="宋体" w:cs="宋体"/>
          <w:color w:val="auto"/>
          <w:szCs w:val="21"/>
          <w:highlight w:val="none"/>
        </w:rPr>
        <w:t>薛工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0774-8836761</w:t>
      </w:r>
    </w:p>
    <w:p>
      <w:pPr>
        <w:spacing w:line="400" w:lineRule="exact"/>
        <w:ind w:firstLine="567" w:firstLineChars="27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12"/>
      <w:bookmarkEnd w:id="13"/>
    </w:p>
    <w:p>
      <w:pPr>
        <w:spacing w:line="400" w:lineRule="exact"/>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称：广西建采项目管理有限公司</w:t>
      </w:r>
    </w:p>
    <w:p>
      <w:pPr>
        <w:spacing w:line="400" w:lineRule="exact"/>
        <w:ind w:firstLine="567" w:firstLineChars="270"/>
        <w:rPr>
          <w:rFonts w:ascii="宋体" w:cs="宋体"/>
          <w:color w:val="auto"/>
          <w:szCs w:val="21"/>
          <w:highlight w:val="none"/>
        </w:rPr>
      </w:pPr>
      <w:r>
        <w:rPr>
          <w:rFonts w:hint="eastAsia" w:ascii="宋体" w:hAnsi="宋体" w:cs="宋体"/>
          <w:color w:val="auto"/>
          <w:szCs w:val="21"/>
          <w:highlight w:val="none"/>
        </w:rPr>
        <w:t>地　址：贺州市平安东路绿洲家园</w:t>
      </w:r>
      <w:r>
        <w:rPr>
          <w:rFonts w:ascii="宋体" w:hAnsi="宋体" w:cs="宋体"/>
          <w:color w:val="auto"/>
          <w:szCs w:val="21"/>
          <w:highlight w:val="none"/>
        </w:rPr>
        <w:t>B</w:t>
      </w:r>
      <w:r>
        <w:rPr>
          <w:rFonts w:hint="eastAsia" w:ascii="宋体" w:hAnsi="宋体" w:cs="宋体"/>
          <w:color w:val="auto"/>
          <w:szCs w:val="21"/>
          <w:highlight w:val="none"/>
        </w:rPr>
        <w:t>区</w:t>
      </w:r>
      <w:r>
        <w:rPr>
          <w:rFonts w:ascii="宋体" w:hAnsi="宋体" w:cs="宋体"/>
          <w:color w:val="auto"/>
          <w:szCs w:val="21"/>
          <w:highlight w:val="none"/>
        </w:rPr>
        <w:t>B-2</w:t>
      </w:r>
      <w:r>
        <w:rPr>
          <w:rFonts w:hint="eastAsia" w:ascii="宋体" w:hAnsi="宋体" w:cs="宋体"/>
          <w:color w:val="auto"/>
          <w:szCs w:val="21"/>
          <w:highlight w:val="none"/>
        </w:rPr>
        <w:t>栋</w:t>
      </w:r>
      <w:r>
        <w:rPr>
          <w:rFonts w:ascii="宋体" w:hAnsi="宋体" w:cs="宋体"/>
          <w:color w:val="auto"/>
          <w:szCs w:val="21"/>
          <w:highlight w:val="none"/>
        </w:rPr>
        <w:t>5</w:t>
      </w:r>
      <w:r>
        <w:rPr>
          <w:rFonts w:hint="eastAsia" w:ascii="宋体" w:hAnsi="宋体" w:cs="宋体"/>
          <w:color w:val="auto"/>
          <w:szCs w:val="21"/>
          <w:highlight w:val="none"/>
        </w:rPr>
        <w:t>号商铺</w:t>
      </w:r>
      <w:r>
        <w:rPr>
          <w:rFonts w:ascii="宋体" w:hAnsi="宋体" w:cs="宋体"/>
          <w:color w:val="auto"/>
          <w:szCs w:val="21"/>
          <w:highlight w:val="none"/>
        </w:rPr>
        <w:t>2F</w:t>
      </w:r>
    </w:p>
    <w:p>
      <w:pPr>
        <w:spacing w:line="400" w:lineRule="exact"/>
        <w:ind w:firstLine="567" w:firstLineChars="270"/>
        <w:rPr>
          <w:rFonts w:ascii="宋体" w:cs="宋体"/>
          <w:color w:val="auto"/>
          <w:szCs w:val="21"/>
          <w:highlight w:val="none"/>
        </w:rPr>
      </w:pPr>
      <w:r>
        <w:rPr>
          <w:rFonts w:hint="eastAsia" w:ascii="宋体" w:hAnsi="宋体" w:cs="宋体"/>
          <w:color w:val="auto"/>
          <w:szCs w:val="21"/>
          <w:highlight w:val="none"/>
        </w:rPr>
        <w:t>联系方式：</w:t>
      </w:r>
      <w:bookmarkStart w:id="14" w:name="_Toc28359010"/>
      <w:bookmarkStart w:id="15" w:name="_Toc28359087"/>
      <w:r>
        <w:rPr>
          <w:rFonts w:ascii="宋体" w:hAnsi="宋体" w:cs="宋体"/>
          <w:color w:val="auto"/>
          <w:szCs w:val="21"/>
          <w:highlight w:val="none"/>
        </w:rPr>
        <w:t>0774-5081968</w:t>
      </w:r>
    </w:p>
    <w:p>
      <w:pPr>
        <w:spacing w:line="400" w:lineRule="exact"/>
        <w:ind w:firstLine="567" w:firstLineChars="270"/>
        <w:rPr>
          <w:rFonts w:ascii="宋体" w:cs="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项目联系方式</w:t>
      </w:r>
      <w:bookmarkEnd w:id="14"/>
      <w:bookmarkEnd w:id="15"/>
    </w:p>
    <w:p>
      <w:pPr>
        <w:pStyle w:val="14"/>
        <w:spacing w:line="400" w:lineRule="exact"/>
        <w:ind w:firstLine="567" w:firstLineChars="270"/>
        <w:rPr>
          <w:rFonts w:hAnsi="宋体" w:cs="宋体"/>
          <w:color w:val="auto"/>
          <w:sz w:val="21"/>
          <w:highlight w:val="none"/>
        </w:rPr>
      </w:pPr>
      <w:r>
        <w:rPr>
          <w:rFonts w:hint="eastAsia" w:hAnsi="宋体" w:cs="宋体"/>
          <w:color w:val="auto"/>
          <w:sz w:val="21"/>
          <w:highlight w:val="none"/>
        </w:rPr>
        <w:t>项目联系人：刘宇倩</w:t>
      </w:r>
    </w:p>
    <w:p>
      <w:pPr>
        <w:spacing w:line="400" w:lineRule="exact"/>
        <w:ind w:firstLine="567" w:firstLineChars="270"/>
        <w:rPr>
          <w:rFonts w:ascii="宋体" w:cs="宋体"/>
          <w:color w:val="auto"/>
          <w:szCs w:val="21"/>
          <w:highlight w:val="none"/>
        </w:rPr>
      </w:pPr>
      <w:r>
        <w:rPr>
          <w:rFonts w:hint="eastAsia" w:ascii="宋体" w:hAnsi="宋体" w:cs="宋体"/>
          <w:color w:val="auto"/>
          <w:szCs w:val="21"/>
          <w:highlight w:val="none"/>
        </w:rPr>
        <w:t>电　话：</w:t>
      </w:r>
      <w:r>
        <w:rPr>
          <w:rFonts w:ascii="宋体" w:hAnsi="宋体" w:cs="宋体"/>
          <w:color w:val="auto"/>
          <w:szCs w:val="21"/>
          <w:highlight w:val="none"/>
        </w:rPr>
        <w:t>0774-5081968</w:t>
      </w:r>
    </w:p>
    <w:bookmarkEnd w:id="1"/>
    <w:bookmarkEnd w:id="8"/>
    <w:bookmarkEnd w:id="9"/>
    <w:bookmarkEnd w:id="10"/>
    <w:bookmarkEnd w:id="11"/>
    <w:p>
      <w:pPr>
        <w:spacing w:line="400" w:lineRule="exact"/>
        <w:ind w:firstLine="7035" w:firstLineChars="3350"/>
        <w:rPr>
          <w:rFonts w:ascii="宋体" w:cs="宋体"/>
          <w:color w:val="auto"/>
          <w:szCs w:val="21"/>
          <w:highlight w:val="none"/>
        </w:rPr>
      </w:pPr>
      <w:r>
        <w:rPr>
          <w:rFonts w:hint="eastAsia" w:ascii="宋体" w:hAnsi="宋体" w:cs="宋体"/>
          <w:color w:val="auto"/>
          <w:szCs w:val="21"/>
          <w:highlight w:val="none"/>
        </w:rPr>
        <w:t>广西建采项目管理有限公司</w:t>
      </w:r>
    </w:p>
    <w:p>
      <w:pPr>
        <w:spacing w:line="400" w:lineRule="exact"/>
        <w:jc w:val="right"/>
        <w:rPr>
          <w:rFonts w:ascii="宋体" w:cs="宋体"/>
          <w:color w:val="auto"/>
          <w:szCs w:val="21"/>
          <w:highlight w:val="none"/>
        </w:rPr>
      </w:pPr>
      <w:r>
        <w:rPr>
          <w:rFonts w:ascii="宋体" w:hAnsi="宋体" w:cs="宋体"/>
          <w:color w:val="auto"/>
          <w:szCs w:val="21"/>
          <w:highlight w:val="none"/>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w:t>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rPr>
      </w:pPr>
      <w:bookmarkStart w:id="16" w:name="_Toc9759"/>
    </w:p>
    <w:p>
      <w:pPr>
        <w:rPr>
          <w:rFonts w:hint="eastAsia"/>
          <w:color w:val="auto"/>
          <w:highlight w:val="none"/>
        </w:r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cs="宋体"/>
          <w:color w:val="auto"/>
          <w:highlight w:val="none"/>
        </w:rPr>
      </w:pPr>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rPr>
        <w:t>供应商须知</w:t>
      </w:r>
      <w:bookmarkEnd w:id="16"/>
    </w:p>
    <w:p>
      <w:pPr>
        <w:spacing w:line="40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供应商须知前附表</w:t>
      </w:r>
    </w:p>
    <w:p>
      <w:pPr>
        <w:spacing w:line="400" w:lineRule="exact"/>
        <w:jc w:val="center"/>
        <w:rPr>
          <w:rFonts w:ascii="宋体" w:cs="宋体"/>
          <w:b/>
          <w:color w:val="auto"/>
          <w:sz w:val="32"/>
          <w:szCs w:val="32"/>
          <w:highlight w:val="none"/>
        </w:rPr>
      </w:pPr>
    </w:p>
    <w:tbl>
      <w:tblPr>
        <w:tblStyle w:val="24"/>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95" w:type="dxa"/>
          </w:tcPr>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95"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95"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w:t>
            </w:r>
            <w:r>
              <w:rPr>
                <w:rFonts w:ascii="宋体" w:hAnsi="宋体" w:cs="宋体"/>
                <w:color w:val="auto"/>
                <w:szCs w:val="21"/>
                <w:highlight w:val="none"/>
              </w:rPr>
              <w:t xml:space="preserve">: </w:t>
            </w:r>
            <w:r>
              <w:rPr>
                <w:rFonts w:hint="eastAsia" w:ascii="宋体" w:hAnsi="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95" w:type="dxa"/>
            <w:vAlign w:val="center"/>
          </w:tcPr>
          <w:p>
            <w:pPr>
              <w:pStyle w:val="9"/>
              <w:spacing w:line="400" w:lineRule="exact"/>
              <w:rPr>
                <w:rFonts w:ascii="宋体" w:cs="宋体"/>
                <w:color w:val="auto"/>
                <w:szCs w:val="21"/>
                <w:highlight w:val="none"/>
                <w:u w:val="single"/>
              </w:rPr>
            </w:pPr>
            <w:r>
              <w:rPr>
                <w:rFonts w:hint="eastAsia" w:ascii="宋体" w:hAnsi="宋体" w:cs="宋体"/>
                <w:color w:val="auto"/>
                <w:szCs w:val="21"/>
                <w:highlight w:val="none"/>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95" w:type="dxa"/>
            <w:vAlign w:val="center"/>
          </w:tcPr>
          <w:p>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资格文件</w:t>
            </w:r>
          </w:p>
          <w:p>
            <w:pPr>
              <w:snapToGrid w:val="0"/>
              <w:spacing w:line="360" w:lineRule="auto"/>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月以来任意连续三个月的依法缴纳税收的凭据复印件</w:t>
            </w:r>
            <w:r>
              <w:rPr>
                <w:rFonts w:hint="eastAsia" w:ascii="宋体" w:hAnsi="宋体" w:cs="宋体"/>
                <w:color w:val="auto"/>
                <w:szCs w:val="21"/>
                <w:highlight w:val="none"/>
              </w:rPr>
              <w:t>；</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月以来任意连续三个月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cs="宋体"/>
                <w:b/>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、供应商</w:t>
            </w:r>
            <w:r>
              <w:rPr>
                <w:rFonts w:ascii="宋体" w:hAnsi="宋体" w:cs="宋体"/>
                <w:color w:val="auto"/>
                <w:szCs w:val="21"/>
                <w:highlight w:val="none"/>
              </w:rPr>
              <w:t>2021</w:t>
            </w:r>
            <w:r>
              <w:rPr>
                <w:rFonts w:hint="eastAsia" w:ascii="宋体" w:hAnsi="宋体" w:cs="宋体"/>
                <w:color w:val="auto"/>
                <w:szCs w:val="21"/>
                <w:highlight w:val="none"/>
              </w:rPr>
              <w:t>年度或</w:t>
            </w:r>
            <w:r>
              <w:rPr>
                <w:rFonts w:ascii="宋体" w:hAnsi="宋体" w:cs="宋体"/>
                <w:color w:val="auto"/>
                <w:szCs w:val="21"/>
                <w:highlight w:val="none"/>
              </w:rPr>
              <w:t>2022</w:t>
            </w:r>
            <w:r>
              <w:rPr>
                <w:rFonts w:hint="eastAsia" w:ascii="宋体" w:hAnsi="宋体" w:cs="宋体"/>
                <w:color w:val="auto"/>
                <w:szCs w:val="21"/>
                <w:highlight w:val="none"/>
              </w:rPr>
              <w:t>年度</w:t>
            </w:r>
            <w:r>
              <w:rPr>
                <w:rFonts w:hint="eastAsia" w:ascii="宋体" w:hAnsi="宋体" w:cs="宋体"/>
                <w:color w:val="auto"/>
                <w:szCs w:val="21"/>
                <w:highlight w:val="none"/>
                <w:lang w:val="en-US" w:eastAsia="zh-CN"/>
              </w:rPr>
              <w:t>经审计的</w:t>
            </w:r>
            <w:r>
              <w:rPr>
                <w:rFonts w:hint="eastAsia" w:ascii="宋体" w:hAnsi="宋体" w:cs="宋体"/>
                <w:color w:val="auto"/>
                <w:szCs w:val="21"/>
                <w:highlight w:val="none"/>
              </w:rPr>
              <w:t>财务状况报告复印件（至少包含资产负债表、利润表、现金流量表）或者提供其基本开户银行出具的资信证明；</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、竞标人须具有国家主管部门颁发的有效的医疗器械生产许可证，或按《医疗器械经营监督管理办法》（国家市场监督管理总局令第</w:t>
            </w:r>
            <w:r>
              <w:rPr>
                <w:rFonts w:ascii="宋体" w:hAnsi="宋体" w:cs="宋体"/>
                <w:color w:val="auto"/>
                <w:szCs w:val="21"/>
                <w:highlight w:val="none"/>
              </w:rPr>
              <w:t>54</w:t>
            </w:r>
            <w:r>
              <w:rPr>
                <w:rFonts w:hint="eastAsia" w:ascii="宋体" w:hAnsi="宋体" w:cs="宋体"/>
                <w:color w:val="auto"/>
                <w:szCs w:val="21"/>
                <w:highlight w:val="none"/>
              </w:rPr>
              <w:t>号）医疗器械分类管理要求具有有效的医疗器械经营备案凭证或许可证</w:t>
            </w:r>
            <w:r>
              <w:rPr>
                <w:rFonts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ascii="宋体" w:hAnsi="宋体" w:cs="宋体"/>
                <w:color w:val="auto"/>
                <w:szCs w:val="21"/>
                <w:highlight w:val="none"/>
              </w:rPr>
              <w:t>)</w:t>
            </w:r>
          </w:p>
          <w:p>
            <w:pPr>
              <w:spacing w:line="360" w:lineRule="auto"/>
              <w:rPr>
                <w:color w:val="auto"/>
              </w:rPr>
            </w:pPr>
            <w:r>
              <w:rPr>
                <w:rFonts w:hint="eastAsia" w:ascii="宋体" w:hAnsi="宋体" w:cs="宋体"/>
                <w:color w:val="auto"/>
                <w:szCs w:val="20"/>
                <w:highlight w:val="none"/>
                <w:lang w:val="en-US" w:eastAsia="zh-CN"/>
              </w:rPr>
              <w:t>10、</w:t>
            </w:r>
            <w:r>
              <w:rPr>
                <w:rFonts w:hint="eastAsia" w:ascii="宋体" w:hAnsi="宋体" w:cs="宋体"/>
                <w:color w:val="auto"/>
                <w:szCs w:val="20"/>
                <w:highlight w:val="none"/>
              </w:rPr>
              <w:t>中小企业声明函：提供《中小企业声明函》或监狱企业的证明文件或《残疾人福利性单位声明函》</w:t>
            </w:r>
            <w:r>
              <w:rPr>
                <w:rFonts w:hint="eastAsia" w:ascii="宋体" w:hAnsi="宋体" w:cs="宋体"/>
                <w:b/>
                <w:bCs/>
                <w:color w:val="auto"/>
                <w:szCs w:val="20"/>
                <w:highlight w:val="none"/>
              </w:rPr>
              <w:t>（必须提供，否则作无效投标处理）</w:t>
            </w:r>
            <w:r>
              <w:rPr>
                <w:rFonts w:hint="eastAsia" w:ascii="宋体" w:hAnsi="宋体" w:cs="宋体"/>
                <w:color w:val="auto"/>
                <w:szCs w:val="20"/>
                <w:highlight w:val="none"/>
              </w:rPr>
              <w:t>；</w:t>
            </w:r>
          </w:p>
          <w:p>
            <w:pPr>
              <w:snapToGrid w:val="0"/>
              <w:spacing w:line="360" w:lineRule="auto"/>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、除谈判文件规定必须提供以外，供应商认为需要提供的其他证明材料；</w:t>
            </w:r>
          </w:p>
          <w:p>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竞标声明必须由法定代表人在规定签章处逐一签字并加盖供应商公章，否则响应文件按无效响应处理。</w:t>
            </w:r>
          </w:p>
          <w:p>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供应商直接控股、管理关系信息表必须由法定代表人或者委托代理人在规定签章处逐一签字并加盖供应商公章，否则响应文件按无效响应处理。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95" w:type="dxa"/>
            <w:vAlign w:val="center"/>
          </w:tcPr>
          <w:p>
            <w:pPr>
              <w:spacing w:line="360" w:lineRule="auto"/>
              <w:rPr>
                <w:rFonts w:ascii="宋体" w:cs="宋体"/>
                <w:color w:val="auto"/>
                <w:szCs w:val="21"/>
                <w:highlight w:val="none"/>
              </w:rPr>
            </w:pPr>
            <w:r>
              <w:rPr>
                <w:rFonts w:hint="eastAsia" w:ascii="宋体" w:hAnsi="宋体" w:cs="宋体"/>
                <w:b/>
                <w:color w:val="auto"/>
                <w:szCs w:val="21"/>
                <w:highlight w:val="none"/>
              </w:rPr>
              <w:t>报价文件</w:t>
            </w:r>
          </w:p>
          <w:p>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b/>
                <w:color w:val="auto"/>
                <w:szCs w:val="21"/>
                <w:highlight w:val="none"/>
              </w:rPr>
              <w:t>商务技术文件</w:t>
            </w:r>
          </w:p>
          <w:p>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、售后服务承诺（格式自拟）；（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、技术偏离表（格式后附）；（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、第三章《采购需求》中要求提供的材料（</w:t>
            </w:r>
            <w:r>
              <w:rPr>
                <w:rFonts w:hint="eastAsia" w:ascii="宋体" w:hAnsi="宋体" w:cs="宋体"/>
                <w:b/>
                <w:bCs/>
                <w:color w:val="auto"/>
                <w:szCs w:val="21"/>
                <w:highlight w:val="none"/>
              </w:rPr>
              <w:t>如有要求，必</w:t>
            </w:r>
            <w:r>
              <w:rPr>
                <w:rFonts w:hint="eastAsia" w:ascii="宋体" w:hAnsi="宋体" w:cs="宋体"/>
                <w:b/>
                <w:color w:val="auto"/>
                <w:szCs w:val="21"/>
                <w:highlight w:val="none"/>
              </w:rPr>
              <w:t>须提供，否则响应文件按无效响应处理</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、对应采购需求的技术要求、商务要求提供的其他文件资料（格式自拟）；</w:t>
            </w:r>
          </w:p>
          <w:p>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、供应商认为需要提供的其他有关资料。</w:t>
            </w:r>
          </w:p>
          <w:p>
            <w:pPr>
              <w:snapToGrid w:val="0"/>
              <w:spacing w:line="360" w:lineRule="auto"/>
              <w:ind w:firstLine="422" w:firstLineChars="200"/>
              <w:jc w:val="left"/>
              <w:rPr>
                <w:rFonts w:ascii="宋体" w:cs="宋体"/>
                <w:b/>
                <w:color w:val="auto"/>
                <w:szCs w:val="21"/>
                <w:highlight w:val="none"/>
              </w:rPr>
            </w:pPr>
          </w:p>
          <w:p>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95" w:type="dxa"/>
            <w:vAlign w:val="center"/>
          </w:tcPr>
          <w:p>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rPr>
              <w:t>竞标报价包含竞标货物（包括备品备件、专用工具等）的价格（包括已在中国</w:t>
            </w:r>
            <w:r>
              <w:rPr>
                <w:rFonts w:hint="eastAsia" w:ascii="宋体" w:hAnsi="宋体" w:cs="宋体"/>
                <w:color w:val="auto"/>
                <w:highlight w:val="none"/>
              </w:rPr>
              <w:t>境内</w:t>
            </w:r>
            <w:r>
              <w:rPr>
                <w:rFonts w:hint="eastAsia" w:ascii="宋体" w:hAnsi="宋体" w:cs="宋体"/>
                <w:color w:val="auto"/>
                <w:szCs w:val="21"/>
                <w:highlight w:val="none"/>
              </w:rPr>
              <w:t>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95" w:type="dxa"/>
            <w:vAlign w:val="center"/>
          </w:tcPr>
          <w:p>
            <w:pPr>
              <w:pStyle w:val="8"/>
              <w:widowControl w:val="0"/>
              <w:tabs>
                <w:tab w:val="clear" w:pos="454"/>
              </w:tabs>
              <w:snapToGrid w:val="0"/>
              <w:spacing w:afterLines="0" w:line="360" w:lineRule="auto"/>
              <w:ind w:left="283" w:hanging="283" w:hangingChars="135"/>
              <w:rPr>
                <w:rFonts w:ascii="宋体" w:cs="宋体"/>
                <w:color w:val="auto"/>
                <w:kern w:val="2"/>
                <w:sz w:val="21"/>
                <w:szCs w:val="21"/>
                <w:highlight w:val="none"/>
              </w:rPr>
            </w:pPr>
            <w:r>
              <w:rPr>
                <w:rFonts w:hint="eastAsia" w:ascii="宋体" w:hAnsi="宋体" w:cs="宋体"/>
                <w:color w:val="auto"/>
                <w:kern w:val="2"/>
                <w:sz w:val="21"/>
                <w:szCs w:val="21"/>
                <w:highlight w:val="none"/>
              </w:rPr>
              <w:t>竞标有效期：首次响应文件提交截止之日起</w:t>
            </w:r>
            <w:r>
              <w:rPr>
                <w:rFonts w:ascii="宋体" w:hAnsi="宋体" w:cs="宋体"/>
                <w:color w:val="auto"/>
                <w:kern w:val="2"/>
                <w:sz w:val="21"/>
                <w:szCs w:val="21"/>
                <w:highlight w:val="none"/>
              </w:rPr>
              <w:t>60</w:t>
            </w:r>
            <w:r>
              <w:rPr>
                <w:rFonts w:hint="eastAsia" w:ascii="宋体" w:hAnsi="宋体" w:cs="宋体"/>
                <w:color w:val="auto"/>
                <w:kern w:val="2"/>
                <w:sz w:val="21"/>
                <w:szCs w:val="21"/>
                <w:highlight w:val="none"/>
              </w:rPr>
              <w:t>天内。</w:t>
            </w:r>
            <w:r>
              <w:rPr>
                <w:rFonts w:ascii="宋体" w:hAnsi="宋体" w:cs="宋体"/>
                <w:color w:val="auto"/>
                <w:kern w:val="2"/>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95" w:type="dxa"/>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本项目收取竞标保证金，具体规定如下：</w:t>
            </w:r>
          </w:p>
          <w:p>
            <w:pPr>
              <w:spacing w:line="360" w:lineRule="auto"/>
              <w:rPr>
                <w:rFonts w:ascii="宋体" w:cs="宋体"/>
                <w:color w:val="auto"/>
                <w:kern w:val="0"/>
                <w:szCs w:val="21"/>
                <w:highlight w:val="none"/>
              </w:rPr>
            </w:pPr>
            <w:r>
              <w:rPr>
                <w:rFonts w:hint="eastAsia" w:ascii="宋体" w:hAnsi="宋体" w:cs="宋体"/>
                <w:color w:val="auto"/>
                <w:kern w:val="0"/>
                <w:szCs w:val="21"/>
                <w:highlight w:val="none"/>
              </w:rPr>
              <w:t>谈判保证金人民币</w:t>
            </w:r>
            <w:r>
              <w:rPr>
                <w:rFonts w:hint="eastAsia" w:ascii="宋体" w:hAnsi="宋体" w:cs="宋体"/>
                <w:color w:val="auto"/>
                <w:kern w:val="0"/>
                <w:szCs w:val="21"/>
                <w:highlight w:val="none"/>
                <w:u w:val="single"/>
                <w:lang w:val="en-US" w:eastAsia="zh-CN"/>
              </w:rPr>
              <w:t>壹万元整</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lang w:eastAsia="zh-CN"/>
              </w:rPr>
              <w:t>000.00）</w:t>
            </w:r>
            <w:r>
              <w:rPr>
                <w:rFonts w:hint="eastAsia" w:ascii="宋体" w:hAnsi="宋体" w:cs="宋体"/>
                <w:color w:val="auto"/>
                <w:kern w:val="0"/>
                <w:szCs w:val="21"/>
                <w:highlight w:val="none"/>
              </w:rPr>
              <w:t>；</w:t>
            </w:r>
          </w:p>
          <w:p>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竞标保证金的交纳方式：银行转账、支票、汇票、本票或者金融、担保机构出具的保函，禁止采用现钞方式。采用银行转账方式的，在响应文件提交截止时间前交至</w:t>
            </w:r>
            <w:r>
              <w:rPr>
                <w:rFonts w:hint="eastAsia" w:ascii="宋体" w:hAnsi="宋体" w:cs="宋体"/>
                <w:color w:val="auto"/>
                <w:szCs w:val="21"/>
                <w:highlight w:val="none"/>
              </w:rPr>
              <w:t>以下账户</w:t>
            </w:r>
            <w:r>
              <w:rPr>
                <w:rFonts w:hint="eastAsia" w:ascii="宋体" w:hAnsi="宋体" w:cs="宋体"/>
                <w:color w:val="auto"/>
                <w:kern w:val="0"/>
                <w:szCs w:val="21"/>
                <w:highlight w:val="none"/>
              </w:rPr>
              <w:t>且到账；</w:t>
            </w:r>
            <w:r>
              <w:rPr>
                <w:rFonts w:hint="eastAsia" w:ascii="宋体" w:hAnsi="宋体" w:cs="宋体"/>
                <w:color w:val="auto"/>
                <w:szCs w:val="20"/>
                <w:highlight w:val="none"/>
              </w:rPr>
              <w:t>并注明项目名称或项目编号及所竞分标（如有）。</w:t>
            </w:r>
          </w:p>
          <w:p>
            <w:pPr>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开户名：贺州市公共资源交易中心</w:t>
            </w:r>
          </w:p>
          <w:p>
            <w:pPr>
              <w:spacing w:line="420" w:lineRule="exact"/>
              <w:ind w:firstLine="420" w:firstLineChars="200"/>
              <w:rPr>
                <w:rFonts w:hint="eastAsia" w:ascii="宋体" w:eastAsia="宋体" w:cs="宋体"/>
                <w:color w:val="auto"/>
                <w:kern w:val="0"/>
                <w:szCs w:val="21"/>
                <w:highlight w:val="none"/>
                <w:lang w:eastAsia="zh-CN"/>
              </w:rPr>
            </w:pPr>
            <w:r>
              <w:rPr>
                <w:rFonts w:hint="eastAsia" w:ascii="宋体" w:cs="宋体"/>
                <w:color w:val="auto"/>
                <w:kern w:val="0"/>
                <w:szCs w:val="21"/>
                <w:highlight w:val="none"/>
              </w:rPr>
              <w:t>账 号：</w:t>
            </w:r>
            <w:r>
              <w:rPr>
                <w:rFonts w:hint="eastAsia" w:ascii="宋体" w:cs="宋体"/>
                <w:color w:val="auto"/>
                <w:kern w:val="0"/>
                <w:szCs w:val="21"/>
                <w:highlight w:val="none"/>
                <w:lang w:eastAsia="zh-CN"/>
              </w:rPr>
              <w:t>94500901000883888802308</w:t>
            </w:r>
          </w:p>
          <w:p>
            <w:pPr>
              <w:spacing w:line="42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开户行：中国邮政储蓄银行</w:t>
            </w:r>
          </w:p>
          <w:p>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竞标保证金采用银行转账交纳方式的，在响应文件提交截止时间前交至指定账户并且到账，供应商应将银行转账底单的复印件作为竞标保证金提交凭证。</w:t>
            </w:r>
          </w:p>
          <w:p>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竞标保证金采用支票、汇票、本票或者金融、担保机构出具的保函交纳方式的，供应商应将支票、汇票、本票或者金融、担保机构出具的保函的复印件作为竞标保证金提交凭证。</w:t>
            </w:r>
          </w:p>
          <w:p>
            <w:pPr>
              <w:snapToGrid w:val="0"/>
              <w:spacing w:line="360" w:lineRule="auto"/>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供应商为联合体的，可以由联合体中的一方或者多方共同交纳谈判保证金，其交纳的保证金对联合体各方均具有约束力。</w:t>
            </w:r>
          </w:p>
          <w:p>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pPr>
              <w:snapToGrid w:val="0"/>
              <w:spacing w:line="360" w:lineRule="auto"/>
              <w:rPr>
                <w:rFonts w:ascii="宋体" w:cs="宋体"/>
                <w:b/>
                <w:color w:val="auto"/>
                <w:szCs w:val="21"/>
                <w:highlight w:val="none"/>
              </w:rPr>
            </w:pPr>
            <w:r>
              <w:rPr>
                <w:rFonts w:ascii="宋体" w:hAnsi="宋体" w:cs="宋体"/>
                <w:b/>
                <w:color w:val="auto"/>
                <w:szCs w:val="21"/>
                <w:highlight w:val="none"/>
              </w:rPr>
              <w:t xml:space="preserve">1. </w:t>
            </w:r>
            <w:r>
              <w:rPr>
                <w:rFonts w:hint="eastAsia" w:ascii="宋体" w:hAnsi="宋体" w:cs="宋体"/>
                <w:b/>
                <w:color w:val="auto"/>
                <w:szCs w:val="21"/>
                <w:highlight w:val="none"/>
              </w:rPr>
              <w:t>响应文件提交截止时间后提交的，或者未足额交纳的，或者保函额度不足的，视为无效竞标保证金。</w:t>
            </w:r>
          </w:p>
          <w:p>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供应商采用现钞方式或者从个人账户（自然人竞标除外）转出的竞标保证金，视为无效竞标保证金。</w:t>
            </w:r>
          </w:p>
          <w:p>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支票、汇票或者本票出现无效或者背书情形的，视为无效竞标保证金。</w:t>
            </w:r>
          </w:p>
          <w:p>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保函有效期低于竞标有效期的，视为无效竞标保证金。</w:t>
            </w:r>
          </w:p>
          <w:p>
            <w:pPr>
              <w:snapToGrid w:val="0"/>
              <w:spacing w:line="360" w:lineRule="auto"/>
              <w:rPr>
                <w:rFonts w:ascii="宋体" w:cs="宋体"/>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竞标保证金采用金融、担保机构出具的保函为有条件保函的，视为无效竞标保证金。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95"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响应文件应按资格文件、报价文件、商务技术文件分别编制，并按“政采云”平台的要求编制、加密、上传。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95" w:type="dxa"/>
            <w:vAlign w:val="center"/>
          </w:tcPr>
          <w:p>
            <w:pPr>
              <w:spacing w:line="360" w:lineRule="auto"/>
              <w:contextualSpacing/>
              <w:jc w:val="left"/>
              <w:rPr>
                <w:rFonts w:ascii="宋体" w:cs="宋体"/>
                <w:color w:val="auto"/>
                <w:szCs w:val="21"/>
                <w:highlight w:val="none"/>
                <w:u w:val="single"/>
              </w:rPr>
            </w:pPr>
            <w:r>
              <w:rPr>
                <w:rFonts w:hint="eastAsia" w:ascii="宋体" w:hAnsi="宋体" w:cs="宋体"/>
                <w:color w:val="auto"/>
                <w:szCs w:val="21"/>
                <w:highlight w:val="none"/>
              </w:rPr>
              <w:t>首次响应文件提交截止时间：详见竞争性谈判公告。</w:t>
            </w:r>
          </w:p>
          <w:p>
            <w:pPr>
              <w:spacing w:line="360" w:lineRule="auto"/>
              <w:contextualSpacing/>
              <w:jc w:val="left"/>
              <w:rPr>
                <w:rFonts w:ascii="宋体" w:cs="宋体"/>
                <w:color w:val="auto"/>
                <w:szCs w:val="21"/>
                <w:highlight w:val="none"/>
              </w:rPr>
            </w:pPr>
            <w:r>
              <w:rPr>
                <w:rFonts w:hint="eastAsia" w:ascii="宋体" w:hAnsi="宋体" w:cs="宋体"/>
                <w:color w:val="auto"/>
                <w:szCs w:val="21"/>
                <w:highlight w:val="none"/>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95" w:type="dxa"/>
            <w:vAlign w:val="center"/>
          </w:tcPr>
          <w:p>
            <w:pPr>
              <w:snapToGrid w:val="0"/>
              <w:spacing w:line="360" w:lineRule="auto"/>
              <w:jc w:val="left"/>
              <w:rPr>
                <w:rFonts w:ascii="宋体" w:cs="宋体"/>
                <w:color w:val="auto"/>
                <w:szCs w:val="21"/>
                <w:highlight w:val="none"/>
                <w:u w:val="single"/>
              </w:rPr>
            </w:pPr>
            <w:r>
              <w:rPr>
                <w:rFonts w:hint="eastAsia" w:ascii="宋体" w:hAnsi="宋体" w:cs="宋体"/>
                <w:color w:val="auto"/>
                <w:szCs w:val="21"/>
                <w:highlight w:val="none"/>
              </w:rPr>
              <w:t>谈判小组的人数：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95" w:type="dxa"/>
            <w:vAlign w:val="center"/>
          </w:tcPr>
          <w:p>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锁按平台提示和采购文件的规定登录到“政采云”平台电子开标大厅签到并在发起解密指令之时起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95" w:type="dxa"/>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cs="宋体"/>
                <w:color w:val="auto"/>
                <w:szCs w:val="21"/>
                <w:highlight w:val="none"/>
              </w:rPr>
            </w:pPr>
          </w:p>
        </w:tc>
        <w:tc>
          <w:tcPr>
            <w:tcW w:w="8695" w:type="dxa"/>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谈判的顺序：按“政采云”系统的编号顺序。</w:t>
            </w:r>
          </w:p>
          <w:p>
            <w:pPr>
              <w:snapToGrid w:val="0"/>
              <w:spacing w:line="360" w:lineRule="auto"/>
              <w:rPr>
                <w:rFonts w:ascii="宋体" w:cs="宋体"/>
                <w:b/>
                <w:color w:val="auto"/>
                <w:szCs w:val="21"/>
                <w:highlight w:val="none"/>
              </w:rPr>
            </w:pPr>
            <w:r>
              <w:rPr>
                <w:rFonts w:hint="eastAsia" w:ascii="宋体" w:hAnsi="宋体" w:cs="宋体"/>
                <w:b/>
                <w:color w:val="auto"/>
                <w:szCs w:val="21"/>
                <w:highlight w:val="none"/>
              </w:rPr>
              <w:t>符合谈判资格的供应商必须在接到谈判通知后规定时间内参加谈判，未在规定时间内参加谈判的视同放弃参加谈判权利，其响应文件按无效响应处理。</w:t>
            </w:r>
          </w:p>
          <w:p>
            <w:pPr>
              <w:snapToGrid w:val="0"/>
              <w:spacing w:line="360" w:lineRule="auto"/>
              <w:rPr>
                <w:rFonts w:ascii="宋体" w:cs="宋体"/>
                <w:color w:val="auto"/>
                <w:szCs w:val="21"/>
                <w:highlight w:val="none"/>
              </w:rPr>
            </w:pPr>
            <w:r>
              <w:rPr>
                <w:rFonts w:hint="eastAsia" w:ascii="宋体" w:hAnsi="宋体" w:cs="宋体"/>
                <w:b/>
                <w:color w:val="auto"/>
                <w:szCs w:val="21"/>
                <w:highlight w:val="none"/>
              </w:rPr>
              <w:t>参与谈判前，供应商法定代表人或者委托代理人必须向谈判小组出示本人有效证件原件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92" w:type="dxa"/>
            <w:vMerge w:val="continue"/>
            <w:vAlign w:val="center"/>
          </w:tcPr>
          <w:p>
            <w:pPr>
              <w:spacing w:line="360" w:lineRule="auto"/>
              <w:jc w:val="center"/>
              <w:rPr>
                <w:rFonts w:ascii="宋体" w:cs="宋体"/>
                <w:color w:val="auto"/>
                <w:szCs w:val="21"/>
                <w:highlight w:val="none"/>
              </w:rPr>
            </w:pPr>
          </w:p>
        </w:tc>
        <w:tc>
          <w:tcPr>
            <w:tcW w:w="8695" w:type="dxa"/>
            <w:vAlign w:val="center"/>
          </w:tcPr>
          <w:p>
            <w:pPr>
              <w:spacing w:line="360" w:lineRule="auto"/>
              <w:contextualSpacing/>
              <w:rPr>
                <w:rFonts w:ascii="宋体" w:cs="宋体"/>
                <w:color w:val="auto"/>
                <w:szCs w:val="21"/>
                <w:highlight w:val="none"/>
              </w:rPr>
            </w:pPr>
            <w:r>
              <w:rPr>
                <w:rFonts w:hint="eastAsia" w:ascii="宋体" w:hAnsi="宋体" w:cs="宋体"/>
                <w:color w:val="auto"/>
                <w:szCs w:val="21"/>
                <w:highlight w:val="none"/>
              </w:rPr>
              <w:t>评标价相同时，按照最后报价由低到高顺序依次推荐；最后报价相同时，按节能环保优先、技术指标高优先、质保期长优先、交货期短优先、故障响应时间短优先的顺序依次推荐。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95" w:type="dxa"/>
            <w:vAlign w:val="center"/>
          </w:tcPr>
          <w:p>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95" w:type="dxa"/>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接收质疑函方式：以纸质书面形式。</w:t>
            </w:r>
          </w:p>
          <w:p>
            <w:pPr>
              <w:pStyle w:val="14"/>
              <w:snapToGrid w:val="0"/>
              <w:spacing w:line="360" w:lineRule="auto"/>
              <w:rPr>
                <w:rFonts w:hAnsi="宋体" w:cs="宋体"/>
                <w:color w:val="auto"/>
                <w:sz w:val="21"/>
                <w:highlight w:val="none"/>
              </w:rPr>
            </w:pPr>
            <w:r>
              <w:rPr>
                <w:rFonts w:hint="eastAsia" w:hAnsi="宋体" w:cs="宋体"/>
                <w:color w:val="auto"/>
                <w:kern w:val="2"/>
                <w:sz w:val="21"/>
                <w:highlight w:val="none"/>
              </w:rPr>
              <w:t>质疑联系部门及联系方式：</w:t>
            </w:r>
            <w:r>
              <w:rPr>
                <w:rFonts w:hint="eastAsia" w:hAnsi="宋体" w:cs="宋体"/>
                <w:color w:val="auto"/>
                <w:sz w:val="21"/>
                <w:highlight w:val="none"/>
              </w:rPr>
              <w:t>广西建采项目管理有限公司，</w:t>
            </w:r>
          </w:p>
          <w:p>
            <w:pPr>
              <w:pStyle w:val="14"/>
              <w:snapToGrid w:val="0"/>
              <w:spacing w:line="360" w:lineRule="auto"/>
              <w:rPr>
                <w:rFonts w:hAnsi="宋体" w:cs="宋体"/>
                <w:color w:val="auto"/>
                <w:sz w:val="21"/>
                <w:highlight w:val="none"/>
              </w:rPr>
            </w:pPr>
            <w:r>
              <w:rPr>
                <w:rFonts w:hint="eastAsia" w:hAnsi="宋体" w:cs="宋体"/>
                <w:color w:val="auto"/>
                <w:sz w:val="21"/>
                <w:highlight w:val="none"/>
              </w:rPr>
              <w:t>质疑联系人：刘宇倩</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 xml:space="preserve">0774-5081968 </w:t>
            </w:r>
            <w:r>
              <w:rPr>
                <w:rFonts w:hint="eastAsia" w:hAnsi="宋体" w:cs="宋体"/>
                <w:color w:val="auto"/>
                <w:sz w:val="21"/>
                <w:highlight w:val="none"/>
              </w:rPr>
              <w:t>，</w:t>
            </w:r>
          </w:p>
          <w:p>
            <w:pPr>
              <w:pStyle w:val="14"/>
              <w:snapToGrid w:val="0"/>
              <w:spacing w:line="360" w:lineRule="auto"/>
              <w:rPr>
                <w:rFonts w:hAnsi="宋体" w:cs="宋体"/>
                <w:color w:val="auto"/>
                <w:sz w:val="21"/>
                <w:highlight w:val="none"/>
              </w:rPr>
            </w:pPr>
            <w:r>
              <w:rPr>
                <w:rFonts w:hint="eastAsia" w:hAnsi="宋体" w:cs="宋体"/>
                <w:color w:val="auto"/>
                <w:sz w:val="21"/>
                <w:highlight w:val="none"/>
              </w:rPr>
              <w:t>通讯地址：贺州市平安东路绿洲家园</w:t>
            </w:r>
            <w:r>
              <w:rPr>
                <w:rFonts w:hAnsi="宋体" w:cs="宋体"/>
                <w:color w:val="auto"/>
                <w:sz w:val="21"/>
                <w:highlight w:val="none"/>
              </w:rPr>
              <w:t>B</w:t>
            </w:r>
            <w:r>
              <w:rPr>
                <w:rFonts w:hint="eastAsia" w:hAnsi="宋体" w:cs="宋体"/>
                <w:color w:val="auto"/>
                <w:sz w:val="21"/>
                <w:highlight w:val="none"/>
              </w:rPr>
              <w:t>区</w:t>
            </w:r>
            <w:r>
              <w:rPr>
                <w:rFonts w:hAnsi="宋体" w:cs="宋体"/>
                <w:color w:val="auto"/>
                <w:sz w:val="21"/>
                <w:highlight w:val="none"/>
              </w:rPr>
              <w:t>B-2</w:t>
            </w:r>
            <w:r>
              <w:rPr>
                <w:rFonts w:hint="eastAsia" w:hAnsi="宋体" w:cs="宋体"/>
                <w:color w:val="auto"/>
                <w:sz w:val="21"/>
                <w:highlight w:val="none"/>
              </w:rPr>
              <w:t>栋</w:t>
            </w:r>
            <w:r>
              <w:rPr>
                <w:rFonts w:hAnsi="宋体" w:cs="宋体"/>
                <w:color w:val="auto"/>
                <w:sz w:val="21"/>
                <w:highlight w:val="none"/>
              </w:rPr>
              <w:t>5</w:t>
            </w:r>
            <w:r>
              <w:rPr>
                <w:rFonts w:hint="eastAsia" w:hAnsi="宋体" w:cs="宋体"/>
                <w:color w:val="auto"/>
                <w:sz w:val="21"/>
                <w:highlight w:val="none"/>
              </w:rPr>
              <w:t>号商铺</w:t>
            </w:r>
            <w:r>
              <w:rPr>
                <w:rFonts w:hAnsi="宋体" w:cs="宋体"/>
                <w:color w:val="auto"/>
                <w:sz w:val="21"/>
                <w:highlight w:val="none"/>
              </w:rPr>
              <w:t>2F</w:t>
            </w:r>
          </w:p>
          <w:p>
            <w:pPr>
              <w:pStyle w:val="14"/>
              <w:snapToGrid w:val="0"/>
              <w:spacing w:line="360" w:lineRule="auto"/>
              <w:rPr>
                <w:rFonts w:hAnsi="宋体" w:cs="宋体"/>
                <w:color w:val="auto"/>
                <w:kern w:val="2"/>
                <w:sz w:val="21"/>
                <w:highlight w:val="none"/>
              </w:rPr>
            </w:pPr>
            <w:r>
              <w:rPr>
                <w:rFonts w:hint="eastAsia" w:hAnsi="宋体" w:cs="宋体"/>
                <w:color w:val="auto"/>
                <w:sz w:val="21"/>
                <w:highlight w:val="none"/>
              </w:rPr>
              <w:t>现场提交质疑办理业务时间：</w:t>
            </w:r>
            <w:r>
              <w:rPr>
                <w:rFonts w:hAnsi="宋体" w:cs="宋体"/>
                <w:color w:val="auto"/>
                <w:sz w:val="21"/>
                <w:highlight w:val="none"/>
              </w:rPr>
              <w:t xml:space="preserve"> </w:t>
            </w:r>
            <w:r>
              <w:rPr>
                <w:rFonts w:hint="eastAsia" w:hAnsi="宋体" w:cs="宋体"/>
                <w:color w:val="auto"/>
                <w:sz w:val="21"/>
                <w:highlight w:val="none"/>
              </w:rPr>
              <w:t>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95" w:type="dxa"/>
            <w:vAlign w:val="center"/>
          </w:tcPr>
          <w:p>
            <w:pPr>
              <w:pStyle w:val="14"/>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、采购代理服务费支付方式：本项目的采购代理服务费按以下收费标准向成交供应商收取，领取成交通知书前，成交供应商应向采购代理机构一次付清采购代理服务费，否则采购代理机构有权不予以办理。</w:t>
            </w:r>
          </w:p>
          <w:p>
            <w:pPr>
              <w:pStyle w:val="14"/>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w:t>
            </w:r>
          </w:p>
          <w:p>
            <w:pPr>
              <w:pStyle w:val="14"/>
              <w:snapToGrid w:val="0"/>
              <w:spacing w:line="400" w:lineRule="exact"/>
              <w:rPr>
                <w:rFonts w:hAnsi="宋体" w:cs="宋体"/>
                <w:color w:val="auto"/>
                <w:sz w:val="21"/>
                <w:highlight w:val="none"/>
                <w:u w:val="single"/>
              </w:rPr>
            </w:pPr>
            <w:r>
              <w:rPr>
                <w:rFonts w:hint="eastAsia" w:hAnsi="宋体" w:cs="宋体"/>
                <w:color w:val="auto"/>
                <w:sz w:val="21"/>
                <w:highlight w:val="none"/>
              </w:rPr>
              <w:t>以成交金额为计费额，按本须知正文第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条规定的收费计算标准（货物类）采用差额定率累进法计算出收费基准价格，采购代理服务费收费以（收费基准价格）收取。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95" w:type="dxa"/>
            <w:vAlign w:val="center"/>
          </w:tcPr>
          <w:p>
            <w:pPr>
              <w:pStyle w:val="14"/>
              <w:snapToGrid w:val="0"/>
              <w:spacing w:line="360" w:lineRule="auto"/>
              <w:rPr>
                <w:rFonts w:hAnsi="宋体" w:cs="宋体"/>
                <w:color w:val="auto"/>
                <w:sz w:val="21"/>
                <w:highlight w:val="none"/>
              </w:rPr>
            </w:pPr>
            <w:r>
              <w:rPr>
                <w:rFonts w:hint="eastAsia" w:hAnsi="宋体" w:cs="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95" w:type="dxa"/>
            <w:vAlign w:val="center"/>
          </w:tcPr>
          <w:p>
            <w:pPr>
              <w:pStyle w:val="14"/>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谈判文件中描述供应商的“公章”是指根据我国对公章的管理规定，用供应商法定主体行为名称制作的印章（含电子印章），除本谈判文件有特殊规定外，供应商的财务章、部门章、分公司章、工会章、合同章、竞标专用章、业务专用章及银行的转账章、现金收讫章、现金付讫章等其他形式印章均不能代替公章。</w:t>
            </w:r>
          </w:p>
          <w:p>
            <w:pPr>
              <w:pStyle w:val="14"/>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pPr>
              <w:pStyle w:val="14"/>
              <w:snapToGrid w:val="0"/>
              <w:spacing w:line="360" w:lineRule="auto"/>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本谈判文件中描述供应商的“签字”是指供应商的法定代表人或者委托代理人在文件规定签署处签名（含电子签名）的行为，私章、印鉴等其他形式均不能代替签字。</w:t>
            </w:r>
          </w:p>
          <w:p>
            <w:pPr>
              <w:pStyle w:val="14"/>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自然人竞标的，谈判文件规定盖章的地方自然人可以加盖手指指印。</w:t>
            </w:r>
          </w:p>
          <w:p>
            <w:pPr>
              <w:pStyle w:val="14"/>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cs="宋体"/>
          <w:b/>
          <w:color w:val="auto"/>
          <w:sz w:val="32"/>
          <w:szCs w:val="32"/>
          <w:highlight w:val="none"/>
        </w:rPr>
      </w:pPr>
    </w:p>
    <w:p>
      <w:pPr>
        <w:spacing w:line="400" w:lineRule="exact"/>
        <w:jc w:val="center"/>
        <w:rPr>
          <w:rFonts w:ascii="宋体" w:cs="宋体"/>
          <w:b/>
          <w:color w:val="auto"/>
          <w:sz w:val="32"/>
          <w:szCs w:val="32"/>
          <w:highlight w:val="none"/>
        </w:rPr>
      </w:pPr>
      <w:r>
        <w:rPr>
          <w:rFonts w:hint="eastAsia" w:ascii="宋体" w:hAnsi="宋体" w:cs="宋体"/>
          <w:b/>
          <w:color w:val="auto"/>
          <w:sz w:val="32"/>
          <w:szCs w:val="32"/>
          <w:highlight w:val="none"/>
        </w:rPr>
        <w:t>一、总则</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1. </w:t>
      </w:r>
      <w:r>
        <w:rPr>
          <w:rFonts w:hint="eastAsia" w:ascii="宋体" w:hAnsi="宋体" w:cs="宋体"/>
          <w:b/>
          <w:bCs/>
          <w:color w:val="auto"/>
          <w:sz w:val="24"/>
          <w:highlight w:val="none"/>
        </w:rPr>
        <w:t>适用范围</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 </w:t>
      </w:r>
      <w:r>
        <w:rPr>
          <w:rFonts w:hint="eastAsia" w:ascii="宋体" w:hAnsi="宋体" w:cs="宋体"/>
          <w:b/>
          <w:bCs/>
          <w:color w:val="auto"/>
          <w:sz w:val="24"/>
          <w:highlight w:val="none"/>
        </w:rPr>
        <w:t>定义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“采购人”是指依法进行采购的国家机关、事业单位、团体组织。</w:t>
      </w:r>
    </w:p>
    <w:p>
      <w:pPr>
        <w:spacing w:line="360" w:lineRule="auto"/>
        <w:ind w:firstLine="420" w:firstLineChars="200"/>
        <w:rPr>
          <w:rFonts w:ascii="宋体" w:cs="宋体"/>
          <w:b/>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“采购代理机构”</w:t>
      </w:r>
      <w:r>
        <w:rPr>
          <w:rFonts w:hint="eastAsia" w:ascii="宋体" w:hAnsi="宋体" w:cs="宋体"/>
          <w:b/>
          <w:color w:val="auto"/>
          <w:szCs w:val="21"/>
          <w:highlight w:val="none"/>
        </w:rPr>
        <w:t>是指政府采购集中采购机构和集中采购机构以外的采购代理机构。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“竞标”是指按照本项目竞争性谈判公告或者邀请函规定的方式供应商获取谈判文件、提交响应文件并希望获得标的的行为。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“售后服务”</w:t>
      </w:r>
      <w:r>
        <w:rPr>
          <w:rFonts w:ascii="宋体" w:hAnsi="宋体" w:cs="宋体"/>
          <w:color w:val="auto"/>
          <w:szCs w:val="21"/>
          <w:highlight w:val="none"/>
        </w:rPr>
        <w:t xml:space="preserve"> </w:t>
      </w:r>
      <w:r>
        <w:rPr>
          <w:rFonts w:hint="eastAsia" w:ascii="宋体" w:hAnsi="宋体" w:cs="宋体"/>
          <w:color w:val="auto"/>
          <w:szCs w:val="21"/>
          <w:highlight w:val="none"/>
        </w:rPr>
        <w:t>是指包含但不限于供应商须承担的备品备件、包装、运输、装卸、保险、货到就位以及安装、调试、培训、保修和其他类似的义务。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是指：供应商根据本谈判文件要求，编制包含报价、技术和服务等所有内容的文件。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2.9 </w:t>
      </w:r>
      <w:r>
        <w:rPr>
          <w:rFonts w:hint="eastAsia" w:ascii="宋体" w:hAnsi="宋体" w:cs="宋体"/>
          <w:color w:val="auto"/>
          <w:szCs w:val="21"/>
          <w:highlight w:val="none"/>
        </w:rPr>
        <w:t>“实质性要求”是指采购需求中带“▲”的条款或者不能负偏离的条款或者已经指明不满足按响应文件按无效响应处理的条款。</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“正偏离”，是指响应文件对谈判文件“采购需求”中有关条款作出优于条款要求并有利于采购人的响应情形；</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“负偏离”，是指响应文件对谈判文件“采购需求”中有关条款作出的响应不满足条款要求，导致采购人要求不能得到满足的情形。</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“允许负偏离的条款”是指采购需求中的不属于“实质性要求”的条款。</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“首次报价”是指供应商提交的首次响应文件中的竞标报价。</w:t>
      </w:r>
    </w:p>
    <w:p>
      <w:pPr>
        <w:spacing w:line="360" w:lineRule="auto"/>
        <w:ind w:firstLine="482" w:firstLineChars="200"/>
        <w:contextualSpacing/>
        <w:rPr>
          <w:rFonts w:ascii="宋体" w:cs="宋体"/>
          <w:b/>
          <w:bCs/>
          <w:color w:val="auto"/>
          <w:sz w:val="24"/>
          <w:highlight w:val="none"/>
        </w:rPr>
      </w:pPr>
      <w:r>
        <w:rPr>
          <w:rFonts w:ascii="宋体" w:hAnsi="宋体" w:cs="宋体"/>
          <w:b/>
          <w:bCs/>
          <w:color w:val="auto"/>
          <w:sz w:val="24"/>
          <w:highlight w:val="none"/>
        </w:rPr>
        <w:t xml:space="preserve">3. </w:t>
      </w:r>
      <w:r>
        <w:rPr>
          <w:rFonts w:hint="eastAsia" w:ascii="宋体" w:hAnsi="宋体" w:cs="宋体"/>
          <w:b/>
          <w:bCs/>
          <w:color w:val="auto"/>
          <w:sz w:val="24"/>
          <w:highlight w:val="none"/>
        </w:rPr>
        <w:t>供应商的资格条件</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竞标费用</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bookmarkStart w:id="17" w:name="_Hlk65857072"/>
      <w:r>
        <w:rPr>
          <w:rFonts w:hint="eastAsia" w:ascii="宋体" w:hAnsi="宋体" w:cs="宋体"/>
          <w:color w:val="auto"/>
          <w:szCs w:val="21"/>
          <w:highlight w:val="none"/>
        </w:rPr>
        <w:t>根据《政府采购促进中小企业发展管理办法》（财库〔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号）第九条第二款和《广西壮族自治区财政厅关于进一步发挥政府采购政策功能促进企业发展的通知》（桂财采〔</w:t>
      </w:r>
      <w:r>
        <w:rPr>
          <w:rFonts w:ascii="宋体" w:hAnsi="宋体" w:cs="宋体"/>
          <w:color w:val="auto"/>
          <w:szCs w:val="21"/>
          <w:highlight w:val="none"/>
        </w:rPr>
        <w:t>2022</w:t>
      </w:r>
      <w:r>
        <w:rPr>
          <w:rFonts w:hint="eastAsia" w:ascii="宋体" w:hAnsi="宋体" w:cs="宋体"/>
          <w:color w:val="auto"/>
          <w:szCs w:val="21"/>
          <w:highlight w:val="none"/>
        </w:rPr>
        <w:t>〕</w:t>
      </w:r>
      <w:r>
        <w:rPr>
          <w:rFonts w:ascii="宋体" w:hAnsi="宋体" w:cs="宋体"/>
          <w:color w:val="auto"/>
          <w:szCs w:val="21"/>
          <w:highlight w:val="none"/>
        </w:rPr>
        <w:t>30</w:t>
      </w:r>
      <w:r>
        <w:rPr>
          <w:rFonts w:hint="eastAsia" w:ascii="宋体" w:hAnsi="宋体" w:cs="宋体"/>
          <w:color w:val="auto"/>
          <w:szCs w:val="21"/>
          <w:highlight w:val="none"/>
        </w:rPr>
        <w:t>号）第四条第一款的规定，接受大中型企业与小微企业组成联合体或者允许大中型企业向一家或者多家小微企业分包的采购项目，对于联合协议或者分包意向协议约定小微企业的合同份额占到合同总金额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color w:val="auto"/>
          <w:szCs w:val="21"/>
          <w:highlight w:val="none"/>
        </w:rPr>
        <w:t>30%</w:t>
      </w:r>
      <w:r>
        <w:rPr>
          <w:rFonts w:hint="eastAsia" w:ascii="宋体" w:hAnsi="宋体" w:cs="宋体"/>
          <w:color w:val="auto"/>
          <w:szCs w:val="21"/>
          <w:highlight w:val="none"/>
        </w:rPr>
        <w:t>以上的，采购人、采购代理机构应当对联合体或者大中型企业的报价给予</w:t>
      </w:r>
      <w:r>
        <w:rPr>
          <w:rFonts w:ascii="宋体" w:hAnsi="宋体" w:cs="宋体"/>
          <w:color w:val="auto"/>
          <w:szCs w:val="21"/>
          <w:highlight w:val="none"/>
        </w:rPr>
        <w:t>6%</w:t>
      </w:r>
      <w:r>
        <w:rPr>
          <w:rFonts w:hint="eastAsia" w:ascii="宋体" w:hAnsi="宋体" w:cs="宋体"/>
          <w:color w:val="auto"/>
          <w:szCs w:val="21"/>
          <w:highlight w:val="none"/>
        </w:rPr>
        <w:t>的扣除，用扣除后的价格参加评审。</w:t>
      </w:r>
      <w:bookmarkEnd w:id="17"/>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pPr>
        <w:pStyle w:val="6"/>
        <w:keepNext w:val="0"/>
        <w:keepLines w:val="0"/>
        <w:spacing w:before="0" w:after="0" w:line="360" w:lineRule="auto"/>
        <w:ind w:left="420" w:leftChars="200"/>
        <w:rPr>
          <w:rFonts w:ascii="宋体" w:cs="宋体"/>
          <w:b w:val="0"/>
          <w:color w:val="auto"/>
          <w:sz w:val="21"/>
          <w:szCs w:val="21"/>
          <w:highlight w:val="none"/>
        </w:rPr>
      </w:pPr>
      <w:bookmarkStart w:id="18" w:name="_Toc254970673"/>
      <w:bookmarkStart w:id="19" w:name="_Toc254970532"/>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18"/>
      <w:bookmarkEnd w:id="19"/>
    </w:p>
    <w:p>
      <w:pPr>
        <w:spacing w:line="360" w:lineRule="auto"/>
        <w:ind w:firstLine="420" w:firstLineChars="200"/>
        <w:rPr>
          <w:rFonts w:ascii="宋体" w:cs="宋体"/>
          <w:color w:val="auto"/>
          <w:szCs w:val="21"/>
          <w:highlight w:val="none"/>
        </w:rPr>
      </w:pPr>
      <w:bookmarkStart w:id="20" w:name="_8.1提供相同品牌产品且通过资格审查、符合性审查的不同投标人参加同一合"/>
      <w:bookmarkEnd w:id="20"/>
      <w:r>
        <w:rPr>
          <w:rFonts w:ascii="宋体" w:hAnsi="宋体" w:cs="宋体"/>
          <w:color w:val="auto"/>
          <w:szCs w:val="21"/>
          <w:highlight w:val="none"/>
        </w:rPr>
        <w:t>7.1</w:t>
      </w:r>
      <w:r>
        <w:rPr>
          <w:rFonts w:hint="eastAsia" w:ascii="宋体" w:hAnsi="宋体" w:cs="宋体"/>
          <w:color w:val="auto"/>
          <w:szCs w:val="21"/>
          <w:highlight w:val="none"/>
        </w:rPr>
        <w:t>如果本谈判文件要求提供供应商或制造商的资格、信誉、荣誉、业绩与企业认证等材料的，资格、信誉、荣誉、业绩与企业认证等必须为供应商或者制造商所拥有或自身获得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供应商在竞标活动中提供任何虚假材料</w:t>
      </w:r>
      <w:r>
        <w:rPr>
          <w:rFonts w:ascii="宋体" w:cs="宋体"/>
          <w:color w:val="auto"/>
          <w:szCs w:val="21"/>
          <w:highlight w:val="none"/>
        </w:rPr>
        <w:t>,</w:t>
      </w:r>
      <w:r>
        <w:rPr>
          <w:rFonts w:hint="eastAsia" w:ascii="宋体" w:hAnsi="宋体" w:cs="宋体"/>
          <w:color w:val="auto"/>
          <w:szCs w:val="21"/>
          <w:highlight w:val="none"/>
        </w:rPr>
        <w:t>其响应文件按无效响应处理，并报监管部门查处；签订合同后发现的</w:t>
      </w:r>
      <w:r>
        <w:rPr>
          <w:rFonts w:ascii="宋体" w:cs="宋体"/>
          <w:color w:val="auto"/>
          <w:szCs w:val="21"/>
          <w:highlight w:val="none"/>
        </w:rPr>
        <w:t>,</w:t>
      </w:r>
      <w:r>
        <w:rPr>
          <w:rFonts w:hint="eastAsia" w:ascii="宋体" w:hAnsi="宋体" w:cs="宋体"/>
          <w:color w:val="auto"/>
          <w:szCs w:val="21"/>
          <w:highlight w:val="none"/>
        </w:rPr>
        <w:t>成交供应商须依法赔偿采购人，且民事赔偿并不免除违法供应商的行政与刑事责任。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）不同供应商的响应文件相互混装；</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）不同供应商的竞标保证金从同一单位或者个人账户转出。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w:t>
      </w:r>
      <w:bookmarkStart w:id="21" w:name="_Hlk54682620"/>
      <w:r>
        <w:rPr>
          <w:rFonts w:hint="eastAsia" w:ascii="宋体" w:hAnsi="宋体" w:cs="宋体"/>
          <w:color w:val="auto"/>
          <w:szCs w:val="21"/>
          <w:highlight w:val="none"/>
        </w:rPr>
        <w:t>，将报同级监督管理部门</w:t>
      </w:r>
      <w:bookmarkEnd w:id="21"/>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w:t>
      </w:r>
      <w:r>
        <w:rPr>
          <w:rFonts w:ascii="宋体" w:cs="宋体"/>
          <w:color w:val="auto"/>
          <w:szCs w:val="21"/>
          <w:highlight w:val="none"/>
        </w:rPr>
        <w:t>,</w:t>
      </w:r>
      <w:r>
        <w:rPr>
          <w:rFonts w:hint="eastAsia" w:ascii="宋体" w:hAnsi="宋体" w:cs="宋体"/>
          <w:color w:val="auto"/>
          <w:szCs w:val="21"/>
          <w:highlight w:val="none"/>
        </w:rPr>
        <w:t>或者在政府采购活动中事先约定轮流以高价位或者低价位成交</w:t>
      </w:r>
      <w:r>
        <w:rPr>
          <w:rFonts w:ascii="宋体" w:cs="宋体"/>
          <w:color w:val="auto"/>
          <w:szCs w:val="21"/>
          <w:highlight w:val="none"/>
        </w:rPr>
        <w:t>,</w:t>
      </w:r>
      <w:r>
        <w:rPr>
          <w:rFonts w:hint="eastAsia" w:ascii="宋体" w:hAnsi="宋体" w:cs="宋体"/>
          <w:color w:val="auto"/>
          <w:szCs w:val="21"/>
          <w:highlight w:val="none"/>
        </w:rPr>
        <w:t>或者事先约定由某一特定供应商成交</w:t>
      </w:r>
      <w:r>
        <w:rPr>
          <w:rFonts w:ascii="宋体" w:cs="宋体"/>
          <w:color w:val="auto"/>
          <w:szCs w:val="21"/>
          <w:highlight w:val="none"/>
        </w:rPr>
        <w:t>,</w:t>
      </w:r>
      <w:r>
        <w:rPr>
          <w:rFonts w:hint="eastAsia" w:ascii="宋体" w:hAnsi="宋体" w:cs="宋体"/>
          <w:color w:val="auto"/>
          <w:szCs w:val="21"/>
          <w:highlight w:val="none"/>
        </w:rPr>
        <w:t>然后再参加竞标；</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单位负责人为同一人或者存在直接控股、管理关系的不同供应商，不得参加同一合同项下的政府采购活动，否则，响应文件无效。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7.8</w:t>
      </w:r>
      <w:r>
        <w:rPr>
          <w:rFonts w:hint="eastAsia" w:ascii="宋体" w:hAnsi="宋体" w:cs="宋体"/>
          <w:color w:val="auto"/>
          <w:szCs w:val="21"/>
          <w:highlight w:val="none"/>
        </w:rPr>
        <w:t>除单一来源采购项目外，为采购项目提供整体设计、规范编制或者项目管理、监理、检测等服务的供应商，不得再参加该采购项目的其他采购活动，否则响应文件无效。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7.9</w:t>
      </w:r>
      <w:r>
        <w:rPr>
          <w:rFonts w:hint="eastAsia" w:ascii="宋体" w:hAnsi="宋体" w:cs="宋体"/>
          <w:color w:val="auto"/>
          <w:szCs w:val="21"/>
          <w:highlight w:val="none"/>
        </w:rPr>
        <w:t>生产厂商授权给供应商后自己不得参加同一合同项下的政府采购活动；生产厂商对同一品牌同一型号的货物，仅能委托一个代理商参加投标。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7.10</w:t>
      </w:r>
      <w:r>
        <w:rPr>
          <w:rFonts w:hint="eastAsia" w:ascii="宋体" w:hAnsi="宋体" w:cs="宋体"/>
          <w:color w:val="auto"/>
          <w:szCs w:val="21"/>
          <w:highlight w:val="none"/>
        </w:rPr>
        <w:t>出现下列情形之一的，在评审过程中，取其中通过资格审查、符合性审查且最后报价最低的参加评审；当报价相同时，则由采购人自主选择确定一个参加评审的供应商，其他竞标无效：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（1）提供相同品牌产品的不同供应商参加单一产品的同一合同项下的政府采购活动的。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（2）提供核心产品品牌均相同的不同供应商参加非单一产品的同一合同项下的政府采购活动的。</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核心产品的名称应当在采购文件中载明。</w:t>
      </w:r>
    </w:p>
    <w:p>
      <w:pPr>
        <w:spacing w:line="360" w:lineRule="auto"/>
        <w:ind w:left="1" w:firstLine="417" w:firstLineChars="199"/>
        <w:jc w:val="center"/>
        <w:rPr>
          <w:rFonts w:ascii="宋体" w:cs="宋体"/>
          <w:color w:val="auto"/>
          <w:highlight w:val="none"/>
        </w:rPr>
      </w:pPr>
      <w:bookmarkStart w:id="22" w:name="_Toc254970534"/>
      <w:bookmarkStart w:id="23" w:name="_Toc254970675"/>
    </w:p>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二、谈判文件</w:t>
      </w:r>
      <w:bookmarkEnd w:id="22"/>
      <w:bookmarkEnd w:id="23"/>
    </w:p>
    <w:p>
      <w:pPr>
        <w:spacing w:line="360" w:lineRule="auto"/>
        <w:jc w:val="center"/>
        <w:rPr>
          <w:rFonts w:ascii="宋体" w:cs="宋体"/>
          <w:color w:val="auto"/>
          <w:szCs w:val="21"/>
          <w:highlight w:val="none"/>
        </w:rPr>
      </w:pP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谈判文件的构成</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）竞争性谈判公告；</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）响应文件格式</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）合同文本；</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）评审程序和评定成交的标准；</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谈判文件的澄清和修改</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Pr>
          <w:rFonts w:ascii="宋体" w:hAnsi="宋体" w:cs="宋体"/>
          <w:color w:val="auto"/>
          <w:szCs w:val="21"/>
          <w:highlight w:val="none"/>
        </w:rPr>
        <w:t>3</w:t>
      </w:r>
      <w:r>
        <w:rPr>
          <w:rFonts w:hint="eastAsia" w:ascii="宋体" w:hAnsi="宋体" w:cs="宋体"/>
          <w:color w:val="auto"/>
          <w:szCs w:val="21"/>
          <w:highlight w:val="none"/>
        </w:rPr>
        <w:t>个工作日前，在原公告发布媒体上发布更正公告；不足</w:t>
      </w:r>
      <w:r>
        <w:rPr>
          <w:rFonts w:ascii="宋体" w:hAnsi="宋体" w:cs="宋体"/>
          <w:color w:val="auto"/>
          <w:szCs w:val="21"/>
          <w:highlight w:val="none"/>
        </w:rPr>
        <w:t>3</w:t>
      </w:r>
      <w:r>
        <w:rPr>
          <w:rFonts w:hint="eastAsia" w:ascii="宋体" w:hAnsi="宋体" w:cs="宋体"/>
          <w:color w:val="auto"/>
          <w:szCs w:val="21"/>
          <w:highlight w:val="none"/>
        </w:rPr>
        <w:t>个工作日的，应当顺延提交首次响应文件截止之日。</w:t>
      </w:r>
    </w:p>
    <w:p>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谈判文件澄清、答复、修改、补充的内容为谈判文件的组成部分。</w:t>
      </w:r>
      <w:r>
        <w:rPr>
          <w:rFonts w:hint="eastAsia" w:ascii="宋体" w:hAnsi="宋体" w:cs="宋体"/>
          <w:b/>
          <w:color w:val="auto"/>
          <w:szCs w:val="21"/>
          <w:highlight w:val="none"/>
        </w:rPr>
        <w:t>当谈判文件与谈判文件的澄清、答复、修改、补充通知就同一内容的表述不一致时，以最后发出的文件为准。</w:t>
      </w:r>
    </w:p>
    <w:p>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响应文件未按谈判文件的澄清、修改后的内容编制的，其响应文件作无效响应处理。</w:t>
      </w:r>
    </w:p>
    <w:p>
      <w:pPr>
        <w:spacing w:line="360" w:lineRule="auto"/>
        <w:ind w:firstLine="420" w:firstLineChars="200"/>
        <w:rPr>
          <w:rFonts w:ascii="宋体" w:cs="宋体"/>
          <w:color w:val="auto"/>
          <w:szCs w:val="21"/>
          <w:highlight w:val="none"/>
        </w:rPr>
      </w:pPr>
    </w:p>
    <w:p>
      <w:pPr>
        <w:spacing w:line="360" w:lineRule="auto"/>
        <w:rPr>
          <w:rFonts w:ascii="宋体" w:cs="宋体"/>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 w:val="32"/>
          <w:szCs w:val="32"/>
          <w:highlight w:val="none"/>
        </w:rPr>
        <w:t>三、响应文件的编制</w:t>
      </w:r>
    </w:p>
    <w:p>
      <w:pPr>
        <w:spacing w:line="360" w:lineRule="auto"/>
        <w:rPr>
          <w:rFonts w:ascii="宋体" w:cs="宋体"/>
          <w:color w:val="auto"/>
          <w:szCs w:val="21"/>
          <w:highlight w:val="none"/>
        </w:rPr>
      </w:pP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资格证明文件：详见“供应商须知前附表”</w:t>
      </w:r>
    </w:p>
    <w:p>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报价商务技术文件：详见“供应商须知前附表”</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供应商没有按照谈判文件要求提供全部资料，或者供应商没有对谈判文件在各方面作出实质性响应可能导致其响应文件按无效响应处理，是供应商应当考虑的风险。</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竞标报价应按谈判文件中“竞标报价表”格式填写。</w:t>
      </w:r>
    </w:p>
    <w:p>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竞标报价的内容详见“供应商须知前附表”。</w:t>
      </w:r>
    </w:p>
    <w:p>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w:t>
      </w:r>
    </w:p>
    <w:p>
      <w:pPr>
        <w:spacing w:line="360" w:lineRule="auto"/>
        <w:rPr>
          <w:rFonts w:asci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最后报价超过所竞标分标规定的采购预算金额或者最高限价的，其响应文件将按无效响应处理。</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竞标保证金</w:t>
      </w:r>
    </w:p>
    <w:p>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供应商须按“供应商须知前附表”的规定提交竞标保证金。</w:t>
      </w:r>
    </w:p>
    <w:p>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竞标保证金的退还</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根据《广西壮族自治区财政厅关于进一步发挥政府采购政策功能促进企业发展的通知》（桂财采〔</w:t>
      </w:r>
      <w:r>
        <w:rPr>
          <w:rFonts w:ascii="宋体" w:hAnsi="宋体" w:cs="宋体"/>
          <w:color w:val="auto"/>
          <w:szCs w:val="21"/>
          <w:highlight w:val="none"/>
        </w:rPr>
        <w:t>2022</w:t>
      </w:r>
      <w:r>
        <w:rPr>
          <w:rFonts w:hint="eastAsia" w:ascii="宋体" w:hAnsi="宋体" w:cs="宋体"/>
          <w:color w:val="auto"/>
          <w:szCs w:val="21"/>
          <w:highlight w:val="none"/>
        </w:rPr>
        <w:t>〕</w:t>
      </w:r>
      <w:r>
        <w:rPr>
          <w:rFonts w:ascii="宋体" w:hAnsi="宋体" w:cs="宋体"/>
          <w:color w:val="auto"/>
          <w:szCs w:val="21"/>
          <w:highlight w:val="none"/>
        </w:rPr>
        <w:t>30</w:t>
      </w:r>
      <w:r>
        <w:rPr>
          <w:rFonts w:hint="eastAsia" w:ascii="宋体" w:hAnsi="宋体" w:cs="宋体"/>
          <w:color w:val="auto"/>
          <w:szCs w:val="21"/>
          <w:highlight w:val="none"/>
        </w:rPr>
        <w:t>号）第一条第五款的规定，未</w:t>
      </w:r>
      <w:r>
        <w:rPr>
          <w:rFonts w:hint="eastAsia" w:ascii="宋体" w:hAnsi="宋体" w:cs="宋体"/>
          <w:color w:val="auto"/>
          <w:spacing w:val="-6"/>
          <w:szCs w:val="21"/>
          <w:highlight w:val="none"/>
        </w:rPr>
        <w:t>成交供应商的竞标保证金自成交通知书发出之日起</w:t>
      </w:r>
      <w:r>
        <w:rPr>
          <w:rFonts w:ascii="宋体" w:hAnsi="宋体" w:cs="宋体"/>
          <w:color w:val="auto"/>
          <w:spacing w:val="-6"/>
          <w:szCs w:val="21"/>
          <w:highlight w:val="none"/>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；成交供应商的竞标保证金自签订合同之日起</w:t>
      </w:r>
      <w:r>
        <w:rPr>
          <w:rFonts w:ascii="宋体" w:hAnsi="宋体" w:cs="宋体"/>
          <w:color w:val="auto"/>
          <w:szCs w:val="21"/>
          <w:highlight w:val="none"/>
        </w:rPr>
        <w:t>4</w:t>
      </w:r>
      <w:r>
        <w:rPr>
          <w:rFonts w:hint="eastAsia" w:ascii="宋体" w:hAnsi="宋体" w:cs="宋体"/>
          <w:color w:val="auto"/>
          <w:szCs w:val="21"/>
          <w:highlight w:val="none"/>
        </w:rPr>
        <w:t>个工作日内退还。</w:t>
      </w:r>
      <w:r>
        <w:rPr>
          <w:rFonts w:ascii="宋体" w:hAnsi="宋体" w:cs="宋体"/>
          <w:color w:val="auto"/>
          <w:szCs w:val="21"/>
          <w:highlight w:val="none"/>
        </w:rPr>
        <w:t xml:space="preserve"> </w:t>
      </w:r>
    </w:p>
    <w:p>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竞标保证金不计息。</w:t>
      </w:r>
    </w:p>
    <w:p>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供应商有下列情形之一的，竞标保证金将不予退还：</w:t>
      </w:r>
      <w:r>
        <w:rPr>
          <w:rFonts w:ascii="宋体" w:hAnsi="宋体" w:cs="宋体"/>
          <w:color w:val="auto"/>
          <w:szCs w:val="21"/>
          <w:highlight w:val="none"/>
        </w:rPr>
        <w:t xml:space="preserve"> </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）除因不可抗力或者谈判文件认可的情形以外，成交供应商不与采购人签订合同的；</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18. </w:t>
      </w:r>
      <w:r>
        <w:rPr>
          <w:rFonts w:hint="eastAsia" w:ascii="宋体" w:hAnsi="宋体" w:cs="宋体"/>
          <w:b/>
          <w:bCs/>
          <w:color w:val="auto"/>
          <w:sz w:val="24"/>
          <w:highlight w:val="none"/>
        </w:rPr>
        <w:t>响应文件编制的要求</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供应商应按本谈判文件规定的格式和顺序编制、装订响应文件并标注页码，响应文件内容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响应文件应按资格证明文件、报价商务技术文件分别编制电子文件，并按“政采云”平台的要求编制、加密、上传。</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24"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25" w:name="_Hlk65832569"/>
      <w:r>
        <w:rPr>
          <w:rFonts w:hint="eastAsia" w:ascii="宋体" w:hAnsi="宋体" w:cs="宋体"/>
          <w:color w:val="auto"/>
          <w:szCs w:val="21"/>
          <w:highlight w:val="none"/>
        </w:rPr>
        <w:t>（具体以供应商须知前附表或响应文件格式规定为准）</w:t>
      </w:r>
      <w:bookmarkEnd w:id="24"/>
      <w:bookmarkEnd w:id="25"/>
      <w:r>
        <w:rPr>
          <w:rFonts w:hint="eastAsia" w:ascii="宋体" w:hAnsi="宋体" w:cs="宋体"/>
          <w:color w:val="auto"/>
          <w:szCs w:val="21"/>
          <w:highlight w:val="none"/>
        </w:rPr>
        <w:t>，否则其响应文件按无效响应处理。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电子响应文件编制完成后，供应商应按“政采云”平台的要求进行加密，并在规定时间内解密，否则，由此产生的后果由供应商自行负责。</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本项目为全流程电子化政府采购项目，通过“政采云”平台（</w:t>
      </w:r>
      <w:r>
        <w:rPr>
          <w:rFonts w:ascii="宋体" w:hAnsi="宋体" w:cs="宋体"/>
          <w:color w:val="auto"/>
          <w:szCs w:val="21"/>
          <w:highlight w:val="none"/>
        </w:rPr>
        <w:t>http</w:t>
      </w:r>
      <w:r>
        <w:rPr>
          <w:rFonts w:hint="eastAsia" w:ascii="宋体" w:hAnsi="宋体" w:cs="宋体"/>
          <w:color w:val="auto"/>
          <w:szCs w:val="21"/>
          <w:highlight w:val="none"/>
        </w:rPr>
        <w:t>：</w:t>
      </w:r>
      <w:r>
        <w:rPr>
          <w:rFonts w:ascii="宋体" w:hAnsi="宋体" w:cs="宋体"/>
          <w:color w:val="auto"/>
          <w:szCs w:val="21"/>
          <w:highlight w:val="none"/>
        </w:rPr>
        <w:t>//www.zcygov.cn</w:t>
      </w:r>
      <w:r>
        <w:rPr>
          <w:rFonts w:hint="eastAsia" w:ascii="宋体" w:hAnsi="宋体" w:cs="宋体"/>
          <w:color w:val="auto"/>
          <w:szCs w:val="21"/>
          <w:highlight w:val="none"/>
        </w:rPr>
        <w:t>）实行在线电子竞标，供应商应先安装“政采云电子交易客户端”（请自行前往“政采云”平台进行下载），并按照本项目竞争性谈判文件和“政采云”平台的要求编制、加密后在首次响应文件提交截止时间前通过网络上传至“政采云”平台，</w:t>
      </w:r>
      <w:r>
        <w:rPr>
          <w:rFonts w:hint="eastAsia" w:ascii="宋体" w:hAnsi="宋体" w:cs="宋体"/>
          <w:b/>
          <w:color w:val="auto"/>
          <w:szCs w:val="21"/>
          <w:highlight w:val="none"/>
        </w:rPr>
        <w:t>供应商在“政采云”平台提交电子版响应文件时，请填写参加远程开标活动经办人联系方式。</w:t>
      </w:r>
    </w:p>
    <w:p>
      <w:pPr>
        <w:pStyle w:val="6"/>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未在规定时间内上传或者未按“政采云”平台的要求编制、加密的电子响应文件，“政采云”平台将拒收。</w:t>
      </w:r>
    </w:p>
    <w:p>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电子响应文件提交方式见“竞争性谈判公告”中“四、响应文件提交”。</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pPr>
        <w:spacing w:line="360" w:lineRule="auto"/>
        <w:ind w:firstLine="420" w:firstLineChars="200"/>
        <w:rPr>
          <w:rFonts w:ascii="宋体" w:cs="宋体"/>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22.</w:t>
      </w:r>
      <w:r>
        <w:rPr>
          <w:rFonts w:hint="eastAsia" w:ascii="宋体" w:hAnsi="宋体" w:cs="宋体"/>
          <w:b/>
          <w:bCs/>
          <w:color w:val="auto"/>
          <w:sz w:val="24"/>
          <w:highlight w:val="none"/>
        </w:rPr>
        <w:t>首次响应文件的退回</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家时，采购代理机构将根据“政采云”平台的操作将电子版响应文件退回，除此之外采购人和采购代理机构对已提交的电子响应文件概不退回。</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的规定不予退还其竞标保证金。</w:t>
      </w:r>
    </w:p>
    <w:p>
      <w:pPr>
        <w:spacing w:line="360" w:lineRule="auto"/>
        <w:ind w:firstLine="420" w:firstLineChars="200"/>
        <w:rPr>
          <w:rFonts w:ascii="宋体" w:cs="宋体"/>
          <w:color w:val="auto"/>
          <w:szCs w:val="21"/>
          <w:highlight w:val="none"/>
        </w:rPr>
      </w:pPr>
    </w:p>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四、评审及谈判</w:t>
      </w:r>
    </w:p>
    <w:p>
      <w:pPr>
        <w:spacing w:line="360" w:lineRule="auto"/>
        <w:ind w:left="420" w:firstLine="420"/>
        <w:rPr>
          <w:rFonts w:ascii="宋体" w:cs="宋体"/>
          <w:color w:val="auto"/>
          <w:szCs w:val="21"/>
          <w:highlight w:val="none"/>
        </w:rPr>
      </w:pP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谈判小组成立</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竞争性谈判小组成立：谈判小组由采购人代表和评审专家共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人以上单数组成，具体人数详见“供应商须知前附表”，其中评审专家人数不得少于竞争性谈判小组成员总数的</w:t>
      </w:r>
      <w:r>
        <w:rPr>
          <w:rFonts w:ascii="宋体" w:hAnsi="宋体" w:cs="宋体"/>
          <w:color w:val="auto"/>
          <w:szCs w:val="21"/>
          <w:highlight w:val="none"/>
        </w:rPr>
        <w:t>2/3</w:t>
      </w:r>
      <w:r>
        <w:rPr>
          <w:rFonts w:hint="eastAsia" w:ascii="宋体" w:hAnsi="宋体" w:cs="宋体"/>
          <w:color w:val="auto"/>
          <w:szCs w:val="21"/>
          <w:highlight w:val="none"/>
        </w:rPr>
        <w:t>。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25. </w:t>
      </w:r>
      <w:r>
        <w:rPr>
          <w:rFonts w:hint="eastAsia" w:ascii="宋体" w:hAnsi="宋体" w:cs="宋体"/>
          <w:b/>
          <w:bCs/>
          <w:color w:val="auto"/>
          <w:sz w:val="24"/>
          <w:highlight w:val="none"/>
        </w:rPr>
        <w:t>首次响应文件的开启</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首次响应文件由谈判小组或者采购代理机构在“供应商须知前附表”规定的时间开启。</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锁按平台提示和采购文件的规定登录到“政采云”平台电子开标大厅签到并在发起解密指令之时起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响应文件未按时解密的，视为响应文件无效。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家的，不得谈判。</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26. </w:t>
      </w:r>
      <w:r>
        <w:rPr>
          <w:rFonts w:hint="eastAsia" w:ascii="宋体" w:hAnsi="宋体" w:cs="宋体"/>
          <w:b/>
          <w:bCs/>
          <w:color w:val="auto"/>
          <w:sz w:val="24"/>
          <w:highlight w:val="none"/>
        </w:rPr>
        <w:t>评审程序和评定成交的标准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谈判小组按照“第四章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评审程序和评定成交的标准”规定的评审程序对响应文件进行评审，并按照评定成交的标准推荐成交候选供应商。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）电子交易平台发生故障而无法登录访问的；</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）电子交易平台应用或数据库出现错误，不能进行正常操作的；</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）电子交易平台发现严重安全漏洞，有潜在泄密危险的；</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）病毒发作导致不能进行正常操作的；</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）其他无法保证电子交易的公平、公正和安全的情况。</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26.3</w:t>
      </w: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27.1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9"/>
        <w:spacing w:line="360" w:lineRule="auto"/>
        <w:ind w:firstLine="420" w:firstLineChars="200"/>
        <w:jc w:val="both"/>
        <w:rPr>
          <w:rFonts w:ascii="宋体" w:cs="宋体"/>
          <w:color w:val="auto"/>
          <w:kern w:val="0"/>
          <w:szCs w:val="21"/>
          <w:highlight w:val="none"/>
        </w:rPr>
      </w:pPr>
      <w:r>
        <w:rPr>
          <w:rFonts w:ascii="宋体" w:hAnsi="宋体" w:cs="宋体"/>
          <w:color w:val="auto"/>
          <w:kern w:val="0"/>
          <w:szCs w:val="21"/>
          <w:highlight w:val="none"/>
        </w:rPr>
        <w:t>27.2</w:t>
      </w:r>
      <w:r>
        <w:rPr>
          <w:rFonts w:hint="eastAsia" w:ascii="宋体" w:hAnsi="宋体" w:cs="宋体"/>
          <w:color w:val="auto"/>
          <w:kern w:val="0"/>
          <w:szCs w:val="21"/>
          <w:highlight w:val="none"/>
        </w:rPr>
        <w:t>采购代理机构应当在成交供应商确定后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个工作日内，在省级以上财政部门指定的媒体上公告成交结果，同时向成交供应商发出成交通知书。</w:t>
      </w:r>
      <w:r>
        <w:rPr>
          <w:rFonts w:hint="eastAsia" w:ascii="宋体" w:hAnsi="宋体" w:cs="宋体"/>
          <w:b/>
          <w:color w:val="auto"/>
          <w:kern w:val="0"/>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kern w:val="0"/>
          <w:szCs w:val="21"/>
          <w:highlight w:val="none"/>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p>
    <w:p>
      <w:pPr>
        <w:pStyle w:val="9"/>
        <w:spacing w:line="360" w:lineRule="auto"/>
        <w:ind w:firstLine="420" w:firstLineChars="200"/>
        <w:jc w:val="both"/>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出现下列情形之一的，采购人或者采购代理机构应当终止竞争性谈判采购活动，发布项目终止公告并说明原因，重新开展采购活动：</w:t>
      </w:r>
      <w:r>
        <w:rPr>
          <w:rFonts w:ascii="宋体" w:cs="宋体"/>
          <w:color w:val="auto"/>
          <w:szCs w:val="21"/>
          <w:highlight w:val="none"/>
        </w:rPr>
        <w:br w:type="textWrapping"/>
      </w:r>
      <w:r>
        <w:rPr>
          <w:rFonts w:hint="eastAsia" w:ascii="宋体" w:hAnsi="宋体" w:cs="宋体"/>
          <w:color w:val="auto"/>
          <w:szCs w:val="21"/>
          <w:highlight w:val="none"/>
        </w:rPr>
        <w:t>　　（一）因情况变化，不再符合规定的竞争性谈判采购方式适用情形的；</w:t>
      </w:r>
      <w:r>
        <w:rPr>
          <w:rFonts w:ascii="宋体" w:cs="宋体"/>
          <w:color w:val="auto"/>
          <w:szCs w:val="21"/>
          <w:highlight w:val="none"/>
        </w:rPr>
        <w:br w:type="textWrapping"/>
      </w:r>
      <w:r>
        <w:rPr>
          <w:rFonts w:hint="eastAsia" w:ascii="宋体" w:hAnsi="宋体" w:cs="宋体"/>
          <w:color w:val="auto"/>
          <w:szCs w:val="21"/>
          <w:highlight w:val="none"/>
        </w:rPr>
        <w:t>　　（二）出现影响采购公正的违法、违规行为的；</w:t>
      </w:r>
      <w:r>
        <w:rPr>
          <w:rFonts w:ascii="宋体" w:cs="宋体"/>
          <w:color w:val="auto"/>
          <w:szCs w:val="21"/>
          <w:highlight w:val="none"/>
        </w:rPr>
        <w:br w:type="textWrapping"/>
      </w:r>
      <w:r>
        <w:rPr>
          <w:rFonts w:hint="eastAsia" w:ascii="宋体" w:hAnsi="宋体" w:cs="宋体"/>
          <w:color w:val="auto"/>
          <w:szCs w:val="21"/>
          <w:highlight w:val="none"/>
        </w:rPr>
        <w:t>　　（三）在采购过程中符合竞争要求的供应商或者报价未超过采购预算的供应商不足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家的，但“第四章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评审程序和评定成交的标准”第</w:t>
      </w:r>
      <w:r>
        <w:rPr>
          <w:rFonts w:ascii="宋体" w:hAnsi="宋体" w:cs="宋体"/>
          <w:color w:val="auto"/>
          <w:szCs w:val="21"/>
          <w:highlight w:val="none"/>
        </w:rPr>
        <w:t>3.7</w:t>
      </w:r>
      <w:r>
        <w:rPr>
          <w:rFonts w:hint="eastAsia" w:ascii="宋体" w:hAnsi="宋体" w:cs="宋体"/>
          <w:color w:val="auto"/>
          <w:szCs w:val="21"/>
          <w:highlight w:val="none"/>
        </w:rPr>
        <w:t>条规定的情形除外。</w:t>
      </w:r>
    </w:p>
    <w:p>
      <w:pPr>
        <w:pStyle w:val="9"/>
        <w:spacing w:line="360" w:lineRule="auto"/>
        <w:ind w:firstLine="420" w:firstLineChars="200"/>
        <w:rPr>
          <w:rFonts w:ascii="宋体" w:cs="宋体"/>
          <w:color w:val="auto"/>
          <w:szCs w:val="21"/>
          <w:highlight w:val="none"/>
        </w:rPr>
      </w:pPr>
      <w:r>
        <w:rPr>
          <w:rFonts w:ascii="宋体" w:hAnsi="宋体" w:cs="宋体"/>
          <w:color w:val="auto"/>
          <w:szCs w:val="21"/>
          <w:highlight w:val="none"/>
        </w:rPr>
        <w:t>27.4</w:t>
      </w:r>
      <w:r>
        <w:rPr>
          <w:rFonts w:hint="eastAsia" w:ascii="宋体" w:hAnsi="宋体" w:cs="宋体"/>
          <w:color w:val="auto"/>
          <w:szCs w:val="21"/>
          <w:highlight w:val="none"/>
        </w:rPr>
        <w:t>在采购活动中因重大变故，采购任务取消的，采购人或者采购代理机构应当终止采购活动，通知所有参加采购活动的供应商。</w:t>
      </w:r>
    </w:p>
    <w:p>
      <w:pPr>
        <w:pStyle w:val="9"/>
        <w:spacing w:line="360" w:lineRule="auto"/>
        <w:ind w:firstLine="420" w:firstLineChars="200"/>
        <w:rPr>
          <w:rFonts w:ascii="宋体" w:cs="宋体"/>
          <w:color w:val="auto"/>
          <w:szCs w:val="21"/>
          <w:highlight w:val="none"/>
        </w:rPr>
      </w:pPr>
      <w:r>
        <w:rPr>
          <w:rFonts w:ascii="宋体" w:hAnsi="宋体" w:cs="宋体"/>
          <w:bCs/>
          <w:color w:val="auto"/>
          <w:szCs w:val="21"/>
          <w:highlight w:val="none"/>
        </w:rPr>
        <w:t>27.5</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pPr>
        <w:pStyle w:val="9"/>
        <w:spacing w:line="360" w:lineRule="auto"/>
        <w:ind w:firstLine="420" w:firstLineChars="200"/>
        <w:rPr>
          <w:rFonts w:ascii="宋体" w:cs="宋体"/>
          <w:color w:val="auto"/>
          <w:highlight w:val="none"/>
        </w:rPr>
      </w:pPr>
      <w:r>
        <w:rPr>
          <w:rFonts w:ascii="宋体" w:hAnsi="宋体" w:cs="宋体"/>
          <w:color w:val="auto"/>
          <w:szCs w:val="21"/>
          <w:highlight w:val="none"/>
        </w:rPr>
        <w:t>28.1</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签订合同时间：采购单位在中标、成交通知书发出之日起</w:t>
      </w:r>
      <w:r>
        <w:rPr>
          <w:rFonts w:ascii="宋体" w:hAnsi="宋体" w:cs="宋体"/>
          <w:color w:val="auto"/>
          <w:szCs w:val="21"/>
          <w:highlight w:val="none"/>
        </w:rPr>
        <w:t>20</w:t>
      </w:r>
      <w:r>
        <w:rPr>
          <w:rFonts w:hint="eastAsia" w:ascii="宋体" w:hAnsi="宋体" w:cs="宋体"/>
          <w:color w:val="auto"/>
          <w:szCs w:val="21"/>
          <w:highlight w:val="none"/>
        </w:rPr>
        <w:t>日内和中标、成交供应商签订政府采购合同，签订政府采购合同前，成交供应商须入驻政采云平台正式供应商。</w:t>
      </w:r>
    </w:p>
    <w:p>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27.5</w:t>
      </w:r>
      <w:r>
        <w:rPr>
          <w:rFonts w:hint="eastAsia" w:ascii="宋体" w:hAnsi="宋体" w:cs="宋体"/>
          <w:color w:val="auto"/>
          <w:szCs w:val="21"/>
          <w:highlight w:val="none"/>
        </w:rPr>
        <w:t>条的规定执行。</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pPr>
        <w:pStyle w:val="7"/>
        <w:spacing w:after="120"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p>
    <w:p>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供应商认为谈判文件、采购过程或者成交结果使自己的合法权益受到损害的，应当在知道或者应知其权益受到损害之日起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）对可以质疑的谈判文件提出质疑的，为获取谈判文件之日；</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cs="宋体"/>
          <w:color w:val="auto"/>
          <w:highlight w:val="none"/>
        </w:rPr>
      </w:pPr>
      <w:r>
        <w:rPr>
          <w:rFonts w:ascii="宋体" w:hAnsi="宋体" w:cs="宋体"/>
          <w:color w:val="auto"/>
          <w:highlight w:val="none"/>
        </w:rPr>
        <w:t>31.4</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cs="宋体"/>
          <w:b/>
          <w:bCs/>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4"/>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费率</w:t>
            </w:r>
          </w:p>
          <w:p>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 xml:space="preserve"> </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）按本表费率计算的收费为采购代理的收费基准价格；</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例如：某货物采购代理业务成交金额或者暂定价为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pPr>
        <w:spacing w:line="360" w:lineRule="auto"/>
        <w:ind w:firstLine="420" w:firstLineChars="200"/>
        <w:contextualSpacing/>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w:t>
      </w:r>
      <w:r>
        <w:rPr>
          <w:rFonts w:ascii="宋体" w:hAnsi="宋体" w:cs="宋体"/>
          <w:color w:val="auto"/>
          <w:highlight w:val="none"/>
        </w:rPr>
        <w:t xml:space="preserve"> 0.55 </w:t>
      </w:r>
      <w:r>
        <w:rPr>
          <w:rFonts w:hint="eastAsia" w:ascii="宋体" w:hAnsi="宋体" w:cs="宋体"/>
          <w:color w:val="auto"/>
          <w:highlight w:val="none"/>
        </w:rPr>
        <w:t>万元</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0.55</w:t>
      </w:r>
      <w:r>
        <w:rPr>
          <w:rFonts w:hint="eastAsia" w:ascii="宋体" w:hAnsi="宋体" w:cs="宋体"/>
          <w:color w:val="auto"/>
          <w:highlight w:val="none"/>
        </w:rPr>
        <w:t>＝</w:t>
      </w:r>
      <w:r>
        <w:rPr>
          <w:rFonts w:ascii="宋体" w:hAnsi="宋体" w:cs="宋体"/>
          <w:color w:val="auto"/>
          <w:highlight w:val="none"/>
        </w:rPr>
        <w:t xml:space="preserve"> 2.05 </w:t>
      </w:r>
      <w:r>
        <w:rPr>
          <w:rFonts w:hint="eastAsia" w:ascii="宋体" w:hAnsi="宋体" w:cs="宋体"/>
          <w:color w:val="auto"/>
          <w:highlight w:val="none"/>
        </w:rPr>
        <w:t>（万元）</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32.3 </w:t>
      </w:r>
      <w:r>
        <w:rPr>
          <w:rFonts w:hint="eastAsia" w:ascii="宋体" w:hAnsi="宋体" w:cs="宋体"/>
          <w:color w:val="auto"/>
          <w:kern w:val="0"/>
          <w:szCs w:val="21"/>
          <w:highlight w:val="none"/>
        </w:rPr>
        <w:t>代理服务费交纳银行帐号信息</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账户名称：广西建采项目管理有限公司</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中国建设银行贺州城东支行</w:t>
      </w:r>
      <w:r>
        <w:rPr>
          <w:rFonts w:ascii="宋体" w:hAnsi="宋体" w:cs="宋体"/>
          <w:color w:val="auto"/>
          <w:highlight w:val="none"/>
        </w:rPr>
        <w:t xml:space="preserve">             </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银行账号：</w:t>
      </w:r>
      <w:r>
        <w:rPr>
          <w:rFonts w:ascii="宋体" w:hAnsi="宋体" w:cs="宋体"/>
          <w:color w:val="auto"/>
          <w:highlight w:val="none"/>
        </w:rPr>
        <w:t>45050164740200001325</w:t>
      </w:r>
    </w:p>
    <w:p>
      <w:pPr>
        <w:spacing w:line="360" w:lineRule="auto"/>
        <w:ind w:firstLine="482" w:firstLineChars="200"/>
        <w:contextualSpacing/>
        <w:rPr>
          <w:rFonts w:ascii="宋体" w:cs="宋体"/>
          <w:b/>
          <w:bCs/>
          <w:color w:val="auto"/>
          <w:sz w:val="24"/>
          <w:highlight w:val="none"/>
        </w:rPr>
      </w:pPr>
      <w:r>
        <w:rPr>
          <w:rFonts w:ascii="宋体" w:hAnsi="宋体" w:cs="宋体"/>
          <w:b/>
          <w:bCs/>
          <w:color w:val="auto"/>
          <w:sz w:val="24"/>
          <w:highlight w:val="none"/>
        </w:rPr>
        <w:t xml:space="preserve">33. </w:t>
      </w:r>
      <w:r>
        <w:rPr>
          <w:rFonts w:hint="eastAsia" w:ascii="宋体" w:hAnsi="宋体" w:cs="宋体"/>
          <w:b/>
          <w:bCs/>
          <w:color w:val="auto"/>
          <w:sz w:val="24"/>
          <w:highlight w:val="none"/>
        </w:rPr>
        <w:t>需要补充的其他内容</w:t>
      </w:r>
    </w:p>
    <w:p>
      <w:pPr>
        <w:pStyle w:val="14"/>
        <w:spacing w:line="360" w:lineRule="auto"/>
        <w:ind w:firstLine="420" w:firstLineChars="200"/>
        <w:contextualSpacing/>
        <w:rPr>
          <w:rFonts w:hAnsi="宋体" w:cs="宋体"/>
          <w:color w:val="auto"/>
          <w:sz w:val="21"/>
          <w:highlight w:val="none"/>
        </w:rPr>
      </w:pPr>
      <w:r>
        <w:rPr>
          <w:rFonts w:hAnsi="宋体" w:cs="宋体"/>
          <w:color w:val="auto"/>
          <w:sz w:val="21"/>
          <w:highlight w:val="none"/>
        </w:rPr>
        <w:t>33.1</w:t>
      </w:r>
      <w:r>
        <w:rPr>
          <w:rFonts w:hint="eastAsia" w:hAnsi="宋体" w:cs="宋体"/>
          <w:color w:val="auto"/>
          <w:sz w:val="21"/>
          <w:highlight w:val="none"/>
        </w:rPr>
        <w:t>本谈判文件解释规则详见“供应商须知前附表”。</w:t>
      </w:r>
    </w:p>
    <w:p>
      <w:pPr>
        <w:spacing w:line="360" w:lineRule="auto"/>
        <w:ind w:firstLine="420" w:firstLineChars="200"/>
        <w:contextualSpacing/>
        <w:rPr>
          <w:rFonts w:ascii="宋体" w:cs="宋体"/>
          <w:color w:val="auto"/>
          <w:highlight w:val="none"/>
        </w:rPr>
      </w:pPr>
      <w:r>
        <w:rPr>
          <w:rFonts w:ascii="宋体" w:hAnsi="宋体" w:cs="宋体"/>
          <w:color w:val="auto"/>
          <w:kern w:val="0"/>
          <w:szCs w:val="21"/>
          <w:highlight w:val="none"/>
        </w:rPr>
        <w:t xml:space="preserve">33.2 </w:t>
      </w:r>
      <w:r>
        <w:rPr>
          <w:rFonts w:hint="eastAsia" w:ascii="宋体" w:hAnsi="宋体" w:cs="宋体"/>
          <w:color w:val="auto"/>
          <w:kern w:val="0"/>
          <w:szCs w:val="21"/>
          <w:highlight w:val="none"/>
        </w:rPr>
        <w:t>其他事</w:t>
      </w:r>
      <w:r>
        <w:rPr>
          <w:rFonts w:hint="eastAsia" w:ascii="宋体" w:hAnsi="宋体" w:cs="宋体"/>
          <w:color w:val="auto"/>
          <w:highlight w:val="none"/>
        </w:rPr>
        <w:t>项详见“供应商须知前附表”。</w:t>
      </w:r>
    </w:p>
    <w:p>
      <w:pPr>
        <w:pStyle w:val="14"/>
        <w:spacing w:line="360" w:lineRule="auto"/>
        <w:ind w:firstLine="400" w:firstLineChars="200"/>
        <w:contextualSpacing/>
        <w:rPr>
          <w:rFonts w:hAnsi="宋体" w:cs="宋体"/>
          <w:color w:val="auto"/>
          <w:sz w:val="21"/>
          <w:highlight w:val="none"/>
        </w:rPr>
      </w:pPr>
      <w:r>
        <w:rPr>
          <w:rFonts w:hAnsi="宋体" w:cs="宋体"/>
          <w:color w:val="auto"/>
          <w:highlight w:val="none"/>
        </w:rPr>
        <w:t>33.3</w:t>
      </w:r>
      <w:bookmarkStart w:id="26" w:name="_Hlk65857140"/>
      <w:r>
        <w:rPr>
          <w:rFonts w:hint="eastAsia" w:hAnsi="宋体" w:cs="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pPr>
        <w:pStyle w:val="1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pPr>
        <w:pStyle w:val="1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pPr>
        <w:pStyle w:val="14"/>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cs="宋体"/>
          <w:color w:val="auto"/>
          <w:highlight w:val="none"/>
        </w:r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26"/>
    </w:p>
    <w:p>
      <w:pPr>
        <w:pStyle w:val="3"/>
        <w:spacing w:line="360" w:lineRule="auto"/>
        <w:jc w:val="center"/>
        <w:rPr>
          <w:rFonts w:ascii="宋体" w:cs="宋体"/>
          <w:color w:val="auto"/>
          <w:sz w:val="32"/>
          <w:szCs w:val="32"/>
          <w:highlight w:val="none"/>
        </w:rPr>
      </w:pPr>
      <w:r>
        <w:rPr>
          <w:rFonts w:ascii="宋体" w:cs="宋体"/>
          <w:bCs w:val="0"/>
          <w:color w:val="auto"/>
          <w:sz w:val="32"/>
          <w:szCs w:val="32"/>
          <w:highlight w:val="none"/>
        </w:rPr>
        <w:br w:type="page"/>
      </w:r>
      <w:bookmarkStart w:id="27" w:name="_Toc676"/>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27"/>
    </w:p>
    <w:p>
      <w:pPr>
        <w:spacing w:line="360" w:lineRule="auto"/>
        <w:jc w:val="left"/>
        <w:rPr>
          <w:rFonts w:ascii="宋体" w:cs="宋体"/>
          <w:b/>
          <w:color w:val="auto"/>
          <w:szCs w:val="21"/>
          <w:highlight w:val="none"/>
        </w:rPr>
      </w:pPr>
      <w:bookmarkStart w:id="28" w:name="_Hlk48036094"/>
      <w:r>
        <w:rPr>
          <w:rFonts w:hint="eastAsia" w:ascii="宋体" w:hAnsi="宋体" w:cs="宋体"/>
          <w:b/>
          <w:color w:val="auto"/>
          <w:szCs w:val="21"/>
          <w:highlight w:val="none"/>
        </w:rPr>
        <w:t>说明：</w:t>
      </w:r>
    </w:p>
    <w:p>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的产品属于节能产品政府采购品目清单内标注“★”的（详见节能产品政府采购品目清单），供应商的竞标货物必须使用政府强制采购的节能产品，否则响应文件作无效响应处理。成交供应商须在供货时提供相应的节能产品认证证书。</w:t>
      </w:r>
    </w:p>
    <w:p>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、“实质性要求”是指竞争性谈判文件中已经指明不满足则响应无效的条款，或者不能负偏离的条款，或者采购需求中带“▲”的条款。</w:t>
      </w:r>
    </w:p>
    <w:p>
      <w:pPr>
        <w:keepLines/>
        <w:spacing w:line="400" w:lineRule="exact"/>
        <w:ind w:firstLine="422" w:firstLineChars="200"/>
        <w:rPr>
          <w:rFonts w:ascii="宋体" w:cs="宋体"/>
          <w:b/>
          <w:bCs/>
          <w:color w:val="auto"/>
          <w:highlight w:val="none"/>
        </w:rPr>
      </w:pPr>
      <w:r>
        <w:rPr>
          <w:rFonts w:ascii="宋体" w:hAnsi="宋体" w:cs="宋体"/>
          <w:b/>
          <w:bCs/>
          <w:color w:val="auto"/>
          <w:highlight w:val="none"/>
        </w:rPr>
        <w:t>5</w:t>
      </w:r>
      <w:r>
        <w:rPr>
          <w:rFonts w:hint="eastAsia" w:ascii="宋体" w:hAnsi="宋体" w:cs="宋体"/>
          <w:b/>
          <w:bCs/>
          <w:color w:val="auto"/>
          <w:highlight w:val="none"/>
        </w:rPr>
        <w:t>、供应商应根据自身实际情况如实响应竞争性谈判文件，不得仅将竞争性谈判文件内容简单复制粘贴作为竞标响应，否则将作无效响应处理。</w:t>
      </w:r>
    </w:p>
    <w:p>
      <w:pPr>
        <w:keepLines/>
        <w:spacing w:line="400" w:lineRule="exact"/>
        <w:ind w:firstLine="422" w:firstLineChars="200"/>
        <w:rPr>
          <w:rFonts w:ascii="宋体" w:cs="宋体"/>
          <w:b/>
          <w:bCs/>
          <w:color w:val="auto"/>
          <w:highlight w:val="none"/>
        </w:rPr>
      </w:pPr>
      <w:r>
        <w:rPr>
          <w:rFonts w:ascii="宋体" w:hAnsi="宋体" w:cs="宋体"/>
          <w:b/>
          <w:bCs/>
          <w:color w:val="auto"/>
          <w:highlight w:val="none"/>
        </w:rPr>
        <w:t>6</w:t>
      </w:r>
      <w:r>
        <w:rPr>
          <w:rFonts w:hint="eastAsia" w:ascii="宋体" w:hAnsi="宋体" w:cs="宋体"/>
          <w:b/>
          <w:bCs/>
          <w:color w:val="auto"/>
          <w:highlight w:val="none"/>
        </w:rPr>
        <w:t>、所属行业依照《中小企业划型标准规定》（工信部联企业〔</w:t>
      </w:r>
      <w:r>
        <w:rPr>
          <w:rFonts w:ascii="宋体" w:hAnsi="宋体" w:cs="宋体"/>
          <w:b/>
          <w:bCs/>
          <w:color w:val="auto"/>
          <w:highlight w:val="none"/>
        </w:rPr>
        <w:t>2011</w:t>
      </w:r>
      <w:r>
        <w:rPr>
          <w:rFonts w:hint="eastAsia" w:ascii="宋体" w:hAnsi="宋体" w:cs="宋体"/>
          <w:b/>
          <w:bCs/>
          <w:color w:val="auto"/>
          <w:highlight w:val="none"/>
        </w:rPr>
        <w:t>〕</w:t>
      </w:r>
      <w:r>
        <w:rPr>
          <w:rFonts w:ascii="宋体" w:hAnsi="宋体" w:cs="宋体"/>
          <w:b/>
          <w:bCs/>
          <w:color w:val="auto"/>
          <w:highlight w:val="none"/>
        </w:rPr>
        <w:t>300</w:t>
      </w:r>
      <w:r>
        <w:rPr>
          <w:rFonts w:hint="eastAsia" w:ascii="宋体" w:hAnsi="宋体" w:cs="宋体"/>
          <w:b/>
          <w:bCs/>
          <w:color w:val="auto"/>
          <w:highlight w:val="none"/>
        </w:rPr>
        <w:t>号）及《国民经济行业分类》（</w:t>
      </w:r>
      <w:r>
        <w:rPr>
          <w:rFonts w:ascii="宋体" w:hAnsi="宋体" w:cs="宋体"/>
          <w:b/>
          <w:bCs/>
          <w:color w:val="auto"/>
          <w:highlight w:val="none"/>
        </w:rPr>
        <w:t>GB/T4754-2017</w:t>
      </w:r>
      <w:r>
        <w:rPr>
          <w:rFonts w:hint="eastAsia" w:ascii="宋体" w:hAnsi="宋体" w:cs="宋体"/>
          <w:b/>
          <w:bCs/>
          <w:color w:val="auto"/>
          <w:highlight w:val="none"/>
        </w:rPr>
        <w:t>）的有关规定执行。本采购项目所有标的对应的所属行业为“工业”。</w:t>
      </w:r>
    </w:p>
    <w:p>
      <w:pPr>
        <w:pStyle w:val="40"/>
        <w:rPr>
          <w:rFonts w:ascii="宋体" w:cs="宋体"/>
          <w:b/>
          <w:color w:val="auto"/>
          <w:highlight w:val="none"/>
        </w:rPr>
      </w:pPr>
    </w:p>
    <w:tbl>
      <w:tblPr>
        <w:tblStyle w:val="24"/>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2065"/>
        <w:gridCol w:w="5379"/>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35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标的的名称</w:t>
            </w:r>
          </w:p>
        </w:tc>
        <w:tc>
          <w:tcPr>
            <w:tcW w:w="273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技术参数及性能配置要求</w:t>
            </w:r>
          </w:p>
        </w:tc>
        <w:tc>
          <w:tcPr>
            <w:tcW w:w="43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3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trPr>
        <w:tc>
          <w:tcPr>
            <w:tcW w:w="356" w:type="pct"/>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三段多体位治疗床</w:t>
            </w:r>
          </w:p>
        </w:tc>
        <w:tc>
          <w:tcPr>
            <w:tcW w:w="2732" w:type="pct"/>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highlight w:val="none"/>
              </w:rPr>
              <w:t>1、设计：床面分为头板、背板、腿板三部分，且三部分角度可以分别独立调节</w:t>
            </w:r>
            <w:r>
              <w:rPr>
                <w:rFonts w:hint="eastAsia" w:ascii="宋体" w:hAnsi="宋体" w:cs="宋体"/>
                <w:color w:val="auto"/>
                <w:highlight w:val="none"/>
              </w:rPr>
              <w:br w:type="textWrapping"/>
            </w:r>
            <w:r>
              <w:rPr>
                <w:rFonts w:hint="eastAsia" w:ascii="宋体" w:hAnsi="宋体" w:cs="宋体"/>
                <w:color w:val="auto"/>
                <w:highlight w:val="none"/>
              </w:rPr>
              <w:t>2、床面升降最高高度：≥800mm，头板调节最大角度≥30°，背板调节最大角度≥30°，大腿板调节最大角度≥30°</w:t>
            </w:r>
            <w:r>
              <w:rPr>
                <w:rFonts w:hint="eastAsia" w:ascii="宋体" w:hAnsi="宋体" w:cs="宋体"/>
                <w:color w:val="auto"/>
                <w:highlight w:val="none"/>
              </w:rPr>
              <w:br w:type="textWrapping"/>
            </w:r>
            <w:r>
              <w:rPr>
                <w:rFonts w:hint="eastAsia" w:ascii="宋体" w:hAnsi="宋体" w:cs="宋体"/>
                <w:color w:val="auto"/>
                <w:highlight w:val="none"/>
              </w:rPr>
              <w:t>3、床体动态承重：≥170kg</w:t>
            </w:r>
          </w:p>
        </w:tc>
        <w:tc>
          <w:tcPr>
            <w:tcW w:w="430" w:type="pct"/>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430" w:type="pct"/>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4"/>
                <w:highlight w:val="none"/>
                <w:lang w:bidi="ar"/>
              </w:rPr>
              <w:t>中低频治疗仪</w:t>
            </w:r>
          </w:p>
        </w:tc>
        <w:tc>
          <w:tcPr>
            <w:tcW w:w="2732" w:type="pct"/>
            <w:shd w:val="clear" w:color="auto" w:fill="auto"/>
            <w:vAlign w:val="center"/>
          </w:tcPr>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1、输出路数：4路输出通道</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2、输出电流波形：双相对称波</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3、≥5种电疗类型，≥7种治疗模式</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4、治疗参数多种可调</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5、输出模式：支持同步/异步，可选</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6、电流输出方式：支持恒流/恒压</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7、内置方案库：≥50种治疗方案</w:t>
            </w:r>
          </w:p>
          <w:p>
            <w:pPr>
              <w:keepNext w:val="0"/>
              <w:keepLines w:val="0"/>
              <w:widowControl/>
              <w:suppressLineNumbers w:val="0"/>
              <w:jc w:val="left"/>
              <w:textAlignment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8、安全功能保护：自动锁定功能、开路报警等</w:t>
            </w:r>
          </w:p>
        </w:tc>
        <w:tc>
          <w:tcPr>
            <w:tcW w:w="430" w:type="pct"/>
            <w:shd w:val="clear" w:color="auto" w:fill="auto"/>
            <w:vAlign w:val="center"/>
          </w:tcPr>
          <w:p>
            <w:pPr>
              <w:widowControl/>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color w:val="auto"/>
                <w:kern w:val="0"/>
                <w:szCs w:val="24"/>
                <w:highlight w:val="none"/>
                <w:lang w:bidi="ar"/>
              </w:rPr>
              <w:t>3</w:t>
            </w:r>
          </w:p>
        </w:tc>
        <w:tc>
          <w:tcPr>
            <w:tcW w:w="430" w:type="pct"/>
            <w:shd w:val="clear" w:color="auto" w:fill="auto"/>
            <w:vAlign w:val="center"/>
          </w:tcPr>
          <w:p>
            <w:pPr>
              <w:widowControl/>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多功能牵引系统</w:t>
            </w:r>
          </w:p>
        </w:tc>
        <w:tc>
          <w:tcPr>
            <w:tcW w:w="2732" w:type="pct"/>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电源：220V/50Hz</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功率：400VA/300VA</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牵引速度：0-15㎜/s</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腰椎牵引力：0-999N（可调）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颈椎牵引力：0-350N（可调）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牵引行程：腰椎0-250mm</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颈椎0-300mm</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总时间:：0-99min（可调）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持续时间：0-9 min（可调）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间歇时间：0-9 min（可调）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阶梯牵引系统时间：5s</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成角角度：上0-20°、下0-20°（可调）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摇摆角度：左0-28°、右0-28°（可调）</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整机尺寸： 256×60×70㎝</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lang w:val="en-US" w:eastAsia="zh-CN"/>
              </w:rPr>
              <w:t>整机重量：110㎏</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颈椎牵引由微电脑控制，腰椎牵引</w:t>
            </w:r>
            <w:r>
              <w:rPr>
                <w:rFonts w:hint="eastAsia" w:ascii="宋体" w:hAnsi="宋体" w:cs="宋体"/>
                <w:color w:val="auto"/>
                <w:kern w:val="0"/>
                <w:sz w:val="21"/>
                <w:szCs w:val="21"/>
                <w:highlight w:val="none"/>
                <w:lang w:val="en-US" w:eastAsia="zh-CN"/>
              </w:rPr>
              <w:t>由</w:t>
            </w:r>
            <w:r>
              <w:rPr>
                <w:rFonts w:hint="eastAsia" w:ascii="宋体" w:hAnsi="宋体" w:eastAsia="宋体" w:cs="宋体"/>
                <w:color w:val="auto"/>
                <w:kern w:val="0"/>
                <w:sz w:val="21"/>
                <w:szCs w:val="21"/>
                <w:highlight w:val="none"/>
                <w:lang w:val="en-US" w:eastAsia="zh-CN"/>
              </w:rPr>
              <w:t>微电脑控制</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大屏幕中文液晶视窗（液晶显示尺寸：122×92mm）</w:t>
            </w:r>
            <w:r>
              <w:rPr>
                <w:rFonts w:hint="eastAsia" w:ascii="宋体" w:hAnsi="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lang w:val="en-US" w:eastAsia="zh-CN"/>
              </w:rPr>
              <w:t>8种不同的牵引模式（持续式、间歇式、阶梯式）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20个病例参数存储</w:t>
            </w:r>
            <w:r>
              <w:rPr>
                <w:rFonts w:hint="eastAsia" w:ascii="宋体" w:hAnsi="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lang w:val="en-US" w:eastAsia="zh-CN"/>
              </w:rPr>
              <w:t>牵引力自动补偿功能</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设定值与实际牵引值同步监测</w:t>
            </w:r>
            <w:r>
              <w:rPr>
                <w:rFonts w:hint="eastAsia" w:ascii="宋体" w:hAnsi="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lang w:val="en-US" w:eastAsia="zh-CN"/>
              </w:rPr>
              <w:t>多种安全设计（最大牵引力腰椎999N，颈椎350N；患者急退器；医务人员操作急退键）</w:t>
            </w:r>
          </w:p>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一机双牵，点动上、下成角牵引，可自动、点动摇摆牵引（腰椎、颈椎牵引可同时使用，智能牵引）。</w:t>
            </w:r>
          </w:p>
        </w:tc>
        <w:tc>
          <w:tcPr>
            <w:tcW w:w="430" w:type="pct"/>
            <w:shd w:val="clear" w:color="auto" w:fill="auto"/>
            <w:vAlign w:val="center"/>
          </w:tcPr>
          <w:p>
            <w:pPr>
              <w:widowControl/>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color w:val="auto"/>
                <w:kern w:val="0"/>
                <w:szCs w:val="24"/>
                <w:highlight w:val="none"/>
                <w:lang w:bidi="ar"/>
              </w:rPr>
              <w:t>1</w:t>
            </w:r>
          </w:p>
        </w:tc>
        <w:tc>
          <w:tcPr>
            <w:tcW w:w="430" w:type="pct"/>
            <w:shd w:val="clear" w:color="auto" w:fill="auto"/>
            <w:vAlign w:val="center"/>
          </w:tcPr>
          <w:p>
            <w:pPr>
              <w:widowControl/>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0"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三维干扰电治疗仪</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 xml:space="preserve">1、输出路数：一路二维输出通道 </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2、中频指标：中频载波频率：2KHz-5KHz±10%</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3、干涉波差频频率：≥100Hz</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4、动态节律范围：3S—15S</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5、治疗模式：五种可调节；干涉模式：五种可调节；向量模式：六种可调节</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6、多重安全保护：过电流保护、过电压保护、断路保护警等</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szCs w:val="24"/>
                <w:highlight w:val="none"/>
              </w:rPr>
              <w:t>1</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脑循环功能治疗仪</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1、具有磁疗、仿生物电刺激小脑顶核、仿生物电刺激肢体“三功合一”功能；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2、产品结构及组成主要由主机和附件组成，附件包括电疗附件和磁疗附件 。</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3、磁疗</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3.1磁场频率：50Hz±2%；</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3.2强度：Ⅰ档3-10mT，Ⅱ档11-30mT,最高可达30mT；</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3.3振幅：三个档： 1档：10V±20%，2档：16V±20%，3档：27V±20%；</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3.4振频：0-10HZ可调，步长1Hz；</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3.5、定时功能：设置范围 5min～100min，步长为5min，最大值误差±2min。</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4.电疗</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4.1、输出强度：0～254级可调，步长为1；比率：0.5-5.0可调，步长为0.1；</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4.2 三种刺激电流，频率.强度.时间可调节.针对不同病症选择模式，可根据患者适应度进行个性化调节；</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4.3主治疗电极（脑部）≤30mA,辅电极（肢体）≤100mA，主电极输出开路电压峰值≤50V,辅电极输出开路电压峰值≤160V；</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4.4、时间：5-100min，治疗开始，设置的时间开始倒计时，治疗结束，有语音提示结束</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4.5、载波频率：2-10KHz可调，调制频率：1-160Hz 可调，输出比率：B/A 0.5-5；</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4.6、脉冲宽度50-250us；</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5、10.4真彩触摸屏显示，豪华推车式结构，便于移动，车轮可固定，方便患者治疗；</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6、九种治疗模式，选择任一模式进入治疗参数界面，可根据患者情况个性化选择治疗模式；</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7、输出路数：单路磁疗，单路电疗（乳突、上肢、下肢），磁疗、小脑顶核、肢体可同时使用，“具有三功合一”功能，磁疗、电疗即可同时使用，也可单独使用；</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8、环境温度：5℃-40℃;相对温度：30%-80%；大气压力：700hpa-1060hpa; 电源：AC220V±22V  50Hz±1Hz</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等速肌力训练仪</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尺寸（长宽高）：980*770*1185mm ,</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净重：40kg</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阻力油缸：采用双向液压阻尼油缸，</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大旋钮 10 档阻力调节；</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主架采用 50*100*2/2.5mm 平椭圆管和 40*80*3mm 平椭圆管；</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座、靠垫均采用新型环保皮革包裹可回收海绵，柔软舒适、透气性好，外层皮套可替换；</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主要训练上肢、肩背部肌群，可以有效地改善肩、肘关节的活动度和稳定性，改善胸廓活动度，增强心肺功能。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承重 150 公斤以上。</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生物刺激反馈仪（吞咽）</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1、通道数：4通道，独立可调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2、电流参数：AD采样率≥8192 Hz，AD采样位数16，刺激强度0-100mA，刺激频率0.5-999Hz，脉冲宽度10μs～1000μs，刺激波形：双相平衡波</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3、工作模块：具有功能康复、基础康复和评估反馈三大工作模块</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4、具有神经肌肉电刺激功能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5、具有肌电触发电刺激功能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6、具有对侧控制性功能电刺激功能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7、具有时序模式和独立刺激模式可选</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8、具有表面肌电评估功能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9、具有多媒体生物反馈训练功能</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中医定向透药治疗仪</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输出：4电极，同时治疗2名患者</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波形：直流、方波、正弦波、锯齿波、三角波、菱形波</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控制：液晶显示，按键控制</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模式：药导、按摩模式</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处方：内置16套专家治疗处方</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电极保温：支持</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动态磁场：支持</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移动：可置于桌面使用，亦可配置推车</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4"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踝关节智能康复机器人</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1、功能模式：≥4种，包含但不限于被动训练、评估功能、情景互动、报告生成和查询</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2、控制方式：结合伺服电机控制和电脑控制，提供训练时间、运动范围、运动速度调节</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3、训练速度：恒定运动速度5-20°/s 连续可调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4、运动范围：背屈0~30°，跖屈0~50°，连续可调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5、训练数据实时反馈：训练过程显示且可实时调节多种参数，包括活动范围、速度</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 具备快速启动功能：可直接推荐患者上一次训练处方，快速进入训练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7、数据库功能：可记录用户每次训练的得分和各项指标，自动生成训练评估报表，提供查询，新增，删除，修改等功能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8、软件预留多种接口，例如EMG信号，EEG信号接口，扩展设备功能</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9、具有抗电磁干扰能力强的CAN-bus信号传输方式</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10、多重安全保护：≥4种，包括但不限于急停开关，电子围栏，力量保护、漏电保护等</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kern w:val="0"/>
                <w:szCs w:val="24"/>
                <w:highlight w:val="none"/>
                <w:lang w:bidi="ar"/>
              </w:rPr>
              <w:t>1</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356" w:type="pct"/>
            <w:shd w:val="clear" w:color="auto" w:fill="auto"/>
            <w:vAlign w:val="center"/>
          </w:tcPr>
          <w:p>
            <w:pPr>
              <w:numPr>
                <w:ilvl w:val="0"/>
                <w:numId w:val="0"/>
              </w:numPr>
              <w:ind w:leftChars="0"/>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04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BOBATH床</w:t>
            </w:r>
          </w:p>
        </w:tc>
        <w:tc>
          <w:tcPr>
            <w:tcW w:w="2732" w:type="pct"/>
            <w:shd w:val="clear" w:color="auto" w:fill="auto"/>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1、通过电动升降与气动弹簧辅助靠背调节，方便患者进行坐位训练、转移训练等康复训练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2、材质：床体采用冷拉钢材烤漆材质，床面采用医用PVC皮革</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3、设计：床面分背板、尾板两部分。背板部分角度可调</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4、床面尺寸：长度2000mm±100mm，宽度1250mm±100mm</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5、床体动态承重：≥175kg</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6、床体高度可电动调节，升降高度范围：500～800mm±50mm</w:t>
            </w:r>
          </w:p>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7、一键固定/解锁：采用中控式脚轮固定装置</w:t>
            </w:r>
          </w:p>
        </w:tc>
        <w:tc>
          <w:tcPr>
            <w:tcW w:w="430" w:type="pct"/>
            <w:shd w:val="clear" w:color="auto" w:fill="auto"/>
            <w:vAlign w:val="center"/>
          </w:tcPr>
          <w:p>
            <w:pPr>
              <w:widowControl/>
              <w:jc w:val="center"/>
              <w:textAlignment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430" w:type="pct"/>
            <w:shd w:val="clear" w:color="auto" w:fill="auto"/>
            <w:vAlign w:val="center"/>
          </w:tcPr>
          <w:p>
            <w:pPr>
              <w:widowControl/>
              <w:jc w:val="center"/>
              <w:textAlignment w:val="center"/>
              <w:rPr>
                <w:rFonts w:hint="eastAsia" w:ascii="宋体" w:hAnsi="宋体" w:cs="宋体"/>
                <w:color w:val="auto"/>
                <w:kern w:val="0"/>
                <w:szCs w:val="24"/>
                <w:highlight w:val="none"/>
                <w:lang w:bidi="ar"/>
              </w:rPr>
            </w:pPr>
            <w:r>
              <w:rPr>
                <w:rFonts w:hint="eastAsia" w:ascii="宋体" w:hAnsi="宋体" w:cs="宋体"/>
                <w:color w:val="auto"/>
                <w:szCs w:val="24"/>
                <w:highlight w:val="none"/>
              </w:rPr>
              <w:t>张</w:t>
            </w:r>
          </w:p>
        </w:tc>
      </w:tr>
    </w:tbl>
    <w:p>
      <w:pPr>
        <w:pStyle w:val="11"/>
        <w:rPr>
          <w:color w:val="auto"/>
          <w:highlight w:val="none"/>
        </w:rPr>
      </w:pPr>
    </w:p>
    <w:bookmarkEnd w:id="28"/>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1"/>
        <w:gridCol w:w="7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Borders>
              <w:top w:val="single" w:color="auto" w:sz="4" w:space="0"/>
              <w:bottom w:val="single" w:color="auto" w:sz="4" w:space="0"/>
            </w:tcBorders>
          </w:tcPr>
          <w:p>
            <w:pPr>
              <w:spacing w:line="360" w:lineRule="auto"/>
              <w:rPr>
                <w:rFonts w:asci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hAnsi="宋体" w:cs="宋体"/>
                <w:bCs/>
                <w:color w:val="auto"/>
                <w:szCs w:val="21"/>
                <w:highlight w:val="none"/>
              </w:rPr>
              <w:t>产品备案证明</w:t>
            </w:r>
            <w:r>
              <w:rPr>
                <w:rFonts w:ascii="宋体" w:hAnsi="宋体" w:cs="宋体"/>
                <w:bCs/>
                <w:color w:val="auto"/>
                <w:szCs w:val="21"/>
                <w:highlight w:val="none"/>
              </w:rPr>
              <w:t>/</w:t>
            </w:r>
            <w:r>
              <w:rPr>
                <w:rFonts w:hint="eastAsia" w:ascii="宋体" w:hAnsi="宋体" w:cs="宋体"/>
                <w:bCs/>
                <w:color w:val="auto"/>
                <w:szCs w:val="21"/>
                <w:highlight w:val="none"/>
              </w:rPr>
              <w:t>产品注册证</w:t>
            </w:r>
          </w:p>
        </w:tc>
        <w:tc>
          <w:tcPr>
            <w:tcW w:w="3919" w:type="pct"/>
            <w:tcBorders>
              <w:top w:val="single" w:color="auto" w:sz="4" w:space="0"/>
              <w:left w:val="single" w:color="auto" w:sz="4" w:space="0"/>
              <w:bottom w:val="single" w:color="auto" w:sz="4" w:space="0"/>
            </w:tcBorders>
            <w:vAlign w:val="center"/>
          </w:tcPr>
          <w:p>
            <w:pPr>
              <w:spacing w:line="400" w:lineRule="exact"/>
              <w:rPr>
                <w:rFonts w:ascii="宋体" w:cs="宋体"/>
                <w:bCs/>
                <w:color w:val="auto"/>
                <w:szCs w:val="21"/>
                <w:highlight w:val="none"/>
              </w:rPr>
            </w:pPr>
            <w:r>
              <w:rPr>
                <w:rFonts w:hint="eastAsia" w:ascii="宋体" w:hAnsi="宋体" w:cs="宋体"/>
                <w:bCs/>
                <w:color w:val="auto"/>
                <w:szCs w:val="21"/>
                <w:highlight w:val="none"/>
              </w:rPr>
              <w:t>如竞标产品属于一类医疗器械的，响应文件中提供产品备案证明复印件；如竞标产品属于第二、三类医疗器械的，响应文件中提供国家主管部门颁发的有效的产品注册证明复印件。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b/>
                <w:color w:val="auto"/>
                <w:szCs w:val="21"/>
                <w:highlight w:val="none"/>
              </w:rPr>
            </w:pPr>
            <w:r>
              <w:rPr>
                <w:rFonts w:hint="eastAsia" w:ascii="宋体" w:hAnsi="宋体" w:cs="宋体"/>
                <w:bCs/>
                <w:color w:val="auto"/>
                <w:szCs w:val="21"/>
                <w:highlight w:val="none"/>
              </w:rPr>
              <w:t>竞标报价</w:t>
            </w:r>
          </w:p>
        </w:tc>
        <w:tc>
          <w:tcPr>
            <w:tcW w:w="3919" w:type="pct"/>
            <w:tcBorders>
              <w:top w:val="single" w:color="auto" w:sz="4" w:space="0"/>
              <w:left w:val="single" w:color="auto" w:sz="4" w:space="0"/>
              <w:bottom w:val="single" w:color="auto" w:sz="4" w:space="0"/>
            </w:tcBorders>
            <w:vAlign w:val="center"/>
          </w:tcPr>
          <w:p>
            <w:pPr>
              <w:spacing w:line="400" w:lineRule="exact"/>
              <w:rPr>
                <w:rFonts w:ascii="宋体" w:cs="宋体"/>
                <w:color w:val="auto"/>
                <w:szCs w:val="21"/>
                <w:highlight w:val="none"/>
              </w:rPr>
            </w:pPr>
            <w:r>
              <w:rPr>
                <w:rFonts w:hint="eastAsia" w:ascii="宋体" w:hAnsi="宋体" w:cs="宋体"/>
                <w:bCs/>
                <w:color w:val="auto"/>
                <w:szCs w:val="21"/>
                <w:highlight w:val="none"/>
              </w:rPr>
              <w:t>竞标报价包括本次采购范围内的货物货款、货物标准附件、备品备件、专用工具、包装、运输、装卸、保险、税金、货到就位以及安装、安装所需辅材、调试</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含管道吹扫、管道压力试验、气密性试验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验收、培训、保修等一切税金和费用。对于本文件中未列明，而竞标人认为必须的费用也需列入总报价。在合同实施时，采购人将不予支付成交供应商没有列入的项目费用，并认为此项目的费用已包括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b/>
                <w:color w:val="auto"/>
                <w:szCs w:val="21"/>
                <w:highlight w:val="none"/>
              </w:rPr>
            </w:pPr>
            <w:r>
              <w:rPr>
                <w:rFonts w:hint="eastAsia" w:ascii="宋体" w:hAnsi="宋体" w:cs="宋体"/>
                <w:color w:val="auto"/>
                <w:szCs w:val="21"/>
                <w:highlight w:val="none"/>
              </w:rPr>
              <w:t>交付期及地点</w:t>
            </w:r>
          </w:p>
        </w:tc>
        <w:tc>
          <w:tcPr>
            <w:tcW w:w="3919" w:type="pct"/>
            <w:tcBorders>
              <w:top w:val="single" w:color="auto" w:sz="4" w:space="0"/>
              <w:left w:val="single" w:color="auto" w:sz="4" w:space="0"/>
              <w:bottom w:val="single" w:color="auto" w:sz="4" w:space="0"/>
            </w:tcBorders>
            <w:vAlign w:val="center"/>
          </w:tcPr>
          <w:p>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、交货时间：</w:t>
            </w:r>
            <w:r>
              <w:rPr>
                <w:rFonts w:hint="eastAsia" w:ascii="宋体" w:hAnsi="宋体" w:cs="宋体"/>
                <w:bCs/>
                <w:color w:val="auto"/>
                <w:szCs w:val="21"/>
                <w:highlight w:val="none"/>
                <w:lang w:eastAsia="zh-CN"/>
              </w:rPr>
              <w:t>签订合同后15个工作日内安装调试完毕并交付使用</w:t>
            </w:r>
            <w:r>
              <w:rPr>
                <w:rFonts w:hint="eastAsia" w:ascii="宋体" w:hAnsi="宋体" w:cs="宋体"/>
                <w:color w:val="auto"/>
                <w:szCs w:val="21"/>
                <w:highlight w:val="none"/>
              </w:rPr>
              <w:t>。</w:t>
            </w:r>
          </w:p>
          <w:p>
            <w:pPr>
              <w:spacing w:line="400" w:lineRule="exact"/>
              <w:jc w:val="left"/>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b/>
                <w:color w:val="auto"/>
                <w:szCs w:val="21"/>
                <w:highlight w:val="none"/>
              </w:rPr>
            </w:pPr>
            <w:r>
              <w:rPr>
                <w:rFonts w:hint="eastAsia" w:ascii="宋体" w:hAnsi="宋体" w:cs="宋体"/>
                <w:color w:val="auto"/>
                <w:szCs w:val="21"/>
                <w:highlight w:val="none"/>
              </w:rPr>
              <w:t>付款方式</w:t>
            </w:r>
          </w:p>
        </w:tc>
        <w:tc>
          <w:tcPr>
            <w:tcW w:w="3919" w:type="pct"/>
            <w:tcBorders>
              <w:top w:val="single" w:color="auto" w:sz="4" w:space="0"/>
              <w:left w:val="single" w:color="auto" w:sz="4" w:space="0"/>
              <w:bottom w:val="single" w:color="auto" w:sz="4" w:space="0"/>
            </w:tcBorders>
            <w:vAlign w:val="center"/>
          </w:tcPr>
          <w:p>
            <w:pPr>
              <w:spacing w:line="400" w:lineRule="exact"/>
              <w:rPr>
                <w:rFonts w:hint="eastAsia" w:eastAsia="宋体"/>
                <w:color w:val="auto"/>
                <w:highlight w:val="none"/>
                <w:lang w:eastAsia="zh-CN"/>
              </w:rPr>
            </w:pPr>
            <w:r>
              <w:rPr>
                <w:rFonts w:hint="eastAsia" w:ascii="宋体" w:hAnsi="宋体" w:eastAsia="宋体" w:cs="宋体"/>
                <w:color w:val="auto"/>
                <w:sz w:val="21"/>
                <w:szCs w:val="21"/>
                <w:highlight w:val="none"/>
                <w:lang w:val="en-US" w:eastAsia="zh-CN"/>
              </w:rPr>
              <w:t>签订合同之日起10个工作日内支付合同价款的30%，</w:t>
            </w:r>
            <w:r>
              <w:rPr>
                <w:rFonts w:hint="eastAsia" w:ascii="宋体" w:hAnsi="宋体" w:eastAsia="宋体" w:cs="宋体"/>
                <w:color w:val="auto"/>
                <w:sz w:val="21"/>
                <w:szCs w:val="21"/>
                <w:highlight w:val="none"/>
              </w:rPr>
              <w:t>货物到达甲方指定地点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Cs w:val="21"/>
                <w:highlight w:val="none"/>
                <w:lang w:eastAsia="zh-CN" w:bidi="ar"/>
              </w:rPr>
              <w:t>全部货物安装完成验收合格后, 成交供应商先提供合格发票，</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在20个工作日</w:t>
            </w:r>
            <w:r>
              <w:rPr>
                <w:rFonts w:hint="eastAsia" w:ascii="宋体" w:hAnsi="宋体" w:eastAsia="宋体" w:cs="宋体"/>
                <w:color w:val="auto"/>
                <w:sz w:val="21"/>
                <w:szCs w:val="21"/>
                <w:highlight w:val="none"/>
              </w:rPr>
              <w:t>内支付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价款</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hAnsi="宋体" w:cs="宋体"/>
                <w:color w:val="auto"/>
                <w:szCs w:val="21"/>
                <w:highlight w:val="none"/>
              </w:rPr>
              <w:t>质量标准</w:t>
            </w:r>
          </w:p>
        </w:tc>
        <w:tc>
          <w:tcPr>
            <w:tcW w:w="3919" w:type="pct"/>
            <w:tcBorders>
              <w:top w:val="single" w:color="auto" w:sz="4" w:space="0"/>
              <w:left w:val="single" w:color="auto" w:sz="4" w:space="0"/>
              <w:bottom w:val="single" w:color="auto" w:sz="4" w:space="0"/>
            </w:tcBorders>
            <w:vAlign w:val="center"/>
          </w:tcPr>
          <w:p>
            <w:pPr>
              <w:spacing w:line="400" w:lineRule="exact"/>
              <w:rPr>
                <w:rFonts w:ascii="宋体" w:cs="宋体"/>
                <w:color w:val="auto"/>
                <w:highlight w:val="none"/>
              </w:rPr>
            </w:pPr>
            <w:r>
              <w:rPr>
                <w:rFonts w:hint="eastAsia" w:ascii="宋体" w:hAnsi="宋体" w:cs="宋体"/>
                <w:color w:val="auto"/>
                <w:szCs w:val="21"/>
                <w:highlight w:val="none"/>
              </w:rPr>
              <w:t>符合设备制造厂家合格产品的出厂质量标准。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hAnsi="宋体" w:cs="宋体"/>
                <w:color w:val="auto"/>
                <w:szCs w:val="21"/>
                <w:highlight w:val="none"/>
              </w:rPr>
              <w:t>质保期</w:t>
            </w:r>
          </w:p>
        </w:tc>
        <w:tc>
          <w:tcPr>
            <w:tcW w:w="3919" w:type="pct"/>
            <w:tcBorders>
              <w:top w:val="single" w:color="auto" w:sz="4" w:space="0"/>
              <w:left w:val="single" w:color="auto" w:sz="4" w:space="0"/>
              <w:bottom w:val="single" w:color="auto" w:sz="4" w:space="0"/>
            </w:tcBorders>
            <w:vAlign w:val="center"/>
          </w:tcPr>
          <w:p>
            <w:pPr>
              <w:spacing w:line="360" w:lineRule="auto"/>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按国家有关产品“三包”规定执行“三包”，本</w:t>
            </w:r>
            <w:r>
              <w:rPr>
                <w:rFonts w:hint="eastAsia" w:ascii="宋体" w:hAnsi="宋体" w:cs="宋体"/>
                <w:color w:val="auto"/>
                <w:szCs w:val="21"/>
                <w:highlight w:val="none"/>
                <w:lang w:val="en-US" w:eastAsia="zh-CN"/>
              </w:rPr>
              <w:t>项目系统整体质保为1年（需求表中对部件质保期另有要求的从其要求）</w:t>
            </w:r>
            <w:r>
              <w:rPr>
                <w:rFonts w:hint="eastAsia" w:ascii="宋体" w:hAnsi="宋体" w:cs="宋体"/>
                <w:color w:val="auto"/>
                <w:szCs w:val="21"/>
                <w:highlight w:val="none"/>
              </w:rPr>
              <w:t>，在规定的保修期内，凡货物质量事故和质量缺陷由成交人无偿保修。质保期内非人为损坏免费更换所有故障零配件，并免费提供设备的系统软件及硬件的安全性改版升级和技术支持，确保设备正常运行。</w:t>
            </w:r>
            <w:r>
              <w:rPr>
                <w:rFonts w:ascii="宋体" w:hAnsi="宋体" w:cs="宋体"/>
                <w:color w:val="auto"/>
                <w:szCs w:val="21"/>
                <w:highlight w:val="none"/>
              </w:rPr>
              <w:t xml:space="preserve">         </w:t>
            </w:r>
          </w:p>
          <w:p>
            <w:pPr>
              <w:numPr>
                <w:ilvl w:val="0"/>
                <w:numId w:val="0"/>
              </w:numPr>
              <w:spacing w:line="400" w:lineRule="exact"/>
              <w:rPr>
                <w:rFonts w:asci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质保期所更换的零配件必须是免费原厂全新的零配件，满足设备运行要求。</w:t>
            </w:r>
            <w:r>
              <w:rPr>
                <w:rFonts w:ascii="宋体" w:hAnsi="宋体" w:cs="宋体"/>
                <w:color w:val="auto"/>
                <w:szCs w:val="21"/>
                <w:highlight w:val="none"/>
              </w:rPr>
              <w:t xml:space="preserve">              </w:t>
            </w:r>
          </w:p>
          <w:p>
            <w:pPr>
              <w:numPr>
                <w:ilvl w:val="0"/>
                <w:numId w:val="0"/>
              </w:numPr>
              <w:spacing w:line="400" w:lineRule="exact"/>
              <w:rPr>
                <w:rFonts w:asci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质保期内每年提供至少</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次设备检查保养服务</w:t>
            </w:r>
            <w:r>
              <w:rPr>
                <w:rFonts w:ascii="宋体" w:hAnsi="宋体" w:cs="宋体"/>
                <w:color w:val="auto"/>
                <w:szCs w:val="21"/>
                <w:highlight w:val="none"/>
              </w:rPr>
              <w:t>(</w:t>
            </w:r>
            <w:r>
              <w:rPr>
                <w:rFonts w:hint="eastAsia" w:ascii="宋体" w:hAnsi="宋体" w:cs="宋体"/>
                <w:color w:val="auto"/>
                <w:szCs w:val="21"/>
                <w:highlight w:val="none"/>
              </w:rPr>
              <w:t>使用专业检测设备</w:t>
            </w:r>
            <w:r>
              <w:rPr>
                <w:rFonts w:ascii="宋体" w:hAnsi="宋体" w:cs="宋体"/>
                <w:color w:val="auto"/>
                <w:szCs w:val="21"/>
                <w:highlight w:val="none"/>
              </w:rPr>
              <w:t>)</w:t>
            </w:r>
            <w:r>
              <w:rPr>
                <w:rFonts w:hint="eastAsia" w:ascii="宋体" w:hAnsi="宋体" w:cs="宋体"/>
                <w:color w:val="auto"/>
                <w:szCs w:val="21"/>
                <w:highlight w:val="none"/>
              </w:rPr>
              <w:t>，每次保养及维修均需提供双方签字确认的保养服务工单或维修工单。</w:t>
            </w:r>
            <w:r>
              <w:rPr>
                <w:rFonts w:ascii="宋体" w:hAnsi="宋体" w:cs="宋体"/>
                <w:color w:val="auto"/>
                <w:szCs w:val="21"/>
                <w:highlight w:val="none"/>
              </w:rPr>
              <w:t xml:space="preserve">                                  </w:t>
            </w:r>
          </w:p>
          <w:p>
            <w:pPr>
              <w:spacing w:line="400" w:lineRule="exact"/>
              <w:rPr>
                <w:rFonts w:ascii="宋体" w:cs="宋体"/>
                <w:color w:val="auto"/>
                <w:highlight w:val="none"/>
              </w:rPr>
            </w:pPr>
            <w:r>
              <w:rPr>
                <w:rFonts w:ascii="宋体" w:hAnsi="宋体" w:cs="宋体"/>
                <w:color w:val="auto"/>
                <w:szCs w:val="21"/>
                <w:highlight w:val="none"/>
              </w:rPr>
              <w:t>4</w:t>
            </w:r>
            <w:r>
              <w:rPr>
                <w:rFonts w:hint="eastAsia" w:ascii="宋体" w:hAnsi="宋体" w:cs="宋体"/>
                <w:color w:val="auto"/>
                <w:szCs w:val="21"/>
                <w:highlight w:val="none"/>
              </w:rPr>
              <w:t>、质量保证期承诺优于国家“三包”规定的，或优于竞争性谈判文件规定的，按竞标人实际承诺执行。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hAnsi="宋体" w:cs="宋体"/>
                <w:color w:val="auto"/>
                <w:szCs w:val="21"/>
                <w:highlight w:val="none"/>
              </w:rPr>
              <w:t>售后服务要求</w:t>
            </w:r>
          </w:p>
        </w:tc>
        <w:tc>
          <w:tcPr>
            <w:tcW w:w="3919" w:type="pct"/>
            <w:tcBorders>
              <w:top w:val="single" w:color="auto" w:sz="4" w:space="0"/>
              <w:left w:val="single" w:color="auto" w:sz="4" w:space="0"/>
              <w:bottom w:val="single" w:color="auto" w:sz="4" w:space="0"/>
            </w:tcBorders>
            <w:vAlign w:val="center"/>
          </w:tcPr>
          <w:p>
            <w:pPr>
              <w:widowControl/>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、免费送货上门、安装调试，免费培训，安装完成后成交人负责清理产生的木箱等垃圾；</w:t>
            </w:r>
          </w:p>
          <w:p>
            <w:pPr>
              <w:widowControl/>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、竞标人应提出可行的售后服务承诺书；</w:t>
            </w:r>
          </w:p>
          <w:p>
            <w:pPr>
              <w:widowControl/>
              <w:spacing w:line="400" w:lineRule="exac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、按厂家承诺实行“三包”；</w:t>
            </w:r>
          </w:p>
          <w:p>
            <w:pPr>
              <w:widowControl/>
              <w:spacing w:line="40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、备件、技术及维修服务，培训要求及其它：</w:t>
            </w:r>
          </w:p>
          <w:p>
            <w:pPr>
              <w:widowControl/>
              <w:spacing w:line="400" w:lineRule="exac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备件要求：竞标人或厂家应设有备件库，存入所有必须的备件，保证必要时可以及时供应；</w:t>
            </w:r>
          </w:p>
          <w:p>
            <w:pPr>
              <w:widowControl/>
              <w:spacing w:line="400" w:lineRule="exac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技术及维修服务：竞标人或厂家应配置多名工程技术人员，随时提供开箱验货、安装、调试或维修等服务；</w:t>
            </w:r>
          </w:p>
          <w:p>
            <w:pPr>
              <w:widowControl/>
              <w:spacing w:line="400" w:lineRule="exac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技术培训要求：供应商对其提供产品或服务的使用和操作应尽培训义务。供应商应提供对采购人的基本培训，使采购人使用人员熟练掌握所培训内容，熟练掌握全部功能，培训的相关费用包括在投标报价中，采购人不再另行支付。；</w:t>
            </w:r>
          </w:p>
          <w:p>
            <w:pPr>
              <w:widowControl/>
              <w:spacing w:line="400" w:lineRule="exact"/>
              <w:rPr>
                <w:rFonts w:hint="eastAsia" w:ascii="宋体" w:eastAsia="宋体" w:cs="宋体"/>
                <w:color w:val="auto"/>
                <w:highlight w:val="none"/>
                <w:lang w:val="en-US" w:eastAsia="zh-CN"/>
              </w:rPr>
            </w:pPr>
            <w:r>
              <w:rPr>
                <w:rFonts w:ascii="宋体" w:hAnsi="宋体" w:cs="宋体"/>
                <w:color w:val="auto"/>
                <w:szCs w:val="21"/>
                <w:highlight w:val="none"/>
              </w:rPr>
              <w:t xml:space="preserve">(4) </w:t>
            </w:r>
            <w:r>
              <w:rPr>
                <w:rFonts w:hint="eastAsia" w:ascii="宋体" w:hAnsi="宋体" w:cs="宋体"/>
                <w:color w:val="auto"/>
                <w:szCs w:val="21"/>
                <w:highlight w:val="none"/>
              </w:rPr>
              <w:t>质保期内设备发生故障时，接报修电话后</w:t>
            </w:r>
            <w:r>
              <w:rPr>
                <w:rFonts w:ascii="宋体" w:hAnsi="宋体" w:cs="宋体"/>
                <w:color w:val="auto"/>
                <w:szCs w:val="21"/>
                <w:highlight w:val="none"/>
              </w:rPr>
              <w:t>1</w:t>
            </w:r>
            <w:r>
              <w:rPr>
                <w:rFonts w:hint="eastAsia" w:ascii="宋体" w:hAnsi="宋体" w:cs="宋体"/>
                <w:color w:val="auto"/>
                <w:szCs w:val="21"/>
                <w:highlight w:val="none"/>
              </w:rPr>
              <w:t>小时内响应，工程师</w:t>
            </w:r>
            <w:r>
              <w:rPr>
                <w:rFonts w:ascii="宋体" w:hAnsi="宋体" w:cs="宋体"/>
                <w:color w:val="auto"/>
                <w:szCs w:val="21"/>
                <w:highlight w:val="none"/>
              </w:rPr>
              <w:t>24</w:t>
            </w:r>
            <w:r>
              <w:rPr>
                <w:rFonts w:hint="eastAsia" w:ascii="宋体" w:hAnsi="宋体" w:cs="宋体"/>
                <w:color w:val="auto"/>
                <w:szCs w:val="21"/>
                <w:highlight w:val="none"/>
              </w:rPr>
              <w:t>小时内到位，维修中所需要零配件供应最长时间不超过</w:t>
            </w:r>
            <w:r>
              <w:rPr>
                <w:rFonts w:ascii="宋体" w:hAnsi="宋体" w:cs="宋体"/>
                <w:color w:val="auto"/>
                <w:szCs w:val="21"/>
                <w:highlight w:val="none"/>
              </w:rPr>
              <w:t>3</w:t>
            </w:r>
            <w:r>
              <w:rPr>
                <w:rFonts w:hint="eastAsia" w:ascii="宋体" w:hAnsi="宋体" w:cs="宋体"/>
                <w:color w:val="auto"/>
                <w:szCs w:val="21"/>
                <w:highlight w:val="none"/>
              </w:rPr>
              <w:t>天，故障</w:t>
            </w:r>
            <w:r>
              <w:rPr>
                <w:rFonts w:ascii="宋体" w:hAnsi="宋体" w:cs="宋体"/>
                <w:color w:val="auto"/>
                <w:szCs w:val="21"/>
                <w:highlight w:val="none"/>
              </w:rPr>
              <w:t>3</w:t>
            </w:r>
            <w:r>
              <w:rPr>
                <w:rFonts w:hint="eastAsia" w:ascii="宋体" w:hAnsi="宋体" w:cs="宋体"/>
                <w:color w:val="auto"/>
                <w:szCs w:val="21"/>
                <w:highlight w:val="none"/>
              </w:rPr>
              <w:t>天内未能修复的需提供备用机或备用件。特殊情况无法到达须提前与科室或设备主管科室沟通。如需更换配件，小配件</w:t>
            </w:r>
            <w:r>
              <w:rPr>
                <w:rFonts w:ascii="宋体" w:hAnsi="宋体" w:cs="宋体"/>
                <w:color w:val="auto"/>
                <w:szCs w:val="21"/>
                <w:highlight w:val="none"/>
              </w:rPr>
              <w:t>1</w:t>
            </w:r>
            <w:r>
              <w:rPr>
                <w:rFonts w:hint="eastAsia" w:ascii="宋体" w:hAnsi="宋体" w:cs="宋体"/>
                <w:color w:val="auto"/>
                <w:szCs w:val="21"/>
                <w:highlight w:val="none"/>
              </w:rPr>
              <w:t>个工作日内更换完毕，大配件</w:t>
            </w:r>
            <w:r>
              <w:rPr>
                <w:rFonts w:ascii="宋体" w:hAnsi="宋体" w:cs="宋体"/>
                <w:color w:val="auto"/>
                <w:szCs w:val="21"/>
                <w:highlight w:val="none"/>
              </w:rPr>
              <w:t>3</w:t>
            </w:r>
            <w:r>
              <w:rPr>
                <w:rFonts w:hint="eastAsia" w:ascii="宋体" w:hAnsi="宋体" w:cs="宋体"/>
                <w:color w:val="auto"/>
                <w:szCs w:val="21"/>
                <w:highlight w:val="none"/>
              </w:rPr>
              <w:t>个工作日内更换完毕。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1" w:type="pct"/>
            <w:tcBorders>
              <w:top w:val="single" w:color="auto" w:sz="4" w:space="0"/>
              <w:bottom w:val="single" w:color="auto" w:sz="4" w:space="0"/>
              <w:right w:val="single" w:color="auto" w:sz="4" w:space="0"/>
            </w:tcBorders>
            <w:vAlign w:val="center"/>
          </w:tcPr>
          <w:p>
            <w:pPr>
              <w:spacing w:line="400" w:lineRule="exact"/>
              <w:jc w:val="center"/>
              <w:rPr>
                <w:rFonts w:ascii="宋体" w:cs="宋体"/>
                <w:color w:val="auto"/>
                <w:szCs w:val="21"/>
                <w:highlight w:val="none"/>
              </w:rPr>
            </w:pPr>
            <w:r>
              <w:rPr>
                <w:rFonts w:hint="eastAsia" w:ascii="宋体" w:hAnsi="宋体" w:cs="宋体"/>
                <w:color w:val="auto"/>
                <w:szCs w:val="21"/>
                <w:highlight w:val="none"/>
              </w:rPr>
              <w:t>验收要求及方式</w:t>
            </w:r>
          </w:p>
        </w:tc>
        <w:tc>
          <w:tcPr>
            <w:tcW w:w="3919" w:type="pct"/>
            <w:tcBorders>
              <w:top w:val="single" w:color="auto" w:sz="4" w:space="0"/>
              <w:left w:val="single" w:color="auto" w:sz="4" w:space="0"/>
              <w:bottom w:val="single" w:color="auto" w:sz="4" w:space="0"/>
            </w:tcBorders>
            <w:vAlign w:val="center"/>
          </w:tcPr>
          <w:p>
            <w:pPr>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1.验收费用</w:t>
            </w:r>
          </w:p>
          <w:p>
            <w:pPr>
              <w:snapToGrid w:val="0"/>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验收过程中所产生的一切费用均由成交供应商承担；</w:t>
            </w:r>
          </w:p>
          <w:p>
            <w:pPr>
              <w:spacing w:line="400" w:lineRule="exact"/>
              <w:rPr>
                <w:rFonts w:hint="eastAsia" w:ascii="宋体" w:cs="宋体"/>
                <w:color w:val="auto"/>
                <w:highlight w:val="none"/>
              </w:rPr>
            </w:pPr>
            <w:r>
              <w:rPr>
                <w:rFonts w:hint="eastAsia" w:ascii="宋体" w:cs="宋体"/>
                <w:color w:val="auto"/>
                <w:highlight w:val="none"/>
                <w:lang w:val="en-US" w:eastAsia="zh-CN"/>
              </w:rPr>
              <w:t>2.</w:t>
            </w:r>
            <w:r>
              <w:rPr>
                <w:rFonts w:hint="eastAsia" w:ascii="宋体" w:cs="宋体"/>
                <w:color w:val="auto"/>
                <w:highlight w:val="none"/>
              </w:rPr>
              <w:t>检查供货范围或服务范围</w:t>
            </w:r>
          </w:p>
          <w:p>
            <w:pPr>
              <w:spacing w:line="400" w:lineRule="exact"/>
              <w:rPr>
                <w:rFonts w:hint="eastAsia" w:ascii="宋体" w:cs="宋体"/>
                <w:color w:val="auto"/>
                <w:highlight w:val="none"/>
              </w:rPr>
            </w:pPr>
            <w:r>
              <w:rPr>
                <w:rFonts w:hint="eastAsia" w:ascii="宋体" w:cs="宋体"/>
                <w:color w:val="auto"/>
                <w:highlight w:val="none"/>
              </w:rPr>
              <w:t>2.1产品到达现场后，</w:t>
            </w:r>
            <w:r>
              <w:rPr>
                <w:rFonts w:hint="eastAsia" w:ascii="宋体" w:cs="宋体"/>
                <w:color w:val="auto"/>
                <w:highlight w:val="none"/>
                <w:lang w:eastAsia="zh-CN"/>
              </w:rPr>
              <w:t>成交供应商</w:t>
            </w:r>
            <w:r>
              <w:rPr>
                <w:rFonts w:hint="eastAsia" w:ascii="宋体" w:cs="宋体"/>
                <w:color w:val="auto"/>
                <w:highlight w:val="none"/>
              </w:rPr>
              <w:t>应在采购人单位人员在场情况下当面开箱，共同清点、检查外观，作出开箱记录，双方签字确认。</w:t>
            </w:r>
            <w:r>
              <w:rPr>
                <w:rFonts w:hint="eastAsia" w:ascii="宋体" w:cs="宋体"/>
                <w:color w:val="auto"/>
                <w:highlight w:val="none"/>
                <w:lang w:eastAsia="zh-CN"/>
              </w:rPr>
              <w:t>成交供应商</w:t>
            </w:r>
            <w:r>
              <w:rPr>
                <w:rFonts w:hint="eastAsia" w:ascii="宋体" w:cs="宋体"/>
                <w:color w:val="auto"/>
                <w:highlight w:val="none"/>
              </w:rPr>
              <w:t>应保证货物到达采购人所在地完好无损，如有缺漏、损坏，由</w:t>
            </w:r>
            <w:r>
              <w:rPr>
                <w:rFonts w:hint="eastAsia" w:ascii="宋体" w:cs="宋体"/>
                <w:color w:val="auto"/>
                <w:highlight w:val="none"/>
                <w:lang w:eastAsia="zh-CN"/>
              </w:rPr>
              <w:t>成交供应商</w:t>
            </w:r>
            <w:r>
              <w:rPr>
                <w:rFonts w:hint="eastAsia" w:ascii="宋体" w:cs="宋体"/>
                <w:color w:val="auto"/>
                <w:highlight w:val="none"/>
              </w:rPr>
              <w:t xml:space="preserve">负责调换、补齐或赔偿。 </w:t>
            </w:r>
          </w:p>
          <w:p>
            <w:pPr>
              <w:spacing w:line="400" w:lineRule="exact"/>
              <w:rPr>
                <w:rFonts w:hint="eastAsia" w:ascii="宋体" w:cs="宋体"/>
                <w:color w:val="auto"/>
                <w:highlight w:val="none"/>
              </w:rPr>
            </w:pPr>
            <w:r>
              <w:rPr>
                <w:rFonts w:hint="eastAsia" w:ascii="宋体" w:cs="宋体"/>
                <w:color w:val="auto"/>
                <w:highlight w:val="none"/>
              </w:rPr>
              <w:t>2.2</w:t>
            </w:r>
            <w:r>
              <w:rPr>
                <w:rFonts w:hint="eastAsia" w:ascii="宋体" w:cs="宋体"/>
                <w:color w:val="auto"/>
                <w:highlight w:val="none"/>
                <w:lang w:eastAsia="zh-CN"/>
              </w:rPr>
              <w:t>成交供应商</w:t>
            </w:r>
            <w:r>
              <w:rPr>
                <w:rFonts w:hint="eastAsia" w:ascii="宋体" w:cs="宋体"/>
                <w:color w:val="auto"/>
                <w:highlight w:val="none"/>
              </w:rPr>
              <w:t>应提供完备的技术或服务资料、装箱单和合格证等，并派遣专业人员进行现场安装调试。验收合格条件如下：</w:t>
            </w:r>
          </w:p>
          <w:p>
            <w:pPr>
              <w:spacing w:line="400" w:lineRule="exact"/>
              <w:rPr>
                <w:rFonts w:hint="eastAsia" w:ascii="宋体" w:cs="宋体"/>
                <w:color w:val="auto"/>
                <w:highlight w:val="none"/>
              </w:rPr>
            </w:pPr>
            <w:r>
              <w:rPr>
                <w:rFonts w:hint="eastAsia" w:ascii="宋体" w:cs="宋体"/>
                <w:color w:val="auto"/>
                <w:highlight w:val="none"/>
              </w:rPr>
              <w:t>2.2.1 货物技术参数与投标文件中响应表或证明材料一致，性能或指标达到规定的标准，否则，以实际货物或服务技术参数与投标文件响应表参数或证明材料比较，按如下情况处理：</w:t>
            </w:r>
          </w:p>
          <w:p>
            <w:pPr>
              <w:spacing w:line="400" w:lineRule="exact"/>
              <w:rPr>
                <w:rFonts w:hint="eastAsia" w:ascii="宋体" w:cs="宋体"/>
                <w:color w:val="auto"/>
                <w:highlight w:val="none"/>
              </w:rPr>
            </w:pPr>
            <w:r>
              <w:rPr>
                <w:rFonts w:hint="eastAsia" w:ascii="宋体" w:cs="宋体"/>
                <w:color w:val="auto"/>
                <w:highlight w:val="none"/>
              </w:rPr>
              <w:t>（1）供应商投标文件响应表或证明材料中满足或优于的技术参数，在验收时实际不满足技术参数要求的，视为供货商违约，采购人有权终止合同拒收货物，并追究供应商责任，同时报财政部门备案。</w:t>
            </w:r>
          </w:p>
          <w:p>
            <w:pPr>
              <w:spacing w:line="400" w:lineRule="exact"/>
              <w:rPr>
                <w:rFonts w:hint="eastAsia" w:ascii="宋体" w:cs="宋体"/>
                <w:color w:val="auto"/>
                <w:highlight w:val="none"/>
              </w:rPr>
            </w:pPr>
            <w:r>
              <w:rPr>
                <w:rFonts w:hint="eastAsia" w:ascii="宋体" w:cs="宋体"/>
                <w:color w:val="auto"/>
                <w:highlight w:val="none"/>
              </w:rPr>
              <w:t>（2）供应商投标文件响应表或证明材料中优于的技术参数，在验收时实际仅满足并未优于技术参数要求的，视为供货商违约，采购人有权终止合同拒收货物，并追究供应商责任，同时报财政部门备案。</w:t>
            </w:r>
          </w:p>
          <w:p>
            <w:pPr>
              <w:spacing w:line="400" w:lineRule="exact"/>
              <w:rPr>
                <w:rFonts w:hint="eastAsia" w:ascii="宋体" w:cs="宋体"/>
                <w:color w:val="auto"/>
                <w:highlight w:val="none"/>
              </w:rPr>
            </w:pPr>
            <w:r>
              <w:rPr>
                <w:rFonts w:hint="eastAsia" w:ascii="宋体" w:cs="宋体"/>
                <w:color w:val="auto"/>
                <w:highlight w:val="none"/>
              </w:rPr>
              <w:t>（</w:t>
            </w:r>
            <w:r>
              <w:rPr>
                <w:rFonts w:hint="eastAsia" w:ascii="宋体" w:cs="宋体"/>
                <w:color w:val="auto"/>
                <w:highlight w:val="none"/>
                <w:lang w:val="en-US" w:eastAsia="zh-CN"/>
              </w:rPr>
              <w:t>3</w:t>
            </w:r>
            <w:r>
              <w:rPr>
                <w:rFonts w:hint="eastAsia" w:ascii="宋体" w:cs="宋体"/>
                <w:color w:val="auto"/>
                <w:highlight w:val="none"/>
              </w:rPr>
              <w:t>）供应商投标文件响应表或证明材料中优于的技术参数，在验收时实际也优于技术参数的要求，但没有达到响应表或证明材料中优于的程度，由采购人与供应商协商按是否满足要求验收。</w:t>
            </w:r>
          </w:p>
          <w:p>
            <w:pPr>
              <w:spacing w:line="400" w:lineRule="exact"/>
              <w:rPr>
                <w:rFonts w:hint="eastAsia" w:ascii="宋体" w:cs="宋体"/>
                <w:color w:val="auto"/>
                <w:highlight w:val="none"/>
              </w:rPr>
            </w:pPr>
            <w:r>
              <w:rPr>
                <w:rFonts w:hint="eastAsia" w:ascii="宋体" w:cs="宋体"/>
                <w:color w:val="auto"/>
                <w:highlight w:val="none"/>
              </w:rPr>
              <w:t>2.2.2</w:t>
            </w:r>
            <w:r>
              <w:rPr>
                <w:rFonts w:hint="eastAsia" w:ascii="宋体" w:cs="宋体"/>
                <w:color w:val="auto"/>
                <w:highlight w:val="none"/>
                <w:lang w:val="en-US" w:eastAsia="zh-CN"/>
              </w:rPr>
              <w:t>技</w:t>
            </w:r>
            <w:r>
              <w:rPr>
                <w:rFonts w:hint="eastAsia" w:ascii="宋体" w:cs="宋体"/>
                <w:color w:val="auto"/>
                <w:highlight w:val="none"/>
              </w:rPr>
              <w:t>术资料、装箱单、合格证等资料齐全。</w:t>
            </w:r>
          </w:p>
          <w:p>
            <w:pPr>
              <w:spacing w:line="400" w:lineRule="exact"/>
              <w:rPr>
                <w:rFonts w:hint="eastAsia" w:ascii="宋体" w:cs="宋体"/>
                <w:color w:val="auto"/>
                <w:highlight w:val="none"/>
              </w:rPr>
            </w:pPr>
            <w:r>
              <w:rPr>
                <w:rFonts w:hint="eastAsia" w:ascii="宋体" w:cs="宋体"/>
                <w:color w:val="auto"/>
                <w:highlight w:val="none"/>
              </w:rPr>
              <w:t>2.2.3在测试或试运行期间所出现的问题得到解决，并运行或工作正常。</w:t>
            </w:r>
          </w:p>
          <w:p>
            <w:pPr>
              <w:spacing w:line="400" w:lineRule="exact"/>
              <w:rPr>
                <w:rFonts w:hint="eastAsia" w:ascii="宋体" w:cs="宋体"/>
                <w:color w:val="auto"/>
                <w:highlight w:val="none"/>
              </w:rPr>
            </w:pPr>
            <w:r>
              <w:rPr>
                <w:rFonts w:hint="eastAsia" w:ascii="宋体" w:cs="宋体"/>
                <w:color w:val="auto"/>
                <w:highlight w:val="none"/>
              </w:rPr>
              <w:t>2.2.4在规定时间内完成交货及验收，并经采购人确认。</w:t>
            </w:r>
          </w:p>
          <w:p>
            <w:pPr>
              <w:spacing w:line="400" w:lineRule="exact"/>
              <w:rPr>
                <w:rFonts w:hint="eastAsia" w:ascii="宋体" w:cs="宋体"/>
                <w:color w:val="auto"/>
                <w:highlight w:val="none"/>
              </w:rPr>
            </w:pPr>
            <w:r>
              <w:rPr>
                <w:rFonts w:hint="eastAsia" w:ascii="宋体" w:cs="宋体"/>
                <w:color w:val="auto"/>
                <w:highlight w:val="none"/>
              </w:rPr>
              <w:t>2.2.5产品或服务在安装调试并试运行符合要求后，才作为最终验收。</w:t>
            </w:r>
          </w:p>
          <w:p>
            <w:pPr>
              <w:spacing w:line="400" w:lineRule="exact"/>
              <w:rPr>
                <w:rFonts w:hint="eastAsia" w:ascii="宋体" w:cs="宋体"/>
                <w:color w:val="auto"/>
                <w:highlight w:val="none"/>
              </w:rPr>
            </w:pPr>
            <w:r>
              <w:rPr>
                <w:rFonts w:hint="eastAsia" w:ascii="宋体" w:cs="宋体"/>
                <w:color w:val="auto"/>
                <w:highlight w:val="none"/>
              </w:rPr>
              <w:t>2.2.6</w:t>
            </w:r>
            <w:r>
              <w:rPr>
                <w:rFonts w:hint="eastAsia" w:ascii="宋体" w:cs="宋体"/>
                <w:color w:val="auto"/>
                <w:highlight w:val="none"/>
                <w:lang w:eastAsia="zh-CN"/>
              </w:rPr>
              <w:t>成交供应商</w:t>
            </w:r>
            <w:r>
              <w:rPr>
                <w:rFonts w:hint="eastAsia" w:ascii="宋体" w:cs="宋体"/>
                <w:color w:val="auto"/>
                <w:highlight w:val="none"/>
              </w:rPr>
              <w:t>提供的货物或服务未达到招标文件规定要求，且对采购人造成损失的，由</w:t>
            </w:r>
            <w:r>
              <w:rPr>
                <w:rFonts w:hint="eastAsia" w:ascii="宋体" w:cs="宋体"/>
                <w:color w:val="auto"/>
                <w:highlight w:val="none"/>
                <w:lang w:eastAsia="zh-CN"/>
              </w:rPr>
              <w:t>成交供应商</w:t>
            </w:r>
            <w:r>
              <w:rPr>
                <w:rFonts w:hint="eastAsia" w:ascii="宋体" w:cs="宋体"/>
                <w:color w:val="auto"/>
                <w:highlight w:val="none"/>
              </w:rPr>
              <w:t>承担一切责任，并赔偿所造成的损失。</w:t>
            </w:r>
          </w:p>
          <w:p>
            <w:pPr>
              <w:spacing w:line="400" w:lineRule="exact"/>
              <w:rPr>
                <w:rFonts w:hint="eastAsia" w:ascii="宋体" w:cs="宋体"/>
                <w:color w:val="auto"/>
                <w:highlight w:val="none"/>
              </w:rPr>
            </w:pPr>
            <w:r>
              <w:rPr>
                <w:rFonts w:hint="eastAsia" w:ascii="宋体" w:cs="宋体"/>
                <w:color w:val="auto"/>
                <w:highlight w:val="none"/>
              </w:rPr>
              <w:t>2.2.7采购人需要制造商对</w:t>
            </w:r>
            <w:r>
              <w:rPr>
                <w:rFonts w:hint="eastAsia" w:ascii="宋体" w:cs="宋体"/>
                <w:color w:val="auto"/>
                <w:highlight w:val="none"/>
                <w:lang w:eastAsia="zh-CN"/>
              </w:rPr>
              <w:t>成交供应商</w:t>
            </w:r>
            <w:r>
              <w:rPr>
                <w:rFonts w:hint="eastAsia" w:ascii="宋体" w:cs="宋体"/>
                <w:color w:val="auto"/>
                <w:highlight w:val="none"/>
              </w:rPr>
              <w:t>交付的产品或服务（包括质量、参数等）进行确认的，制造商应予以配合并出具书面意见，相关配合事项由</w:t>
            </w:r>
            <w:r>
              <w:rPr>
                <w:rFonts w:hint="eastAsia" w:ascii="宋体" w:cs="宋体"/>
                <w:color w:val="auto"/>
                <w:highlight w:val="none"/>
                <w:lang w:eastAsia="zh-CN"/>
              </w:rPr>
              <w:t>成交供应商</w:t>
            </w:r>
            <w:r>
              <w:rPr>
                <w:rFonts w:hint="eastAsia" w:ascii="宋体" w:cs="宋体"/>
                <w:color w:val="auto"/>
                <w:highlight w:val="none"/>
              </w:rPr>
              <w:t>与制造商协调。</w:t>
            </w:r>
          </w:p>
          <w:p>
            <w:pPr>
              <w:spacing w:line="400" w:lineRule="exact"/>
              <w:rPr>
                <w:rFonts w:hint="eastAsia" w:ascii="宋体" w:cs="宋体"/>
                <w:color w:val="auto"/>
                <w:highlight w:val="none"/>
              </w:rPr>
            </w:pPr>
            <w:r>
              <w:rPr>
                <w:rFonts w:hint="eastAsia" w:ascii="宋体" w:cs="宋体"/>
                <w:color w:val="auto"/>
                <w:highlight w:val="none"/>
              </w:rPr>
              <w:t>2.2.8产品包装材料归采购人所有。</w:t>
            </w:r>
          </w:p>
          <w:p>
            <w:pPr>
              <w:spacing w:line="400" w:lineRule="exact"/>
              <w:rPr>
                <w:rFonts w:hint="eastAsia" w:ascii="宋体" w:cs="宋体"/>
                <w:color w:val="auto"/>
                <w:highlight w:val="none"/>
              </w:rPr>
            </w:pPr>
            <w:r>
              <w:rPr>
                <w:rFonts w:hint="eastAsia" w:ascii="宋体" w:cs="宋体"/>
                <w:color w:val="auto"/>
                <w:highlight w:val="none"/>
              </w:rPr>
              <w:t>2.2.9大型或者复杂的政府采购项目，采购人应当邀请具有相关资质的检测机构参加验收工作。</w:t>
            </w:r>
          </w:p>
          <w:p>
            <w:pPr>
              <w:spacing w:line="400" w:lineRule="exact"/>
              <w:rPr>
                <w:rFonts w:ascii="宋体" w:cs="宋体"/>
                <w:color w:val="auto"/>
                <w:highlight w:val="none"/>
              </w:rPr>
            </w:pPr>
            <w:r>
              <w:rPr>
                <w:rFonts w:hint="eastAsia" w:ascii="宋体" w:cs="宋体"/>
                <w:color w:val="auto"/>
                <w:highlight w:val="none"/>
              </w:rPr>
              <w:t>2.3其他验收要求按《合同主要条款格式》执行，未尽事宜按照《关于印发广西壮族自治区政府采购项目履约验收管理办法的通知》[桂财采〔2015〕22 号]以及《财政部关于进一步加强政府采购需求和履约验收管理的指导意见》[财库〔2016〕205 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Borders>
              <w:top w:val="single" w:color="auto" w:sz="4" w:space="0"/>
              <w:bottom w:val="single" w:color="auto" w:sz="4" w:space="0"/>
            </w:tcBorders>
            <w:vAlign w:val="center"/>
          </w:tcPr>
          <w:p>
            <w:pPr>
              <w:spacing w:line="400" w:lineRule="exact"/>
              <w:rPr>
                <w:rFonts w:ascii="宋体" w:cs="宋体"/>
                <w:color w:val="auto"/>
                <w:szCs w:val="21"/>
                <w:highlight w:val="none"/>
              </w:rPr>
            </w:pPr>
            <w:r>
              <w:rPr>
                <w:rFonts w:hint="eastAsia" w:ascii="宋体" w:hAnsi="宋体" w:cs="宋体"/>
                <w:b/>
                <w:bCs/>
                <w:color w:val="auto"/>
                <w:szCs w:val="21"/>
                <w:highlight w:val="none"/>
              </w:rPr>
              <w:t>二、其他要求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Borders>
              <w:top w:val="single" w:color="auto" w:sz="4" w:space="0"/>
              <w:bottom w:val="single" w:color="auto" w:sz="4" w:space="0"/>
            </w:tcBorders>
            <w:vAlign w:val="center"/>
          </w:tcPr>
          <w:p>
            <w:pPr>
              <w:spacing w:line="400" w:lineRule="exac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kern w:val="0"/>
                <w:szCs w:val="21"/>
                <w:highlight w:val="none"/>
              </w:rPr>
              <w:t>1</w:t>
            </w:r>
            <w:r>
              <w:rPr>
                <w:rFonts w:hint="eastAsia" w:ascii="宋体" w:hAnsi="宋体" w:cs="宋体"/>
                <w:b/>
                <w:bCs/>
                <w:color w:val="auto"/>
                <w:szCs w:val="21"/>
                <w:highlight w:val="none"/>
              </w:rPr>
              <w:t>、竞标人必须承诺所提供的产品是全新和未使用过的产品，并满足国家相关技术标准，以及若因产品质量问题发生用户健康和安全事故等，均由竞标人承担一切责任。（在响应文件中单独提供承诺函，格式自拟，并由法定代表人签字同时加盖单位</w:t>
            </w:r>
            <w:r>
              <w:rPr>
                <w:rFonts w:ascii="宋体" w:hAnsi="宋体" w:cs="宋体"/>
                <w:b/>
                <w:bCs/>
                <w:color w:val="auto"/>
                <w:szCs w:val="21"/>
                <w:highlight w:val="none"/>
              </w:rPr>
              <w:t>CA</w:t>
            </w:r>
            <w:r>
              <w:rPr>
                <w:rFonts w:hint="eastAsia" w:ascii="宋体" w:hAnsi="宋体" w:cs="宋体"/>
                <w:b/>
                <w:bCs/>
                <w:color w:val="auto"/>
                <w:szCs w:val="21"/>
                <w:highlight w:val="none"/>
              </w:rPr>
              <w:t>证书签章）。</w:t>
            </w:r>
          </w:p>
          <w:p>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、竞标人须提供针对本项目拟派的供货、售后服务总负责人及联系方式。</w:t>
            </w:r>
          </w:p>
          <w:p>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、竞标报价超出采购预算的作无效竞标处理。</w:t>
            </w:r>
          </w:p>
          <w:p>
            <w:pPr>
              <w:widowControl/>
              <w:spacing w:line="400" w:lineRule="exact"/>
              <w:rPr>
                <w:rFonts w:hint="default" w:asci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4、本项目核心产品为“踝关节智能康复机器人</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p>
        </w:tc>
      </w:tr>
    </w:tbl>
    <w:p>
      <w:pPr>
        <w:widowControl/>
        <w:jc w:val="left"/>
        <w:rPr>
          <w:rFonts w:ascii="宋体" w:cs="宋体"/>
          <w:color w:val="auto"/>
          <w:sz w:val="20"/>
          <w:szCs w:val="20"/>
          <w:highlight w:val="none"/>
        </w:rPr>
      </w:pPr>
    </w:p>
    <w:p>
      <w:pPr>
        <w:pStyle w:val="3"/>
        <w:jc w:val="center"/>
        <w:rPr>
          <w:rFonts w:ascii="宋体" w:cs="宋体"/>
          <w:color w:val="auto"/>
          <w:highlight w:val="none"/>
        </w:rPr>
      </w:pPr>
      <w:r>
        <w:rPr>
          <w:rFonts w:ascii="宋体" w:cs="宋体"/>
          <w:color w:val="auto"/>
          <w:sz w:val="20"/>
          <w:szCs w:val="20"/>
          <w:highlight w:val="none"/>
        </w:rPr>
        <w:br w:type="page"/>
      </w:r>
      <w:bookmarkStart w:id="29" w:name="_Toc10267"/>
      <w:r>
        <w:rPr>
          <w:rFonts w:hint="eastAsia" w:ascii="宋体" w:hAnsi="宋体" w:cs="宋体"/>
          <w:color w:val="auto"/>
          <w:highlight w:val="none"/>
        </w:rPr>
        <w:t>第四章</w:t>
      </w:r>
      <w:r>
        <w:rPr>
          <w:rFonts w:ascii="宋体" w:hAnsi="宋体" w:cs="宋体"/>
          <w:color w:val="auto"/>
          <w:highlight w:val="none"/>
        </w:rPr>
        <w:t xml:space="preserve">  </w:t>
      </w:r>
      <w:bookmarkStart w:id="30" w:name="_Hlk68601507"/>
      <w:r>
        <w:rPr>
          <w:rFonts w:hint="eastAsia" w:ascii="宋体" w:hAnsi="宋体" w:cs="宋体"/>
          <w:color w:val="auto"/>
          <w:highlight w:val="none"/>
        </w:rPr>
        <w:t>评审程序和评定成交的标准</w:t>
      </w:r>
      <w:bookmarkEnd w:id="29"/>
      <w:bookmarkEnd w:id="30"/>
    </w:p>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确认谈判文件</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由谈判小组确认谈判文件。</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资格审查</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响应文件开启后，谈判小组依法对供应商的资格证明文件进行审查。</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）查询记录和证据留存方式：将查询网站中的查询记录截图并作为评审资料保存。</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2.3 </w:t>
      </w:r>
      <w:r>
        <w:rPr>
          <w:rFonts w:hint="eastAsia" w:ascii="宋体" w:hAnsi="宋体" w:cs="宋体"/>
          <w:color w:val="auto"/>
          <w:szCs w:val="21"/>
          <w:highlight w:val="none"/>
        </w:rPr>
        <w:t>供应商有下列情形之一的，资格审查不通过，其响应文件按无效响应处理：</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）响应文件中的资格证明文件缺少任一项“供应商须知前附表”资格证明文件规定的“必须提供”的文件资料的；</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符合性审查</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由谈判小组对资格审查的合格的供应商的响应文件进行竞标报价、商务、技术等实质性要求符合性审查，以确定其是否满足谈判文件的实质性要求。</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color w:val="auto"/>
          <w:highlight w:val="none"/>
        </w:rPr>
        <w:t>有利于采购人</w:t>
      </w:r>
      <w:r>
        <w:rPr>
          <w:rFonts w:hint="eastAsia" w:ascii="宋体" w:hAnsi="宋体" w:cs="宋体"/>
          <w:color w:val="auto"/>
          <w:szCs w:val="21"/>
          <w:highlight w:val="none"/>
        </w:rPr>
        <w:t>的原则由谈判小组进行判定。供应商的澄清、说明或者更正必须由法定代表人或者其委托代理人签字或者加盖供应商公章。</w:t>
      </w:r>
    </w:p>
    <w:p>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商务技术报价评审</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）响应文件未按谈判文件要求签署、盖章的；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）提交的竞标保证金无效的或者未按照谈判文件的规定提交竞标保证金；</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）未对竞标有效期作出响应或者响应文件承诺的竞标有效期不满足谈判文件要求；</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）响应文件的实质性内容未使用中文表述、使用计量单位不符合谈判文件要求的；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）响应文件中的文件资料因填写不齐全或者内容虚假或者出现其他情形而导致被谈判小组认定无效的；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条的情形的；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）虚假竞标，或者出现其他情形而导致被谈判小组认定无效的；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31"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31"/>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）响应文件标注的项目名称或者项目编号与谈判文件标注的项目名称或者项目编号不一致的；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w:t>
      </w:r>
      <w:r>
        <w:rPr>
          <w:rFonts w:hint="eastAsia" w:ascii="宋体" w:hAnsi="宋体" w:cs="宋体"/>
          <w:b/>
          <w:color w:val="auto"/>
          <w:szCs w:val="21"/>
          <w:highlight w:val="none"/>
        </w:rPr>
        <w:t>谈判文件明确不允许分包，响应文件拟分包的；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）未响应谈判文件实质性要求；</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）法律、法规和谈判文件规定的其他无效情形。</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）未采用人民币报价或者未按照谈判文件标明的币种报价的；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）响应文件响应的标的数量及单位与竞争性谈判采购文件要求实质性不一致的。</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谈判小组对响应文件进行评审，未实质性响应谈判文件的响应文件按无效响应处理。谈判小组应当将资格和符合性不通过的情况告知有关供应商。谈判小组从符合谈判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家的供应商参加谈判。</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公开招标的货物、服务采购项目，招标过程中提交投标文件或者经评审实质性响应招标文件要求的供应商只有两家时，采购人、采购代理机构按照《政府采购非招标采购方式管理办法》（财政部</w:t>
      </w:r>
      <w:r>
        <w:rPr>
          <w:rFonts w:ascii="宋体" w:hAnsi="宋体" w:cs="宋体"/>
          <w:color w:val="auto"/>
          <w:szCs w:val="21"/>
          <w:highlight w:val="none"/>
        </w:rPr>
        <w:t>74</w:t>
      </w:r>
      <w:r>
        <w:rPr>
          <w:rFonts w:hint="eastAsia" w:ascii="宋体" w:hAnsi="宋体" w:cs="宋体"/>
          <w:color w:val="auto"/>
          <w:szCs w:val="21"/>
          <w:highlight w:val="none"/>
        </w:rPr>
        <w:t>号令）第四条经本级财政部门批准后可以与该两家供应商进行竞争性谈判采购。</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3.8</w:t>
      </w:r>
      <w:r>
        <w:rPr>
          <w:rFonts w:hint="eastAsia" w:ascii="宋体" w:hAnsi="宋体" w:cs="宋体"/>
          <w:color w:val="auto"/>
          <w:szCs w:val="21"/>
          <w:highlight w:val="none"/>
        </w:rPr>
        <w:t>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家的，不得进入谈判环节，应当重新开展采购活动。</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谈判程序</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谈判小组按照“供应商须知前附表”第</w:t>
      </w:r>
      <w:r>
        <w:rPr>
          <w:rFonts w:ascii="宋体" w:hAnsi="宋体" w:cs="宋体"/>
          <w:color w:val="auto"/>
          <w:kern w:val="0"/>
          <w:szCs w:val="21"/>
          <w:highlight w:val="none"/>
        </w:rPr>
        <w:t>26</w:t>
      </w:r>
      <w:r>
        <w:rPr>
          <w:rFonts w:hint="eastAsia" w:ascii="宋体" w:hAnsi="宋体" w:cs="宋体"/>
          <w:color w:val="auto"/>
          <w:kern w:val="0"/>
          <w:szCs w:val="21"/>
          <w:highlight w:val="none"/>
        </w:rPr>
        <w:t>条确定的</w:t>
      </w:r>
      <w:r>
        <w:rPr>
          <w:rFonts w:hint="eastAsia" w:ascii="宋体" w:hAns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对谈判文件作出的实质性变动是谈判文件的有效组成部分，谈判小组应当及时以电子谈判记录形式同时通知所有参加谈判的供应商。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color w:val="auto"/>
          <w:szCs w:val="21"/>
          <w:highlight w:val="none"/>
        </w:rPr>
        <w:t>若委托代理人不是响应文件中授权的委托代理人时，必须同时出示有效的授权委托书原件</w:t>
      </w:r>
      <w:r>
        <w:rPr>
          <w:rFonts w:hint="eastAsia" w:ascii="宋体" w:hAnsi="宋体" w:cs="宋体"/>
          <w:color w:val="auto"/>
          <w:szCs w:val="21"/>
          <w:highlight w:val="none"/>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对谈判过程提交的响应文件进行有效性、完整性和响应程度审查，通过审查的合格供应商不足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谈判小组在评审过程中认为供应商的报价明显低于通过符合性审查的其他供应商的报价的，有可能影响产品质量或者不能诚信履约的，应当要求其在评标现场合理的时间内提供书面说明，必要时提交相关证明材料。供应商不能证明其报价合理性的，谈判小组应当将其作为无效报价处理。</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5. </w:t>
      </w:r>
      <w:r>
        <w:rPr>
          <w:rFonts w:hint="eastAsia" w:ascii="宋体" w:hAnsi="宋体" w:cs="宋体"/>
          <w:b/>
          <w:bCs/>
          <w:color w:val="auto"/>
          <w:sz w:val="24"/>
          <w:highlight w:val="none"/>
        </w:rPr>
        <w:t>最后报价</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谈判文件能够详细列明采购标的的技术、服务要求的，谈判结束后，谈判小组应当要求所有继续参加谈判的供应商在规定时间内以电子文件形式提交最后报价，提交最后报价的供应商不得少于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家，除本章第</w:t>
      </w:r>
      <w:r>
        <w:rPr>
          <w:rFonts w:ascii="宋体" w:hAnsi="宋体" w:cs="宋体"/>
          <w:color w:val="auto"/>
          <w:szCs w:val="21"/>
          <w:highlight w:val="none"/>
        </w:rPr>
        <w:t>3.7</w:t>
      </w:r>
      <w:r>
        <w:rPr>
          <w:rFonts w:hint="eastAsia" w:ascii="宋体" w:hAnsi="宋体" w:cs="宋体"/>
          <w:color w:val="auto"/>
          <w:szCs w:val="21"/>
          <w:highlight w:val="none"/>
        </w:rPr>
        <w:t>条外，否则必须重新采购。</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已经提交响应文件的供应商，在提交最后报价之前，可以根据谈判情况退出谈判。采购人、采购代理机构将退还退出谈判的供应商的保证金。</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供应商未在规定时间内提交最后报价的，视为退出谈判，其响应文件按无效响应处理。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谈判小组收齐某一分标最后报价后或达到规定时间后统一开启，谈判小组对最后报价进行有效性、完整性和响应程度的审查。</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响应文件首次及最后报价出现前后不一致的，按照本章第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最后报价结束后，谈判小组不得再与供应商进行任何形式的商谈。</w:t>
      </w:r>
    </w:p>
    <w:p>
      <w:pPr>
        <w:spacing w:line="360" w:lineRule="auto"/>
        <w:ind w:firstLine="472" w:firstLineChars="196"/>
        <w:rPr>
          <w:rFonts w:ascii="宋体" w:cs="宋体"/>
          <w:b/>
          <w:bCs/>
          <w:color w:val="auto"/>
          <w:sz w:val="24"/>
          <w:highlight w:val="none"/>
        </w:rPr>
      </w:pPr>
      <w:r>
        <w:rPr>
          <w:rFonts w:ascii="宋体" w:hAnsi="宋体" w:cs="宋体"/>
          <w:b/>
          <w:bCs/>
          <w:color w:val="auto"/>
          <w:sz w:val="24"/>
          <w:highlight w:val="none"/>
        </w:rPr>
        <w:t xml:space="preserve">6. </w:t>
      </w:r>
      <w:r>
        <w:rPr>
          <w:rFonts w:hint="eastAsia" w:ascii="宋体" w:hAnsi="宋体" w:cs="宋体"/>
          <w:b/>
          <w:bCs/>
          <w:color w:val="auto"/>
          <w:sz w:val="24"/>
          <w:highlight w:val="none"/>
        </w:rPr>
        <w:t>最后报价政府采购政策性扣除</w:t>
      </w:r>
    </w:p>
    <w:p>
      <w:pPr>
        <w:spacing w:line="360" w:lineRule="auto"/>
        <w:ind w:firstLine="420" w:firstLineChars="200"/>
        <w:rPr>
          <w:rFonts w:ascii="宋体" w:cs="宋体"/>
          <w:color w:val="auto"/>
          <w:highlight w:val="none"/>
        </w:rPr>
      </w:pPr>
      <w:r>
        <w:rPr>
          <w:rFonts w:hint="eastAsia" w:ascii="宋体" w:hAnsi="宋体" w:cs="宋体"/>
          <w:color w:val="auto"/>
          <w:szCs w:val="21"/>
          <w:highlight w:val="none"/>
        </w:rPr>
        <w:t>本项目属于专门面向中小企业采购的项目，供应商应为中小企业、监狱企业、残疾人福利性单位，不再执行政府采购政策扣除。</w:t>
      </w:r>
    </w:p>
    <w:bookmarkEnd w:id="118"/>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二、评定成交的标准</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7. </w:t>
      </w:r>
      <w:r>
        <w:rPr>
          <w:rFonts w:hint="eastAsia" w:ascii="宋体" w:hAnsi="宋体" w:cs="宋体"/>
          <w:b/>
          <w:bCs/>
          <w:color w:val="auto"/>
          <w:sz w:val="24"/>
          <w:highlight w:val="none"/>
        </w:rPr>
        <w:t>成交候选人推荐原则</w:t>
      </w:r>
    </w:p>
    <w:p>
      <w:pPr>
        <w:spacing w:line="360" w:lineRule="auto"/>
        <w:ind w:firstLine="420" w:firstLineChars="200"/>
        <w:rPr>
          <w:rFonts w:ascii="宋体" w:cs="宋体"/>
          <w:color w:val="auto"/>
          <w:highlight w:val="none"/>
        </w:rPr>
      </w:pPr>
      <w:r>
        <w:rPr>
          <w:rFonts w:hint="eastAsia" w:ascii="宋体" w:hAnsi="宋体" w:cs="宋体"/>
          <w:color w:val="auto"/>
          <w:highlight w:val="none"/>
        </w:rPr>
        <w:t>谈判小组应当从质量和服务均能满足谈判文件实质性响应要求的供应商中，按照评标价由低到高的顺序提出</w:t>
      </w:r>
      <w:r>
        <w:rPr>
          <w:rFonts w:ascii="宋体" w:hAnsi="宋体" w:cs="宋体"/>
          <w:color w:val="auto"/>
          <w:highlight w:val="none"/>
        </w:rPr>
        <w:t>3</w:t>
      </w:r>
      <w:r>
        <w:rPr>
          <w:rFonts w:hint="eastAsia" w:ascii="宋体" w:hAnsi="宋体" w:cs="宋体"/>
          <w:color w:val="auto"/>
          <w:highlight w:val="none"/>
        </w:rPr>
        <w:t>名以上成交候选人（评标价相同时，按照最后报价由低到高顺序依次推荐；最后报价相同时，由谈判小组按“供应商须知前附表”第</w:t>
      </w:r>
      <w:r>
        <w:rPr>
          <w:rFonts w:ascii="宋体" w:hAnsi="宋体" w:cs="宋体"/>
          <w:color w:val="auto"/>
          <w:highlight w:val="none"/>
        </w:rPr>
        <w:t>26</w:t>
      </w:r>
      <w:r>
        <w:rPr>
          <w:rFonts w:hint="eastAsia" w:ascii="宋体" w:hAnsi="宋体" w:cs="宋体"/>
          <w:color w:val="auto"/>
          <w:highlight w:val="none"/>
        </w:rPr>
        <w:t>条规定的顺序推荐）</w:t>
      </w:r>
      <w:r>
        <w:rPr>
          <w:rFonts w:ascii="宋体" w:cs="宋体"/>
          <w:color w:val="auto"/>
          <w:highlight w:val="none"/>
        </w:rPr>
        <w:t>,</w:t>
      </w:r>
      <w:r>
        <w:rPr>
          <w:rFonts w:hint="eastAsia" w:ascii="宋体" w:hAnsi="宋体" w:cs="宋体"/>
          <w:color w:val="auto"/>
          <w:highlight w:val="none"/>
        </w:rPr>
        <w:t>并编写评审报告。</w:t>
      </w:r>
    </w:p>
    <w:p>
      <w:pPr>
        <w:pStyle w:val="3"/>
        <w:jc w:val="center"/>
        <w:rPr>
          <w:rFonts w:ascii="宋体" w:cs="宋体"/>
          <w:color w:val="auto"/>
          <w:highlight w:val="none"/>
        </w:rPr>
      </w:pPr>
      <w:r>
        <w:rPr>
          <w:rFonts w:ascii="宋体" w:cs="宋体"/>
          <w:color w:val="auto"/>
          <w:highlight w:val="none"/>
        </w:rPr>
        <w:br w:type="page"/>
      </w: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pStyle w:val="3"/>
        <w:jc w:val="center"/>
        <w:rPr>
          <w:rFonts w:ascii="宋体" w:cs="宋体"/>
          <w:color w:val="auto"/>
          <w:highlight w:val="none"/>
        </w:rPr>
      </w:pPr>
      <w:bookmarkStart w:id="32" w:name="_Toc1250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32"/>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pacing w:line="240" w:lineRule="atLeast"/>
        <w:rPr>
          <w:rFonts w:ascii="宋体" w:cs="宋体"/>
          <w:b/>
          <w:color w:val="auto"/>
          <w:sz w:val="32"/>
          <w:szCs w:val="32"/>
          <w:highlight w:val="none"/>
        </w:rPr>
      </w:pPr>
    </w:p>
    <w:p>
      <w:pPr>
        <w:snapToGrid w:val="0"/>
        <w:spacing w:before="50" w:after="50"/>
        <w:outlineLvl w:val="1"/>
        <w:rPr>
          <w:rFonts w:ascii="宋体" w:cs="宋体"/>
          <w:b/>
          <w:bCs/>
          <w:color w:val="auto"/>
          <w:sz w:val="24"/>
          <w:highlight w:val="none"/>
        </w:rPr>
      </w:pPr>
    </w:p>
    <w:p>
      <w:pPr>
        <w:snapToGrid w:val="0"/>
        <w:spacing w:before="50" w:after="50"/>
        <w:outlineLvl w:val="1"/>
        <w:rPr>
          <w:rFonts w:ascii="宋体" w:cs="宋体"/>
          <w:b/>
          <w:bCs/>
          <w:color w:val="auto"/>
          <w:sz w:val="24"/>
          <w:highlight w:val="none"/>
        </w:rPr>
      </w:pPr>
    </w:p>
    <w:p>
      <w:pPr>
        <w:spacing w:line="240" w:lineRule="atLeast"/>
        <w:rPr>
          <w:rFonts w:ascii="宋体" w:cs="宋体"/>
          <w:b/>
          <w:bCs/>
          <w:color w:val="auto"/>
          <w:sz w:val="32"/>
          <w:szCs w:val="32"/>
          <w:highlight w:val="none"/>
        </w:rPr>
      </w:pPr>
    </w:p>
    <w:p>
      <w:pPr>
        <w:spacing w:line="240" w:lineRule="atLeast"/>
        <w:rPr>
          <w:rFonts w:ascii="宋体" w:cs="宋体"/>
          <w:b/>
          <w:color w:val="auto"/>
          <w:sz w:val="32"/>
          <w:szCs w:val="32"/>
          <w:highlight w:val="none"/>
        </w:rPr>
      </w:pPr>
      <w:bookmarkStart w:id="33" w:name="_Toc71365382"/>
      <w:bookmarkStart w:id="34" w:name="_Toc71366060"/>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33"/>
      <w:bookmarkEnd w:id="34"/>
    </w:p>
    <w:p>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p>
    <w:p>
      <w:pPr>
        <w:snapToGrid w:val="0"/>
        <w:spacing w:beforeLines="50" w:after="50"/>
        <w:rPr>
          <w:rFonts w:ascii="宋体" w:cs="宋体"/>
          <w:bCs/>
          <w:color w:val="auto"/>
          <w:sz w:val="32"/>
          <w:szCs w:val="20"/>
          <w:highlight w:val="none"/>
        </w:rPr>
      </w:pPr>
    </w:p>
    <w:p>
      <w:pPr>
        <w:snapToGrid w:val="0"/>
        <w:spacing w:beforeLines="50" w:after="50"/>
        <w:jc w:val="center"/>
        <w:rPr>
          <w:rFonts w:ascii="宋体" w:cs="宋体"/>
          <w:bCs/>
          <w:color w:val="auto"/>
          <w:sz w:val="44"/>
          <w:szCs w:val="44"/>
          <w:highlight w:val="none"/>
        </w:rPr>
      </w:pPr>
    </w:p>
    <w:p>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pPr>
        <w:snapToGrid w:val="0"/>
        <w:spacing w:beforeLines="50" w:after="50"/>
        <w:rPr>
          <w:rFonts w:ascii="宋体" w:cs="宋体"/>
          <w:color w:val="auto"/>
          <w:sz w:val="24"/>
          <w:szCs w:val="20"/>
          <w:highlight w:val="none"/>
        </w:rPr>
      </w:pPr>
    </w:p>
    <w:p>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所竞分标（如有）：</w:t>
      </w:r>
    </w:p>
    <w:p>
      <w:pPr>
        <w:snapToGrid w:val="0"/>
        <w:spacing w:beforeLines="50" w:after="50"/>
        <w:ind w:firstLine="720" w:firstLineChars="225"/>
        <w:rPr>
          <w:rFonts w:ascii="宋体" w:cs="宋体"/>
          <w:bCs/>
          <w:color w:val="auto"/>
          <w:sz w:val="32"/>
          <w:szCs w:val="32"/>
          <w:highlight w:val="none"/>
        </w:rPr>
      </w:pPr>
    </w:p>
    <w:p>
      <w:pPr>
        <w:pStyle w:val="7"/>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Lines="50" w:after="50"/>
        <w:ind w:firstLine="640" w:firstLineChars="200"/>
        <w:rPr>
          <w:rFonts w:ascii="宋体" w:cs="宋体"/>
          <w:bCs/>
          <w:color w:val="auto"/>
          <w:sz w:val="32"/>
          <w:szCs w:val="32"/>
          <w:highlight w:val="none"/>
        </w:rPr>
      </w:pPr>
    </w:p>
    <w:p>
      <w:pPr>
        <w:pStyle w:val="7"/>
        <w:snapToGrid w:val="0"/>
        <w:spacing w:before="50" w:after="50"/>
        <w:ind w:firstLine="720" w:firstLineChars="225"/>
        <w:rPr>
          <w:rFonts w:ascii="宋体" w:cs="宋体"/>
          <w:bCs/>
          <w:color w:val="auto"/>
          <w:sz w:val="32"/>
          <w:szCs w:val="32"/>
          <w:highlight w:val="none"/>
        </w:rPr>
      </w:pPr>
    </w:p>
    <w:p>
      <w:pPr>
        <w:pStyle w:val="7"/>
        <w:snapToGrid w:val="0"/>
        <w:spacing w:before="50" w:after="50"/>
        <w:ind w:firstLine="1280" w:firstLineChars="400"/>
        <w:rPr>
          <w:rFonts w:ascii="宋体" w:cs="宋体"/>
          <w:bCs/>
          <w:color w:val="auto"/>
          <w:sz w:val="32"/>
          <w:szCs w:val="32"/>
          <w:highlight w:val="none"/>
        </w:rPr>
      </w:pPr>
    </w:p>
    <w:p>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资格文件目录</w:t>
      </w:r>
    </w:p>
    <w:p>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pPr>
        <w:snapToGrid w:val="0"/>
        <w:spacing w:beforeLines="50" w:after="50" w:line="360" w:lineRule="auto"/>
        <w:rPr>
          <w:rFonts w:ascii="宋体" w:cs="宋体"/>
          <w:color w:val="auto"/>
          <w:sz w:val="24"/>
          <w:szCs w:val="20"/>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00" w:lineRule="auto"/>
        <w:rPr>
          <w:rFonts w:ascii="宋体" w:cs="宋体"/>
          <w:color w:val="auto"/>
          <w:szCs w:val="21"/>
          <w:highlight w:val="none"/>
        </w:rPr>
      </w:pPr>
    </w:p>
    <w:p>
      <w:pPr>
        <w:spacing w:line="320" w:lineRule="exact"/>
        <w:jc w:val="left"/>
        <w:rPr>
          <w:rFonts w:ascii="宋体" w:cs="宋体"/>
          <w:color w:val="auto"/>
          <w:szCs w:val="21"/>
          <w:highlight w:val="none"/>
        </w:rPr>
      </w:pPr>
    </w:p>
    <w:p>
      <w:pPr>
        <w:snapToGrid w:val="0"/>
        <w:spacing w:beforeLines="50" w:after="50"/>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供应商直接控股、管理关系信息表</w:t>
      </w:r>
    </w:p>
    <w:p>
      <w:pPr>
        <w:snapToGrid w:val="0"/>
        <w:spacing w:beforeLines="50" w:after="50"/>
        <w:jc w:val="center"/>
        <w:rPr>
          <w:rFonts w:ascii="宋体" w:cs="宋体"/>
          <w:b/>
          <w:color w:val="auto"/>
          <w:sz w:val="32"/>
          <w:szCs w:val="32"/>
          <w:highlight w:val="none"/>
        </w:rPr>
      </w:pPr>
    </w:p>
    <w:p>
      <w:pPr>
        <w:snapToGrid w:val="0"/>
        <w:spacing w:beforeLines="50" w:after="50"/>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napToGrid w:val="0"/>
        <w:spacing w:before="50" w:afterLines="50"/>
        <w:jc w:val="center"/>
        <w:rPr>
          <w:rFonts w:ascii="宋体" w:cs="宋体"/>
          <w:b/>
          <w:color w:val="auto"/>
          <w:sz w:val="32"/>
          <w:szCs w:val="32"/>
          <w:highlight w:val="none"/>
        </w:rPr>
      </w:pPr>
    </w:p>
    <w:tbl>
      <w:tblPr>
        <w:tblStyle w:val="24"/>
        <w:tblW w:w="10147" w:type="dxa"/>
        <w:jc w:val="center"/>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cs="宋体"/>
                <w:color w:val="auto"/>
                <w:kern w:val="0"/>
                <w:sz w:val="28"/>
                <w:szCs w:val="28"/>
                <w:highlight w:val="none"/>
              </w:rPr>
            </w:pPr>
          </w:p>
        </w:tc>
      </w:tr>
    </w:tbl>
    <w:p>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pPr>
        <w:spacing w:line="360" w:lineRule="auto"/>
        <w:ind w:firstLine="420" w:firstLineChars="200"/>
        <w:contextualSpacing/>
        <w:jc w:val="left"/>
        <w:rPr>
          <w:rFonts w:ascii="宋体" w:cs="宋体"/>
          <w:color w:val="auto"/>
          <w:szCs w:val="21"/>
          <w:highlight w:val="none"/>
        </w:rPr>
      </w:pPr>
    </w:p>
    <w:p>
      <w:pPr>
        <w:spacing w:line="360" w:lineRule="auto"/>
        <w:ind w:firstLine="560" w:firstLineChars="200"/>
        <w:contextualSpacing/>
        <w:jc w:val="left"/>
        <w:rPr>
          <w:rFonts w:ascii="宋体" w:cs="宋体"/>
          <w:color w:val="auto"/>
          <w:sz w:val="28"/>
          <w:szCs w:val="28"/>
          <w:highlight w:val="none"/>
        </w:rPr>
      </w:pPr>
    </w:p>
    <w:p>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法定代表人或者委托代理人签字：</w:t>
      </w:r>
    </w:p>
    <w:p>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pPr>
        <w:spacing w:line="360" w:lineRule="auto"/>
        <w:ind w:right="480" w:firstLine="5280" w:firstLineChars="2200"/>
        <w:contextualSpacing/>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napToGrid w:val="0"/>
        <w:jc w:val="center"/>
        <w:rPr>
          <w:rFonts w:ascii="宋体" w:cs="宋体"/>
          <w:b/>
          <w:color w:val="auto"/>
          <w:sz w:val="28"/>
          <w:szCs w:val="28"/>
          <w:highlight w:val="none"/>
        </w:rPr>
      </w:pPr>
      <w:r>
        <w:rPr>
          <w:rFonts w:ascii="宋体" w:cs="宋体"/>
          <w:b/>
          <w:color w:val="auto"/>
          <w:sz w:val="28"/>
          <w:szCs w:val="28"/>
          <w:highlight w:val="none"/>
        </w:rPr>
        <w:br w:type="page"/>
      </w:r>
    </w:p>
    <w:p>
      <w:pPr>
        <w:snapToGrid w:val="0"/>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jc w:val="center"/>
        <w:rPr>
          <w:rFonts w:ascii="宋体" w:cs="宋体"/>
          <w:b/>
          <w:color w:val="auto"/>
          <w:sz w:val="32"/>
          <w:szCs w:val="32"/>
          <w:highlight w:val="none"/>
        </w:rPr>
      </w:pPr>
    </w:p>
    <w:tbl>
      <w:tblPr>
        <w:tblStyle w:val="24"/>
        <w:tblW w:w="9652" w:type="dxa"/>
        <w:jc w:val="center"/>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cs="宋体"/>
                <w:color w:val="auto"/>
                <w:kern w:val="0"/>
                <w:sz w:val="28"/>
                <w:szCs w:val="28"/>
                <w:highlight w:val="none"/>
              </w:rPr>
            </w:pPr>
          </w:p>
        </w:tc>
      </w:tr>
    </w:tbl>
    <w:p>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pPr>
        <w:spacing w:line="360" w:lineRule="auto"/>
        <w:contextualSpacing/>
        <w:jc w:val="left"/>
        <w:rPr>
          <w:rFonts w:ascii="宋体" w:cs="宋体"/>
          <w:color w:val="auto"/>
          <w:sz w:val="28"/>
          <w:szCs w:val="28"/>
          <w:highlight w:val="none"/>
        </w:rPr>
      </w:pPr>
    </w:p>
    <w:p>
      <w:pPr>
        <w:spacing w:line="360" w:lineRule="auto"/>
        <w:contextualSpacing/>
        <w:jc w:val="left"/>
        <w:rPr>
          <w:rFonts w:ascii="宋体" w:cs="宋体"/>
          <w:color w:val="auto"/>
          <w:sz w:val="28"/>
          <w:szCs w:val="28"/>
          <w:highlight w:val="none"/>
        </w:rPr>
      </w:pPr>
    </w:p>
    <w:p>
      <w:pPr>
        <w:spacing w:line="360" w:lineRule="auto"/>
        <w:contextualSpacing/>
        <w:jc w:val="left"/>
        <w:rPr>
          <w:rFonts w:ascii="宋体" w:cs="宋体"/>
          <w:color w:val="auto"/>
          <w:sz w:val="28"/>
          <w:szCs w:val="28"/>
          <w:highlight w:val="none"/>
        </w:rPr>
      </w:pPr>
    </w:p>
    <w:p>
      <w:pPr>
        <w:spacing w:line="360" w:lineRule="auto"/>
        <w:contextualSpacing/>
        <w:jc w:val="left"/>
        <w:rPr>
          <w:rFonts w:ascii="宋体" w:cs="宋体"/>
          <w:color w:val="auto"/>
          <w:sz w:val="28"/>
          <w:szCs w:val="28"/>
          <w:highlight w:val="none"/>
        </w:rPr>
      </w:pPr>
    </w:p>
    <w:p>
      <w:pPr>
        <w:spacing w:line="360" w:lineRule="auto"/>
        <w:contextualSpacing/>
        <w:jc w:val="left"/>
        <w:rPr>
          <w:rFonts w:ascii="宋体" w:cs="宋体"/>
          <w:color w:val="auto"/>
          <w:sz w:val="28"/>
          <w:szCs w:val="28"/>
          <w:highlight w:val="none"/>
        </w:rPr>
      </w:pPr>
    </w:p>
    <w:p>
      <w:pPr>
        <w:spacing w:line="360" w:lineRule="auto"/>
        <w:contextualSpacing/>
        <w:jc w:val="left"/>
        <w:rPr>
          <w:rFonts w:ascii="宋体" w:cs="宋体"/>
          <w:color w:val="auto"/>
          <w:sz w:val="28"/>
          <w:szCs w:val="28"/>
          <w:highlight w:val="none"/>
        </w:rPr>
      </w:pPr>
    </w:p>
    <w:p>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法定代表人或者委托代理人签字：</w:t>
      </w:r>
    </w:p>
    <w:p>
      <w:pPr>
        <w:spacing w:line="360" w:lineRule="auto"/>
        <w:ind w:right="480" w:firstLine="3720" w:firstLineChars="1550"/>
        <w:contextualSpacing/>
        <w:rPr>
          <w:rFonts w:ascii="宋体" w:cs="宋体"/>
          <w:color w:val="auto"/>
          <w:sz w:val="24"/>
          <w:highlight w:val="none"/>
        </w:rPr>
      </w:pPr>
      <w:r>
        <w:rPr>
          <w:rFonts w:hint="eastAsia" w:ascii="宋体" w:hAnsi="宋体" w:cs="宋体"/>
          <w:color w:val="auto"/>
          <w:sz w:val="24"/>
          <w:highlight w:val="none"/>
        </w:rPr>
        <w:t>供应商（盖公章）：</w:t>
      </w:r>
    </w:p>
    <w:p>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2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竞标声明</w:t>
      </w:r>
    </w:p>
    <w:p>
      <w:pPr>
        <w:spacing w:line="320" w:lineRule="exact"/>
        <w:jc w:val="center"/>
        <w:rPr>
          <w:rFonts w:ascii="宋体" w:cs="宋体"/>
          <w:color w:val="auto"/>
          <w:sz w:val="24"/>
          <w:szCs w:val="20"/>
          <w:highlight w:val="none"/>
        </w:rPr>
      </w:pPr>
    </w:p>
    <w:p>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）将按谈判文件的约定履行合同责任和义务；</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）已详细审查全部谈判文件，包括补遗文件（如有）；</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）同意提供按照贵方可能要求的与谈判有关的一切数据或者资料；</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）响应谈判文件规定的竞标有效期。</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pPr>
        <w:pStyle w:val="14"/>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与本谈判有关的一切正式往来信函请寄：邮政编号：</w:t>
      </w:r>
    </w:p>
    <w:p>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rPr>
        <w:t xml:space="preserve"> </w:t>
      </w:r>
      <w:r>
        <w:rPr>
          <w:rFonts w:hint="eastAsia" w:hAnsi="宋体" w:cs="宋体"/>
          <w:color w:val="auto"/>
          <w:sz w:val="24"/>
          <w:szCs w:val="24"/>
          <w:highlight w:val="none"/>
        </w:rPr>
        <w:t>电子函件：</w:t>
      </w:r>
    </w:p>
    <w:p>
      <w:pPr>
        <w:pStyle w:val="13"/>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rPr>
        <w:t>/</w:t>
      </w:r>
      <w:r>
        <w:rPr>
          <w:rFonts w:hint="eastAsia" w:ascii="宋体" w:hAnsi="宋体" w:cs="宋体"/>
          <w:color w:val="auto"/>
          <w:sz w:val="24"/>
          <w:highlight w:val="none"/>
        </w:rPr>
        <w:t>行号：</w:t>
      </w:r>
    </w:p>
    <w:p>
      <w:pPr>
        <w:pStyle w:val="13"/>
        <w:tabs>
          <w:tab w:val="left" w:pos="939"/>
        </w:tabs>
        <w:spacing w:line="360" w:lineRule="auto"/>
        <w:ind w:left="141" w:leftChars="67" w:firstLine="360" w:firstLineChars="15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pPr>
        <w:spacing w:line="360" w:lineRule="auto"/>
        <w:contextualSpacing/>
        <w:jc w:val="lef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注：如为联合体竞标，盖章处须加盖联合体各方公章并由联合体各方法定代表人分别签署，否则响应文件按无效响应处理。</w:t>
      </w:r>
    </w:p>
    <w:p>
      <w:pPr>
        <w:spacing w:line="360" w:lineRule="auto"/>
        <w:contextualSpacing/>
        <w:jc w:val="left"/>
        <w:rPr>
          <w:rFonts w:ascii="宋体" w:cs="宋体"/>
          <w:color w:val="auto"/>
          <w:szCs w:val="21"/>
          <w:highlight w:val="none"/>
        </w:rPr>
      </w:pPr>
    </w:p>
    <w:p>
      <w:pPr>
        <w:spacing w:line="360" w:lineRule="auto"/>
        <w:ind w:firstLine="3780" w:firstLineChars="1800"/>
        <w:contextualSpacing/>
        <w:rPr>
          <w:rFonts w:ascii="宋体" w:cs="宋体"/>
          <w:color w:val="auto"/>
          <w:highlight w:val="none"/>
        </w:rPr>
      </w:pPr>
      <w:r>
        <w:rPr>
          <w:rFonts w:hint="eastAsia" w:ascii="宋体" w:hAnsi="宋体" w:cs="宋体"/>
          <w:color w:val="auto"/>
          <w:highlight w:val="none"/>
        </w:rPr>
        <w:t>法定代表人（签字或者盖章）：</w:t>
      </w:r>
    </w:p>
    <w:p>
      <w:pPr>
        <w:spacing w:line="360" w:lineRule="auto"/>
        <w:ind w:firstLine="3780" w:firstLineChars="1800"/>
        <w:contextualSpacing/>
        <w:rPr>
          <w:rFonts w:ascii="宋体" w:cs="宋体"/>
          <w:color w:val="auto"/>
          <w:szCs w:val="21"/>
          <w:highlight w:val="none"/>
          <w:u w:val="single"/>
        </w:rPr>
      </w:pPr>
      <w:r>
        <w:rPr>
          <w:rFonts w:hint="eastAsia" w:ascii="宋体" w:hAnsi="宋体" w:cs="宋体"/>
          <w:color w:val="auto"/>
          <w:highlight w:val="none"/>
        </w:rPr>
        <w:t>供应商（盖公章）：</w:t>
      </w:r>
    </w:p>
    <w:p>
      <w:pPr>
        <w:spacing w:line="360" w:lineRule="auto"/>
        <w:ind w:right="482" w:firstLine="210" w:firstLineChars="100"/>
        <w:contextualSpacing/>
        <w:jc w:val="center"/>
        <w:rPr>
          <w:rFonts w:ascii="宋体" w:cs="宋体"/>
          <w:color w:val="auto"/>
          <w:szCs w:val="21"/>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p>
    <w:p>
      <w:pPr>
        <w:spacing w:line="360" w:lineRule="auto"/>
        <w:contextualSpacing/>
        <w:jc w:val="right"/>
        <w:rPr>
          <w:rFonts w:ascii="宋体" w:cs="宋体"/>
          <w:color w:val="auto"/>
          <w:sz w:val="24"/>
          <w:highlight w:val="none"/>
        </w:rPr>
      </w:pPr>
      <w:r>
        <w:rPr>
          <w:rFonts w:ascii="宋体" w:cs="宋体"/>
          <w:color w:val="auto"/>
          <w:sz w:val="32"/>
          <w:szCs w:val="32"/>
          <w:highlight w:val="none"/>
        </w:rPr>
        <w:br w:type="page"/>
      </w:r>
    </w:p>
    <w:p>
      <w:pPr>
        <w:spacing w:beforeLines="100" w:afterLines="50" w:line="520" w:lineRule="exact"/>
        <w:ind w:left="540"/>
        <w:jc w:val="center"/>
        <w:rPr>
          <w:rFonts w:ascii="宋体" w:cs="宋体"/>
          <w:color w:val="auto"/>
          <w:sz w:val="32"/>
          <w:szCs w:val="32"/>
          <w:highlight w:val="none"/>
        </w:rPr>
      </w:pPr>
      <w:r>
        <w:rPr>
          <w:rFonts w:hint="eastAsia" w:ascii="宋体" w:hAnsi="宋体" w:cs="宋体"/>
          <w:bCs/>
          <w:color w:val="auto"/>
          <w:sz w:val="44"/>
          <w:szCs w:val="44"/>
          <w:highlight w:val="none"/>
        </w:rPr>
        <w:t>法定代表人身份证明</w:t>
      </w:r>
    </w:p>
    <w:p>
      <w:pPr>
        <w:spacing w:line="360" w:lineRule="auto"/>
        <w:ind w:left="540"/>
        <w:contextualSpacing/>
        <w:rPr>
          <w:rFonts w:ascii="宋体" w:cs="宋体"/>
          <w:color w:val="auto"/>
          <w:sz w:val="32"/>
          <w:szCs w:val="32"/>
          <w:highlight w:val="none"/>
        </w:rPr>
      </w:pP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名：性</w:t>
      </w:r>
      <w:r>
        <w:rPr>
          <w:rFonts w:ascii="宋体" w:hAnsi="宋体" w:cs="宋体"/>
          <w:color w:val="auto"/>
          <w:sz w:val="24"/>
          <w:highlight w:val="none"/>
        </w:rPr>
        <w:t xml:space="preserve">      </w:t>
      </w:r>
      <w:r>
        <w:rPr>
          <w:rFonts w:hint="eastAsia" w:ascii="宋体" w:hAnsi="宋体" w:cs="宋体"/>
          <w:color w:val="auto"/>
          <w:sz w:val="24"/>
          <w:highlight w:val="none"/>
        </w:rPr>
        <w:t>别：</w:t>
      </w:r>
    </w:p>
    <w:p>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龄：职</w:t>
      </w:r>
      <w:r>
        <w:rPr>
          <w:rFonts w:ascii="宋体" w:hAnsi="宋体" w:cs="宋体"/>
          <w:color w:val="auto"/>
          <w:sz w:val="24"/>
          <w:highlight w:val="none"/>
        </w:rPr>
        <w:t xml:space="preserve">      </w:t>
      </w:r>
      <w:r>
        <w:rPr>
          <w:rFonts w:hint="eastAsia" w:ascii="宋体" w:hAnsi="宋体" w:cs="宋体"/>
          <w:color w:val="auto"/>
          <w:sz w:val="24"/>
          <w:highlight w:val="none"/>
        </w:rPr>
        <w:t>务：</w:t>
      </w: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cs="宋体"/>
          <w:color w:val="auto"/>
          <w:sz w:val="24"/>
          <w:highlight w:val="none"/>
        </w:rPr>
      </w:pPr>
    </w:p>
    <w:p>
      <w:pPr>
        <w:spacing w:line="360" w:lineRule="auto"/>
        <w:ind w:left="540"/>
        <w:contextualSpacing/>
        <w:rPr>
          <w:rFonts w:ascii="宋体" w:cs="宋体"/>
          <w:color w:val="auto"/>
          <w:sz w:val="24"/>
          <w:highlight w:val="none"/>
        </w:rPr>
      </w:pPr>
    </w:p>
    <w:p>
      <w:pPr>
        <w:spacing w:line="360" w:lineRule="auto"/>
        <w:ind w:left="540"/>
        <w:contextualSpacing/>
        <w:rPr>
          <w:rFonts w:ascii="宋体" w:cs="宋体"/>
          <w:color w:val="auto"/>
          <w:sz w:val="24"/>
          <w:highlight w:val="none"/>
        </w:rPr>
      </w:pPr>
    </w:p>
    <w:p>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cs="宋体"/>
          <w:color w:val="auto"/>
          <w:sz w:val="24"/>
          <w:highlight w:val="none"/>
        </w:rPr>
      </w:pPr>
    </w:p>
    <w:p>
      <w:pPr>
        <w:spacing w:line="360" w:lineRule="auto"/>
        <w:ind w:left="540"/>
        <w:contextualSpacing/>
        <w:jc w:val="right"/>
        <w:rPr>
          <w:rFonts w:ascii="宋体" w:cs="宋体"/>
          <w:color w:val="auto"/>
          <w:sz w:val="24"/>
          <w:highlight w:val="none"/>
        </w:rPr>
      </w:pPr>
      <w:r>
        <w:rPr>
          <w:rFonts w:hint="eastAsia" w:ascii="宋体" w:hAnsi="宋体" w:cs="宋体"/>
          <w:color w:val="auto"/>
          <w:sz w:val="24"/>
          <w:highlight w:val="none"/>
        </w:rPr>
        <w:t>供应商（盖公章）：</w:t>
      </w:r>
    </w:p>
    <w:p>
      <w:pPr>
        <w:spacing w:line="360" w:lineRule="auto"/>
        <w:ind w:firstLine="4080" w:firstLineChars="1700"/>
        <w:contextualSpacing/>
        <w:jc w:val="right"/>
        <w:rPr>
          <w:rFonts w:ascii="宋体" w:cs="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pacing w:line="360" w:lineRule="auto"/>
        <w:contextualSpacing/>
        <w:jc w:val="center"/>
        <w:rPr>
          <w:rFonts w:ascii="宋体" w:cs="宋体"/>
          <w:b/>
          <w:color w:val="auto"/>
          <w:sz w:val="24"/>
          <w:highlight w:val="none"/>
        </w:rPr>
      </w:pPr>
    </w:p>
    <w:p>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pPr>
        <w:adjustRightInd w:val="0"/>
        <w:snapToGrid w:val="0"/>
        <w:spacing w:line="300" w:lineRule="auto"/>
        <w:jc w:val="left"/>
        <w:rPr>
          <w:rFonts w:ascii="宋体" w:cs="宋体"/>
          <w:b/>
          <w:color w:val="auto"/>
          <w:szCs w:val="21"/>
          <w:highlight w:val="none"/>
        </w:rPr>
      </w:pPr>
    </w:p>
    <w:p>
      <w:pPr>
        <w:spacing w:line="520" w:lineRule="exact"/>
        <w:jc w:val="center"/>
        <w:rPr>
          <w:rFonts w:ascii="宋体" w:cs="宋体"/>
          <w:color w:val="auto"/>
          <w:sz w:val="44"/>
          <w:szCs w:val="4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授权委托书</w:t>
      </w:r>
    </w:p>
    <w:p>
      <w:pPr>
        <w:spacing w:line="520" w:lineRule="exact"/>
        <w:jc w:val="center"/>
        <w:rPr>
          <w:rFonts w:ascii="宋体" w:cs="宋体"/>
          <w:color w:val="auto"/>
          <w:sz w:val="28"/>
          <w:szCs w:val="28"/>
          <w:highlight w:val="none"/>
        </w:rPr>
      </w:pPr>
      <w:r>
        <w:rPr>
          <w:rFonts w:hint="eastAsia" w:ascii="宋体" w:hAnsi="宋体" w:cs="宋体"/>
          <w:color w:val="auto"/>
          <w:sz w:val="28"/>
          <w:szCs w:val="28"/>
          <w:highlight w:val="none"/>
        </w:rPr>
        <w:t>（非联合体竞标格式）</w:t>
      </w:r>
    </w:p>
    <w:p>
      <w:pPr>
        <w:spacing w:line="520" w:lineRule="exact"/>
        <w:jc w:val="center"/>
        <w:rPr>
          <w:rFonts w:ascii="宋体" w:cs="宋体"/>
          <w:color w:val="auto"/>
          <w:sz w:val="28"/>
          <w:szCs w:val="28"/>
          <w:highlight w:val="none"/>
        </w:rPr>
      </w:pPr>
      <w:r>
        <w:rPr>
          <w:rFonts w:hint="eastAsia" w:ascii="宋体" w:hAnsi="宋体" w:cs="宋体"/>
          <w:color w:val="auto"/>
          <w:sz w:val="28"/>
          <w:szCs w:val="28"/>
          <w:highlight w:val="none"/>
        </w:rPr>
        <w:t>（如有委托时）</w:t>
      </w:r>
    </w:p>
    <w:p>
      <w:pPr>
        <w:spacing w:line="360" w:lineRule="auto"/>
        <w:contextualSpacing/>
        <w:rPr>
          <w:rFonts w:ascii="宋体" w:cs="宋体"/>
          <w:color w:val="auto"/>
          <w:sz w:val="32"/>
          <w:szCs w:val="32"/>
          <w:highlight w:val="none"/>
        </w:rPr>
      </w:pPr>
    </w:p>
    <w:p>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Wingdings 2" w:cs="宋体"/>
          <w:color w:val="auto"/>
          <w:sz w:val="24"/>
          <w:highlight w:val="none"/>
          <w:u w:val="single"/>
        </w:rPr>
        <w:sym w:font="Wingdings 2" w:char="F0A3"/>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以我方的名义参加项目的竞标活动，并代表我方全权办理针对上述项目的所有采购程序和环节的具体事务和签署相关文件。</w:t>
      </w:r>
    </w:p>
    <w:p>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法定代表人（签字或者盖章）：</w:t>
      </w:r>
      <w:r>
        <w:rPr>
          <w:rFonts w:ascii="宋体" w:hAnsi="宋体" w:cs="宋体"/>
          <w:color w:val="auto"/>
          <w:sz w:val="24"/>
          <w:highlight w:val="none"/>
        </w:rPr>
        <w:t xml:space="preserve">                    </w:t>
      </w:r>
    </w:p>
    <w:p>
      <w:pPr>
        <w:spacing w:line="360" w:lineRule="auto"/>
        <w:contextualSpacing/>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法人、其他组织竞标时“我方”是指“我单位”，自然人竞标时“我方”是指“本人”。</w:t>
      </w:r>
    </w:p>
    <w:p>
      <w:pPr>
        <w:spacing w:line="360" w:lineRule="auto"/>
        <w:ind w:firstLine="420" w:firstLineChars="200"/>
        <w:contextualSpacing/>
        <w:jc w:val="left"/>
        <w:rPr>
          <w:rFonts w:ascii="宋体" w:cs="宋体"/>
          <w:color w:val="auto"/>
          <w:szCs w:val="21"/>
          <w:highlight w:val="none"/>
        </w:rPr>
      </w:pPr>
    </w:p>
    <w:p>
      <w:pPr>
        <w:spacing w:line="360" w:lineRule="auto"/>
        <w:contextualSpacing/>
        <w:jc w:val="left"/>
        <w:rPr>
          <w:rFonts w:ascii="宋体" w:cs="宋体"/>
          <w:color w:val="auto"/>
          <w:szCs w:val="21"/>
          <w:highlight w:val="none"/>
        </w:rPr>
      </w:pPr>
    </w:p>
    <w:p>
      <w:pPr>
        <w:spacing w:line="360" w:lineRule="auto"/>
        <w:ind w:right="420"/>
        <w:contextualSpacing/>
        <w:jc w:val="left"/>
        <w:rPr>
          <w:rFonts w:ascii="宋体" w:cs="宋体"/>
          <w:b/>
          <w:color w:val="auto"/>
          <w:sz w:val="32"/>
          <w:szCs w:val="32"/>
          <w:highlight w:val="none"/>
        </w:rPr>
      </w:pPr>
      <w:r>
        <w:rPr>
          <w:rFonts w:asci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报价文件格式</w:t>
      </w:r>
      <w:r>
        <w:rPr>
          <w:rFonts w:ascii="宋体" w:hAnsi="宋体" w:cs="宋体"/>
          <w:b/>
          <w:color w:val="auto"/>
          <w:sz w:val="32"/>
          <w:szCs w:val="32"/>
          <w:highlight w:val="none"/>
        </w:rPr>
        <w:t xml:space="preserve"> </w:t>
      </w:r>
    </w:p>
    <w:p>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报价文件封面格式</w:t>
      </w:r>
    </w:p>
    <w:p>
      <w:pPr>
        <w:snapToGrid w:val="0"/>
        <w:spacing w:beforeLines="50" w:after="50"/>
        <w:rPr>
          <w:rFonts w:ascii="宋体" w:cs="宋体"/>
          <w:color w:val="auto"/>
          <w:sz w:val="24"/>
          <w:highlight w:val="none"/>
        </w:rPr>
      </w:pPr>
    </w:p>
    <w:p>
      <w:pPr>
        <w:snapToGrid w:val="0"/>
        <w:spacing w:beforeLines="50" w:after="50"/>
        <w:rPr>
          <w:rFonts w:ascii="宋体" w:cs="宋体"/>
          <w:color w:val="auto"/>
          <w:sz w:val="24"/>
          <w:highlight w:val="none"/>
        </w:rPr>
      </w:pPr>
    </w:p>
    <w:p>
      <w:pPr>
        <w:snapToGrid w:val="0"/>
        <w:spacing w:beforeLines="50" w:after="50"/>
        <w:rPr>
          <w:rFonts w:ascii="宋体" w:cs="宋体"/>
          <w:color w:val="auto"/>
          <w:sz w:val="24"/>
          <w:szCs w:val="20"/>
          <w:highlight w:val="none"/>
        </w:rPr>
      </w:pPr>
    </w:p>
    <w:p>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pPr>
        <w:snapToGrid w:val="0"/>
        <w:spacing w:beforeLines="50" w:after="50"/>
        <w:rPr>
          <w:rFonts w:ascii="宋体" w:cs="宋体"/>
          <w:color w:val="auto"/>
          <w:sz w:val="24"/>
          <w:szCs w:val="20"/>
          <w:highlight w:val="none"/>
        </w:rPr>
      </w:pPr>
    </w:p>
    <w:p>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所竞分标（如有）：</w:t>
      </w:r>
    </w:p>
    <w:p>
      <w:pPr>
        <w:snapToGrid w:val="0"/>
        <w:spacing w:beforeLines="50" w:after="50"/>
        <w:ind w:firstLine="720" w:firstLineChars="225"/>
        <w:rPr>
          <w:rFonts w:ascii="宋体" w:cs="宋体"/>
          <w:bCs/>
          <w:color w:val="auto"/>
          <w:sz w:val="32"/>
          <w:szCs w:val="32"/>
          <w:highlight w:val="none"/>
        </w:rPr>
      </w:pPr>
    </w:p>
    <w:p>
      <w:pPr>
        <w:pStyle w:val="7"/>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pPr>
        <w:pStyle w:val="7"/>
        <w:snapToGrid w:val="0"/>
        <w:spacing w:before="50" w:after="50"/>
        <w:ind w:firstLine="640" w:firstLineChars="200"/>
        <w:rPr>
          <w:rFonts w:ascii="宋体" w:cs="宋体"/>
          <w:bCs/>
          <w:color w:val="auto"/>
          <w:sz w:val="32"/>
          <w:szCs w:val="32"/>
          <w:highlight w:val="none"/>
        </w:rPr>
      </w:pPr>
    </w:p>
    <w:p>
      <w:pPr>
        <w:pStyle w:val="7"/>
        <w:snapToGrid w:val="0"/>
        <w:spacing w:before="50" w:after="50"/>
        <w:ind w:firstLine="0"/>
        <w:rPr>
          <w:rFonts w:ascii="宋体" w:cs="宋体"/>
          <w:bCs/>
          <w:color w:val="auto"/>
          <w:sz w:val="32"/>
          <w:szCs w:val="32"/>
          <w:highlight w:val="none"/>
        </w:rPr>
      </w:pPr>
    </w:p>
    <w:p>
      <w:pPr>
        <w:pStyle w:val="7"/>
        <w:snapToGrid w:val="0"/>
        <w:spacing w:before="50" w:after="50"/>
        <w:ind w:firstLine="1280" w:firstLineChars="400"/>
        <w:rPr>
          <w:rFonts w:ascii="宋体" w:cs="宋体"/>
          <w:bCs/>
          <w:color w:val="auto"/>
          <w:sz w:val="32"/>
          <w:szCs w:val="32"/>
          <w:highlight w:val="none"/>
        </w:rPr>
      </w:pPr>
    </w:p>
    <w:p>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报价文件目录</w:t>
      </w:r>
    </w:p>
    <w:p>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pPr>
        <w:spacing w:line="400" w:lineRule="exact"/>
        <w:rPr>
          <w:rFonts w:ascii="宋体" w:cs="宋体"/>
          <w:color w:val="auto"/>
          <w:sz w:val="32"/>
          <w:szCs w:val="32"/>
          <w:highlight w:val="none"/>
        </w:rPr>
      </w:pPr>
    </w:p>
    <w:p>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contextualSpacing/>
        <w:rPr>
          <w:rFonts w:ascii="宋体" w:cs="宋体"/>
          <w:color w:val="auto"/>
          <w:sz w:val="32"/>
          <w:szCs w:val="32"/>
          <w:highlight w:val="none"/>
        </w:rPr>
      </w:pPr>
    </w:p>
    <w:p>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不同的供应商的响应文件载明的项目管理员为同一个人；</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不同供应商的竞标保证金从同一单位或者个人账户转出。</w:t>
      </w:r>
    </w:p>
    <w:p>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w:t>
      </w:r>
      <w:r>
        <w:rPr>
          <w:rFonts w:ascii="宋体" w:cs="宋体"/>
          <w:color w:val="auto"/>
          <w:sz w:val="24"/>
          <w:highlight w:val="none"/>
        </w:rPr>
        <w:t>,</w:t>
      </w:r>
      <w:r>
        <w:rPr>
          <w:rFonts w:hint="eastAsia" w:ascii="宋体" w:hAnsi="宋体" w:cs="宋体"/>
          <w:color w:val="auto"/>
          <w:sz w:val="24"/>
          <w:highlight w:val="none"/>
        </w:rPr>
        <w:t>或者在竞争性谈判项目中事先约定轮流以高价位或者低价位成交</w:t>
      </w:r>
      <w:r>
        <w:rPr>
          <w:rFonts w:ascii="宋体" w:cs="宋体"/>
          <w:color w:val="auto"/>
          <w:sz w:val="24"/>
          <w:highlight w:val="none"/>
        </w:rPr>
        <w:t>,</w:t>
      </w:r>
      <w:r>
        <w:rPr>
          <w:rFonts w:hint="eastAsia" w:ascii="宋体" w:hAnsi="宋体" w:cs="宋体"/>
          <w:color w:val="auto"/>
          <w:sz w:val="24"/>
          <w:highlight w:val="none"/>
        </w:rPr>
        <w:t>或者事先约定由某一特定供应商成交</w:t>
      </w:r>
      <w:r>
        <w:rPr>
          <w:rFonts w:ascii="宋体" w:cs="宋体"/>
          <w:color w:val="auto"/>
          <w:sz w:val="24"/>
          <w:highlight w:val="none"/>
        </w:rPr>
        <w:t>,</w:t>
      </w:r>
      <w:r>
        <w:rPr>
          <w:rFonts w:hint="eastAsia" w:ascii="宋体" w:hAnsi="宋体" w:cs="宋体"/>
          <w:color w:val="auto"/>
          <w:sz w:val="24"/>
          <w:highlight w:val="none"/>
        </w:rPr>
        <w:t>然后再参加竞标；</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cs="宋体"/>
          <w:color w:val="auto"/>
          <w:sz w:val="24"/>
          <w:highlight w:val="none"/>
        </w:rPr>
      </w:pPr>
    </w:p>
    <w:p>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pPr>
        <w:spacing w:line="360" w:lineRule="auto"/>
        <w:ind w:firstLine="480" w:firstLineChars="200"/>
        <w:contextualSpacing/>
        <w:rPr>
          <w:rFonts w:ascii="宋体" w:cs="宋体"/>
          <w:color w:val="auto"/>
          <w:sz w:val="24"/>
          <w:highlight w:val="none"/>
        </w:rPr>
      </w:pPr>
    </w:p>
    <w:p>
      <w:pPr>
        <w:spacing w:line="360" w:lineRule="auto"/>
        <w:contextualSpacing/>
        <w:rPr>
          <w:rFonts w:ascii="宋体" w:cs="宋体"/>
          <w:color w:val="auto"/>
          <w:sz w:val="24"/>
          <w:highlight w:val="none"/>
        </w:rPr>
      </w:pPr>
    </w:p>
    <w:p>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p>
    <w:p>
      <w:pPr>
        <w:spacing w:line="360" w:lineRule="auto"/>
        <w:ind w:firstLine="480" w:firstLineChars="2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ind w:firstLine="640" w:firstLineChars="200"/>
        <w:contextualSpacing/>
        <w:jc w:val="center"/>
        <w:rPr>
          <w:rFonts w:ascii="宋体" w:cs="宋体"/>
          <w:color w:val="auto"/>
          <w:sz w:val="32"/>
          <w:szCs w:val="32"/>
          <w:highlight w:val="none"/>
        </w:rPr>
      </w:pPr>
    </w:p>
    <w:p>
      <w:pPr>
        <w:tabs>
          <w:tab w:val="left" w:pos="3479"/>
        </w:tabs>
        <w:spacing w:line="520" w:lineRule="exact"/>
        <w:jc w:val="center"/>
        <w:rPr>
          <w:rFonts w:ascii="宋体" w:cs="宋体"/>
          <w:bCs/>
          <w:color w:val="auto"/>
          <w:sz w:val="32"/>
          <w:szCs w:val="32"/>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pPr>
        <w:spacing w:line="520" w:lineRule="exact"/>
        <w:jc w:val="center"/>
        <w:rPr>
          <w:rFonts w:ascii="宋体" w:cs="宋体"/>
          <w:bCs/>
          <w:color w:val="auto"/>
          <w:sz w:val="32"/>
          <w:szCs w:val="32"/>
          <w:highlight w:val="none"/>
        </w:rPr>
      </w:pPr>
    </w:p>
    <w:p>
      <w:pPr>
        <w:snapToGrid w:val="0"/>
        <w:spacing w:before="50" w:after="50" w:line="360" w:lineRule="auto"/>
        <w:rPr>
          <w:rFonts w:ascii="宋体" w:cs="宋体"/>
          <w:color w:val="auto"/>
          <w:sz w:val="24"/>
          <w:highlight w:val="none"/>
        </w:rPr>
      </w:pPr>
      <w:r>
        <w:rPr>
          <w:rFonts w:hint="eastAsia" w:ascii="宋体" w:hAnsi="宋体" w:cs="宋体"/>
          <w:color w:val="auto"/>
          <w:sz w:val="24"/>
          <w:highlight w:val="none"/>
        </w:rPr>
        <w:t>项目名称：项目编号：</w:t>
      </w:r>
      <w:r>
        <w:rPr>
          <w:rFonts w:ascii="宋体" w:hAnsi="宋体" w:cs="宋体"/>
          <w:color w:val="auto"/>
          <w:sz w:val="24"/>
          <w:highlight w:val="none"/>
        </w:rPr>
        <w:t xml:space="preserve"> </w:t>
      </w:r>
      <w:r>
        <w:rPr>
          <w:rFonts w:hint="eastAsia" w:ascii="宋体" w:hAnsi="宋体" w:cs="宋体"/>
          <w:color w:val="auto"/>
          <w:sz w:val="24"/>
          <w:highlight w:val="none"/>
        </w:rPr>
        <w:t>分标（如有）：</w:t>
      </w:r>
    </w:p>
    <w:p>
      <w:pPr>
        <w:snapToGrid w:val="0"/>
        <w:spacing w:before="50" w:after="50" w:line="360" w:lineRule="auto"/>
        <w:rPr>
          <w:rFonts w:ascii="宋体" w:cs="宋体"/>
          <w:color w:val="auto"/>
          <w:sz w:val="24"/>
          <w:highlight w:val="none"/>
        </w:rPr>
      </w:pPr>
      <w:r>
        <w:rPr>
          <w:rFonts w:hint="eastAsia" w:ascii="宋体" w:hAnsi="宋体" w:cs="宋体"/>
          <w:color w:val="auto"/>
          <w:sz w:val="24"/>
          <w:highlight w:val="none"/>
        </w:rPr>
        <w:t>供应商名称：</w:t>
      </w:r>
    </w:p>
    <w:p>
      <w:pPr>
        <w:snapToGrid w:val="0"/>
        <w:spacing w:before="50" w:after="50" w:line="360" w:lineRule="auto"/>
        <w:ind w:firstLine="5520" w:firstLineChars="2300"/>
        <w:rPr>
          <w:rFonts w:ascii="宋体" w:cs="宋体"/>
          <w:color w:val="auto"/>
          <w:sz w:val="24"/>
          <w:highlight w:val="none"/>
        </w:rPr>
      </w:pPr>
      <w:r>
        <w:rPr>
          <w:rFonts w:hint="eastAsia" w:ascii="宋体" w:hAnsi="宋体" w:cs="宋体"/>
          <w:color w:val="auto"/>
          <w:sz w:val="24"/>
          <w:highlight w:val="none"/>
        </w:rPr>
        <w:t>单位：元</w:t>
      </w:r>
    </w:p>
    <w:tbl>
      <w:tblPr>
        <w:tblStyle w:val="24"/>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3390"/>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数量及单位</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规格</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型号</w:t>
            </w: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生产厂家</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单价</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②</w:t>
            </w:r>
          </w:p>
        </w:tc>
        <w:tc>
          <w:tcPr>
            <w:tcW w:w="1725" w:type="dxa"/>
            <w:tcBorders>
              <w:top w:val="single" w:color="auto" w:sz="4" w:space="0"/>
              <w:left w:val="single" w:color="auto" w:sz="4" w:space="0"/>
              <w:bottom w:val="single" w:color="auto" w:sz="4" w:space="0"/>
            </w:tcBorders>
            <w:vAlign w:val="center"/>
          </w:tcPr>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竞标报价</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③</w:t>
            </w:r>
            <w:r>
              <w:rPr>
                <w:rFonts w:ascii="宋体" w:hAnsi="宋体" w:cs="宋体"/>
                <w:b/>
                <w:bCs/>
                <w:color w:val="auto"/>
                <w:sz w:val="24"/>
                <w:highlight w:val="none"/>
              </w:rPr>
              <w:t>=</w:t>
            </w:r>
            <w:r>
              <w:rPr>
                <w:rFonts w:hint="eastAsia" w:ascii="宋体" w:hAnsi="宋体" w:cs="宋体"/>
                <w:b/>
                <w:bCs/>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725"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725"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725"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8"/>
            <w:tcBorders>
              <w:top w:val="single" w:color="auto" w:sz="4" w:space="0"/>
              <w:bottom w:val="single" w:color="auto" w:sz="4" w:space="0"/>
            </w:tcBorders>
          </w:tcPr>
          <w:p>
            <w:pPr>
              <w:snapToGrid w:val="0"/>
              <w:spacing w:before="50" w:after="50" w:line="360" w:lineRule="auto"/>
              <w:rPr>
                <w:rFonts w:ascii="宋体" w:cs="宋体"/>
                <w:color w:val="auto"/>
                <w:sz w:val="24"/>
                <w:highlight w:val="none"/>
              </w:rPr>
            </w:pPr>
            <w:r>
              <w:rPr>
                <w:rFonts w:hint="eastAsia" w:ascii="宋体" w:hAnsi="宋体" w:cs="宋体"/>
                <w:color w:val="auto"/>
                <w:sz w:val="24"/>
                <w:highlight w:val="none"/>
              </w:rPr>
              <w:t>合计金额大写：人民币（￥）</w:t>
            </w:r>
          </w:p>
          <w:p>
            <w:pPr>
              <w:snapToGrid w:val="0"/>
              <w:spacing w:before="50" w:after="50" w:line="360" w:lineRule="auto"/>
              <w:rPr>
                <w:rFonts w:ascii="宋体" w:cs="宋体"/>
                <w:color w:val="auto"/>
                <w:sz w:val="24"/>
                <w:highlight w:val="none"/>
                <w:u w:val="single"/>
              </w:rPr>
            </w:pPr>
            <w:r>
              <w:rPr>
                <w:rFonts w:hint="eastAsia" w:ascii="宋体" w:hAnsi="宋体" w:cs="宋体"/>
                <w:color w:val="auto"/>
                <w:sz w:val="24"/>
                <w:highlight w:val="none"/>
                <w:u w:val="single"/>
              </w:rPr>
              <w:t>竞标货物中，属于优先采购节能产品总值为￥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（具体明细详见附表，附表格式自拟），占本竞标报价的比例为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；属于优先采购环境标志产品总值为￥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（具体明细详见附表，附表格式自拟），占本竞标报价的比例为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p>
        </w:tc>
      </w:tr>
    </w:tbl>
    <w:p>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 </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 xml:space="preserve">1. </w:t>
      </w:r>
      <w:r>
        <w:rPr>
          <w:rFonts w:hint="eastAsia" w:ascii="宋体" w:hAnsi="宋体" w:cs="宋体"/>
          <w:color w:val="auto"/>
          <w:sz w:val="24"/>
          <w:highlight w:val="none"/>
        </w:rPr>
        <w:t>以上竞标报价表中“货物名称、数量及单位、品牌、规格型号、生产厂家”必须如实填写完整，品牌、规格型号没有则填无，填写有缺漏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其响应文件按无效响应处理。</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pPr>
        <w:spacing w:line="360" w:lineRule="auto"/>
        <w:ind w:firstLine="480" w:firstLineChars="200"/>
        <w:contextualSpacing/>
        <w:jc w:val="left"/>
        <w:rPr>
          <w:rFonts w:ascii="宋体" w:cs="宋体"/>
          <w:b/>
          <w:color w:val="auto"/>
          <w:sz w:val="24"/>
          <w:highlight w:val="none"/>
        </w:rPr>
      </w:pPr>
      <w:r>
        <w:rPr>
          <w:rFonts w:ascii="宋体" w:hAnsi="宋体" w:cs="宋体"/>
          <w:bCs/>
          <w:color w:val="auto"/>
          <w:sz w:val="24"/>
          <w:highlight w:val="none"/>
        </w:rPr>
        <w:t>3.</w:t>
      </w:r>
      <w:r>
        <w:rPr>
          <w:rFonts w:hint="eastAsia" w:ascii="宋体" w:hAnsi="宋体" w:cs="宋体"/>
          <w:color w:val="auto"/>
          <w:sz w:val="24"/>
          <w:highlight w:val="none"/>
        </w:rPr>
        <w:t>报价一经涂改，应在涂改处加盖供应商公章或者由法定代表人或者授权委托人签字或者盖章</w:t>
      </w:r>
      <w:r>
        <w:rPr>
          <w:rFonts w:hint="eastAsia" w:ascii="宋体" w:hAnsi="宋体" w:cs="宋体"/>
          <w:b/>
          <w:color w:val="auto"/>
          <w:sz w:val="24"/>
          <w:highlight w:val="none"/>
        </w:rPr>
        <w:t>，否则其响应文件按无效响应处理。</w:t>
      </w:r>
    </w:p>
    <w:p>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谈判文件中列明采购专用耗材的，应按谈判文件规定的耗材量或者按耗材的常规试用量提供报价。</w:t>
      </w:r>
    </w:p>
    <w:p>
      <w:pPr>
        <w:spacing w:line="360" w:lineRule="auto"/>
        <w:ind w:firstLine="482" w:firstLineChars="200"/>
        <w:contextualSpacing/>
        <w:rPr>
          <w:rFonts w:ascii="宋体" w:cs="宋体"/>
          <w:b/>
          <w:color w:val="auto"/>
          <w:sz w:val="24"/>
          <w:highlight w:val="none"/>
        </w:rPr>
      </w:pPr>
    </w:p>
    <w:p>
      <w:pPr>
        <w:spacing w:line="360" w:lineRule="auto"/>
        <w:ind w:right="-817" w:rightChars="-389" w:firstLine="2640" w:firstLineChars="1100"/>
        <w:contextualSpacing/>
        <w:rPr>
          <w:rFonts w:ascii="宋体" w:cs="宋体"/>
          <w:color w:val="auto"/>
          <w:sz w:val="24"/>
          <w:highlight w:val="none"/>
        </w:rPr>
      </w:pPr>
    </w:p>
    <w:p>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pPr>
        <w:spacing w:line="360" w:lineRule="auto"/>
        <w:ind w:right="-817" w:rightChars="-389" w:firstLine="4080" w:firstLineChars="1700"/>
        <w:contextualSpacing/>
        <w:rPr>
          <w:rFonts w:ascii="宋体" w:cs="宋体"/>
          <w:b/>
          <w:color w:val="auto"/>
          <w:sz w:val="32"/>
          <w:szCs w:val="32"/>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ind w:right="420"/>
        <w:contextualSpacing/>
        <w:jc w:val="left"/>
        <w:rPr>
          <w:rFonts w:ascii="宋体" w:cs="宋体"/>
          <w:b/>
          <w:bCs/>
          <w:color w:val="auto"/>
          <w:sz w:val="32"/>
          <w:szCs w:val="32"/>
          <w:highlight w:val="none"/>
        </w:rPr>
      </w:pPr>
    </w:p>
    <w:p>
      <w:pPr>
        <w:spacing w:line="360" w:lineRule="auto"/>
        <w:ind w:right="420"/>
        <w:contextualSpacing/>
        <w:jc w:val="left"/>
        <w:rPr>
          <w:rFonts w:asci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商务技术文件格式</w:t>
      </w:r>
      <w:r>
        <w:rPr>
          <w:rFonts w:ascii="宋体" w:hAnsi="宋体" w:cs="宋体"/>
          <w:b/>
          <w:color w:val="auto"/>
          <w:sz w:val="32"/>
          <w:szCs w:val="32"/>
          <w:highlight w:val="none"/>
        </w:rPr>
        <w:t xml:space="preserve"> </w:t>
      </w:r>
    </w:p>
    <w:p>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商务技术文件封面格式</w:t>
      </w:r>
    </w:p>
    <w:p>
      <w:pPr>
        <w:snapToGrid w:val="0"/>
        <w:spacing w:beforeLines="50" w:after="50"/>
        <w:rPr>
          <w:rFonts w:ascii="宋体" w:cs="宋体"/>
          <w:color w:val="auto"/>
          <w:sz w:val="24"/>
          <w:highlight w:val="none"/>
        </w:rPr>
      </w:pPr>
    </w:p>
    <w:p>
      <w:pPr>
        <w:snapToGrid w:val="0"/>
        <w:spacing w:beforeLines="50" w:after="50"/>
        <w:rPr>
          <w:rFonts w:ascii="宋体" w:cs="宋体"/>
          <w:color w:val="auto"/>
          <w:sz w:val="24"/>
          <w:highlight w:val="none"/>
        </w:rPr>
      </w:pPr>
    </w:p>
    <w:p>
      <w:pPr>
        <w:snapToGrid w:val="0"/>
        <w:spacing w:beforeLines="50" w:after="50"/>
        <w:rPr>
          <w:rFonts w:ascii="宋体" w:cs="宋体"/>
          <w:color w:val="auto"/>
          <w:sz w:val="24"/>
          <w:szCs w:val="20"/>
          <w:highlight w:val="none"/>
        </w:rPr>
      </w:pPr>
    </w:p>
    <w:p>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pPr>
        <w:snapToGrid w:val="0"/>
        <w:spacing w:beforeLines="50" w:after="50"/>
        <w:rPr>
          <w:rFonts w:ascii="宋体" w:cs="宋体"/>
          <w:color w:val="auto"/>
          <w:sz w:val="24"/>
          <w:szCs w:val="20"/>
          <w:highlight w:val="none"/>
        </w:rPr>
      </w:pPr>
    </w:p>
    <w:p>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cs="宋体"/>
          <w:bCs/>
          <w:color w:val="auto"/>
          <w:sz w:val="32"/>
          <w:szCs w:val="32"/>
          <w:highlight w:val="none"/>
        </w:rPr>
      </w:pPr>
    </w:p>
    <w:p>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所竞分标（如有）：</w:t>
      </w:r>
    </w:p>
    <w:p>
      <w:pPr>
        <w:snapToGrid w:val="0"/>
        <w:spacing w:beforeLines="50" w:after="50"/>
        <w:ind w:firstLine="720" w:firstLineChars="225"/>
        <w:rPr>
          <w:rFonts w:ascii="宋体" w:cs="宋体"/>
          <w:bCs/>
          <w:color w:val="auto"/>
          <w:sz w:val="32"/>
          <w:szCs w:val="32"/>
          <w:highlight w:val="none"/>
        </w:rPr>
      </w:pPr>
    </w:p>
    <w:p>
      <w:pPr>
        <w:pStyle w:val="7"/>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pPr>
        <w:pStyle w:val="7"/>
        <w:snapToGrid w:val="0"/>
        <w:spacing w:before="50" w:after="50"/>
        <w:ind w:firstLine="640" w:firstLineChars="200"/>
        <w:rPr>
          <w:rFonts w:ascii="宋体" w:cs="宋体"/>
          <w:bCs/>
          <w:color w:val="auto"/>
          <w:sz w:val="32"/>
          <w:szCs w:val="32"/>
          <w:highlight w:val="none"/>
        </w:rPr>
      </w:pPr>
    </w:p>
    <w:p>
      <w:pPr>
        <w:pStyle w:val="7"/>
        <w:snapToGrid w:val="0"/>
        <w:spacing w:before="50" w:after="50"/>
        <w:ind w:firstLine="0"/>
        <w:rPr>
          <w:rFonts w:ascii="宋体" w:cs="宋体"/>
          <w:bCs/>
          <w:color w:val="auto"/>
          <w:sz w:val="32"/>
          <w:szCs w:val="32"/>
          <w:highlight w:val="none"/>
        </w:rPr>
      </w:pPr>
    </w:p>
    <w:p>
      <w:pPr>
        <w:pStyle w:val="7"/>
        <w:snapToGrid w:val="0"/>
        <w:spacing w:before="50" w:after="50"/>
        <w:ind w:firstLine="1280" w:firstLineChars="400"/>
        <w:rPr>
          <w:rFonts w:ascii="宋体" w:cs="宋体"/>
          <w:bCs/>
          <w:color w:val="auto"/>
          <w:sz w:val="32"/>
          <w:szCs w:val="32"/>
          <w:highlight w:val="none"/>
        </w:rPr>
      </w:pPr>
    </w:p>
    <w:p>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商务技术文件目录</w:t>
      </w:r>
    </w:p>
    <w:p>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pPr>
        <w:spacing w:line="360" w:lineRule="auto"/>
        <w:ind w:firstLine="420" w:firstLineChars="200"/>
        <w:contextualSpacing/>
        <w:jc w:val="left"/>
        <w:rPr>
          <w:rFonts w:ascii="宋体" w:cs="宋体"/>
          <w:color w:val="auto"/>
          <w:szCs w:val="21"/>
          <w:highlight w:val="none"/>
        </w:rPr>
      </w:pPr>
    </w:p>
    <w:p>
      <w:pPr>
        <w:spacing w:line="500" w:lineRule="exact"/>
        <w:jc w:val="center"/>
        <w:rPr>
          <w:rFonts w:ascii="宋体" w:cs="宋体"/>
          <w:bCs/>
          <w:color w:val="auto"/>
          <w:sz w:val="44"/>
          <w:szCs w:val="44"/>
          <w:highlight w:val="none"/>
        </w:rPr>
      </w:pPr>
      <w:r>
        <w:rPr>
          <w:rFonts w:ascii="宋体" w:cs="宋体"/>
          <w:color w:val="auto"/>
          <w:sz w:val="32"/>
          <w:szCs w:val="32"/>
          <w:highlight w:val="none"/>
        </w:rPr>
        <w:br w:type="page"/>
      </w:r>
      <w:r>
        <w:rPr>
          <w:rFonts w:hint="eastAsia" w:ascii="宋体" w:hAnsi="宋体" w:cs="宋体"/>
          <w:bCs/>
          <w:color w:val="auto"/>
          <w:sz w:val="44"/>
          <w:szCs w:val="44"/>
          <w:highlight w:val="none"/>
        </w:rPr>
        <w:t>商务要求偏离表格式</w:t>
      </w:r>
    </w:p>
    <w:p>
      <w:pPr>
        <w:spacing w:line="500" w:lineRule="exact"/>
        <w:jc w:val="center"/>
        <w:rPr>
          <w:rFonts w:ascii="宋体" w:cs="宋体"/>
          <w:b/>
          <w:color w:val="auto"/>
          <w:sz w:val="28"/>
          <w:szCs w:val="28"/>
          <w:highlight w:val="none"/>
        </w:rPr>
      </w:pPr>
      <w:r>
        <w:rPr>
          <w:rFonts w:hint="eastAsia" w:ascii="宋体" w:hAnsi="宋体" w:cs="宋体"/>
          <w:bCs/>
          <w:color w:val="auto"/>
          <w:sz w:val="28"/>
          <w:szCs w:val="28"/>
          <w:highlight w:val="none"/>
        </w:rPr>
        <w:t>（注：按采购需求具体条款修改）</w:t>
      </w:r>
    </w:p>
    <w:p>
      <w:pPr>
        <w:snapToGrid w:val="0"/>
        <w:spacing w:before="50"/>
        <w:jc w:val="left"/>
        <w:rPr>
          <w:rFonts w:ascii="宋体" w:cs="宋体"/>
          <w:color w:val="auto"/>
          <w:sz w:val="24"/>
          <w:highlight w:val="none"/>
        </w:rPr>
      </w:pPr>
    </w:p>
    <w:p>
      <w:pPr>
        <w:pStyle w:val="14"/>
        <w:spacing w:line="360" w:lineRule="auto"/>
        <w:rPr>
          <w:rFonts w:hAnsi="宋体" w:cs="宋体"/>
          <w:color w:val="auto"/>
          <w:sz w:val="24"/>
          <w:szCs w:val="24"/>
          <w:highlight w:val="none"/>
        </w:rPr>
      </w:pPr>
      <w:r>
        <w:rPr>
          <w:rFonts w:hint="eastAsia" w:hAnsi="宋体" w:cs="宋体"/>
          <w:color w:val="auto"/>
          <w:sz w:val="24"/>
          <w:szCs w:val="24"/>
          <w:highlight w:val="none"/>
        </w:rPr>
        <w:t>所竞分标（如有）：</w:t>
      </w:r>
    </w:p>
    <w:tbl>
      <w:tblPr>
        <w:tblStyle w:val="24"/>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r>
              <w:rPr>
                <w:rFonts w:hint="eastAsia" w:ascii="宋体" w:hAnsi="宋体" w:cs="宋体"/>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r>
              <w:rPr>
                <w:rFonts w:hint="eastAsia" w:ascii="宋体" w:hAnsi="宋体" w:cs="宋体"/>
                <w:color w:val="auto"/>
                <w:sz w:val="24"/>
                <w:highlight w:val="none"/>
              </w:rPr>
              <w:t>供应商的响应</w:t>
            </w:r>
          </w:p>
        </w:tc>
        <w:tc>
          <w:tcPr>
            <w:tcW w:w="1829" w:type="dxa"/>
            <w:tcBorders>
              <w:top w:val="single" w:color="auto" w:sz="4" w:space="0"/>
              <w:left w:val="single" w:color="auto" w:sz="4" w:space="0"/>
              <w:bottom w:val="single" w:color="auto" w:sz="4" w:space="0"/>
            </w:tcBorders>
            <w:vAlign w:val="center"/>
          </w:tcPr>
          <w:p>
            <w:pPr>
              <w:snapToGrid w:val="0"/>
              <w:spacing w:beforeLines="50" w:line="360" w:lineRule="auto"/>
              <w:jc w:val="center"/>
              <w:rPr>
                <w:rFonts w:asci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p>
        </w:tc>
        <w:tc>
          <w:tcPr>
            <w:tcW w:w="1829" w:type="dxa"/>
            <w:tcBorders>
              <w:top w:val="single" w:color="auto" w:sz="4" w:space="0"/>
              <w:left w:val="single" w:color="auto" w:sz="4" w:space="0"/>
              <w:bottom w:val="single" w:color="auto" w:sz="4" w:space="0"/>
            </w:tcBorders>
            <w:vAlign w:val="center"/>
          </w:tcPr>
          <w:p>
            <w:pPr>
              <w:snapToGrid w:val="0"/>
              <w:spacing w:beforeLines="50"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cs="宋体"/>
                <w:color w:val="auto"/>
                <w:sz w:val="24"/>
                <w:highlight w:val="none"/>
              </w:rPr>
            </w:pPr>
          </w:p>
        </w:tc>
        <w:tc>
          <w:tcPr>
            <w:tcW w:w="1829" w:type="dxa"/>
            <w:tcBorders>
              <w:top w:val="single" w:color="auto" w:sz="4" w:space="0"/>
              <w:left w:val="single" w:color="auto" w:sz="4" w:space="0"/>
              <w:bottom w:val="single" w:color="auto" w:sz="4" w:space="0"/>
            </w:tcBorders>
            <w:vAlign w:val="center"/>
          </w:tcPr>
          <w:p>
            <w:pPr>
              <w:snapToGrid w:val="0"/>
              <w:spacing w:beforeLines="50" w:line="360" w:lineRule="auto"/>
              <w:ind w:left="43"/>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cs="宋体"/>
                <w:color w:val="auto"/>
                <w:sz w:val="24"/>
                <w:highlight w:val="none"/>
              </w:rPr>
            </w:pPr>
          </w:p>
        </w:tc>
        <w:tc>
          <w:tcPr>
            <w:tcW w:w="1829" w:type="dxa"/>
            <w:tcBorders>
              <w:top w:val="single" w:color="auto" w:sz="4" w:space="0"/>
              <w:left w:val="single" w:color="auto" w:sz="4" w:space="0"/>
              <w:bottom w:val="single" w:color="auto" w:sz="4" w:space="0"/>
            </w:tcBorders>
            <w:vAlign w:val="center"/>
          </w:tcPr>
          <w:p>
            <w:pPr>
              <w:snapToGrid w:val="0"/>
              <w:spacing w:beforeLines="50" w:line="360" w:lineRule="auto"/>
              <w:jc w:val="center"/>
              <w:rPr>
                <w:rFonts w:ascii="宋体" w:cs="宋体"/>
                <w:color w:val="auto"/>
                <w:sz w:val="24"/>
                <w:highlight w:val="none"/>
              </w:rPr>
            </w:pPr>
          </w:p>
        </w:tc>
      </w:tr>
    </w:tbl>
    <w:p>
      <w:pPr>
        <w:pStyle w:val="10"/>
        <w:spacing w:after="0" w:line="360" w:lineRule="auto"/>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pPr>
        <w:pStyle w:val="10"/>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说明：应对照谈判文件“第三章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采购需求”中的商务要求逐条明确响应，并作出偏离说明。</w:t>
      </w:r>
    </w:p>
    <w:p>
      <w:pPr>
        <w:pStyle w:val="10"/>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供应商应根据自身的承诺，对照谈判文件要求在“偏离说明”中注明“正偏离”、“负偏离”或者“无偏离”。既不属于“正偏离”也不属于“负偏离”即为“无偏离”。</w:t>
      </w:r>
    </w:p>
    <w:p>
      <w:pPr>
        <w:spacing w:line="360" w:lineRule="auto"/>
        <w:contextualSpacing/>
        <w:jc w:val="left"/>
        <w:rPr>
          <w:rFonts w:ascii="宋体" w:cs="宋体"/>
          <w:color w:val="auto"/>
          <w:sz w:val="24"/>
          <w:highlight w:val="none"/>
          <w:u w:val="single"/>
        </w:rPr>
      </w:pPr>
    </w:p>
    <w:p>
      <w:pPr>
        <w:spacing w:line="360" w:lineRule="auto"/>
        <w:contextualSpacing/>
        <w:jc w:val="left"/>
        <w:rPr>
          <w:rFonts w:ascii="宋体" w:cs="宋体"/>
          <w:color w:val="auto"/>
          <w:sz w:val="24"/>
          <w:highlight w:val="none"/>
          <w:u w:val="single"/>
        </w:rPr>
      </w:pPr>
    </w:p>
    <w:p>
      <w:pPr>
        <w:spacing w:line="360" w:lineRule="auto"/>
        <w:ind w:right="-817" w:rightChars="-389"/>
        <w:contextualSpacing/>
        <w:rPr>
          <w:rFonts w:ascii="宋体" w:cs="宋体"/>
          <w:color w:val="auto"/>
          <w:sz w:val="24"/>
          <w:highlight w:val="none"/>
        </w:rPr>
      </w:pPr>
    </w:p>
    <w:p>
      <w:pPr>
        <w:spacing w:line="360" w:lineRule="auto"/>
        <w:ind w:right="-817" w:rightChars="-389"/>
        <w:contextualSpacing/>
        <w:jc w:val="center"/>
        <w:rPr>
          <w:rFonts w:ascii="宋体" w:cs="宋体"/>
          <w:color w:val="auto"/>
          <w:sz w:val="24"/>
          <w:highlight w:val="none"/>
        </w:rPr>
      </w:pPr>
      <w:r>
        <w:rPr>
          <w:rFonts w:hint="eastAsia" w:ascii="宋体" w:hAnsi="宋体" w:cs="宋体"/>
          <w:color w:val="auto"/>
          <w:sz w:val="24"/>
          <w:highlight w:val="none"/>
        </w:rPr>
        <w:t>法定代表人或者委托代理人（签字）：</w:t>
      </w:r>
    </w:p>
    <w:p>
      <w:pPr>
        <w:spacing w:line="360" w:lineRule="auto"/>
        <w:ind w:right="-817" w:rightChars="-389" w:firstLine="3240" w:firstLineChars="135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pPr>
        <w:spacing w:line="360" w:lineRule="auto"/>
        <w:ind w:right="-817" w:rightChars="-389" w:firstLine="3240" w:firstLineChars="135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adjustRightInd w:val="0"/>
        <w:snapToGrid w:val="0"/>
        <w:spacing w:line="520" w:lineRule="exact"/>
        <w:ind w:firstLine="7040" w:firstLineChars="1600"/>
        <w:jc w:val="center"/>
        <w:rPr>
          <w:rFonts w:ascii="宋体" w:cs="宋体"/>
          <w:bCs/>
          <w:color w:val="auto"/>
          <w:sz w:val="44"/>
          <w:szCs w:val="44"/>
          <w:highlight w:val="none"/>
        </w:rPr>
      </w:pPr>
    </w:p>
    <w:p>
      <w:pPr>
        <w:spacing w:line="360" w:lineRule="auto"/>
        <w:ind w:right="-817" w:rightChars="-389"/>
        <w:contextualSpacing/>
        <w:rPr>
          <w:rFonts w:ascii="宋体" w:cs="宋体"/>
          <w:b/>
          <w:color w:val="auto"/>
          <w:sz w:val="32"/>
          <w:szCs w:val="32"/>
          <w:highlight w:val="non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rPr>
          <w:rFonts w:ascii="宋体" w:cs="宋体"/>
          <w:color w:val="auto"/>
          <w:szCs w:val="21"/>
          <w:highlight w:val="none"/>
          <w:u w:val="single"/>
        </w:rPr>
      </w:pPr>
    </w:p>
    <w:p>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pPr>
        <w:spacing w:line="520" w:lineRule="exact"/>
        <w:rPr>
          <w:rFonts w:ascii="宋体" w:cs="宋体"/>
          <w:color w:val="auto"/>
          <w:sz w:val="32"/>
          <w:szCs w:val="32"/>
          <w:highlight w:val="none"/>
        </w:rPr>
      </w:pPr>
    </w:p>
    <w:p>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p>
    <w:p>
      <w:pPr>
        <w:spacing w:line="360" w:lineRule="auto"/>
        <w:rPr>
          <w:rFonts w:ascii="宋体" w:cs="宋体"/>
          <w:color w:val="auto"/>
          <w:sz w:val="24"/>
          <w:highlight w:val="none"/>
        </w:rPr>
      </w:pPr>
      <w:r>
        <w:rPr>
          <w:rFonts w:hint="eastAsia" w:ascii="宋体" w:hAnsi="宋体" w:cs="宋体"/>
          <w:color w:val="auto"/>
          <w:sz w:val="24"/>
          <w:highlight w:val="none"/>
        </w:rPr>
        <w:t>采购项目名称：</w:t>
      </w:r>
    </w:p>
    <w:p>
      <w:pPr>
        <w:spacing w:line="360" w:lineRule="auto"/>
        <w:rPr>
          <w:rFonts w:ascii="宋体" w:cs="宋体"/>
          <w:color w:val="auto"/>
          <w:sz w:val="24"/>
          <w:highlight w:val="none"/>
          <w:u w:val="single"/>
        </w:rPr>
      </w:pPr>
      <w:r>
        <w:rPr>
          <w:rFonts w:hint="eastAsia" w:ascii="宋体" w:hAnsi="宋体" w:cs="宋体"/>
          <w:color w:val="auto"/>
          <w:sz w:val="24"/>
          <w:highlight w:val="none"/>
        </w:rPr>
        <w:t>分标（如有）号：</w:t>
      </w:r>
    </w:p>
    <w:tbl>
      <w:tblPr>
        <w:tblStyle w:val="24"/>
        <w:tblW w:w="9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3"/>
        <w:gridCol w:w="2964"/>
        <w:gridCol w:w="16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tcBorders>
              <w:top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992" w:type="dxa"/>
            <w:tcBorders>
              <w:top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3293" w:type="dxa"/>
            <w:tcBorders>
              <w:top w:val="single" w:color="auto" w:sz="4" w:space="0"/>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谈判文件要求</w:t>
            </w:r>
          </w:p>
        </w:tc>
        <w:tc>
          <w:tcPr>
            <w:tcW w:w="2964" w:type="dxa"/>
            <w:tcBorders>
              <w:top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竞标响应</w:t>
            </w:r>
          </w:p>
        </w:tc>
        <w:tc>
          <w:tcPr>
            <w:tcW w:w="1617" w:type="dxa"/>
            <w:tcBorders>
              <w:top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1</w:t>
            </w:r>
          </w:p>
        </w:tc>
        <w:tc>
          <w:tcPr>
            <w:tcW w:w="992" w:type="dxa"/>
            <w:tcBorders>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2</w:t>
            </w:r>
          </w:p>
        </w:tc>
        <w:tc>
          <w:tcPr>
            <w:tcW w:w="992" w:type="dxa"/>
            <w:tcBorders>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3</w:t>
            </w:r>
          </w:p>
        </w:tc>
        <w:tc>
          <w:tcPr>
            <w:tcW w:w="992" w:type="dxa"/>
            <w:tcBorders>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4</w:t>
            </w:r>
          </w:p>
        </w:tc>
        <w:tc>
          <w:tcPr>
            <w:tcW w:w="992" w:type="dxa"/>
            <w:tcBorders>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w:t>
            </w:r>
          </w:p>
        </w:tc>
        <w:tc>
          <w:tcPr>
            <w:tcW w:w="992" w:type="dxa"/>
            <w:tcBorders>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tcBorders>
              <w:bottom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992" w:type="dxa"/>
            <w:tcBorders>
              <w:bottom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3293" w:type="dxa"/>
            <w:tcBorders>
              <w:left w:val="single" w:color="auto" w:sz="4" w:space="0"/>
              <w:bottom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2964" w:type="dxa"/>
            <w:tcBorders>
              <w:bottom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c>
          <w:tcPr>
            <w:tcW w:w="1617" w:type="dxa"/>
            <w:tcBorders>
              <w:bottom w:val="single" w:color="auto" w:sz="4" w:space="0"/>
            </w:tcBorders>
            <w:vAlign w:val="center"/>
          </w:tcPr>
          <w:p>
            <w:pPr>
              <w:pStyle w:val="12"/>
              <w:spacing w:line="360" w:lineRule="auto"/>
              <w:ind w:firstLine="0" w:firstLineChars="0"/>
              <w:jc w:val="center"/>
              <w:rPr>
                <w:rFonts w:ascii="宋体" w:hAnsi="宋体" w:eastAsia="宋体" w:cs="宋体"/>
                <w:color w:val="auto"/>
                <w:kern w:val="2"/>
                <w:sz w:val="24"/>
                <w:szCs w:val="24"/>
                <w:highlight w:val="none"/>
              </w:rPr>
            </w:pPr>
          </w:p>
        </w:tc>
      </w:tr>
    </w:tbl>
    <w:p>
      <w:pPr>
        <w:pStyle w:val="12"/>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2"/>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说明：应对照谈判文件“第三章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采购需求”中的技术要求逐条实质性响应，并作出偏离说明。</w:t>
      </w:r>
    </w:p>
    <w:p>
      <w:pPr>
        <w:pStyle w:val="12"/>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供应商应根据竞标设备的性能指标，对照谈判文件要求，在“偏离说明”中注明“正偏离”、“负偏离”或者“无偏离”。既不属于“正偏离”也不属于“负偏离”即为“无偏离”。</w:t>
      </w:r>
    </w:p>
    <w:p>
      <w:pPr>
        <w:pStyle w:val="12"/>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供应商认为其竞标响应有正偏离的，请在技术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2"/>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rPr>
        <w:t>如技术偏离表中的竞标响应与佐证材料不一致的，以佐证材料为准。</w:t>
      </w:r>
    </w:p>
    <w:p>
      <w:pPr>
        <w:pStyle w:val="12"/>
        <w:spacing w:line="360" w:lineRule="auto"/>
        <w:ind w:firstLine="0" w:firstLineChars="0"/>
        <w:contextualSpacing/>
        <w:rPr>
          <w:rFonts w:ascii="宋体" w:hAnsi="宋体" w:eastAsia="宋体" w:cs="宋体"/>
          <w:color w:val="auto"/>
          <w:sz w:val="24"/>
          <w:szCs w:val="24"/>
          <w:highlight w:val="none"/>
        </w:rPr>
      </w:pPr>
    </w:p>
    <w:p>
      <w:pPr>
        <w:spacing w:line="360" w:lineRule="auto"/>
        <w:ind w:right="-817" w:rightChars="-389"/>
        <w:contextualSpacing/>
        <w:rPr>
          <w:rFonts w:ascii="宋体" w:cs="宋体"/>
          <w:color w:val="auto"/>
          <w:sz w:val="24"/>
          <w:highlight w:val="none"/>
        </w:rPr>
      </w:pPr>
    </w:p>
    <w:p>
      <w:pPr>
        <w:spacing w:line="360" w:lineRule="auto"/>
        <w:ind w:right="-817" w:rightChars="-389"/>
        <w:contextualSpacing/>
        <w:jc w:val="center"/>
        <w:rPr>
          <w:rFonts w:ascii="宋体" w:cs="宋体"/>
          <w:color w:val="auto"/>
          <w:sz w:val="24"/>
          <w:highlight w:val="none"/>
        </w:rPr>
      </w:pPr>
      <w:r>
        <w:rPr>
          <w:rFonts w:hint="eastAsia" w:ascii="宋体" w:hAnsi="宋体" w:cs="宋体"/>
          <w:color w:val="auto"/>
          <w:sz w:val="24"/>
          <w:highlight w:val="none"/>
        </w:rPr>
        <w:t>法定代表人或者委托代理人（签字）：</w:t>
      </w:r>
    </w:p>
    <w:p>
      <w:pPr>
        <w:spacing w:line="360" w:lineRule="auto"/>
        <w:ind w:right="-817" w:rightChars="-389" w:firstLine="2880" w:firstLineChars="12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pPr>
        <w:spacing w:line="360" w:lineRule="auto"/>
        <w:ind w:right="-817" w:rightChars="-389" w:firstLine="2880" w:firstLineChars="1200"/>
        <w:contextualSpacing/>
        <w:rPr>
          <w:rFonts w:ascii="宋体" w:cs="宋体"/>
          <w:color w:val="auto"/>
          <w:sz w:val="32"/>
          <w:szCs w:val="32"/>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pPr>
        <w:adjustRightInd w:val="0"/>
        <w:snapToGrid w:val="0"/>
        <w:spacing w:line="300" w:lineRule="auto"/>
        <w:jc w:val="center"/>
        <w:rPr>
          <w:rFonts w:ascii="宋体" w:cs="宋体"/>
          <w:bCs/>
          <w:color w:val="auto"/>
          <w:sz w:val="44"/>
          <w:szCs w:val="44"/>
          <w:highlight w:val="none"/>
        </w:rPr>
      </w:pPr>
      <w:bookmarkStart w:id="35" w:name="_Toc71366061"/>
      <w:bookmarkStart w:id="36" w:name="_Toc71365383"/>
      <w:r>
        <w:rPr>
          <w:rFonts w:hint="eastAsia" w:ascii="宋体" w:hAnsi="宋体" w:cs="宋体"/>
          <w:bCs/>
          <w:color w:val="auto"/>
          <w:sz w:val="44"/>
          <w:szCs w:val="44"/>
          <w:highlight w:val="none"/>
        </w:rPr>
        <w:t>中小企业声明函（货物）</w:t>
      </w:r>
      <w:bookmarkEnd w:id="35"/>
      <w:bookmarkEnd w:id="36"/>
    </w:p>
    <w:p>
      <w:pPr>
        <w:rPr>
          <w:rFonts w:ascii="宋体" w:cs="宋体"/>
          <w:color w:val="auto"/>
          <w:highlight w:val="none"/>
        </w:rPr>
      </w:pPr>
    </w:p>
    <w:p>
      <w:pPr>
        <w:pStyle w:val="11"/>
        <w:spacing w:after="0" w:line="360" w:lineRule="auto"/>
        <w:ind w:left="-426" w:right="142" w:firstLine="640"/>
        <w:contextualSpacing/>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tabs>
          <w:tab w:val="left" w:pos="1065"/>
          <w:tab w:val="left" w:pos="6477"/>
        </w:tabs>
        <w:spacing w:line="360" w:lineRule="auto"/>
        <w:ind w:left="-426" w:right="-58" w:firstLine="655"/>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pStyle w:val="11"/>
        <w:spacing w:after="0" w:line="360" w:lineRule="auto"/>
        <w:ind w:left="142" w:right="142"/>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pPr>
        <w:pStyle w:val="11"/>
        <w:spacing w:after="0" w:line="360" w:lineRule="auto"/>
        <w:ind w:left="-405" w:leftChars="-193" w:right="142" w:firstLine="453" w:firstLineChars="189"/>
        <w:contextualSpacing/>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11"/>
        <w:spacing w:after="0" w:line="360" w:lineRule="auto"/>
        <w:ind w:left="3960" w:right="1808"/>
        <w:contextualSpacing/>
        <w:rPr>
          <w:rFonts w:ascii="宋体" w:cs="宋体"/>
          <w:color w:val="auto"/>
          <w:sz w:val="24"/>
          <w:highlight w:val="none"/>
        </w:rPr>
      </w:pPr>
    </w:p>
    <w:p>
      <w:pPr>
        <w:pStyle w:val="11"/>
        <w:spacing w:after="0" w:line="360" w:lineRule="auto"/>
        <w:ind w:left="3960" w:right="1808"/>
        <w:contextualSpacing/>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pPr>
        <w:pStyle w:val="11"/>
        <w:spacing w:after="0" w:line="360" w:lineRule="auto"/>
        <w:ind w:left="3960" w:right="1808"/>
        <w:contextualSpacing/>
        <w:rPr>
          <w:rFonts w:ascii="宋体" w:cs="宋体"/>
          <w:color w:val="auto"/>
          <w:sz w:val="24"/>
          <w:highlight w:val="none"/>
        </w:rPr>
      </w:pPr>
      <w:r>
        <w:rPr>
          <w:rFonts w:hint="eastAsia" w:ascii="宋体" w:hAnsi="宋体" w:cs="宋体"/>
          <w:color w:val="auto"/>
          <w:sz w:val="24"/>
          <w:highlight w:val="none"/>
        </w:rPr>
        <w:t>日期：</w:t>
      </w:r>
    </w:p>
    <w:p>
      <w:pPr>
        <w:pStyle w:val="11"/>
        <w:spacing w:after="0" w:line="360" w:lineRule="auto"/>
        <w:ind w:left="3960" w:right="1808"/>
        <w:contextualSpacing/>
        <w:rPr>
          <w:rFonts w:ascii="宋体" w:cs="宋体"/>
          <w:color w:val="auto"/>
          <w:highlight w:val="none"/>
        </w:rPr>
      </w:pPr>
    </w:p>
    <w:p>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宋体" w:cs="宋体"/>
          <w:color w:val="auto"/>
          <w:sz w:val="24"/>
          <w:highlight w:val="none"/>
        </w:rPr>
      </w:pPr>
    </w:p>
    <w:p>
      <w:pPr>
        <w:spacing w:line="360" w:lineRule="auto"/>
        <w:contextualSpacing/>
        <w:jc w:val="center"/>
        <w:rPr>
          <w:rFonts w:ascii="宋体" w:cs="宋体"/>
          <w:color w:val="auto"/>
          <w:sz w:val="24"/>
          <w:highlight w:val="none"/>
        </w:rPr>
      </w:pPr>
    </w:p>
    <w:p>
      <w:pPr>
        <w:pStyle w:val="14"/>
        <w:jc w:val="left"/>
        <w:rPr>
          <w:rFonts w:hAnsi="宋体" w:cs="宋体"/>
          <w:color w:val="auto"/>
          <w:sz w:val="32"/>
          <w:szCs w:val="32"/>
          <w:highlight w:val="none"/>
        </w:rPr>
      </w:pPr>
      <w:r>
        <w:rPr>
          <w:rFonts w:hAnsi="宋体" w:cs="宋体"/>
          <w:color w:val="auto"/>
          <w:sz w:val="32"/>
          <w:szCs w:val="32"/>
          <w:highlight w:val="none"/>
        </w:rPr>
        <w:br w:type="page"/>
      </w:r>
      <w:r>
        <w:rPr>
          <w:rFonts w:hint="eastAsia" w:hAnsi="宋体" w:cs="宋体"/>
          <w:color w:val="auto"/>
          <w:sz w:val="32"/>
          <w:szCs w:val="32"/>
          <w:highlight w:val="none"/>
        </w:rPr>
        <w:t>附：</w:t>
      </w:r>
    </w:p>
    <w:p>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pPr>
        <w:ind w:left="1871"/>
        <w:rPr>
          <w:rFonts w:ascii="宋体" w:cs="宋体"/>
          <w:color w:val="auto"/>
          <w:szCs w:val="21"/>
          <w:highlight w:val="none"/>
        </w:rPr>
      </w:pPr>
    </w:p>
    <w:tbl>
      <w:tblPr>
        <w:tblStyle w:val="24"/>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pPr>
        <w:spacing w:line="360" w:lineRule="auto"/>
        <w:ind w:firstLine="525" w:firstLineChars="250"/>
        <w:rPr>
          <w:rFonts w:ascii="宋体" w:cs="宋体"/>
          <w:color w:val="auto"/>
          <w:szCs w:val="21"/>
          <w:highlight w:val="none"/>
        </w:rPr>
      </w:pPr>
    </w:p>
    <w:p>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pPr>
        <w:spacing w:line="360" w:lineRule="auto"/>
        <w:contextualSpacing/>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520" w:lineRule="exact"/>
        <w:rPr>
          <w:rFonts w:ascii="宋体" w:cs="宋体"/>
          <w:color w:val="auto"/>
          <w:sz w:val="32"/>
          <w:szCs w:val="32"/>
          <w:highlight w:val="none"/>
        </w:rPr>
      </w:pP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号）的规定，本单位为符合条件的残疾人福利性单位，且本单位参加单位的项目采购活动提供本单位制造的货物（由本单位承担工程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p>
    <w:p>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p>
    <w:p>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widowControl/>
        <w:spacing w:line="360" w:lineRule="auto"/>
        <w:jc w:val="center"/>
        <w:rPr>
          <w:rFonts w:ascii="宋体" w:cs="宋体"/>
          <w:b/>
          <w:color w:val="auto"/>
          <w:sz w:val="30"/>
          <w:highlight w:val="none"/>
        </w:rPr>
      </w:pPr>
    </w:p>
    <w:p>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pPr>
        <w:spacing w:line="360" w:lineRule="auto"/>
        <w:jc w:val="center"/>
        <w:rPr>
          <w:rFonts w:ascii="宋体" w:cs="宋体"/>
          <w:b/>
          <w:bCs/>
          <w:color w:val="auto"/>
          <w:sz w:val="32"/>
          <w:szCs w:val="32"/>
          <w:highlight w:val="none"/>
        </w:rPr>
      </w:pPr>
    </w:p>
    <w:p>
      <w:pPr>
        <w:pStyle w:val="14"/>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4"/>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p>
    <w:p>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联系人：联系电话：</w:t>
      </w:r>
    </w:p>
    <w:p>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p>
    <w:p>
      <w:pPr>
        <w:pStyle w:val="14"/>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p>
    <w:p>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pPr>
        <w:pStyle w:val="14"/>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p>
    <w:p>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pPr>
        <w:pStyle w:val="14"/>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pPr>
        <w:pStyle w:val="14"/>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p>
    <w:p>
      <w:pPr>
        <w:pStyle w:val="14"/>
        <w:spacing w:line="360" w:lineRule="auto"/>
        <w:ind w:left="25" w:leftChars="12" w:firstLine="352" w:firstLineChars="147"/>
        <w:contextualSpacing/>
        <w:rPr>
          <w:rFonts w:hAnsi="宋体" w:cs="宋体"/>
          <w:color w:val="auto"/>
          <w:sz w:val="24"/>
          <w:szCs w:val="24"/>
          <w:highlight w:val="none"/>
        </w:rPr>
      </w:pP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pPr>
        <w:pStyle w:val="14"/>
        <w:spacing w:line="360" w:lineRule="auto"/>
        <w:ind w:left="25" w:leftChars="12" w:firstLine="352" w:firstLineChars="147"/>
        <w:contextualSpacing/>
        <w:rPr>
          <w:rFonts w:hAnsi="宋体" w:cs="宋体"/>
          <w:color w:val="auto"/>
          <w:sz w:val="24"/>
          <w:szCs w:val="24"/>
          <w:highlight w:val="none"/>
        </w:rPr>
      </w:pP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pPr>
        <w:pStyle w:val="14"/>
        <w:spacing w:line="360" w:lineRule="auto"/>
        <w:contextualSpacing/>
        <w:rPr>
          <w:rFonts w:hAnsi="宋体" w:cs="宋体"/>
          <w:b/>
          <w:color w:val="auto"/>
          <w:sz w:val="24"/>
          <w:szCs w:val="24"/>
          <w:highlight w:val="none"/>
        </w:rPr>
      </w:pPr>
    </w:p>
    <w:p>
      <w:pPr>
        <w:pStyle w:val="14"/>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pPr>
        <w:pStyle w:val="14"/>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pPr>
        <w:pStyle w:val="14"/>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pPr>
        <w:pStyle w:val="14"/>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pPr>
        <w:pStyle w:val="14"/>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pPr>
        <w:pStyle w:val="14"/>
        <w:snapToGrid w:val="0"/>
        <w:rPr>
          <w:rFonts w:hAnsi="宋体" w:cs="宋体"/>
          <w:b/>
          <w:color w:val="auto"/>
          <w:sz w:val="24"/>
          <w:szCs w:val="24"/>
          <w:highlight w:val="none"/>
        </w:rPr>
      </w:pPr>
    </w:p>
    <w:p>
      <w:pPr>
        <w:rPr>
          <w:rFonts w:ascii="宋体" w:cs="宋体"/>
          <w:color w:val="auto"/>
          <w:highlight w:val="none"/>
        </w:rPr>
      </w:pPr>
      <w:r>
        <w:rPr>
          <w:rFonts w:ascii="宋体" w:cs="宋体"/>
          <w:color w:val="auto"/>
          <w:highlight w:val="none"/>
        </w:rPr>
        <w:br w:type="page"/>
      </w:r>
    </w:p>
    <w:p>
      <w:pPr>
        <w:spacing w:line="360" w:lineRule="auto"/>
        <w:jc w:val="center"/>
        <w:rPr>
          <w:rFonts w:ascii="宋体" w:cs="宋体"/>
          <w:color w:val="auto"/>
          <w:sz w:val="44"/>
          <w:szCs w:val="44"/>
          <w:highlight w:val="none"/>
        </w:rPr>
      </w:pP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地址：邮编：</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授权代表：联系电话：</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联系人：联系电话：</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地址：邮编：</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联系人：联系电话：</w:t>
      </w:r>
    </w:p>
    <w:p>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p>
    <w:p>
      <w:pPr>
        <w:pStyle w:val="1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p>
    <w:p>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4"/>
        <w:spacing w:line="360" w:lineRule="auto"/>
        <w:ind w:left="23" w:leftChars="11" w:firstLine="540" w:firstLineChars="225"/>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pPr>
        <w:pStyle w:val="14"/>
        <w:spacing w:line="360" w:lineRule="auto"/>
        <w:ind w:left="23" w:leftChars="11" w:firstLine="540" w:firstLineChars="225"/>
        <w:rPr>
          <w:rFonts w:hAnsi="宋体" w:cs="宋体"/>
          <w:bCs/>
          <w:color w:val="auto"/>
          <w:sz w:val="24"/>
          <w:szCs w:val="24"/>
          <w:highlight w:val="none"/>
          <w:u w:val="single"/>
        </w:rPr>
      </w:pPr>
    </w:p>
    <w:p>
      <w:pPr>
        <w:pStyle w:val="14"/>
        <w:spacing w:line="360" w:lineRule="auto"/>
        <w:ind w:left="23" w:leftChars="11" w:firstLine="540" w:firstLineChars="225"/>
        <w:rPr>
          <w:rFonts w:hAnsi="宋体" w:cs="宋体"/>
          <w:bCs/>
          <w:color w:val="auto"/>
          <w:sz w:val="24"/>
          <w:szCs w:val="24"/>
          <w:highlight w:val="none"/>
          <w:u w:val="single"/>
        </w:rPr>
      </w:pPr>
    </w:p>
    <w:p>
      <w:pPr>
        <w:pStyle w:val="14"/>
        <w:spacing w:line="360" w:lineRule="auto"/>
        <w:ind w:left="23" w:leftChars="11" w:firstLine="540" w:firstLineChars="225"/>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pPr>
        <w:pStyle w:val="14"/>
        <w:spacing w:line="360" w:lineRule="auto"/>
        <w:ind w:left="25" w:leftChars="12" w:firstLine="472" w:firstLineChars="197"/>
        <w:rPr>
          <w:rFonts w:hAnsi="宋体" w:cs="宋体"/>
          <w:color w:val="auto"/>
          <w:sz w:val="24"/>
          <w:szCs w:val="24"/>
          <w:highlight w:val="none"/>
        </w:rPr>
      </w:pP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pPr>
        <w:pStyle w:val="14"/>
        <w:spacing w:line="360" w:lineRule="auto"/>
        <w:ind w:left="25" w:leftChars="12" w:firstLine="352" w:firstLineChars="147"/>
        <w:rPr>
          <w:rFonts w:hAnsi="宋体" w:cs="宋体"/>
          <w:bCs/>
          <w:color w:val="auto"/>
          <w:sz w:val="24"/>
          <w:szCs w:val="24"/>
          <w:highlight w:val="none"/>
          <w:u w:val="single"/>
        </w:rPr>
      </w:pPr>
    </w:p>
    <w:p>
      <w:pPr>
        <w:pStyle w:val="1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p>
    <w:p>
      <w:pPr>
        <w:pStyle w:val="1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pPr>
        <w:pStyle w:val="14"/>
        <w:spacing w:line="360" w:lineRule="auto"/>
        <w:ind w:left="25" w:leftChars="12" w:firstLine="352" w:firstLineChars="147"/>
        <w:rPr>
          <w:rFonts w:hAnsi="宋体" w:cs="宋体"/>
          <w:color w:val="auto"/>
          <w:sz w:val="24"/>
          <w:szCs w:val="24"/>
          <w:highlight w:val="none"/>
        </w:rPr>
      </w:pPr>
    </w:p>
    <w:p>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pPr>
        <w:pStyle w:val="14"/>
        <w:spacing w:line="360" w:lineRule="auto"/>
        <w:ind w:left="25" w:leftChars="12" w:firstLine="352" w:firstLineChars="147"/>
        <w:rPr>
          <w:rFonts w:hAnsi="宋体" w:cs="宋体"/>
          <w:color w:val="auto"/>
          <w:sz w:val="24"/>
          <w:szCs w:val="24"/>
          <w:highlight w:val="none"/>
        </w:rPr>
      </w:pPr>
    </w:p>
    <w:p>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4"/>
        <w:spacing w:line="360" w:lineRule="auto"/>
        <w:ind w:left="25" w:leftChars="12" w:firstLine="472" w:firstLineChars="197"/>
        <w:rPr>
          <w:rFonts w:hAnsi="宋体" w:cs="宋体"/>
          <w:color w:val="auto"/>
          <w:sz w:val="24"/>
          <w:szCs w:val="24"/>
          <w:highlight w:val="none"/>
        </w:rPr>
      </w:pPr>
    </w:p>
    <w:p>
      <w:pPr>
        <w:pStyle w:val="14"/>
        <w:snapToGrid w:val="0"/>
        <w:spacing w:line="360" w:lineRule="auto"/>
        <w:rPr>
          <w:rFonts w:hAnsi="宋体" w:cs="宋体"/>
          <w:b/>
          <w:color w:val="auto"/>
          <w:sz w:val="24"/>
          <w:szCs w:val="24"/>
          <w:highlight w:val="none"/>
        </w:rPr>
      </w:pPr>
    </w:p>
    <w:p>
      <w:pPr>
        <w:pStyle w:val="1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4"/>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4"/>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pPr>
        <w:pStyle w:val="14"/>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pPr>
        <w:pStyle w:val="14"/>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pPr>
        <w:pStyle w:val="14"/>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pPr>
        <w:pStyle w:val="3"/>
        <w:jc w:val="center"/>
        <w:rPr>
          <w:rFonts w:ascii="宋体" w:cs="宋体"/>
          <w:color w:val="auto"/>
          <w:highlight w:val="none"/>
        </w:rPr>
      </w:pPr>
      <w:r>
        <w:rPr>
          <w:rFonts w:ascii="宋体" w:cs="宋体"/>
          <w:color w:val="auto"/>
          <w:highlight w:val="none"/>
        </w:rPr>
        <w:br w:type="page"/>
      </w:r>
      <w:bookmarkStart w:id="37" w:name="_Toc27822"/>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合同文本</w:t>
      </w:r>
      <w:bookmarkEnd w:id="37"/>
    </w:p>
    <w:p>
      <w:pPr>
        <w:snapToGrid w:val="0"/>
        <w:spacing w:line="400" w:lineRule="exact"/>
        <w:jc w:val="center"/>
        <w:rPr>
          <w:rFonts w:ascii="宋体" w:cs="宋体"/>
          <w:color w:val="auto"/>
          <w:highlight w:val="none"/>
        </w:rPr>
      </w:pPr>
      <w:r>
        <w:rPr>
          <w:rFonts w:hint="eastAsia" w:ascii="宋体" w:hAnsi="宋体" w:cs="宋体"/>
          <w:b/>
          <w:color w:val="auto"/>
          <w:sz w:val="28"/>
          <w:highlight w:val="none"/>
        </w:rPr>
        <w:t>政府采购合同</w:t>
      </w:r>
    </w:p>
    <w:p>
      <w:pPr>
        <w:snapToGrid w:val="0"/>
        <w:spacing w:line="360" w:lineRule="exact"/>
        <w:ind w:right="480"/>
        <w:rPr>
          <w:rFonts w:ascii="宋体" w:cs="宋体"/>
          <w:color w:val="auto"/>
          <w:highlight w:val="none"/>
        </w:rPr>
      </w:pPr>
    </w:p>
    <w:p>
      <w:pPr>
        <w:snapToGrid w:val="0"/>
        <w:spacing w:line="360" w:lineRule="exact"/>
        <w:ind w:right="480"/>
        <w:rPr>
          <w:rFonts w:ascii="宋体" w:cs="宋体"/>
          <w:color w:val="auto"/>
          <w:highlight w:val="none"/>
        </w:rPr>
      </w:pPr>
      <w:r>
        <w:rPr>
          <w:rFonts w:hint="eastAsia" w:ascii="宋体" w:hAnsi="宋体" w:cs="宋体"/>
          <w:color w:val="auto"/>
          <w:highlight w:val="none"/>
        </w:rPr>
        <w:t>合同编号：</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采购计划号：</w:t>
      </w:r>
      <w:r>
        <w:rPr>
          <w:rFonts w:ascii="宋体" w:hAnsi="宋体" w:cs="宋体"/>
          <w:color w:val="auto"/>
          <w:szCs w:val="21"/>
          <w:highlight w:val="none"/>
          <w:u w:val="single"/>
        </w:rPr>
        <w:t xml:space="preserve">                       </w:t>
      </w:r>
      <w:r>
        <w:rPr>
          <w:rFonts w:ascii="宋体" w:hAnsi="宋体" w:cs="宋体"/>
          <w:color w:val="auto"/>
          <w:highlight w:val="none"/>
        </w:rPr>
        <w:t xml:space="preserve"> </w:t>
      </w:r>
    </w:p>
    <w:p>
      <w:pPr>
        <w:snapToGrid w:val="0"/>
        <w:spacing w:line="400" w:lineRule="exact"/>
        <w:rPr>
          <w:rFonts w:ascii="宋体" w:cs="宋体"/>
          <w:color w:val="auto"/>
          <w:szCs w:val="21"/>
          <w:highlight w:val="none"/>
          <w:u w:val="single"/>
        </w:rPr>
      </w:pPr>
      <w:r>
        <w:rPr>
          <w:rFonts w:hint="eastAsia" w:ascii="宋体" w:hAnsi="宋体" w:cs="宋体"/>
          <w:color w:val="auto"/>
          <w:szCs w:val="21"/>
          <w:highlight w:val="none"/>
        </w:rPr>
        <w:t>项目名称和项目编号：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napToGrid w:val="0"/>
        <w:spacing w:line="360" w:lineRule="exact"/>
        <w:rPr>
          <w:rFonts w:ascii="宋体" w:cs="宋体"/>
          <w:color w:val="auto"/>
          <w:highlight w:val="non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pPr>
        <w:snapToGrid w:val="0"/>
        <w:spacing w:line="360" w:lineRule="exact"/>
        <w:ind w:firstLine="420" w:firstLineChars="200"/>
        <w:rPr>
          <w:rFonts w:ascii="宋体" w:cs="宋体"/>
          <w:color w:val="auto"/>
          <w:highlight w:val="none"/>
        </w:rPr>
      </w:pPr>
    </w:p>
    <w:p>
      <w:pPr>
        <w:spacing w:line="400" w:lineRule="exact"/>
        <w:rPr>
          <w:rFonts w:ascii="宋体" w:cs="宋体"/>
          <w:color w:val="auto"/>
          <w:highlight w:val="none"/>
          <w:u w:val="single"/>
        </w:rPr>
      </w:pPr>
      <w:r>
        <w:rPr>
          <w:rFonts w:hint="eastAsia" w:ascii="宋体" w:hAnsi="宋体" w:cs="宋体"/>
          <w:color w:val="auto"/>
          <w:highlight w:val="none"/>
        </w:rPr>
        <w:t>甲方：</w:t>
      </w:r>
      <w:r>
        <w:rPr>
          <w:rFonts w:ascii="宋体" w:hAnsi="宋体" w:cs="宋体"/>
          <w:color w:val="auto"/>
          <w:highlight w:val="none"/>
          <w:u w:val="single"/>
        </w:rPr>
        <w:t xml:space="preserve">   </w:t>
      </w:r>
      <w:r>
        <w:rPr>
          <w:rFonts w:hint="eastAsia" w:ascii="宋体" w:hAnsi="宋体" w:cs="宋体"/>
          <w:color w:val="auto"/>
          <w:szCs w:val="21"/>
          <w:highlight w:val="none"/>
          <w:u w:val="single"/>
          <w:lang w:eastAsia="zh-CN"/>
        </w:rPr>
        <w:t>贺州市平桂区卫生健康局</w:t>
      </w:r>
      <w:r>
        <w:rPr>
          <w:rFonts w:ascii="宋体" w:hAnsi="宋体" w:cs="宋体"/>
          <w:color w:val="auto"/>
          <w:szCs w:val="21"/>
          <w:highlight w:val="none"/>
          <w:u w:val="single"/>
        </w:rPr>
        <w:t xml:space="preserve">    </w:t>
      </w:r>
      <w:r>
        <w:rPr>
          <w:rFonts w:hint="eastAsia" w:ascii="宋体" w:hAnsi="宋体" w:cs="宋体"/>
          <w:color w:val="auto"/>
          <w:highlight w:val="none"/>
        </w:rPr>
        <w:t>（采购人）</w:t>
      </w:r>
    </w:p>
    <w:p>
      <w:pPr>
        <w:spacing w:line="400" w:lineRule="exact"/>
        <w:rPr>
          <w:rFonts w:ascii="宋体" w:cs="宋体"/>
          <w:color w:val="auto"/>
          <w:highlight w:val="none"/>
        </w:rPr>
      </w:pPr>
      <w:r>
        <w:rPr>
          <w:rFonts w:hint="eastAsia" w:ascii="宋体" w:hAnsi="宋体" w:cs="宋体"/>
          <w:color w:val="auto"/>
          <w:highlight w:val="none"/>
        </w:rPr>
        <w:t>乙方：</w:t>
      </w:r>
      <w:r>
        <w:rPr>
          <w:rFonts w:ascii="宋体" w:hAnsi="宋体" w:cs="宋体"/>
          <w:color w:val="auto"/>
          <w:highlight w:val="none"/>
          <w:u w:val="single"/>
        </w:rPr>
        <w:t xml:space="preserve">                           </w:t>
      </w:r>
      <w:r>
        <w:rPr>
          <w:rFonts w:hint="eastAsia" w:ascii="宋体" w:hAnsi="宋体" w:cs="宋体"/>
          <w:color w:val="auto"/>
          <w:highlight w:val="none"/>
        </w:rPr>
        <w:t>（成交人）</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中华人民共和国民法典》等法律、法规规定，按照竞争性谈判文件、响应文件规定条款和成交供应商承诺、甲乙双方签订本采购合同。</w:t>
      </w:r>
    </w:p>
    <w:p>
      <w:pPr>
        <w:numPr>
          <w:ilvl w:val="0"/>
          <w:numId w:val="1"/>
        </w:numPr>
        <w:spacing w:line="400" w:lineRule="exact"/>
        <w:ind w:firstLine="413" w:firstLineChars="196"/>
        <w:outlineLvl w:val="1"/>
        <w:rPr>
          <w:rFonts w:ascii="宋体" w:cs="宋体"/>
          <w:b/>
          <w:color w:val="auto"/>
          <w:szCs w:val="21"/>
          <w:highlight w:val="none"/>
        </w:rPr>
      </w:pPr>
      <w:bookmarkStart w:id="38" w:name="_Toc495841768"/>
      <w:bookmarkStart w:id="39" w:name="_Toc30956"/>
      <w:bookmarkStart w:id="40" w:name="_Toc20125"/>
      <w:bookmarkStart w:id="41" w:name="_Toc7911"/>
      <w:bookmarkStart w:id="42" w:name="_Toc10767"/>
      <w:r>
        <w:rPr>
          <w:rFonts w:hint="eastAsia" w:ascii="宋体" w:hAnsi="宋体" w:cs="宋体"/>
          <w:b/>
          <w:color w:val="auto"/>
          <w:szCs w:val="21"/>
          <w:highlight w:val="none"/>
        </w:rPr>
        <w:t>合同标的及合同金额</w:t>
      </w:r>
      <w:bookmarkEnd w:id="38"/>
      <w:bookmarkEnd w:id="39"/>
      <w:bookmarkEnd w:id="40"/>
      <w:bookmarkEnd w:id="41"/>
      <w:bookmarkEnd w:id="4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项号</w:t>
            </w:r>
          </w:p>
        </w:tc>
        <w:tc>
          <w:tcPr>
            <w:tcW w:w="1232"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标的的名称</w:t>
            </w:r>
          </w:p>
        </w:tc>
        <w:tc>
          <w:tcPr>
            <w:tcW w:w="1445"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30"/>
                <w:highlight w:val="none"/>
              </w:rPr>
              <w:t>生产厂家、品牌、规格型号</w:t>
            </w:r>
          </w:p>
        </w:tc>
        <w:tc>
          <w:tcPr>
            <w:tcW w:w="1483"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技术参数</w:t>
            </w:r>
          </w:p>
        </w:tc>
        <w:tc>
          <w:tcPr>
            <w:tcW w:w="1073"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数量</w:t>
            </w:r>
          </w:p>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①</w:t>
            </w:r>
          </w:p>
        </w:tc>
        <w:tc>
          <w:tcPr>
            <w:tcW w:w="714"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单位</w:t>
            </w:r>
          </w:p>
        </w:tc>
        <w:tc>
          <w:tcPr>
            <w:tcW w:w="1545"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单价（元）</w:t>
            </w:r>
          </w:p>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②</w:t>
            </w:r>
          </w:p>
        </w:tc>
        <w:tc>
          <w:tcPr>
            <w:tcW w:w="1575" w:type="dxa"/>
            <w:shd w:val="clear" w:color="auto" w:fill="8DB3E2"/>
            <w:vAlign w:val="center"/>
          </w:tcPr>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单项合计金额（元）</w:t>
            </w:r>
          </w:p>
          <w:p>
            <w:pPr>
              <w:snapToGrid w:val="0"/>
              <w:spacing w:line="280" w:lineRule="exact"/>
              <w:jc w:val="center"/>
              <w:rPr>
                <w:rFonts w:ascii="宋体" w:cs="宋体"/>
                <w:b/>
                <w:color w:val="auto"/>
                <w:szCs w:val="21"/>
                <w:highlight w:val="none"/>
              </w:rPr>
            </w:pPr>
            <w:r>
              <w:rPr>
                <w:rFonts w:hint="eastAsia" w:ascii="宋体" w:hAnsi="宋体" w:cs="宋体"/>
                <w:b/>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cs="宋体"/>
                <w:color w:val="auto"/>
                <w:szCs w:val="21"/>
                <w:highlight w:val="none"/>
              </w:rPr>
            </w:pPr>
            <w:r>
              <w:rPr>
                <w:rFonts w:ascii="宋体" w:hAnsi="宋体" w:cs="宋体"/>
                <w:color w:val="auto"/>
                <w:szCs w:val="21"/>
                <w:highlight w:val="none"/>
              </w:rPr>
              <w:t>1</w:t>
            </w:r>
          </w:p>
        </w:tc>
        <w:tc>
          <w:tcPr>
            <w:tcW w:w="1232" w:type="dxa"/>
            <w:vAlign w:val="center"/>
          </w:tcPr>
          <w:p>
            <w:pPr>
              <w:snapToGrid w:val="0"/>
              <w:spacing w:line="400" w:lineRule="exact"/>
              <w:jc w:val="center"/>
              <w:rPr>
                <w:rFonts w:ascii="宋体" w:cs="宋体"/>
                <w:color w:val="auto"/>
                <w:szCs w:val="21"/>
                <w:highlight w:val="none"/>
              </w:rPr>
            </w:pPr>
          </w:p>
        </w:tc>
        <w:tc>
          <w:tcPr>
            <w:tcW w:w="1445" w:type="dxa"/>
            <w:vAlign w:val="center"/>
          </w:tcPr>
          <w:p>
            <w:pPr>
              <w:snapToGrid w:val="0"/>
              <w:spacing w:line="400" w:lineRule="exact"/>
              <w:jc w:val="center"/>
              <w:rPr>
                <w:rFonts w:ascii="宋体" w:cs="宋体"/>
                <w:color w:val="auto"/>
                <w:szCs w:val="21"/>
                <w:highlight w:val="none"/>
              </w:rPr>
            </w:pPr>
          </w:p>
        </w:tc>
        <w:tc>
          <w:tcPr>
            <w:tcW w:w="1483" w:type="dxa"/>
            <w:vAlign w:val="center"/>
          </w:tcPr>
          <w:p>
            <w:pPr>
              <w:snapToGrid w:val="0"/>
              <w:spacing w:line="400" w:lineRule="exact"/>
              <w:jc w:val="center"/>
              <w:rPr>
                <w:rFonts w:ascii="宋体" w:cs="宋体"/>
                <w:color w:val="auto"/>
                <w:szCs w:val="21"/>
                <w:highlight w:val="none"/>
              </w:rPr>
            </w:pPr>
          </w:p>
        </w:tc>
        <w:tc>
          <w:tcPr>
            <w:tcW w:w="1073" w:type="dxa"/>
            <w:vAlign w:val="center"/>
          </w:tcPr>
          <w:p>
            <w:pPr>
              <w:snapToGrid w:val="0"/>
              <w:spacing w:line="400" w:lineRule="exact"/>
              <w:jc w:val="center"/>
              <w:rPr>
                <w:rFonts w:ascii="宋体" w:cs="宋体"/>
                <w:color w:val="auto"/>
                <w:szCs w:val="21"/>
                <w:highlight w:val="none"/>
              </w:rPr>
            </w:pPr>
          </w:p>
        </w:tc>
        <w:tc>
          <w:tcPr>
            <w:tcW w:w="714" w:type="dxa"/>
            <w:vAlign w:val="center"/>
          </w:tcPr>
          <w:p>
            <w:pPr>
              <w:snapToGrid w:val="0"/>
              <w:spacing w:line="400" w:lineRule="exact"/>
              <w:jc w:val="center"/>
              <w:rPr>
                <w:rFonts w:ascii="宋体" w:cs="宋体"/>
                <w:color w:val="auto"/>
                <w:szCs w:val="21"/>
                <w:highlight w:val="none"/>
              </w:rPr>
            </w:pPr>
          </w:p>
        </w:tc>
        <w:tc>
          <w:tcPr>
            <w:tcW w:w="1545" w:type="dxa"/>
            <w:vAlign w:val="center"/>
          </w:tcPr>
          <w:p>
            <w:pPr>
              <w:snapToGrid w:val="0"/>
              <w:spacing w:line="400" w:lineRule="exact"/>
              <w:jc w:val="center"/>
              <w:rPr>
                <w:rFonts w:ascii="宋体" w:cs="宋体"/>
                <w:color w:val="auto"/>
                <w:szCs w:val="21"/>
                <w:highlight w:val="none"/>
              </w:rPr>
            </w:pPr>
          </w:p>
        </w:tc>
        <w:tc>
          <w:tcPr>
            <w:tcW w:w="1575" w:type="dxa"/>
            <w:vAlign w:val="center"/>
          </w:tcPr>
          <w:p>
            <w:pPr>
              <w:snapToGrid w:val="0"/>
              <w:spacing w:line="40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cs="宋体"/>
                <w:color w:val="auto"/>
                <w:szCs w:val="21"/>
                <w:highlight w:val="none"/>
              </w:rPr>
            </w:pPr>
            <w:r>
              <w:rPr>
                <w:rFonts w:ascii="宋体" w:hAnsi="宋体" w:cs="宋体"/>
                <w:color w:val="auto"/>
                <w:szCs w:val="21"/>
                <w:highlight w:val="none"/>
              </w:rPr>
              <w:t>2</w:t>
            </w:r>
          </w:p>
        </w:tc>
        <w:tc>
          <w:tcPr>
            <w:tcW w:w="1232" w:type="dxa"/>
            <w:vAlign w:val="center"/>
          </w:tcPr>
          <w:p>
            <w:pPr>
              <w:snapToGrid w:val="0"/>
              <w:spacing w:line="400" w:lineRule="exact"/>
              <w:jc w:val="center"/>
              <w:rPr>
                <w:rFonts w:ascii="宋体" w:cs="宋体"/>
                <w:color w:val="auto"/>
                <w:szCs w:val="21"/>
                <w:highlight w:val="none"/>
              </w:rPr>
            </w:pPr>
          </w:p>
        </w:tc>
        <w:tc>
          <w:tcPr>
            <w:tcW w:w="1445" w:type="dxa"/>
            <w:vAlign w:val="center"/>
          </w:tcPr>
          <w:p>
            <w:pPr>
              <w:snapToGrid w:val="0"/>
              <w:spacing w:line="400" w:lineRule="exact"/>
              <w:jc w:val="center"/>
              <w:rPr>
                <w:rFonts w:ascii="宋体" w:cs="宋体"/>
                <w:color w:val="auto"/>
                <w:szCs w:val="21"/>
                <w:highlight w:val="none"/>
              </w:rPr>
            </w:pPr>
          </w:p>
        </w:tc>
        <w:tc>
          <w:tcPr>
            <w:tcW w:w="1483" w:type="dxa"/>
            <w:vAlign w:val="center"/>
          </w:tcPr>
          <w:p>
            <w:pPr>
              <w:snapToGrid w:val="0"/>
              <w:spacing w:line="400" w:lineRule="exact"/>
              <w:jc w:val="center"/>
              <w:rPr>
                <w:rFonts w:ascii="宋体" w:cs="宋体"/>
                <w:color w:val="auto"/>
                <w:szCs w:val="21"/>
                <w:highlight w:val="none"/>
              </w:rPr>
            </w:pPr>
          </w:p>
        </w:tc>
        <w:tc>
          <w:tcPr>
            <w:tcW w:w="1073" w:type="dxa"/>
            <w:vAlign w:val="center"/>
          </w:tcPr>
          <w:p>
            <w:pPr>
              <w:snapToGrid w:val="0"/>
              <w:spacing w:line="400" w:lineRule="exact"/>
              <w:jc w:val="center"/>
              <w:rPr>
                <w:rFonts w:ascii="宋体" w:cs="宋体"/>
                <w:color w:val="auto"/>
                <w:szCs w:val="21"/>
                <w:highlight w:val="none"/>
              </w:rPr>
            </w:pPr>
          </w:p>
        </w:tc>
        <w:tc>
          <w:tcPr>
            <w:tcW w:w="714" w:type="dxa"/>
            <w:vAlign w:val="center"/>
          </w:tcPr>
          <w:p>
            <w:pPr>
              <w:snapToGrid w:val="0"/>
              <w:spacing w:line="400" w:lineRule="exact"/>
              <w:jc w:val="center"/>
              <w:rPr>
                <w:rFonts w:ascii="宋体" w:cs="宋体"/>
                <w:color w:val="auto"/>
                <w:szCs w:val="21"/>
                <w:highlight w:val="none"/>
              </w:rPr>
            </w:pPr>
          </w:p>
        </w:tc>
        <w:tc>
          <w:tcPr>
            <w:tcW w:w="1545" w:type="dxa"/>
            <w:vAlign w:val="center"/>
          </w:tcPr>
          <w:p>
            <w:pPr>
              <w:snapToGrid w:val="0"/>
              <w:spacing w:line="400" w:lineRule="exact"/>
              <w:jc w:val="center"/>
              <w:rPr>
                <w:rFonts w:ascii="宋体" w:cs="宋体"/>
                <w:color w:val="auto"/>
                <w:szCs w:val="21"/>
                <w:highlight w:val="none"/>
              </w:rPr>
            </w:pPr>
          </w:p>
        </w:tc>
        <w:tc>
          <w:tcPr>
            <w:tcW w:w="1575" w:type="dxa"/>
            <w:vAlign w:val="center"/>
          </w:tcPr>
          <w:p>
            <w:pPr>
              <w:snapToGrid w:val="0"/>
              <w:spacing w:line="40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cs="宋体"/>
                <w:color w:val="auto"/>
                <w:szCs w:val="21"/>
                <w:highlight w:val="none"/>
              </w:rPr>
            </w:pPr>
            <w:r>
              <w:rPr>
                <w:rFonts w:hint="eastAsia" w:ascii="宋体" w:hAnsi="宋体" w:cs="宋体"/>
                <w:color w:val="auto"/>
                <w:szCs w:val="21"/>
                <w:highlight w:val="none"/>
              </w:rPr>
              <w:t>…</w:t>
            </w:r>
          </w:p>
        </w:tc>
        <w:tc>
          <w:tcPr>
            <w:tcW w:w="1232" w:type="dxa"/>
            <w:vAlign w:val="center"/>
          </w:tcPr>
          <w:p>
            <w:pPr>
              <w:snapToGrid w:val="0"/>
              <w:spacing w:line="400" w:lineRule="exact"/>
              <w:jc w:val="center"/>
              <w:rPr>
                <w:rFonts w:ascii="宋体" w:cs="宋体"/>
                <w:color w:val="auto"/>
                <w:szCs w:val="21"/>
                <w:highlight w:val="none"/>
              </w:rPr>
            </w:pPr>
          </w:p>
        </w:tc>
        <w:tc>
          <w:tcPr>
            <w:tcW w:w="1445" w:type="dxa"/>
            <w:vAlign w:val="center"/>
          </w:tcPr>
          <w:p>
            <w:pPr>
              <w:snapToGrid w:val="0"/>
              <w:spacing w:line="400" w:lineRule="exact"/>
              <w:jc w:val="center"/>
              <w:rPr>
                <w:rFonts w:ascii="宋体" w:cs="宋体"/>
                <w:color w:val="auto"/>
                <w:szCs w:val="21"/>
                <w:highlight w:val="none"/>
              </w:rPr>
            </w:pPr>
          </w:p>
        </w:tc>
        <w:tc>
          <w:tcPr>
            <w:tcW w:w="1483" w:type="dxa"/>
            <w:vAlign w:val="center"/>
          </w:tcPr>
          <w:p>
            <w:pPr>
              <w:snapToGrid w:val="0"/>
              <w:spacing w:line="400" w:lineRule="exact"/>
              <w:jc w:val="center"/>
              <w:rPr>
                <w:rFonts w:ascii="宋体" w:cs="宋体"/>
                <w:color w:val="auto"/>
                <w:szCs w:val="21"/>
                <w:highlight w:val="none"/>
              </w:rPr>
            </w:pPr>
          </w:p>
        </w:tc>
        <w:tc>
          <w:tcPr>
            <w:tcW w:w="1073" w:type="dxa"/>
            <w:vAlign w:val="center"/>
          </w:tcPr>
          <w:p>
            <w:pPr>
              <w:snapToGrid w:val="0"/>
              <w:spacing w:line="400" w:lineRule="exact"/>
              <w:jc w:val="center"/>
              <w:rPr>
                <w:rFonts w:ascii="宋体" w:cs="宋体"/>
                <w:color w:val="auto"/>
                <w:szCs w:val="21"/>
                <w:highlight w:val="none"/>
              </w:rPr>
            </w:pPr>
          </w:p>
        </w:tc>
        <w:tc>
          <w:tcPr>
            <w:tcW w:w="714" w:type="dxa"/>
            <w:vAlign w:val="center"/>
          </w:tcPr>
          <w:p>
            <w:pPr>
              <w:snapToGrid w:val="0"/>
              <w:spacing w:line="400" w:lineRule="exact"/>
              <w:jc w:val="center"/>
              <w:rPr>
                <w:rFonts w:ascii="宋体" w:cs="宋体"/>
                <w:color w:val="auto"/>
                <w:szCs w:val="21"/>
                <w:highlight w:val="none"/>
              </w:rPr>
            </w:pPr>
          </w:p>
        </w:tc>
        <w:tc>
          <w:tcPr>
            <w:tcW w:w="1545" w:type="dxa"/>
            <w:vAlign w:val="center"/>
          </w:tcPr>
          <w:p>
            <w:pPr>
              <w:snapToGrid w:val="0"/>
              <w:spacing w:line="400" w:lineRule="exact"/>
              <w:jc w:val="center"/>
              <w:rPr>
                <w:rFonts w:ascii="宋体" w:cs="宋体"/>
                <w:color w:val="auto"/>
                <w:szCs w:val="21"/>
                <w:highlight w:val="none"/>
              </w:rPr>
            </w:pPr>
          </w:p>
        </w:tc>
        <w:tc>
          <w:tcPr>
            <w:tcW w:w="1575" w:type="dxa"/>
            <w:vAlign w:val="center"/>
          </w:tcPr>
          <w:p>
            <w:pPr>
              <w:snapToGrid w:val="0"/>
              <w:spacing w:line="40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合</w:t>
            </w:r>
            <w:r>
              <w:rPr>
                <w:rFonts w:ascii="宋体" w:hAnsi="宋体" w:cs="宋体"/>
                <w:color w:val="auto"/>
                <w:szCs w:val="21"/>
                <w:highlight w:val="none"/>
              </w:rPr>
              <w:t xml:space="preserve">     </w:t>
            </w:r>
            <w:r>
              <w:rPr>
                <w:rFonts w:hint="eastAsia" w:ascii="宋体" w:hAnsi="宋体" w:cs="宋体"/>
                <w:color w:val="auto"/>
                <w:szCs w:val="21"/>
                <w:highlight w:val="none"/>
              </w:rPr>
              <w:t>计</w:t>
            </w:r>
          </w:p>
        </w:tc>
        <w:tc>
          <w:tcPr>
            <w:tcW w:w="1575" w:type="dxa"/>
            <w:vAlign w:val="center"/>
          </w:tcPr>
          <w:p>
            <w:pPr>
              <w:snapToGrid w:val="0"/>
              <w:spacing w:line="400" w:lineRule="exact"/>
              <w:rPr>
                <w:rFonts w:ascii="宋体" w:cs="宋体"/>
                <w:color w:val="auto"/>
                <w:szCs w:val="21"/>
                <w:highlight w:val="none"/>
              </w:rPr>
            </w:pPr>
          </w:p>
        </w:tc>
      </w:tr>
    </w:tbl>
    <w:p>
      <w:pPr>
        <w:spacing w:line="360" w:lineRule="exact"/>
        <w:ind w:firstLine="411" w:firstLineChars="196"/>
        <w:rPr>
          <w:rFonts w:ascii="宋体" w:cs="宋体"/>
          <w:color w:val="auto"/>
          <w:szCs w:val="21"/>
          <w:highlight w:val="none"/>
        </w:rPr>
      </w:pPr>
      <w:r>
        <w:rPr>
          <w:rFonts w:hint="eastAsia" w:ascii="宋体" w:hAnsi="宋体" w:cs="宋体"/>
          <w:color w:val="auto"/>
          <w:szCs w:val="21"/>
          <w:highlight w:val="none"/>
        </w:rPr>
        <w:t>根据《成交通知书》的成交内容，合同的总金额为：人民币（大写）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exact"/>
        <w:ind w:firstLine="413" w:firstLineChars="196"/>
        <w:outlineLvl w:val="1"/>
        <w:rPr>
          <w:rFonts w:ascii="宋体" w:cs="宋体"/>
          <w:b/>
          <w:color w:val="auto"/>
          <w:szCs w:val="21"/>
          <w:highlight w:val="none"/>
        </w:rPr>
      </w:pPr>
      <w:bookmarkStart w:id="43" w:name="_Toc15939"/>
      <w:bookmarkStart w:id="44" w:name="_Toc20294"/>
      <w:bookmarkStart w:id="45" w:name="_Toc19033"/>
      <w:bookmarkStart w:id="46" w:name="_Toc495841769"/>
      <w:bookmarkStart w:id="47" w:name="_Toc22233"/>
      <w:r>
        <w:rPr>
          <w:rFonts w:hint="eastAsia" w:ascii="宋体" w:hAnsi="宋体" w:cs="宋体"/>
          <w:b/>
          <w:color w:val="auto"/>
          <w:szCs w:val="21"/>
          <w:highlight w:val="none"/>
        </w:rPr>
        <w:t>第二条</w:t>
      </w:r>
      <w:r>
        <w:rPr>
          <w:rFonts w:ascii="宋体" w:hAnsi="宋体" w:cs="宋体"/>
          <w:b/>
          <w:color w:val="auto"/>
          <w:szCs w:val="21"/>
          <w:highlight w:val="none"/>
        </w:rPr>
        <w:t xml:space="preserve">  </w:t>
      </w:r>
      <w:r>
        <w:rPr>
          <w:rFonts w:hint="eastAsia" w:ascii="宋体" w:hAnsi="宋体" w:cs="宋体"/>
          <w:b/>
          <w:color w:val="auto"/>
          <w:szCs w:val="21"/>
          <w:highlight w:val="none"/>
        </w:rPr>
        <w:t>质量保证</w:t>
      </w:r>
      <w:bookmarkEnd w:id="43"/>
      <w:bookmarkEnd w:id="44"/>
      <w:bookmarkEnd w:id="45"/>
      <w:bookmarkEnd w:id="46"/>
      <w:bookmarkEnd w:id="47"/>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响应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2.</w:t>
      </w:r>
      <w:bookmarkStart w:id="48" w:name="_Toc28745"/>
      <w:bookmarkStart w:id="49" w:name="_Toc24960"/>
      <w:bookmarkStart w:id="50" w:name="_Toc495841770"/>
      <w:bookmarkStart w:id="51" w:name="_Toc24710"/>
      <w:r>
        <w:rPr>
          <w:rFonts w:hint="eastAsia" w:ascii="宋体" w:hAnsi="宋体" w:cs="宋体"/>
          <w:color w:val="auto"/>
          <w:szCs w:val="21"/>
          <w:highlight w:val="none"/>
        </w:rPr>
        <w:t>乙方提供货物的质量保证期为</w:t>
      </w:r>
      <w:r>
        <w:rPr>
          <w:rFonts w:ascii="宋体" w:hAnsi="宋体" w:cs="宋体"/>
          <w:color w:val="auto"/>
          <w:szCs w:val="21"/>
          <w:highlight w:val="none"/>
          <w:u w:val="single"/>
        </w:rPr>
        <w:t xml:space="preserve">        </w:t>
      </w:r>
      <w:r>
        <w:rPr>
          <w:rFonts w:hint="eastAsia" w:ascii="宋体" w:hAnsi="宋体" w:cs="宋体"/>
          <w:color w:val="auto"/>
          <w:szCs w:val="21"/>
          <w:highlight w:val="none"/>
        </w:rPr>
        <w:t>年。在质保期内因货物本身的质量问题发生故障，乙方应负责免费修理和更换零部件。对达不到技术要求者，根据实际情况，经双方协商，可按以下办法处理：</w:t>
      </w:r>
    </w:p>
    <w:p>
      <w:pPr>
        <w:spacing w:line="360" w:lineRule="exact"/>
        <w:ind w:firstLine="411" w:firstLineChars="196"/>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）更换：由乙方承担所有发生的全部费用。</w:t>
      </w:r>
    </w:p>
    <w:p>
      <w:pPr>
        <w:spacing w:line="360" w:lineRule="exact"/>
        <w:ind w:firstLine="411" w:firstLineChars="196"/>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）贬值处理：由甲乙双方合议定价。</w:t>
      </w:r>
    </w:p>
    <w:p>
      <w:pPr>
        <w:spacing w:line="360" w:lineRule="exact"/>
        <w:ind w:firstLine="411" w:firstLineChars="196"/>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）退货处理：乙方应退还甲方支付的合同款，同时应承担该货物的直接费用（运输、保险、检验、贷款利息及银行手续费等）。</w:t>
      </w:r>
    </w:p>
    <w:p>
      <w:pPr>
        <w:spacing w:line="360" w:lineRule="exact"/>
        <w:ind w:firstLine="413" w:firstLineChars="196"/>
        <w:outlineLvl w:val="1"/>
        <w:rPr>
          <w:rFonts w:ascii="宋体" w:cs="宋体"/>
          <w:b/>
          <w:color w:val="auto"/>
          <w:szCs w:val="21"/>
          <w:highlight w:val="none"/>
        </w:rPr>
      </w:pPr>
      <w:bookmarkStart w:id="52" w:name="_Toc8882"/>
      <w:r>
        <w:rPr>
          <w:rFonts w:hint="eastAsia" w:ascii="宋体" w:hAnsi="宋体" w:cs="宋体"/>
          <w:b/>
          <w:color w:val="auto"/>
          <w:szCs w:val="21"/>
          <w:highlight w:val="none"/>
        </w:rPr>
        <w:t>第三条</w:t>
      </w:r>
      <w:r>
        <w:rPr>
          <w:rFonts w:ascii="宋体" w:hAnsi="宋体" w:cs="宋体"/>
          <w:b/>
          <w:color w:val="auto"/>
          <w:szCs w:val="21"/>
          <w:highlight w:val="none"/>
        </w:rPr>
        <w:t xml:space="preserve">  </w:t>
      </w:r>
      <w:r>
        <w:rPr>
          <w:rFonts w:hint="eastAsia" w:ascii="宋体" w:hAnsi="宋体" w:cs="宋体"/>
          <w:b/>
          <w:color w:val="auto"/>
          <w:szCs w:val="21"/>
          <w:highlight w:val="none"/>
        </w:rPr>
        <w:t>权力保证</w:t>
      </w:r>
      <w:bookmarkEnd w:id="48"/>
      <w:bookmarkEnd w:id="49"/>
      <w:bookmarkEnd w:id="50"/>
      <w:bookmarkEnd w:id="51"/>
      <w:bookmarkEnd w:id="52"/>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乙方应保证所提供货物在使用时不会侵犯任何第三方的专利权、商标权、工业设计权或其他权利。</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乙方应按竞争性谈判文件规定的时间向甲方提供使用货物的有关技术资料。</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乙方保证所交付的货物的所有权完全属于乙方且无任何抵押、质押、查封等产权瑕疵。</w:t>
      </w:r>
    </w:p>
    <w:p>
      <w:pPr>
        <w:spacing w:line="360" w:lineRule="exact"/>
        <w:ind w:firstLine="413" w:firstLineChars="196"/>
        <w:outlineLvl w:val="1"/>
        <w:rPr>
          <w:rFonts w:ascii="宋体" w:cs="宋体"/>
          <w:b/>
          <w:color w:val="auto"/>
          <w:szCs w:val="21"/>
          <w:highlight w:val="none"/>
        </w:rPr>
      </w:pPr>
      <w:bookmarkStart w:id="53" w:name="_Toc24662"/>
      <w:bookmarkStart w:id="54" w:name="_Toc495841771"/>
      <w:bookmarkStart w:id="55" w:name="_Toc21943"/>
      <w:bookmarkStart w:id="56" w:name="_Toc3597"/>
      <w:bookmarkStart w:id="57" w:name="_Toc11495"/>
      <w:r>
        <w:rPr>
          <w:rFonts w:hint="eastAsia" w:ascii="宋体" w:hAnsi="宋体" w:cs="宋体"/>
          <w:b/>
          <w:color w:val="auto"/>
          <w:szCs w:val="21"/>
          <w:highlight w:val="none"/>
        </w:rPr>
        <w:t>第四条</w:t>
      </w:r>
      <w:r>
        <w:rPr>
          <w:rFonts w:ascii="宋体" w:hAnsi="宋体" w:cs="宋体"/>
          <w:b/>
          <w:color w:val="auto"/>
          <w:szCs w:val="21"/>
          <w:highlight w:val="none"/>
        </w:rPr>
        <w:t xml:space="preserve">  </w:t>
      </w:r>
      <w:r>
        <w:rPr>
          <w:rFonts w:hint="eastAsia" w:ascii="宋体" w:hAnsi="宋体" w:cs="宋体"/>
          <w:b/>
          <w:color w:val="auto"/>
          <w:szCs w:val="21"/>
          <w:highlight w:val="none"/>
        </w:rPr>
        <w:t>货物包装、运输</w:t>
      </w:r>
      <w:bookmarkEnd w:id="53"/>
      <w:bookmarkEnd w:id="54"/>
      <w:bookmarkEnd w:id="55"/>
      <w:bookmarkEnd w:id="56"/>
      <w:bookmarkEnd w:id="57"/>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乙方应在货物发运前对其进行满足运输距离、防潮、防震、防锈和防破损装卸等要求包装，以保证货物安全运达甲方指定地点。</w:t>
      </w:r>
    </w:p>
    <w:p>
      <w:pPr>
        <w:spacing w:line="360" w:lineRule="exact"/>
        <w:ind w:left="42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使用中文说明书（货物属于进口产品的，供货时应同时附上中文使用说明书）、质量检验证明书、</w:t>
      </w:r>
    </w:p>
    <w:p>
      <w:pPr>
        <w:spacing w:line="360" w:lineRule="exact"/>
        <w:rPr>
          <w:rFonts w:ascii="宋体" w:cs="宋体"/>
          <w:color w:val="auto"/>
          <w:szCs w:val="21"/>
          <w:highlight w:val="none"/>
        </w:rPr>
      </w:pPr>
      <w:r>
        <w:rPr>
          <w:rFonts w:hint="eastAsia" w:ascii="宋体" w:hAnsi="宋体" w:cs="宋体"/>
          <w:color w:val="auto"/>
          <w:szCs w:val="21"/>
          <w:highlight w:val="none"/>
        </w:rPr>
        <w:t>随配附件和工具以及清单一并附于货物内。</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乙方在货物发运手续办理完毕后二十四小时内或货到甲方四十八小时前通知甲方，以准备接货。</w:t>
      </w:r>
    </w:p>
    <w:p>
      <w:pPr>
        <w:spacing w:line="360" w:lineRule="exact"/>
        <w:ind w:left="42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货物在交付甲方前发生的风险均由乙方负责。</w:t>
      </w:r>
    </w:p>
    <w:p>
      <w:pPr>
        <w:spacing w:line="360" w:lineRule="exact"/>
        <w:ind w:firstLine="413" w:firstLineChars="196"/>
        <w:outlineLvl w:val="1"/>
        <w:rPr>
          <w:rFonts w:ascii="宋体" w:cs="宋体"/>
          <w:b/>
          <w:color w:val="auto"/>
          <w:szCs w:val="21"/>
          <w:highlight w:val="none"/>
        </w:rPr>
      </w:pPr>
      <w:bookmarkStart w:id="58" w:name="_Toc25254"/>
      <w:bookmarkStart w:id="59" w:name="_Toc20670"/>
      <w:bookmarkStart w:id="60" w:name="_Toc28001"/>
      <w:bookmarkStart w:id="61" w:name="_Toc6786"/>
      <w:bookmarkStart w:id="62" w:name="_Toc495841772"/>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交付</w:t>
      </w:r>
      <w:bookmarkEnd w:id="58"/>
      <w:bookmarkEnd w:id="59"/>
      <w:bookmarkEnd w:id="60"/>
      <w:bookmarkEnd w:id="61"/>
      <w:bookmarkEnd w:id="62"/>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交付使用期：</w:t>
      </w:r>
      <w:r>
        <w:rPr>
          <w:rFonts w:hint="eastAsia" w:ascii="宋体" w:hAnsi="宋体" w:cs="宋体"/>
          <w:color w:val="auto"/>
          <w:szCs w:val="21"/>
          <w:highlight w:val="none"/>
          <w:u w:val="single"/>
        </w:rPr>
        <w:t>按照竞争性谈判文件的规定执行。</w:t>
      </w:r>
    </w:p>
    <w:p>
      <w:pPr>
        <w:spacing w:line="360" w:lineRule="exact"/>
        <w:ind w:firstLine="420" w:firstLineChars="200"/>
        <w:rPr>
          <w:rFonts w:ascii="宋体" w:cs="宋体"/>
          <w:color w:val="auto"/>
          <w:szCs w:val="21"/>
          <w:highlight w:val="none"/>
        </w:rPr>
      </w:pPr>
      <w:r>
        <w:rPr>
          <w:rFonts w:hint="eastAsia" w:ascii="宋体" w:hAnsi="宋体" w:cs="宋体"/>
          <w:color w:val="auto"/>
          <w:szCs w:val="21"/>
          <w:highlight w:val="none"/>
        </w:rPr>
        <w:t>交付地点：</w:t>
      </w:r>
      <w:r>
        <w:rPr>
          <w:rFonts w:hint="eastAsia" w:ascii="宋体" w:hAnsi="宋体" w:cs="宋体"/>
          <w:color w:val="auto"/>
          <w:szCs w:val="21"/>
          <w:highlight w:val="none"/>
          <w:u w:val="single"/>
        </w:rPr>
        <w:t>甲方指定地点。</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乙方提供不符合采购文件、响应文件和本合同规定的货物，甲方有权拒绝接受。</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乙方应将所有提供货物的装箱清单、用户手册、原厂保修卡、随机资料、工具和备用、备件等交付给甲方，货物属于进口产品的，供货时应同时附上中文使用说明书，如有缺失应及时补齐，否则视为逾期交货。</w:t>
      </w:r>
    </w:p>
    <w:p>
      <w:pPr>
        <w:spacing w:line="360" w:lineRule="exact"/>
        <w:ind w:firstLine="413" w:firstLineChars="196"/>
        <w:outlineLvl w:val="1"/>
        <w:rPr>
          <w:rFonts w:ascii="宋体" w:cs="宋体"/>
          <w:b/>
          <w:color w:val="auto"/>
          <w:szCs w:val="21"/>
          <w:highlight w:val="none"/>
        </w:rPr>
      </w:pPr>
      <w:bookmarkStart w:id="63" w:name="_Toc495841773"/>
      <w:bookmarkStart w:id="64" w:name="_Toc2323"/>
      <w:bookmarkStart w:id="65" w:name="_Toc31568"/>
      <w:bookmarkStart w:id="66" w:name="_Toc26122"/>
      <w:bookmarkStart w:id="67" w:name="_Toc14073"/>
      <w:r>
        <w:rPr>
          <w:rFonts w:hint="eastAsia" w:ascii="宋体" w:hAnsi="宋体" w:cs="宋体"/>
          <w:b/>
          <w:color w:val="auto"/>
          <w:szCs w:val="21"/>
          <w:highlight w:val="none"/>
        </w:rPr>
        <w:t>第六条</w:t>
      </w:r>
      <w:r>
        <w:rPr>
          <w:rFonts w:ascii="宋体" w:hAnsi="宋体" w:cs="宋体"/>
          <w:b/>
          <w:color w:val="auto"/>
          <w:szCs w:val="21"/>
          <w:highlight w:val="none"/>
        </w:rPr>
        <w:t xml:space="preserve">  </w:t>
      </w:r>
      <w:r>
        <w:rPr>
          <w:rFonts w:hint="eastAsia" w:ascii="宋体" w:hAnsi="宋体" w:cs="宋体"/>
          <w:b/>
          <w:color w:val="auto"/>
          <w:szCs w:val="21"/>
          <w:highlight w:val="none"/>
        </w:rPr>
        <w:t>调试和验收</w:t>
      </w:r>
      <w:bookmarkEnd w:id="63"/>
      <w:bookmarkEnd w:id="64"/>
      <w:bookmarkEnd w:id="65"/>
      <w:bookmarkEnd w:id="66"/>
      <w:bookmarkEnd w:id="67"/>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乙方交货前应对产品做出全面的检查和对验收文件进行整理，并列出清单，作为甲方验收和使用的技术条件依据，验收的结果应随货物交甲方。</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依据竞争性谈判文件、响应文件的技术规格要求及承诺和国家有关质量标准对货物进行现场初步验收，外观、说明书符合竞争性谈判文件技术要求的，给予签收，初步验收不合格的不予签收。货到后，甲方应当在到货（安装、调试完）后七个工作日内进行验收。</w:t>
      </w:r>
      <w:r>
        <w:rPr>
          <w:rFonts w:ascii="宋体" w:hAnsi="宋体" w:cs="宋体"/>
          <w:color w:val="auto"/>
          <w:szCs w:val="21"/>
          <w:highlight w:val="none"/>
        </w:rPr>
        <w:t xml:space="preserve"> </w:t>
      </w:r>
      <w:r>
        <w:rPr>
          <w:rFonts w:hint="eastAsia" w:ascii="宋体" w:hAnsi="宋体" w:cs="宋体"/>
          <w:color w:val="auto"/>
          <w:szCs w:val="21"/>
          <w:highlight w:val="none"/>
        </w:rPr>
        <w:t>验收合格后由甲乙双方签署货物验收单并加盖公章，甲乙双方各执一份。</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甲方对乙方提供的货物在使用前进行调试时，乙方需负责安装并培训甲方的使用操作人员，并协助甲方一起调试，直到符合技术要求，甲方才做最终验收。</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甲方对验收有异议的，在验收后五个工作日内以书面形式向乙方提出，乙方应自收到甲方书面异议后</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日内及时予以解决。</w:t>
      </w:r>
    </w:p>
    <w:p>
      <w:pPr>
        <w:spacing w:line="360" w:lineRule="exact"/>
        <w:ind w:firstLine="420" w:firstLineChars="200"/>
        <w:rPr>
          <w:rFonts w:ascii="宋体" w:cs="宋体"/>
          <w:color w:val="auto"/>
          <w:kern w:val="0"/>
          <w:szCs w:val="21"/>
          <w:highlight w:val="none"/>
        </w:rPr>
      </w:pPr>
      <w:r>
        <w:rPr>
          <w:rFonts w:ascii="宋体" w:hAnsi="宋体" w:cs="宋体"/>
          <w:color w:val="auto"/>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所提供的产品必须为原装正品的、全新的、符合国家有关质量标准的产品；产品到货安装后，甲方将可能组织相关专家根据竞争性谈判文件要求及响应文件承诺逐条对应进行现场核验，核验不合格的，甲方有权终止合同执行并全部退货，同时报相关监督管理部门处理，由此造成甲方经济损失的由乙方负责承担全部赔偿责任。</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对技术复杂的货物，甲方应请国家认可的专业检测机构参与初步验收及最终验收，并由其出具质量检测报告。</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验收时乙方必须在现场，验收完毕后作出验收结果报告。</w:t>
      </w:r>
    </w:p>
    <w:p>
      <w:pPr>
        <w:spacing w:line="360" w:lineRule="exact"/>
        <w:ind w:firstLine="413" w:firstLineChars="196"/>
        <w:outlineLvl w:val="1"/>
        <w:rPr>
          <w:rFonts w:ascii="宋体" w:cs="宋体"/>
          <w:b/>
          <w:color w:val="auto"/>
          <w:szCs w:val="21"/>
          <w:highlight w:val="none"/>
        </w:rPr>
      </w:pPr>
      <w:bookmarkStart w:id="68" w:name="_Toc4221"/>
      <w:bookmarkStart w:id="69" w:name="_Toc3851"/>
      <w:bookmarkStart w:id="70" w:name="_Toc495841774"/>
      <w:bookmarkStart w:id="71" w:name="_Toc7838"/>
      <w:bookmarkStart w:id="72" w:name="_Toc724"/>
      <w:r>
        <w:rPr>
          <w:rFonts w:hint="eastAsia" w:ascii="宋体" w:hAnsi="宋体" w:cs="宋体"/>
          <w:b/>
          <w:color w:val="auto"/>
          <w:szCs w:val="21"/>
          <w:highlight w:val="none"/>
        </w:rPr>
        <w:t>第七条</w:t>
      </w:r>
      <w:r>
        <w:rPr>
          <w:rFonts w:ascii="宋体" w:hAnsi="宋体" w:cs="宋体"/>
          <w:b/>
          <w:color w:val="auto"/>
          <w:szCs w:val="21"/>
          <w:highlight w:val="none"/>
        </w:rPr>
        <w:t xml:space="preserve">  </w:t>
      </w:r>
      <w:r>
        <w:rPr>
          <w:rFonts w:hint="eastAsia" w:ascii="宋体" w:hAnsi="宋体" w:cs="宋体"/>
          <w:b/>
          <w:color w:val="auto"/>
          <w:szCs w:val="21"/>
          <w:highlight w:val="none"/>
        </w:rPr>
        <w:t>安装和培训</w:t>
      </w:r>
      <w:bookmarkEnd w:id="68"/>
      <w:bookmarkEnd w:id="69"/>
      <w:bookmarkEnd w:id="70"/>
      <w:bookmarkEnd w:id="71"/>
      <w:bookmarkEnd w:id="72"/>
    </w:p>
    <w:p>
      <w:pPr>
        <w:tabs>
          <w:tab w:val="left" w:pos="0"/>
        </w:tabs>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甲方应提供必要安装条件（如场地、电源、水源等）。</w:t>
      </w:r>
    </w:p>
    <w:p>
      <w:pPr>
        <w:tabs>
          <w:tab w:val="left" w:pos="0"/>
        </w:tabs>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乙方负责甲方有关人员的培训。培训时间、地点：</w:t>
      </w:r>
      <w:r>
        <w:rPr>
          <w:rFonts w:hint="eastAsia" w:ascii="宋体" w:hAnsi="宋体" w:cs="宋体"/>
          <w:color w:val="auto"/>
          <w:szCs w:val="21"/>
          <w:highlight w:val="none"/>
          <w:u w:val="single"/>
        </w:rPr>
        <w:t>甲方指定时间、地点。</w:t>
      </w:r>
    </w:p>
    <w:p>
      <w:pPr>
        <w:spacing w:line="360" w:lineRule="exact"/>
        <w:ind w:firstLine="413" w:firstLineChars="196"/>
        <w:outlineLvl w:val="1"/>
        <w:rPr>
          <w:rFonts w:ascii="宋体" w:cs="宋体"/>
          <w:b/>
          <w:color w:val="auto"/>
          <w:szCs w:val="21"/>
          <w:highlight w:val="none"/>
        </w:rPr>
      </w:pPr>
      <w:bookmarkStart w:id="73" w:name="_Toc2769"/>
      <w:bookmarkStart w:id="74" w:name="_Toc10692"/>
      <w:bookmarkStart w:id="75" w:name="_Toc24750"/>
      <w:bookmarkStart w:id="76" w:name="_Toc29939"/>
      <w:bookmarkStart w:id="77" w:name="_Toc495841775"/>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售后服务、保修期</w:t>
      </w:r>
      <w:bookmarkEnd w:id="73"/>
      <w:bookmarkEnd w:id="74"/>
      <w:bookmarkEnd w:id="75"/>
      <w:bookmarkEnd w:id="76"/>
      <w:bookmarkEnd w:id="77"/>
    </w:p>
    <w:p>
      <w:pPr>
        <w:tabs>
          <w:tab w:val="left" w:pos="0"/>
        </w:tabs>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乙方应按照国家有关法律规定和“三包”规定以及采购文件、响应文件和本合同所附《服务承诺》，为甲方提供售后服务。</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如在使用过程中发生质量问题，乙方在接到甲方通知后在</w:t>
      </w:r>
      <w:r>
        <w:rPr>
          <w:rFonts w:hint="eastAsia" w:ascii="宋体" w:hAnsi="宋体" w:cs="宋体"/>
          <w:color w:val="auto"/>
          <w:szCs w:val="21"/>
          <w:highlight w:val="none"/>
          <w:u w:val="single"/>
        </w:rPr>
        <w:t>乙方承诺时限</w:t>
      </w:r>
      <w:r>
        <w:rPr>
          <w:rFonts w:hint="eastAsia" w:ascii="宋体" w:hAnsi="宋体" w:cs="宋体"/>
          <w:color w:val="auto"/>
          <w:szCs w:val="21"/>
          <w:highlight w:val="none"/>
        </w:rPr>
        <w:t>内到达甲方现场处理。</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在质保期内，乙方应对货物出现的质量及安全问题负责处理解决并承担一切费用。</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货物免费保修期为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乙方承诺保修期限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（免费保修期自货物安装调试并在验收合格之日起计算），需免费上门保修服务。因人为因素出现的故障不在免费保修范围内。超过保修期的货物，终生维修，维修时只收部件成本费。</w:t>
      </w:r>
    </w:p>
    <w:p>
      <w:pPr>
        <w:spacing w:line="360" w:lineRule="exact"/>
        <w:ind w:firstLine="413" w:firstLineChars="196"/>
        <w:outlineLvl w:val="1"/>
        <w:rPr>
          <w:rFonts w:ascii="宋体" w:cs="宋体"/>
          <w:b/>
          <w:color w:val="auto"/>
          <w:szCs w:val="21"/>
          <w:highlight w:val="none"/>
        </w:rPr>
      </w:pPr>
      <w:bookmarkStart w:id="78" w:name="_Toc495841776"/>
      <w:bookmarkStart w:id="79" w:name="_Toc12595"/>
      <w:bookmarkStart w:id="80" w:name="_Toc13586"/>
      <w:bookmarkStart w:id="81" w:name="_Toc12880"/>
      <w:bookmarkStart w:id="82" w:name="_Toc17597"/>
      <w:r>
        <w:rPr>
          <w:rFonts w:hint="eastAsia" w:ascii="宋体" w:hAnsi="宋体" w:cs="宋体"/>
          <w:b/>
          <w:color w:val="auto"/>
          <w:szCs w:val="21"/>
          <w:highlight w:val="none"/>
        </w:rPr>
        <w:t>第九条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bookmarkEnd w:id="78"/>
      <w:bookmarkEnd w:id="79"/>
      <w:bookmarkEnd w:id="80"/>
      <w:bookmarkEnd w:id="81"/>
      <w:bookmarkEnd w:id="82"/>
    </w:p>
    <w:p>
      <w:pPr>
        <w:spacing w:line="360" w:lineRule="exact"/>
        <w:ind w:firstLine="411" w:firstLineChars="196"/>
        <w:rPr>
          <w:rFonts w:ascii="宋体" w:cs="宋体"/>
          <w:color w:val="auto"/>
          <w:szCs w:val="21"/>
          <w:highlight w:val="none"/>
        </w:rPr>
      </w:pPr>
      <w:r>
        <w:rPr>
          <w:rFonts w:hint="eastAsia" w:ascii="宋体" w:hAnsi="宋体" w:cs="宋体"/>
          <w:color w:val="auto"/>
          <w:szCs w:val="21"/>
          <w:highlight w:val="none"/>
        </w:rPr>
        <w:t>本合同执行中相关的一切税费均由乙方负担。</w:t>
      </w:r>
    </w:p>
    <w:p>
      <w:pPr>
        <w:spacing w:line="360" w:lineRule="exact"/>
        <w:ind w:firstLine="413" w:firstLineChars="196"/>
        <w:outlineLvl w:val="1"/>
        <w:rPr>
          <w:rFonts w:ascii="宋体" w:cs="宋体"/>
          <w:b/>
          <w:color w:val="auto"/>
          <w:szCs w:val="21"/>
          <w:highlight w:val="none"/>
        </w:rPr>
      </w:pPr>
      <w:bookmarkStart w:id="83" w:name="_Toc6765"/>
      <w:bookmarkStart w:id="84" w:name="_Toc495841777"/>
      <w:bookmarkStart w:id="85" w:name="_Toc16162"/>
      <w:bookmarkStart w:id="86" w:name="_Toc16435"/>
      <w:bookmarkStart w:id="87" w:name="_Toc18828"/>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付款方式</w:t>
      </w:r>
      <w:bookmarkEnd w:id="83"/>
      <w:bookmarkEnd w:id="84"/>
      <w:bookmarkEnd w:id="85"/>
      <w:bookmarkEnd w:id="86"/>
      <w:bookmarkEnd w:id="87"/>
    </w:p>
    <w:p>
      <w:pPr>
        <w:spacing w:line="360" w:lineRule="exact"/>
        <w:ind w:firstLine="420" w:firstLineChars="200"/>
        <w:rPr>
          <w:rFonts w:ascii="宋体" w:cs="宋体"/>
          <w:color w:val="auto"/>
          <w:szCs w:val="21"/>
          <w:highlight w:val="none"/>
          <w:u w:val="single"/>
        </w:rPr>
      </w:pPr>
      <w:bookmarkStart w:id="88" w:name="_Toc19042"/>
      <w:bookmarkStart w:id="89" w:name="_Toc495841778"/>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pPr>
        <w:spacing w:line="360" w:lineRule="exact"/>
        <w:ind w:firstLine="413" w:firstLineChars="196"/>
        <w:outlineLvl w:val="1"/>
        <w:rPr>
          <w:rFonts w:ascii="宋体" w:cs="宋体"/>
          <w:b/>
          <w:color w:val="auto"/>
          <w:szCs w:val="21"/>
          <w:highlight w:val="none"/>
        </w:rPr>
      </w:pPr>
      <w:bookmarkStart w:id="90" w:name="_Toc6484"/>
      <w:bookmarkStart w:id="91" w:name="_Toc21622"/>
      <w:bookmarkStart w:id="92" w:name="_Toc30715"/>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违约责任</w:t>
      </w:r>
      <w:bookmarkEnd w:id="88"/>
      <w:bookmarkEnd w:id="89"/>
      <w:bookmarkEnd w:id="90"/>
      <w:bookmarkEnd w:id="91"/>
      <w:bookmarkEnd w:id="92"/>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乙方所提供的货物规格、技术标准、材料等质量不合格的，应及时更换，更换不及时的按逾期交货处罚，乙方应向甲方支付合同金额</w:t>
      </w:r>
      <w:r>
        <w:rPr>
          <w:rFonts w:hint="eastAsia" w:ascii="宋体" w:hAnsi="宋体" w:cs="宋体"/>
          <w:color w:val="auto"/>
          <w:szCs w:val="21"/>
          <w:highlight w:val="none"/>
          <w:u w:val="single"/>
          <w:lang w:val="en-US" w:eastAsia="zh-CN"/>
        </w:rPr>
        <w:t>30</w:t>
      </w:r>
      <w:r>
        <w:rPr>
          <w:rFonts w:ascii="宋体" w:hAnsi="宋体" w:cs="宋体"/>
          <w:color w:val="auto"/>
          <w:szCs w:val="21"/>
          <w:highlight w:val="none"/>
        </w:rPr>
        <w:t>%</w:t>
      </w:r>
      <w:r>
        <w:rPr>
          <w:rFonts w:hint="eastAsia" w:ascii="宋体" w:hAnsi="宋体" w:cs="宋体"/>
          <w:color w:val="auto"/>
          <w:szCs w:val="21"/>
          <w:highlight w:val="none"/>
        </w:rPr>
        <w:t>违约金并赔偿甲方经济损失。</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乙方提供的货物如果侵犯了第三方合法权益而引发的任何纠纷或诉讼，均由乙方负责交涉并承担全部责任。</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因包装、运输引起的货物损坏，按质量不合格处理。</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甲方无故延期接收货物、乙方逾期交货的，每天向对方偿付违约货款额</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w:t>
      </w:r>
      <w:r>
        <w:rPr>
          <w:rFonts w:hint="eastAsia" w:ascii="宋体" w:hAnsi="宋体" w:cs="宋体"/>
          <w:color w:val="auto"/>
          <w:szCs w:val="21"/>
          <w:highlight w:val="none"/>
        </w:rPr>
        <w:t>，超过</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w:t>
      </w:r>
      <w:r>
        <w:rPr>
          <w:rFonts w:hint="eastAsia" w:ascii="宋体" w:hAnsi="宋体" w:cs="宋体"/>
          <w:color w:val="auto"/>
          <w:szCs w:val="21"/>
          <w:highlight w:val="none"/>
          <w:shd w:val="clear" w:color="auto" w:fill="FFFFFF"/>
        </w:rPr>
        <w:t>迟延支付款项的，应当支付逾期利息，双方对逾期利息的利率有约定的，约定利率不得低于合同订立时</w:t>
      </w:r>
      <w:r>
        <w:rPr>
          <w:rFonts w:ascii="宋体" w:hAnsi="宋体" w:cs="宋体"/>
          <w:color w:val="auto"/>
          <w:szCs w:val="21"/>
          <w:highlight w:val="none"/>
          <w:shd w:val="clear" w:color="auto" w:fill="FFFFFF"/>
        </w:rPr>
        <w:t>1</w:t>
      </w:r>
      <w:r>
        <w:rPr>
          <w:rFonts w:hint="eastAsia" w:ascii="宋体" w:hAnsi="宋体" w:cs="宋体"/>
          <w:color w:val="auto"/>
          <w:szCs w:val="21"/>
          <w:highlight w:val="none"/>
          <w:shd w:val="clear" w:color="auto" w:fill="FFFFFF"/>
        </w:rPr>
        <w:t>年期贷款市场报价利率</w:t>
      </w:r>
      <w:r>
        <w:rPr>
          <w:rFonts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t>未作约定的，按照每日利率万分之五支付逾期利息</w:t>
      </w:r>
      <w:r>
        <w:rPr>
          <w:rFonts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t>。</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乙方未按本合同和响应文件中规定的服务承诺提供售后服务的，乙方应按本合同合同金额</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向甲方支付违约金。</w:t>
      </w:r>
    </w:p>
    <w:p>
      <w:pPr>
        <w:spacing w:line="360" w:lineRule="exact"/>
        <w:ind w:firstLine="411" w:firstLineChars="196"/>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乙方提供的货物在质保期内，因设计、工艺或材料的缺陷和其他质量原因造成的问题，由乙方负责，费用从质量保证金中扣除，不足另补。</w:t>
      </w:r>
    </w:p>
    <w:p>
      <w:pPr>
        <w:spacing w:line="360" w:lineRule="exact"/>
        <w:ind w:firstLine="413" w:firstLineChars="196"/>
        <w:outlineLvl w:val="1"/>
        <w:rPr>
          <w:rFonts w:ascii="宋体" w:cs="宋体"/>
          <w:b/>
          <w:color w:val="auto"/>
          <w:szCs w:val="21"/>
          <w:highlight w:val="none"/>
        </w:rPr>
      </w:pPr>
      <w:bookmarkStart w:id="93" w:name="_Toc30573"/>
      <w:bookmarkStart w:id="94" w:name="_Toc495841779"/>
      <w:bookmarkStart w:id="95" w:name="_Toc25794"/>
      <w:bookmarkStart w:id="96" w:name="_Toc9233"/>
      <w:bookmarkStart w:id="97" w:name="_Toc5808"/>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bookmarkEnd w:id="93"/>
      <w:bookmarkEnd w:id="94"/>
      <w:bookmarkEnd w:id="95"/>
      <w:bookmarkEnd w:id="96"/>
      <w:bookmarkEnd w:id="97"/>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在合同有效期内，乙方因不可抗力事件导致不能履行合同，则合同履行期可延长，其延长期与不可抗力影响期相同。</w:t>
      </w:r>
    </w:p>
    <w:p>
      <w:pPr>
        <w:spacing w:line="360" w:lineRule="exact"/>
        <w:ind w:left="42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pPr>
        <w:spacing w:line="360" w:lineRule="exact"/>
        <w:ind w:left="42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pPr>
        <w:spacing w:line="360" w:lineRule="exact"/>
        <w:ind w:firstLine="413" w:firstLineChars="196"/>
        <w:outlineLvl w:val="1"/>
        <w:rPr>
          <w:rFonts w:ascii="宋体" w:cs="宋体"/>
          <w:b/>
          <w:color w:val="auto"/>
          <w:szCs w:val="21"/>
          <w:highlight w:val="none"/>
        </w:rPr>
      </w:pPr>
      <w:bookmarkStart w:id="98" w:name="_Toc28781"/>
      <w:bookmarkStart w:id="99" w:name="_Toc25427"/>
      <w:bookmarkStart w:id="100" w:name="_Toc495841780"/>
      <w:bookmarkStart w:id="101" w:name="_Toc27031"/>
      <w:bookmarkStart w:id="102" w:name="_Toc9"/>
      <w:r>
        <w:rPr>
          <w:rFonts w:hint="eastAsia" w:ascii="宋体" w:hAnsi="宋体" w:cs="宋体"/>
          <w:b/>
          <w:color w:val="auto"/>
          <w:szCs w:val="21"/>
          <w:highlight w:val="none"/>
        </w:rPr>
        <w:t>第十三条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bookmarkEnd w:id="98"/>
      <w:bookmarkEnd w:id="99"/>
      <w:bookmarkEnd w:id="100"/>
      <w:bookmarkEnd w:id="101"/>
      <w:bookmarkEnd w:id="102"/>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因货物质量问题发生争议的，应邀请国家认可的质量检测机构对货物质量进行鉴定。货物符合标准的，鉴定费由甲方承担；货物不符合标准的，鉴定费由乙方承担。</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因履行本合同引起的或与本合同有关的争议，甲乙双方应首先通过友好协商解决，如果协商不能解决，可向甲方所在地辖区人民法院提起诉讼。</w:t>
      </w:r>
    </w:p>
    <w:p>
      <w:pPr>
        <w:spacing w:line="360" w:lineRule="exact"/>
        <w:ind w:left="435"/>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pPr>
        <w:spacing w:line="360" w:lineRule="exact"/>
        <w:ind w:firstLine="413" w:firstLineChars="196"/>
        <w:outlineLvl w:val="1"/>
        <w:rPr>
          <w:rFonts w:ascii="宋体" w:cs="宋体"/>
          <w:b/>
          <w:color w:val="auto"/>
          <w:szCs w:val="21"/>
          <w:highlight w:val="none"/>
        </w:rPr>
      </w:pPr>
      <w:bookmarkStart w:id="103" w:name="_Toc30928"/>
      <w:bookmarkStart w:id="104" w:name="_Toc495841781"/>
      <w:bookmarkStart w:id="105" w:name="_Toc10011"/>
      <w:bookmarkStart w:id="106" w:name="_Toc26720"/>
      <w:bookmarkStart w:id="107" w:name="_Toc26915"/>
      <w:r>
        <w:rPr>
          <w:rFonts w:hint="eastAsia" w:ascii="宋体" w:hAnsi="宋体" w:cs="宋体"/>
          <w:b/>
          <w:color w:val="auto"/>
          <w:szCs w:val="21"/>
          <w:highlight w:val="none"/>
        </w:rPr>
        <w:t>第十四条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bookmarkEnd w:id="103"/>
      <w:bookmarkEnd w:id="104"/>
      <w:bookmarkEnd w:id="105"/>
      <w:bookmarkEnd w:id="106"/>
      <w:bookmarkEnd w:id="107"/>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合同经甲乙双方法定代表人、负责人、自然人或相应的授权代表签字并加盖竞标人公章后生效。</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合同执行中涉及采购资金和采购内容修改或补充的，需经财政部门审批，并签订书面补充协议报政府采购监督部门备案，方可作为主合同不可分割的一部分。</w:t>
      </w:r>
    </w:p>
    <w:p>
      <w:pPr>
        <w:spacing w:line="360" w:lineRule="exact"/>
        <w:ind w:left="435"/>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本合同未尽事宜，遵照《合同法》有关条文执行。</w:t>
      </w:r>
    </w:p>
    <w:p>
      <w:pPr>
        <w:spacing w:line="360" w:lineRule="exact"/>
        <w:ind w:firstLine="413" w:firstLineChars="196"/>
        <w:outlineLvl w:val="1"/>
        <w:rPr>
          <w:rFonts w:ascii="宋体" w:cs="宋体"/>
          <w:b/>
          <w:color w:val="auto"/>
          <w:szCs w:val="21"/>
          <w:highlight w:val="none"/>
        </w:rPr>
      </w:pPr>
      <w:bookmarkStart w:id="108" w:name="_Toc15794"/>
      <w:bookmarkStart w:id="109" w:name="_Toc495841782"/>
      <w:bookmarkStart w:id="110" w:name="_Toc757"/>
      <w:bookmarkStart w:id="111" w:name="_Toc10413"/>
      <w:bookmarkStart w:id="112" w:name="_Toc20115"/>
      <w:r>
        <w:rPr>
          <w:rFonts w:hint="eastAsia" w:ascii="宋体" w:hAnsi="宋体" w:cs="宋体"/>
          <w:b/>
          <w:color w:val="auto"/>
          <w:szCs w:val="21"/>
          <w:highlight w:val="none"/>
        </w:rPr>
        <w:t>第十五条</w:t>
      </w:r>
      <w:r>
        <w:rPr>
          <w:rFonts w:ascii="宋体" w:hAnsi="宋体" w:cs="宋体"/>
          <w:b/>
          <w:color w:val="auto"/>
          <w:szCs w:val="21"/>
          <w:highlight w:val="none"/>
        </w:rPr>
        <w:t xml:space="preserve">  </w:t>
      </w:r>
      <w:r>
        <w:rPr>
          <w:rFonts w:hint="eastAsia" w:ascii="宋体" w:hAnsi="宋体" w:cs="宋体"/>
          <w:b/>
          <w:color w:val="auto"/>
          <w:szCs w:val="21"/>
          <w:highlight w:val="none"/>
        </w:rPr>
        <w:t>合同的变更、终止与转让</w:t>
      </w:r>
      <w:bookmarkEnd w:id="108"/>
      <w:bookmarkEnd w:id="109"/>
      <w:bookmarkEnd w:id="110"/>
      <w:bookmarkEnd w:id="111"/>
      <w:bookmarkEnd w:id="112"/>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除《中华人民共和国政府采购法》第五十条规定的情形外，本合同一经签订，甲乙双方不得擅自变更，中止或终止。</w:t>
      </w:r>
    </w:p>
    <w:p>
      <w:pPr>
        <w:spacing w:line="360" w:lineRule="exact"/>
        <w:ind w:left="42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w:t>
      </w:r>
      <w:r>
        <w:rPr>
          <w:rFonts w:ascii="宋体" w:hAnsi="宋体" w:cs="宋体"/>
          <w:color w:val="auto"/>
          <w:szCs w:val="21"/>
          <w:highlight w:val="none"/>
        </w:rPr>
        <w:t>(</w:t>
      </w:r>
      <w:r>
        <w:rPr>
          <w:rFonts w:hint="eastAsia" w:ascii="宋体" w:hAnsi="宋体" w:cs="宋体"/>
          <w:color w:val="auto"/>
          <w:szCs w:val="21"/>
          <w:highlight w:val="none"/>
        </w:rPr>
        <w:t>无进口资格的供应商委托进口货物除外</w:t>
      </w:r>
      <w:r>
        <w:rPr>
          <w:rFonts w:ascii="宋体" w:hAnsi="宋体" w:cs="宋体"/>
          <w:color w:val="auto"/>
          <w:szCs w:val="21"/>
          <w:highlight w:val="none"/>
        </w:rPr>
        <w:t>)</w:t>
      </w:r>
      <w:r>
        <w:rPr>
          <w:rFonts w:hint="eastAsia" w:ascii="宋体" w:hAnsi="宋体" w:cs="宋体"/>
          <w:color w:val="auto"/>
          <w:szCs w:val="21"/>
          <w:highlight w:val="none"/>
        </w:rPr>
        <w:t>其应履行的合同义务。</w:t>
      </w:r>
    </w:p>
    <w:p>
      <w:pPr>
        <w:spacing w:line="360" w:lineRule="exact"/>
        <w:ind w:firstLine="413" w:firstLineChars="196"/>
        <w:outlineLvl w:val="1"/>
        <w:rPr>
          <w:rFonts w:ascii="宋体" w:cs="宋体"/>
          <w:b/>
          <w:color w:val="auto"/>
          <w:szCs w:val="21"/>
          <w:highlight w:val="none"/>
        </w:rPr>
      </w:pPr>
      <w:bookmarkStart w:id="113" w:name="_Toc495841783"/>
      <w:bookmarkStart w:id="114" w:name="_Toc15450"/>
      <w:bookmarkStart w:id="115" w:name="_Toc19322"/>
      <w:bookmarkStart w:id="116" w:name="_Toc8603"/>
      <w:bookmarkStart w:id="117" w:name="_Toc2279"/>
      <w:r>
        <w:rPr>
          <w:rFonts w:hint="eastAsia" w:ascii="宋体" w:hAnsi="宋体" w:cs="宋体"/>
          <w:b/>
          <w:color w:val="auto"/>
          <w:szCs w:val="21"/>
          <w:highlight w:val="none"/>
        </w:rPr>
        <w:t>第十六条</w:t>
      </w:r>
      <w:r>
        <w:rPr>
          <w:rFonts w:ascii="宋体" w:hAnsi="宋体" w:cs="宋体"/>
          <w:b/>
          <w:color w:val="auto"/>
          <w:szCs w:val="21"/>
          <w:highlight w:val="none"/>
        </w:rPr>
        <w:t xml:space="preserve">  </w:t>
      </w:r>
      <w:r>
        <w:rPr>
          <w:rFonts w:hint="eastAsia" w:ascii="宋体" w:hAnsi="宋体" w:cs="宋体"/>
          <w:b/>
          <w:color w:val="auto"/>
          <w:szCs w:val="21"/>
          <w:highlight w:val="none"/>
        </w:rPr>
        <w:t>签订本合同依据</w:t>
      </w:r>
      <w:bookmarkEnd w:id="113"/>
      <w:bookmarkEnd w:id="114"/>
      <w:bookmarkEnd w:id="115"/>
      <w:bookmarkEnd w:id="116"/>
      <w:bookmarkEnd w:id="117"/>
    </w:p>
    <w:p>
      <w:pPr>
        <w:spacing w:line="360" w:lineRule="exact"/>
        <w:ind w:left="42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竞争性谈判文件；</w:t>
      </w:r>
    </w:p>
    <w:p>
      <w:pPr>
        <w:spacing w:line="360" w:lineRule="exact"/>
        <w:ind w:left="42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乙方提供的响应文件；</w:t>
      </w:r>
    </w:p>
    <w:p>
      <w:pPr>
        <w:spacing w:line="360" w:lineRule="exact"/>
        <w:ind w:left="42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售后服务承诺书；</w:t>
      </w:r>
    </w:p>
    <w:p>
      <w:pPr>
        <w:spacing w:line="360" w:lineRule="exact"/>
        <w:ind w:left="42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成交通知书。</w:t>
      </w:r>
    </w:p>
    <w:p>
      <w:pPr>
        <w:spacing w:line="360" w:lineRule="exact"/>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本合同甲乙双方签字盖章后生效，一式伍份，具有同等法律效力，甲乙双方各持贰份。双方自签订之日起壹个工作日内，乙方将合同原件壹份交采购代理机构。</w:t>
      </w:r>
    </w:p>
    <w:p>
      <w:pPr>
        <w:widowControl/>
        <w:jc w:val="left"/>
        <w:rPr>
          <w:rFonts w:ascii="宋体" w:cs="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甲方（章）</w:t>
            </w:r>
            <w:r>
              <w:rPr>
                <w:rFonts w:ascii="宋体" w:hAnsi="宋体" w:cs="宋体"/>
                <w:color w:val="auto"/>
                <w:spacing w:val="-8"/>
                <w:highlight w:val="none"/>
              </w:rPr>
              <w:t xml:space="preserve">           </w:t>
            </w:r>
          </w:p>
          <w:p>
            <w:pPr>
              <w:snapToGrid w:val="0"/>
              <w:rPr>
                <w:rFonts w:ascii="宋体" w:cs="宋体"/>
                <w:color w:val="auto"/>
                <w:spacing w:val="-8"/>
                <w:highlight w:val="none"/>
              </w:rPr>
            </w:pPr>
          </w:p>
          <w:p>
            <w:pPr>
              <w:snapToGrid w:val="0"/>
              <w:ind w:firstLine="873" w:firstLineChars="450"/>
              <w:jc w:val="right"/>
              <w:rPr>
                <w:rFonts w:ascii="宋体" w:cs="宋体"/>
                <w:color w:val="auto"/>
                <w:spacing w:val="-8"/>
                <w:highlight w:val="none"/>
              </w:rPr>
            </w:pPr>
            <w:r>
              <w:rPr>
                <w:rFonts w:hint="eastAsia" w:ascii="宋体" w:hAnsi="宋体" w:cs="宋体"/>
                <w:color w:val="auto"/>
                <w:spacing w:val="-8"/>
                <w:highlight w:val="none"/>
              </w:rPr>
              <w:t>年</w:t>
            </w:r>
            <w:r>
              <w:rPr>
                <w:rFonts w:ascii="宋体" w:hAnsi="宋体" w:cs="宋体"/>
                <w:color w:val="auto"/>
                <w:spacing w:val="-8"/>
                <w:highlight w:val="none"/>
              </w:rPr>
              <w:t xml:space="preserve">   </w:t>
            </w:r>
            <w:r>
              <w:rPr>
                <w:rFonts w:hint="eastAsia" w:ascii="宋体" w:hAnsi="宋体" w:cs="宋体"/>
                <w:color w:val="auto"/>
                <w:spacing w:val="-8"/>
                <w:highlight w:val="none"/>
              </w:rPr>
              <w:t>月</w:t>
            </w:r>
            <w:r>
              <w:rPr>
                <w:rFonts w:ascii="宋体" w:hAnsi="宋体" w:cs="宋体"/>
                <w:color w:val="auto"/>
                <w:spacing w:val="-8"/>
                <w:highlight w:val="none"/>
              </w:rPr>
              <w:t xml:space="preserve">   </w:t>
            </w:r>
            <w:r>
              <w:rPr>
                <w:rFonts w:hint="eastAsia" w:ascii="宋体" w:hAnsi="宋体" w:cs="宋体"/>
                <w:color w:val="auto"/>
                <w:spacing w:val="-8"/>
                <w:highlight w:val="none"/>
              </w:rPr>
              <w:t>日</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乙方（章）</w:t>
            </w:r>
            <w:r>
              <w:rPr>
                <w:rFonts w:ascii="宋体" w:hAnsi="宋体" w:cs="宋体"/>
                <w:color w:val="auto"/>
                <w:spacing w:val="-8"/>
                <w:highlight w:val="none"/>
              </w:rPr>
              <w:t xml:space="preserve">              </w:t>
            </w:r>
          </w:p>
          <w:p>
            <w:pPr>
              <w:snapToGrid w:val="0"/>
              <w:rPr>
                <w:rFonts w:ascii="宋体" w:cs="宋体"/>
                <w:color w:val="auto"/>
                <w:spacing w:val="-8"/>
                <w:highlight w:val="none"/>
              </w:rPr>
            </w:pPr>
          </w:p>
          <w:p>
            <w:pPr>
              <w:snapToGrid w:val="0"/>
              <w:jc w:val="right"/>
              <w:rPr>
                <w:rFonts w:ascii="宋体" w:cs="宋体"/>
                <w:color w:val="auto"/>
                <w:spacing w:val="-8"/>
                <w:highlight w:val="none"/>
              </w:rPr>
            </w:pPr>
            <w:r>
              <w:rPr>
                <w:rFonts w:ascii="宋体" w:hAnsi="宋体" w:cs="宋体"/>
                <w:color w:val="auto"/>
                <w:spacing w:val="-8"/>
                <w:highlight w:val="none"/>
              </w:rPr>
              <w:t xml:space="preserve"> </w:t>
            </w:r>
            <w:r>
              <w:rPr>
                <w:rFonts w:hint="eastAsia" w:ascii="宋体" w:hAnsi="宋体" w:cs="宋体"/>
                <w:color w:val="auto"/>
                <w:spacing w:val="-8"/>
                <w:highlight w:val="none"/>
              </w:rPr>
              <w:t>年</w:t>
            </w:r>
            <w:r>
              <w:rPr>
                <w:rFonts w:ascii="宋体" w:hAnsi="宋体" w:cs="宋体"/>
                <w:color w:val="auto"/>
                <w:spacing w:val="-8"/>
                <w:highlight w:val="none"/>
              </w:rPr>
              <w:t xml:space="preserve">   </w:t>
            </w:r>
            <w:r>
              <w:rPr>
                <w:rFonts w:hint="eastAsia" w:ascii="宋体" w:hAnsi="宋体" w:cs="宋体"/>
                <w:color w:val="auto"/>
                <w:spacing w:val="-8"/>
                <w:highlight w:val="none"/>
              </w:rPr>
              <w:t>月</w:t>
            </w:r>
            <w:r>
              <w:rPr>
                <w:rFonts w:ascii="宋体" w:hAnsi="宋体" w:cs="宋体"/>
                <w:color w:val="auto"/>
                <w:spacing w:val="-8"/>
                <w:highlight w:val="none"/>
              </w:rPr>
              <w:t xml:space="preserve">   </w:t>
            </w:r>
            <w:r>
              <w:rPr>
                <w:rFonts w:hint="eastAsia" w:ascii="宋体" w:hAnsi="宋体" w:cs="宋体"/>
                <w:color w:val="auto"/>
                <w:spacing w:val="-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单位地址：</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法定代表人：</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法定代表人</w:t>
            </w:r>
            <w:r>
              <w:rPr>
                <w:rFonts w:ascii="宋体" w:hAnsi="宋体" w:cs="宋体"/>
                <w:color w:val="auto"/>
                <w:highlight w:val="none"/>
              </w:rPr>
              <w:t>(</w:t>
            </w:r>
            <w:r>
              <w:rPr>
                <w:rFonts w:hint="eastAsia" w:ascii="宋体" w:hAnsi="宋体" w:cs="宋体"/>
                <w:color w:val="auto"/>
                <w:highlight w:val="none"/>
              </w:rPr>
              <w:t>负责人</w:t>
            </w:r>
            <w:r>
              <w:rPr>
                <w:rFonts w:ascii="宋体" w:hAnsi="宋体" w:cs="宋体"/>
                <w:color w:val="auto"/>
                <w:highlight w:val="none"/>
              </w:rPr>
              <w:t>)</w:t>
            </w:r>
            <w:r>
              <w:rPr>
                <w:rFonts w:hint="eastAsia" w:ascii="宋体" w:hAnsi="宋体" w:cs="宋体"/>
                <w:color w:val="auto"/>
                <w:spacing w:val="-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委托代理人：</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电话：</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电子邮箱：</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开户银行：</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账号：</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0"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邮政编码：</w:t>
            </w:r>
          </w:p>
        </w:tc>
        <w:tc>
          <w:tcPr>
            <w:tcW w:w="4642" w:type="dxa"/>
            <w:vAlign w:val="center"/>
          </w:tcPr>
          <w:p>
            <w:pPr>
              <w:snapToGrid w:val="0"/>
              <w:rPr>
                <w:rFonts w:ascii="宋体" w:cs="宋体"/>
                <w:color w:val="auto"/>
                <w:spacing w:val="-8"/>
                <w:highlight w:val="none"/>
              </w:rPr>
            </w:pPr>
            <w:r>
              <w:rPr>
                <w:rFonts w:hint="eastAsia" w:ascii="宋体" w:hAnsi="宋体" w:cs="宋体"/>
                <w:color w:val="auto"/>
                <w:spacing w:val="-8"/>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212" w:type="dxa"/>
            <w:gridSpan w:val="2"/>
          </w:tcPr>
          <w:p>
            <w:pPr>
              <w:snapToGrid w:val="0"/>
              <w:rPr>
                <w:rFonts w:ascii="宋体" w:cs="宋体"/>
                <w:color w:val="auto"/>
                <w:spacing w:val="-8"/>
                <w:highlight w:val="none"/>
              </w:rPr>
            </w:pPr>
            <w:r>
              <w:rPr>
                <w:rFonts w:hint="eastAsia" w:ascii="宋体" w:hAnsi="宋体" w:cs="宋体"/>
                <w:color w:val="auto"/>
                <w:spacing w:val="-8"/>
                <w:highlight w:val="none"/>
              </w:rPr>
              <w:t>经办人：</w:t>
            </w:r>
          </w:p>
          <w:p>
            <w:pPr>
              <w:snapToGrid w:val="0"/>
              <w:rPr>
                <w:rFonts w:ascii="宋体" w:cs="宋体"/>
                <w:color w:val="auto"/>
                <w:spacing w:val="-8"/>
                <w:highlight w:val="none"/>
              </w:rPr>
            </w:pPr>
          </w:p>
          <w:p>
            <w:pPr>
              <w:snapToGrid w:val="0"/>
              <w:ind w:firstLine="582" w:firstLineChars="300"/>
              <w:jc w:val="right"/>
              <w:rPr>
                <w:rFonts w:ascii="宋体" w:cs="宋体"/>
                <w:color w:val="auto"/>
                <w:spacing w:val="-8"/>
                <w:highlight w:val="none"/>
              </w:rPr>
            </w:pPr>
            <w:r>
              <w:rPr>
                <w:rFonts w:hint="eastAsia" w:ascii="宋体" w:hAnsi="宋体" w:cs="宋体"/>
                <w:color w:val="auto"/>
                <w:spacing w:val="-8"/>
                <w:highlight w:val="none"/>
              </w:rPr>
              <w:t>年</w:t>
            </w:r>
            <w:r>
              <w:rPr>
                <w:rFonts w:ascii="宋体" w:hAnsi="宋体" w:cs="宋体"/>
                <w:color w:val="auto"/>
                <w:spacing w:val="-8"/>
                <w:highlight w:val="none"/>
              </w:rPr>
              <w:t xml:space="preserve">    </w:t>
            </w:r>
            <w:r>
              <w:rPr>
                <w:rFonts w:hint="eastAsia" w:ascii="宋体" w:hAnsi="宋体" w:cs="宋体"/>
                <w:color w:val="auto"/>
                <w:spacing w:val="-8"/>
                <w:highlight w:val="none"/>
              </w:rPr>
              <w:t>月</w:t>
            </w:r>
            <w:r>
              <w:rPr>
                <w:rFonts w:ascii="宋体" w:hAnsi="宋体" w:cs="宋体"/>
                <w:color w:val="auto"/>
                <w:spacing w:val="-8"/>
                <w:highlight w:val="none"/>
              </w:rPr>
              <w:t xml:space="preserve">    </w:t>
            </w:r>
            <w:r>
              <w:rPr>
                <w:rFonts w:hint="eastAsia" w:ascii="宋体" w:hAnsi="宋体" w:cs="宋体"/>
                <w:color w:val="auto"/>
                <w:spacing w:val="-8"/>
                <w:highlight w:val="none"/>
              </w:rPr>
              <w:t>日</w:t>
            </w:r>
          </w:p>
        </w:tc>
      </w:tr>
    </w:tbl>
    <w:p>
      <w:pPr>
        <w:snapToGrid w:val="0"/>
        <w:spacing w:line="360" w:lineRule="auto"/>
        <w:jc w:val="center"/>
        <w:rPr>
          <w:rFonts w:ascii="宋体" w:cs="宋体"/>
          <w:b/>
          <w:color w:val="auto"/>
          <w:highlight w:val="none"/>
        </w:rPr>
      </w:pPr>
    </w:p>
    <w:p>
      <w:pPr>
        <w:snapToGrid w:val="0"/>
        <w:spacing w:line="360" w:lineRule="auto"/>
        <w:jc w:val="center"/>
        <w:rPr>
          <w:rFonts w:ascii="宋体" w:cs="宋体"/>
          <w:b/>
          <w:color w:val="auto"/>
          <w:highlight w:val="none"/>
        </w:rPr>
      </w:pPr>
    </w:p>
    <w:p>
      <w:pPr>
        <w:snapToGrid w:val="0"/>
        <w:spacing w:line="360" w:lineRule="auto"/>
        <w:jc w:val="center"/>
        <w:rPr>
          <w:rFonts w:ascii="宋体" w:cs="宋体"/>
          <w:b/>
          <w:color w:val="auto"/>
          <w:highlight w:val="none"/>
        </w:rPr>
      </w:pPr>
    </w:p>
    <w:p>
      <w:pPr>
        <w:snapToGrid w:val="0"/>
        <w:spacing w:line="360" w:lineRule="auto"/>
        <w:rPr>
          <w:rFonts w:ascii="宋体" w:cs="宋体"/>
          <w:b/>
          <w:color w:val="auto"/>
          <w:highlight w:val="none"/>
        </w:rPr>
      </w:pPr>
    </w:p>
    <w:p>
      <w:pPr>
        <w:snapToGrid w:val="0"/>
        <w:spacing w:line="360" w:lineRule="auto"/>
        <w:jc w:val="center"/>
        <w:rPr>
          <w:rFonts w:ascii="宋体" w:cs="宋体"/>
          <w:b/>
          <w:color w:val="auto"/>
          <w:sz w:val="24"/>
          <w:szCs w:val="22"/>
          <w:highlight w:val="none"/>
        </w:rPr>
      </w:pPr>
      <w:r>
        <w:rPr>
          <w:rFonts w:ascii="宋体" w:cs="宋体"/>
          <w:b/>
          <w:color w:val="auto"/>
          <w:sz w:val="24"/>
          <w:szCs w:val="22"/>
          <w:highlight w:val="none"/>
        </w:rPr>
        <w:br w:type="page"/>
      </w:r>
      <w:r>
        <w:rPr>
          <w:rFonts w:hint="eastAsia" w:ascii="宋体" w:hAnsi="宋体" w:cs="宋体"/>
          <w:b/>
          <w:color w:val="auto"/>
          <w:sz w:val="24"/>
          <w:szCs w:val="22"/>
          <w:highlight w:val="none"/>
        </w:rPr>
        <w:t>合同附件</w:t>
      </w:r>
    </w:p>
    <w:p>
      <w:pPr>
        <w:snapToGrid w:val="0"/>
        <w:rPr>
          <w:rFonts w:ascii="宋体" w:cs="宋体"/>
          <w:color w:val="auto"/>
          <w:highlight w:val="none"/>
        </w:rPr>
      </w:pPr>
    </w:p>
    <w:tbl>
      <w:tblPr>
        <w:tblStyle w:val="24"/>
        <w:tblW w:w="0" w:type="auto"/>
        <w:jc w:val="center"/>
        <w:tblLayout w:type="fixed"/>
        <w:tblCellMar>
          <w:top w:w="0" w:type="dxa"/>
          <w:left w:w="108" w:type="dxa"/>
          <w:bottom w:w="0" w:type="dxa"/>
          <w:right w:w="108" w:type="dxa"/>
        </w:tblCellMar>
      </w:tblPr>
      <w:tblGrid>
        <w:gridCol w:w="4608"/>
        <w:gridCol w:w="4500"/>
      </w:tblGrid>
      <w:tr>
        <w:tblPrEx>
          <w:tblCellMar>
            <w:top w:w="0" w:type="dxa"/>
            <w:left w:w="108" w:type="dxa"/>
            <w:bottom w:w="0" w:type="dxa"/>
            <w:right w:w="108" w:type="dxa"/>
          </w:tblCellMar>
        </w:tblPrEx>
        <w:trPr>
          <w:trHeight w:val="450" w:hRule="atLeast"/>
          <w:jc w:val="center"/>
        </w:trPr>
        <w:tc>
          <w:tcPr>
            <w:tcW w:w="9108" w:type="dxa"/>
            <w:gridSpan w:val="2"/>
            <w:tcBorders>
              <w:top w:val="single" w:color="auto" w:sz="4" w:space="0"/>
              <w:left w:val="single" w:color="auto" w:sz="4" w:space="0"/>
              <w:bottom w:val="nil"/>
              <w:right w:val="single" w:color="auto" w:sz="4" w:space="0"/>
            </w:tcBorders>
            <w:vAlign w:val="center"/>
          </w:tcPr>
          <w:p>
            <w:pPr>
              <w:snapToGrid w:val="0"/>
              <w:spacing w:line="400" w:lineRule="exact"/>
              <w:rPr>
                <w:rFonts w:ascii="宋体" w:cs="宋体"/>
                <w:b/>
                <w:color w:val="auto"/>
                <w:highlight w:val="none"/>
              </w:rPr>
            </w:pPr>
            <w:r>
              <w:rPr>
                <w:rFonts w:ascii="宋体" w:hAnsi="宋体" w:cs="宋体"/>
                <w:b/>
                <w:color w:val="auto"/>
                <w:highlight w:val="none"/>
              </w:rPr>
              <w:t>1</w:t>
            </w:r>
            <w:r>
              <w:rPr>
                <w:rFonts w:hint="eastAsia" w:ascii="宋体" w:hAnsi="宋体" w:cs="宋体"/>
                <w:b/>
                <w:color w:val="auto"/>
                <w:highlight w:val="none"/>
              </w:rPr>
              <w:t>、供应商承诺具体事项：</w:t>
            </w: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single" w:color="auto" w:sz="4" w:space="0"/>
              <w:left w:val="single" w:color="auto" w:sz="4" w:space="0"/>
              <w:bottom w:val="nil"/>
              <w:right w:val="single" w:color="auto" w:sz="4" w:space="0"/>
            </w:tcBorders>
            <w:vAlign w:val="center"/>
          </w:tcPr>
          <w:p>
            <w:pPr>
              <w:snapToGrid w:val="0"/>
              <w:spacing w:line="400" w:lineRule="exact"/>
              <w:rPr>
                <w:rFonts w:ascii="宋体" w:cs="宋体"/>
                <w:b/>
                <w:color w:val="auto"/>
                <w:highlight w:val="none"/>
              </w:rPr>
            </w:pPr>
            <w:r>
              <w:rPr>
                <w:rFonts w:ascii="宋体" w:hAnsi="宋体" w:cs="宋体"/>
                <w:b/>
                <w:color w:val="auto"/>
                <w:highlight w:val="none"/>
              </w:rPr>
              <w:t>2</w:t>
            </w:r>
            <w:r>
              <w:rPr>
                <w:rFonts w:hint="eastAsia" w:ascii="宋体" w:hAnsi="宋体" w:cs="宋体"/>
                <w:b/>
                <w:color w:val="auto"/>
                <w:highlight w:val="none"/>
              </w:rPr>
              <w:t>、售后服务具体事项：</w:t>
            </w: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single" w:color="auto" w:sz="4" w:space="0"/>
              <w:left w:val="single" w:color="auto" w:sz="4" w:space="0"/>
              <w:bottom w:val="nil"/>
              <w:right w:val="single" w:color="auto" w:sz="4" w:space="0"/>
            </w:tcBorders>
            <w:vAlign w:val="center"/>
          </w:tcPr>
          <w:p>
            <w:pPr>
              <w:snapToGrid w:val="0"/>
              <w:spacing w:line="400" w:lineRule="exact"/>
              <w:rPr>
                <w:rFonts w:ascii="宋体" w:cs="宋体"/>
                <w:b/>
                <w:color w:val="auto"/>
                <w:highlight w:val="none"/>
              </w:rPr>
            </w:pPr>
            <w:r>
              <w:rPr>
                <w:rFonts w:ascii="宋体" w:hAnsi="宋体" w:cs="宋体"/>
                <w:b/>
                <w:color w:val="auto"/>
                <w:highlight w:val="none"/>
              </w:rPr>
              <w:t>3</w:t>
            </w:r>
            <w:r>
              <w:rPr>
                <w:rFonts w:hint="eastAsia" w:ascii="宋体" w:hAnsi="宋体" w:cs="宋体"/>
                <w:b/>
                <w:color w:val="auto"/>
                <w:highlight w:val="none"/>
              </w:rPr>
              <w:t>、保修期责任：</w:t>
            </w: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single" w:color="auto" w:sz="4" w:space="0"/>
              <w:left w:val="single" w:color="auto" w:sz="4" w:space="0"/>
              <w:bottom w:val="nil"/>
              <w:right w:val="single" w:color="auto" w:sz="4" w:space="0"/>
            </w:tcBorders>
            <w:vAlign w:val="center"/>
          </w:tcPr>
          <w:p>
            <w:pPr>
              <w:snapToGrid w:val="0"/>
              <w:spacing w:line="400" w:lineRule="exact"/>
              <w:rPr>
                <w:rFonts w:ascii="宋体" w:cs="宋体"/>
                <w:b/>
                <w:color w:val="auto"/>
                <w:highlight w:val="none"/>
              </w:rPr>
            </w:pPr>
            <w:r>
              <w:rPr>
                <w:rFonts w:ascii="宋体" w:hAnsi="宋体" w:cs="宋体"/>
                <w:b/>
                <w:color w:val="auto"/>
                <w:highlight w:val="none"/>
              </w:rPr>
              <w:t>4</w:t>
            </w:r>
            <w:r>
              <w:rPr>
                <w:rFonts w:hint="eastAsia" w:ascii="宋体" w:hAnsi="宋体" w:cs="宋体"/>
                <w:b/>
                <w:color w:val="auto"/>
                <w:highlight w:val="none"/>
              </w:rPr>
              <w:t>、其他具体事项：</w:t>
            </w: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gridSpan w:val="2"/>
            <w:tcBorders>
              <w:top w:val="nil"/>
              <w:left w:val="single" w:color="auto" w:sz="4" w:space="0"/>
              <w:bottom w:val="nil"/>
              <w:right w:val="single" w:color="auto" w:sz="4" w:space="0"/>
            </w:tcBorders>
            <w:vAlign w:val="center"/>
          </w:tcPr>
          <w:p>
            <w:pPr>
              <w:snapToGrid w:val="0"/>
              <w:spacing w:line="400" w:lineRule="exact"/>
              <w:ind w:firstLine="422" w:firstLineChars="200"/>
              <w:rPr>
                <w:rFonts w:ascii="宋体" w:cs="宋体"/>
                <w:b/>
                <w:color w:val="auto"/>
                <w:highlight w:val="none"/>
              </w:rPr>
            </w:pPr>
          </w:p>
        </w:tc>
      </w:tr>
      <w:tr>
        <w:tblPrEx>
          <w:tblCellMar>
            <w:top w:w="0" w:type="dxa"/>
            <w:left w:w="108" w:type="dxa"/>
            <w:bottom w:w="0" w:type="dxa"/>
            <w:right w:w="108" w:type="dxa"/>
          </w:tblCellMar>
        </w:tblPrEx>
        <w:trPr>
          <w:trHeight w:val="2110" w:hRule="atLeast"/>
          <w:jc w:val="center"/>
        </w:trPr>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b/>
                <w:color w:val="auto"/>
                <w:highlight w:val="none"/>
              </w:rPr>
            </w:pPr>
            <w:r>
              <w:rPr>
                <w:rFonts w:hint="eastAsia" w:ascii="宋体" w:hAnsi="宋体" w:cs="宋体"/>
                <w:b/>
                <w:color w:val="auto"/>
                <w:highlight w:val="none"/>
              </w:rPr>
              <w:t>甲方（章）</w:t>
            </w:r>
          </w:p>
          <w:p>
            <w:pPr>
              <w:snapToGrid w:val="0"/>
              <w:spacing w:line="400" w:lineRule="exact"/>
              <w:ind w:firstLine="422" w:firstLineChars="200"/>
              <w:rPr>
                <w:rFonts w:ascii="宋体" w:cs="宋体"/>
                <w:b/>
                <w:color w:val="auto"/>
                <w:highlight w:val="none"/>
              </w:rPr>
            </w:pPr>
          </w:p>
          <w:p>
            <w:pPr>
              <w:snapToGrid w:val="0"/>
              <w:spacing w:line="400" w:lineRule="exact"/>
              <w:ind w:firstLine="422" w:firstLineChars="200"/>
              <w:rPr>
                <w:rFonts w:ascii="宋体" w:cs="宋体"/>
                <w:b/>
                <w:color w:val="auto"/>
                <w:highlight w:val="none"/>
              </w:rPr>
            </w:pPr>
          </w:p>
          <w:p>
            <w:pPr>
              <w:snapToGrid w:val="0"/>
              <w:spacing w:line="400" w:lineRule="exact"/>
              <w:ind w:firstLine="422" w:firstLineChars="200"/>
              <w:rPr>
                <w:rFonts w:ascii="宋体" w:cs="宋体"/>
                <w:b/>
                <w:color w:val="auto"/>
                <w:highlight w:val="none"/>
              </w:rPr>
            </w:pPr>
            <w:r>
              <w:rPr>
                <w:rFonts w:ascii="宋体" w:hAnsi="宋体" w:cs="宋体"/>
                <w:b/>
                <w:color w:val="auto"/>
                <w:highlight w:val="none"/>
              </w:rPr>
              <w:t xml:space="preserve">                 </w:t>
            </w:r>
            <w:r>
              <w:rPr>
                <w:rFonts w:hint="eastAsia" w:ascii="宋体" w:hAnsi="宋体" w:cs="宋体"/>
                <w:b/>
                <w:color w:val="auto"/>
                <w:highlight w:val="none"/>
              </w:rPr>
              <w:t>年</w:t>
            </w:r>
            <w:r>
              <w:rPr>
                <w:rFonts w:ascii="宋体" w:hAnsi="宋体" w:cs="宋体"/>
                <w:b/>
                <w:color w:val="auto"/>
                <w:highlight w:val="none"/>
              </w:rPr>
              <w:t xml:space="preserve">   </w:t>
            </w:r>
            <w:r>
              <w:rPr>
                <w:rFonts w:hint="eastAsia" w:ascii="宋体" w:hAnsi="宋体" w:cs="宋体"/>
                <w:b/>
                <w:color w:val="auto"/>
                <w:highlight w:val="none"/>
              </w:rPr>
              <w:t>月</w:t>
            </w:r>
            <w:r>
              <w:rPr>
                <w:rFonts w:ascii="宋体" w:hAnsi="宋体" w:cs="宋体"/>
                <w:b/>
                <w:color w:val="auto"/>
                <w:highlight w:val="none"/>
              </w:rPr>
              <w:t xml:space="preserve">   </w:t>
            </w:r>
            <w:r>
              <w:rPr>
                <w:rFonts w:hint="eastAsia" w:ascii="宋体" w:hAnsi="宋体" w:cs="宋体"/>
                <w:b/>
                <w:color w:val="auto"/>
                <w:highlight w:val="none"/>
              </w:rPr>
              <w:t>日</w:t>
            </w:r>
            <w:r>
              <w:rPr>
                <w:rFonts w:ascii="宋体" w:hAnsi="宋体" w:cs="宋体"/>
                <w:b/>
                <w:color w:val="auto"/>
                <w:highlight w:val="none"/>
              </w:rPr>
              <w:t xml:space="preserve"> </w:t>
            </w:r>
          </w:p>
        </w:tc>
        <w:tc>
          <w:tcPr>
            <w:tcW w:w="45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b/>
                <w:color w:val="auto"/>
                <w:highlight w:val="none"/>
              </w:rPr>
            </w:pPr>
            <w:r>
              <w:rPr>
                <w:rFonts w:hint="eastAsia" w:ascii="宋体" w:hAnsi="宋体" w:cs="宋体"/>
                <w:b/>
                <w:color w:val="auto"/>
                <w:highlight w:val="none"/>
              </w:rPr>
              <w:t>乙方（章）</w:t>
            </w:r>
          </w:p>
          <w:p>
            <w:pPr>
              <w:snapToGrid w:val="0"/>
              <w:spacing w:line="400" w:lineRule="exact"/>
              <w:ind w:firstLine="422" w:firstLineChars="200"/>
              <w:rPr>
                <w:rFonts w:ascii="宋体" w:cs="宋体"/>
                <w:b/>
                <w:color w:val="auto"/>
                <w:highlight w:val="none"/>
              </w:rPr>
            </w:pPr>
          </w:p>
          <w:p>
            <w:pPr>
              <w:snapToGrid w:val="0"/>
              <w:spacing w:line="400" w:lineRule="exact"/>
              <w:ind w:firstLine="422" w:firstLineChars="200"/>
              <w:rPr>
                <w:rFonts w:ascii="宋体" w:cs="宋体"/>
                <w:b/>
                <w:color w:val="auto"/>
                <w:highlight w:val="none"/>
              </w:rPr>
            </w:pPr>
          </w:p>
          <w:p>
            <w:pPr>
              <w:snapToGrid w:val="0"/>
              <w:spacing w:line="400" w:lineRule="exact"/>
              <w:ind w:firstLine="422" w:firstLineChars="200"/>
              <w:rPr>
                <w:rFonts w:ascii="宋体" w:cs="宋体"/>
                <w:b/>
                <w:color w:val="auto"/>
                <w:highlight w:val="none"/>
              </w:rPr>
            </w:pPr>
            <w:r>
              <w:rPr>
                <w:rFonts w:ascii="宋体" w:hAnsi="宋体" w:cs="宋体"/>
                <w:b/>
                <w:color w:val="auto"/>
                <w:highlight w:val="none"/>
              </w:rPr>
              <w:t xml:space="preserve">                </w:t>
            </w:r>
            <w:r>
              <w:rPr>
                <w:rFonts w:hint="eastAsia" w:ascii="宋体" w:hAnsi="宋体" w:cs="宋体"/>
                <w:b/>
                <w:color w:val="auto"/>
                <w:highlight w:val="none"/>
              </w:rPr>
              <w:t>年</w:t>
            </w:r>
            <w:r>
              <w:rPr>
                <w:rFonts w:ascii="宋体" w:hAnsi="宋体" w:cs="宋体"/>
                <w:b/>
                <w:color w:val="auto"/>
                <w:highlight w:val="none"/>
              </w:rPr>
              <w:t xml:space="preserve">   </w:t>
            </w:r>
            <w:r>
              <w:rPr>
                <w:rFonts w:hint="eastAsia" w:ascii="宋体" w:hAnsi="宋体" w:cs="宋体"/>
                <w:b/>
                <w:color w:val="auto"/>
                <w:highlight w:val="none"/>
              </w:rPr>
              <w:t>月</w:t>
            </w:r>
            <w:r>
              <w:rPr>
                <w:rFonts w:ascii="宋体" w:hAnsi="宋体" w:cs="宋体"/>
                <w:b/>
                <w:color w:val="auto"/>
                <w:highlight w:val="none"/>
              </w:rPr>
              <w:t xml:space="preserve">   </w:t>
            </w:r>
            <w:r>
              <w:rPr>
                <w:rFonts w:hint="eastAsia" w:ascii="宋体" w:hAnsi="宋体" w:cs="宋体"/>
                <w:b/>
                <w:color w:val="auto"/>
                <w:highlight w:val="none"/>
              </w:rPr>
              <w:t>日</w:t>
            </w:r>
          </w:p>
        </w:tc>
      </w:tr>
    </w:tbl>
    <w:p>
      <w:pPr>
        <w:snapToGrid w:val="0"/>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注：售后服务事项填不下时可另加附页</w:t>
      </w:r>
    </w:p>
    <w:p>
      <w:pPr>
        <w:snapToGrid w:val="0"/>
        <w:spacing w:line="360" w:lineRule="auto"/>
        <w:rPr>
          <w:rFonts w:ascii="宋体" w:cs="宋体"/>
          <w:color w:val="auto"/>
          <w:sz w:val="24"/>
          <w:highlight w:val="none"/>
        </w:rPr>
      </w:pPr>
    </w:p>
    <w:sectPr>
      <w:footerReference r:id="rId5" w:type="first"/>
      <w:pgSz w:w="11910" w:h="16840"/>
      <w:pgMar w:top="850" w:right="1134" w:bottom="850" w:left="1134" w:header="85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26</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pVe8H0gEAAKcDAAAOAAAAAAAAAAEAIAAAAB4BAABk&#10;cnMvZTJvRG9jLnhtbFBLBQYAAAAABgAGAFkBAABi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80A97"/>
    <w:multiLevelType w:val="singleLevel"/>
    <w:tmpl w:val="5F080A97"/>
    <w:lvl w:ilvl="0" w:tentative="0">
      <w:start w:val="1"/>
      <w:numFmt w:val="chineseCounting"/>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mJjYzAzOThkMGIwMTQ2YjIxMjllMmEzOTI5NjIifQ=="/>
  </w:docVars>
  <w:rsids>
    <w:rsidRoot w:val="00F34B14"/>
    <w:rsid w:val="00000672"/>
    <w:rsid w:val="00001799"/>
    <w:rsid w:val="000022D9"/>
    <w:rsid w:val="00002D29"/>
    <w:rsid w:val="000040C5"/>
    <w:rsid w:val="00004A8A"/>
    <w:rsid w:val="0000574C"/>
    <w:rsid w:val="00005E55"/>
    <w:rsid w:val="00005FDF"/>
    <w:rsid w:val="00006586"/>
    <w:rsid w:val="000065BA"/>
    <w:rsid w:val="0001045D"/>
    <w:rsid w:val="00010D39"/>
    <w:rsid w:val="000112BB"/>
    <w:rsid w:val="0001149B"/>
    <w:rsid w:val="0001172C"/>
    <w:rsid w:val="00012854"/>
    <w:rsid w:val="00012EA6"/>
    <w:rsid w:val="000139DC"/>
    <w:rsid w:val="00013D8C"/>
    <w:rsid w:val="00013DFE"/>
    <w:rsid w:val="00013F03"/>
    <w:rsid w:val="000141EA"/>
    <w:rsid w:val="00014385"/>
    <w:rsid w:val="000159F6"/>
    <w:rsid w:val="00016960"/>
    <w:rsid w:val="00017396"/>
    <w:rsid w:val="000177DB"/>
    <w:rsid w:val="00020227"/>
    <w:rsid w:val="000203E4"/>
    <w:rsid w:val="00020455"/>
    <w:rsid w:val="00022731"/>
    <w:rsid w:val="00022792"/>
    <w:rsid w:val="000242CE"/>
    <w:rsid w:val="00025382"/>
    <w:rsid w:val="00025636"/>
    <w:rsid w:val="00025E36"/>
    <w:rsid w:val="00026627"/>
    <w:rsid w:val="00026886"/>
    <w:rsid w:val="00030496"/>
    <w:rsid w:val="000329E0"/>
    <w:rsid w:val="000333A0"/>
    <w:rsid w:val="000352E9"/>
    <w:rsid w:val="00036548"/>
    <w:rsid w:val="00036A07"/>
    <w:rsid w:val="00036E33"/>
    <w:rsid w:val="00037E2D"/>
    <w:rsid w:val="00040571"/>
    <w:rsid w:val="0004156E"/>
    <w:rsid w:val="00041597"/>
    <w:rsid w:val="0004440C"/>
    <w:rsid w:val="00045880"/>
    <w:rsid w:val="000462CB"/>
    <w:rsid w:val="00046B5E"/>
    <w:rsid w:val="0004783A"/>
    <w:rsid w:val="000509D9"/>
    <w:rsid w:val="0005398D"/>
    <w:rsid w:val="000552A6"/>
    <w:rsid w:val="00055D41"/>
    <w:rsid w:val="00057CEC"/>
    <w:rsid w:val="00060DCE"/>
    <w:rsid w:val="000623B4"/>
    <w:rsid w:val="000634A7"/>
    <w:rsid w:val="00063E85"/>
    <w:rsid w:val="00063F81"/>
    <w:rsid w:val="00064847"/>
    <w:rsid w:val="0006484B"/>
    <w:rsid w:val="000673E2"/>
    <w:rsid w:val="000703B6"/>
    <w:rsid w:val="000711E4"/>
    <w:rsid w:val="000719F9"/>
    <w:rsid w:val="00072AED"/>
    <w:rsid w:val="00073F47"/>
    <w:rsid w:val="00075B7E"/>
    <w:rsid w:val="00077C70"/>
    <w:rsid w:val="00080B57"/>
    <w:rsid w:val="00081BA3"/>
    <w:rsid w:val="00081D2E"/>
    <w:rsid w:val="0008267B"/>
    <w:rsid w:val="00082D02"/>
    <w:rsid w:val="00083B91"/>
    <w:rsid w:val="0008520B"/>
    <w:rsid w:val="000871B8"/>
    <w:rsid w:val="00087DB6"/>
    <w:rsid w:val="000913BE"/>
    <w:rsid w:val="000918F8"/>
    <w:rsid w:val="00092442"/>
    <w:rsid w:val="0009588E"/>
    <w:rsid w:val="000959EE"/>
    <w:rsid w:val="00095B51"/>
    <w:rsid w:val="00097DA0"/>
    <w:rsid w:val="000A0D6B"/>
    <w:rsid w:val="000A1389"/>
    <w:rsid w:val="000A166E"/>
    <w:rsid w:val="000A2B0E"/>
    <w:rsid w:val="000A398F"/>
    <w:rsid w:val="000A509C"/>
    <w:rsid w:val="000A6007"/>
    <w:rsid w:val="000A65A6"/>
    <w:rsid w:val="000A7275"/>
    <w:rsid w:val="000A7A12"/>
    <w:rsid w:val="000A7CA5"/>
    <w:rsid w:val="000B039A"/>
    <w:rsid w:val="000B1801"/>
    <w:rsid w:val="000B1D0C"/>
    <w:rsid w:val="000B2D03"/>
    <w:rsid w:val="000B3815"/>
    <w:rsid w:val="000B3C7B"/>
    <w:rsid w:val="000B6C95"/>
    <w:rsid w:val="000C0C58"/>
    <w:rsid w:val="000C1679"/>
    <w:rsid w:val="000C2F89"/>
    <w:rsid w:val="000C30BB"/>
    <w:rsid w:val="000C366E"/>
    <w:rsid w:val="000C4635"/>
    <w:rsid w:val="000C548E"/>
    <w:rsid w:val="000C5698"/>
    <w:rsid w:val="000C6DE4"/>
    <w:rsid w:val="000C716B"/>
    <w:rsid w:val="000D01EB"/>
    <w:rsid w:val="000D01F9"/>
    <w:rsid w:val="000D056E"/>
    <w:rsid w:val="000D0675"/>
    <w:rsid w:val="000D0A89"/>
    <w:rsid w:val="000D1389"/>
    <w:rsid w:val="000D1798"/>
    <w:rsid w:val="000D1A2A"/>
    <w:rsid w:val="000D2626"/>
    <w:rsid w:val="000D2B7D"/>
    <w:rsid w:val="000D4A06"/>
    <w:rsid w:val="000D73DD"/>
    <w:rsid w:val="000D7D9B"/>
    <w:rsid w:val="000E02FA"/>
    <w:rsid w:val="000E18E2"/>
    <w:rsid w:val="000E28AB"/>
    <w:rsid w:val="000E28C1"/>
    <w:rsid w:val="000E2E3E"/>
    <w:rsid w:val="000E33C5"/>
    <w:rsid w:val="000E3583"/>
    <w:rsid w:val="000E3AF0"/>
    <w:rsid w:val="000E3D53"/>
    <w:rsid w:val="000E4E04"/>
    <w:rsid w:val="000E684C"/>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D7E"/>
    <w:rsid w:val="00104EDE"/>
    <w:rsid w:val="00105AA1"/>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0990"/>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1C48"/>
    <w:rsid w:val="00152A87"/>
    <w:rsid w:val="00154486"/>
    <w:rsid w:val="00156D0E"/>
    <w:rsid w:val="00156DD9"/>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17F"/>
    <w:rsid w:val="00176CA7"/>
    <w:rsid w:val="001778C5"/>
    <w:rsid w:val="00177E56"/>
    <w:rsid w:val="00177F0A"/>
    <w:rsid w:val="00185617"/>
    <w:rsid w:val="00186ADE"/>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7F6"/>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4287"/>
    <w:rsid w:val="001C4479"/>
    <w:rsid w:val="001C76B7"/>
    <w:rsid w:val="001C76FB"/>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2B9F"/>
    <w:rsid w:val="001E30C0"/>
    <w:rsid w:val="001E4A8D"/>
    <w:rsid w:val="001E5A94"/>
    <w:rsid w:val="001E7648"/>
    <w:rsid w:val="001F127B"/>
    <w:rsid w:val="001F2A2E"/>
    <w:rsid w:val="001F3B72"/>
    <w:rsid w:val="001F3C63"/>
    <w:rsid w:val="001F4460"/>
    <w:rsid w:val="001F5DAF"/>
    <w:rsid w:val="001F637C"/>
    <w:rsid w:val="001F6B6C"/>
    <w:rsid w:val="001F711A"/>
    <w:rsid w:val="001F75B0"/>
    <w:rsid w:val="001F7686"/>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861"/>
    <w:rsid w:val="0022054D"/>
    <w:rsid w:val="002225FA"/>
    <w:rsid w:val="00224DE1"/>
    <w:rsid w:val="002255B2"/>
    <w:rsid w:val="00225664"/>
    <w:rsid w:val="002269DC"/>
    <w:rsid w:val="00227F2D"/>
    <w:rsid w:val="00231851"/>
    <w:rsid w:val="002319FB"/>
    <w:rsid w:val="00231B89"/>
    <w:rsid w:val="00231B8E"/>
    <w:rsid w:val="002355BE"/>
    <w:rsid w:val="00236DE9"/>
    <w:rsid w:val="00237D5A"/>
    <w:rsid w:val="00241300"/>
    <w:rsid w:val="00241D3C"/>
    <w:rsid w:val="002439AB"/>
    <w:rsid w:val="002450D5"/>
    <w:rsid w:val="00245587"/>
    <w:rsid w:val="00245F2B"/>
    <w:rsid w:val="00246F95"/>
    <w:rsid w:val="00247676"/>
    <w:rsid w:val="00247F3A"/>
    <w:rsid w:val="00250122"/>
    <w:rsid w:val="00250755"/>
    <w:rsid w:val="00250AE3"/>
    <w:rsid w:val="00251C4A"/>
    <w:rsid w:val="0025271C"/>
    <w:rsid w:val="00252A91"/>
    <w:rsid w:val="002533CD"/>
    <w:rsid w:val="002544C1"/>
    <w:rsid w:val="00254EAB"/>
    <w:rsid w:val="002557AF"/>
    <w:rsid w:val="00256474"/>
    <w:rsid w:val="002566B1"/>
    <w:rsid w:val="002575E3"/>
    <w:rsid w:val="002603C1"/>
    <w:rsid w:val="002609A1"/>
    <w:rsid w:val="002612B1"/>
    <w:rsid w:val="00266165"/>
    <w:rsid w:val="0026782A"/>
    <w:rsid w:val="0027125E"/>
    <w:rsid w:val="00271767"/>
    <w:rsid w:val="002719C1"/>
    <w:rsid w:val="00272293"/>
    <w:rsid w:val="002723C8"/>
    <w:rsid w:val="00273CBE"/>
    <w:rsid w:val="002802D7"/>
    <w:rsid w:val="0028232C"/>
    <w:rsid w:val="002827F1"/>
    <w:rsid w:val="00282EC3"/>
    <w:rsid w:val="002835B0"/>
    <w:rsid w:val="0028407E"/>
    <w:rsid w:val="0028410F"/>
    <w:rsid w:val="002854BF"/>
    <w:rsid w:val="002856A2"/>
    <w:rsid w:val="00286603"/>
    <w:rsid w:val="00286A98"/>
    <w:rsid w:val="00286FB5"/>
    <w:rsid w:val="00287763"/>
    <w:rsid w:val="00290606"/>
    <w:rsid w:val="00290F9D"/>
    <w:rsid w:val="002918A7"/>
    <w:rsid w:val="00291D6D"/>
    <w:rsid w:val="00291FF1"/>
    <w:rsid w:val="002923F6"/>
    <w:rsid w:val="00293361"/>
    <w:rsid w:val="00294AE8"/>
    <w:rsid w:val="00295287"/>
    <w:rsid w:val="002952B1"/>
    <w:rsid w:val="00295D11"/>
    <w:rsid w:val="00295FA0"/>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7169"/>
    <w:rsid w:val="002C0C1C"/>
    <w:rsid w:val="002C184E"/>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E109C"/>
    <w:rsid w:val="002E115E"/>
    <w:rsid w:val="002E1439"/>
    <w:rsid w:val="002E193E"/>
    <w:rsid w:val="002E1D76"/>
    <w:rsid w:val="002E243C"/>
    <w:rsid w:val="002E26C4"/>
    <w:rsid w:val="002E33E9"/>
    <w:rsid w:val="002E4B37"/>
    <w:rsid w:val="002E4BF9"/>
    <w:rsid w:val="002E6F5B"/>
    <w:rsid w:val="002F16DD"/>
    <w:rsid w:val="002F199D"/>
    <w:rsid w:val="002F23B2"/>
    <w:rsid w:val="002F4084"/>
    <w:rsid w:val="002F4672"/>
    <w:rsid w:val="002F4A08"/>
    <w:rsid w:val="002F4ADB"/>
    <w:rsid w:val="002F531E"/>
    <w:rsid w:val="002F5ACC"/>
    <w:rsid w:val="002F6C2C"/>
    <w:rsid w:val="002F704B"/>
    <w:rsid w:val="002F72C3"/>
    <w:rsid w:val="002F768C"/>
    <w:rsid w:val="002F7D1E"/>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3026"/>
    <w:rsid w:val="00313213"/>
    <w:rsid w:val="0031421F"/>
    <w:rsid w:val="00314B31"/>
    <w:rsid w:val="00314B36"/>
    <w:rsid w:val="00315158"/>
    <w:rsid w:val="00315346"/>
    <w:rsid w:val="00315A65"/>
    <w:rsid w:val="00317BA7"/>
    <w:rsid w:val="00320BE2"/>
    <w:rsid w:val="00321886"/>
    <w:rsid w:val="00321902"/>
    <w:rsid w:val="00323694"/>
    <w:rsid w:val="00324D63"/>
    <w:rsid w:val="003255AF"/>
    <w:rsid w:val="003256EB"/>
    <w:rsid w:val="003259DB"/>
    <w:rsid w:val="00325F20"/>
    <w:rsid w:val="003267F2"/>
    <w:rsid w:val="00331A48"/>
    <w:rsid w:val="003330C9"/>
    <w:rsid w:val="0033364C"/>
    <w:rsid w:val="00334415"/>
    <w:rsid w:val="00335460"/>
    <w:rsid w:val="0033691E"/>
    <w:rsid w:val="00336CCB"/>
    <w:rsid w:val="0033745F"/>
    <w:rsid w:val="00337631"/>
    <w:rsid w:val="00337F44"/>
    <w:rsid w:val="003401AC"/>
    <w:rsid w:val="003411D1"/>
    <w:rsid w:val="003416BA"/>
    <w:rsid w:val="00341BD6"/>
    <w:rsid w:val="00342A8A"/>
    <w:rsid w:val="00342F99"/>
    <w:rsid w:val="00344726"/>
    <w:rsid w:val="003454A4"/>
    <w:rsid w:val="00350E6C"/>
    <w:rsid w:val="003518A6"/>
    <w:rsid w:val="00351E7F"/>
    <w:rsid w:val="00352953"/>
    <w:rsid w:val="00354062"/>
    <w:rsid w:val="003542B0"/>
    <w:rsid w:val="00355C0D"/>
    <w:rsid w:val="003566A9"/>
    <w:rsid w:val="00356988"/>
    <w:rsid w:val="00356B20"/>
    <w:rsid w:val="00357128"/>
    <w:rsid w:val="0035755E"/>
    <w:rsid w:val="00357A80"/>
    <w:rsid w:val="00361B8B"/>
    <w:rsid w:val="00363F39"/>
    <w:rsid w:val="00364AB0"/>
    <w:rsid w:val="00365094"/>
    <w:rsid w:val="003667B0"/>
    <w:rsid w:val="003667DD"/>
    <w:rsid w:val="00366B48"/>
    <w:rsid w:val="00367764"/>
    <w:rsid w:val="00370316"/>
    <w:rsid w:val="00370DC7"/>
    <w:rsid w:val="0037156C"/>
    <w:rsid w:val="00371CBD"/>
    <w:rsid w:val="00373CBE"/>
    <w:rsid w:val="003740CC"/>
    <w:rsid w:val="0037435E"/>
    <w:rsid w:val="00374E79"/>
    <w:rsid w:val="00375388"/>
    <w:rsid w:val="00375EDE"/>
    <w:rsid w:val="00375FB9"/>
    <w:rsid w:val="00376851"/>
    <w:rsid w:val="00376FA2"/>
    <w:rsid w:val="00377A3B"/>
    <w:rsid w:val="00377E3C"/>
    <w:rsid w:val="00380B5C"/>
    <w:rsid w:val="00380BBE"/>
    <w:rsid w:val="00381D70"/>
    <w:rsid w:val="00382128"/>
    <w:rsid w:val="0038235E"/>
    <w:rsid w:val="003829D0"/>
    <w:rsid w:val="00382FBA"/>
    <w:rsid w:val="0038444F"/>
    <w:rsid w:val="00384E83"/>
    <w:rsid w:val="00387051"/>
    <w:rsid w:val="00387ECF"/>
    <w:rsid w:val="0039021B"/>
    <w:rsid w:val="00390429"/>
    <w:rsid w:val="0039327C"/>
    <w:rsid w:val="003933A2"/>
    <w:rsid w:val="0039366C"/>
    <w:rsid w:val="003938F3"/>
    <w:rsid w:val="00393EC8"/>
    <w:rsid w:val="00395E42"/>
    <w:rsid w:val="00396052"/>
    <w:rsid w:val="00396A2D"/>
    <w:rsid w:val="00396FC3"/>
    <w:rsid w:val="003A1912"/>
    <w:rsid w:val="003A1A94"/>
    <w:rsid w:val="003A204E"/>
    <w:rsid w:val="003A2D25"/>
    <w:rsid w:val="003A4DDB"/>
    <w:rsid w:val="003A60E7"/>
    <w:rsid w:val="003B07DF"/>
    <w:rsid w:val="003B0B6A"/>
    <w:rsid w:val="003B0F79"/>
    <w:rsid w:val="003B29CF"/>
    <w:rsid w:val="003B54DF"/>
    <w:rsid w:val="003B6659"/>
    <w:rsid w:val="003B7733"/>
    <w:rsid w:val="003C0166"/>
    <w:rsid w:val="003C21AA"/>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85E"/>
    <w:rsid w:val="003E3300"/>
    <w:rsid w:val="003E5B89"/>
    <w:rsid w:val="003E6340"/>
    <w:rsid w:val="003E65AC"/>
    <w:rsid w:val="003E6E24"/>
    <w:rsid w:val="003E72B9"/>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2332"/>
    <w:rsid w:val="004025C2"/>
    <w:rsid w:val="00403E55"/>
    <w:rsid w:val="00404532"/>
    <w:rsid w:val="00404681"/>
    <w:rsid w:val="0040496D"/>
    <w:rsid w:val="00405010"/>
    <w:rsid w:val="0040595A"/>
    <w:rsid w:val="00406923"/>
    <w:rsid w:val="0040713A"/>
    <w:rsid w:val="0040763D"/>
    <w:rsid w:val="004105B0"/>
    <w:rsid w:val="00410EC5"/>
    <w:rsid w:val="00411B1F"/>
    <w:rsid w:val="004133A8"/>
    <w:rsid w:val="00413821"/>
    <w:rsid w:val="00413D43"/>
    <w:rsid w:val="004141A3"/>
    <w:rsid w:val="00414909"/>
    <w:rsid w:val="00415E66"/>
    <w:rsid w:val="00416112"/>
    <w:rsid w:val="00416DF0"/>
    <w:rsid w:val="00417AE0"/>
    <w:rsid w:val="00417BAA"/>
    <w:rsid w:val="00420BA9"/>
    <w:rsid w:val="00420D7A"/>
    <w:rsid w:val="00420D9E"/>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78EB"/>
    <w:rsid w:val="00460303"/>
    <w:rsid w:val="00460697"/>
    <w:rsid w:val="00462593"/>
    <w:rsid w:val="00465EEF"/>
    <w:rsid w:val="00466D03"/>
    <w:rsid w:val="00466DF6"/>
    <w:rsid w:val="0046711B"/>
    <w:rsid w:val="00467312"/>
    <w:rsid w:val="00471156"/>
    <w:rsid w:val="00472429"/>
    <w:rsid w:val="004725E5"/>
    <w:rsid w:val="004726FE"/>
    <w:rsid w:val="00472751"/>
    <w:rsid w:val="00473128"/>
    <w:rsid w:val="0047470A"/>
    <w:rsid w:val="00475078"/>
    <w:rsid w:val="00475226"/>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3F3A"/>
    <w:rsid w:val="004B4779"/>
    <w:rsid w:val="004B4922"/>
    <w:rsid w:val="004B57DF"/>
    <w:rsid w:val="004C03A0"/>
    <w:rsid w:val="004C2138"/>
    <w:rsid w:val="004C2ED0"/>
    <w:rsid w:val="004C32D4"/>
    <w:rsid w:val="004C3940"/>
    <w:rsid w:val="004C51FD"/>
    <w:rsid w:val="004C65A8"/>
    <w:rsid w:val="004C786C"/>
    <w:rsid w:val="004C7963"/>
    <w:rsid w:val="004D2314"/>
    <w:rsid w:val="004D2F63"/>
    <w:rsid w:val="004D35BA"/>
    <w:rsid w:val="004D4701"/>
    <w:rsid w:val="004D47C7"/>
    <w:rsid w:val="004D618D"/>
    <w:rsid w:val="004D6202"/>
    <w:rsid w:val="004D62A9"/>
    <w:rsid w:val="004D6FC3"/>
    <w:rsid w:val="004D7476"/>
    <w:rsid w:val="004E0306"/>
    <w:rsid w:val="004E0572"/>
    <w:rsid w:val="004E0BB5"/>
    <w:rsid w:val="004E25A8"/>
    <w:rsid w:val="004E2AA0"/>
    <w:rsid w:val="004E3930"/>
    <w:rsid w:val="004E3ED9"/>
    <w:rsid w:val="004E5866"/>
    <w:rsid w:val="004E6097"/>
    <w:rsid w:val="004E61EF"/>
    <w:rsid w:val="004E6772"/>
    <w:rsid w:val="004E76A7"/>
    <w:rsid w:val="004E7736"/>
    <w:rsid w:val="004E7B03"/>
    <w:rsid w:val="004F0064"/>
    <w:rsid w:val="004F06AC"/>
    <w:rsid w:val="004F1AE6"/>
    <w:rsid w:val="004F243F"/>
    <w:rsid w:val="004F3E0C"/>
    <w:rsid w:val="004F6929"/>
    <w:rsid w:val="004F6A2D"/>
    <w:rsid w:val="004F7160"/>
    <w:rsid w:val="00500258"/>
    <w:rsid w:val="0050175E"/>
    <w:rsid w:val="00501A99"/>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0102"/>
    <w:rsid w:val="00560DB5"/>
    <w:rsid w:val="00562149"/>
    <w:rsid w:val="005630D8"/>
    <w:rsid w:val="00563FFD"/>
    <w:rsid w:val="00565855"/>
    <w:rsid w:val="005677CE"/>
    <w:rsid w:val="00567B5D"/>
    <w:rsid w:val="00570445"/>
    <w:rsid w:val="00572E9A"/>
    <w:rsid w:val="00573733"/>
    <w:rsid w:val="00574554"/>
    <w:rsid w:val="00576089"/>
    <w:rsid w:val="005764B1"/>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0FA"/>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341"/>
    <w:rsid w:val="005A46EC"/>
    <w:rsid w:val="005A4847"/>
    <w:rsid w:val="005A494F"/>
    <w:rsid w:val="005B0160"/>
    <w:rsid w:val="005B0185"/>
    <w:rsid w:val="005B07EC"/>
    <w:rsid w:val="005B09D8"/>
    <w:rsid w:val="005B24F3"/>
    <w:rsid w:val="005B2B11"/>
    <w:rsid w:val="005B2E00"/>
    <w:rsid w:val="005B370E"/>
    <w:rsid w:val="005B4DA3"/>
    <w:rsid w:val="005B5B71"/>
    <w:rsid w:val="005B5BEE"/>
    <w:rsid w:val="005B7784"/>
    <w:rsid w:val="005B77D2"/>
    <w:rsid w:val="005C019B"/>
    <w:rsid w:val="005C144E"/>
    <w:rsid w:val="005C1625"/>
    <w:rsid w:val="005C30F5"/>
    <w:rsid w:val="005C357E"/>
    <w:rsid w:val="005C51A5"/>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3C58"/>
    <w:rsid w:val="006148C7"/>
    <w:rsid w:val="00614E91"/>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7774"/>
    <w:rsid w:val="0064024C"/>
    <w:rsid w:val="00640291"/>
    <w:rsid w:val="00641FAC"/>
    <w:rsid w:val="006432A5"/>
    <w:rsid w:val="00643664"/>
    <w:rsid w:val="00643CAA"/>
    <w:rsid w:val="0064448B"/>
    <w:rsid w:val="00652137"/>
    <w:rsid w:val="00652680"/>
    <w:rsid w:val="00652A09"/>
    <w:rsid w:val="006530A1"/>
    <w:rsid w:val="00653CDE"/>
    <w:rsid w:val="006540B4"/>
    <w:rsid w:val="0065636A"/>
    <w:rsid w:val="00656C3C"/>
    <w:rsid w:val="00657003"/>
    <w:rsid w:val="00657126"/>
    <w:rsid w:val="006572C1"/>
    <w:rsid w:val="00660238"/>
    <w:rsid w:val="006602EF"/>
    <w:rsid w:val="00661277"/>
    <w:rsid w:val="006616FE"/>
    <w:rsid w:val="006619D1"/>
    <w:rsid w:val="00663FEA"/>
    <w:rsid w:val="00664253"/>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E78"/>
    <w:rsid w:val="00682F28"/>
    <w:rsid w:val="00684842"/>
    <w:rsid w:val="00685BD6"/>
    <w:rsid w:val="006878A6"/>
    <w:rsid w:val="00690437"/>
    <w:rsid w:val="00690E65"/>
    <w:rsid w:val="0069188E"/>
    <w:rsid w:val="00691974"/>
    <w:rsid w:val="00691A3F"/>
    <w:rsid w:val="0069226B"/>
    <w:rsid w:val="00692CE6"/>
    <w:rsid w:val="00693B6C"/>
    <w:rsid w:val="006942AE"/>
    <w:rsid w:val="0069483C"/>
    <w:rsid w:val="00695421"/>
    <w:rsid w:val="00695AE4"/>
    <w:rsid w:val="00696D4B"/>
    <w:rsid w:val="00697BD3"/>
    <w:rsid w:val="00697DFA"/>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32F4"/>
    <w:rsid w:val="006C3382"/>
    <w:rsid w:val="006C3C54"/>
    <w:rsid w:val="006C40F4"/>
    <w:rsid w:val="006C427B"/>
    <w:rsid w:val="006C4F9F"/>
    <w:rsid w:val="006C61AB"/>
    <w:rsid w:val="006C650D"/>
    <w:rsid w:val="006C748D"/>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582"/>
    <w:rsid w:val="006F3DE3"/>
    <w:rsid w:val="006F511F"/>
    <w:rsid w:val="006F61D8"/>
    <w:rsid w:val="006F62B7"/>
    <w:rsid w:val="006F70BC"/>
    <w:rsid w:val="006F713A"/>
    <w:rsid w:val="006F76BF"/>
    <w:rsid w:val="00701112"/>
    <w:rsid w:val="00705161"/>
    <w:rsid w:val="007066A4"/>
    <w:rsid w:val="00706F37"/>
    <w:rsid w:val="00707D09"/>
    <w:rsid w:val="0071209F"/>
    <w:rsid w:val="007125A2"/>
    <w:rsid w:val="00713F79"/>
    <w:rsid w:val="007148A8"/>
    <w:rsid w:val="00715C48"/>
    <w:rsid w:val="007171E0"/>
    <w:rsid w:val="00717C40"/>
    <w:rsid w:val="0072033C"/>
    <w:rsid w:val="00720B1B"/>
    <w:rsid w:val="00721062"/>
    <w:rsid w:val="00721E5D"/>
    <w:rsid w:val="007229D4"/>
    <w:rsid w:val="007230F8"/>
    <w:rsid w:val="007233F4"/>
    <w:rsid w:val="00723646"/>
    <w:rsid w:val="00724044"/>
    <w:rsid w:val="007244E1"/>
    <w:rsid w:val="007248D3"/>
    <w:rsid w:val="00725137"/>
    <w:rsid w:val="007263ED"/>
    <w:rsid w:val="00727A43"/>
    <w:rsid w:val="00727FF2"/>
    <w:rsid w:val="007323E0"/>
    <w:rsid w:val="00733791"/>
    <w:rsid w:val="00733857"/>
    <w:rsid w:val="00733DE2"/>
    <w:rsid w:val="007346E7"/>
    <w:rsid w:val="007352EA"/>
    <w:rsid w:val="007364E5"/>
    <w:rsid w:val="0073792F"/>
    <w:rsid w:val="00740DA6"/>
    <w:rsid w:val="00741A0E"/>
    <w:rsid w:val="00741D1E"/>
    <w:rsid w:val="00741EE2"/>
    <w:rsid w:val="00742367"/>
    <w:rsid w:val="00742EAA"/>
    <w:rsid w:val="00743818"/>
    <w:rsid w:val="007439E2"/>
    <w:rsid w:val="00743E9C"/>
    <w:rsid w:val="007441FB"/>
    <w:rsid w:val="00744517"/>
    <w:rsid w:val="00744810"/>
    <w:rsid w:val="00747079"/>
    <w:rsid w:val="007476CA"/>
    <w:rsid w:val="00747DE2"/>
    <w:rsid w:val="007504BF"/>
    <w:rsid w:val="007506CD"/>
    <w:rsid w:val="0075267F"/>
    <w:rsid w:val="007526EC"/>
    <w:rsid w:val="0075310C"/>
    <w:rsid w:val="00753347"/>
    <w:rsid w:val="00753C48"/>
    <w:rsid w:val="007545C1"/>
    <w:rsid w:val="00754C97"/>
    <w:rsid w:val="00754FE4"/>
    <w:rsid w:val="00755538"/>
    <w:rsid w:val="00756236"/>
    <w:rsid w:val="00756271"/>
    <w:rsid w:val="00756521"/>
    <w:rsid w:val="00756AB7"/>
    <w:rsid w:val="00757BCC"/>
    <w:rsid w:val="00760477"/>
    <w:rsid w:val="00761AF4"/>
    <w:rsid w:val="00762071"/>
    <w:rsid w:val="007623FB"/>
    <w:rsid w:val="0076376A"/>
    <w:rsid w:val="007646B9"/>
    <w:rsid w:val="0076500F"/>
    <w:rsid w:val="0076504E"/>
    <w:rsid w:val="00765D24"/>
    <w:rsid w:val="00765E6A"/>
    <w:rsid w:val="007664E0"/>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65F"/>
    <w:rsid w:val="00791E6D"/>
    <w:rsid w:val="007928DC"/>
    <w:rsid w:val="00792E53"/>
    <w:rsid w:val="007933DF"/>
    <w:rsid w:val="007939CC"/>
    <w:rsid w:val="00796FB8"/>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6423"/>
    <w:rsid w:val="007B7490"/>
    <w:rsid w:val="007B774A"/>
    <w:rsid w:val="007C0525"/>
    <w:rsid w:val="007C0B56"/>
    <w:rsid w:val="007C13F7"/>
    <w:rsid w:val="007C218D"/>
    <w:rsid w:val="007C2D28"/>
    <w:rsid w:val="007C3E22"/>
    <w:rsid w:val="007C67C6"/>
    <w:rsid w:val="007C707A"/>
    <w:rsid w:val="007C7E59"/>
    <w:rsid w:val="007D0B91"/>
    <w:rsid w:val="007D1452"/>
    <w:rsid w:val="007D1E29"/>
    <w:rsid w:val="007D460C"/>
    <w:rsid w:val="007D4AD3"/>
    <w:rsid w:val="007D4C8D"/>
    <w:rsid w:val="007D5AA9"/>
    <w:rsid w:val="007D5D19"/>
    <w:rsid w:val="007D5FDC"/>
    <w:rsid w:val="007D6D68"/>
    <w:rsid w:val="007E01DA"/>
    <w:rsid w:val="007E1603"/>
    <w:rsid w:val="007E2E85"/>
    <w:rsid w:val="007E32DA"/>
    <w:rsid w:val="007E3FFB"/>
    <w:rsid w:val="007E4998"/>
    <w:rsid w:val="007E4A9C"/>
    <w:rsid w:val="007E6914"/>
    <w:rsid w:val="007E7F78"/>
    <w:rsid w:val="007F0C8B"/>
    <w:rsid w:val="007F1517"/>
    <w:rsid w:val="007F1D44"/>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E8E"/>
    <w:rsid w:val="0081142D"/>
    <w:rsid w:val="00812462"/>
    <w:rsid w:val="008126E2"/>
    <w:rsid w:val="0081481D"/>
    <w:rsid w:val="00814BE8"/>
    <w:rsid w:val="00814F6E"/>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6075"/>
    <w:rsid w:val="00836417"/>
    <w:rsid w:val="00837CA6"/>
    <w:rsid w:val="008411F9"/>
    <w:rsid w:val="008413AB"/>
    <w:rsid w:val="00842D10"/>
    <w:rsid w:val="0084322B"/>
    <w:rsid w:val="00843B93"/>
    <w:rsid w:val="00843F81"/>
    <w:rsid w:val="00844087"/>
    <w:rsid w:val="0084519E"/>
    <w:rsid w:val="00846370"/>
    <w:rsid w:val="00847C2B"/>
    <w:rsid w:val="00851A7C"/>
    <w:rsid w:val="0085270D"/>
    <w:rsid w:val="008532BF"/>
    <w:rsid w:val="00853BF4"/>
    <w:rsid w:val="00854294"/>
    <w:rsid w:val="008555FB"/>
    <w:rsid w:val="0085788B"/>
    <w:rsid w:val="00857941"/>
    <w:rsid w:val="00857A9E"/>
    <w:rsid w:val="00857DE2"/>
    <w:rsid w:val="00863E7D"/>
    <w:rsid w:val="0086407F"/>
    <w:rsid w:val="00864E79"/>
    <w:rsid w:val="00866111"/>
    <w:rsid w:val="0086661F"/>
    <w:rsid w:val="00866A0D"/>
    <w:rsid w:val="00866DB5"/>
    <w:rsid w:val="0086784E"/>
    <w:rsid w:val="00867AF1"/>
    <w:rsid w:val="008720B3"/>
    <w:rsid w:val="00872118"/>
    <w:rsid w:val="00872827"/>
    <w:rsid w:val="00872A32"/>
    <w:rsid w:val="00874ECA"/>
    <w:rsid w:val="00876EAE"/>
    <w:rsid w:val="00880386"/>
    <w:rsid w:val="00880F95"/>
    <w:rsid w:val="00882B44"/>
    <w:rsid w:val="00882FE5"/>
    <w:rsid w:val="00886138"/>
    <w:rsid w:val="00886E66"/>
    <w:rsid w:val="008871B0"/>
    <w:rsid w:val="008912F5"/>
    <w:rsid w:val="0089217C"/>
    <w:rsid w:val="008928A1"/>
    <w:rsid w:val="00893671"/>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AFE"/>
    <w:rsid w:val="008B7034"/>
    <w:rsid w:val="008B7227"/>
    <w:rsid w:val="008C191C"/>
    <w:rsid w:val="008C1DA4"/>
    <w:rsid w:val="008C2CD5"/>
    <w:rsid w:val="008C2E29"/>
    <w:rsid w:val="008C32B7"/>
    <w:rsid w:val="008C3618"/>
    <w:rsid w:val="008C3F20"/>
    <w:rsid w:val="008C43AD"/>
    <w:rsid w:val="008C59FB"/>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566C"/>
    <w:rsid w:val="008D58D9"/>
    <w:rsid w:val="008D66EA"/>
    <w:rsid w:val="008D6E59"/>
    <w:rsid w:val="008D7155"/>
    <w:rsid w:val="008D7DE4"/>
    <w:rsid w:val="008E09B3"/>
    <w:rsid w:val="008E141A"/>
    <w:rsid w:val="008E1A44"/>
    <w:rsid w:val="008E28E6"/>
    <w:rsid w:val="008E2B60"/>
    <w:rsid w:val="008E3232"/>
    <w:rsid w:val="008E3674"/>
    <w:rsid w:val="008E3B6C"/>
    <w:rsid w:val="008E688C"/>
    <w:rsid w:val="008E68BB"/>
    <w:rsid w:val="008E6C9B"/>
    <w:rsid w:val="008E77D4"/>
    <w:rsid w:val="008F0981"/>
    <w:rsid w:val="008F0AFD"/>
    <w:rsid w:val="008F0FF3"/>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2838"/>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065F"/>
    <w:rsid w:val="009313DD"/>
    <w:rsid w:val="00931BDE"/>
    <w:rsid w:val="009321B1"/>
    <w:rsid w:val="00932ED7"/>
    <w:rsid w:val="0093357E"/>
    <w:rsid w:val="0093422D"/>
    <w:rsid w:val="00934DD7"/>
    <w:rsid w:val="009369A9"/>
    <w:rsid w:val="00936CF7"/>
    <w:rsid w:val="00937201"/>
    <w:rsid w:val="0093734A"/>
    <w:rsid w:val="00937783"/>
    <w:rsid w:val="00937D89"/>
    <w:rsid w:val="00940FE1"/>
    <w:rsid w:val="00942306"/>
    <w:rsid w:val="009424B8"/>
    <w:rsid w:val="009433A4"/>
    <w:rsid w:val="00943D88"/>
    <w:rsid w:val="0094435B"/>
    <w:rsid w:val="00944668"/>
    <w:rsid w:val="00944DC6"/>
    <w:rsid w:val="0094537D"/>
    <w:rsid w:val="0094573F"/>
    <w:rsid w:val="009458B0"/>
    <w:rsid w:val="00945B52"/>
    <w:rsid w:val="00945DC0"/>
    <w:rsid w:val="00945F05"/>
    <w:rsid w:val="00946348"/>
    <w:rsid w:val="009471AD"/>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EB1"/>
    <w:rsid w:val="00966522"/>
    <w:rsid w:val="00967D3F"/>
    <w:rsid w:val="00967E78"/>
    <w:rsid w:val="00970D7E"/>
    <w:rsid w:val="00970F18"/>
    <w:rsid w:val="00971CF1"/>
    <w:rsid w:val="009721E9"/>
    <w:rsid w:val="00972A58"/>
    <w:rsid w:val="00973772"/>
    <w:rsid w:val="0097451E"/>
    <w:rsid w:val="00975E1E"/>
    <w:rsid w:val="00975E70"/>
    <w:rsid w:val="00977CD6"/>
    <w:rsid w:val="00982481"/>
    <w:rsid w:val="00982D26"/>
    <w:rsid w:val="0098330E"/>
    <w:rsid w:val="009849E9"/>
    <w:rsid w:val="0098606E"/>
    <w:rsid w:val="00987812"/>
    <w:rsid w:val="00990225"/>
    <w:rsid w:val="0099244B"/>
    <w:rsid w:val="009947B6"/>
    <w:rsid w:val="00995150"/>
    <w:rsid w:val="009957F3"/>
    <w:rsid w:val="00995D67"/>
    <w:rsid w:val="009970BF"/>
    <w:rsid w:val="009A013B"/>
    <w:rsid w:val="009A02F4"/>
    <w:rsid w:val="009A1F12"/>
    <w:rsid w:val="009A2494"/>
    <w:rsid w:val="009A26CA"/>
    <w:rsid w:val="009A36F2"/>
    <w:rsid w:val="009A5749"/>
    <w:rsid w:val="009A57D0"/>
    <w:rsid w:val="009A6559"/>
    <w:rsid w:val="009A68FC"/>
    <w:rsid w:val="009A7514"/>
    <w:rsid w:val="009A7E7A"/>
    <w:rsid w:val="009B0568"/>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547"/>
    <w:rsid w:val="009D1678"/>
    <w:rsid w:val="009D1693"/>
    <w:rsid w:val="009D1C49"/>
    <w:rsid w:val="009D2721"/>
    <w:rsid w:val="009D2F60"/>
    <w:rsid w:val="009D338C"/>
    <w:rsid w:val="009D3D0D"/>
    <w:rsid w:val="009D5BAC"/>
    <w:rsid w:val="009D64BD"/>
    <w:rsid w:val="009D7B2F"/>
    <w:rsid w:val="009D7B6C"/>
    <w:rsid w:val="009D7F83"/>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17A5"/>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8D2"/>
    <w:rsid w:val="00A47ECC"/>
    <w:rsid w:val="00A5008C"/>
    <w:rsid w:val="00A50171"/>
    <w:rsid w:val="00A5102E"/>
    <w:rsid w:val="00A51083"/>
    <w:rsid w:val="00A5132E"/>
    <w:rsid w:val="00A51533"/>
    <w:rsid w:val="00A51E68"/>
    <w:rsid w:val="00A52F3B"/>
    <w:rsid w:val="00A531D4"/>
    <w:rsid w:val="00A55ACD"/>
    <w:rsid w:val="00A55CFA"/>
    <w:rsid w:val="00A575B8"/>
    <w:rsid w:val="00A61E3B"/>
    <w:rsid w:val="00A647B1"/>
    <w:rsid w:val="00A64DEF"/>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BC9"/>
    <w:rsid w:val="00A7756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5A4"/>
    <w:rsid w:val="00A977B3"/>
    <w:rsid w:val="00A97DC8"/>
    <w:rsid w:val="00AA2001"/>
    <w:rsid w:val="00AA2B5C"/>
    <w:rsid w:val="00AA4E59"/>
    <w:rsid w:val="00AA5328"/>
    <w:rsid w:val="00AA5393"/>
    <w:rsid w:val="00AA63D4"/>
    <w:rsid w:val="00AA6767"/>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122"/>
    <w:rsid w:val="00AC531F"/>
    <w:rsid w:val="00AC6121"/>
    <w:rsid w:val="00AC626D"/>
    <w:rsid w:val="00AC6CB1"/>
    <w:rsid w:val="00AC79DA"/>
    <w:rsid w:val="00AD0091"/>
    <w:rsid w:val="00AD23D8"/>
    <w:rsid w:val="00AD23EF"/>
    <w:rsid w:val="00AD307B"/>
    <w:rsid w:val="00AD31F9"/>
    <w:rsid w:val="00AD41B3"/>
    <w:rsid w:val="00AD4B31"/>
    <w:rsid w:val="00AD4C48"/>
    <w:rsid w:val="00AD57AF"/>
    <w:rsid w:val="00AD6267"/>
    <w:rsid w:val="00AD7317"/>
    <w:rsid w:val="00AE01A8"/>
    <w:rsid w:val="00AE069F"/>
    <w:rsid w:val="00AE0CBD"/>
    <w:rsid w:val="00AE123A"/>
    <w:rsid w:val="00AE28A7"/>
    <w:rsid w:val="00AE33A6"/>
    <w:rsid w:val="00AE3715"/>
    <w:rsid w:val="00AE3729"/>
    <w:rsid w:val="00AE55B2"/>
    <w:rsid w:val="00AE5C6A"/>
    <w:rsid w:val="00AE65F7"/>
    <w:rsid w:val="00AE7280"/>
    <w:rsid w:val="00AF033A"/>
    <w:rsid w:val="00AF1699"/>
    <w:rsid w:val="00AF3896"/>
    <w:rsid w:val="00AF3CEE"/>
    <w:rsid w:val="00AF6C33"/>
    <w:rsid w:val="00B0098A"/>
    <w:rsid w:val="00B00A5F"/>
    <w:rsid w:val="00B0225F"/>
    <w:rsid w:val="00B029B8"/>
    <w:rsid w:val="00B02F60"/>
    <w:rsid w:val="00B032B8"/>
    <w:rsid w:val="00B04B46"/>
    <w:rsid w:val="00B05050"/>
    <w:rsid w:val="00B0534D"/>
    <w:rsid w:val="00B06368"/>
    <w:rsid w:val="00B06FC6"/>
    <w:rsid w:val="00B07163"/>
    <w:rsid w:val="00B07429"/>
    <w:rsid w:val="00B10DDF"/>
    <w:rsid w:val="00B12105"/>
    <w:rsid w:val="00B12FE6"/>
    <w:rsid w:val="00B1303F"/>
    <w:rsid w:val="00B1364A"/>
    <w:rsid w:val="00B13D3C"/>
    <w:rsid w:val="00B1525C"/>
    <w:rsid w:val="00B16715"/>
    <w:rsid w:val="00B17910"/>
    <w:rsid w:val="00B20F18"/>
    <w:rsid w:val="00B21516"/>
    <w:rsid w:val="00B22CE0"/>
    <w:rsid w:val="00B23738"/>
    <w:rsid w:val="00B23BEF"/>
    <w:rsid w:val="00B247BB"/>
    <w:rsid w:val="00B25C11"/>
    <w:rsid w:val="00B25EDF"/>
    <w:rsid w:val="00B25EE6"/>
    <w:rsid w:val="00B26A39"/>
    <w:rsid w:val="00B27BC0"/>
    <w:rsid w:val="00B3115A"/>
    <w:rsid w:val="00B31A5C"/>
    <w:rsid w:val="00B33C19"/>
    <w:rsid w:val="00B34861"/>
    <w:rsid w:val="00B363BD"/>
    <w:rsid w:val="00B369F7"/>
    <w:rsid w:val="00B36A99"/>
    <w:rsid w:val="00B37537"/>
    <w:rsid w:val="00B41B81"/>
    <w:rsid w:val="00B42980"/>
    <w:rsid w:val="00B434B2"/>
    <w:rsid w:val="00B434C7"/>
    <w:rsid w:val="00B43D45"/>
    <w:rsid w:val="00B44771"/>
    <w:rsid w:val="00B4650E"/>
    <w:rsid w:val="00B468F2"/>
    <w:rsid w:val="00B46B45"/>
    <w:rsid w:val="00B46D3D"/>
    <w:rsid w:val="00B46F6B"/>
    <w:rsid w:val="00B47286"/>
    <w:rsid w:val="00B47894"/>
    <w:rsid w:val="00B50234"/>
    <w:rsid w:val="00B50350"/>
    <w:rsid w:val="00B51BF4"/>
    <w:rsid w:val="00B52C68"/>
    <w:rsid w:val="00B542FE"/>
    <w:rsid w:val="00B55A1B"/>
    <w:rsid w:val="00B561DB"/>
    <w:rsid w:val="00B57494"/>
    <w:rsid w:val="00B61DCE"/>
    <w:rsid w:val="00B62188"/>
    <w:rsid w:val="00B62467"/>
    <w:rsid w:val="00B62F79"/>
    <w:rsid w:val="00B62F82"/>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4662"/>
    <w:rsid w:val="00B85402"/>
    <w:rsid w:val="00B864A3"/>
    <w:rsid w:val="00B86C2A"/>
    <w:rsid w:val="00B877F1"/>
    <w:rsid w:val="00B902A5"/>
    <w:rsid w:val="00B90420"/>
    <w:rsid w:val="00B913E4"/>
    <w:rsid w:val="00B91DB9"/>
    <w:rsid w:val="00B93EFE"/>
    <w:rsid w:val="00B94956"/>
    <w:rsid w:val="00B94C7F"/>
    <w:rsid w:val="00B956B5"/>
    <w:rsid w:val="00B95C3A"/>
    <w:rsid w:val="00B95FCE"/>
    <w:rsid w:val="00BA0D44"/>
    <w:rsid w:val="00BA0E26"/>
    <w:rsid w:val="00BA31BF"/>
    <w:rsid w:val="00BA43FC"/>
    <w:rsid w:val="00BA478B"/>
    <w:rsid w:val="00BA5224"/>
    <w:rsid w:val="00BA7B27"/>
    <w:rsid w:val="00BA7E3B"/>
    <w:rsid w:val="00BB079C"/>
    <w:rsid w:val="00BB2B56"/>
    <w:rsid w:val="00BB39C1"/>
    <w:rsid w:val="00BB5D16"/>
    <w:rsid w:val="00BB6180"/>
    <w:rsid w:val="00BB69E6"/>
    <w:rsid w:val="00BB7D2A"/>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DF3"/>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37C6"/>
    <w:rsid w:val="00C0508D"/>
    <w:rsid w:val="00C058AF"/>
    <w:rsid w:val="00C11AAA"/>
    <w:rsid w:val="00C124C1"/>
    <w:rsid w:val="00C128AE"/>
    <w:rsid w:val="00C136D6"/>
    <w:rsid w:val="00C13D5B"/>
    <w:rsid w:val="00C14381"/>
    <w:rsid w:val="00C16047"/>
    <w:rsid w:val="00C17AE2"/>
    <w:rsid w:val="00C20F27"/>
    <w:rsid w:val="00C215CF"/>
    <w:rsid w:val="00C2244B"/>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C3C"/>
    <w:rsid w:val="00C360B3"/>
    <w:rsid w:val="00C3679B"/>
    <w:rsid w:val="00C37027"/>
    <w:rsid w:val="00C3778D"/>
    <w:rsid w:val="00C405A3"/>
    <w:rsid w:val="00C42752"/>
    <w:rsid w:val="00C42973"/>
    <w:rsid w:val="00C44F9C"/>
    <w:rsid w:val="00C4730E"/>
    <w:rsid w:val="00C5019C"/>
    <w:rsid w:val="00C5034F"/>
    <w:rsid w:val="00C52479"/>
    <w:rsid w:val="00C5291F"/>
    <w:rsid w:val="00C52C59"/>
    <w:rsid w:val="00C5349E"/>
    <w:rsid w:val="00C5354B"/>
    <w:rsid w:val="00C54467"/>
    <w:rsid w:val="00C54D3D"/>
    <w:rsid w:val="00C55116"/>
    <w:rsid w:val="00C55A30"/>
    <w:rsid w:val="00C57C58"/>
    <w:rsid w:val="00C6028F"/>
    <w:rsid w:val="00C608F1"/>
    <w:rsid w:val="00C631E1"/>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8FE"/>
    <w:rsid w:val="00CA0FAC"/>
    <w:rsid w:val="00CA25C0"/>
    <w:rsid w:val="00CA3451"/>
    <w:rsid w:val="00CA4948"/>
    <w:rsid w:val="00CA52F9"/>
    <w:rsid w:val="00CA568B"/>
    <w:rsid w:val="00CA7500"/>
    <w:rsid w:val="00CB1239"/>
    <w:rsid w:val="00CB178B"/>
    <w:rsid w:val="00CB19FE"/>
    <w:rsid w:val="00CB23C2"/>
    <w:rsid w:val="00CB304C"/>
    <w:rsid w:val="00CB53E8"/>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55F9"/>
    <w:rsid w:val="00CF71A6"/>
    <w:rsid w:val="00CF7495"/>
    <w:rsid w:val="00CF7671"/>
    <w:rsid w:val="00CF7857"/>
    <w:rsid w:val="00D01CF9"/>
    <w:rsid w:val="00D02387"/>
    <w:rsid w:val="00D0334D"/>
    <w:rsid w:val="00D0374D"/>
    <w:rsid w:val="00D05A76"/>
    <w:rsid w:val="00D07F1D"/>
    <w:rsid w:val="00D10558"/>
    <w:rsid w:val="00D1203E"/>
    <w:rsid w:val="00D13E70"/>
    <w:rsid w:val="00D16C58"/>
    <w:rsid w:val="00D17019"/>
    <w:rsid w:val="00D170C1"/>
    <w:rsid w:val="00D21168"/>
    <w:rsid w:val="00D235C8"/>
    <w:rsid w:val="00D2438C"/>
    <w:rsid w:val="00D25DFA"/>
    <w:rsid w:val="00D26C3F"/>
    <w:rsid w:val="00D27185"/>
    <w:rsid w:val="00D27C40"/>
    <w:rsid w:val="00D32B84"/>
    <w:rsid w:val="00D337AE"/>
    <w:rsid w:val="00D33AB3"/>
    <w:rsid w:val="00D33F24"/>
    <w:rsid w:val="00D346B7"/>
    <w:rsid w:val="00D346B8"/>
    <w:rsid w:val="00D35AC8"/>
    <w:rsid w:val="00D35D34"/>
    <w:rsid w:val="00D36F87"/>
    <w:rsid w:val="00D37E4E"/>
    <w:rsid w:val="00D41F10"/>
    <w:rsid w:val="00D42E6C"/>
    <w:rsid w:val="00D43218"/>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138D"/>
    <w:rsid w:val="00D72A1C"/>
    <w:rsid w:val="00D73580"/>
    <w:rsid w:val="00D73802"/>
    <w:rsid w:val="00D73868"/>
    <w:rsid w:val="00D73C2C"/>
    <w:rsid w:val="00D73D52"/>
    <w:rsid w:val="00D745E7"/>
    <w:rsid w:val="00D77495"/>
    <w:rsid w:val="00D774ED"/>
    <w:rsid w:val="00D777F6"/>
    <w:rsid w:val="00D77F88"/>
    <w:rsid w:val="00D8044C"/>
    <w:rsid w:val="00D81EAA"/>
    <w:rsid w:val="00D8259F"/>
    <w:rsid w:val="00D825F2"/>
    <w:rsid w:val="00D828B1"/>
    <w:rsid w:val="00D84F27"/>
    <w:rsid w:val="00D850D4"/>
    <w:rsid w:val="00D862D1"/>
    <w:rsid w:val="00D873C6"/>
    <w:rsid w:val="00D91027"/>
    <w:rsid w:val="00D937E0"/>
    <w:rsid w:val="00D94C7D"/>
    <w:rsid w:val="00D94CA4"/>
    <w:rsid w:val="00D94FB4"/>
    <w:rsid w:val="00D95E99"/>
    <w:rsid w:val="00DA098C"/>
    <w:rsid w:val="00DA1A3A"/>
    <w:rsid w:val="00DA2C65"/>
    <w:rsid w:val="00DA395D"/>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D132B"/>
    <w:rsid w:val="00DD1725"/>
    <w:rsid w:val="00DD21B9"/>
    <w:rsid w:val="00DD2427"/>
    <w:rsid w:val="00DD2A18"/>
    <w:rsid w:val="00DD5AB3"/>
    <w:rsid w:val="00DD5B1A"/>
    <w:rsid w:val="00DD61E8"/>
    <w:rsid w:val="00DD62C0"/>
    <w:rsid w:val="00DD7859"/>
    <w:rsid w:val="00DE03AC"/>
    <w:rsid w:val="00DE0A1D"/>
    <w:rsid w:val="00DE15B2"/>
    <w:rsid w:val="00DE1A9A"/>
    <w:rsid w:val="00DE3D2C"/>
    <w:rsid w:val="00DE43D0"/>
    <w:rsid w:val="00DE5E82"/>
    <w:rsid w:val="00DE5FA6"/>
    <w:rsid w:val="00DE6494"/>
    <w:rsid w:val="00DE6AA1"/>
    <w:rsid w:val="00DE6C57"/>
    <w:rsid w:val="00DE74D7"/>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D0"/>
    <w:rsid w:val="00E046A9"/>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405F1"/>
    <w:rsid w:val="00E43054"/>
    <w:rsid w:val="00E434C4"/>
    <w:rsid w:val="00E44FE4"/>
    <w:rsid w:val="00E45D30"/>
    <w:rsid w:val="00E46013"/>
    <w:rsid w:val="00E4654B"/>
    <w:rsid w:val="00E477C3"/>
    <w:rsid w:val="00E5048D"/>
    <w:rsid w:val="00E50AC4"/>
    <w:rsid w:val="00E50E2C"/>
    <w:rsid w:val="00E51077"/>
    <w:rsid w:val="00E5132D"/>
    <w:rsid w:val="00E51741"/>
    <w:rsid w:val="00E51E16"/>
    <w:rsid w:val="00E52151"/>
    <w:rsid w:val="00E53730"/>
    <w:rsid w:val="00E53C46"/>
    <w:rsid w:val="00E54511"/>
    <w:rsid w:val="00E55DC3"/>
    <w:rsid w:val="00E57577"/>
    <w:rsid w:val="00E575CF"/>
    <w:rsid w:val="00E62043"/>
    <w:rsid w:val="00E626B9"/>
    <w:rsid w:val="00E627C9"/>
    <w:rsid w:val="00E630F3"/>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395F"/>
    <w:rsid w:val="00E8473F"/>
    <w:rsid w:val="00E85E41"/>
    <w:rsid w:val="00E85EA1"/>
    <w:rsid w:val="00E91044"/>
    <w:rsid w:val="00E910D3"/>
    <w:rsid w:val="00E923CF"/>
    <w:rsid w:val="00E9335F"/>
    <w:rsid w:val="00E95111"/>
    <w:rsid w:val="00EA061E"/>
    <w:rsid w:val="00EA14C8"/>
    <w:rsid w:val="00EA19D3"/>
    <w:rsid w:val="00EA6649"/>
    <w:rsid w:val="00EB05D0"/>
    <w:rsid w:val="00EB07C5"/>
    <w:rsid w:val="00EB1D49"/>
    <w:rsid w:val="00EB42DD"/>
    <w:rsid w:val="00EB559F"/>
    <w:rsid w:val="00EB5F3D"/>
    <w:rsid w:val="00EB6EC2"/>
    <w:rsid w:val="00EC1CEB"/>
    <w:rsid w:val="00EC21A7"/>
    <w:rsid w:val="00EC268C"/>
    <w:rsid w:val="00EC3753"/>
    <w:rsid w:val="00EC398F"/>
    <w:rsid w:val="00EC3CB8"/>
    <w:rsid w:val="00EC3D46"/>
    <w:rsid w:val="00EC4E71"/>
    <w:rsid w:val="00EC6667"/>
    <w:rsid w:val="00EC7269"/>
    <w:rsid w:val="00ED0365"/>
    <w:rsid w:val="00ED0865"/>
    <w:rsid w:val="00ED094F"/>
    <w:rsid w:val="00ED16B6"/>
    <w:rsid w:val="00ED1C60"/>
    <w:rsid w:val="00ED2EB9"/>
    <w:rsid w:val="00ED4469"/>
    <w:rsid w:val="00ED5F23"/>
    <w:rsid w:val="00ED6DC0"/>
    <w:rsid w:val="00ED79CE"/>
    <w:rsid w:val="00ED7A7A"/>
    <w:rsid w:val="00ED7B2B"/>
    <w:rsid w:val="00EE038C"/>
    <w:rsid w:val="00EE040B"/>
    <w:rsid w:val="00EE47C5"/>
    <w:rsid w:val="00EE490C"/>
    <w:rsid w:val="00EE613B"/>
    <w:rsid w:val="00EE7E17"/>
    <w:rsid w:val="00EF2C8E"/>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37"/>
    <w:rsid w:val="00F53D40"/>
    <w:rsid w:val="00F545ED"/>
    <w:rsid w:val="00F5687F"/>
    <w:rsid w:val="00F5727D"/>
    <w:rsid w:val="00F575C7"/>
    <w:rsid w:val="00F60305"/>
    <w:rsid w:val="00F61B12"/>
    <w:rsid w:val="00F620C5"/>
    <w:rsid w:val="00F62398"/>
    <w:rsid w:val="00F626C5"/>
    <w:rsid w:val="00F631E8"/>
    <w:rsid w:val="00F63223"/>
    <w:rsid w:val="00F63264"/>
    <w:rsid w:val="00F6379E"/>
    <w:rsid w:val="00F70799"/>
    <w:rsid w:val="00F70906"/>
    <w:rsid w:val="00F70A8B"/>
    <w:rsid w:val="00F724FB"/>
    <w:rsid w:val="00F72578"/>
    <w:rsid w:val="00F72A26"/>
    <w:rsid w:val="00F733C3"/>
    <w:rsid w:val="00F756DD"/>
    <w:rsid w:val="00F75DB3"/>
    <w:rsid w:val="00F80047"/>
    <w:rsid w:val="00F8104D"/>
    <w:rsid w:val="00F81587"/>
    <w:rsid w:val="00F82571"/>
    <w:rsid w:val="00F85258"/>
    <w:rsid w:val="00F85B72"/>
    <w:rsid w:val="00F8766F"/>
    <w:rsid w:val="00F9104C"/>
    <w:rsid w:val="00F91082"/>
    <w:rsid w:val="00F91A9A"/>
    <w:rsid w:val="00F93ABB"/>
    <w:rsid w:val="00F94D79"/>
    <w:rsid w:val="00F975D3"/>
    <w:rsid w:val="00FA118A"/>
    <w:rsid w:val="00FA11CD"/>
    <w:rsid w:val="00FA31C7"/>
    <w:rsid w:val="00FA472D"/>
    <w:rsid w:val="00FA7254"/>
    <w:rsid w:val="00FB0214"/>
    <w:rsid w:val="00FB080C"/>
    <w:rsid w:val="00FB18F6"/>
    <w:rsid w:val="00FB2964"/>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5E90"/>
    <w:rsid w:val="00FC6590"/>
    <w:rsid w:val="00FC75AC"/>
    <w:rsid w:val="00FD01BF"/>
    <w:rsid w:val="00FD0525"/>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8E5"/>
    <w:rsid w:val="011E6BB8"/>
    <w:rsid w:val="01DF6ED8"/>
    <w:rsid w:val="02511F9D"/>
    <w:rsid w:val="02E66FBD"/>
    <w:rsid w:val="03056ED3"/>
    <w:rsid w:val="034E5B8A"/>
    <w:rsid w:val="03821A33"/>
    <w:rsid w:val="03A314B8"/>
    <w:rsid w:val="03D82B98"/>
    <w:rsid w:val="03E655A0"/>
    <w:rsid w:val="03F83E8B"/>
    <w:rsid w:val="03FA5BAB"/>
    <w:rsid w:val="06907107"/>
    <w:rsid w:val="06AB7243"/>
    <w:rsid w:val="07001AF1"/>
    <w:rsid w:val="07B72767"/>
    <w:rsid w:val="08077E72"/>
    <w:rsid w:val="08890AE6"/>
    <w:rsid w:val="09781A00"/>
    <w:rsid w:val="09CC2AAC"/>
    <w:rsid w:val="09D820EE"/>
    <w:rsid w:val="0A652D3E"/>
    <w:rsid w:val="0B3A48F0"/>
    <w:rsid w:val="0BC95DF7"/>
    <w:rsid w:val="0BE8528E"/>
    <w:rsid w:val="0C92213C"/>
    <w:rsid w:val="0D4F221D"/>
    <w:rsid w:val="0D84032B"/>
    <w:rsid w:val="0E8031E4"/>
    <w:rsid w:val="10A27F31"/>
    <w:rsid w:val="10CA487C"/>
    <w:rsid w:val="11174955"/>
    <w:rsid w:val="11927058"/>
    <w:rsid w:val="12A604D9"/>
    <w:rsid w:val="13781A27"/>
    <w:rsid w:val="13AF4F03"/>
    <w:rsid w:val="14081FB5"/>
    <w:rsid w:val="14736E66"/>
    <w:rsid w:val="1482140A"/>
    <w:rsid w:val="149B6AC2"/>
    <w:rsid w:val="14BB069A"/>
    <w:rsid w:val="15264037"/>
    <w:rsid w:val="15293653"/>
    <w:rsid w:val="1534169A"/>
    <w:rsid w:val="15C03E03"/>
    <w:rsid w:val="162A25EB"/>
    <w:rsid w:val="16FD2A55"/>
    <w:rsid w:val="17236228"/>
    <w:rsid w:val="17366761"/>
    <w:rsid w:val="177C01F0"/>
    <w:rsid w:val="17CE6630"/>
    <w:rsid w:val="17DC2DB3"/>
    <w:rsid w:val="19061566"/>
    <w:rsid w:val="19311249"/>
    <w:rsid w:val="19820BA0"/>
    <w:rsid w:val="19B1165B"/>
    <w:rsid w:val="1A846F04"/>
    <w:rsid w:val="1AFA16D5"/>
    <w:rsid w:val="1B4F19F8"/>
    <w:rsid w:val="1B9F4DE1"/>
    <w:rsid w:val="1BD92184"/>
    <w:rsid w:val="1C185B56"/>
    <w:rsid w:val="1C342B53"/>
    <w:rsid w:val="1C427E77"/>
    <w:rsid w:val="1C5170A2"/>
    <w:rsid w:val="1CBB2985"/>
    <w:rsid w:val="1CFE41C5"/>
    <w:rsid w:val="1D4061A8"/>
    <w:rsid w:val="1D815B4C"/>
    <w:rsid w:val="1D8B0517"/>
    <w:rsid w:val="1E200CF1"/>
    <w:rsid w:val="1E9B4F4B"/>
    <w:rsid w:val="1ED15537"/>
    <w:rsid w:val="1EF80E4B"/>
    <w:rsid w:val="1F063325"/>
    <w:rsid w:val="1F420493"/>
    <w:rsid w:val="1F6839F5"/>
    <w:rsid w:val="1FBC5DF5"/>
    <w:rsid w:val="1FC55574"/>
    <w:rsid w:val="1FD82001"/>
    <w:rsid w:val="1FFB5110"/>
    <w:rsid w:val="20781442"/>
    <w:rsid w:val="21326115"/>
    <w:rsid w:val="218A75A3"/>
    <w:rsid w:val="21B83F86"/>
    <w:rsid w:val="21CA24ED"/>
    <w:rsid w:val="21E55E66"/>
    <w:rsid w:val="221178A8"/>
    <w:rsid w:val="221213CF"/>
    <w:rsid w:val="22236483"/>
    <w:rsid w:val="22327A92"/>
    <w:rsid w:val="22590D61"/>
    <w:rsid w:val="22965435"/>
    <w:rsid w:val="22BD6F35"/>
    <w:rsid w:val="231D53A2"/>
    <w:rsid w:val="23A36271"/>
    <w:rsid w:val="23B7504C"/>
    <w:rsid w:val="24571307"/>
    <w:rsid w:val="24BA2984"/>
    <w:rsid w:val="25246333"/>
    <w:rsid w:val="25F47105"/>
    <w:rsid w:val="26446DE3"/>
    <w:rsid w:val="264D165B"/>
    <w:rsid w:val="26D7699F"/>
    <w:rsid w:val="2722121C"/>
    <w:rsid w:val="274A5E17"/>
    <w:rsid w:val="27EC2A73"/>
    <w:rsid w:val="2813617D"/>
    <w:rsid w:val="285144E4"/>
    <w:rsid w:val="28742361"/>
    <w:rsid w:val="2876621D"/>
    <w:rsid w:val="290B259E"/>
    <w:rsid w:val="2912495F"/>
    <w:rsid w:val="29D31DC1"/>
    <w:rsid w:val="29E210ED"/>
    <w:rsid w:val="2AFA55C2"/>
    <w:rsid w:val="2B09065E"/>
    <w:rsid w:val="2B2A4E65"/>
    <w:rsid w:val="2B4A6C70"/>
    <w:rsid w:val="2B6B7072"/>
    <w:rsid w:val="2B774624"/>
    <w:rsid w:val="2B7C0995"/>
    <w:rsid w:val="2B9123EB"/>
    <w:rsid w:val="2C4A4D7A"/>
    <w:rsid w:val="2C7A72BE"/>
    <w:rsid w:val="2F401D3C"/>
    <w:rsid w:val="2FA95C88"/>
    <w:rsid w:val="3041370F"/>
    <w:rsid w:val="307D5064"/>
    <w:rsid w:val="31083A05"/>
    <w:rsid w:val="310E5321"/>
    <w:rsid w:val="32453A27"/>
    <w:rsid w:val="3263064A"/>
    <w:rsid w:val="32936626"/>
    <w:rsid w:val="32AC0C06"/>
    <w:rsid w:val="32BE2CA3"/>
    <w:rsid w:val="32C02343"/>
    <w:rsid w:val="336562CD"/>
    <w:rsid w:val="336E78FE"/>
    <w:rsid w:val="34CA3F9D"/>
    <w:rsid w:val="3537750C"/>
    <w:rsid w:val="3537798C"/>
    <w:rsid w:val="357F7ED5"/>
    <w:rsid w:val="35C13FC9"/>
    <w:rsid w:val="3623560B"/>
    <w:rsid w:val="362E6D87"/>
    <w:rsid w:val="364257B6"/>
    <w:rsid w:val="36F834D1"/>
    <w:rsid w:val="36FA2A83"/>
    <w:rsid w:val="374264D3"/>
    <w:rsid w:val="379E74D8"/>
    <w:rsid w:val="37DB7874"/>
    <w:rsid w:val="37EA5922"/>
    <w:rsid w:val="38276B93"/>
    <w:rsid w:val="386970ED"/>
    <w:rsid w:val="3A0B64A7"/>
    <w:rsid w:val="3A4B6C9E"/>
    <w:rsid w:val="3A7E0E22"/>
    <w:rsid w:val="3A865F28"/>
    <w:rsid w:val="3AF74C02"/>
    <w:rsid w:val="3B033E48"/>
    <w:rsid w:val="3B7B04F6"/>
    <w:rsid w:val="3BC6658C"/>
    <w:rsid w:val="3C0059A5"/>
    <w:rsid w:val="3C134E78"/>
    <w:rsid w:val="3C17427A"/>
    <w:rsid w:val="3CA136DB"/>
    <w:rsid w:val="3D5D11C3"/>
    <w:rsid w:val="3DD20426"/>
    <w:rsid w:val="3DF6345D"/>
    <w:rsid w:val="3E8C702B"/>
    <w:rsid w:val="3EE13701"/>
    <w:rsid w:val="3EEF21C3"/>
    <w:rsid w:val="3F1A4BB3"/>
    <w:rsid w:val="3F5642A9"/>
    <w:rsid w:val="3F58684C"/>
    <w:rsid w:val="40192BA6"/>
    <w:rsid w:val="40BA2C10"/>
    <w:rsid w:val="410F4616"/>
    <w:rsid w:val="41257F1B"/>
    <w:rsid w:val="413A50CC"/>
    <w:rsid w:val="41C32627"/>
    <w:rsid w:val="424D560D"/>
    <w:rsid w:val="42550A18"/>
    <w:rsid w:val="425600A9"/>
    <w:rsid w:val="42565626"/>
    <w:rsid w:val="42627205"/>
    <w:rsid w:val="427E3D8C"/>
    <w:rsid w:val="42F473A1"/>
    <w:rsid w:val="439461FB"/>
    <w:rsid w:val="43D10458"/>
    <w:rsid w:val="441E62C0"/>
    <w:rsid w:val="44274ACD"/>
    <w:rsid w:val="4497459C"/>
    <w:rsid w:val="45637592"/>
    <w:rsid w:val="45811C7C"/>
    <w:rsid w:val="459667D6"/>
    <w:rsid w:val="45B8534F"/>
    <w:rsid w:val="4644585A"/>
    <w:rsid w:val="468B3EFB"/>
    <w:rsid w:val="46F9547C"/>
    <w:rsid w:val="470A6193"/>
    <w:rsid w:val="47947B37"/>
    <w:rsid w:val="479A2FF8"/>
    <w:rsid w:val="47AD0F98"/>
    <w:rsid w:val="47DC4F5C"/>
    <w:rsid w:val="482A68F9"/>
    <w:rsid w:val="48B40671"/>
    <w:rsid w:val="49053137"/>
    <w:rsid w:val="499B5738"/>
    <w:rsid w:val="499F244D"/>
    <w:rsid w:val="49A56358"/>
    <w:rsid w:val="4A474792"/>
    <w:rsid w:val="4A8F086C"/>
    <w:rsid w:val="4A8F58C2"/>
    <w:rsid w:val="4AF96BC7"/>
    <w:rsid w:val="4BFB4050"/>
    <w:rsid w:val="4CEF36E2"/>
    <w:rsid w:val="4D3B1120"/>
    <w:rsid w:val="4D4D2614"/>
    <w:rsid w:val="4DAF4CC1"/>
    <w:rsid w:val="4DE70ED6"/>
    <w:rsid w:val="4DF72F6D"/>
    <w:rsid w:val="4F204746"/>
    <w:rsid w:val="4F372FFB"/>
    <w:rsid w:val="4FA76FA4"/>
    <w:rsid w:val="500E2684"/>
    <w:rsid w:val="500F39BA"/>
    <w:rsid w:val="50713946"/>
    <w:rsid w:val="50B33994"/>
    <w:rsid w:val="513F391C"/>
    <w:rsid w:val="51564E44"/>
    <w:rsid w:val="515D0CC4"/>
    <w:rsid w:val="51FD51CE"/>
    <w:rsid w:val="525953CC"/>
    <w:rsid w:val="52C10D75"/>
    <w:rsid w:val="52E70B94"/>
    <w:rsid w:val="52F56C45"/>
    <w:rsid w:val="544A03E2"/>
    <w:rsid w:val="550C4BD7"/>
    <w:rsid w:val="55237B20"/>
    <w:rsid w:val="55572986"/>
    <w:rsid w:val="56237571"/>
    <w:rsid w:val="566201DA"/>
    <w:rsid w:val="56E951C0"/>
    <w:rsid w:val="572342A7"/>
    <w:rsid w:val="578B29F1"/>
    <w:rsid w:val="59434B84"/>
    <w:rsid w:val="5A957D93"/>
    <w:rsid w:val="5AED0D8F"/>
    <w:rsid w:val="5B3760D9"/>
    <w:rsid w:val="5BBE1341"/>
    <w:rsid w:val="5D1B26A7"/>
    <w:rsid w:val="5D2835C7"/>
    <w:rsid w:val="5D8D2FE3"/>
    <w:rsid w:val="5E9F376C"/>
    <w:rsid w:val="5F5D2E4C"/>
    <w:rsid w:val="5F80710D"/>
    <w:rsid w:val="5FB15B2C"/>
    <w:rsid w:val="60563B24"/>
    <w:rsid w:val="606007BB"/>
    <w:rsid w:val="606C595F"/>
    <w:rsid w:val="60AC7F66"/>
    <w:rsid w:val="60EF62BC"/>
    <w:rsid w:val="617167E5"/>
    <w:rsid w:val="618835DC"/>
    <w:rsid w:val="61BF10D9"/>
    <w:rsid w:val="61ED0262"/>
    <w:rsid w:val="62736A6B"/>
    <w:rsid w:val="629F7BDB"/>
    <w:rsid w:val="6320666B"/>
    <w:rsid w:val="632072E2"/>
    <w:rsid w:val="638E03D8"/>
    <w:rsid w:val="640C7C21"/>
    <w:rsid w:val="64567A45"/>
    <w:rsid w:val="6463489B"/>
    <w:rsid w:val="64E45EF7"/>
    <w:rsid w:val="650A3D6F"/>
    <w:rsid w:val="65332685"/>
    <w:rsid w:val="657D1A47"/>
    <w:rsid w:val="66A57729"/>
    <w:rsid w:val="66AB27BD"/>
    <w:rsid w:val="677435B2"/>
    <w:rsid w:val="67E15774"/>
    <w:rsid w:val="67EF75F1"/>
    <w:rsid w:val="67F47F04"/>
    <w:rsid w:val="68394DBA"/>
    <w:rsid w:val="69124F16"/>
    <w:rsid w:val="69C64B0E"/>
    <w:rsid w:val="69CD5C14"/>
    <w:rsid w:val="69CF0D33"/>
    <w:rsid w:val="6AB24495"/>
    <w:rsid w:val="6AE35169"/>
    <w:rsid w:val="6B9946B3"/>
    <w:rsid w:val="6BA77809"/>
    <w:rsid w:val="6BD12B2E"/>
    <w:rsid w:val="6C8A4FCC"/>
    <w:rsid w:val="6CE77CC4"/>
    <w:rsid w:val="6D1837C6"/>
    <w:rsid w:val="6DE76850"/>
    <w:rsid w:val="6E2E1A3E"/>
    <w:rsid w:val="6E9A1018"/>
    <w:rsid w:val="6F3C2410"/>
    <w:rsid w:val="6FB20BD4"/>
    <w:rsid w:val="6FBA59BE"/>
    <w:rsid w:val="70296B3E"/>
    <w:rsid w:val="70320D75"/>
    <w:rsid w:val="70611204"/>
    <w:rsid w:val="7142407F"/>
    <w:rsid w:val="71680975"/>
    <w:rsid w:val="7234593E"/>
    <w:rsid w:val="72EF4CB6"/>
    <w:rsid w:val="73AC5AFB"/>
    <w:rsid w:val="74A90C7C"/>
    <w:rsid w:val="74FA2C30"/>
    <w:rsid w:val="752D736C"/>
    <w:rsid w:val="758D3E7D"/>
    <w:rsid w:val="75971ED7"/>
    <w:rsid w:val="75B17106"/>
    <w:rsid w:val="76BC49EB"/>
    <w:rsid w:val="77000DA2"/>
    <w:rsid w:val="77B133DB"/>
    <w:rsid w:val="78121FA2"/>
    <w:rsid w:val="781E69D1"/>
    <w:rsid w:val="78340059"/>
    <w:rsid w:val="794D4DF8"/>
    <w:rsid w:val="7A3F58DF"/>
    <w:rsid w:val="7ADD0453"/>
    <w:rsid w:val="7AE74C21"/>
    <w:rsid w:val="7AF46346"/>
    <w:rsid w:val="7B0F5EBF"/>
    <w:rsid w:val="7B130FB9"/>
    <w:rsid w:val="7BDE0625"/>
    <w:rsid w:val="7BEF3935"/>
    <w:rsid w:val="7BF64EDE"/>
    <w:rsid w:val="7C08003E"/>
    <w:rsid w:val="7C0A501C"/>
    <w:rsid w:val="7C400C1E"/>
    <w:rsid w:val="7D6A4FC2"/>
    <w:rsid w:val="7DD11708"/>
    <w:rsid w:val="7DD83ECB"/>
    <w:rsid w:val="7EBC46EA"/>
    <w:rsid w:val="7EC167BD"/>
    <w:rsid w:val="7F037115"/>
    <w:rsid w:val="7F167AD5"/>
    <w:rsid w:val="7F3DBB14"/>
    <w:rsid w:val="7FC4310F"/>
    <w:rsid w:val="7FF30C51"/>
    <w:rsid w:val="7FF82C26"/>
    <w:rsid w:val="8DEF3BEE"/>
    <w:rsid w:val="9F5DFCA4"/>
    <w:rsid w:val="BFD78AC9"/>
    <w:rsid w:val="DFFAD6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99"/>
    <w:pPr>
      <w:keepNext/>
      <w:keepLines/>
      <w:spacing w:before="260" w:after="260" w:line="416" w:lineRule="auto"/>
      <w:outlineLvl w:val="1"/>
    </w:pPr>
    <w:rPr>
      <w:rFonts w:ascii="Cambria" w:hAnsi="Cambria"/>
      <w:b/>
      <w:bCs/>
      <w:sz w:val="32"/>
      <w:szCs w:val="32"/>
    </w:rPr>
  </w:style>
  <w:style w:type="paragraph" w:styleId="5">
    <w:name w:val="heading 4"/>
    <w:basedOn w:val="1"/>
    <w:next w:val="1"/>
    <w:link w:val="4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4"/>
    <w:qFormat/>
    <w:uiPriority w:val="99"/>
    <w:pPr>
      <w:keepNext/>
      <w:keepLines/>
      <w:spacing w:before="280" w:after="290" w:line="376" w:lineRule="auto"/>
      <w:outlineLvl w:val="4"/>
    </w:pPr>
    <w:rPr>
      <w:b/>
      <w:bCs/>
      <w:sz w:val="28"/>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7">
    <w:name w:val="Normal Indent"/>
    <w:basedOn w:val="1"/>
    <w:next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46"/>
    <w:qFormat/>
    <w:uiPriority w:val="99"/>
    <w:pPr>
      <w:jc w:val="left"/>
    </w:pPr>
  </w:style>
  <w:style w:type="paragraph" w:styleId="10">
    <w:name w:val="Body Text 3"/>
    <w:basedOn w:val="1"/>
    <w:link w:val="47"/>
    <w:qFormat/>
    <w:uiPriority w:val="99"/>
    <w:pPr>
      <w:spacing w:after="120"/>
    </w:pPr>
    <w:rPr>
      <w:sz w:val="16"/>
      <w:szCs w:val="16"/>
    </w:rPr>
  </w:style>
  <w:style w:type="paragraph" w:styleId="11">
    <w:name w:val="Body Text"/>
    <w:basedOn w:val="1"/>
    <w:next w:val="1"/>
    <w:link w:val="45"/>
    <w:qFormat/>
    <w:uiPriority w:val="99"/>
    <w:pPr>
      <w:spacing w:after="120"/>
    </w:pPr>
  </w:style>
  <w:style w:type="paragraph" w:styleId="12">
    <w:name w:val="Body Text Indent"/>
    <w:basedOn w:val="1"/>
    <w:link w:val="48"/>
    <w:qFormat/>
    <w:uiPriority w:val="99"/>
    <w:pPr>
      <w:ind w:firstLine="830" w:firstLineChars="352"/>
    </w:pPr>
    <w:rPr>
      <w:rFonts w:ascii="仿宋_GB2312" w:eastAsia="仿宋_GB2312"/>
      <w:kern w:val="0"/>
      <w:sz w:val="32"/>
      <w:szCs w:val="20"/>
    </w:rPr>
  </w:style>
  <w:style w:type="paragraph" w:styleId="13">
    <w:name w:val="List 2"/>
    <w:basedOn w:val="1"/>
    <w:qFormat/>
    <w:uiPriority w:val="99"/>
    <w:pPr>
      <w:ind w:left="100" w:leftChars="200" w:hanging="200" w:hangingChars="200"/>
      <w:contextualSpacing/>
    </w:pPr>
  </w:style>
  <w:style w:type="paragraph" w:styleId="14">
    <w:name w:val="Plain Text"/>
    <w:basedOn w:val="1"/>
    <w:next w:val="5"/>
    <w:link w:val="49"/>
    <w:qFormat/>
    <w:uiPriority w:val="99"/>
    <w:rPr>
      <w:rFonts w:ascii="宋体" w:hAnsi="Courier New"/>
      <w:kern w:val="0"/>
      <w:sz w:val="20"/>
      <w:szCs w:val="21"/>
    </w:rPr>
  </w:style>
  <w:style w:type="paragraph" w:styleId="15">
    <w:name w:val="Date"/>
    <w:basedOn w:val="1"/>
    <w:next w:val="1"/>
    <w:link w:val="50"/>
    <w:qFormat/>
    <w:uiPriority w:val="99"/>
    <w:pPr>
      <w:ind w:left="100" w:leftChars="2500"/>
    </w:pPr>
  </w:style>
  <w:style w:type="paragraph" w:styleId="16">
    <w:name w:val="Balloon Text"/>
    <w:basedOn w:val="1"/>
    <w:link w:val="51"/>
    <w:semiHidden/>
    <w:qFormat/>
    <w:uiPriority w:val="99"/>
    <w:rPr>
      <w:sz w:val="18"/>
      <w:szCs w:val="18"/>
    </w:rPr>
  </w:style>
  <w:style w:type="paragraph" w:styleId="17">
    <w:name w:val="footer"/>
    <w:basedOn w:val="1"/>
    <w:link w:val="52"/>
    <w:qFormat/>
    <w:uiPriority w:val="99"/>
    <w:pPr>
      <w:tabs>
        <w:tab w:val="center" w:pos="4153"/>
        <w:tab w:val="right" w:pos="8306"/>
      </w:tabs>
      <w:snapToGrid w:val="0"/>
      <w:jc w:val="left"/>
    </w:pPr>
    <w:rPr>
      <w:kern w:val="0"/>
      <w:sz w:val="18"/>
      <w:szCs w:val="18"/>
    </w:rPr>
  </w:style>
  <w:style w:type="paragraph" w:styleId="18">
    <w:name w:val="header"/>
    <w:basedOn w:val="1"/>
    <w:link w:val="53"/>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2"/>
    <w:basedOn w:val="1"/>
    <w:next w:val="1"/>
    <w:qFormat/>
    <w:uiPriority w:val="99"/>
    <w:pPr>
      <w:tabs>
        <w:tab w:val="right" w:leader="dot" w:pos="8296"/>
      </w:tabs>
      <w:ind w:left="420" w:leftChars="200"/>
    </w:pPr>
  </w:style>
  <w:style w:type="paragraph" w:styleId="20">
    <w:name w:val="Normal (Web)"/>
    <w:basedOn w:val="1"/>
    <w:qFormat/>
    <w:uiPriority w:val="99"/>
    <w:rPr>
      <w:rFonts w:ascii="Calibri" w:hAnsi="Calibri"/>
      <w:kern w:val="0"/>
      <w:sz w:val="24"/>
    </w:rPr>
  </w:style>
  <w:style w:type="paragraph" w:styleId="21">
    <w:name w:val="annotation subject"/>
    <w:basedOn w:val="9"/>
    <w:next w:val="9"/>
    <w:link w:val="54"/>
    <w:qFormat/>
    <w:uiPriority w:val="99"/>
    <w:rPr>
      <w:b/>
      <w:bCs/>
    </w:rPr>
  </w:style>
  <w:style w:type="paragraph" w:styleId="22">
    <w:name w:val="Body Text First Indent"/>
    <w:basedOn w:val="11"/>
    <w:link w:val="55"/>
    <w:qFormat/>
    <w:uiPriority w:val="99"/>
    <w:pPr>
      <w:spacing w:beforeLines="50" w:afterLines="50" w:line="360" w:lineRule="auto"/>
      <w:ind w:firstLine="420" w:firstLineChars="100"/>
    </w:pPr>
  </w:style>
  <w:style w:type="paragraph" w:styleId="23">
    <w:name w:val="Body Text First Indent 2"/>
    <w:basedOn w:val="12"/>
    <w:qFormat/>
    <w:uiPriority w:val="0"/>
    <w:pPr>
      <w:spacing w:after="120" w:afterLines="0" w:line="240" w:lineRule="auto"/>
      <w:ind w:left="420" w:leftChars="200" w:firstLine="420" w:firstLineChars="200"/>
    </w:pPr>
    <w:rPr>
      <w:rFonts w:ascii="Times New Roman" w:hAnsi="Times New Roman" w:eastAsia="宋体"/>
      <w:sz w:val="21"/>
      <w:szCs w:val="24"/>
    </w:rPr>
  </w:style>
  <w:style w:type="table" w:styleId="25">
    <w:name w:val="Table Grid"/>
    <w:basedOn w:val="2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locked/>
    <w:uiPriority w:val="0"/>
    <w:rPr>
      <w:b/>
      <w:bCs/>
    </w:rPr>
  </w:style>
  <w:style w:type="character" w:styleId="28">
    <w:name w:val="FollowedHyperlink"/>
    <w:basedOn w:val="26"/>
    <w:semiHidden/>
    <w:unhideWhenUsed/>
    <w:qFormat/>
    <w:uiPriority w:val="99"/>
    <w:rPr>
      <w:color w:val="800080"/>
      <w:u w:val="none"/>
    </w:rPr>
  </w:style>
  <w:style w:type="character" w:styleId="29">
    <w:name w:val="Emphasis"/>
    <w:basedOn w:val="26"/>
    <w:qFormat/>
    <w:locked/>
    <w:uiPriority w:val="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qFormat/>
    <w:uiPriority w:val="99"/>
    <w:rPr>
      <w:rFonts w:cs="Times New Roman"/>
      <w:color w:val="0000FF"/>
      <w:u w:val="single"/>
    </w:rPr>
  </w:style>
  <w:style w:type="character" w:styleId="35">
    <w:name w:val="HTML Code"/>
    <w:basedOn w:val="26"/>
    <w:semiHidden/>
    <w:unhideWhenUsed/>
    <w:qFormat/>
    <w:uiPriority w:val="99"/>
    <w:rPr>
      <w:rFonts w:ascii="monospace" w:hAnsi="monospace" w:eastAsia="monospace" w:cs="monospace"/>
      <w:sz w:val="20"/>
    </w:rPr>
  </w:style>
  <w:style w:type="character" w:styleId="36">
    <w:name w:val="annotation reference"/>
    <w:basedOn w:val="26"/>
    <w:qFormat/>
    <w:uiPriority w:val="99"/>
    <w:rPr>
      <w:rFonts w:cs="Times New Roman"/>
      <w:sz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hint="default" w:ascii="monospace" w:hAnsi="monospace" w:eastAsia="monospace" w:cs="monospace"/>
      <w:sz w:val="20"/>
    </w:rPr>
  </w:style>
  <w:style w:type="character" w:styleId="39">
    <w:name w:val="HTML Sample"/>
    <w:basedOn w:val="26"/>
    <w:semiHidden/>
    <w:unhideWhenUsed/>
    <w:qFormat/>
    <w:uiPriority w:val="99"/>
    <w:rPr>
      <w:rFonts w:hint="default" w:ascii="monospace" w:hAnsi="monospace" w:eastAsia="monospace" w:cs="monospace"/>
    </w:rPr>
  </w:style>
  <w:style w:type="paragraph" w:customStyle="1" w:styleId="40">
    <w:name w:val="表格文字"/>
    <w:basedOn w:val="1"/>
    <w:next w:val="11"/>
    <w:qFormat/>
    <w:uiPriority w:val="99"/>
    <w:pPr>
      <w:spacing w:before="25" w:after="25"/>
      <w:jc w:val="left"/>
    </w:pPr>
    <w:rPr>
      <w:bCs/>
      <w:spacing w:val="10"/>
      <w:kern w:val="0"/>
      <w:sz w:val="24"/>
    </w:rPr>
  </w:style>
  <w:style w:type="character" w:customStyle="1" w:styleId="41">
    <w:name w:val="Heading 1 Char"/>
    <w:basedOn w:val="26"/>
    <w:link w:val="3"/>
    <w:qFormat/>
    <w:locked/>
    <w:uiPriority w:val="99"/>
    <w:rPr>
      <w:b/>
      <w:kern w:val="44"/>
      <w:sz w:val="44"/>
    </w:rPr>
  </w:style>
  <w:style w:type="character" w:customStyle="1" w:styleId="42">
    <w:name w:val="Heading 2 Char"/>
    <w:basedOn w:val="26"/>
    <w:link w:val="4"/>
    <w:qFormat/>
    <w:locked/>
    <w:uiPriority w:val="99"/>
    <w:rPr>
      <w:rFonts w:ascii="Cambria" w:hAnsi="Cambria" w:eastAsia="宋体"/>
      <w:b/>
      <w:kern w:val="2"/>
      <w:sz w:val="32"/>
    </w:rPr>
  </w:style>
  <w:style w:type="character" w:customStyle="1" w:styleId="43">
    <w:name w:val="Heading 4 Char"/>
    <w:basedOn w:val="26"/>
    <w:link w:val="5"/>
    <w:semiHidden/>
    <w:qFormat/>
    <w:uiPriority w:val="9"/>
    <w:rPr>
      <w:rFonts w:asciiTheme="majorHAnsi" w:hAnsiTheme="majorHAnsi" w:eastAsiaTheme="majorEastAsia" w:cstheme="majorBidi"/>
      <w:b/>
      <w:bCs/>
      <w:sz w:val="28"/>
      <w:szCs w:val="28"/>
    </w:rPr>
  </w:style>
  <w:style w:type="character" w:customStyle="1" w:styleId="44">
    <w:name w:val="Heading 5 Char"/>
    <w:basedOn w:val="26"/>
    <w:link w:val="6"/>
    <w:semiHidden/>
    <w:qFormat/>
    <w:locked/>
    <w:uiPriority w:val="99"/>
    <w:rPr>
      <w:rFonts w:ascii="Times New Roman" w:hAnsi="Times New Roman"/>
      <w:b/>
      <w:kern w:val="2"/>
      <w:sz w:val="28"/>
    </w:rPr>
  </w:style>
  <w:style w:type="character" w:customStyle="1" w:styleId="45">
    <w:name w:val="Body Text Char"/>
    <w:basedOn w:val="26"/>
    <w:link w:val="11"/>
    <w:qFormat/>
    <w:locked/>
    <w:uiPriority w:val="99"/>
    <w:rPr>
      <w:rFonts w:ascii="Times New Roman" w:hAnsi="Times New Roman"/>
      <w:kern w:val="2"/>
      <w:sz w:val="24"/>
    </w:rPr>
  </w:style>
  <w:style w:type="character" w:customStyle="1" w:styleId="46">
    <w:name w:val="Comment Text Char"/>
    <w:basedOn w:val="26"/>
    <w:link w:val="9"/>
    <w:qFormat/>
    <w:locked/>
    <w:uiPriority w:val="99"/>
    <w:rPr>
      <w:rFonts w:ascii="Times New Roman" w:hAnsi="Times New Roman"/>
      <w:kern w:val="2"/>
      <w:sz w:val="24"/>
    </w:rPr>
  </w:style>
  <w:style w:type="character" w:customStyle="1" w:styleId="47">
    <w:name w:val="Body Text 3 Char"/>
    <w:basedOn w:val="26"/>
    <w:link w:val="10"/>
    <w:semiHidden/>
    <w:qFormat/>
    <w:locked/>
    <w:uiPriority w:val="99"/>
    <w:rPr>
      <w:rFonts w:ascii="Times New Roman" w:hAnsi="Times New Roman"/>
      <w:kern w:val="2"/>
      <w:sz w:val="16"/>
    </w:rPr>
  </w:style>
  <w:style w:type="character" w:customStyle="1" w:styleId="48">
    <w:name w:val="Body Text Indent Char"/>
    <w:basedOn w:val="26"/>
    <w:link w:val="12"/>
    <w:qFormat/>
    <w:locked/>
    <w:uiPriority w:val="99"/>
    <w:rPr>
      <w:rFonts w:ascii="仿宋_GB2312" w:hAnsi="Times New Roman" w:eastAsia="仿宋_GB2312"/>
      <w:sz w:val="20"/>
    </w:rPr>
  </w:style>
  <w:style w:type="character" w:customStyle="1" w:styleId="49">
    <w:name w:val="Plain Text Char"/>
    <w:basedOn w:val="26"/>
    <w:link w:val="14"/>
    <w:qFormat/>
    <w:locked/>
    <w:uiPriority w:val="99"/>
    <w:rPr>
      <w:rFonts w:ascii="宋体" w:hAnsi="Courier New" w:eastAsia="宋体"/>
      <w:sz w:val="21"/>
    </w:rPr>
  </w:style>
  <w:style w:type="character" w:customStyle="1" w:styleId="50">
    <w:name w:val="Date Char"/>
    <w:basedOn w:val="26"/>
    <w:link w:val="15"/>
    <w:semiHidden/>
    <w:qFormat/>
    <w:locked/>
    <w:uiPriority w:val="99"/>
    <w:rPr>
      <w:rFonts w:ascii="Times New Roman" w:hAnsi="Times New Roman"/>
      <w:kern w:val="2"/>
      <w:sz w:val="24"/>
    </w:rPr>
  </w:style>
  <w:style w:type="character" w:customStyle="1" w:styleId="51">
    <w:name w:val="Balloon Text Char"/>
    <w:basedOn w:val="26"/>
    <w:link w:val="16"/>
    <w:semiHidden/>
    <w:qFormat/>
    <w:uiPriority w:val="99"/>
    <w:rPr>
      <w:sz w:val="0"/>
      <w:szCs w:val="0"/>
    </w:rPr>
  </w:style>
  <w:style w:type="character" w:customStyle="1" w:styleId="52">
    <w:name w:val="Footer Char"/>
    <w:basedOn w:val="26"/>
    <w:link w:val="17"/>
    <w:qFormat/>
    <w:locked/>
    <w:uiPriority w:val="99"/>
    <w:rPr>
      <w:sz w:val="18"/>
    </w:rPr>
  </w:style>
  <w:style w:type="character" w:customStyle="1" w:styleId="53">
    <w:name w:val="Header Char"/>
    <w:basedOn w:val="26"/>
    <w:link w:val="18"/>
    <w:qFormat/>
    <w:locked/>
    <w:uiPriority w:val="99"/>
    <w:rPr>
      <w:sz w:val="18"/>
    </w:rPr>
  </w:style>
  <w:style w:type="character" w:customStyle="1" w:styleId="54">
    <w:name w:val="Comment Subject Char"/>
    <w:basedOn w:val="46"/>
    <w:link w:val="21"/>
    <w:qFormat/>
    <w:locked/>
    <w:uiPriority w:val="99"/>
    <w:rPr>
      <w:b/>
    </w:rPr>
  </w:style>
  <w:style w:type="character" w:customStyle="1" w:styleId="55">
    <w:name w:val="Body Text First Indent Char"/>
    <w:basedOn w:val="45"/>
    <w:link w:val="22"/>
    <w:semiHidden/>
    <w:qFormat/>
    <w:uiPriority w:val="99"/>
    <w:rPr>
      <w:szCs w:val="24"/>
    </w:rPr>
  </w:style>
  <w:style w:type="paragraph" w:customStyle="1" w:styleId="56">
    <w:name w:val="正文格式"/>
    <w:basedOn w:val="1"/>
    <w:qFormat/>
    <w:uiPriority w:val="99"/>
    <w:pPr>
      <w:topLinePunct/>
      <w:ind w:firstLine="420" w:firstLineChars="200"/>
    </w:pPr>
    <w:rPr>
      <w:rFonts w:ascii="宋体" w:hAnsi="宋体"/>
      <w:bCs/>
      <w:szCs w:val="21"/>
    </w:rPr>
  </w:style>
  <w:style w:type="paragraph" w:customStyle="1" w:styleId="57">
    <w:name w:val="默认段落字体 Para Char Char Char Char Char Char Char Char Char1 Char Char Char Char"/>
    <w:basedOn w:val="1"/>
    <w:qFormat/>
    <w:uiPriority w:val="99"/>
    <w:rPr>
      <w:rFonts w:ascii="Tahoma" w:hAnsi="Tahoma"/>
      <w:sz w:val="24"/>
      <w:szCs w:val="20"/>
    </w:rPr>
  </w:style>
  <w:style w:type="paragraph" w:customStyle="1" w:styleId="58">
    <w:name w:val="_Style 27"/>
    <w:basedOn w:val="1"/>
    <w:qFormat/>
    <w:uiPriority w:val="99"/>
    <w:pPr>
      <w:ind w:firstLine="420" w:firstLineChars="200"/>
    </w:pPr>
  </w:style>
  <w:style w:type="paragraph" w:customStyle="1" w:styleId="59">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60">
    <w:name w:val="Table Paragraph"/>
    <w:basedOn w:val="1"/>
    <w:qFormat/>
    <w:uiPriority w:val="99"/>
    <w:pPr>
      <w:jc w:val="left"/>
    </w:pPr>
    <w:rPr>
      <w:rFonts w:ascii="Calibri" w:hAnsi="Calibri"/>
      <w:kern w:val="0"/>
      <w:sz w:val="22"/>
      <w:szCs w:val="22"/>
      <w:lang w:eastAsia="en-US"/>
    </w:rPr>
  </w:style>
  <w:style w:type="character" w:customStyle="1" w:styleId="61">
    <w:name w:val="font21"/>
    <w:qFormat/>
    <w:uiPriority w:val="99"/>
    <w:rPr>
      <w:rFonts w:ascii="宋体" w:hAnsi="宋体" w:eastAsia="宋体"/>
      <w:color w:val="000000"/>
      <w:sz w:val="18"/>
    </w:rPr>
  </w:style>
  <w:style w:type="character" w:customStyle="1" w:styleId="62">
    <w:name w:val="正文文本缩进 字符1"/>
    <w:qFormat/>
    <w:uiPriority w:val="99"/>
    <w:rPr>
      <w:rFonts w:ascii="仿宋_GB2312" w:hAnsi="Times New Roman" w:eastAsia="仿宋_GB2312"/>
      <w:sz w:val="20"/>
    </w:rPr>
  </w:style>
  <w:style w:type="character" w:customStyle="1" w:styleId="63">
    <w:name w:val="批注文字 Char2"/>
    <w:qFormat/>
    <w:uiPriority w:val="99"/>
    <w:rPr>
      <w:rFonts w:ascii="Times New Roman" w:hAnsi="Times New Roman"/>
      <w:kern w:val="2"/>
      <w:sz w:val="24"/>
    </w:rPr>
  </w:style>
  <w:style w:type="character" w:customStyle="1" w:styleId="64">
    <w:name w:val="批注文字 字符2"/>
    <w:qFormat/>
    <w:uiPriority w:val="99"/>
    <w:rPr>
      <w:rFonts w:ascii="Times New Roman" w:hAnsi="Times New Roman"/>
      <w:kern w:val="2"/>
      <w:sz w:val="24"/>
    </w:rPr>
  </w:style>
  <w:style w:type="character" w:customStyle="1" w:styleId="65">
    <w:name w:val="纯文本 字符2"/>
    <w:qFormat/>
    <w:uiPriority w:val="99"/>
    <w:rPr>
      <w:rFonts w:ascii="宋体" w:hAnsi="Courier New" w:eastAsia="宋体"/>
      <w:sz w:val="21"/>
    </w:rPr>
  </w:style>
  <w:style w:type="character" w:customStyle="1" w:styleId="66">
    <w:name w:val="批注文字 字符1"/>
    <w:qFormat/>
    <w:uiPriority w:val="99"/>
    <w:rPr>
      <w:kern w:val="2"/>
      <w:sz w:val="24"/>
    </w:rPr>
  </w:style>
  <w:style w:type="character" w:customStyle="1" w:styleId="67">
    <w:name w:val="标题 1 字符"/>
    <w:qFormat/>
    <w:uiPriority w:val="99"/>
    <w:rPr>
      <w:b/>
      <w:kern w:val="44"/>
      <w:sz w:val="44"/>
    </w:rPr>
  </w:style>
  <w:style w:type="character" w:customStyle="1" w:styleId="68">
    <w:name w:val="纯文本 字符1"/>
    <w:qFormat/>
    <w:uiPriority w:val="99"/>
    <w:rPr>
      <w:rFonts w:ascii="宋体" w:hAnsi="Courier New"/>
    </w:rPr>
  </w:style>
  <w:style w:type="character" w:customStyle="1" w:styleId="69">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0">
    <w:name w:val="apple-style-span"/>
    <w:qFormat/>
    <w:uiPriority w:val="99"/>
  </w:style>
  <w:style w:type="character" w:customStyle="1" w:styleId="71">
    <w:name w:val="批注文字 Char1"/>
    <w:qFormat/>
    <w:uiPriority w:val="99"/>
    <w:rPr>
      <w:rFonts w:ascii="Times New Roman" w:hAnsi="Times New Roman"/>
      <w:kern w:val="2"/>
      <w:sz w:val="24"/>
    </w:rPr>
  </w:style>
  <w:style w:type="character" w:customStyle="1" w:styleId="72">
    <w:name w:val="页脚 Char"/>
    <w:qFormat/>
    <w:uiPriority w:val="99"/>
    <w:rPr>
      <w:lang w:eastAsia="zh-CN"/>
    </w:rPr>
  </w:style>
  <w:style w:type="character" w:customStyle="1" w:styleId="73">
    <w:name w:val="纯文本 Char1"/>
    <w:qFormat/>
    <w:uiPriority w:val="99"/>
    <w:rPr>
      <w:rFonts w:ascii="宋体" w:hAnsi="Courier New" w:eastAsia="宋体"/>
      <w:sz w:val="21"/>
    </w:rPr>
  </w:style>
  <w:style w:type="character" w:customStyle="1" w:styleId="74">
    <w:name w:val="textcontents"/>
    <w:qFormat/>
    <w:uiPriority w:val="99"/>
  </w:style>
  <w:style w:type="table" w:customStyle="1" w:styleId="75">
    <w:name w:val="Table Normal1"/>
    <w:qFormat/>
    <w:uiPriority w:val="99"/>
    <w:rPr>
      <w:kern w:val="0"/>
      <w:sz w:val="20"/>
      <w:szCs w:val="20"/>
    </w:rPr>
    <w:tblPr>
      <w:tblCellMar>
        <w:top w:w="0" w:type="dxa"/>
        <w:left w:w="0" w:type="dxa"/>
        <w:bottom w:w="0" w:type="dxa"/>
        <w:right w:w="0" w:type="dxa"/>
      </w:tblCellMar>
    </w:tblPr>
  </w:style>
  <w:style w:type="paragraph" w:styleId="76">
    <w:name w:val="List Paragraph"/>
    <w:basedOn w:val="1"/>
    <w:qFormat/>
    <w:uiPriority w:val="99"/>
    <w:pPr>
      <w:ind w:firstLine="420" w:firstLineChars="200"/>
    </w:pPr>
    <w:rPr>
      <w:rFonts w:ascii="Calibri" w:hAnsi="Calibri"/>
    </w:rPr>
  </w:style>
  <w:style w:type="character" w:customStyle="1" w:styleId="77">
    <w:name w:val="font111"/>
    <w:basedOn w:val="26"/>
    <w:qFormat/>
    <w:uiPriority w:val="99"/>
    <w:rPr>
      <w:rFonts w:ascii="宋体" w:hAnsi="宋体" w:eastAsia="宋体" w:cs="宋体"/>
      <w:color w:val="000000"/>
      <w:sz w:val="20"/>
      <w:szCs w:val="20"/>
      <w:u w:val="none"/>
    </w:rPr>
  </w:style>
  <w:style w:type="character" w:customStyle="1" w:styleId="78">
    <w:name w:val="font41"/>
    <w:basedOn w:val="26"/>
    <w:qFormat/>
    <w:uiPriority w:val="99"/>
    <w:rPr>
      <w:rFonts w:ascii="宋体" w:hAnsi="宋体" w:eastAsia="宋体" w:cs="宋体"/>
      <w:color w:val="000000"/>
      <w:sz w:val="20"/>
      <w:szCs w:val="20"/>
      <w:u w:val="none"/>
    </w:rPr>
  </w:style>
  <w:style w:type="character" w:customStyle="1" w:styleId="79">
    <w:name w:val="hover1"/>
    <w:basedOn w:val="26"/>
    <w:qFormat/>
    <w:uiPriority w:val="0"/>
    <w:rPr>
      <w:color w:val="2590EB"/>
    </w:rPr>
  </w:style>
  <w:style w:type="character" w:customStyle="1" w:styleId="80">
    <w:name w:val="hover2"/>
    <w:basedOn w:val="26"/>
    <w:qFormat/>
    <w:uiPriority w:val="0"/>
    <w:rPr>
      <w:color w:val="2590EB"/>
    </w:rPr>
  </w:style>
  <w:style w:type="character" w:customStyle="1" w:styleId="81">
    <w:name w:val="hover3"/>
    <w:basedOn w:val="26"/>
    <w:qFormat/>
    <w:uiPriority w:val="0"/>
  </w:style>
  <w:style w:type="character" w:customStyle="1" w:styleId="82">
    <w:name w:val="hover"/>
    <w:basedOn w:val="26"/>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KWZB;</Company>
  <Pages>59</Pages>
  <Words>35864</Words>
  <Characters>38185</Characters>
  <Lines>0</Lines>
  <Paragraphs>0</Paragraphs>
  <TotalTime>0</TotalTime>
  <ScaleCrop>false</ScaleCrop>
  <LinksUpToDate>false</LinksUpToDate>
  <CharactersWithSpaces>39697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2022-07-15T09:21:00Z</dcterms:created>
  <dc:creator>KWZB</dc:creator>
  <cp:lastModifiedBy>L_</cp:lastModifiedBy>
  <cp:lastPrinted>2020-04-04T00:20:00Z</cp:lastPrinted>
  <dcterms:modified xsi:type="dcterms:W3CDTF">2023-06-16T02:42:54Z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81877167455F4714871BCA582F9EE1A2</vt:lpwstr>
  </property>
</Properties>
</file>