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pacing w:val="116"/>
          <w:sz w:val="52"/>
        </w:rPr>
      </w:pPr>
    </w:p>
    <w:p>
      <w:pPr>
        <w:jc w:val="center"/>
        <w:rPr>
          <w:rFonts w:ascii="宋体" w:hAnsi="宋体"/>
          <w:b/>
          <w:bCs/>
          <w:sz w:val="48"/>
          <w:szCs w:val="36"/>
        </w:rPr>
      </w:pPr>
      <w:r>
        <w:rPr>
          <w:rFonts w:hint="eastAsia" w:ascii="宋体" w:hAnsi="宋体"/>
          <w:b/>
          <w:bCs/>
          <w:sz w:val="48"/>
          <w:szCs w:val="36"/>
        </w:rPr>
        <w:t>京延工程咨询有限公司</w:t>
      </w:r>
    </w:p>
    <w:p>
      <w:pPr>
        <w:rPr>
          <w:rFonts w:ascii="宋体" w:hAnsi="宋体"/>
          <w:b/>
          <w:bCs/>
          <w:sz w:val="28"/>
          <w:szCs w:val="28"/>
        </w:rPr>
      </w:pPr>
      <w:r>
        <w:rPr>
          <w:rFonts w:hint="eastAsia" w:ascii="宋体" w:hAnsi="宋体"/>
          <w:b/>
          <w:bCs/>
          <w:sz w:val="28"/>
          <w:szCs w:val="28"/>
        </w:rPr>
        <w:t xml:space="preserve">                   </w:t>
      </w:r>
    </w:p>
    <w:p>
      <w:pPr>
        <w:jc w:val="center"/>
        <w:rPr>
          <w:rFonts w:ascii="宋体" w:hAnsi="宋体" w:cs="宋体"/>
        </w:rPr>
      </w:pPr>
      <w:r>
        <w:rPr>
          <w:rFonts w:hint="eastAsia" w:ascii="宋体" w:hAnsi="宋体" w:cs="宋体"/>
        </w:rPr>
        <w:drawing>
          <wp:inline distT="0" distB="0" distL="114300" distR="114300">
            <wp:extent cx="2087880" cy="2087880"/>
            <wp:effectExtent l="0" t="0" r="7620" b="7620"/>
            <wp:docPr id="3" name="图片 1" descr="8c0c254f5bac29386bedbdebed6ff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8c0c254f5bac29386bedbdebed6ff22"/>
                    <pic:cNvPicPr>
                      <a:picLocks noChangeAspect="1"/>
                    </pic:cNvPicPr>
                  </pic:nvPicPr>
                  <pic:blipFill>
                    <a:blip r:embed="rId6"/>
                    <a:stretch>
                      <a:fillRect/>
                    </a:stretch>
                  </pic:blipFill>
                  <pic:spPr>
                    <a:xfrm>
                      <a:off x="0" y="0"/>
                      <a:ext cx="2087880" cy="2087880"/>
                    </a:xfrm>
                    <a:prstGeom prst="rect">
                      <a:avLst/>
                    </a:prstGeom>
                    <a:noFill/>
                    <a:ln>
                      <a:noFill/>
                    </a:ln>
                  </pic:spPr>
                </pic:pic>
              </a:graphicData>
            </a:graphic>
          </wp:inline>
        </w:drawing>
      </w:r>
    </w:p>
    <w:p>
      <w:pPr>
        <w:pStyle w:val="2"/>
        <w:rPr>
          <w:rFonts w:ascii="宋体" w:hAnsi="宋体" w:cs="宋体"/>
        </w:rPr>
      </w:pPr>
    </w:p>
    <w:p/>
    <w:p>
      <w:pPr>
        <w:jc w:val="center"/>
        <w:rPr>
          <w:rFonts w:ascii="宋体" w:hAnsi="宋体"/>
          <w:b/>
          <w:bCs/>
          <w:w w:val="90"/>
          <w:sz w:val="96"/>
          <w:szCs w:val="72"/>
        </w:rPr>
      </w:pPr>
      <w:r>
        <w:rPr>
          <w:rFonts w:hint="eastAsia" w:ascii="宋体" w:hAnsi="宋体"/>
          <w:b/>
          <w:bCs/>
          <w:w w:val="90"/>
          <w:sz w:val="96"/>
          <w:szCs w:val="72"/>
        </w:rPr>
        <w:t>竞争性磋商采购文件</w:t>
      </w:r>
    </w:p>
    <w:p>
      <w:pPr>
        <w:rPr>
          <w:rFonts w:ascii="华文楷体" w:hAnsi="华文楷体" w:eastAsia="华文楷体"/>
        </w:rPr>
      </w:pPr>
    </w:p>
    <w:p>
      <w:pPr>
        <w:pStyle w:val="7"/>
        <w:rPr>
          <w:rFonts w:ascii="华文楷体" w:hAnsi="华文楷体" w:eastAsia="华文楷体"/>
        </w:rPr>
      </w:pPr>
    </w:p>
    <w:p/>
    <w:p>
      <w:pPr>
        <w:spacing w:before="331" w:beforeLines="100" w:line="700" w:lineRule="exact"/>
        <w:ind w:firstLine="723" w:firstLineChars="200"/>
        <w:jc w:val="left"/>
        <w:rPr>
          <w:b/>
          <w:sz w:val="36"/>
          <w:szCs w:val="36"/>
        </w:rPr>
      </w:pPr>
      <w:r>
        <w:rPr>
          <w:rFonts w:hint="eastAsia"/>
          <w:b/>
          <w:sz w:val="36"/>
          <w:szCs w:val="36"/>
        </w:rPr>
        <w:t>项目名称：</w:t>
      </w:r>
      <w:r>
        <w:rPr>
          <w:rFonts w:hint="eastAsia"/>
          <w:b/>
          <w:sz w:val="36"/>
          <w:szCs w:val="36"/>
          <w:lang w:eastAsia="zh-CN"/>
        </w:rPr>
        <w:t>推行政府购买服务加强基层社会救助经办服务能力</w:t>
      </w:r>
      <w:r>
        <w:rPr>
          <w:rFonts w:hint="eastAsia"/>
          <w:b/>
          <w:sz w:val="36"/>
          <w:szCs w:val="36"/>
        </w:rPr>
        <w:t xml:space="preserve"> </w:t>
      </w:r>
    </w:p>
    <w:p>
      <w:pPr>
        <w:spacing w:before="331" w:beforeLines="100" w:line="700" w:lineRule="exact"/>
        <w:ind w:firstLine="723" w:firstLineChars="200"/>
        <w:rPr>
          <w:b/>
          <w:sz w:val="32"/>
          <w:szCs w:val="32"/>
        </w:rPr>
      </w:pPr>
      <w:r>
        <w:rPr>
          <w:rFonts w:hint="eastAsia"/>
          <w:b/>
          <w:sz w:val="36"/>
          <w:szCs w:val="36"/>
        </w:rPr>
        <w:t>项目编号：MSZC2021-C3-01583</w:t>
      </w:r>
    </w:p>
    <w:p/>
    <w:p>
      <w:pPr>
        <w:ind w:firstLine="1446" w:firstLineChars="450"/>
        <w:rPr>
          <w:b/>
          <w:sz w:val="32"/>
          <w:szCs w:val="32"/>
        </w:rPr>
      </w:pPr>
      <w:r>
        <w:rPr>
          <w:rFonts w:hint="eastAsia"/>
          <w:b/>
          <w:sz w:val="32"/>
          <w:szCs w:val="32"/>
        </w:rPr>
        <w:t>采购人：蒙山县民政局</w:t>
      </w:r>
    </w:p>
    <w:p>
      <w:pPr>
        <w:ind w:firstLine="1439" w:firstLineChars="448"/>
        <w:rPr>
          <w:b/>
          <w:sz w:val="32"/>
          <w:szCs w:val="32"/>
        </w:rPr>
      </w:pPr>
      <w:r>
        <w:rPr>
          <w:rFonts w:hint="eastAsia"/>
          <w:b/>
          <w:sz w:val="32"/>
          <w:szCs w:val="32"/>
        </w:rPr>
        <w:t>采购代理机构：京延工程咨询有限公司</w:t>
      </w:r>
    </w:p>
    <w:p>
      <w:pPr>
        <w:ind w:firstLine="3855" w:firstLineChars="1200"/>
        <w:rPr>
          <w:rFonts w:ascii="黑体" w:eastAsia="黑体"/>
          <w:sz w:val="36"/>
          <w:szCs w:val="36"/>
        </w:rPr>
      </w:pPr>
      <w:r>
        <w:rPr>
          <w:rFonts w:hint="eastAsia"/>
          <w:b/>
          <w:sz w:val="32"/>
          <w:szCs w:val="32"/>
        </w:rPr>
        <w:t>2021</w:t>
      </w:r>
      <w:r>
        <w:rPr>
          <w:rFonts w:hint="eastAsia"/>
          <w:b/>
          <w:spacing w:val="-8"/>
          <w:sz w:val="32"/>
          <w:szCs w:val="32"/>
        </w:rPr>
        <w:t>年9月</w:t>
      </w:r>
    </w:p>
    <w:p>
      <w:pPr>
        <w:pStyle w:val="24"/>
        <w:ind w:left="0"/>
        <w:jc w:val="center"/>
        <w:rPr>
          <w:rFonts w:ascii="黑体" w:eastAsia="黑体"/>
          <w:sz w:val="36"/>
          <w:szCs w:val="36"/>
        </w:rPr>
      </w:pPr>
      <w:r>
        <w:rPr>
          <w:rFonts w:hint="eastAsia" w:ascii="黑体" w:eastAsia="黑体"/>
          <w:sz w:val="36"/>
          <w:szCs w:val="36"/>
        </w:rPr>
        <w:t>目    录</w:t>
      </w:r>
    </w:p>
    <w:p/>
    <w:p/>
    <w:p>
      <w:pPr>
        <w:pStyle w:val="24"/>
        <w:spacing w:line="900" w:lineRule="exact"/>
        <w:ind w:left="539"/>
        <w:rPr>
          <w:rStyle w:val="36"/>
          <w:rFonts w:eastAsia="方正隶书简体"/>
          <w:color w:val="auto"/>
          <w:sz w:val="36"/>
          <w:szCs w:val="36"/>
        </w:rPr>
      </w:pPr>
      <w:r>
        <w:rPr>
          <w:rStyle w:val="36"/>
          <w:rFonts w:ascii="Times New Roman" w:hAnsi="Times New Roman" w:eastAsia="方正隶书简体"/>
          <w:color w:val="auto"/>
          <w:sz w:val="36"/>
          <w:szCs w:val="36"/>
        </w:rPr>
        <w:fldChar w:fldCharType="begin"/>
      </w:r>
      <w:r>
        <w:rPr>
          <w:rStyle w:val="36"/>
          <w:rFonts w:ascii="Times New Roman" w:hAnsi="Times New Roman" w:eastAsia="方正隶书简体"/>
          <w:color w:val="auto"/>
          <w:sz w:val="36"/>
          <w:szCs w:val="36"/>
        </w:rPr>
        <w:instrText xml:space="preserve"> TOC \o "1-3" \h \z \u </w:instrText>
      </w:r>
      <w:r>
        <w:rPr>
          <w:rStyle w:val="36"/>
          <w:rFonts w:ascii="Times New Roman" w:hAnsi="Times New Roman" w:eastAsia="方正隶书简体"/>
          <w:color w:val="auto"/>
          <w:sz w:val="36"/>
          <w:szCs w:val="36"/>
        </w:rPr>
        <w:fldChar w:fldCharType="separate"/>
      </w:r>
      <w:r>
        <w:fldChar w:fldCharType="begin"/>
      </w:r>
      <w:r>
        <w:instrText xml:space="preserve"> HYPERLINK \l "_Toc444005977" </w:instrText>
      </w:r>
      <w:r>
        <w:fldChar w:fldCharType="separate"/>
      </w:r>
      <w:r>
        <w:rPr>
          <w:rStyle w:val="36"/>
          <w:rFonts w:hint="eastAsia" w:ascii="黑体" w:hAnsi="黑体" w:eastAsia="黑体" w:cs="黑体"/>
          <w:color w:val="auto"/>
          <w:sz w:val="36"/>
          <w:szCs w:val="36"/>
        </w:rPr>
        <w:t>竞争性磋商公告</w:t>
      </w:r>
      <w:r>
        <w:rPr>
          <w:rStyle w:val="36"/>
          <w:rFonts w:hint="eastAsia" w:ascii="黑体" w:hAnsi="黑体" w:eastAsia="黑体" w:cs="黑体"/>
          <w:color w:val="auto"/>
          <w:sz w:val="36"/>
          <w:szCs w:val="36"/>
        </w:rPr>
        <w:tab/>
      </w:r>
      <w:r>
        <w:rPr>
          <w:rStyle w:val="36"/>
          <w:rFonts w:hint="eastAsia" w:ascii="黑体" w:hAnsi="黑体" w:eastAsia="黑体" w:cs="黑体"/>
          <w:color w:val="auto"/>
          <w:sz w:val="36"/>
          <w:szCs w:val="36"/>
        </w:rPr>
        <w:t>3</w:t>
      </w:r>
      <w:r>
        <w:rPr>
          <w:rStyle w:val="36"/>
          <w:rFonts w:hint="eastAsia" w:ascii="黑体" w:hAnsi="黑体" w:eastAsia="黑体" w:cs="黑体"/>
          <w:color w:val="auto"/>
          <w:sz w:val="36"/>
          <w:szCs w:val="36"/>
        </w:rPr>
        <w:fldChar w:fldCharType="end"/>
      </w:r>
    </w:p>
    <w:p>
      <w:pPr>
        <w:pStyle w:val="24"/>
        <w:spacing w:line="900" w:lineRule="exact"/>
        <w:ind w:left="539"/>
        <w:rPr>
          <w:rFonts w:ascii="黑体" w:hAnsi="黑体" w:eastAsia="黑体" w:cs="黑体"/>
          <w:sz w:val="36"/>
          <w:szCs w:val="36"/>
        </w:rPr>
      </w:pPr>
      <w:r>
        <w:fldChar w:fldCharType="begin"/>
      </w:r>
      <w:r>
        <w:instrText xml:space="preserve"> HYPERLINK \l "_Toc444005978" </w:instrText>
      </w:r>
      <w:r>
        <w:fldChar w:fldCharType="separate"/>
      </w:r>
      <w:r>
        <w:rPr>
          <w:rFonts w:hint="eastAsia" w:ascii="黑体" w:hAnsi="黑体" w:eastAsia="黑体" w:cs="黑体"/>
          <w:sz w:val="36"/>
          <w:szCs w:val="36"/>
        </w:rPr>
        <w:t>第一章 服务商须知及前附表</w:t>
      </w:r>
      <w:r>
        <w:rPr>
          <w:rFonts w:hint="eastAsia" w:ascii="黑体" w:hAnsi="黑体" w:eastAsia="黑体" w:cs="黑体"/>
          <w:sz w:val="36"/>
          <w:szCs w:val="36"/>
        </w:rPr>
        <w:tab/>
      </w:r>
      <w:r>
        <w:rPr>
          <w:rFonts w:hint="eastAsia" w:ascii="黑体" w:hAnsi="黑体" w:eastAsia="黑体" w:cs="黑体"/>
          <w:sz w:val="36"/>
          <w:szCs w:val="36"/>
        </w:rPr>
        <w:t>6</w:t>
      </w:r>
      <w:r>
        <w:rPr>
          <w:rFonts w:hint="eastAsia" w:ascii="黑体" w:hAnsi="黑体" w:eastAsia="黑体" w:cs="黑体"/>
          <w:sz w:val="36"/>
          <w:szCs w:val="36"/>
        </w:rPr>
        <w:fldChar w:fldCharType="end"/>
      </w:r>
    </w:p>
    <w:p>
      <w:pPr>
        <w:pStyle w:val="24"/>
        <w:spacing w:line="900" w:lineRule="exact"/>
        <w:ind w:left="539"/>
        <w:rPr>
          <w:rFonts w:ascii="黑体" w:hAnsi="黑体" w:eastAsia="黑体" w:cs="黑体"/>
          <w:sz w:val="36"/>
          <w:szCs w:val="36"/>
        </w:rPr>
      </w:pPr>
      <w:r>
        <w:fldChar w:fldCharType="begin"/>
      </w:r>
      <w:r>
        <w:instrText xml:space="preserve"> HYPERLINK \l "_Toc444006018" </w:instrText>
      </w:r>
      <w:r>
        <w:fldChar w:fldCharType="separate"/>
      </w:r>
      <w:r>
        <w:rPr>
          <w:rFonts w:hint="eastAsia" w:ascii="黑体" w:hAnsi="黑体" w:eastAsia="黑体" w:cs="黑体"/>
          <w:sz w:val="36"/>
          <w:szCs w:val="36"/>
        </w:rPr>
        <w:t>第二章 服务内容及要求</w:t>
      </w:r>
      <w:r>
        <w:rPr>
          <w:rFonts w:hint="eastAsia" w:ascii="黑体" w:hAnsi="黑体" w:eastAsia="黑体" w:cs="黑体"/>
          <w:sz w:val="36"/>
          <w:szCs w:val="36"/>
        </w:rPr>
        <w:tab/>
      </w: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 PAGEREF _Toc444006018 \h </w:instrText>
      </w:r>
      <w:r>
        <w:rPr>
          <w:rFonts w:hint="eastAsia" w:ascii="黑体" w:hAnsi="黑体" w:eastAsia="黑体" w:cs="黑体"/>
          <w:sz w:val="36"/>
          <w:szCs w:val="36"/>
        </w:rPr>
        <w:fldChar w:fldCharType="separate"/>
      </w:r>
      <w:r>
        <w:rPr>
          <w:rFonts w:hint="eastAsia" w:ascii="黑体" w:hAnsi="黑体" w:eastAsia="黑体" w:cs="黑体"/>
          <w:sz w:val="36"/>
          <w:szCs w:val="36"/>
        </w:rPr>
        <w:t>21</w:t>
      </w:r>
      <w:r>
        <w:rPr>
          <w:rFonts w:hint="eastAsia" w:ascii="黑体" w:hAnsi="黑体" w:eastAsia="黑体" w:cs="黑体"/>
          <w:sz w:val="36"/>
          <w:szCs w:val="36"/>
        </w:rPr>
        <w:fldChar w:fldCharType="end"/>
      </w:r>
      <w:r>
        <w:rPr>
          <w:rFonts w:hint="eastAsia" w:ascii="黑体" w:hAnsi="黑体" w:eastAsia="黑体" w:cs="黑体"/>
          <w:sz w:val="36"/>
          <w:szCs w:val="36"/>
        </w:rPr>
        <w:fldChar w:fldCharType="end"/>
      </w:r>
    </w:p>
    <w:p>
      <w:pPr>
        <w:pStyle w:val="24"/>
        <w:spacing w:line="900" w:lineRule="exact"/>
        <w:ind w:left="539"/>
        <w:rPr>
          <w:rFonts w:ascii="黑体" w:hAnsi="黑体" w:eastAsia="黑体" w:cs="黑体"/>
          <w:sz w:val="36"/>
          <w:szCs w:val="36"/>
        </w:rPr>
      </w:pPr>
      <w:r>
        <w:fldChar w:fldCharType="begin"/>
      </w:r>
      <w:r>
        <w:instrText xml:space="preserve"> HYPERLINK \l "_Toc444006019" </w:instrText>
      </w:r>
      <w:r>
        <w:fldChar w:fldCharType="separate"/>
      </w:r>
      <w:r>
        <w:rPr>
          <w:rFonts w:hint="eastAsia" w:ascii="黑体" w:hAnsi="黑体" w:eastAsia="黑体" w:cs="黑体"/>
          <w:sz w:val="36"/>
          <w:szCs w:val="36"/>
        </w:rPr>
        <w:t>第三章 政府采购合同（格式）</w:t>
      </w:r>
      <w:r>
        <w:rPr>
          <w:rFonts w:hint="eastAsia" w:ascii="黑体" w:hAnsi="黑体" w:eastAsia="黑体" w:cs="黑体"/>
          <w:sz w:val="36"/>
          <w:szCs w:val="36"/>
        </w:rPr>
        <w:tab/>
      </w: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 PAGEREF _Toc444006019 \h </w:instrText>
      </w:r>
      <w:r>
        <w:rPr>
          <w:rFonts w:hint="eastAsia" w:ascii="黑体" w:hAnsi="黑体" w:eastAsia="黑体" w:cs="黑体"/>
          <w:sz w:val="36"/>
          <w:szCs w:val="36"/>
        </w:rPr>
        <w:fldChar w:fldCharType="separate"/>
      </w:r>
      <w:r>
        <w:rPr>
          <w:rFonts w:hint="eastAsia" w:ascii="黑体" w:hAnsi="黑体" w:eastAsia="黑体" w:cs="黑体"/>
          <w:sz w:val="36"/>
          <w:szCs w:val="36"/>
        </w:rPr>
        <w:t>21</w:t>
      </w:r>
      <w:r>
        <w:rPr>
          <w:rFonts w:hint="eastAsia" w:ascii="黑体" w:hAnsi="黑体" w:eastAsia="黑体" w:cs="黑体"/>
          <w:sz w:val="36"/>
          <w:szCs w:val="36"/>
        </w:rPr>
        <w:fldChar w:fldCharType="end"/>
      </w:r>
      <w:r>
        <w:rPr>
          <w:rFonts w:hint="eastAsia" w:ascii="黑体" w:hAnsi="黑体" w:eastAsia="黑体" w:cs="黑体"/>
          <w:sz w:val="36"/>
          <w:szCs w:val="36"/>
        </w:rPr>
        <w:fldChar w:fldCharType="end"/>
      </w:r>
    </w:p>
    <w:p>
      <w:pPr>
        <w:pStyle w:val="24"/>
        <w:spacing w:line="900" w:lineRule="exact"/>
        <w:ind w:left="539"/>
        <w:rPr>
          <w:rFonts w:ascii="黑体" w:hAnsi="黑体" w:eastAsia="黑体" w:cs="黑体"/>
          <w:sz w:val="36"/>
          <w:szCs w:val="36"/>
        </w:rPr>
      </w:pPr>
      <w:r>
        <w:fldChar w:fldCharType="begin"/>
      </w:r>
      <w:r>
        <w:instrText xml:space="preserve"> HYPERLINK \l "_Toc444006020" </w:instrText>
      </w:r>
      <w:r>
        <w:fldChar w:fldCharType="separate"/>
      </w:r>
      <w:r>
        <w:rPr>
          <w:rFonts w:hint="eastAsia" w:ascii="黑体" w:hAnsi="黑体" w:eastAsia="黑体" w:cs="黑体"/>
          <w:sz w:val="36"/>
          <w:szCs w:val="36"/>
        </w:rPr>
        <w:t>第四章 评标方法</w:t>
      </w:r>
      <w:r>
        <w:rPr>
          <w:rFonts w:hint="eastAsia" w:ascii="黑体" w:hAnsi="黑体" w:eastAsia="黑体" w:cs="黑体"/>
          <w:sz w:val="36"/>
          <w:szCs w:val="36"/>
        </w:rPr>
        <w:tab/>
      </w:r>
      <w:r>
        <w:rPr>
          <w:rFonts w:hint="eastAsia" w:ascii="黑体" w:hAnsi="黑体" w:eastAsia="黑体" w:cs="黑体"/>
          <w:sz w:val="36"/>
          <w:szCs w:val="36"/>
        </w:rPr>
        <w:fldChar w:fldCharType="end"/>
      </w:r>
      <w:r>
        <w:rPr>
          <w:rFonts w:hint="eastAsia" w:ascii="黑体" w:hAnsi="黑体" w:eastAsia="黑体" w:cs="黑体"/>
          <w:sz w:val="36"/>
          <w:szCs w:val="36"/>
        </w:rPr>
        <w:t>31</w:t>
      </w:r>
    </w:p>
    <w:p>
      <w:pPr>
        <w:pStyle w:val="24"/>
        <w:spacing w:line="900" w:lineRule="exact"/>
        <w:ind w:left="539"/>
        <w:rPr>
          <w:rFonts w:ascii="黑体" w:hAnsi="黑体" w:eastAsia="黑体" w:cs="黑体"/>
          <w:sz w:val="36"/>
          <w:szCs w:val="36"/>
        </w:rPr>
      </w:pPr>
      <w:r>
        <w:fldChar w:fldCharType="begin"/>
      </w:r>
      <w:r>
        <w:instrText xml:space="preserve"> HYPERLINK \l "_Toc444006024" </w:instrText>
      </w:r>
      <w:r>
        <w:fldChar w:fldCharType="separate"/>
      </w:r>
      <w:r>
        <w:rPr>
          <w:rFonts w:hint="eastAsia" w:ascii="黑体" w:hAnsi="黑体" w:eastAsia="黑体" w:cs="黑体"/>
          <w:sz w:val="36"/>
          <w:szCs w:val="36"/>
        </w:rPr>
        <w:t>第五章 响应文件（格式）</w:t>
      </w:r>
      <w:r>
        <w:rPr>
          <w:rFonts w:hint="eastAsia" w:ascii="黑体" w:hAnsi="黑体" w:eastAsia="黑体" w:cs="黑体"/>
          <w:sz w:val="36"/>
          <w:szCs w:val="36"/>
        </w:rPr>
        <w:tab/>
      </w:r>
      <w:r>
        <w:rPr>
          <w:rFonts w:hint="eastAsia" w:ascii="黑体" w:hAnsi="黑体" w:eastAsia="黑体" w:cs="黑体"/>
          <w:sz w:val="36"/>
          <w:szCs w:val="36"/>
        </w:rPr>
        <w:fldChar w:fldCharType="end"/>
      </w:r>
      <w:r>
        <w:rPr>
          <w:rFonts w:hint="eastAsia" w:ascii="黑体" w:hAnsi="黑体" w:eastAsia="黑体" w:cs="黑体"/>
          <w:sz w:val="36"/>
          <w:szCs w:val="36"/>
        </w:rPr>
        <w:t>45</w:t>
      </w:r>
    </w:p>
    <w:p>
      <w:pPr>
        <w:pStyle w:val="24"/>
        <w:spacing w:line="900" w:lineRule="exact"/>
        <w:ind w:left="539"/>
        <w:rPr>
          <w:spacing w:val="-8"/>
          <w:sz w:val="28"/>
        </w:rPr>
      </w:pPr>
      <w:r>
        <w:rPr>
          <w:rStyle w:val="36"/>
          <w:rFonts w:ascii="Times New Roman" w:hAnsi="Times New Roman" w:eastAsia="方正隶书简体"/>
          <w:color w:val="auto"/>
          <w:sz w:val="36"/>
          <w:szCs w:val="36"/>
        </w:rPr>
        <w:fldChar w:fldCharType="end"/>
      </w:r>
    </w:p>
    <w:p>
      <w:pPr>
        <w:pStyle w:val="18"/>
      </w:pPr>
    </w:p>
    <w:p>
      <w:pPr>
        <w:pStyle w:val="18"/>
      </w:pPr>
    </w:p>
    <w:p>
      <w:pPr>
        <w:pStyle w:val="18"/>
      </w:pPr>
    </w:p>
    <w:p>
      <w:pPr>
        <w:pStyle w:val="18"/>
      </w:pPr>
    </w:p>
    <w:p>
      <w:pPr>
        <w:pStyle w:val="18"/>
      </w:pPr>
    </w:p>
    <w:p>
      <w:pPr>
        <w:pStyle w:val="18"/>
      </w:pPr>
    </w:p>
    <w:p>
      <w:pPr>
        <w:pStyle w:val="18"/>
        <w:spacing w:line="140" w:lineRule="exact"/>
      </w:pPr>
    </w:p>
    <w:p>
      <w:pPr>
        <w:pStyle w:val="18"/>
        <w:spacing w:line="140" w:lineRule="exact"/>
      </w:pPr>
    </w:p>
    <w:p>
      <w:pPr>
        <w:pStyle w:val="18"/>
        <w:spacing w:line="140" w:lineRule="exact"/>
      </w:pPr>
    </w:p>
    <w:p>
      <w:pPr>
        <w:pStyle w:val="18"/>
        <w:spacing w:line="140" w:lineRule="exact"/>
      </w:pPr>
    </w:p>
    <w:p>
      <w:pPr>
        <w:pStyle w:val="18"/>
        <w:spacing w:line="140" w:lineRule="exact"/>
      </w:pPr>
    </w:p>
    <w:p>
      <w:pPr>
        <w:pStyle w:val="18"/>
        <w:spacing w:line="140" w:lineRule="exact"/>
      </w:pPr>
    </w:p>
    <w:p>
      <w:pPr>
        <w:pStyle w:val="18"/>
        <w:spacing w:line="140" w:lineRule="exact"/>
      </w:pPr>
    </w:p>
    <w:p>
      <w:pPr>
        <w:pStyle w:val="18"/>
        <w:spacing w:line="140" w:lineRule="exact"/>
      </w:pPr>
    </w:p>
    <w:p>
      <w:pPr>
        <w:pStyle w:val="18"/>
        <w:spacing w:line="140" w:lineRule="exact"/>
      </w:pPr>
    </w:p>
    <w:p>
      <w:pPr>
        <w:pStyle w:val="18"/>
        <w:spacing w:line="140" w:lineRule="exact"/>
      </w:pPr>
    </w:p>
    <w:p>
      <w:pPr>
        <w:pStyle w:val="18"/>
        <w:spacing w:line="140" w:lineRule="exact"/>
      </w:pPr>
    </w:p>
    <w:p>
      <w:pPr>
        <w:pStyle w:val="18"/>
        <w:spacing w:line="140" w:lineRule="exact"/>
      </w:pPr>
    </w:p>
    <w:p>
      <w:pPr>
        <w:pStyle w:val="19"/>
        <w:ind w:left="5250"/>
      </w:pPr>
    </w:p>
    <w:p/>
    <w:p>
      <w:pPr>
        <w:pStyle w:val="2"/>
      </w:pPr>
    </w:p>
    <w:p>
      <w:pPr>
        <w:pStyle w:val="18"/>
        <w:spacing w:line="140" w:lineRule="exact"/>
      </w:pPr>
    </w:p>
    <w:p>
      <w:pPr>
        <w:pStyle w:val="18"/>
        <w:spacing w:line="140" w:lineRule="exact"/>
      </w:pPr>
    </w:p>
    <w:p>
      <w:pPr>
        <w:pStyle w:val="19"/>
        <w:ind w:left="5250"/>
      </w:pPr>
    </w:p>
    <w:p>
      <w:pPr>
        <w:pStyle w:val="18"/>
        <w:spacing w:line="140" w:lineRule="exact"/>
      </w:pPr>
    </w:p>
    <w:p>
      <w:pPr>
        <w:pStyle w:val="18"/>
        <w:spacing w:line="140" w:lineRule="exact"/>
      </w:pPr>
    </w:p>
    <w:p>
      <w:pPr>
        <w:pStyle w:val="18"/>
        <w:spacing w:line="140" w:lineRule="exact"/>
      </w:pPr>
    </w:p>
    <w:p>
      <w:pPr>
        <w:pStyle w:val="18"/>
        <w:spacing w:line="140" w:lineRule="exact"/>
      </w:pPr>
    </w:p>
    <w:p>
      <w:pPr>
        <w:pStyle w:val="18"/>
      </w:pPr>
    </w:p>
    <w:p>
      <w:pPr>
        <w:pStyle w:val="18"/>
        <w:pBdr>
          <w:bottom w:val="single" w:color="auto" w:sz="6" w:space="1"/>
        </w:pBdr>
        <w:jc w:val="center"/>
        <w:rPr>
          <w:rFonts w:hAnsi="宋体"/>
          <w:b/>
          <w:sz w:val="32"/>
          <w:szCs w:val="32"/>
        </w:rPr>
      </w:pPr>
      <w:r>
        <w:rPr>
          <w:rFonts w:hint="eastAsia" w:hAnsi="宋体"/>
          <w:b/>
          <w:sz w:val="32"/>
          <w:szCs w:val="32"/>
        </w:rPr>
        <w:t>京延工程咨询有限公司</w:t>
      </w:r>
    </w:p>
    <w:p>
      <w:pPr>
        <w:pStyle w:val="18"/>
        <w:jc w:val="center"/>
        <w:rPr>
          <w:rFonts w:hAnsi="宋体"/>
          <w:b/>
          <w:sz w:val="32"/>
          <w:szCs w:val="32"/>
        </w:rPr>
      </w:pPr>
      <w:r>
        <w:rPr>
          <w:rFonts w:hint="eastAsia" w:hAnsi="宋体"/>
          <w:b/>
          <w:sz w:val="32"/>
          <w:szCs w:val="32"/>
          <w:lang w:eastAsia="zh-CN"/>
        </w:rPr>
        <w:t>推行政府购买服务加强基层社会救助经办服务能力</w:t>
      </w:r>
      <w:r>
        <w:rPr>
          <w:rFonts w:hint="eastAsia" w:hAnsi="宋体"/>
          <w:b/>
          <w:sz w:val="32"/>
          <w:szCs w:val="32"/>
        </w:rPr>
        <w:t xml:space="preserve"> </w:t>
      </w:r>
    </w:p>
    <w:p>
      <w:pPr>
        <w:pStyle w:val="18"/>
        <w:jc w:val="center"/>
        <w:rPr>
          <w:rFonts w:hAnsi="宋体"/>
          <w:b/>
          <w:sz w:val="32"/>
          <w:szCs w:val="32"/>
        </w:rPr>
      </w:pPr>
      <w:r>
        <w:rPr>
          <w:rFonts w:hAnsi="宋体"/>
          <w:b/>
          <w:sz w:val="32"/>
          <w:szCs w:val="32"/>
        </w:rPr>
        <w:t>（</w:t>
      </w:r>
      <w:bookmarkStart w:id="0" w:name="_Toc444005977"/>
      <w:r>
        <w:rPr>
          <w:rFonts w:hint="eastAsia" w:hAnsi="宋体"/>
          <w:b/>
          <w:sz w:val="32"/>
          <w:szCs w:val="32"/>
        </w:rPr>
        <w:t>MSZC2021-C3-01583）</w:t>
      </w:r>
    </w:p>
    <w:p>
      <w:pPr>
        <w:pStyle w:val="18"/>
        <w:jc w:val="center"/>
        <w:rPr>
          <w:rFonts w:hAnsi="宋体"/>
          <w:bCs/>
          <w:sz w:val="32"/>
          <w:szCs w:val="32"/>
        </w:rPr>
      </w:pPr>
      <w:r>
        <w:rPr>
          <w:rFonts w:hAnsi="宋体"/>
          <w:b/>
          <w:bCs/>
          <w:sz w:val="32"/>
          <w:szCs w:val="32"/>
        </w:rPr>
        <w:t>竞争性磋商公告</w:t>
      </w:r>
      <w:bookmarkEnd w:id="0"/>
    </w:p>
    <w:p>
      <w:pPr>
        <w:pBdr>
          <w:top w:val="single" w:color="auto" w:sz="4" w:space="0"/>
          <w:left w:val="single" w:color="auto" w:sz="4" w:space="0"/>
          <w:bottom w:val="single" w:color="auto" w:sz="4" w:space="0"/>
          <w:right w:val="single" w:color="auto" w:sz="4" w:space="0"/>
        </w:pBdr>
        <w:spacing w:line="360" w:lineRule="auto"/>
        <w:rPr>
          <w:rFonts w:ascii="宋体" w:hAnsi="宋体"/>
          <w:bCs/>
        </w:rPr>
      </w:pPr>
      <w:r>
        <w:rPr>
          <w:rFonts w:hint="eastAsia" w:ascii="宋体" w:hAnsi="宋体"/>
          <w:bCs/>
        </w:rPr>
        <w:t>项目概况：</w:t>
      </w:r>
    </w:p>
    <w:p>
      <w:pPr>
        <w:pBdr>
          <w:top w:val="single" w:color="auto" w:sz="4" w:space="0"/>
          <w:left w:val="single" w:color="auto" w:sz="4" w:space="0"/>
          <w:bottom w:val="single" w:color="auto" w:sz="4" w:space="0"/>
          <w:right w:val="single" w:color="auto" w:sz="4" w:space="0"/>
        </w:pBdr>
        <w:spacing w:line="360" w:lineRule="auto"/>
        <w:ind w:firstLine="420" w:firstLineChars="200"/>
        <w:rPr>
          <w:rFonts w:ascii="宋体" w:hAnsi="宋体"/>
          <w:bCs/>
        </w:rPr>
      </w:pPr>
      <w:r>
        <w:rPr>
          <w:rFonts w:hint="eastAsia" w:ascii="宋体" w:hAnsi="宋体"/>
          <w:bCs/>
          <w:u w:val="single"/>
          <w:lang w:eastAsia="zh-CN"/>
        </w:rPr>
        <w:t>推行政府购买服务加强基层社会救助经办服务能力</w:t>
      </w:r>
      <w:r>
        <w:rPr>
          <w:rFonts w:hint="eastAsia" w:ascii="宋体" w:hAnsi="宋体"/>
          <w:bCs/>
          <w:u w:val="single"/>
        </w:rPr>
        <w:t xml:space="preserve"> （项目编号：MSZC2021-C3-01583）</w:t>
      </w:r>
      <w:r>
        <w:rPr>
          <w:rFonts w:hint="eastAsia" w:ascii="宋体" w:hAnsi="宋体"/>
          <w:bCs/>
        </w:rPr>
        <w:t>的潜在服务商应在</w:t>
      </w:r>
      <w:r>
        <w:rPr>
          <w:rFonts w:hint="eastAsia" w:ascii="宋体" w:hAnsi="宋体"/>
          <w:bCs/>
          <w:u w:val="single"/>
        </w:rPr>
        <w:t>“政府采购云平台”（https://www.zcy.gov.cn）</w:t>
      </w:r>
      <w:r>
        <w:rPr>
          <w:rFonts w:hint="eastAsia" w:ascii="宋体" w:hAnsi="宋体"/>
          <w:bCs/>
        </w:rPr>
        <w:t>获取采购文件，并于</w:t>
      </w:r>
      <w:r>
        <w:rPr>
          <w:rFonts w:hint="eastAsia" w:ascii="宋体" w:hAnsi="宋体"/>
          <w:bCs/>
          <w:u w:val="single"/>
        </w:rPr>
        <w:t xml:space="preserve">2021年  </w:t>
      </w:r>
      <w:r>
        <w:rPr>
          <w:rFonts w:hint="eastAsia" w:ascii="宋体" w:hAnsi="宋体"/>
          <w:bCs/>
          <w:u w:val="single"/>
          <w:lang w:val="en-US" w:eastAsia="zh-CN"/>
        </w:rPr>
        <w:t>10</w:t>
      </w:r>
      <w:r>
        <w:rPr>
          <w:rFonts w:hint="eastAsia" w:ascii="宋体" w:hAnsi="宋体"/>
          <w:bCs/>
          <w:u w:val="single"/>
        </w:rPr>
        <w:t xml:space="preserve"> 月 </w:t>
      </w:r>
      <w:r>
        <w:rPr>
          <w:rFonts w:hint="eastAsia" w:ascii="宋体" w:hAnsi="宋体"/>
          <w:bCs/>
          <w:u w:val="single"/>
          <w:lang w:val="en-US" w:eastAsia="zh-CN"/>
        </w:rPr>
        <w:t>20</w:t>
      </w:r>
      <w:r>
        <w:rPr>
          <w:rFonts w:hint="eastAsia" w:ascii="宋体" w:hAnsi="宋体"/>
          <w:bCs/>
          <w:u w:val="single"/>
        </w:rPr>
        <w:t xml:space="preserve"> 日9时30分</w:t>
      </w:r>
      <w:r>
        <w:rPr>
          <w:rFonts w:hint="eastAsia" w:ascii="宋体" w:hAnsi="宋体"/>
          <w:bCs/>
        </w:rPr>
        <w:t>（北京时间）前提交响应文件。</w:t>
      </w:r>
    </w:p>
    <w:p>
      <w:pPr>
        <w:spacing w:line="360" w:lineRule="auto"/>
        <w:ind w:firstLine="422" w:firstLineChars="200"/>
        <w:rPr>
          <w:rFonts w:ascii="宋体" w:hAnsi="宋体"/>
          <w:b/>
        </w:rPr>
      </w:pPr>
      <w:r>
        <w:rPr>
          <w:rFonts w:hint="eastAsia" w:ascii="宋体" w:hAnsi="宋体"/>
          <w:b/>
        </w:rPr>
        <w:t>一、项目基本情况：</w:t>
      </w:r>
    </w:p>
    <w:p>
      <w:pPr>
        <w:spacing w:line="360" w:lineRule="auto"/>
        <w:ind w:firstLine="420" w:firstLineChars="200"/>
        <w:rPr>
          <w:rFonts w:ascii="宋体" w:hAnsi="宋体"/>
          <w:bCs/>
        </w:rPr>
      </w:pPr>
      <w:r>
        <w:rPr>
          <w:rFonts w:hint="eastAsia" w:ascii="宋体" w:hAnsi="宋体"/>
          <w:bCs/>
        </w:rPr>
        <w:t>项目编号：MSZC2021-C3-01583</w:t>
      </w:r>
    </w:p>
    <w:p>
      <w:pPr>
        <w:spacing w:line="360" w:lineRule="auto"/>
        <w:ind w:firstLine="420" w:firstLineChars="200"/>
        <w:rPr>
          <w:rFonts w:ascii="宋体" w:hAnsi="宋体"/>
          <w:bCs/>
        </w:rPr>
      </w:pPr>
      <w:r>
        <w:rPr>
          <w:rFonts w:hint="eastAsia" w:ascii="宋体" w:hAnsi="宋体"/>
          <w:bCs/>
        </w:rPr>
        <w:t>项目名称：</w:t>
      </w:r>
      <w:r>
        <w:rPr>
          <w:rFonts w:hint="eastAsia" w:ascii="宋体" w:hAnsi="宋体"/>
          <w:bCs/>
          <w:lang w:eastAsia="zh-CN"/>
        </w:rPr>
        <w:t>推行政府购买服务加强基层社会救助经办服务能力</w:t>
      </w:r>
      <w:r>
        <w:rPr>
          <w:rFonts w:hint="eastAsia" w:ascii="宋体" w:hAnsi="宋体"/>
          <w:bCs/>
        </w:rPr>
        <w:t xml:space="preserve"> </w:t>
      </w:r>
    </w:p>
    <w:p>
      <w:pPr>
        <w:spacing w:line="360" w:lineRule="auto"/>
        <w:ind w:firstLine="420" w:firstLineChars="200"/>
        <w:rPr>
          <w:rFonts w:ascii="宋体" w:hAnsi="宋体"/>
          <w:bCs/>
        </w:rPr>
      </w:pPr>
      <w:r>
        <w:rPr>
          <w:rFonts w:hint="eastAsia" w:ascii="宋体" w:hAnsi="宋体"/>
          <w:bCs/>
        </w:rPr>
        <w:t xml:space="preserve">采购方式： 竞争性磋商  </w:t>
      </w:r>
    </w:p>
    <w:p>
      <w:pPr>
        <w:spacing w:line="360" w:lineRule="auto"/>
        <w:ind w:firstLine="420" w:firstLineChars="200"/>
        <w:rPr>
          <w:rFonts w:ascii="宋体" w:hAnsi="宋体"/>
          <w:bCs/>
        </w:rPr>
      </w:pPr>
      <w:r>
        <w:rPr>
          <w:rFonts w:hint="eastAsia" w:ascii="宋体" w:hAnsi="宋体"/>
          <w:bCs/>
        </w:rPr>
        <w:t>预算金额： 170万元。</w:t>
      </w:r>
    </w:p>
    <w:p>
      <w:pPr>
        <w:pStyle w:val="2"/>
        <w:ind w:left="0" w:leftChars="0"/>
      </w:pPr>
      <w:r>
        <w:rPr>
          <w:rFonts w:hint="eastAsia" w:ascii="宋体" w:hAnsi="宋体"/>
          <w:bCs/>
        </w:rPr>
        <w:t xml:space="preserve">    最高限价：同上</w:t>
      </w:r>
    </w:p>
    <w:p>
      <w:pPr>
        <w:ind w:firstLine="420" w:firstLineChars="200"/>
        <w:rPr>
          <w:rFonts w:ascii="宋体" w:hAnsi="宋体"/>
          <w:bCs/>
        </w:rPr>
      </w:pPr>
      <w:r>
        <w:rPr>
          <w:rFonts w:hint="eastAsia" w:ascii="宋体" w:hAnsi="宋体"/>
          <w:bCs/>
        </w:rPr>
        <w:t>采购需求：</w:t>
      </w:r>
    </w:p>
    <w:tbl>
      <w:tblPr>
        <w:tblStyle w:val="32"/>
        <w:tblpPr w:leftFromText="180" w:rightFromText="180" w:vertAnchor="text" w:horzAnchor="page" w:tblpXSpec="center" w:tblpY="266"/>
        <w:tblOverlap w:val="never"/>
        <w:tblW w:w="90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2520"/>
        <w:gridCol w:w="5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567" w:type="dxa"/>
            <w:noWrap/>
            <w:vAlign w:val="center"/>
          </w:tcPr>
          <w:p>
            <w:pPr>
              <w:pStyle w:val="78"/>
              <w:ind w:right="105"/>
              <w:jc w:val="center"/>
              <w:rPr>
                <w:rFonts w:ascii="宋体" w:hAnsi="宋体" w:cs="宋体"/>
                <w:szCs w:val="21"/>
              </w:rPr>
            </w:pPr>
            <w:r>
              <w:rPr>
                <w:rFonts w:hint="eastAsia" w:ascii="宋体" w:hAnsi="宋体" w:cs="宋体"/>
                <w:szCs w:val="21"/>
              </w:rPr>
              <w:t>序号</w:t>
            </w:r>
          </w:p>
        </w:tc>
        <w:tc>
          <w:tcPr>
            <w:tcW w:w="2520" w:type="dxa"/>
            <w:noWrap/>
            <w:vAlign w:val="center"/>
          </w:tcPr>
          <w:p>
            <w:pPr>
              <w:pStyle w:val="78"/>
              <w:ind w:right="140"/>
              <w:jc w:val="center"/>
              <w:rPr>
                <w:rFonts w:ascii="宋体" w:hAnsi="宋体" w:cs="宋体"/>
                <w:szCs w:val="21"/>
              </w:rPr>
            </w:pPr>
            <w:r>
              <w:rPr>
                <w:rFonts w:hint="eastAsia" w:cs="宋体"/>
                <w:szCs w:val="21"/>
              </w:rPr>
              <w:t>采购名称</w:t>
            </w:r>
          </w:p>
        </w:tc>
        <w:tc>
          <w:tcPr>
            <w:tcW w:w="5930" w:type="dxa"/>
            <w:noWrap/>
            <w:vAlign w:val="center"/>
          </w:tcPr>
          <w:p>
            <w:pPr>
              <w:pStyle w:val="78"/>
              <w:ind w:right="151"/>
              <w:jc w:val="center"/>
              <w:rPr>
                <w:rFonts w:ascii="宋体" w:hAnsi="宋体" w:cs="宋体"/>
                <w:szCs w:val="21"/>
              </w:rPr>
            </w:pPr>
            <w:r>
              <w:rPr>
                <w:rFonts w:hint="eastAsia" w:ascii="宋体" w:hAnsi="宋体" w:cs="宋体"/>
                <w:szCs w:val="21"/>
              </w:rPr>
              <w:t>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2" w:hRule="atLeast"/>
          <w:jc w:val="center"/>
        </w:trPr>
        <w:tc>
          <w:tcPr>
            <w:tcW w:w="567" w:type="dxa"/>
            <w:noWrap/>
          </w:tcPr>
          <w:p>
            <w:pPr>
              <w:pStyle w:val="78"/>
              <w:spacing w:line="360" w:lineRule="auto"/>
              <w:jc w:val="center"/>
              <w:rPr>
                <w:rFonts w:ascii="宋体" w:hAnsi="宋体" w:cs="宋体"/>
                <w:szCs w:val="21"/>
              </w:rPr>
            </w:pPr>
          </w:p>
          <w:p>
            <w:pPr>
              <w:pStyle w:val="78"/>
              <w:spacing w:line="360" w:lineRule="auto"/>
              <w:ind w:right="158"/>
              <w:jc w:val="center"/>
              <w:rPr>
                <w:rFonts w:ascii="宋体" w:hAnsi="宋体" w:cs="宋体"/>
                <w:szCs w:val="21"/>
              </w:rPr>
            </w:pPr>
          </w:p>
          <w:p>
            <w:pPr>
              <w:pStyle w:val="78"/>
              <w:spacing w:line="360" w:lineRule="auto"/>
              <w:ind w:right="158"/>
              <w:jc w:val="center"/>
              <w:rPr>
                <w:rFonts w:ascii="宋体" w:hAnsi="宋体" w:cs="宋体"/>
                <w:szCs w:val="21"/>
              </w:rPr>
            </w:pPr>
            <w:r>
              <w:rPr>
                <w:rFonts w:hint="eastAsia" w:ascii="宋体" w:hAnsi="宋体" w:cs="宋体"/>
                <w:szCs w:val="21"/>
              </w:rPr>
              <w:t>1</w:t>
            </w:r>
          </w:p>
        </w:tc>
        <w:tc>
          <w:tcPr>
            <w:tcW w:w="2520" w:type="dxa"/>
            <w:noWrap/>
            <w:vAlign w:val="center"/>
          </w:tcPr>
          <w:p>
            <w:pPr>
              <w:pStyle w:val="38"/>
              <w:spacing w:line="360" w:lineRule="auto"/>
              <w:ind w:firstLine="0" w:firstLineChars="0"/>
              <w:rPr>
                <w:rFonts w:ascii="宋体" w:hAnsi="宋体" w:cs="宋体"/>
                <w:szCs w:val="21"/>
              </w:rPr>
            </w:pPr>
            <w:r>
              <w:rPr>
                <w:rFonts w:hint="eastAsia" w:ascii="宋体" w:hAnsi="宋体" w:cs="宋体"/>
                <w:szCs w:val="21"/>
                <w:lang w:eastAsia="zh-CN"/>
              </w:rPr>
              <w:t>推行政府购买服务加强基层社会救助经办服务能力</w:t>
            </w:r>
            <w:r>
              <w:rPr>
                <w:rFonts w:hint="eastAsia" w:ascii="宋体" w:hAnsi="宋体" w:cs="宋体"/>
                <w:szCs w:val="21"/>
              </w:rPr>
              <w:t xml:space="preserve"> </w:t>
            </w:r>
          </w:p>
        </w:tc>
        <w:tc>
          <w:tcPr>
            <w:tcW w:w="5930" w:type="dxa"/>
            <w:noWrap/>
            <w:vAlign w:val="center"/>
          </w:tcPr>
          <w:p>
            <w:pPr>
              <w:pStyle w:val="78"/>
              <w:spacing w:line="360" w:lineRule="auto"/>
              <w:rPr>
                <w:rFonts w:ascii="宋体" w:hAnsi="宋体" w:cs="宋体"/>
                <w:szCs w:val="21"/>
              </w:rPr>
            </w:pPr>
            <w:r>
              <w:rPr>
                <w:rFonts w:hint="eastAsia" w:ascii="宋体" w:hAnsi="宋体" w:cs="宋体"/>
                <w:szCs w:val="21"/>
              </w:rPr>
              <w:t>关于</w:t>
            </w:r>
            <w:r>
              <w:rPr>
                <w:rFonts w:hint="eastAsia" w:ascii="宋体" w:hAnsi="宋体" w:cs="宋体"/>
                <w:szCs w:val="21"/>
                <w:lang w:eastAsia="zh-CN"/>
              </w:rPr>
              <w:t>推行政府购买服务加强基层社会救助经办服务能力</w:t>
            </w:r>
            <w:r>
              <w:rPr>
                <w:rFonts w:hint="eastAsia" w:ascii="宋体" w:hAnsi="宋体" w:cs="宋体"/>
                <w:szCs w:val="21"/>
              </w:rPr>
              <w:t>的实施方案</w:t>
            </w:r>
          </w:p>
        </w:tc>
      </w:tr>
    </w:tbl>
    <w:p>
      <w:pPr>
        <w:spacing w:line="360" w:lineRule="auto"/>
        <w:ind w:firstLine="420" w:firstLineChars="200"/>
        <w:rPr>
          <w:rFonts w:ascii="宋体" w:hAnsi="宋体"/>
          <w:bCs/>
        </w:rPr>
      </w:pPr>
      <w:r>
        <w:rPr>
          <w:rFonts w:hint="eastAsia" w:ascii="宋体" w:hAnsi="宋体"/>
          <w:bCs/>
        </w:rPr>
        <w:t>合同履行期限：自合同签订之日起两年内开展相关核查工作，具体时间计划安排按照实际要求执行。</w:t>
      </w:r>
    </w:p>
    <w:p>
      <w:pPr>
        <w:tabs>
          <w:tab w:val="left" w:pos="6572"/>
        </w:tabs>
        <w:spacing w:line="360" w:lineRule="auto"/>
        <w:ind w:firstLine="420" w:firstLineChars="200"/>
        <w:rPr>
          <w:rFonts w:ascii="宋体" w:hAnsi="宋体"/>
          <w:bCs/>
        </w:rPr>
      </w:pPr>
      <w:r>
        <w:rPr>
          <w:rFonts w:hint="eastAsia" w:ascii="宋体" w:hAnsi="宋体"/>
          <w:bCs/>
        </w:rPr>
        <w:t>本项目</w:t>
      </w:r>
      <w:r>
        <w:rPr>
          <w:rFonts w:hint="eastAsia" w:ascii="宋体" w:hAnsi="宋体"/>
          <w:bCs/>
          <w:u w:val="single"/>
        </w:rPr>
        <w:t>不接受</w:t>
      </w:r>
      <w:r>
        <w:rPr>
          <w:rFonts w:hint="eastAsia" w:ascii="宋体" w:hAnsi="宋体"/>
          <w:bCs/>
        </w:rPr>
        <w:t>联合体。</w:t>
      </w:r>
      <w:r>
        <w:rPr>
          <w:rFonts w:hint="eastAsia" w:ascii="宋体" w:hAnsi="宋体"/>
          <w:bCs/>
        </w:rPr>
        <w:tab/>
      </w:r>
    </w:p>
    <w:p>
      <w:pPr>
        <w:spacing w:line="360" w:lineRule="auto"/>
        <w:ind w:firstLine="422" w:firstLineChars="200"/>
        <w:rPr>
          <w:rFonts w:ascii="宋体" w:hAnsi="宋体"/>
          <w:b/>
        </w:rPr>
      </w:pPr>
      <w:r>
        <w:rPr>
          <w:rFonts w:hint="eastAsia" w:ascii="宋体" w:hAnsi="宋体"/>
          <w:b/>
        </w:rPr>
        <w:t>二、申请人的资格要求：</w:t>
      </w:r>
    </w:p>
    <w:p>
      <w:pPr>
        <w:spacing w:line="360" w:lineRule="auto"/>
        <w:ind w:firstLine="420" w:firstLineChars="200"/>
        <w:rPr>
          <w:rFonts w:ascii="宋体" w:hAnsi="宋体"/>
          <w:bCs/>
        </w:rPr>
      </w:pPr>
      <w:r>
        <w:rPr>
          <w:rFonts w:hint="eastAsia" w:ascii="宋体" w:hAnsi="宋体"/>
          <w:bCs/>
        </w:rPr>
        <w:t>1、</w:t>
      </w:r>
      <w:r>
        <w:rPr>
          <w:rFonts w:hint="eastAsia" w:ascii="宋体" w:hAnsi="宋体" w:cs="宋体"/>
        </w:rPr>
        <w:t>满足《中华人民共和国政府采购法》第二十二条规定</w:t>
      </w:r>
      <w:r>
        <w:rPr>
          <w:rFonts w:hint="eastAsia" w:ascii="宋体" w:hAnsi="宋体"/>
          <w:bCs/>
        </w:rPr>
        <w:t>；</w:t>
      </w:r>
    </w:p>
    <w:p>
      <w:pPr>
        <w:snapToGrid w:val="0"/>
        <w:spacing w:line="360" w:lineRule="auto"/>
        <w:ind w:firstLine="420" w:firstLineChars="200"/>
        <w:rPr>
          <w:rFonts w:ascii="宋体" w:hAnsi="宋体"/>
          <w:bCs/>
        </w:rPr>
      </w:pPr>
      <w:r>
        <w:rPr>
          <w:rFonts w:hint="eastAsia" w:ascii="宋体" w:hAnsi="宋体"/>
          <w:bCs/>
        </w:rPr>
        <w:t>2.本项目需落实的政府采购政策：本项目属于非专门面向中小企业采购的项目；</w:t>
      </w:r>
    </w:p>
    <w:p>
      <w:pPr>
        <w:snapToGrid w:val="0"/>
        <w:spacing w:line="360" w:lineRule="auto"/>
        <w:ind w:firstLine="420" w:firstLineChars="200"/>
        <w:rPr>
          <w:rFonts w:ascii="宋体" w:hAnsi="宋体"/>
          <w:bCs/>
        </w:rPr>
      </w:pPr>
      <w:r>
        <w:rPr>
          <w:rFonts w:hint="eastAsia" w:ascii="宋体" w:hAnsi="宋体" w:cs="Arial"/>
          <w:szCs w:val="21"/>
        </w:rPr>
        <w:t>3、</w:t>
      </w:r>
      <w:r>
        <w:rPr>
          <w:rFonts w:hint="eastAsia" w:ascii="宋体" w:hAnsi="宋体"/>
          <w:bCs/>
        </w:rPr>
        <w:t>本项目的特定资格要求：</w:t>
      </w:r>
    </w:p>
    <w:p>
      <w:pPr>
        <w:spacing w:line="400" w:lineRule="exact"/>
        <w:rPr>
          <w:rFonts w:hint="eastAsia" w:ascii="宋体" w:hAnsi="宋体" w:cs="Arial"/>
          <w:szCs w:val="21"/>
        </w:rPr>
      </w:pPr>
      <w:r>
        <w:rPr>
          <w:rFonts w:hint="eastAsia" w:ascii="宋体" w:hAnsi="宋体" w:cs="Arial"/>
          <w:szCs w:val="21"/>
        </w:rPr>
        <w:t>①</w:t>
      </w:r>
      <w:r>
        <w:rPr>
          <w:rFonts w:hint="eastAsia" w:ascii="宋体" w:hAnsi="宋体"/>
          <w:bCs/>
        </w:rPr>
        <w:t>国内注册（指按国家有关规定要求注册的），具备法人资格且在民政部门登记注册的国内社会工作服</w:t>
      </w:r>
      <w:r>
        <w:rPr>
          <w:rFonts w:hint="eastAsia" w:ascii="宋体" w:hAnsi="宋体" w:cs="Arial"/>
          <w:szCs w:val="21"/>
        </w:rPr>
        <w:t>务机构，服务或经营范围应包含社会工作专业服务；</w:t>
      </w:r>
    </w:p>
    <w:p>
      <w:pPr>
        <w:snapToGrid w:val="0"/>
        <w:spacing w:line="360" w:lineRule="auto"/>
        <w:ind w:firstLine="630" w:firstLineChars="300"/>
        <w:rPr>
          <w:rFonts w:hint="eastAsia" w:ascii="宋体" w:hAnsi="宋体" w:eastAsia="宋体" w:cs="Arial"/>
          <w:szCs w:val="21"/>
          <w:lang w:eastAsia="zh-CN"/>
        </w:rPr>
      </w:pPr>
      <w:r>
        <w:rPr>
          <w:rFonts w:hint="eastAsia" w:ascii="宋体" w:hAnsi="宋体" w:cs="Arial"/>
          <w:szCs w:val="21"/>
        </w:rPr>
        <w:t>②单位负责人为同一人或者存在直接控股、管理关系的不同服务商，不得参加同一合同项下的政府采购活动</w:t>
      </w:r>
      <w:r>
        <w:rPr>
          <w:rFonts w:hint="eastAsia" w:ascii="宋体" w:hAnsi="宋体" w:cs="Arial"/>
          <w:szCs w:val="21"/>
          <w:lang w:eastAsia="zh-CN"/>
        </w:rPr>
        <w:t>；</w:t>
      </w:r>
    </w:p>
    <w:p>
      <w:pPr>
        <w:pStyle w:val="2"/>
        <w:ind w:left="0" w:leftChars="0"/>
        <w:rPr>
          <w:rFonts w:hint="eastAsia" w:eastAsia="宋体"/>
          <w:lang w:eastAsia="zh-CN"/>
        </w:rPr>
      </w:pPr>
      <w:r>
        <w:rPr>
          <w:rFonts w:hint="eastAsia" w:ascii="宋体" w:hAnsi="宋体" w:cs="Arial"/>
          <w:szCs w:val="21"/>
        </w:rPr>
        <w:t xml:space="preserve">      ③</w:t>
      </w:r>
      <w:r>
        <w:rPr>
          <w:rFonts w:hint="eastAsia" w:ascii="宋体" w:hAnsi="宋体" w:cs="宋体"/>
        </w:rPr>
        <w:t>本项目不接受联合体磋商</w:t>
      </w:r>
      <w:r>
        <w:rPr>
          <w:rFonts w:hint="eastAsia" w:ascii="宋体" w:hAnsi="宋体" w:cs="宋体"/>
          <w:lang w:eastAsia="zh-CN"/>
        </w:rPr>
        <w:t>。</w:t>
      </w:r>
    </w:p>
    <w:p>
      <w:pPr>
        <w:snapToGrid w:val="0"/>
        <w:spacing w:line="360" w:lineRule="auto"/>
        <w:ind w:firstLine="630" w:firstLineChars="300"/>
        <w:rPr>
          <w:rFonts w:ascii="宋体" w:hAnsi="宋体" w:cs="Arial"/>
          <w:szCs w:val="21"/>
        </w:rPr>
      </w:pPr>
      <w:r>
        <w:rPr>
          <w:rFonts w:hint="eastAsia" w:ascii="宋体" w:hAnsi="宋体" w:cs="Arial"/>
          <w:szCs w:val="21"/>
        </w:rPr>
        <w:t>4、在“信用中国”网站(www.creditchina.gov.cn)、中国政府采购网(www.ccgp.gov.cn)等渠道列入失信被执行人、重大税收违法案件当事人名单、政府采购严重违法失信行为记录名单及其他不符合《中华人民共和国政府采购法》第二十二条规定条件的服务商，不得参与本项目的采购活动。</w:t>
      </w:r>
    </w:p>
    <w:p>
      <w:pPr>
        <w:spacing w:line="360" w:lineRule="auto"/>
        <w:ind w:firstLine="422" w:firstLineChars="200"/>
        <w:rPr>
          <w:rFonts w:ascii="宋体" w:hAnsi="宋体"/>
          <w:b/>
        </w:rPr>
      </w:pPr>
      <w:r>
        <w:rPr>
          <w:rFonts w:hint="eastAsia" w:ascii="宋体" w:hAnsi="宋体"/>
          <w:b/>
        </w:rPr>
        <w:t>三、获取采购文件</w:t>
      </w:r>
    </w:p>
    <w:p>
      <w:pPr>
        <w:spacing w:line="360" w:lineRule="auto"/>
        <w:ind w:firstLine="420" w:firstLineChars="200"/>
        <w:rPr>
          <w:rFonts w:ascii="宋体" w:hAnsi="宋体"/>
          <w:bCs/>
        </w:rPr>
      </w:pPr>
      <w:r>
        <w:rPr>
          <w:rFonts w:hint="eastAsia" w:ascii="宋体" w:hAnsi="宋体"/>
          <w:bCs/>
        </w:rPr>
        <w:t xml:space="preserve">时间：2021年 </w:t>
      </w:r>
      <w:r>
        <w:rPr>
          <w:rFonts w:hint="eastAsia" w:ascii="宋体" w:hAnsi="宋体"/>
          <w:bCs/>
          <w:lang w:val="en-US" w:eastAsia="zh-CN"/>
        </w:rPr>
        <w:t>10</w:t>
      </w:r>
      <w:r>
        <w:rPr>
          <w:rFonts w:hint="eastAsia" w:ascii="宋体" w:hAnsi="宋体"/>
          <w:bCs/>
        </w:rPr>
        <w:t xml:space="preserve"> 月</w:t>
      </w:r>
      <w:r>
        <w:rPr>
          <w:rFonts w:hint="eastAsia" w:ascii="宋体" w:hAnsi="宋体"/>
          <w:bCs/>
          <w:lang w:val="en-US" w:eastAsia="zh-CN"/>
        </w:rPr>
        <w:t>9</w:t>
      </w:r>
      <w:bookmarkStart w:id="271" w:name="_GoBack"/>
      <w:bookmarkEnd w:id="271"/>
      <w:r>
        <w:rPr>
          <w:rFonts w:hint="eastAsia" w:ascii="宋体" w:hAnsi="宋体"/>
          <w:bCs/>
        </w:rPr>
        <w:t xml:space="preserve"> 日至2021年 </w:t>
      </w:r>
      <w:r>
        <w:rPr>
          <w:rFonts w:hint="eastAsia" w:ascii="宋体" w:hAnsi="宋体"/>
          <w:bCs/>
          <w:lang w:val="en-US" w:eastAsia="zh-CN"/>
        </w:rPr>
        <w:t>10</w:t>
      </w:r>
      <w:r>
        <w:rPr>
          <w:rFonts w:hint="eastAsia" w:ascii="宋体" w:hAnsi="宋体"/>
          <w:bCs/>
        </w:rPr>
        <w:t xml:space="preserve"> 月</w:t>
      </w:r>
      <w:r>
        <w:rPr>
          <w:rFonts w:hint="eastAsia" w:ascii="宋体" w:hAnsi="宋体"/>
          <w:bCs/>
          <w:lang w:val="en-US" w:eastAsia="zh-CN"/>
        </w:rPr>
        <w:t>14</w:t>
      </w:r>
      <w:r>
        <w:rPr>
          <w:rFonts w:hint="eastAsia" w:ascii="宋体" w:hAnsi="宋体"/>
          <w:bCs/>
        </w:rPr>
        <w:t xml:space="preserve"> 日止；</w:t>
      </w:r>
    </w:p>
    <w:p>
      <w:pPr>
        <w:spacing w:line="360" w:lineRule="auto"/>
        <w:ind w:firstLine="420" w:firstLineChars="200"/>
        <w:rPr>
          <w:rFonts w:ascii="宋体" w:hAnsi="宋体"/>
          <w:bCs/>
        </w:rPr>
      </w:pPr>
      <w:r>
        <w:rPr>
          <w:rFonts w:hint="eastAsia" w:ascii="宋体" w:hAnsi="宋体"/>
          <w:bCs/>
        </w:rPr>
        <w:t>方式：登陆“政府采购云平台”（https://www.zcy.gov.cn）下载招标文件。</w:t>
      </w:r>
    </w:p>
    <w:p>
      <w:pPr>
        <w:widowControl/>
        <w:spacing w:before="60" w:after="60" w:line="480" w:lineRule="auto"/>
        <w:ind w:firstLine="420" w:firstLineChars="200"/>
        <w:jc w:val="left"/>
      </w:pPr>
      <w:r>
        <w:rPr>
          <w:rFonts w:hint="eastAsia" w:ascii="宋体" w:hAnsi="宋体" w:cs="宋体"/>
          <w:kern w:val="0"/>
          <w:szCs w:val="21"/>
        </w:rPr>
        <w:t>提示：服务商只有在“政采云平台”完成获取采购文件申请并下载了采购文件后才视作依法获取采购文件，售价（元）：0 </w:t>
      </w:r>
    </w:p>
    <w:p>
      <w:pPr>
        <w:spacing w:line="360" w:lineRule="auto"/>
        <w:ind w:firstLine="422" w:firstLineChars="200"/>
        <w:rPr>
          <w:rFonts w:ascii="宋体" w:hAnsi="宋体"/>
          <w:b/>
        </w:rPr>
      </w:pPr>
      <w:r>
        <w:rPr>
          <w:rFonts w:hint="eastAsia" w:ascii="宋体" w:hAnsi="宋体"/>
          <w:b/>
        </w:rPr>
        <w:t>四、响应文件提交</w:t>
      </w:r>
    </w:p>
    <w:p>
      <w:pPr>
        <w:spacing w:line="360" w:lineRule="auto"/>
        <w:ind w:firstLine="420" w:firstLineChars="200"/>
        <w:rPr>
          <w:rFonts w:ascii="宋体" w:hAnsi="宋体"/>
          <w:bCs/>
        </w:rPr>
      </w:pPr>
      <w:r>
        <w:rPr>
          <w:rFonts w:hint="eastAsia" w:ascii="宋体" w:hAnsi="宋体"/>
          <w:bCs/>
        </w:rPr>
        <w:t xml:space="preserve">截止时间：2021年 </w:t>
      </w:r>
      <w:r>
        <w:rPr>
          <w:rFonts w:hint="eastAsia" w:ascii="宋体" w:hAnsi="宋体"/>
          <w:bCs/>
          <w:lang w:val="en-US" w:eastAsia="zh-CN"/>
        </w:rPr>
        <w:t>10</w:t>
      </w:r>
      <w:r>
        <w:rPr>
          <w:rFonts w:hint="eastAsia" w:ascii="宋体" w:hAnsi="宋体"/>
          <w:bCs/>
        </w:rPr>
        <w:t xml:space="preserve"> 月 </w:t>
      </w:r>
      <w:r>
        <w:rPr>
          <w:rFonts w:hint="eastAsia" w:ascii="宋体" w:hAnsi="宋体"/>
          <w:bCs/>
          <w:lang w:val="en-US" w:eastAsia="zh-CN"/>
        </w:rPr>
        <w:t>20</w:t>
      </w:r>
      <w:r>
        <w:rPr>
          <w:rFonts w:hint="eastAsia" w:ascii="宋体" w:hAnsi="宋体"/>
          <w:bCs/>
        </w:rPr>
        <w:t xml:space="preserve">  日9时30分（北京时间）</w:t>
      </w:r>
    </w:p>
    <w:p>
      <w:pPr>
        <w:spacing w:line="360" w:lineRule="auto"/>
        <w:ind w:firstLine="210" w:firstLineChars="100"/>
        <w:rPr>
          <w:rFonts w:ascii="宋体" w:hAnsi="宋体"/>
          <w:bCs/>
        </w:rPr>
      </w:pPr>
      <w:r>
        <w:rPr>
          <w:rFonts w:hint="eastAsia" w:ascii="宋体" w:hAnsi="宋体" w:cs="宋体"/>
          <w:kern w:val="0"/>
          <w:szCs w:val="21"/>
        </w:rPr>
        <w:t>地点（网址）：http://www.zcygov.cn（本项目不要求投标服务商到达开标现场，但服务商应派法定代表人或委托代理人准时在线出席电子开评标会议，随时关注开评标进度，如在开评标过程中有电子询标，应在规定的时间内对电子询标函进行澄清回复。）</w:t>
      </w:r>
      <w:r>
        <w:rPr>
          <w:rFonts w:hint="eastAsia" w:ascii="宋体" w:hAnsi="宋体"/>
          <w:bCs/>
        </w:rPr>
        <w:t>蒙山县公共资源交易中心开标厅（即县政务服务中心四楼）。</w:t>
      </w:r>
    </w:p>
    <w:p>
      <w:pPr>
        <w:spacing w:line="360" w:lineRule="auto"/>
        <w:ind w:firstLine="422" w:firstLineChars="200"/>
        <w:rPr>
          <w:rFonts w:ascii="宋体" w:hAnsi="宋体"/>
          <w:b/>
        </w:rPr>
      </w:pPr>
      <w:r>
        <w:rPr>
          <w:rFonts w:hint="eastAsia" w:ascii="宋体" w:hAnsi="宋体"/>
          <w:b/>
        </w:rPr>
        <w:t>五、开启</w:t>
      </w:r>
    </w:p>
    <w:p>
      <w:pPr>
        <w:spacing w:line="360" w:lineRule="auto"/>
        <w:ind w:firstLine="420" w:firstLineChars="200"/>
        <w:rPr>
          <w:rFonts w:ascii="宋体" w:hAnsi="宋体"/>
          <w:bCs/>
        </w:rPr>
      </w:pPr>
      <w:r>
        <w:rPr>
          <w:rFonts w:hint="eastAsia" w:ascii="宋体" w:hAnsi="宋体"/>
          <w:bCs/>
        </w:rPr>
        <w:t xml:space="preserve">时间：2021年 </w:t>
      </w:r>
      <w:r>
        <w:rPr>
          <w:rFonts w:hint="eastAsia" w:ascii="宋体" w:hAnsi="宋体"/>
          <w:bCs/>
          <w:lang w:val="en-US" w:eastAsia="zh-CN"/>
        </w:rPr>
        <w:t>10</w:t>
      </w:r>
      <w:r>
        <w:rPr>
          <w:rFonts w:hint="eastAsia" w:ascii="宋体" w:hAnsi="宋体"/>
          <w:bCs/>
        </w:rPr>
        <w:t xml:space="preserve"> 月 </w:t>
      </w:r>
      <w:r>
        <w:rPr>
          <w:rFonts w:hint="eastAsia" w:ascii="宋体" w:hAnsi="宋体"/>
          <w:bCs/>
          <w:lang w:val="en-US" w:eastAsia="zh-CN"/>
        </w:rPr>
        <w:t>20</w:t>
      </w:r>
      <w:r>
        <w:rPr>
          <w:rFonts w:hint="eastAsia" w:ascii="宋体" w:hAnsi="宋体"/>
          <w:bCs/>
        </w:rPr>
        <w:t xml:space="preserve"> 日9时30分（北京时间）</w:t>
      </w:r>
    </w:p>
    <w:p>
      <w:pPr>
        <w:spacing w:line="360" w:lineRule="auto"/>
        <w:ind w:firstLine="420" w:firstLineChars="200"/>
        <w:rPr>
          <w:rFonts w:ascii="宋体" w:hAnsi="宋体"/>
          <w:bCs/>
        </w:rPr>
      </w:pPr>
      <w:r>
        <w:rPr>
          <w:rFonts w:hint="eastAsia" w:ascii="宋体" w:hAnsi="宋体"/>
          <w:bCs/>
        </w:rPr>
        <w:t>地点：蒙山县公共资源交易中心开标厅（即县政务服务中心四楼）评标厅。</w:t>
      </w:r>
    </w:p>
    <w:p>
      <w:pPr>
        <w:spacing w:line="360" w:lineRule="auto"/>
        <w:ind w:firstLine="422" w:firstLineChars="200"/>
        <w:rPr>
          <w:rFonts w:ascii="宋体" w:hAnsi="宋体"/>
          <w:b/>
        </w:rPr>
      </w:pPr>
      <w:r>
        <w:rPr>
          <w:rFonts w:hint="eastAsia" w:ascii="宋体" w:hAnsi="宋体"/>
          <w:b/>
        </w:rPr>
        <w:t>六、公告期限</w:t>
      </w:r>
    </w:p>
    <w:p>
      <w:pPr>
        <w:spacing w:line="360" w:lineRule="auto"/>
        <w:ind w:firstLine="420" w:firstLineChars="200"/>
        <w:rPr>
          <w:rFonts w:ascii="宋体" w:hAnsi="宋体"/>
          <w:bCs/>
        </w:rPr>
      </w:pPr>
      <w:r>
        <w:rPr>
          <w:rFonts w:hint="eastAsia" w:ascii="宋体" w:hAnsi="宋体"/>
          <w:bCs/>
        </w:rPr>
        <w:t>自本公告发布之日起5个工作日。</w:t>
      </w:r>
    </w:p>
    <w:p>
      <w:pPr>
        <w:numPr>
          <w:ilvl w:val="0"/>
          <w:numId w:val="1"/>
        </w:numPr>
        <w:spacing w:line="360" w:lineRule="auto"/>
        <w:ind w:firstLine="422" w:firstLineChars="200"/>
        <w:rPr>
          <w:rFonts w:ascii="宋体" w:hAnsi="宋体" w:cs="宋体"/>
          <w:szCs w:val="21"/>
        </w:rPr>
      </w:pPr>
      <w:r>
        <w:rPr>
          <w:rFonts w:hint="eastAsia" w:ascii="宋体" w:hAnsi="宋体"/>
          <w:b/>
        </w:rPr>
        <w:t>其他补充事宜：</w:t>
      </w:r>
    </w:p>
    <w:p>
      <w:pPr>
        <w:spacing w:line="360" w:lineRule="auto"/>
        <w:ind w:firstLine="422" w:firstLineChars="200"/>
        <w:rPr>
          <w:rStyle w:val="87"/>
          <w:rFonts w:cs="Arial"/>
          <w:color w:val="000000"/>
          <w:szCs w:val="21"/>
        </w:rPr>
      </w:pPr>
      <w:r>
        <w:rPr>
          <w:rFonts w:hint="eastAsia" w:ascii="宋体" w:hAnsi="宋体"/>
          <w:b/>
        </w:rPr>
        <w:t>1.</w:t>
      </w:r>
      <w:r>
        <w:rPr>
          <w:rFonts w:hint="eastAsia" w:ascii="宋体" w:hAnsi="宋体" w:cs="宋体"/>
          <w:szCs w:val="21"/>
        </w:rPr>
        <w:t>本项目需要落实的政府采购政策：落实政府采购政策需满足的资格要求：</w:t>
      </w:r>
      <w:r>
        <w:rPr>
          <w:rFonts w:hint="eastAsia" w:ascii="宋体" w:hAnsi="宋体"/>
          <w:bCs/>
        </w:rPr>
        <w:t>《政府采购促进中小企业发展暂行办法》（财库﹝2011﹞181号）、《关于政府采购支持监狱企业发展有关问题的通知》(财库﹝2014﹞68号)、《关于促进残疾人就业政府采购政策的通知》(财库〔2017〕141号)、《关于印发2020 年广西优化营商环境百日攻坚行动方案的通知》（桂政办发〔2020〕59 号）、强制采购、优先采购节能产品、环境标志产品；《招标采购促进广西工业产品产销对接实施细则》（桂政办发〔2015〕78号）等政府采购相关政策。评审时残疾人福利性单位、小型和微型企业产品的价格给予10%的扣除。监狱企业视同小型和微型企业，其产品在评审时给予相同的价格扣除；残疾人福利性单位属于小型、微型企业的，不重复享受政策。</w:t>
      </w:r>
    </w:p>
    <w:p>
      <w:pPr>
        <w:pStyle w:val="29"/>
        <w:spacing w:before="47" w:beforeAutospacing="0" w:after="47" w:afterAutospacing="0" w:line="276" w:lineRule="auto"/>
        <w:ind w:firstLine="735"/>
        <w:rPr>
          <w:rStyle w:val="87"/>
          <w:rFonts w:cs="Arial"/>
          <w:color w:val="000000"/>
          <w:sz w:val="21"/>
          <w:szCs w:val="21"/>
        </w:rPr>
      </w:pPr>
      <w:r>
        <w:rPr>
          <w:rStyle w:val="87"/>
          <w:rFonts w:hint="eastAsia" w:cs="Arial"/>
          <w:color w:val="000000"/>
          <w:sz w:val="21"/>
          <w:szCs w:val="21"/>
        </w:rPr>
        <w:t>2.</w:t>
      </w:r>
      <w:r>
        <w:rPr>
          <w:rStyle w:val="87"/>
          <w:rFonts w:cs="Arial"/>
          <w:color w:val="000000"/>
          <w:sz w:val="21"/>
          <w:szCs w:val="21"/>
        </w:rPr>
        <w:t>网上公告媒体查询</w:t>
      </w:r>
      <w:r>
        <w:rPr>
          <w:rStyle w:val="87"/>
          <w:rFonts w:hint="eastAsia" w:cs="Arial"/>
          <w:color w:val="000000"/>
          <w:sz w:val="21"/>
          <w:szCs w:val="21"/>
        </w:rPr>
        <w:t>广西壮族自治区政府采购网、梧州市政府采购网、</w:t>
      </w:r>
      <w:r>
        <w:rPr>
          <w:rFonts w:hint="eastAsia"/>
          <w:szCs w:val="21"/>
        </w:rPr>
        <w:t>广西蒙山县人民政府门户网</w:t>
      </w:r>
      <w:r>
        <w:rPr>
          <w:rStyle w:val="87"/>
          <w:rFonts w:cs="Arial"/>
          <w:color w:val="000000"/>
          <w:sz w:val="21"/>
          <w:szCs w:val="21"/>
        </w:rPr>
        <w:t>。</w:t>
      </w:r>
    </w:p>
    <w:p>
      <w:pPr>
        <w:pStyle w:val="29"/>
        <w:wordWrap w:val="0"/>
        <w:spacing w:before="47" w:beforeAutospacing="0" w:after="47" w:afterAutospacing="0" w:line="276" w:lineRule="auto"/>
        <w:ind w:firstLine="737"/>
      </w:pPr>
      <w:r>
        <w:rPr>
          <w:rStyle w:val="87"/>
          <w:rFonts w:hint="eastAsia" w:cs="Arial"/>
          <w:color w:val="000000"/>
          <w:sz w:val="21"/>
          <w:szCs w:val="21"/>
        </w:rPr>
        <w:t>3</w:t>
      </w:r>
      <w:r>
        <w:rPr>
          <w:rStyle w:val="87"/>
          <w:rFonts w:cs="Arial"/>
          <w:color w:val="000000"/>
          <w:sz w:val="21"/>
          <w:szCs w:val="21"/>
        </w:rPr>
        <w:t>.其他注意事项</w:t>
      </w:r>
      <w:r>
        <w:rPr>
          <w:rStyle w:val="87"/>
          <w:rFonts w:hint="eastAsia" w:cs="Arial"/>
          <w:color w:val="000000"/>
          <w:sz w:val="21"/>
          <w:szCs w:val="21"/>
        </w:rPr>
        <w:t>:</w:t>
      </w:r>
      <w:r>
        <w:rPr>
          <w:rStyle w:val="87"/>
          <w:rFonts w:cs="Arial"/>
          <w:color w:val="000000"/>
          <w:sz w:val="21"/>
          <w:szCs w:val="21"/>
        </w:rPr>
        <w:t xml:space="preserve"> （1）本项目实行电子标，供应商应按照本项目采购文件和政采云平台的要求编制、加密并提交响应文件。供应商在使用系统参与磋商过程中遇到涉及平台使用的任何问题，可致电政采云平台技术支持热线咨询，联系方式：400-881-7190。（2）供应商应及时熟悉掌握电子标系统操作指南（见政采云电子卖场首页右上角—服务中心—帮助文档—项目采购）：https://service.zcygov.cn/#/knowledges/tree?tag=AG1DtGwBFdiHxlNdhY0r。（3）供应商应及时完成CA申领和绑定（见广西壮族自治区政府采购网—办事服务—下载专区-政采云CA证书办理操作指南） （4）供应商通过政采云投标客户端软件制作响应文件，政采云投标客户端软件请供应商自行前往下载并安装（见广西壮族自治区政府采购网—办事服务—下载专区-广西壮族自治区全流程电子招投标项目管理系统--供应商客户端）。（5）因未注册入库、未办理CA数字证书、CA证书故障、操作不当等原因造成无法参与或磋商失败等后果由供应商自行承担。（6）响应文件网上递交截止后，政采云（电子标系统）自动提取所有响应文件，各供应商须在开启程序开始后30分钟内对上传政采云的响应文件进行解密，所有供应商在规定的解密时限内解密完成或解密时限结束后，</w:t>
      </w:r>
      <w:r>
        <w:rPr>
          <w:rStyle w:val="87"/>
          <w:rFonts w:hint="eastAsia" w:cs="Arial"/>
          <w:color w:val="000000"/>
          <w:sz w:val="21"/>
          <w:szCs w:val="21"/>
        </w:rPr>
        <w:t>代理机构</w:t>
      </w:r>
      <w:r>
        <w:rPr>
          <w:rStyle w:val="87"/>
          <w:rFonts w:cs="Arial"/>
          <w:color w:val="000000"/>
          <w:sz w:val="21"/>
          <w:szCs w:val="21"/>
        </w:rPr>
        <w:t>开启响应文件；供应商超过解密时限的，系统默认自动放弃</w:t>
      </w:r>
      <w:r>
        <w:rPr>
          <w:rStyle w:val="87"/>
          <w:rFonts w:hint="eastAsia" w:cs="Arial"/>
          <w:color w:val="000000"/>
          <w:sz w:val="21"/>
          <w:szCs w:val="21"/>
        </w:rPr>
        <w:t>。</w:t>
      </w:r>
    </w:p>
    <w:p>
      <w:pPr>
        <w:spacing w:line="360" w:lineRule="auto"/>
        <w:ind w:firstLine="422" w:firstLineChars="200"/>
        <w:rPr>
          <w:rFonts w:ascii="宋体" w:hAnsi="宋体"/>
          <w:b/>
        </w:rPr>
      </w:pPr>
      <w:r>
        <w:rPr>
          <w:rFonts w:hint="eastAsia" w:ascii="宋体" w:hAnsi="宋体"/>
          <w:b/>
        </w:rPr>
        <w:t>八、凡对本次采购提出询问，请按以下方式联系。</w:t>
      </w:r>
    </w:p>
    <w:p>
      <w:pPr>
        <w:spacing w:line="360" w:lineRule="auto"/>
        <w:rPr>
          <w:rFonts w:ascii="宋体" w:hAnsi="宋体" w:cs="宋体"/>
          <w:szCs w:val="21"/>
        </w:rPr>
      </w:pPr>
      <w:r>
        <w:rPr>
          <w:rFonts w:hint="eastAsia" w:ascii="宋体" w:hAnsi="宋体" w:cs="宋体"/>
          <w:szCs w:val="21"/>
        </w:rPr>
        <w:t xml:space="preserve">    1.采购人名称：</w:t>
      </w:r>
      <w:r>
        <w:rPr>
          <w:rFonts w:hint="eastAsia" w:ascii="宋体" w:hAnsi="宋体"/>
        </w:rPr>
        <w:t>蒙山县民政局</w:t>
      </w:r>
    </w:p>
    <w:p>
      <w:pPr>
        <w:spacing w:line="360" w:lineRule="auto"/>
        <w:rPr>
          <w:rFonts w:ascii="宋体" w:hAnsi="宋体" w:cs="宋体"/>
          <w:szCs w:val="21"/>
        </w:rPr>
      </w:pPr>
      <w:r>
        <w:rPr>
          <w:rFonts w:hint="eastAsia" w:ascii="宋体" w:hAnsi="宋体" w:cs="宋体"/>
          <w:szCs w:val="21"/>
        </w:rPr>
        <w:t xml:space="preserve">      地址：蒙山县蒙山镇湄江北路18号</w:t>
      </w:r>
    </w:p>
    <w:p>
      <w:pPr>
        <w:spacing w:line="360" w:lineRule="auto"/>
        <w:rPr>
          <w:rFonts w:ascii="宋体" w:hAnsi="宋体" w:cs="宋体"/>
          <w:szCs w:val="21"/>
        </w:rPr>
      </w:pPr>
      <w:r>
        <w:rPr>
          <w:rFonts w:hint="eastAsia" w:ascii="宋体" w:hAnsi="宋体" w:cs="宋体"/>
          <w:szCs w:val="21"/>
        </w:rPr>
        <w:t xml:space="preserve">      联系方式: 0774-6282371</w:t>
      </w:r>
    </w:p>
    <w:p>
      <w:pPr>
        <w:spacing w:line="360" w:lineRule="auto"/>
        <w:rPr>
          <w:rFonts w:ascii="宋体" w:hAnsi="宋体" w:cs="宋体"/>
          <w:szCs w:val="21"/>
        </w:rPr>
      </w:pPr>
      <w:r>
        <w:rPr>
          <w:rFonts w:hint="eastAsia" w:ascii="宋体" w:hAnsi="宋体" w:cs="宋体"/>
          <w:szCs w:val="21"/>
        </w:rPr>
        <w:t xml:space="preserve">    2.采购代理机构：京延工程咨询有限公司          </w:t>
      </w:r>
    </w:p>
    <w:p>
      <w:pPr>
        <w:pStyle w:val="18"/>
        <w:spacing w:line="400" w:lineRule="exact"/>
        <w:ind w:firstLine="630" w:firstLineChars="300"/>
        <w:rPr>
          <w:rFonts w:hAnsi="宋体" w:cs="宋体"/>
          <w:szCs w:val="21"/>
        </w:rPr>
      </w:pPr>
      <w:r>
        <w:rPr>
          <w:rFonts w:hint="eastAsia" w:hAnsi="宋体" w:cs="宋体"/>
          <w:szCs w:val="21"/>
        </w:rPr>
        <w:t>地址：</w:t>
      </w:r>
      <w:r>
        <w:rPr>
          <w:rFonts w:hint="eastAsia" w:ascii="ˎ̥" w:hAnsi="ˎ̥" w:cs="Arial"/>
          <w:kern w:val="0"/>
          <w:szCs w:val="21"/>
        </w:rPr>
        <w:t>蒙山县蒙山镇新公安局开发区协进陶瓷三楼</w:t>
      </w:r>
    </w:p>
    <w:p>
      <w:pPr>
        <w:spacing w:line="360" w:lineRule="auto"/>
        <w:rPr>
          <w:rFonts w:ascii="宋体" w:hAnsi="宋体" w:cs="宋体"/>
          <w:szCs w:val="21"/>
        </w:rPr>
      </w:pPr>
      <w:r>
        <w:rPr>
          <w:rFonts w:hint="eastAsia" w:ascii="宋体" w:hAnsi="宋体" w:cs="宋体"/>
          <w:szCs w:val="21"/>
        </w:rPr>
        <w:t xml:space="preserve">      联系方式：0774-6287088</w:t>
      </w:r>
    </w:p>
    <w:p>
      <w:pPr>
        <w:spacing w:line="360" w:lineRule="auto"/>
        <w:ind w:left="420"/>
      </w:pPr>
      <w:r>
        <w:rPr>
          <w:rFonts w:hint="eastAsia"/>
        </w:rPr>
        <w:t>3.项目联系方式</w:t>
      </w:r>
    </w:p>
    <w:p>
      <w:pPr>
        <w:spacing w:line="360" w:lineRule="auto"/>
        <w:ind w:firstLine="630" w:firstLineChars="300"/>
      </w:pPr>
      <w:r>
        <w:rPr>
          <w:rFonts w:hint="eastAsia"/>
        </w:rPr>
        <w:t>项目联系人：刘工</w:t>
      </w:r>
    </w:p>
    <w:p>
      <w:pPr>
        <w:spacing w:line="360" w:lineRule="auto"/>
        <w:ind w:firstLine="630" w:firstLineChars="300"/>
        <w:rPr>
          <w:rFonts w:ascii="宋体" w:hAnsi="宋体" w:cs="宋体"/>
          <w:szCs w:val="21"/>
        </w:rPr>
      </w:pPr>
      <w:r>
        <w:rPr>
          <w:rFonts w:hint="eastAsia"/>
        </w:rPr>
        <w:t>电话：0774-6287088</w:t>
      </w:r>
    </w:p>
    <w:p>
      <w:pPr>
        <w:spacing w:line="360" w:lineRule="auto"/>
        <w:jc w:val="right"/>
        <w:rPr>
          <w:rFonts w:hint="eastAsia" w:ascii="宋体" w:hAnsi="宋体" w:cs="宋体"/>
          <w:szCs w:val="21"/>
        </w:rPr>
      </w:pPr>
    </w:p>
    <w:p>
      <w:pPr>
        <w:spacing w:line="360" w:lineRule="auto"/>
        <w:jc w:val="right"/>
        <w:rPr>
          <w:rFonts w:ascii="宋体" w:hAnsi="宋体"/>
          <w:szCs w:val="21"/>
        </w:rPr>
      </w:pPr>
      <w:r>
        <w:rPr>
          <w:rFonts w:hint="eastAsia" w:ascii="宋体" w:hAnsi="宋体" w:cs="宋体"/>
          <w:szCs w:val="21"/>
        </w:rPr>
        <w:t>采购代理机构：</w:t>
      </w:r>
      <w:r>
        <w:rPr>
          <w:rFonts w:hint="eastAsia" w:ascii="宋体" w:hAnsi="宋体" w:cs="Arial"/>
          <w:szCs w:val="21"/>
        </w:rPr>
        <w:t>京延工程咨询有限公司</w:t>
      </w:r>
    </w:p>
    <w:p>
      <w:pPr>
        <w:pStyle w:val="18"/>
        <w:spacing w:line="360" w:lineRule="auto"/>
        <w:ind w:firstLine="7140" w:firstLineChars="3400"/>
        <w:jc w:val="center"/>
        <w:rPr>
          <w:rFonts w:hAnsi="宋体"/>
          <w:bCs/>
          <w:sz w:val="32"/>
        </w:rPr>
      </w:pPr>
      <w:r>
        <w:rPr>
          <w:rFonts w:hint="eastAsia" w:hAnsi="宋体" w:cs="宋体"/>
          <w:szCs w:val="21"/>
        </w:rPr>
        <w:t xml:space="preserve">2021年 </w:t>
      </w:r>
      <w:r>
        <w:rPr>
          <w:rFonts w:hint="eastAsia" w:hAnsi="宋体" w:cs="宋体"/>
          <w:szCs w:val="21"/>
          <w:lang w:val="en-US" w:eastAsia="zh-CN"/>
        </w:rPr>
        <w:t>10</w:t>
      </w:r>
      <w:r>
        <w:rPr>
          <w:rFonts w:hint="eastAsia" w:hAnsi="宋体" w:cs="宋体"/>
          <w:szCs w:val="21"/>
        </w:rPr>
        <w:t xml:space="preserve"> 月</w:t>
      </w:r>
      <w:r>
        <w:rPr>
          <w:rFonts w:hint="eastAsia" w:hAnsi="宋体" w:cs="宋体"/>
          <w:szCs w:val="21"/>
          <w:lang w:val="en-US" w:eastAsia="zh-CN"/>
        </w:rPr>
        <w:t>8</w:t>
      </w:r>
      <w:r>
        <w:rPr>
          <w:rFonts w:hint="eastAsia" w:hAnsi="宋体" w:cs="宋体"/>
          <w:szCs w:val="21"/>
        </w:rPr>
        <w:t xml:space="preserve"> 日</w:t>
      </w:r>
      <w:r>
        <w:rPr>
          <w:rFonts w:ascii="金山简隶书" w:eastAsia="金山简隶书"/>
          <w:b/>
        </w:rPr>
        <w:br w:type="page"/>
      </w:r>
      <w:bookmarkStart w:id="1" w:name="_Toc156106929"/>
      <w:bookmarkStart w:id="2" w:name="_Toc147248396"/>
      <w:bookmarkStart w:id="3" w:name="_Toc185702968"/>
      <w:bookmarkStart w:id="4" w:name="_Toc185702546"/>
      <w:bookmarkStart w:id="5" w:name="_Toc239839860"/>
      <w:bookmarkStart w:id="6" w:name="_Toc444005978"/>
      <w:r>
        <w:rPr>
          <w:rFonts w:hint="eastAsia" w:ascii="方正隶书简体" w:hAnsi="宋体" w:eastAsia="方正隶书简体"/>
          <w:bCs/>
          <w:sz w:val="32"/>
          <w:szCs w:val="15"/>
        </w:rPr>
        <w:t>第一章   服务商须知及前附表</w:t>
      </w:r>
      <w:bookmarkEnd w:id="1"/>
      <w:bookmarkEnd w:id="2"/>
      <w:bookmarkEnd w:id="3"/>
      <w:bookmarkEnd w:id="4"/>
      <w:bookmarkEnd w:id="5"/>
      <w:bookmarkEnd w:id="6"/>
    </w:p>
    <w:tbl>
      <w:tblPr>
        <w:tblStyle w:val="32"/>
        <w:tblpPr w:leftFromText="180" w:rightFromText="180" w:vertAnchor="text" w:horzAnchor="page" w:tblpX="1369" w:tblpY="111"/>
        <w:tblOverlap w:val="never"/>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654"/>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trPr>
        <w:tc>
          <w:tcPr>
            <w:tcW w:w="536" w:type="dxa"/>
            <w:vAlign w:val="center"/>
          </w:tcPr>
          <w:p>
            <w:pPr>
              <w:pStyle w:val="40"/>
              <w:snapToGrid w:val="0"/>
              <w:spacing w:line="400" w:lineRule="exact"/>
              <w:ind w:left="-105" w:leftChars="-50" w:right="-105" w:rightChars="-50"/>
              <w:jc w:val="center"/>
              <w:rPr>
                <w:rFonts w:asciiTheme="minorEastAsia" w:hAnsiTheme="minorEastAsia" w:eastAsiaTheme="minorEastAsia"/>
              </w:rPr>
            </w:pPr>
            <w:r>
              <w:rPr>
                <w:rFonts w:hint="eastAsia" w:asciiTheme="minorEastAsia" w:hAnsiTheme="minorEastAsia" w:eastAsiaTheme="minorEastAsia"/>
              </w:rPr>
              <w:t>序号</w:t>
            </w:r>
          </w:p>
        </w:tc>
        <w:tc>
          <w:tcPr>
            <w:tcW w:w="654" w:type="dxa"/>
            <w:vAlign w:val="center"/>
          </w:tcPr>
          <w:p>
            <w:pPr>
              <w:pStyle w:val="40"/>
              <w:snapToGrid w:val="0"/>
              <w:spacing w:line="400" w:lineRule="exact"/>
              <w:ind w:left="-105" w:leftChars="-50" w:right="-105" w:rightChars="-50"/>
              <w:jc w:val="center"/>
              <w:rPr>
                <w:rFonts w:asciiTheme="minorEastAsia" w:hAnsiTheme="minorEastAsia" w:eastAsiaTheme="minorEastAsia"/>
              </w:rPr>
            </w:pPr>
            <w:r>
              <w:rPr>
                <w:rFonts w:hint="eastAsia" w:asciiTheme="minorEastAsia" w:hAnsiTheme="minorEastAsia" w:eastAsiaTheme="minorEastAsia"/>
              </w:rPr>
              <w:t>条款号</w:t>
            </w:r>
          </w:p>
        </w:tc>
        <w:tc>
          <w:tcPr>
            <w:tcW w:w="8190" w:type="dxa"/>
            <w:vAlign w:val="center"/>
          </w:tcPr>
          <w:p>
            <w:pPr>
              <w:pStyle w:val="4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36"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p>
        </w:tc>
        <w:tc>
          <w:tcPr>
            <w:tcW w:w="654"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1.1</w:t>
            </w:r>
          </w:p>
        </w:tc>
        <w:tc>
          <w:tcPr>
            <w:tcW w:w="8190"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项目名称：</w:t>
            </w:r>
            <w:r>
              <w:rPr>
                <w:rFonts w:hint="eastAsia" w:asciiTheme="minorEastAsia" w:hAnsiTheme="minorEastAsia" w:eastAsiaTheme="minorEastAsia"/>
                <w:szCs w:val="21"/>
                <w:lang w:eastAsia="zh-CN"/>
              </w:rPr>
              <w:t>推行政府购买服务加强基层社会救助经办服务能力</w:t>
            </w:r>
            <w:r>
              <w:rPr>
                <w:rFonts w:hint="eastAsia" w:asciiTheme="minorEastAsia" w:hAnsiTheme="minorEastAsia" w:eastAsiaTheme="minorEastAsia"/>
                <w:szCs w:val="21"/>
              </w:rPr>
              <w:t xml:space="preserve"> </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项目编号：MSZC2021-C3-01583</w:t>
            </w:r>
          </w:p>
          <w:p>
            <w:pPr>
              <w:spacing w:line="400" w:lineRule="exact"/>
              <w:rPr>
                <w:rFonts w:ascii="宋体" w:hAnsi="宋体" w:cs="宋体"/>
                <w:szCs w:val="21"/>
              </w:rPr>
            </w:pPr>
            <w:r>
              <w:rPr>
                <w:rFonts w:hint="eastAsia" w:asciiTheme="minorEastAsia" w:hAnsiTheme="minorEastAsia" w:eastAsiaTheme="minorEastAsia"/>
                <w:szCs w:val="21"/>
              </w:rPr>
              <w:t>采购内容：</w:t>
            </w:r>
            <w:r>
              <w:rPr>
                <w:rFonts w:hint="eastAsia" w:ascii="宋体" w:hAnsi="宋体" w:cs="宋体"/>
                <w:szCs w:val="21"/>
              </w:rPr>
              <w:t>关于</w:t>
            </w:r>
            <w:r>
              <w:rPr>
                <w:rFonts w:hint="eastAsia" w:ascii="宋体" w:hAnsi="宋体" w:cs="宋体"/>
                <w:szCs w:val="21"/>
                <w:lang w:eastAsia="zh-CN"/>
              </w:rPr>
              <w:t>推行政府购买服务加强基层社会救助经办服务能力</w:t>
            </w:r>
            <w:r>
              <w:rPr>
                <w:rFonts w:hint="eastAsia" w:ascii="宋体" w:hAnsi="宋体" w:cs="宋体"/>
                <w:szCs w:val="21"/>
              </w:rPr>
              <w:t>的实施方案。</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采购预算：人民币170万元</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采购方式：竞争性磋商</w:t>
            </w:r>
          </w:p>
          <w:p>
            <w:pPr>
              <w:pStyle w:val="18"/>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项目类型：服务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6"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2</w:t>
            </w:r>
          </w:p>
        </w:tc>
        <w:tc>
          <w:tcPr>
            <w:tcW w:w="654"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2.1</w:t>
            </w:r>
          </w:p>
        </w:tc>
        <w:tc>
          <w:tcPr>
            <w:tcW w:w="8190" w:type="dxa"/>
            <w:vAlign w:val="center"/>
          </w:tcPr>
          <w:p>
            <w:pPr>
              <w:pStyle w:val="19"/>
              <w:ind w:left="0" w:leftChars="0"/>
            </w:pPr>
            <w:r>
              <w:rPr>
                <w:rFonts w:hint="eastAsia" w:asciiTheme="minorEastAsia" w:hAnsiTheme="minorEastAsia" w:eastAsiaTheme="minorEastAsia"/>
                <w:szCs w:val="21"/>
              </w:rPr>
              <w:t>服务商资格及要求：</w:t>
            </w:r>
          </w:p>
          <w:p>
            <w:pPr>
              <w:spacing w:line="360" w:lineRule="auto"/>
              <w:rPr>
                <w:rFonts w:ascii="宋体" w:hAnsi="宋体"/>
                <w:bCs/>
              </w:rPr>
            </w:pPr>
            <w:r>
              <w:rPr>
                <w:rFonts w:hint="eastAsia" w:ascii="宋体" w:hAnsi="宋体"/>
                <w:bCs/>
              </w:rPr>
              <w:t>1、</w:t>
            </w:r>
            <w:r>
              <w:rPr>
                <w:rFonts w:hint="eastAsia" w:ascii="宋体" w:hAnsi="宋体" w:cs="宋体"/>
              </w:rPr>
              <w:t>满足《中华人民共和国政府采购法》第二十二条规定</w:t>
            </w:r>
            <w:r>
              <w:rPr>
                <w:rFonts w:hint="eastAsia" w:ascii="宋体" w:hAnsi="宋体"/>
                <w:bCs/>
              </w:rPr>
              <w:t>；</w:t>
            </w:r>
          </w:p>
          <w:p>
            <w:pPr>
              <w:snapToGrid w:val="0"/>
              <w:spacing w:line="360" w:lineRule="auto"/>
              <w:rPr>
                <w:rFonts w:ascii="宋体" w:hAnsi="宋体"/>
                <w:bCs/>
              </w:rPr>
            </w:pPr>
            <w:r>
              <w:rPr>
                <w:rFonts w:hint="eastAsia" w:ascii="宋体" w:hAnsi="宋体"/>
                <w:bCs/>
              </w:rPr>
              <w:t>2.本项目需落实的政府采购政策：本项目属于非专门面向中小企业采购的项目；</w:t>
            </w:r>
          </w:p>
          <w:p>
            <w:pPr>
              <w:rPr>
                <w:rFonts w:ascii="宋体" w:hAnsi="宋体"/>
                <w:bCs/>
              </w:rPr>
            </w:pPr>
            <w:r>
              <w:rPr>
                <w:rFonts w:hint="eastAsia" w:ascii="宋体" w:hAnsi="宋体" w:cs="Arial"/>
                <w:szCs w:val="21"/>
              </w:rPr>
              <w:t>3、</w:t>
            </w:r>
            <w:r>
              <w:rPr>
                <w:rFonts w:hint="eastAsia" w:ascii="宋体" w:hAnsi="宋体"/>
                <w:bCs/>
              </w:rPr>
              <w:t>本项目的特定资格要求：</w:t>
            </w:r>
          </w:p>
          <w:p>
            <w:pPr>
              <w:snapToGrid w:val="0"/>
              <w:spacing w:line="360" w:lineRule="auto"/>
              <w:rPr>
                <w:rFonts w:ascii="宋体" w:hAnsi="宋体" w:cs="Arial"/>
                <w:szCs w:val="21"/>
              </w:rPr>
            </w:pPr>
            <w:r>
              <w:rPr>
                <w:rFonts w:hint="eastAsia" w:ascii="宋体" w:hAnsi="宋体" w:cs="Arial"/>
                <w:szCs w:val="21"/>
              </w:rPr>
              <w:t>①</w:t>
            </w:r>
            <w:r>
              <w:rPr>
                <w:rFonts w:hint="eastAsia" w:ascii="宋体" w:hAnsi="宋体"/>
                <w:bCs/>
              </w:rPr>
              <w:t>国内注册（指按国家有关规定要求注册的），具备法人资格且在民政部门登记注册的国内社会工作服务机构。</w:t>
            </w:r>
          </w:p>
          <w:p>
            <w:pPr>
              <w:snapToGrid w:val="0"/>
              <w:spacing w:line="360" w:lineRule="auto"/>
              <w:rPr>
                <w:rFonts w:ascii="宋体" w:hAnsi="宋体" w:cs="Arial"/>
                <w:szCs w:val="21"/>
              </w:rPr>
            </w:pPr>
            <w:r>
              <w:rPr>
                <w:rFonts w:hint="eastAsia" w:ascii="宋体" w:hAnsi="宋体" w:cs="Arial"/>
                <w:szCs w:val="21"/>
              </w:rPr>
              <w:t>②单位负责人为同一人或者存在直接控股、管理关系的不同服务商，不得参加同一合同项下的政府采购活动。</w:t>
            </w:r>
          </w:p>
          <w:p>
            <w:pPr>
              <w:snapToGrid w:val="0"/>
              <w:spacing w:line="360" w:lineRule="auto"/>
            </w:pPr>
            <w:r>
              <w:rPr>
                <w:rFonts w:hint="eastAsia" w:ascii="宋体" w:hAnsi="宋体" w:cs="Arial"/>
                <w:szCs w:val="21"/>
              </w:rPr>
              <w:t xml:space="preserve"> ③</w:t>
            </w:r>
            <w:r>
              <w:rPr>
                <w:rFonts w:hint="eastAsia" w:ascii="宋体" w:hAnsi="宋体" w:cs="宋体"/>
              </w:rPr>
              <w:t>本项目不接受联合体磋商。</w:t>
            </w:r>
          </w:p>
          <w:p>
            <w:pPr>
              <w:snapToGrid w:val="0"/>
              <w:spacing w:line="360" w:lineRule="auto"/>
              <w:rPr>
                <w:rFonts w:ascii="宋体" w:hAnsi="宋体" w:cs="Arial"/>
                <w:szCs w:val="21"/>
              </w:rPr>
            </w:pPr>
            <w:r>
              <w:rPr>
                <w:rFonts w:hint="eastAsia" w:ascii="宋体" w:hAnsi="宋体" w:cs="Arial"/>
                <w:szCs w:val="21"/>
              </w:rPr>
              <w:t>4、在“信用中国”网站(www.creditchina.gov.cn)、中国政府采购网(www.ccgp.gov.cn)等渠道列入失信被执行人、重大税收违法案件当事人名单、政府采购严重违法失信行为记录名单及其他不符合《中华人民共和国政府采购法》第二十二条规定条件的服务商，不得参与本项目的采购活动。</w:t>
            </w:r>
          </w:p>
          <w:p>
            <w:pPr>
              <w:spacing w:line="360" w:lineRule="auto"/>
              <w:rPr>
                <w:rFonts w:ascii="宋体" w:hAnsi="宋体" w:cs="宋体"/>
                <w:szCs w:val="21"/>
              </w:rPr>
            </w:pPr>
            <w:r>
              <w:rPr>
                <w:rFonts w:hint="eastAsia"/>
              </w:rPr>
              <w:t>5、</w:t>
            </w:r>
            <w:r>
              <w:rPr>
                <w:rFonts w:hint="eastAsia" w:ascii="宋体" w:hAnsi="宋体" w:cs="宋体"/>
                <w:szCs w:val="21"/>
              </w:rPr>
              <w:t>本项目需要落实的政府采购政策：落实政府采购政策需满足的资格要求：</w:t>
            </w:r>
            <w:r>
              <w:rPr>
                <w:rFonts w:hint="eastAsia" w:ascii="宋体" w:hAnsi="宋体"/>
                <w:bCs/>
              </w:rPr>
              <w:t>《政府采购促进中小企业发展暂行办法》（财库﹝2011﹞181号）、《关于政府采购支持监狱企业发展有关问题的通知》(财库﹝2014﹞68号)、《关于促进残疾人就业政府采购政策的通知》(财库〔2017〕141号)、《关于印发2020 年广西优化营商环境百日攻坚行动方案的通知》（桂政办发〔2020〕59 号）、强制采购、优先采购节能产品、环境标志产品；《招标采购促进广西工业产品产销对接实施细则》（桂政办发〔2015〕78号）等政府采购相关政策。评审时残疾人福利性单位、小型和微型企业产品的价格给予10%的扣除。监狱企业视同小型和微型企业，其产品在评审时给予相同的价格扣除；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536"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3</w:t>
            </w:r>
          </w:p>
        </w:tc>
        <w:tc>
          <w:tcPr>
            <w:tcW w:w="654"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10.1</w:t>
            </w:r>
          </w:p>
        </w:tc>
        <w:tc>
          <w:tcPr>
            <w:tcW w:w="8190" w:type="dxa"/>
            <w:vAlign w:val="center"/>
          </w:tcPr>
          <w:p>
            <w:pPr>
              <w:pStyle w:val="18"/>
              <w:snapToGrid w:val="0"/>
              <w:spacing w:line="400" w:lineRule="exact"/>
              <w:ind w:left="309" w:hanging="308" w:hangingChars="147"/>
              <w:rPr>
                <w:rFonts w:asciiTheme="minorEastAsia" w:hAnsiTheme="minorEastAsia" w:eastAsiaTheme="minorEastAsia"/>
              </w:rPr>
            </w:pPr>
            <w:r>
              <w:rPr>
                <w:rFonts w:hint="eastAsia" w:asciiTheme="minorEastAsia" w:hAnsiTheme="minorEastAsia" w:eastAsiaTheme="minorEastAsia"/>
                <w:bCs/>
              </w:rPr>
              <w:t>1、磋商报价方式：</w:t>
            </w:r>
            <w:r>
              <w:rPr>
                <w:rFonts w:hint="eastAsia" w:asciiTheme="minorEastAsia" w:hAnsiTheme="minorEastAsia" w:eastAsiaTheme="minorEastAsia"/>
              </w:rPr>
              <w:t>服务商必须就《服务内容及要求》中的所有服务内容有可能发生的所有费用作唯一完整报价。（本项目只允许提交一个方案的报价，不接受任何有选择性的报价。）</w:t>
            </w:r>
          </w:p>
          <w:p>
            <w:pPr>
              <w:pStyle w:val="18"/>
              <w:snapToGrid w:val="0"/>
              <w:spacing w:line="400" w:lineRule="exact"/>
              <w:ind w:left="309" w:hanging="308" w:hangingChars="147"/>
              <w:rPr>
                <w:rFonts w:asciiTheme="minorEastAsia" w:hAnsiTheme="minorEastAsia" w:eastAsiaTheme="minorEastAsia"/>
                <w:bCs/>
                <w:szCs w:val="21"/>
              </w:rPr>
            </w:pPr>
            <w:r>
              <w:rPr>
                <w:rFonts w:hint="eastAsia" w:asciiTheme="minorEastAsia" w:hAnsiTheme="minorEastAsia" w:eastAsiaTheme="minorEastAsia"/>
              </w:rPr>
              <w:t>2、承包方式：本项目编写采用总价承包方式。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36"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4</w:t>
            </w:r>
          </w:p>
        </w:tc>
        <w:tc>
          <w:tcPr>
            <w:tcW w:w="654"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14.1</w:t>
            </w:r>
          </w:p>
        </w:tc>
        <w:tc>
          <w:tcPr>
            <w:tcW w:w="8190" w:type="dxa"/>
            <w:vAlign w:val="center"/>
          </w:tcPr>
          <w:p>
            <w:pPr>
              <w:pStyle w:val="18"/>
              <w:snapToGrid w:val="0"/>
              <w:spacing w:line="400" w:lineRule="exact"/>
              <w:ind w:left="1037" w:hanging="1037" w:hangingChars="494"/>
              <w:rPr>
                <w:rFonts w:asciiTheme="minorEastAsia" w:hAnsiTheme="minorEastAsia" w:eastAsiaTheme="minorEastAsia"/>
              </w:rPr>
            </w:pPr>
            <w:r>
              <w:rPr>
                <w:rFonts w:hint="eastAsia" w:asciiTheme="minorEastAsia" w:hAnsiTheme="minorEastAsia" w:eastAsiaTheme="minorEastAsia"/>
              </w:rPr>
              <w:t>磋商有效期：提交响应文件截止时间后60天。</w:t>
            </w:r>
          </w:p>
          <w:p>
            <w:pPr>
              <w:pStyle w:val="18"/>
              <w:snapToGrid w:val="0"/>
              <w:spacing w:line="400" w:lineRule="exact"/>
              <w:ind w:left="1037" w:hanging="1037" w:hangingChars="494"/>
              <w:rPr>
                <w:rFonts w:asciiTheme="minorEastAsia" w:hAnsiTheme="minorEastAsia" w:eastAsiaTheme="minorEastAsia"/>
              </w:rPr>
            </w:pPr>
            <w:r>
              <w:rPr>
                <w:rFonts w:hint="eastAsia" w:asciiTheme="minorEastAsia" w:hAnsiTheme="minorEastAsia" w:eastAsiaTheme="minorEastAsia"/>
              </w:rPr>
              <w:t>[注：磋商保证金</w:t>
            </w:r>
            <w:r>
              <w:rPr>
                <w:rFonts w:hint="eastAsia" w:cs="方正仿宋简体" w:asciiTheme="minorEastAsia" w:hAnsiTheme="minorEastAsia" w:eastAsiaTheme="minorEastAsia"/>
                <w:kern w:val="0"/>
              </w:rPr>
              <w:t>有效期应比磋商有效期延长25日。</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36"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5</w:t>
            </w:r>
          </w:p>
        </w:tc>
        <w:tc>
          <w:tcPr>
            <w:tcW w:w="654"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15.5</w:t>
            </w:r>
          </w:p>
        </w:tc>
        <w:tc>
          <w:tcPr>
            <w:tcW w:w="8190" w:type="dxa"/>
            <w:vAlign w:val="center"/>
          </w:tcPr>
          <w:p>
            <w:pPr>
              <w:pStyle w:val="18"/>
              <w:snapToGrid w:val="0"/>
              <w:spacing w:line="400" w:lineRule="exact"/>
              <w:ind w:left="1037" w:hanging="1037" w:hangingChars="494"/>
              <w:jc w:val="left"/>
              <w:rPr>
                <w:rFonts w:asciiTheme="minorEastAsia" w:hAnsiTheme="minorEastAsia"/>
              </w:rPr>
            </w:pPr>
            <w:r>
              <w:rPr>
                <w:rFonts w:hint="eastAsia" w:cs="Times New Roman" w:asciiTheme="minorEastAsia" w:hAnsiTheme="minorEastAsia" w:eastAsiaTheme="minorEastAsia"/>
                <w:kern w:val="2"/>
                <w:sz w:val="21"/>
                <w:szCs w:val="20"/>
                <w:lang w:val="en-US" w:eastAsia="zh-CN" w:bidi="ar-SA"/>
              </w:rPr>
              <w:t>响应文件份数：电子加密响应文件在线上传提交一份；提供电子投标文件存档U盘1份；以寄件方式寄到开标现场但必须是在开标前寄到广西省梧州市蒙山县蒙山镇蒙山县公共资源交易中心（即县政务服务中心四楼）关先生收/0774-6281890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536"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6</w:t>
            </w:r>
          </w:p>
        </w:tc>
        <w:tc>
          <w:tcPr>
            <w:tcW w:w="654"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16.1</w:t>
            </w:r>
          </w:p>
        </w:tc>
        <w:tc>
          <w:tcPr>
            <w:tcW w:w="8190"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rPr>
              <w:t>磋商保证金：本项目不需要缴纳磋商保证金。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36"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7</w:t>
            </w:r>
          </w:p>
        </w:tc>
        <w:tc>
          <w:tcPr>
            <w:tcW w:w="654"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18</w:t>
            </w:r>
          </w:p>
        </w:tc>
        <w:tc>
          <w:tcPr>
            <w:tcW w:w="8190" w:type="dxa"/>
            <w:vAlign w:val="center"/>
          </w:tcPr>
          <w:p>
            <w:pPr>
              <w:pStyle w:val="18"/>
              <w:rPr>
                <w:rFonts w:hAnsi="宋体"/>
                <w:color w:val="000000"/>
              </w:rPr>
            </w:pPr>
            <w:r>
              <w:rPr>
                <w:rFonts w:hint="eastAsia" w:asciiTheme="minorEastAsia" w:hAnsiTheme="minorEastAsia" w:eastAsiaTheme="minorEastAsia"/>
              </w:rPr>
              <w:t>响</w:t>
            </w:r>
            <w:r>
              <w:rPr>
                <w:rFonts w:hint="eastAsia" w:hAnsi="宋体"/>
                <w:color w:val="000000"/>
              </w:rPr>
              <w:t>应文件的上传和提交：</w:t>
            </w:r>
          </w:p>
          <w:p>
            <w:pPr>
              <w:pStyle w:val="18"/>
              <w:rPr>
                <w:rFonts w:hAnsi="宋体"/>
                <w:color w:val="000000"/>
              </w:rPr>
            </w:pPr>
            <w:r>
              <w:rPr>
                <w:rFonts w:hint="eastAsia" w:hAnsi="宋体"/>
                <w:color w:val="000000"/>
              </w:rPr>
              <w:t xml:space="preserve">    本项目通过“政采云平台（</w:t>
            </w:r>
            <w:r>
              <w:rPr>
                <w:rFonts w:hAnsi="宋体"/>
                <w:color w:val="000000"/>
              </w:rPr>
              <w:t>www.zcygov.cn）”实行在线</w:t>
            </w:r>
            <w:r>
              <w:rPr>
                <w:rFonts w:hint="eastAsia" w:hAnsi="宋体"/>
                <w:color w:val="000000"/>
              </w:rPr>
              <w:t>磋商</w:t>
            </w:r>
            <w:r>
              <w:rPr>
                <w:rFonts w:hAnsi="宋体"/>
                <w:color w:val="000000"/>
              </w:rPr>
              <w:t>响应（电子标），</w:t>
            </w:r>
            <w:r>
              <w:rPr>
                <w:rFonts w:hint="eastAsia" w:hAnsi="宋体"/>
                <w:color w:val="000000"/>
              </w:rPr>
              <w:t>磋商服务商</w:t>
            </w:r>
            <w:r>
              <w:rPr>
                <w:rFonts w:hAnsi="宋体"/>
                <w:color w:val="000000"/>
              </w:rPr>
              <w:t>应当在</w:t>
            </w:r>
            <w:r>
              <w:rPr>
                <w:rFonts w:hint="eastAsia" w:hAnsi="宋体"/>
                <w:b/>
                <w:color w:val="000000"/>
              </w:rPr>
              <w:t>上传响应文件截止时间</w:t>
            </w:r>
            <w:r>
              <w:rPr>
                <w:rFonts w:hAnsi="宋体"/>
                <w:color w:val="000000"/>
              </w:rPr>
              <w:t>前，将生成的“电子加密</w:t>
            </w:r>
            <w:r>
              <w:rPr>
                <w:rFonts w:hint="eastAsia" w:hAnsi="宋体"/>
                <w:color w:val="000000"/>
              </w:rPr>
              <w:t>响应</w:t>
            </w:r>
            <w:r>
              <w:rPr>
                <w:rFonts w:hAnsi="宋体"/>
                <w:color w:val="000000"/>
              </w:rPr>
              <w:t>文件”上传</w:t>
            </w:r>
            <w:r>
              <w:rPr>
                <w:rFonts w:hint="eastAsia" w:hAnsi="宋体"/>
                <w:color w:val="000000"/>
              </w:rPr>
              <w:t>提交</w:t>
            </w:r>
            <w:r>
              <w:rPr>
                <w:rFonts w:hAnsi="宋体"/>
                <w:color w:val="000000"/>
              </w:rPr>
              <w:t>至“政采云平台”。</w:t>
            </w:r>
          </w:p>
          <w:p>
            <w:pPr>
              <w:pStyle w:val="18"/>
              <w:rPr>
                <w:rFonts w:hAnsi="宋体"/>
                <w:color w:val="000000"/>
              </w:rPr>
            </w:pPr>
            <w:r>
              <w:rPr>
                <w:rFonts w:hint="eastAsia" w:hAnsi="宋体"/>
                <w:color w:val="000000"/>
              </w:rPr>
              <w:t>“电子加密响应文件”的上传、提交：</w:t>
            </w:r>
          </w:p>
          <w:p>
            <w:pPr>
              <w:pStyle w:val="18"/>
              <w:rPr>
                <w:rFonts w:hAnsi="宋体"/>
                <w:color w:val="000000"/>
              </w:rPr>
            </w:pPr>
            <w:r>
              <w:rPr>
                <w:rFonts w:hint="eastAsia" w:hAnsi="宋体"/>
                <w:color w:val="000000"/>
              </w:rPr>
              <w:t>a.磋商服务商应在</w:t>
            </w:r>
            <w:r>
              <w:rPr>
                <w:rFonts w:hint="eastAsia" w:hAnsi="宋体"/>
                <w:b/>
                <w:color w:val="000000"/>
              </w:rPr>
              <w:t>上传响应文件截止时间</w:t>
            </w:r>
            <w:r>
              <w:rPr>
                <w:rFonts w:hint="eastAsia" w:hAnsi="宋体"/>
                <w:color w:val="000000"/>
              </w:rPr>
              <w:t>前将“电子加密响应文件”成功上传提交至</w:t>
            </w:r>
            <w:r>
              <w:rPr>
                <w:rFonts w:hAnsi="宋体"/>
                <w:color w:val="000000"/>
              </w:rPr>
              <w:t>“政采云平台”</w:t>
            </w:r>
            <w:r>
              <w:rPr>
                <w:rFonts w:hint="eastAsia" w:hAnsi="宋体"/>
                <w:color w:val="000000"/>
              </w:rPr>
              <w:t>，否则磋商无效。</w:t>
            </w:r>
          </w:p>
          <w:p>
            <w:pPr>
              <w:pStyle w:val="18"/>
              <w:snapToGrid w:val="0"/>
              <w:spacing w:line="400" w:lineRule="exact"/>
              <w:rPr>
                <w:rFonts w:asciiTheme="minorEastAsia" w:hAnsiTheme="minorEastAsia" w:eastAsiaTheme="minorEastAsia"/>
              </w:rPr>
            </w:pPr>
            <w:r>
              <w:rPr>
                <w:rFonts w:hint="eastAsia" w:hAnsi="宋体"/>
                <w:color w:val="000000"/>
              </w:rPr>
              <w:t>b.“电子加密磋商响应文件”成功上传提交后，服务商可自行打印响应文件接收回执。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36" w:type="dxa"/>
            <w:vMerge w:val="restart"/>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8</w:t>
            </w:r>
          </w:p>
        </w:tc>
        <w:tc>
          <w:tcPr>
            <w:tcW w:w="654"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21.1</w:t>
            </w:r>
          </w:p>
        </w:tc>
        <w:tc>
          <w:tcPr>
            <w:tcW w:w="8190" w:type="dxa"/>
            <w:vAlign w:val="center"/>
          </w:tcPr>
          <w:p>
            <w:pPr>
              <w:spacing w:line="300" w:lineRule="exact"/>
            </w:pPr>
            <w:r>
              <w:rPr>
                <w:rFonts w:hint="eastAsia"/>
              </w:rPr>
              <w:t>1.响应文件形式：磋商服务商应准备电子响应文件。</w:t>
            </w:r>
          </w:p>
          <w:p>
            <w:pPr>
              <w:pStyle w:val="18"/>
              <w:spacing w:line="400" w:lineRule="exact"/>
            </w:pPr>
            <w:r>
              <w:rPr>
                <w:rFonts w:hint="eastAsia"/>
              </w:rPr>
              <w:t>2.电子响应文件是指通过“政采云电子投标客户端”完成响应文件编制后生成并加密的数据电文形式的电子加密响应文件。</w:t>
            </w:r>
          </w:p>
          <w:p>
            <w:r>
              <w:rPr>
                <w:rFonts w:hint="eastAsia"/>
              </w:rPr>
              <w:t>3.响应文件的编制：服务商应先安装“政采云电子投标客户端”，并按照本竞争性磋商文件和“政采云平台”的要求，通过“政采云电子投标客户端”编制并加密响应文件。</w:t>
            </w:r>
          </w:p>
          <w:p>
            <w:pPr>
              <w:pStyle w:val="3"/>
              <w:rPr>
                <w:b w:val="0"/>
              </w:rPr>
            </w:pPr>
            <w:r>
              <w:rPr>
                <w:rFonts w:hint="eastAsia"/>
                <w:b w:val="0"/>
              </w:rPr>
              <w:t>4.响应文件的盖章：响应文件中所涉及的加盖公章均采用CA电子签章。</w:t>
            </w:r>
          </w:p>
          <w:p>
            <w:pPr>
              <w:pStyle w:val="84"/>
              <w:spacing w:line="400" w:lineRule="exact"/>
              <w:rPr>
                <w:snapToGrid w:val="0"/>
                <w:color w:val="000000"/>
              </w:rPr>
            </w:pPr>
            <w:r>
              <w:rPr>
                <w:rFonts w:hint="eastAsia"/>
                <w:snapToGrid w:val="0"/>
                <w:color w:val="000000"/>
              </w:rPr>
              <w:t>5.电子加密响应文件的解密：</w:t>
            </w:r>
          </w:p>
          <w:p>
            <w:r>
              <w:rPr>
                <w:rFonts w:hint="eastAsia"/>
                <w:snapToGrid w:val="0"/>
                <w:color w:val="000000"/>
              </w:rPr>
              <w:t>磋商开启后，代理机构将向各参与磋商服务商发出“电子加密响应文件”的解密通知，各磋商服务商代表应当在接到解密通知后30分钟内自行完成“电子加密响应文件”的在线解密。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536" w:type="dxa"/>
            <w:vMerge w:val="continue"/>
            <w:vAlign w:val="center"/>
          </w:tcPr>
          <w:p>
            <w:pPr>
              <w:snapToGrid w:val="0"/>
              <w:spacing w:line="400" w:lineRule="exact"/>
              <w:jc w:val="center"/>
              <w:rPr>
                <w:rFonts w:asciiTheme="minorEastAsia" w:hAnsiTheme="minorEastAsia" w:eastAsiaTheme="minorEastAsia"/>
              </w:rPr>
            </w:pPr>
          </w:p>
        </w:tc>
        <w:tc>
          <w:tcPr>
            <w:tcW w:w="654"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21.2</w:t>
            </w:r>
          </w:p>
        </w:tc>
        <w:tc>
          <w:tcPr>
            <w:tcW w:w="8190" w:type="dxa"/>
            <w:vAlign w:val="center"/>
          </w:tcPr>
          <w:p>
            <w:pPr>
              <w:pStyle w:val="40"/>
              <w:snapToGrid w:val="0"/>
              <w:spacing w:line="400" w:lineRule="exact"/>
              <w:rPr>
                <w:rFonts w:asciiTheme="minorEastAsia" w:hAnsiTheme="minorEastAsia" w:eastAsiaTheme="minorEastAsia"/>
              </w:rPr>
            </w:pPr>
            <w:r>
              <w:rPr>
                <w:rFonts w:hint="eastAsia"/>
                <w:snapToGrid w:val="0"/>
                <w:color w:val="000000"/>
              </w:rPr>
              <w:t>法定代表人或其授权代表签字或盖章：本竞争性磋商文件所涉及的法定代表人或其授权代表签字或盖章的内容，如果磋商单位没有法定代表人电子签章，涉及到法定代表人或其授权代表签字或盖章的内容，磋商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6"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9</w:t>
            </w:r>
          </w:p>
        </w:tc>
        <w:tc>
          <w:tcPr>
            <w:tcW w:w="654" w:type="dxa"/>
            <w:vAlign w:val="center"/>
          </w:tcPr>
          <w:p>
            <w:pPr>
              <w:snapToGrid w:val="0"/>
              <w:spacing w:line="400" w:lineRule="exact"/>
              <w:jc w:val="center"/>
              <w:rPr>
                <w:rFonts w:asciiTheme="minorEastAsia" w:hAnsiTheme="minorEastAsia" w:eastAsiaTheme="minorEastAsia"/>
              </w:rPr>
            </w:pPr>
            <w:r>
              <w:rPr>
                <w:rFonts w:asciiTheme="minorEastAsia" w:hAnsiTheme="minorEastAsia" w:eastAsiaTheme="minorEastAsia"/>
              </w:rPr>
              <w:t>21.2</w:t>
            </w:r>
          </w:p>
        </w:tc>
        <w:tc>
          <w:tcPr>
            <w:tcW w:w="8190" w:type="dxa"/>
            <w:vAlign w:val="center"/>
          </w:tcPr>
          <w:p>
            <w:pPr>
              <w:pStyle w:val="18"/>
              <w:snapToGrid w:val="0"/>
              <w:spacing w:line="400" w:lineRule="exact"/>
              <w:ind w:left="1037" w:hanging="1037" w:hangingChars="494"/>
              <w:rPr>
                <w:rFonts w:asciiTheme="minorEastAsia" w:hAnsiTheme="minorEastAsia" w:eastAsiaTheme="minorEastAsia"/>
              </w:rPr>
            </w:pPr>
            <w:r>
              <w:rPr>
                <w:rFonts w:hint="eastAsia" w:asciiTheme="minorEastAsia" w:hAnsiTheme="minorEastAsia" w:eastAsiaTheme="minorEastAsia"/>
              </w:rPr>
              <w:t>评标办法：综合评分法（详见第四章）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36"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10</w:t>
            </w:r>
          </w:p>
        </w:tc>
        <w:tc>
          <w:tcPr>
            <w:tcW w:w="654"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27.2</w:t>
            </w:r>
          </w:p>
        </w:tc>
        <w:tc>
          <w:tcPr>
            <w:tcW w:w="8190" w:type="dxa"/>
            <w:vAlign w:val="center"/>
          </w:tcPr>
          <w:p>
            <w:pPr>
              <w:pStyle w:val="19"/>
              <w:ind w:left="0" w:leftChars="0"/>
            </w:pPr>
            <w:bookmarkStart w:id="7" w:name="OLE_LINK1"/>
            <w:r>
              <w:rPr>
                <w:rFonts w:hint="eastAsia"/>
              </w:rPr>
              <w:t>履约保证金：</w:t>
            </w:r>
            <w:bookmarkEnd w:id="7"/>
            <w:r>
              <w:rPr>
                <w:rFonts w:hint="eastAsia"/>
              </w:rPr>
              <w:t>本项目不需要缴纳履约保证金。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36"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12</w:t>
            </w:r>
          </w:p>
        </w:tc>
        <w:tc>
          <w:tcPr>
            <w:tcW w:w="654"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29</w:t>
            </w:r>
          </w:p>
        </w:tc>
        <w:tc>
          <w:tcPr>
            <w:tcW w:w="8190" w:type="dxa"/>
            <w:vAlign w:val="center"/>
          </w:tcPr>
          <w:p>
            <w:pPr>
              <w:adjustRightInd w:val="0"/>
              <w:snapToGrid w:val="0"/>
              <w:spacing w:line="400" w:lineRule="exact"/>
              <w:rPr>
                <w:rFonts w:asciiTheme="minorEastAsia" w:hAnsiTheme="minorEastAsia" w:eastAsiaTheme="minorEastAsia"/>
              </w:rPr>
            </w:pPr>
            <w:r>
              <w:rPr>
                <w:rFonts w:hint="eastAsia" w:asciiTheme="minorEastAsia" w:hAnsiTheme="minorEastAsia" w:eastAsiaTheme="minorEastAsia"/>
              </w:rPr>
              <w:t>1、成交服务费：</w:t>
            </w:r>
            <w:r>
              <w:rPr>
                <w:rFonts w:hint="eastAsia"/>
              </w:rPr>
              <w:t>领取成交通知书</w:t>
            </w:r>
            <w:r>
              <w:t>前，中标人须向</w:t>
            </w:r>
            <w:r>
              <w:rPr>
                <w:rFonts w:hint="eastAsia"/>
              </w:rPr>
              <w:t>本采购代理机构</w:t>
            </w:r>
            <w:r>
              <w:t>一次</w:t>
            </w:r>
            <w:r>
              <w:rPr>
                <w:rFonts w:hint="eastAsia"/>
              </w:rPr>
              <w:t>性</w:t>
            </w:r>
            <w:r>
              <w:t>付清招标代理服务费，</w:t>
            </w:r>
            <w:r>
              <w:rPr>
                <w:rFonts w:hint="eastAsia" w:hAnsi="宋体"/>
              </w:rPr>
              <w:t>其金额按国家发展计划委员会计价格〔2011〕534号《招标代理服务收费管理暂行办法》货物招标收费标准收取</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36"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13</w:t>
            </w:r>
          </w:p>
        </w:tc>
        <w:tc>
          <w:tcPr>
            <w:tcW w:w="654" w:type="dxa"/>
            <w:vAlign w:val="center"/>
          </w:tcPr>
          <w:p>
            <w:pPr>
              <w:snapToGrid w:val="0"/>
              <w:spacing w:line="400" w:lineRule="exact"/>
              <w:jc w:val="center"/>
              <w:rPr>
                <w:rFonts w:asciiTheme="minorEastAsia" w:hAnsiTheme="minorEastAsia" w:eastAsiaTheme="minorEastAsia"/>
              </w:rPr>
            </w:pPr>
          </w:p>
        </w:tc>
        <w:tc>
          <w:tcPr>
            <w:tcW w:w="8190" w:type="dxa"/>
            <w:vAlign w:val="center"/>
          </w:tcPr>
          <w:p>
            <w:pPr>
              <w:pStyle w:val="40"/>
              <w:snapToGrid w:val="0"/>
              <w:spacing w:line="400" w:lineRule="exact"/>
              <w:rPr>
                <w:rFonts w:asciiTheme="minorEastAsia" w:hAnsiTheme="minorEastAsia" w:eastAsiaTheme="minorEastAsia"/>
              </w:rPr>
            </w:pPr>
            <w:r>
              <w:rPr>
                <w:rFonts w:hint="eastAsia" w:asciiTheme="minorEastAsia" w:hAnsiTheme="minorEastAsia" w:eastAsiaTheme="minorEastAsia"/>
              </w:rPr>
              <w:t>采购人、采购代理机构不再组织服务商进行现场考察或召开磋商前答疑会。编制单位可自行到现场踏勘，在现场考察过程中，报名单位及其聘用、雇佣人员如果发生意外人身伤亡伤害、财物或其它损失等一切风险均由报名单位自理，采购人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36"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14</w:t>
            </w:r>
          </w:p>
        </w:tc>
        <w:tc>
          <w:tcPr>
            <w:tcW w:w="654" w:type="dxa"/>
            <w:vAlign w:val="center"/>
          </w:tcPr>
          <w:p>
            <w:pPr>
              <w:snapToGrid w:val="0"/>
              <w:spacing w:line="400" w:lineRule="exact"/>
              <w:jc w:val="center"/>
              <w:rPr>
                <w:rFonts w:asciiTheme="minorEastAsia" w:hAnsiTheme="minorEastAsia" w:eastAsiaTheme="minorEastAsia"/>
              </w:rPr>
            </w:pPr>
          </w:p>
        </w:tc>
        <w:tc>
          <w:tcPr>
            <w:tcW w:w="8190" w:type="dxa"/>
            <w:vAlign w:val="center"/>
          </w:tcPr>
          <w:p>
            <w:pPr>
              <w:pStyle w:val="40"/>
              <w:snapToGrid w:val="0"/>
              <w:spacing w:line="400" w:lineRule="exact"/>
              <w:rPr>
                <w:rFonts w:asciiTheme="minorEastAsia" w:hAnsiTheme="minorEastAsia" w:eastAsiaTheme="minorEastAsia"/>
              </w:rPr>
            </w:pPr>
            <w:r>
              <w:rPr>
                <w:rFonts w:hint="eastAsia" w:asciiTheme="minorEastAsia" w:hAnsiTheme="minorEastAsia" w:eastAsiaTheme="minorEastAsia"/>
              </w:rPr>
              <w:t>服务商必须对响应文件中所提供的所有文件的真实性、有效性及合法性负责，如果经查实服务商提供虚假资料的，响应无效，如成交，即取消其成交资格。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36"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15</w:t>
            </w:r>
          </w:p>
        </w:tc>
        <w:tc>
          <w:tcPr>
            <w:tcW w:w="654" w:type="dxa"/>
            <w:vAlign w:val="center"/>
          </w:tcPr>
          <w:p>
            <w:pPr>
              <w:snapToGrid w:val="0"/>
              <w:spacing w:line="400" w:lineRule="exact"/>
              <w:jc w:val="center"/>
              <w:rPr>
                <w:rFonts w:asciiTheme="minorEastAsia" w:hAnsiTheme="minorEastAsia" w:eastAsiaTheme="minorEastAsia"/>
              </w:rPr>
            </w:pPr>
          </w:p>
        </w:tc>
        <w:tc>
          <w:tcPr>
            <w:tcW w:w="8190" w:type="dxa"/>
            <w:vAlign w:val="center"/>
          </w:tcPr>
          <w:p>
            <w:pPr>
              <w:pStyle w:val="40"/>
              <w:snapToGrid w:val="0"/>
              <w:spacing w:line="400" w:lineRule="exact"/>
              <w:rPr>
                <w:rFonts w:asciiTheme="minorEastAsia" w:hAnsiTheme="minorEastAsia" w:eastAsiaTheme="minorEastAsia"/>
              </w:rPr>
            </w:pPr>
            <w:r>
              <w:rPr>
                <w:rFonts w:hint="eastAsia" w:asciiTheme="minorEastAsia" w:hAnsiTheme="minorEastAsia" w:eastAsiaTheme="minorEastAsia"/>
              </w:rPr>
              <w:t>本项目不允许转包或分包，如成交人出现转包或分包情形，采购单位有权取消其成交资格，且磋商保证金不予退还。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536"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16</w:t>
            </w:r>
          </w:p>
        </w:tc>
        <w:tc>
          <w:tcPr>
            <w:tcW w:w="654" w:type="dxa"/>
            <w:vAlign w:val="center"/>
          </w:tcPr>
          <w:p>
            <w:pPr>
              <w:snapToGrid w:val="0"/>
              <w:spacing w:line="400" w:lineRule="exact"/>
              <w:jc w:val="center"/>
              <w:rPr>
                <w:rFonts w:asciiTheme="minorEastAsia" w:hAnsiTheme="minorEastAsia" w:eastAsiaTheme="minorEastAsia"/>
              </w:rPr>
            </w:pPr>
          </w:p>
        </w:tc>
        <w:tc>
          <w:tcPr>
            <w:tcW w:w="8190" w:type="dxa"/>
            <w:vAlign w:val="center"/>
          </w:tcPr>
          <w:p>
            <w:pPr>
              <w:pStyle w:val="13"/>
              <w:spacing w:line="400" w:lineRule="exact"/>
              <w:rPr>
                <w:rFonts w:asciiTheme="minorEastAsia" w:hAnsiTheme="minorEastAsia" w:eastAsiaTheme="minorEastAsia"/>
                <w:b/>
                <w:bCs/>
              </w:rPr>
            </w:pPr>
            <w:r>
              <w:rPr>
                <w:rFonts w:hint="eastAsia" w:asciiTheme="minorEastAsia" w:hAnsiTheme="minorEastAsia" w:eastAsiaTheme="minorEastAsia"/>
                <w:b/>
                <w:bCs/>
              </w:rPr>
              <w:t>政府采购合同备案：</w:t>
            </w:r>
          </w:p>
          <w:p>
            <w:pPr>
              <w:pStyle w:val="13"/>
              <w:spacing w:line="400" w:lineRule="exact"/>
              <w:rPr>
                <w:rFonts w:asciiTheme="minorEastAsia" w:hAnsiTheme="minorEastAsia" w:eastAsiaTheme="minorEastAsia"/>
                <w:szCs w:val="21"/>
              </w:rPr>
            </w:pPr>
            <w:r>
              <w:rPr>
                <w:rFonts w:hint="eastAsia" w:asciiTheme="minorEastAsia" w:hAnsiTheme="minorEastAsia" w:eastAsiaTheme="minorEastAsia"/>
              </w:rPr>
              <w:t>1、</w:t>
            </w:r>
            <w:r>
              <w:rPr>
                <w:rFonts w:hint="eastAsia" w:asciiTheme="minorEastAsia" w:hAnsiTheme="minorEastAsia" w:eastAsiaTheme="minorEastAsia"/>
                <w:szCs w:val="21"/>
              </w:rPr>
              <w:t>政府采购合同自签订之日起2个工作日内，成交服务商必须将政府采购合同送本采购代理机构确认。</w:t>
            </w:r>
          </w:p>
          <w:p>
            <w:pPr>
              <w:pStyle w:val="40"/>
              <w:snapToGrid w:val="0"/>
              <w:spacing w:line="400" w:lineRule="exact"/>
              <w:rPr>
                <w:rFonts w:asciiTheme="minorEastAsia" w:hAnsiTheme="minorEastAsia" w:eastAsiaTheme="minorEastAsia"/>
              </w:rPr>
            </w:pPr>
            <w:r>
              <w:rPr>
                <w:rFonts w:hint="eastAsia" w:asciiTheme="minorEastAsia" w:hAnsiTheme="minorEastAsia" w:eastAsiaTheme="minorEastAsia"/>
              </w:rPr>
              <w:t>2、政府采购合同自签订之日起2个工作日内，采购单位必须将政府采购合同报送政采云平台和梧州市蒙山县公共资源交易平台备案。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536" w:type="dxa"/>
            <w:vAlign w:val="center"/>
          </w:tcPr>
          <w:p>
            <w:pPr>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17</w:t>
            </w:r>
          </w:p>
        </w:tc>
        <w:tc>
          <w:tcPr>
            <w:tcW w:w="654" w:type="dxa"/>
            <w:vAlign w:val="center"/>
          </w:tcPr>
          <w:p>
            <w:pPr>
              <w:snapToGrid w:val="0"/>
              <w:spacing w:line="400" w:lineRule="exact"/>
              <w:jc w:val="center"/>
              <w:rPr>
                <w:rFonts w:asciiTheme="minorEastAsia" w:hAnsiTheme="minorEastAsia" w:eastAsiaTheme="minorEastAsia"/>
              </w:rPr>
            </w:pPr>
          </w:p>
        </w:tc>
        <w:tc>
          <w:tcPr>
            <w:tcW w:w="8190" w:type="dxa"/>
            <w:vAlign w:val="center"/>
          </w:tcPr>
          <w:p>
            <w:pPr>
              <w:spacing w:line="400" w:lineRule="exact"/>
              <w:ind w:left="1550" w:hanging="1550" w:hangingChars="735"/>
              <w:rPr>
                <w:rFonts w:hint="eastAsia" w:cs="Times New Roman" w:asciiTheme="minorEastAsia" w:hAnsiTheme="minorEastAsia" w:eastAsiaTheme="minorEastAsia"/>
                <w:b/>
                <w:bCs/>
                <w:kern w:val="2"/>
                <w:sz w:val="21"/>
                <w:szCs w:val="20"/>
                <w:lang w:val="en-US" w:eastAsia="zh-CN" w:bidi="ar-SA"/>
              </w:rPr>
            </w:pPr>
            <w:r>
              <w:rPr>
                <w:rFonts w:hint="eastAsia" w:cs="Times New Roman" w:asciiTheme="minorEastAsia" w:hAnsiTheme="minorEastAsia" w:eastAsiaTheme="minorEastAsia"/>
                <w:b/>
                <w:bCs/>
                <w:kern w:val="2"/>
                <w:sz w:val="21"/>
                <w:szCs w:val="20"/>
                <w:lang w:val="en-US" w:eastAsia="zh-CN" w:bidi="ar-SA"/>
              </w:rPr>
              <w:t>付款方式：</w:t>
            </w:r>
          </w:p>
          <w:p>
            <w:pPr>
              <w:shd w:val="clear" w:color="auto"/>
              <w:spacing w:line="400" w:lineRule="exact"/>
              <w:rPr>
                <w:rFonts w:hint="eastAsia" w:cs="Times New Roman" w:asciiTheme="minorEastAsia" w:hAnsiTheme="minorEastAsia" w:eastAsiaTheme="minorEastAsia"/>
                <w:kern w:val="2"/>
                <w:sz w:val="21"/>
                <w:szCs w:val="20"/>
                <w:lang w:val="en-US" w:eastAsia="zh-CN" w:bidi="ar-SA"/>
              </w:rPr>
            </w:pPr>
            <w:r>
              <w:rPr>
                <w:rFonts w:hint="eastAsia" w:cs="Times New Roman" w:asciiTheme="minorEastAsia" w:hAnsiTheme="minorEastAsia" w:eastAsiaTheme="minorEastAsia"/>
                <w:kern w:val="2"/>
                <w:sz w:val="21"/>
                <w:szCs w:val="20"/>
                <w:lang w:val="en-US" w:eastAsia="zh-CN" w:bidi="ar-SA"/>
              </w:rPr>
              <w:t>支付方式:按年度付款，第一年支付中标价50%，第二年支付中标价50%。</w:t>
            </w:r>
          </w:p>
          <w:p>
            <w:pPr>
              <w:shd w:val="clear" w:color="auto"/>
              <w:spacing w:line="400" w:lineRule="exact"/>
              <w:rPr>
                <w:rFonts w:hint="eastAsia" w:cs="Times New Roman" w:asciiTheme="minorEastAsia" w:hAnsiTheme="minorEastAsia" w:eastAsiaTheme="minorEastAsia"/>
                <w:kern w:val="2"/>
                <w:sz w:val="21"/>
                <w:szCs w:val="20"/>
                <w:lang w:val="en-US" w:eastAsia="zh-CN" w:bidi="ar-SA"/>
              </w:rPr>
            </w:pPr>
            <w:r>
              <w:rPr>
                <w:rFonts w:hint="eastAsia" w:cs="Times New Roman" w:asciiTheme="minorEastAsia" w:hAnsiTheme="minorEastAsia" w:eastAsiaTheme="minorEastAsia"/>
                <w:kern w:val="2"/>
                <w:sz w:val="21"/>
                <w:szCs w:val="20"/>
                <w:lang w:val="en-US" w:eastAsia="zh-CN" w:bidi="ar-SA"/>
              </w:rPr>
              <w:t>第一年:合同签订井且服务单位进场10个工作日内，采购人向中标人支付中标价合同第一年度总额的40%，项目开展超过60%后采购人向中标人支付中标价合同第一年度总额的50%，项目全台结束10个工作日内，由中标人组织专家评审、采购人实施验收，经验收达到合格，双方签字确认，采购人于10个工作日内向中标人支付中标价合同第一年 度总额的10%，第二年付款方式同第一年进度付款方式一致。</w:t>
            </w:r>
          </w:p>
        </w:tc>
      </w:tr>
    </w:tbl>
    <w:p>
      <w:pPr>
        <w:pStyle w:val="40"/>
        <w:spacing w:line="140" w:lineRule="exact"/>
        <w:rPr>
          <w:sz w:val="32"/>
        </w:rPr>
      </w:pPr>
    </w:p>
    <w:p>
      <w:pPr>
        <w:pStyle w:val="18"/>
        <w:jc w:val="center"/>
      </w:pPr>
      <w:r>
        <w:br w:type="page"/>
      </w:r>
      <w:r>
        <w:rPr>
          <w:rFonts w:hint="eastAsia" w:hAnsi="宋体"/>
          <w:b/>
          <w:sz w:val="32"/>
        </w:rPr>
        <w:t>服 务 商 须 知</w:t>
      </w:r>
    </w:p>
    <w:p>
      <w:pPr>
        <w:spacing w:line="390" w:lineRule="exact"/>
        <w:ind w:firstLine="420"/>
        <w:rPr>
          <w:rFonts w:ascii="宋体" w:hAnsi="宋体"/>
          <w:szCs w:val="21"/>
        </w:rPr>
      </w:pPr>
    </w:p>
    <w:p>
      <w:pPr>
        <w:pStyle w:val="3"/>
        <w:spacing w:line="390" w:lineRule="exact"/>
        <w:jc w:val="center"/>
      </w:pPr>
      <w:bookmarkStart w:id="8" w:name="_Toc444005980"/>
      <w:bookmarkStart w:id="9" w:name="_Toc230578056"/>
      <w:bookmarkStart w:id="10" w:name="_Toc185702548"/>
      <w:bookmarkStart w:id="11" w:name="_Toc239839862"/>
      <w:bookmarkStart w:id="12" w:name="_Toc207770834"/>
      <w:bookmarkStart w:id="13" w:name="_Toc206525681"/>
      <w:r>
        <w:rPr>
          <w:rFonts w:hint="eastAsia"/>
        </w:rPr>
        <w:t>一总则</w:t>
      </w:r>
      <w:bookmarkEnd w:id="8"/>
      <w:bookmarkEnd w:id="9"/>
      <w:bookmarkEnd w:id="10"/>
      <w:bookmarkEnd w:id="11"/>
      <w:bookmarkEnd w:id="12"/>
      <w:bookmarkEnd w:id="13"/>
    </w:p>
    <w:p>
      <w:pPr>
        <w:pStyle w:val="4"/>
        <w:spacing w:before="0" w:after="0" w:line="390" w:lineRule="exact"/>
        <w:rPr>
          <w:rFonts w:ascii="宋体" w:hAnsi="宋体" w:eastAsia="宋体"/>
          <w:sz w:val="21"/>
          <w:szCs w:val="21"/>
        </w:rPr>
      </w:pPr>
      <w:bookmarkStart w:id="14" w:name="_Toc239839863"/>
      <w:bookmarkStart w:id="15" w:name="_Toc206525682"/>
      <w:bookmarkStart w:id="16" w:name="_Toc185702549"/>
      <w:bookmarkStart w:id="17" w:name="_Toc207770835"/>
      <w:bookmarkStart w:id="18" w:name="_Toc230578057"/>
      <w:bookmarkStart w:id="19" w:name="_Toc444005981"/>
      <w:r>
        <w:rPr>
          <w:rFonts w:hint="eastAsia" w:ascii="宋体" w:hAnsi="宋体" w:eastAsia="宋体"/>
          <w:sz w:val="21"/>
          <w:szCs w:val="21"/>
        </w:rPr>
        <w:t>1、</w:t>
      </w:r>
      <w:bookmarkEnd w:id="14"/>
      <w:bookmarkEnd w:id="15"/>
      <w:bookmarkEnd w:id="16"/>
      <w:bookmarkEnd w:id="17"/>
      <w:bookmarkEnd w:id="18"/>
      <w:r>
        <w:rPr>
          <w:rFonts w:hint="eastAsia" w:ascii="宋体" w:hAnsi="宋体" w:eastAsia="宋体"/>
          <w:sz w:val="21"/>
          <w:szCs w:val="21"/>
        </w:rPr>
        <w:t>适用范围及定义</w:t>
      </w:r>
      <w:bookmarkEnd w:id="19"/>
    </w:p>
    <w:p>
      <w:pPr>
        <w:spacing w:line="390" w:lineRule="exact"/>
        <w:ind w:firstLine="420"/>
        <w:rPr>
          <w:rFonts w:ascii="宋体" w:hAnsi="宋体"/>
          <w:szCs w:val="21"/>
        </w:rPr>
      </w:pPr>
      <w:bookmarkStart w:id="20" w:name="_Toc230578058"/>
      <w:bookmarkStart w:id="21" w:name="_Toc206525683"/>
      <w:bookmarkStart w:id="22" w:name="_Toc185702550"/>
      <w:bookmarkStart w:id="23" w:name="_Toc207770836"/>
      <w:bookmarkStart w:id="24" w:name="_Toc239839864"/>
      <w:r>
        <w:rPr>
          <w:rFonts w:hint="eastAsia" w:ascii="宋体" w:hAnsi="宋体"/>
          <w:szCs w:val="21"/>
        </w:rPr>
        <w:t>1</w:t>
      </w:r>
      <w:r>
        <w:rPr>
          <w:rFonts w:ascii="宋体" w:hAnsi="宋体"/>
          <w:szCs w:val="21"/>
        </w:rPr>
        <w:t>.1</w:t>
      </w:r>
      <w:r>
        <w:rPr>
          <w:rFonts w:hint="eastAsia" w:ascii="宋体" w:hAnsi="宋体"/>
          <w:szCs w:val="21"/>
        </w:rPr>
        <w:t>适用范围：本竞争性磋商文件仅适用于本次招标中所述项目的货物、服务类政府采购项目。</w:t>
      </w:r>
    </w:p>
    <w:p>
      <w:pPr>
        <w:spacing w:line="390" w:lineRule="exact"/>
        <w:ind w:firstLine="420"/>
        <w:rPr>
          <w:rFonts w:ascii="宋体" w:hAnsi="宋体"/>
          <w:szCs w:val="21"/>
        </w:rPr>
      </w:pPr>
      <w:r>
        <w:rPr>
          <w:rFonts w:hint="eastAsia" w:ascii="宋体" w:hAnsi="宋体"/>
          <w:szCs w:val="21"/>
        </w:rPr>
        <w:t>1.2定义：</w:t>
      </w:r>
    </w:p>
    <w:p>
      <w:pPr>
        <w:spacing w:line="390" w:lineRule="exact"/>
        <w:ind w:firstLine="420"/>
        <w:rPr>
          <w:rFonts w:ascii="宋体" w:hAnsi="宋体"/>
          <w:szCs w:val="21"/>
        </w:rPr>
      </w:pPr>
      <w:r>
        <w:rPr>
          <w:rFonts w:hint="eastAsia" w:ascii="宋体" w:hAnsi="宋体"/>
          <w:szCs w:val="21"/>
        </w:rPr>
        <w:t>1.2.1“采购人”系指本次采购项目的业主方或买方。</w:t>
      </w:r>
    </w:p>
    <w:p>
      <w:pPr>
        <w:spacing w:line="390" w:lineRule="exact"/>
        <w:ind w:firstLine="420"/>
        <w:rPr>
          <w:rFonts w:ascii="宋体" w:hAnsi="宋体"/>
          <w:szCs w:val="21"/>
        </w:rPr>
      </w:pPr>
      <w:r>
        <w:rPr>
          <w:rFonts w:hint="eastAsia" w:ascii="宋体" w:hAnsi="宋体"/>
          <w:szCs w:val="21"/>
        </w:rPr>
        <w:t>1.2.2“采购代理机构” 系指本次采购项目活动组织方京延工程咨询有限公司。</w:t>
      </w:r>
    </w:p>
    <w:p>
      <w:pPr>
        <w:spacing w:line="390" w:lineRule="exact"/>
        <w:ind w:firstLine="420"/>
        <w:rPr>
          <w:rFonts w:ascii="宋体" w:hAnsi="宋体"/>
          <w:szCs w:val="21"/>
        </w:rPr>
      </w:pPr>
      <w:r>
        <w:rPr>
          <w:rFonts w:hint="eastAsia" w:ascii="宋体" w:hAnsi="宋体"/>
          <w:szCs w:val="21"/>
        </w:rPr>
        <w:t>1.2.3“服务商”</w:t>
      </w:r>
      <w:r>
        <w:rPr>
          <w:rFonts w:hint="eastAsia" w:ascii="宋体" w:hAnsi="宋体"/>
          <w:color w:val="000000"/>
        </w:rPr>
        <w:t>是指响应本文件要求，参加磋商的法人或者其他组织和自然人。如果该服务商在本次磋商中成交,即成为“成交服务商”</w:t>
      </w:r>
      <w:r>
        <w:rPr>
          <w:rFonts w:hint="eastAsia" w:ascii="宋体" w:hAnsi="宋体"/>
          <w:szCs w:val="21"/>
        </w:rPr>
        <w:t>。</w:t>
      </w:r>
    </w:p>
    <w:p>
      <w:pPr>
        <w:spacing w:line="390" w:lineRule="exact"/>
        <w:ind w:firstLine="420"/>
        <w:rPr>
          <w:rFonts w:ascii="宋体" w:hAnsi="宋体"/>
          <w:szCs w:val="21"/>
        </w:rPr>
      </w:pPr>
      <w:r>
        <w:rPr>
          <w:rFonts w:hint="eastAsia" w:ascii="宋体" w:hAnsi="宋体"/>
          <w:szCs w:val="21"/>
        </w:rPr>
        <w:t>1.2.4“货物”系指卖方按竞争性磋商文件规定向买方提供的一切货物、设备、机械、仪器仪表、备品备件、工具、手册及其它有关技术资料和材料。</w:t>
      </w:r>
    </w:p>
    <w:p>
      <w:pPr>
        <w:spacing w:line="390" w:lineRule="exact"/>
        <w:ind w:firstLine="420"/>
        <w:rPr>
          <w:rFonts w:ascii="宋体" w:hAnsi="宋体"/>
          <w:szCs w:val="21"/>
        </w:rPr>
      </w:pPr>
      <w:r>
        <w:rPr>
          <w:rFonts w:hint="eastAsia" w:ascii="宋体" w:hAnsi="宋体"/>
          <w:szCs w:val="21"/>
        </w:rPr>
        <w:t>1.2.5“服务”系指竞争性磋商文件规定卖方须承担的技术协助、校准、培训以及其他类似的义务。</w:t>
      </w:r>
    </w:p>
    <w:p>
      <w:pPr>
        <w:spacing w:line="390" w:lineRule="exact"/>
        <w:ind w:firstLine="420"/>
        <w:rPr>
          <w:rFonts w:ascii="宋体" w:hAnsi="宋体"/>
          <w:szCs w:val="21"/>
        </w:rPr>
      </w:pPr>
      <w:r>
        <w:rPr>
          <w:rFonts w:hint="eastAsia" w:ascii="宋体" w:hAnsi="宋体"/>
          <w:szCs w:val="21"/>
        </w:rPr>
        <w:t>1.2.6“响应文件”是指：服务商根据竞争性磋商文件要求，编制包含报价、技术和服务等所有内容的文件。</w:t>
      </w:r>
    </w:p>
    <w:p>
      <w:pPr>
        <w:pStyle w:val="4"/>
        <w:spacing w:before="0" w:after="0" w:line="390" w:lineRule="exact"/>
        <w:rPr>
          <w:rFonts w:ascii="宋体" w:hAnsi="宋体" w:eastAsia="宋体"/>
          <w:sz w:val="21"/>
          <w:szCs w:val="21"/>
        </w:rPr>
      </w:pPr>
      <w:bookmarkStart w:id="25" w:name="_Toc444005982"/>
      <w:r>
        <w:rPr>
          <w:rFonts w:hint="eastAsia" w:ascii="宋体" w:hAnsi="宋体" w:eastAsia="宋体"/>
          <w:sz w:val="21"/>
          <w:szCs w:val="21"/>
        </w:rPr>
        <w:t>2、</w:t>
      </w:r>
      <w:bookmarkEnd w:id="20"/>
      <w:bookmarkEnd w:id="21"/>
      <w:bookmarkEnd w:id="22"/>
      <w:bookmarkEnd w:id="23"/>
      <w:bookmarkEnd w:id="24"/>
      <w:r>
        <w:rPr>
          <w:rFonts w:hint="eastAsia" w:ascii="宋体" w:hAnsi="宋体" w:eastAsia="宋体"/>
          <w:sz w:val="21"/>
          <w:szCs w:val="21"/>
        </w:rPr>
        <w:t>合格的服务商</w:t>
      </w:r>
      <w:bookmarkEnd w:id="25"/>
    </w:p>
    <w:p>
      <w:pPr>
        <w:pStyle w:val="18"/>
        <w:spacing w:line="390" w:lineRule="exact"/>
        <w:ind w:firstLine="420"/>
        <w:rPr>
          <w:rFonts w:hAnsi="宋体"/>
        </w:rPr>
      </w:pPr>
      <w:r>
        <w:rPr>
          <w:rFonts w:hint="eastAsia"/>
        </w:rPr>
        <w:t>2.1合格的服务商应符合服务商须知前附表所规定的资格要求</w:t>
      </w:r>
      <w:r>
        <w:rPr>
          <w:rFonts w:hint="eastAsia" w:hAnsi="宋体"/>
        </w:rPr>
        <w:t>。</w:t>
      </w:r>
    </w:p>
    <w:p>
      <w:pPr>
        <w:pStyle w:val="18"/>
        <w:spacing w:line="390" w:lineRule="exact"/>
        <w:ind w:firstLine="420"/>
      </w:pPr>
      <w:r>
        <w:rPr>
          <w:rFonts w:hint="eastAsia"/>
        </w:rPr>
        <w:t>2.2符合服务商资格的服务商应承担竞标及履约中应承担的全部责任与义务。</w:t>
      </w:r>
    </w:p>
    <w:p>
      <w:pPr>
        <w:pStyle w:val="4"/>
        <w:spacing w:before="0" w:after="0" w:line="390" w:lineRule="exact"/>
        <w:rPr>
          <w:rFonts w:ascii="宋体" w:hAnsi="宋体" w:eastAsia="宋体"/>
          <w:sz w:val="21"/>
          <w:szCs w:val="21"/>
        </w:rPr>
      </w:pPr>
      <w:bookmarkStart w:id="26" w:name="_Toc185702551"/>
      <w:bookmarkStart w:id="27" w:name="_Toc206525684"/>
      <w:bookmarkStart w:id="28" w:name="_Toc230578059"/>
      <w:bookmarkStart w:id="29" w:name="_Toc207770837"/>
      <w:bookmarkStart w:id="30" w:name="_Toc444005983"/>
      <w:bookmarkStart w:id="31" w:name="_Toc239839865"/>
      <w:r>
        <w:rPr>
          <w:rFonts w:hint="eastAsia" w:ascii="宋体" w:hAnsi="宋体" w:eastAsia="宋体"/>
          <w:sz w:val="21"/>
          <w:szCs w:val="21"/>
        </w:rPr>
        <w:t>3、竞标费用</w:t>
      </w:r>
      <w:bookmarkEnd w:id="26"/>
      <w:bookmarkEnd w:id="27"/>
      <w:bookmarkEnd w:id="28"/>
      <w:bookmarkEnd w:id="29"/>
      <w:bookmarkEnd w:id="30"/>
      <w:bookmarkEnd w:id="31"/>
    </w:p>
    <w:p>
      <w:pPr>
        <w:pStyle w:val="18"/>
        <w:spacing w:line="390" w:lineRule="exact"/>
        <w:ind w:firstLine="420"/>
      </w:pPr>
      <w:r>
        <w:rPr>
          <w:rFonts w:hint="eastAsia"/>
        </w:rPr>
        <w:t>3.1服务商应自行承担所有与编写和提交响应文件有关的费用，不论</w:t>
      </w:r>
      <w:r>
        <w:rPr>
          <w:rFonts w:hint="eastAsia" w:hAnsi="宋体"/>
        </w:rPr>
        <w:t>磋商</w:t>
      </w:r>
      <w:r>
        <w:rPr>
          <w:rFonts w:hint="eastAsia"/>
        </w:rPr>
        <w:t>结果如何，采购人（采购代理机构）在任何情况下无义务和责任承担此类费用。</w:t>
      </w:r>
    </w:p>
    <w:p>
      <w:pPr>
        <w:pStyle w:val="18"/>
        <w:spacing w:line="390" w:lineRule="exact"/>
        <w:ind w:firstLine="420"/>
      </w:pPr>
    </w:p>
    <w:p>
      <w:pPr>
        <w:pStyle w:val="3"/>
        <w:spacing w:line="390" w:lineRule="exact"/>
        <w:jc w:val="center"/>
      </w:pPr>
      <w:bookmarkStart w:id="32" w:name="_Toc239839866"/>
      <w:bookmarkStart w:id="33" w:name="_Toc185702552"/>
      <w:bookmarkStart w:id="34" w:name="_Toc207770838"/>
      <w:bookmarkStart w:id="35" w:name="_Toc206525685"/>
      <w:bookmarkStart w:id="36" w:name="_Toc444005984"/>
      <w:bookmarkStart w:id="37" w:name="_Toc230578060"/>
      <w:r>
        <w:rPr>
          <w:rFonts w:hint="eastAsia"/>
        </w:rPr>
        <w:t>二竞争性磋商文件（简称</w:t>
      </w:r>
      <w:r>
        <w:rPr>
          <w:rFonts w:hint="eastAsia" w:ascii="宋体" w:hAnsi="宋体"/>
        </w:rPr>
        <w:t>磋商</w:t>
      </w:r>
      <w:r>
        <w:rPr>
          <w:rFonts w:hint="eastAsia"/>
        </w:rPr>
        <w:t>文件）</w:t>
      </w:r>
      <w:bookmarkEnd w:id="32"/>
      <w:bookmarkEnd w:id="33"/>
      <w:bookmarkEnd w:id="34"/>
      <w:bookmarkEnd w:id="35"/>
      <w:bookmarkEnd w:id="36"/>
      <w:bookmarkEnd w:id="37"/>
    </w:p>
    <w:p>
      <w:pPr>
        <w:pStyle w:val="4"/>
        <w:spacing w:before="0" w:after="0" w:line="390" w:lineRule="exact"/>
        <w:rPr>
          <w:rFonts w:ascii="宋体" w:hAnsi="宋体" w:eastAsia="宋体"/>
          <w:sz w:val="21"/>
          <w:szCs w:val="21"/>
        </w:rPr>
      </w:pPr>
      <w:bookmarkStart w:id="38" w:name="_Toc239839867"/>
      <w:bookmarkStart w:id="39" w:name="_Toc230578061"/>
      <w:bookmarkStart w:id="40" w:name="_Toc207770839"/>
      <w:bookmarkStart w:id="41" w:name="_Toc185702553"/>
      <w:bookmarkStart w:id="42" w:name="_Toc206525686"/>
      <w:bookmarkStart w:id="43" w:name="_Toc444005985"/>
      <w:r>
        <w:rPr>
          <w:rFonts w:hint="eastAsia" w:ascii="宋体" w:hAnsi="宋体" w:eastAsia="宋体"/>
          <w:sz w:val="21"/>
          <w:szCs w:val="21"/>
        </w:rPr>
        <w:t>4、磋商文件的构成</w:t>
      </w:r>
      <w:bookmarkEnd w:id="38"/>
      <w:bookmarkEnd w:id="39"/>
      <w:bookmarkEnd w:id="40"/>
      <w:bookmarkEnd w:id="41"/>
      <w:bookmarkEnd w:id="42"/>
      <w:bookmarkEnd w:id="43"/>
    </w:p>
    <w:p>
      <w:pPr>
        <w:pStyle w:val="18"/>
        <w:spacing w:line="390" w:lineRule="exact"/>
        <w:ind w:firstLine="420"/>
      </w:pPr>
      <w:r>
        <w:rPr>
          <w:rFonts w:hint="eastAsia"/>
        </w:rPr>
        <w:t>4.1</w:t>
      </w:r>
      <w:r>
        <w:rPr>
          <w:rFonts w:hint="eastAsia" w:hAnsi="宋体"/>
        </w:rPr>
        <w:t>磋商</w:t>
      </w:r>
      <w:r>
        <w:rPr>
          <w:rFonts w:hint="eastAsia"/>
        </w:rPr>
        <w:t>文件包括：</w:t>
      </w:r>
    </w:p>
    <w:p>
      <w:pPr>
        <w:pStyle w:val="18"/>
        <w:spacing w:line="390" w:lineRule="exact"/>
        <w:ind w:firstLine="426"/>
        <w:rPr>
          <w:rFonts w:hAnsi="宋体"/>
        </w:rPr>
      </w:pPr>
      <w:r>
        <w:rPr>
          <w:rFonts w:hint="eastAsia"/>
        </w:rPr>
        <w:t>竞争性磋商公告 ：</w:t>
      </w:r>
      <w:r>
        <w:rPr>
          <w:rFonts w:hAnsi="宋体"/>
          <w:szCs w:val="21"/>
        </w:rPr>
        <w:t>广西壮族自治区政府采购网</w:t>
      </w:r>
      <w:r>
        <w:rPr>
          <w:rFonts w:hint="eastAsia"/>
          <w:spacing w:val="2"/>
        </w:rPr>
        <w:t>、</w:t>
      </w:r>
      <w:r>
        <w:rPr>
          <w:rFonts w:hAnsi="宋体"/>
          <w:szCs w:val="21"/>
        </w:rPr>
        <w:t>梧州市政府采购网</w:t>
      </w:r>
      <w:r>
        <w:rPr>
          <w:rFonts w:hint="eastAsia" w:hAnsi="宋体"/>
          <w:spacing w:val="2"/>
          <w:szCs w:val="21"/>
        </w:rPr>
        <w:t>、</w:t>
      </w:r>
      <w:r>
        <w:rPr>
          <w:rFonts w:hint="eastAsia" w:hAnsi="宋体"/>
          <w:szCs w:val="21"/>
        </w:rPr>
        <w:t>广西蒙山县人民政府门户网</w:t>
      </w:r>
      <w:r>
        <w:rPr>
          <w:rFonts w:hint="eastAsia"/>
        </w:rPr>
        <w:t>；</w:t>
      </w:r>
    </w:p>
    <w:p>
      <w:pPr>
        <w:pStyle w:val="18"/>
        <w:spacing w:line="390" w:lineRule="exact"/>
        <w:ind w:firstLine="426"/>
      </w:pPr>
      <w:r>
        <w:rPr>
          <w:rFonts w:hint="eastAsia"/>
        </w:rPr>
        <w:t>第一章  服务商须知及前附表</w:t>
      </w:r>
    </w:p>
    <w:p>
      <w:pPr>
        <w:pStyle w:val="18"/>
        <w:spacing w:line="390" w:lineRule="exact"/>
        <w:ind w:firstLine="420"/>
      </w:pPr>
      <w:r>
        <w:rPr>
          <w:rFonts w:hint="eastAsia"/>
        </w:rPr>
        <w:t xml:space="preserve">第二章  </w:t>
      </w:r>
      <w:r>
        <w:rPr>
          <w:rFonts w:hint="eastAsia" w:hAnsi="宋体"/>
          <w:szCs w:val="21"/>
        </w:rPr>
        <w:t>服务内容及要求</w:t>
      </w:r>
    </w:p>
    <w:p>
      <w:pPr>
        <w:pStyle w:val="18"/>
        <w:spacing w:line="390" w:lineRule="exact"/>
        <w:ind w:firstLine="420"/>
      </w:pPr>
      <w:r>
        <w:rPr>
          <w:rFonts w:hint="eastAsia"/>
        </w:rPr>
        <w:t>第三章  政府采购合同（格式）</w:t>
      </w:r>
    </w:p>
    <w:p>
      <w:pPr>
        <w:pStyle w:val="18"/>
        <w:spacing w:line="390" w:lineRule="exact"/>
        <w:ind w:firstLine="420"/>
      </w:pPr>
      <w:r>
        <w:rPr>
          <w:rFonts w:hint="eastAsia"/>
        </w:rPr>
        <w:t>第四章  评标方法</w:t>
      </w:r>
    </w:p>
    <w:p>
      <w:pPr>
        <w:pStyle w:val="18"/>
        <w:spacing w:line="390" w:lineRule="exact"/>
        <w:ind w:firstLine="420"/>
      </w:pPr>
      <w:r>
        <w:rPr>
          <w:rFonts w:hint="eastAsia"/>
        </w:rPr>
        <w:t>第五章  响应文件（格式）</w:t>
      </w:r>
    </w:p>
    <w:p>
      <w:pPr>
        <w:pStyle w:val="18"/>
        <w:spacing w:line="390" w:lineRule="exact"/>
        <w:ind w:firstLine="420"/>
      </w:pPr>
      <w:r>
        <w:rPr>
          <w:rFonts w:hint="eastAsia"/>
        </w:rPr>
        <w:t>第六章  附件</w:t>
      </w:r>
    </w:p>
    <w:p>
      <w:pPr>
        <w:pStyle w:val="4"/>
        <w:spacing w:before="0" w:after="0" w:line="400" w:lineRule="exact"/>
        <w:rPr>
          <w:rFonts w:ascii="宋体" w:hAnsi="宋体" w:eastAsia="宋体"/>
          <w:sz w:val="21"/>
          <w:szCs w:val="21"/>
        </w:rPr>
      </w:pPr>
      <w:bookmarkStart w:id="44" w:name="_Toc206525687"/>
      <w:bookmarkStart w:id="45" w:name="_Toc230578062"/>
      <w:bookmarkStart w:id="46" w:name="_Toc185702554"/>
      <w:bookmarkStart w:id="47" w:name="_Toc444005986"/>
      <w:bookmarkStart w:id="48" w:name="_Toc239839868"/>
      <w:bookmarkStart w:id="49" w:name="_Toc207770840"/>
      <w:r>
        <w:rPr>
          <w:rFonts w:hint="eastAsia" w:ascii="宋体" w:hAnsi="宋体" w:eastAsia="宋体"/>
          <w:sz w:val="21"/>
          <w:szCs w:val="21"/>
        </w:rPr>
        <w:t>5、磋商文件的澄清和修改</w:t>
      </w:r>
      <w:bookmarkEnd w:id="44"/>
      <w:bookmarkEnd w:id="45"/>
      <w:bookmarkEnd w:id="46"/>
      <w:bookmarkEnd w:id="47"/>
      <w:bookmarkEnd w:id="48"/>
      <w:bookmarkEnd w:id="49"/>
    </w:p>
    <w:p>
      <w:pPr>
        <w:pStyle w:val="18"/>
        <w:spacing w:line="400" w:lineRule="exact"/>
        <w:ind w:firstLine="420"/>
      </w:pPr>
      <w:r>
        <w:rPr>
          <w:rFonts w:hint="eastAsia"/>
        </w:rPr>
        <w:t>5.1服务商应认真查阅磋商文件中的内容和服务要求，如发现内容有误的，服务商必须在提交响应文件截止时间3日前要求澄清。否则，由此产生的后果由服务商负责。</w:t>
      </w:r>
    </w:p>
    <w:p>
      <w:pPr>
        <w:pStyle w:val="18"/>
        <w:spacing w:line="400" w:lineRule="exact"/>
        <w:ind w:firstLine="420"/>
      </w:pPr>
      <w:r>
        <w:rPr>
          <w:rFonts w:hint="eastAsia"/>
        </w:rPr>
        <w:t>5.2任何要求澄清文件的服务商，均应在提交首次响应文件截止时间5日前的正常工作时间以书面形式（内容包括</w:t>
      </w:r>
      <w:r>
        <w:rPr>
          <w:rFonts w:hint="eastAsia" w:hAnsi="宋体"/>
          <w:szCs w:val="21"/>
        </w:rPr>
        <w:t>项目名称及编号、澄清内容、要求澄清的单位名称或姓名、地址、联系电话等，</w:t>
      </w:r>
      <w:r>
        <w:rPr>
          <w:rFonts w:hint="eastAsia"/>
        </w:rPr>
        <w:t>并加盖公章，法定代表人签字</w:t>
      </w:r>
      <w:r>
        <w:rPr>
          <w:rFonts w:hint="eastAsia" w:hAnsi="宋体"/>
          <w:szCs w:val="21"/>
        </w:rPr>
        <w:t>）</w:t>
      </w:r>
      <w:r>
        <w:rPr>
          <w:rFonts w:hint="eastAsia"/>
        </w:rPr>
        <w:t>通知采购代理机构，否则，采购代理机构将不予受理，同时认定其他要求澄清的方式为无效。采购代理机构将以书面形式予以答复。</w:t>
      </w:r>
    </w:p>
    <w:p>
      <w:pPr>
        <w:pStyle w:val="18"/>
        <w:spacing w:line="400" w:lineRule="exact"/>
        <w:ind w:firstLine="420"/>
      </w:pPr>
      <w:r>
        <w:rPr>
          <w:rFonts w:hint="eastAsia"/>
        </w:rPr>
        <w:t>5.3采购代理机构对已发出的磋商文件进行必要澄清或修改的，在磋商文件要求提交首次响应文件截止时间5日前，在</w:t>
      </w:r>
      <w:r>
        <w:rPr>
          <w:rFonts w:hAnsi="宋体"/>
          <w:szCs w:val="21"/>
        </w:rPr>
        <w:t>广西壮族自治区政府采购网</w:t>
      </w:r>
      <w:r>
        <w:rPr>
          <w:rFonts w:hint="eastAsia"/>
        </w:rPr>
        <w:t>、</w:t>
      </w:r>
      <w:r>
        <w:rPr>
          <w:rFonts w:hAnsi="宋体"/>
          <w:szCs w:val="21"/>
        </w:rPr>
        <w:t>梧州市政府采购网</w:t>
      </w:r>
      <w:r>
        <w:rPr>
          <w:rFonts w:hint="eastAsia" w:hAnsi="宋体"/>
          <w:szCs w:val="21"/>
        </w:rPr>
        <w:t>、广西蒙山县人民政府门户网</w:t>
      </w:r>
      <w:r>
        <w:rPr>
          <w:rFonts w:hint="eastAsia" w:hAnsi="宋体"/>
        </w:rPr>
        <w:t>网站</w:t>
      </w:r>
      <w:r>
        <w:rPr>
          <w:rFonts w:hint="eastAsia"/>
        </w:rPr>
        <w:t>上发布更正公告，该澄清或修改的内容为磋商文件的组成部分并对其具有约束力。</w:t>
      </w:r>
    </w:p>
    <w:p>
      <w:pPr>
        <w:pStyle w:val="18"/>
        <w:spacing w:line="400" w:lineRule="exact"/>
        <w:ind w:firstLine="420"/>
      </w:pPr>
      <w:r>
        <w:t>5.</w:t>
      </w:r>
      <w:r>
        <w:rPr>
          <w:rFonts w:hint="eastAsia"/>
        </w:rPr>
        <w:t>4采购代理机构可视具体情况，延长提交响应文件截止时间和开标时间。采购代理机构至少在磋商文件要求提交响应文件截止时间1日前，在</w:t>
      </w:r>
      <w:r>
        <w:rPr>
          <w:rFonts w:hAnsi="宋体"/>
          <w:szCs w:val="21"/>
        </w:rPr>
        <w:t>广西壮族自治区政府采购网</w:t>
      </w:r>
      <w:r>
        <w:rPr>
          <w:rFonts w:hint="eastAsia"/>
        </w:rPr>
        <w:t>、</w:t>
      </w:r>
      <w:r>
        <w:rPr>
          <w:rFonts w:hAnsi="宋体"/>
          <w:szCs w:val="21"/>
        </w:rPr>
        <w:t>梧州市政府采购网</w:t>
      </w:r>
      <w:r>
        <w:rPr>
          <w:rFonts w:hint="eastAsia"/>
        </w:rPr>
        <w:t>、</w:t>
      </w:r>
      <w:r>
        <w:rPr>
          <w:rFonts w:hint="eastAsia" w:hAnsi="宋体"/>
          <w:szCs w:val="21"/>
        </w:rPr>
        <w:t>广西蒙山县人民政府门户网</w:t>
      </w:r>
      <w:r>
        <w:rPr>
          <w:rFonts w:hint="eastAsia" w:hAnsi="宋体"/>
        </w:rPr>
        <w:t>网站</w:t>
      </w:r>
      <w:r>
        <w:rPr>
          <w:rFonts w:hint="eastAsia"/>
        </w:rPr>
        <w:t>上发布变更公告。</w:t>
      </w:r>
    </w:p>
    <w:p>
      <w:pPr>
        <w:pStyle w:val="18"/>
        <w:spacing w:line="400" w:lineRule="exact"/>
        <w:ind w:firstLine="420"/>
        <w:rPr>
          <w:spacing w:val="-2"/>
        </w:rPr>
      </w:pPr>
      <w:r>
        <w:rPr>
          <w:rFonts w:hint="eastAsia"/>
          <w:spacing w:val="-2"/>
        </w:rPr>
        <w:t>5.5与本项目磋商文件相关的更改通知（或补遗通知等），服务商在网上查询到本项目的更改通知或补遗文件后应填写《收件回执》通知采购代理机构，确认已收到该文件，否则，由此造成一切后果由竞标人承担。</w:t>
      </w:r>
    </w:p>
    <w:p>
      <w:pPr>
        <w:pStyle w:val="18"/>
        <w:spacing w:line="400" w:lineRule="exact"/>
        <w:ind w:firstLine="420"/>
      </w:pPr>
    </w:p>
    <w:p>
      <w:pPr>
        <w:pStyle w:val="3"/>
        <w:spacing w:line="400" w:lineRule="exact"/>
        <w:jc w:val="center"/>
      </w:pPr>
      <w:bookmarkStart w:id="50" w:name="_Toc206525688"/>
      <w:bookmarkStart w:id="51" w:name="_Toc207770841"/>
      <w:bookmarkStart w:id="52" w:name="_Toc230578063"/>
      <w:bookmarkStart w:id="53" w:name="_Toc444005987"/>
      <w:bookmarkStart w:id="54" w:name="_Toc185702555"/>
      <w:bookmarkStart w:id="55" w:name="_Toc239839869"/>
      <w:r>
        <w:rPr>
          <w:rFonts w:hint="eastAsia"/>
        </w:rPr>
        <w:t>三响应文件的编制</w:t>
      </w:r>
      <w:bookmarkEnd w:id="50"/>
      <w:bookmarkEnd w:id="51"/>
      <w:bookmarkEnd w:id="52"/>
      <w:bookmarkEnd w:id="53"/>
      <w:bookmarkEnd w:id="54"/>
      <w:bookmarkEnd w:id="55"/>
    </w:p>
    <w:p>
      <w:pPr>
        <w:pStyle w:val="4"/>
        <w:spacing w:before="0" w:after="0" w:line="400" w:lineRule="exact"/>
        <w:rPr>
          <w:rFonts w:ascii="宋体" w:hAnsi="宋体" w:eastAsia="宋体"/>
          <w:sz w:val="21"/>
          <w:szCs w:val="21"/>
        </w:rPr>
      </w:pPr>
      <w:bookmarkStart w:id="56" w:name="_Toc444005988"/>
      <w:bookmarkStart w:id="57" w:name="_Toc206525689"/>
      <w:bookmarkStart w:id="58" w:name="_Toc185702556"/>
      <w:bookmarkStart w:id="59" w:name="_Toc230578064"/>
      <w:bookmarkStart w:id="60" w:name="_Toc239839870"/>
      <w:bookmarkStart w:id="61" w:name="_Toc207770842"/>
      <w:r>
        <w:rPr>
          <w:rFonts w:hint="eastAsia" w:ascii="宋体" w:hAnsi="宋体" w:eastAsia="宋体"/>
          <w:sz w:val="21"/>
          <w:szCs w:val="21"/>
        </w:rPr>
        <w:t>6、响应文件编写的注意事项</w:t>
      </w:r>
      <w:bookmarkEnd w:id="56"/>
      <w:bookmarkEnd w:id="57"/>
      <w:bookmarkEnd w:id="58"/>
      <w:bookmarkEnd w:id="59"/>
      <w:bookmarkEnd w:id="60"/>
      <w:bookmarkEnd w:id="61"/>
    </w:p>
    <w:p>
      <w:pPr>
        <w:pStyle w:val="18"/>
        <w:spacing w:line="400" w:lineRule="exact"/>
        <w:ind w:firstLine="420"/>
      </w:pPr>
      <w:r>
        <w:rPr>
          <w:rFonts w:hint="eastAsia"/>
        </w:rPr>
        <w:t>6.1服务商应仔细阅读磋商文件，按磋商文件的要求编制响应文件。如果没有按磋商文件要求提交响应文件，没有对磋商文件提出的实质性要求和条件作出响应，该竞标将被拒绝。</w:t>
      </w:r>
    </w:p>
    <w:p>
      <w:pPr>
        <w:pStyle w:val="18"/>
        <w:spacing w:line="400" w:lineRule="exact"/>
        <w:ind w:firstLine="420"/>
        <w:rPr>
          <w:spacing w:val="-2"/>
          <w:szCs w:val="21"/>
        </w:rPr>
      </w:pPr>
      <w:r>
        <w:rPr>
          <w:rFonts w:hint="eastAsia"/>
          <w:spacing w:val="-2"/>
          <w:szCs w:val="21"/>
        </w:rPr>
        <w:t>6.2对磋商文件提出的实质性要求和条件作出响应是指服务商必须对磋商文件中涉及竞标项目的价格、技术要求、数量、售后服务及其它要求、合同主要条款等内容作出满足或者优于原要求和条件的承诺。</w:t>
      </w:r>
    </w:p>
    <w:p>
      <w:pPr>
        <w:pStyle w:val="4"/>
        <w:spacing w:before="0" w:after="0" w:line="400" w:lineRule="exact"/>
        <w:rPr>
          <w:rFonts w:ascii="宋体" w:hAnsi="宋体" w:eastAsia="宋体"/>
          <w:sz w:val="21"/>
          <w:szCs w:val="21"/>
        </w:rPr>
      </w:pPr>
      <w:bookmarkStart w:id="62" w:name="_Toc444005989"/>
      <w:bookmarkStart w:id="63" w:name="_Toc239839871"/>
      <w:bookmarkStart w:id="64" w:name="_Toc207770843"/>
      <w:bookmarkStart w:id="65" w:name="_Toc206525690"/>
      <w:bookmarkStart w:id="66" w:name="_Toc230578065"/>
      <w:bookmarkStart w:id="67" w:name="_Toc185702557"/>
      <w:r>
        <w:rPr>
          <w:rFonts w:hint="eastAsia" w:ascii="宋体" w:hAnsi="宋体" w:eastAsia="宋体"/>
          <w:sz w:val="21"/>
          <w:szCs w:val="21"/>
        </w:rPr>
        <w:t>7、响应文件的文字及计量单位</w:t>
      </w:r>
      <w:bookmarkEnd w:id="62"/>
      <w:bookmarkEnd w:id="63"/>
      <w:bookmarkEnd w:id="64"/>
      <w:bookmarkEnd w:id="65"/>
      <w:bookmarkEnd w:id="66"/>
      <w:bookmarkEnd w:id="67"/>
    </w:p>
    <w:p>
      <w:pPr>
        <w:pStyle w:val="18"/>
        <w:spacing w:line="400" w:lineRule="exact"/>
        <w:ind w:firstLine="435"/>
        <w:rPr>
          <w:spacing w:val="-4"/>
          <w:szCs w:val="21"/>
        </w:rPr>
      </w:pPr>
      <w:r>
        <w:rPr>
          <w:rFonts w:hint="eastAsia"/>
          <w:spacing w:val="-4"/>
          <w:szCs w:val="21"/>
        </w:rPr>
        <w:t>7.1服务商的响应文件以及服务商与采购代理机构的所有来往的函件统一使用中文（另有规定的除外）。</w:t>
      </w:r>
    </w:p>
    <w:p>
      <w:pPr>
        <w:pStyle w:val="18"/>
        <w:spacing w:line="400" w:lineRule="exact"/>
        <w:ind w:firstLine="435"/>
      </w:pPr>
      <w:r>
        <w:rPr>
          <w:rFonts w:hint="eastAsia"/>
        </w:rPr>
        <w:t>7.2响应文件使用的计量单位除磋商文件中有特殊规定外，一律使用法定计量单位。</w:t>
      </w:r>
    </w:p>
    <w:p>
      <w:pPr>
        <w:pStyle w:val="4"/>
        <w:spacing w:before="0" w:after="0" w:line="400" w:lineRule="exact"/>
        <w:rPr>
          <w:rFonts w:ascii="宋体" w:hAnsi="宋体" w:eastAsia="宋体"/>
          <w:sz w:val="21"/>
          <w:szCs w:val="21"/>
        </w:rPr>
      </w:pPr>
      <w:bookmarkStart w:id="68" w:name="_Toc207770844"/>
      <w:bookmarkStart w:id="69" w:name="_Toc206525691"/>
      <w:bookmarkStart w:id="70" w:name="_Toc444005990"/>
      <w:bookmarkStart w:id="71" w:name="_Toc230578066"/>
      <w:bookmarkStart w:id="72" w:name="_Toc239839872"/>
      <w:bookmarkStart w:id="73" w:name="_Toc185702558"/>
      <w:r>
        <w:rPr>
          <w:rFonts w:hint="eastAsia" w:ascii="宋体" w:hAnsi="宋体" w:eastAsia="宋体"/>
          <w:sz w:val="21"/>
          <w:szCs w:val="21"/>
        </w:rPr>
        <w:t>8、响应文件的构成</w:t>
      </w:r>
      <w:bookmarkEnd w:id="68"/>
      <w:bookmarkEnd w:id="69"/>
      <w:bookmarkEnd w:id="70"/>
      <w:bookmarkEnd w:id="71"/>
      <w:bookmarkEnd w:id="72"/>
      <w:bookmarkEnd w:id="73"/>
    </w:p>
    <w:p>
      <w:pPr>
        <w:pStyle w:val="18"/>
        <w:spacing w:line="400" w:lineRule="exact"/>
        <w:ind w:firstLine="420"/>
        <w:rPr>
          <w:spacing w:val="-2"/>
          <w:szCs w:val="21"/>
        </w:rPr>
      </w:pPr>
      <w:r>
        <w:rPr>
          <w:rFonts w:hint="eastAsia"/>
          <w:spacing w:val="-2"/>
          <w:szCs w:val="21"/>
        </w:rPr>
        <w:t>8.1服务商编写的且在响应文件提交截止时间前提交的响应文件应包括下列内容：（详见第五章要求）</w:t>
      </w:r>
    </w:p>
    <w:p>
      <w:pPr>
        <w:pStyle w:val="18"/>
        <w:spacing w:line="400" w:lineRule="exact"/>
        <w:ind w:firstLine="420"/>
      </w:pPr>
      <w:r>
        <w:rPr>
          <w:rFonts w:hint="eastAsia"/>
        </w:rPr>
        <w:t>以下一～五项内容项作为服务商资格和符合性审查的内容，必须提供，</w:t>
      </w:r>
      <w:r>
        <w:rPr>
          <w:rFonts w:hint="eastAsia"/>
          <w:szCs w:val="21"/>
        </w:rPr>
        <w:t>如提供不全或无效或未按规定加盖单位公章的将被认定为资格审查不合格而取消其竞标资格。</w:t>
      </w:r>
      <w:r>
        <w:rPr>
          <w:rFonts w:hint="eastAsia"/>
        </w:rPr>
        <w:t>其他文件可根据实际情况提供。</w:t>
      </w:r>
    </w:p>
    <w:p>
      <w:pPr>
        <w:pStyle w:val="18"/>
        <w:spacing w:line="400" w:lineRule="exact"/>
        <w:ind w:firstLine="420" w:firstLineChars="200"/>
      </w:pPr>
      <w:bookmarkStart w:id="74" w:name="_Toc230578067"/>
      <w:bookmarkStart w:id="75" w:name="_Toc207770845"/>
      <w:bookmarkStart w:id="76" w:name="_Toc206525692"/>
      <w:bookmarkStart w:id="77" w:name="_Toc185702559"/>
      <w:r>
        <w:rPr>
          <w:rFonts w:hint="eastAsia"/>
        </w:rPr>
        <w:t>一、</w:t>
      </w:r>
      <w:r>
        <w:rPr>
          <w:rFonts w:hint="eastAsia" w:hAnsi="宋体"/>
        </w:rPr>
        <w:t>响应函</w:t>
      </w:r>
    </w:p>
    <w:p>
      <w:pPr>
        <w:pStyle w:val="18"/>
        <w:spacing w:line="400" w:lineRule="exact"/>
        <w:ind w:firstLine="420" w:firstLineChars="200"/>
      </w:pPr>
      <w:r>
        <w:rPr>
          <w:rFonts w:hint="eastAsia"/>
        </w:rPr>
        <w:t>二、磋商报价表</w:t>
      </w:r>
    </w:p>
    <w:p>
      <w:pPr>
        <w:pStyle w:val="18"/>
        <w:spacing w:line="400" w:lineRule="exact"/>
        <w:ind w:firstLine="420" w:firstLineChars="200"/>
      </w:pPr>
      <w:r>
        <w:rPr>
          <w:rFonts w:hint="eastAsia"/>
        </w:rPr>
        <w:t>三、商务条款响应表</w:t>
      </w:r>
    </w:p>
    <w:p>
      <w:pPr>
        <w:pStyle w:val="18"/>
        <w:spacing w:line="400" w:lineRule="exact"/>
        <w:ind w:firstLine="420" w:firstLineChars="200"/>
      </w:pPr>
      <w:r>
        <w:rPr>
          <w:rFonts w:hint="eastAsia"/>
        </w:rPr>
        <w:t>四、服务商资格证明文件</w:t>
      </w:r>
    </w:p>
    <w:p>
      <w:pPr>
        <w:pStyle w:val="18"/>
        <w:spacing w:line="400" w:lineRule="exact"/>
        <w:ind w:firstLine="420" w:firstLineChars="200"/>
      </w:pPr>
      <w:r>
        <w:rPr>
          <w:rFonts w:hint="eastAsia"/>
        </w:rPr>
        <w:t>五、拟投入项目实施人员一览表</w:t>
      </w:r>
    </w:p>
    <w:p>
      <w:pPr>
        <w:pStyle w:val="18"/>
        <w:spacing w:line="400" w:lineRule="exact"/>
        <w:ind w:firstLine="420" w:firstLineChars="200"/>
      </w:pPr>
      <w:r>
        <w:rPr>
          <w:rFonts w:hint="eastAsia"/>
        </w:rPr>
        <w:t>六、其它资料（服务商认为有必要提供的声明、证明文件资料，如公司简介、业绩、信誉等，由服务商根据自己的实际情况自行提供。）</w:t>
      </w:r>
    </w:p>
    <w:p>
      <w:pPr>
        <w:pStyle w:val="18"/>
        <w:spacing w:line="400" w:lineRule="exact"/>
        <w:ind w:firstLine="420"/>
      </w:pPr>
      <w:r>
        <w:rPr>
          <w:rFonts w:hint="eastAsia"/>
        </w:rPr>
        <w:t>8.2服务商必须按磋商文件第五章《响应文件格式》要求顺序自编目录及页码。</w:t>
      </w:r>
    </w:p>
    <w:p>
      <w:pPr>
        <w:pStyle w:val="4"/>
        <w:spacing w:before="0" w:after="0" w:line="400" w:lineRule="exact"/>
        <w:rPr>
          <w:rFonts w:ascii="宋体" w:hAnsi="宋体" w:eastAsia="宋体"/>
          <w:sz w:val="21"/>
          <w:szCs w:val="21"/>
        </w:rPr>
      </w:pPr>
      <w:bookmarkStart w:id="78" w:name="_Toc444005991"/>
      <w:bookmarkStart w:id="79" w:name="_Toc239839873"/>
      <w:r>
        <w:rPr>
          <w:rFonts w:hint="eastAsia" w:ascii="宋体" w:hAnsi="宋体" w:eastAsia="宋体"/>
          <w:sz w:val="21"/>
          <w:szCs w:val="21"/>
        </w:rPr>
        <w:t>9、响应文件格式</w:t>
      </w:r>
      <w:bookmarkEnd w:id="74"/>
      <w:bookmarkEnd w:id="75"/>
      <w:bookmarkEnd w:id="76"/>
      <w:bookmarkEnd w:id="77"/>
      <w:bookmarkEnd w:id="78"/>
      <w:bookmarkEnd w:id="79"/>
    </w:p>
    <w:p>
      <w:pPr>
        <w:pStyle w:val="18"/>
        <w:spacing w:line="400" w:lineRule="exact"/>
        <w:ind w:firstLine="420"/>
        <w:rPr>
          <w:bCs/>
        </w:rPr>
      </w:pPr>
      <w:bookmarkStart w:id="80" w:name="_Toc239839874"/>
      <w:bookmarkStart w:id="81" w:name="_Toc185702560"/>
      <w:bookmarkStart w:id="82" w:name="_Toc230578068"/>
      <w:bookmarkStart w:id="83" w:name="_Toc207770846"/>
      <w:bookmarkStart w:id="84" w:name="_Toc206525693"/>
      <w:r>
        <w:rPr>
          <w:bCs/>
        </w:rPr>
        <w:t>9</w:t>
      </w:r>
      <w:r>
        <w:rPr>
          <w:rFonts w:hint="eastAsia"/>
          <w:bCs/>
        </w:rPr>
        <w:t>.1服务商应按竞争性磋商文件第五章提供的文件格式详细完整地填写各项内容。</w:t>
      </w:r>
    </w:p>
    <w:p>
      <w:pPr>
        <w:pStyle w:val="18"/>
        <w:spacing w:line="400" w:lineRule="exact"/>
        <w:ind w:firstLine="420"/>
        <w:rPr>
          <w:b/>
        </w:rPr>
      </w:pPr>
      <w:r>
        <w:t>9</w:t>
      </w:r>
      <w:r>
        <w:rPr>
          <w:rFonts w:hint="eastAsia"/>
        </w:rPr>
        <w:t>.2在磋商报价表中，服务商必须按格式文件完整填写，不能自行修改格式内容。</w:t>
      </w:r>
    </w:p>
    <w:p>
      <w:pPr>
        <w:pStyle w:val="4"/>
        <w:spacing w:before="0" w:after="0" w:line="400" w:lineRule="exact"/>
        <w:rPr>
          <w:rFonts w:ascii="宋体" w:hAnsi="宋体" w:eastAsia="宋体"/>
          <w:sz w:val="21"/>
          <w:szCs w:val="21"/>
        </w:rPr>
      </w:pPr>
      <w:bookmarkStart w:id="85" w:name="_Toc444005992"/>
      <w:r>
        <w:rPr>
          <w:rFonts w:hint="eastAsia" w:ascii="宋体" w:hAnsi="宋体" w:eastAsia="宋体"/>
          <w:sz w:val="21"/>
          <w:szCs w:val="21"/>
        </w:rPr>
        <w:t>1</w:t>
      </w:r>
      <w:r>
        <w:rPr>
          <w:rFonts w:ascii="宋体" w:hAnsi="宋体" w:eastAsia="宋体"/>
          <w:sz w:val="21"/>
          <w:szCs w:val="21"/>
        </w:rPr>
        <w:t>0</w:t>
      </w:r>
      <w:r>
        <w:rPr>
          <w:rFonts w:hint="eastAsia" w:ascii="宋体" w:hAnsi="宋体" w:eastAsia="宋体"/>
          <w:sz w:val="21"/>
          <w:szCs w:val="21"/>
        </w:rPr>
        <w:t>、磋商报价</w:t>
      </w:r>
      <w:bookmarkEnd w:id="80"/>
      <w:bookmarkEnd w:id="81"/>
      <w:bookmarkEnd w:id="82"/>
      <w:bookmarkEnd w:id="83"/>
      <w:bookmarkEnd w:id="84"/>
      <w:bookmarkEnd w:id="85"/>
    </w:p>
    <w:p>
      <w:pPr>
        <w:pStyle w:val="18"/>
        <w:spacing w:line="400" w:lineRule="exact"/>
        <w:ind w:firstLine="420" w:firstLineChars="200"/>
        <w:rPr>
          <w:rFonts w:hAnsi="宋体"/>
          <w:szCs w:val="21"/>
        </w:rPr>
      </w:pPr>
      <w:r>
        <w:rPr>
          <w:rFonts w:hint="eastAsia"/>
        </w:rPr>
        <w:t>1</w:t>
      </w:r>
      <w:r>
        <w:t>0</w:t>
      </w:r>
      <w:r>
        <w:rPr>
          <w:rFonts w:hint="eastAsia"/>
        </w:rPr>
        <w:t>.1磋商报价：</w:t>
      </w:r>
      <w:r>
        <w:rPr>
          <w:rFonts w:hint="eastAsia" w:hAnsi="宋体"/>
          <w:bCs/>
        </w:rPr>
        <w:t>服务商必须就《服务内容及要求》中的所有服务内容有可能发生的所有费用作唯一完整报价。（</w:t>
      </w:r>
      <w:r>
        <w:rPr>
          <w:rFonts w:hint="eastAsia"/>
          <w:bCs/>
        </w:rPr>
        <w:t>本项目只允许提交一个方案的报价，不接受任何有选择性的报价。）</w:t>
      </w:r>
    </w:p>
    <w:p>
      <w:pPr>
        <w:pStyle w:val="18"/>
        <w:spacing w:line="400" w:lineRule="exact"/>
        <w:ind w:firstLine="420" w:firstLineChars="200"/>
        <w:rPr>
          <w:rFonts w:hAnsi="宋体"/>
          <w:bCs/>
          <w:szCs w:val="21"/>
        </w:rPr>
      </w:pPr>
      <w:r>
        <w:rPr>
          <w:rFonts w:hint="eastAsia"/>
        </w:rPr>
        <w:t>1</w:t>
      </w:r>
      <w:r>
        <w:t>0</w:t>
      </w:r>
      <w:r>
        <w:rPr>
          <w:rFonts w:hint="eastAsia"/>
        </w:rPr>
        <w:t>.2</w:t>
      </w:r>
      <w:r>
        <w:rPr>
          <w:rFonts w:hint="eastAsia" w:hAnsi="宋体"/>
          <w:bCs/>
          <w:szCs w:val="21"/>
        </w:rPr>
        <w:t>磋商报价</w:t>
      </w:r>
      <w:r>
        <w:rPr>
          <w:rFonts w:hint="eastAsia" w:hAnsi="宋体"/>
          <w:szCs w:val="21"/>
        </w:rPr>
        <w:t>应包含顺利实施和完成服务所发生的各项劳务费、技术服务费、前期调查及资料收集、审查、评审、公示、设备、交通、通讯、办公场地、管理费、税费和利润及通过审批等所有费用和政策性文件规定及合同包含的所有风险、责任等各项应有的费用，除非上述费用在合同中另有说明。合同期内，费用不再调整。</w:t>
      </w:r>
    </w:p>
    <w:p>
      <w:pPr>
        <w:pStyle w:val="18"/>
        <w:spacing w:line="400" w:lineRule="exact"/>
        <w:ind w:firstLine="420"/>
        <w:rPr>
          <w:rFonts w:hAnsi="宋体"/>
        </w:rPr>
      </w:pPr>
      <w:bookmarkStart w:id="86" w:name="_Toc239839875"/>
      <w:bookmarkStart w:id="87" w:name="_Toc206525694"/>
      <w:bookmarkStart w:id="88" w:name="_Toc230578069"/>
      <w:bookmarkStart w:id="89" w:name="_Toc207770847"/>
      <w:bookmarkStart w:id="90" w:name="_Toc185702561"/>
      <w:r>
        <w:rPr>
          <w:rFonts w:hint="eastAsia" w:hAnsi="宋体"/>
        </w:rPr>
        <w:t>10.3服务商</w:t>
      </w:r>
      <w:r>
        <w:rPr>
          <w:rFonts w:hAnsi="宋体"/>
        </w:rPr>
        <w:t>应在</w:t>
      </w:r>
      <w:r>
        <w:rPr>
          <w:rFonts w:hint="eastAsia" w:hAnsi="宋体"/>
        </w:rPr>
        <w:t>响应文件</w:t>
      </w:r>
      <w:r>
        <w:rPr>
          <w:rFonts w:hAnsi="宋体"/>
        </w:rPr>
        <w:t>中的</w:t>
      </w:r>
      <w:r>
        <w:rPr>
          <w:rFonts w:hint="eastAsia" w:hAnsi="宋体"/>
        </w:rPr>
        <w:t>磋商报价</w:t>
      </w:r>
      <w:r>
        <w:rPr>
          <w:rFonts w:hAnsi="宋体"/>
        </w:rPr>
        <w:t>表上标明，</w:t>
      </w:r>
      <w:r>
        <w:rPr>
          <w:rFonts w:hint="eastAsia" w:hAnsi="宋体"/>
        </w:rPr>
        <w:t>本次竞标拟提供货物的单价金额及竞标总价，经最终磋商后不得更改，服务商对本项目的报价必须是唯一的。</w:t>
      </w:r>
    </w:p>
    <w:p>
      <w:pPr>
        <w:pStyle w:val="18"/>
        <w:spacing w:line="400" w:lineRule="exact"/>
        <w:ind w:firstLine="420" w:firstLineChars="200"/>
      </w:pPr>
      <w:r>
        <w:rPr>
          <w:rFonts w:hint="eastAsia"/>
        </w:rPr>
        <w:t>1</w:t>
      </w:r>
      <w:r>
        <w:t>0</w:t>
      </w:r>
      <w:r>
        <w:rPr>
          <w:rFonts w:hint="eastAsia"/>
        </w:rPr>
        <w:t>.4服务商所填报的服务内容如存在有漏项的情况且在评标时被接受，则将被认定为该遗漏项已包含在磋商报价中，成交人在供货时应按响应文件及经澄清后的结果要求完整提供货物及服务，采购人对其漏报的项目不追加任何货款。</w:t>
      </w:r>
    </w:p>
    <w:p>
      <w:pPr>
        <w:pStyle w:val="18"/>
        <w:spacing w:line="400" w:lineRule="exact"/>
        <w:ind w:firstLine="420"/>
        <w:rPr>
          <w:rFonts w:hAnsi="宋体"/>
        </w:rPr>
      </w:pPr>
      <w:r>
        <w:rPr>
          <w:rFonts w:hint="eastAsia" w:hAnsi="宋体"/>
        </w:rPr>
        <w:t>10.5本项目不接受有任何选择的报价，任何有选择的报价或包含价格调整要求的竞标，将被认为是非响应性竞标而作为无效响应文件处理。</w:t>
      </w:r>
    </w:p>
    <w:p>
      <w:pPr>
        <w:pStyle w:val="4"/>
        <w:spacing w:before="0" w:after="0" w:line="400" w:lineRule="exact"/>
        <w:rPr>
          <w:rFonts w:ascii="宋体" w:hAnsi="宋体" w:eastAsia="宋体"/>
          <w:sz w:val="21"/>
          <w:szCs w:val="21"/>
        </w:rPr>
      </w:pPr>
      <w:bookmarkStart w:id="91" w:name="_Toc444005993"/>
      <w:r>
        <w:rPr>
          <w:rFonts w:hint="eastAsia" w:ascii="宋体" w:hAnsi="宋体" w:eastAsia="宋体"/>
          <w:sz w:val="21"/>
          <w:szCs w:val="21"/>
        </w:rPr>
        <w:t>11、竞标货币</w:t>
      </w:r>
      <w:bookmarkEnd w:id="86"/>
      <w:bookmarkEnd w:id="87"/>
      <w:bookmarkEnd w:id="88"/>
      <w:bookmarkEnd w:id="89"/>
      <w:bookmarkEnd w:id="90"/>
      <w:bookmarkEnd w:id="91"/>
    </w:p>
    <w:p>
      <w:pPr>
        <w:pStyle w:val="18"/>
        <w:spacing w:line="400" w:lineRule="exact"/>
        <w:ind w:firstLine="420"/>
      </w:pPr>
      <w:r>
        <w:rPr>
          <w:rFonts w:hint="eastAsia"/>
        </w:rPr>
        <w:t>11.1竞标应以人民币报价。</w:t>
      </w:r>
    </w:p>
    <w:p>
      <w:pPr>
        <w:pStyle w:val="4"/>
        <w:spacing w:before="0" w:after="0" w:line="400" w:lineRule="exact"/>
        <w:rPr>
          <w:rFonts w:ascii="宋体" w:hAnsi="宋体" w:eastAsia="宋体"/>
          <w:sz w:val="21"/>
          <w:szCs w:val="21"/>
        </w:rPr>
      </w:pPr>
      <w:bookmarkStart w:id="92" w:name="_Toc207770848"/>
      <w:bookmarkStart w:id="93" w:name="_Toc230578070"/>
      <w:bookmarkStart w:id="94" w:name="_Toc185702562"/>
      <w:bookmarkStart w:id="95" w:name="_Toc239839876"/>
      <w:bookmarkStart w:id="96" w:name="_Toc206525695"/>
      <w:bookmarkStart w:id="97" w:name="_Toc444005994"/>
      <w:r>
        <w:rPr>
          <w:rFonts w:hint="eastAsia" w:ascii="宋体" w:hAnsi="宋体" w:eastAsia="宋体"/>
          <w:sz w:val="21"/>
          <w:szCs w:val="21"/>
        </w:rPr>
        <w:t>12、服务商资格证明文件</w:t>
      </w:r>
      <w:bookmarkEnd w:id="92"/>
      <w:bookmarkEnd w:id="93"/>
      <w:bookmarkEnd w:id="94"/>
      <w:bookmarkEnd w:id="95"/>
      <w:bookmarkEnd w:id="96"/>
      <w:bookmarkEnd w:id="97"/>
    </w:p>
    <w:p>
      <w:pPr>
        <w:pStyle w:val="18"/>
        <w:spacing w:line="400" w:lineRule="exact"/>
        <w:ind w:firstLine="420"/>
        <w:rPr>
          <w:u w:val="single"/>
        </w:rPr>
      </w:pPr>
      <w:r>
        <w:rPr>
          <w:rFonts w:hint="eastAsia"/>
        </w:rPr>
        <w:t>12.1资格证明文件应包含</w:t>
      </w:r>
      <w:r>
        <w:rPr>
          <w:rFonts w:hint="eastAsia"/>
          <w:szCs w:val="21"/>
        </w:rPr>
        <w:t>：</w:t>
      </w:r>
      <w:r>
        <w:rPr>
          <w:rFonts w:hint="eastAsia"/>
        </w:rPr>
        <w:t>[以下所有文件均按要求提供且加盖服务商单位公章。如提供不全或未按规定加盖单位公章或是无效文件的，将被视为未能通过资格和符合性审查。]</w:t>
      </w:r>
    </w:p>
    <w:p>
      <w:pPr>
        <w:pStyle w:val="18"/>
        <w:spacing w:line="410" w:lineRule="exact"/>
        <w:ind w:firstLine="420"/>
        <w:rPr>
          <w:rFonts w:hAnsi="宋体"/>
          <w:bCs/>
        </w:rPr>
      </w:pPr>
      <w:r>
        <w:rPr>
          <w:rFonts w:hint="eastAsia"/>
          <w:bCs/>
        </w:rPr>
        <w:t>(1)服务商有效的营业执照副本</w:t>
      </w:r>
      <w:r>
        <w:rPr>
          <w:rFonts w:hint="eastAsia" w:hAnsi="宋体" w:cs="宋体"/>
          <w:szCs w:val="21"/>
        </w:rPr>
        <w:t>或有效的事业单位法人证书</w:t>
      </w:r>
      <w:r>
        <w:rPr>
          <w:rFonts w:hint="eastAsia" w:hAnsi="宋体" w:cs="宋体"/>
          <w:spacing w:val="-5"/>
        </w:rPr>
        <w:t>副本复印件</w:t>
      </w:r>
      <w:r>
        <w:rPr>
          <w:rFonts w:hint="eastAsia" w:hAnsi="宋体"/>
          <w:bCs/>
        </w:rPr>
        <w:t>（复印件</w:t>
      </w:r>
      <w:r>
        <w:rPr>
          <w:rFonts w:hint="eastAsia"/>
          <w:bCs/>
          <w:szCs w:val="21"/>
        </w:rPr>
        <w:t>，</w:t>
      </w:r>
      <w:r>
        <w:rPr>
          <w:rFonts w:hint="eastAsia" w:hAnsi="宋体"/>
          <w:b/>
          <w:bCs/>
        </w:rPr>
        <w:t>必须提供</w:t>
      </w:r>
      <w:r>
        <w:rPr>
          <w:rFonts w:hint="eastAsia" w:hAnsi="宋体"/>
        </w:rPr>
        <w:t>，</w:t>
      </w:r>
      <w:r>
        <w:rPr>
          <w:rFonts w:hint="eastAsia"/>
          <w:bCs/>
          <w:szCs w:val="21"/>
        </w:rPr>
        <w:t>清晰反映经营期限</w:t>
      </w:r>
      <w:r>
        <w:rPr>
          <w:rFonts w:hint="eastAsia" w:hAnsi="宋体"/>
          <w:bCs/>
        </w:rPr>
        <w:t>和经营范围）</w:t>
      </w:r>
    </w:p>
    <w:p>
      <w:pPr>
        <w:pStyle w:val="18"/>
        <w:spacing w:line="400" w:lineRule="exact"/>
        <w:ind w:firstLine="420"/>
        <w:rPr>
          <w:rFonts w:hAnsi="宋体"/>
          <w:bCs/>
        </w:rPr>
      </w:pPr>
      <w:r>
        <w:rPr>
          <w:rFonts w:hint="eastAsia"/>
          <w:bCs/>
        </w:rPr>
        <w:t>(2)法定代表人身份证明书（原件）、法定代表人身份证</w:t>
      </w:r>
      <w:r>
        <w:rPr>
          <w:rFonts w:hint="eastAsia" w:hAnsi="宋体"/>
          <w:bCs/>
        </w:rPr>
        <w:t>(正、背面复印件，</w:t>
      </w:r>
      <w:r>
        <w:rPr>
          <w:rFonts w:hint="eastAsia" w:hAnsi="宋体"/>
          <w:b/>
          <w:bCs/>
        </w:rPr>
        <w:t>必须提供</w:t>
      </w:r>
      <w:r>
        <w:rPr>
          <w:rFonts w:hint="eastAsia" w:hAnsi="宋体"/>
          <w:bCs/>
        </w:rPr>
        <w:t>）</w:t>
      </w:r>
    </w:p>
    <w:p>
      <w:pPr>
        <w:pStyle w:val="18"/>
        <w:spacing w:line="400" w:lineRule="exact"/>
        <w:ind w:firstLine="420"/>
        <w:rPr>
          <w:rFonts w:hAnsi="宋体"/>
          <w:bCs/>
          <w:szCs w:val="21"/>
        </w:rPr>
      </w:pPr>
      <w:r>
        <w:rPr>
          <w:rFonts w:hint="eastAsia"/>
          <w:bCs/>
        </w:rPr>
        <w:t>(3)法定代表人授权委托书（原件）、委托代理人身份证（正、背面</w:t>
      </w:r>
      <w:r>
        <w:rPr>
          <w:rFonts w:hint="eastAsia" w:hAnsi="宋体"/>
          <w:bCs/>
          <w:szCs w:val="21"/>
        </w:rPr>
        <w:t>复印件</w:t>
      </w:r>
      <w:r>
        <w:rPr>
          <w:rFonts w:hint="eastAsia" w:hAnsi="宋体"/>
          <w:bCs/>
          <w:spacing w:val="-2"/>
          <w:szCs w:val="21"/>
        </w:rPr>
        <w:t>）</w:t>
      </w:r>
      <w:r>
        <w:rPr>
          <w:rFonts w:hint="eastAsia" w:hAnsi="宋体"/>
          <w:bCs/>
          <w:szCs w:val="21"/>
        </w:rPr>
        <w:t>[</w:t>
      </w:r>
      <w:r>
        <w:rPr>
          <w:rFonts w:hint="eastAsia"/>
          <w:b/>
        </w:rPr>
        <w:t>委托代理人参加磋商时则必须提供</w:t>
      </w:r>
      <w:r>
        <w:rPr>
          <w:rFonts w:hint="eastAsia" w:hAnsi="宋体"/>
          <w:bCs/>
          <w:szCs w:val="21"/>
        </w:rPr>
        <w:t>]</w:t>
      </w:r>
    </w:p>
    <w:p>
      <w:pPr>
        <w:pStyle w:val="18"/>
        <w:spacing w:line="400" w:lineRule="exact"/>
        <w:ind w:firstLine="315" w:firstLineChars="150"/>
        <w:rPr>
          <w:rFonts w:hAnsi="宋体"/>
          <w:bCs/>
        </w:rPr>
      </w:pPr>
      <w:r>
        <w:rPr>
          <w:rFonts w:hint="eastAsia" w:hAnsi="宋体"/>
          <w:bCs/>
        </w:rPr>
        <w:t>（4）本项目服务承诺书（</w:t>
      </w:r>
      <w:r>
        <w:rPr>
          <w:rFonts w:hint="eastAsia" w:hAnsi="宋体"/>
          <w:b/>
          <w:bCs/>
        </w:rPr>
        <w:t>必须提供</w:t>
      </w:r>
      <w:r>
        <w:rPr>
          <w:rFonts w:hint="eastAsia" w:hAnsi="宋体"/>
        </w:rPr>
        <w:t>，</w:t>
      </w:r>
      <w:r>
        <w:rPr>
          <w:rFonts w:hint="eastAsia" w:hAnsi="宋体"/>
          <w:bCs/>
        </w:rPr>
        <w:t>由服务商自行编写）</w:t>
      </w:r>
    </w:p>
    <w:p>
      <w:pPr>
        <w:pStyle w:val="18"/>
        <w:spacing w:line="400" w:lineRule="exact"/>
        <w:ind w:firstLine="420" w:firstLineChars="200"/>
        <w:rPr>
          <w:rFonts w:hAnsi="宋体"/>
          <w:bCs/>
        </w:rPr>
      </w:pPr>
      <w:r>
        <w:rPr>
          <w:rFonts w:hint="eastAsia" w:hAnsi="宋体"/>
          <w:bCs/>
        </w:rPr>
        <w:t>（5）项目服务及技术方案（包含但不限于服务、技术方案）（</w:t>
      </w:r>
      <w:r>
        <w:rPr>
          <w:rFonts w:hint="eastAsia" w:hAnsi="宋体"/>
          <w:b/>
        </w:rPr>
        <w:t>必须提供</w:t>
      </w:r>
      <w:r>
        <w:rPr>
          <w:rFonts w:hint="eastAsia" w:hAnsi="宋体"/>
          <w:bCs/>
        </w:rPr>
        <w:t>，由服务商自行编写）</w:t>
      </w:r>
    </w:p>
    <w:p>
      <w:pPr>
        <w:pStyle w:val="18"/>
        <w:spacing w:line="400" w:lineRule="exact"/>
        <w:ind w:firstLine="420"/>
      </w:pPr>
      <w:r>
        <w:rPr>
          <w:rFonts w:hint="eastAsia" w:hAnsi="宋体"/>
          <w:bCs/>
        </w:rPr>
        <w:t>（6）拟投入项目实施人员一览表（</w:t>
      </w:r>
      <w:r>
        <w:rPr>
          <w:rFonts w:hint="eastAsia" w:hAnsi="宋体"/>
          <w:b/>
        </w:rPr>
        <w:t>必须提供</w:t>
      </w:r>
      <w:r>
        <w:rPr>
          <w:rFonts w:hint="eastAsia" w:hAnsi="宋体"/>
          <w:bCs/>
        </w:rPr>
        <w:t>，须提供相关人员的职称证书复印件）；</w:t>
      </w:r>
    </w:p>
    <w:p>
      <w:pPr>
        <w:pStyle w:val="18"/>
        <w:spacing w:line="400" w:lineRule="exact"/>
        <w:ind w:firstLine="630" w:firstLineChars="300"/>
        <w:rPr>
          <w:rFonts w:hAnsi="宋体"/>
        </w:rPr>
      </w:pPr>
      <w:r>
        <w:rPr>
          <w:rFonts w:hint="eastAsia"/>
          <w:bCs/>
        </w:rPr>
        <w:t>(7</w:t>
      </w:r>
      <w:r>
        <w:rPr>
          <w:rFonts w:hint="eastAsia" w:hAnsi="宋体"/>
          <w:bCs/>
        </w:rPr>
        <w:t>)</w:t>
      </w:r>
      <w:r>
        <w:rPr>
          <w:rFonts w:hint="eastAsia" w:ascii="ˎ̥" w:hAnsi="ˎ̥" w:cs="宋体"/>
          <w:kern w:val="0"/>
          <w:szCs w:val="21"/>
        </w:rPr>
        <w:t>参加政府采购活动前3年内在经营活动中没有重大违法记录的书面声明</w:t>
      </w:r>
      <w:r>
        <w:rPr>
          <w:rFonts w:hint="eastAsia" w:hAnsi="宋体"/>
          <w:bCs/>
        </w:rPr>
        <w:t>（</w:t>
      </w:r>
      <w:r>
        <w:rPr>
          <w:rFonts w:hint="eastAsia" w:hAnsi="宋体"/>
          <w:b/>
          <w:bCs/>
        </w:rPr>
        <w:t>必须提供</w:t>
      </w:r>
      <w:r>
        <w:rPr>
          <w:rFonts w:hint="eastAsia" w:hAnsi="宋体"/>
        </w:rPr>
        <w:t>，原件放在响应文件正本，复印件放在响应文件副本。）</w:t>
      </w:r>
    </w:p>
    <w:p>
      <w:pPr>
        <w:pStyle w:val="18"/>
        <w:spacing w:line="400" w:lineRule="exact"/>
        <w:ind w:firstLine="420" w:firstLineChars="200"/>
        <w:rPr>
          <w:rFonts w:hAnsi="宋体"/>
          <w:b/>
          <w:szCs w:val="21"/>
        </w:rPr>
      </w:pPr>
      <w:r>
        <w:rPr>
          <w:rFonts w:hint="eastAsia" w:hAnsi="宋体"/>
        </w:rPr>
        <w:t>（8）2020年财务报告复印件或银行出具的资信证明复印件</w:t>
      </w:r>
      <w:r>
        <w:rPr>
          <w:rFonts w:hint="eastAsia" w:hAnsi="宋体"/>
          <w:bCs/>
        </w:rPr>
        <w:t>（复印件，</w:t>
      </w:r>
      <w:r>
        <w:rPr>
          <w:rFonts w:hint="eastAsia" w:hAnsi="宋体"/>
          <w:b/>
          <w:bCs/>
        </w:rPr>
        <w:t>必须提供</w:t>
      </w:r>
      <w:r>
        <w:rPr>
          <w:rFonts w:hint="eastAsia" w:hAnsi="宋体"/>
          <w:bCs/>
        </w:rPr>
        <w:t>）。</w:t>
      </w:r>
      <w:r>
        <w:rPr>
          <w:rFonts w:hint="eastAsia" w:hAnsi="宋体"/>
          <w:b/>
          <w:szCs w:val="21"/>
        </w:rPr>
        <w:t>新成立的按实际情况提供月度财务报表或银行出具的资信证明复印件。</w:t>
      </w:r>
    </w:p>
    <w:p>
      <w:pPr>
        <w:pStyle w:val="18"/>
        <w:spacing w:line="400" w:lineRule="exact"/>
        <w:ind w:firstLine="420" w:firstLineChars="200"/>
        <w:rPr>
          <w:rFonts w:hAnsi="宋体"/>
          <w:bCs/>
        </w:rPr>
      </w:pPr>
      <w:r>
        <w:rPr>
          <w:rFonts w:hint="eastAsia" w:hAnsi="宋体"/>
          <w:bCs/>
        </w:rPr>
        <w:t>（9）磋商截止时间前半年内</w:t>
      </w:r>
      <w:r>
        <w:rPr>
          <w:rFonts w:hint="eastAsia" w:hAnsi="宋体"/>
          <w:szCs w:val="21"/>
        </w:rPr>
        <w:t>任意三个月</w:t>
      </w:r>
      <w:r>
        <w:rPr>
          <w:rFonts w:hint="eastAsia" w:hAnsi="宋体"/>
          <w:bCs/>
        </w:rPr>
        <w:t>依法缴纳社会保障资金的凭证复印件（如社保部门开具的 证明、收款收据等，或银行缴款凭证、回单等，如为非社保部门开具的凭证或回单的应清晰反映：缴款单位名称、社保单位名称、保险名称、缴款金额等内容）。无缴费记录的，应提供竞标人所在地社保部门出具的《依法缴纳或依法免缴社保费证明》（复印件，</w:t>
      </w:r>
      <w:r>
        <w:rPr>
          <w:rFonts w:hint="eastAsia" w:hAnsi="宋体"/>
          <w:b/>
        </w:rPr>
        <w:t>必须提供</w:t>
      </w:r>
      <w:r>
        <w:rPr>
          <w:rFonts w:hint="eastAsia" w:hAnsi="宋体"/>
          <w:bCs/>
        </w:rPr>
        <w:t>，格式自拟）。</w:t>
      </w:r>
      <w:r>
        <w:rPr>
          <w:rFonts w:hint="eastAsia" w:hAnsi="宋体"/>
          <w:b/>
          <w:szCs w:val="21"/>
        </w:rPr>
        <w:t>新成立不足三个月的投标人按实际提供。</w:t>
      </w:r>
    </w:p>
    <w:p>
      <w:pPr>
        <w:pStyle w:val="18"/>
        <w:spacing w:line="400" w:lineRule="exact"/>
        <w:ind w:firstLine="315" w:firstLineChars="150"/>
        <w:rPr>
          <w:rFonts w:hAnsi="宋体"/>
          <w:bCs/>
        </w:rPr>
      </w:pPr>
      <w:r>
        <w:rPr>
          <w:rFonts w:hint="eastAsia" w:hAnsi="宋体"/>
          <w:bCs/>
        </w:rPr>
        <w:t>（10）磋商截止时间前半年内任意三个月依法缴纳税收（国税或地税）的凭证复印件（如税务机关开具的完税证、银行缴税付款凭证或缴款回单等，如为非税务机关开具的凭证或回单的，应清晰反映：付款人名称、账号，征收机关名称，缴款金额，税种名称，所属时期 等内容）。无纳税记录的，应提供竞标人所在地税务部门出具的《依法纳税或依法免税证明》（复印件，</w:t>
      </w:r>
      <w:r>
        <w:rPr>
          <w:rFonts w:hint="eastAsia" w:hAnsi="宋体"/>
          <w:b/>
        </w:rPr>
        <w:t>必须提供</w:t>
      </w:r>
      <w:r>
        <w:rPr>
          <w:rFonts w:hint="eastAsia" w:hAnsi="宋体"/>
          <w:bCs/>
        </w:rPr>
        <w:t>，格式自拟），《依法纳税或依法免税证明》原件一年内保持有效。</w:t>
      </w:r>
      <w:r>
        <w:rPr>
          <w:rFonts w:hint="eastAsia" w:hAnsi="宋体"/>
          <w:b/>
          <w:szCs w:val="21"/>
        </w:rPr>
        <w:t>新成立不足三个月的投标人按实际提供。</w:t>
      </w:r>
    </w:p>
    <w:p>
      <w:pPr>
        <w:pStyle w:val="18"/>
        <w:spacing w:line="400" w:lineRule="exact"/>
        <w:ind w:firstLine="315" w:firstLineChars="150"/>
        <w:rPr>
          <w:rFonts w:hAnsi="宋体"/>
          <w:bCs/>
        </w:rPr>
      </w:pPr>
      <w:r>
        <w:rPr>
          <w:rFonts w:hint="eastAsia" w:hAnsi="宋体"/>
          <w:bCs/>
        </w:rPr>
        <w:t>（11）诚信声明原件：按第五章“竞标文件格式”提供的“诚信声明（格式）”的要求填写。</w:t>
      </w:r>
    </w:p>
    <w:p>
      <w:pPr>
        <w:pStyle w:val="4"/>
        <w:spacing w:before="0" w:after="0" w:line="400" w:lineRule="exact"/>
        <w:rPr>
          <w:rFonts w:ascii="宋体" w:hAnsi="宋体" w:eastAsia="宋体"/>
          <w:b w:val="0"/>
          <w:bCs w:val="0"/>
          <w:sz w:val="21"/>
          <w:szCs w:val="21"/>
        </w:rPr>
      </w:pPr>
      <w:bookmarkStart w:id="98" w:name="_Toc239839877"/>
      <w:bookmarkStart w:id="99" w:name="_Toc185702563"/>
      <w:bookmarkStart w:id="100" w:name="_Toc231492909"/>
      <w:bookmarkStart w:id="101" w:name="_Toc205094801"/>
      <w:bookmarkStart w:id="102" w:name="_Toc231493224"/>
      <w:bookmarkStart w:id="103" w:name="_Toc444005995"/>
      <w:r>
        <w:rPr>
          <w:rFonts w:hint="eastAsia" w:ascii="宋体" w:hAnsi="宋体" w:eastAsia="宋体"/>
          <w:sz w:val="21"/>
          <w:szCs w:val="21"/>
        </w:rPr>
        <w:t>13</w:t>
      </w:r>
      <w:bookmarkEnd w:id="98"/>
      <w:bookmarkEnd w:id="99"/>
      <w:bookmarkEnd w:id="100"/>
      <w:bookmarkEnd w:id="101"/>
      <w:bookmarkEnd w:id="102"/>
      <w:r>
        <w:rPr>
          <w:rFonts w:hint="eastAsia" w:ascii="宋体" w:hAnsi="宋体" w:eastAsia="宋体"/>
          <w:sz w:val="21"/>
          <w:szCs w:val="21"/>
        </w:rPr>
        <w:t>、服务商认为有必要提供的其它资料</w:t>
      </w:r>
      <w:bookmarkEnd w:id="103"/>
    </w:p>
    <w:p>
      <w:pPr>
        <w:pStyle w:val="18"/>
        <w:spacing w:line="400" w:lineRule="exact"/>
        <w:ind w:firstLine="420"/>
      </w:pPr>
      <w:r>
        <w:rPr>
          <w:rFonts w:hint="eastAsia"/>
        </w:rPr>
        <w:t>服务商在响应文件中自行提供的文件及资料。它们可以是：</w:t>
      </w:r>
    </w:p>
    <w:p>
      <w:pPr>
        <w:pStyle w:val="19"/>
        <w:ind w:left="0" w:leftChars="0" w:firstLine="420" w:firstLineChars="200"/>
      </w:pPr>
      <w:r>
        <w:rPr>
          <w:rFonts w:hint="eastAsia"/>
        </w:rPr>
        <w:t>13.1</w:t>
      </w:r>
      <w:r>
        <w:rPr>
          <w:rFonts w:hint="eastAsia" w:hAnsi="宋体"/>
          <w:bCs/>
        </w:rPr>
        <w:t>业绩分（</w:t>
      </w:r>
      <w:r>
        <w:rPr>
          <w:rStyle w:val="80"/>
          <w:rFonts w:ascii="Arial" w:hAnsi="Arial" w:cs="Arial"/>
          <w:bCs/>
          <w:szCs w:val="21"/>
        </w:rPr>
        <w:t>投标人自201</w:t>
      </w:r>
      <w:r>
        <w:rPr>
          <w:rStyle w:val="80"/>
          <w:rFonts w:hint="eastAsia" w:ascii="Arial" w:hAnsi="Arial" w:cs="Arial"/>
          <w:bCs/>
          <w:szCs w:val="21"/>
        </w:rPr>
        <w:t>7</w:t>
      </w:r>
      <w:r>
        <w:rPr>
          <w:rStyle w:val="80"/>
          <w:rFonts w:ascii="Arial" w:hAnsi="Arial" w:cs="Arial"/>
          <w:bCs/>
          <w:szCs w:val="21"/>
        </w:rPr>
        <w:t>年1月1日以来承接过同类项目（民政领域社工服务</w:t>
      </w:r>
      <w:r>
        <w:rPr>
          <w:rStyle w:val="80"/>
          <w:rFonts w:hint="eastAsia" w:ascii="Arial" w:hAnsi="Arial" w:cs="Arial"/>
          <w:bCs/>
          <w:szCs w:val="21"/>
        </w:rPr>
        <w:t>/社工站督导</w:t>
      </w:r>
      <w:r>
        <w:rPr>
          <w:rStyle w:val="80"/>
          <w:rFonts w:ascii="Arial" w:hAnsi="Arial" w:cs="Arial"/>
          <w:bCs/>
          <w:szCs w:val="21"/>
        </w:rPr>
        <w:t>项目）的成功案例（提供项目实施情况一览表、</w:t>
      </w:r>
      <w:r>
        <w:rPr>
          <w:rFonts w:hint="eastAsia"/>
        </w:rPr>
        <w:t>若有，请提供复印件。</w:t>
      </w:r>
      <w:r>
        <w:rPr>
          <w:rStyle w:val="80"/>
          <w:rFonts w:ascii="Arial" w:hAnsi="Arial" w:cs="Arial"/>
          <w:bCs/>
          <w:szCs w:val="21"/>
        </w:rPr>
        <w:t>）</w:t>
      </w:r>
    </w:p>
    <w:p>
      <w:pPr>
        <w:pStyle w:val="18"/>
        <w:spacing w:line="400" w:lineRule="exact"/>
        <w:ind w:firstLine="420"/>
      </w:pPr>
      <w:r>
        <w:rPr>
          <w:rFonts w:hint="eastAsia"/>
        </w:rPr>
        <w:t>13.2</w:t>
      </w:r>
      <w:r>
        <w:rPr>
          <w:rStyle w:val="80"/>
          <w:rFonts w:hint="eastAsia" w:ascii="Arial" w:hAnsi="Arial" w:cs="Arial"/>
          <w:bCs/>
          <w:szCs w:val="21"/>
        </w:rPr>
        <w:t>信誉分（</w:t>
      </w:r>
      <w:r>
        <w:rPr>
          <w:rStyle w:val="80"/>
          <w:rFonts w:ascii="Arial" w:hAnsi="Arial" w:cs="Arial"/>
          <w:bCs/>
          <w:szCs w:val="21"/>
        </w:rPr>
        <w:t>投标人自201</w:t>
      </w:r>
      <w:r>
        <w:rPr>
          <w:rStyle w:val="80"/>
          <w:rFonts w:hint="eastAsia" w:ascii="Arial" w:hAnsi="Arial" w:cs="Arial"/>
          <w:bCs/>
          <w:szCs w:val="21"/>
        </w:rPr>
        <w:t>7</w:t>
      </w:r>
      <w:r>
        <w:rPr>
          <w:rStyle w:val="80"/>
          <w:rFonts w:ascii="Arial" w:hAnsi="Arial" w:cs="Arial"/>
          <w:bCs/>
          <w:szCs w:val="21"/>
        </w:rPr>
        <w:t>年1月1日以来获得行政部门颁发的重合同守信用、先进企业、纳税大户等与生产经营服务相关的奖项</w:t>
      </w:r>
      <w:r>
        <w:rPr>
          <w:rStyle w:val="80"/>
          <w:rFonts w:hint="eastAsia" w:ascii="Arial" w:hAnsi="Arial" w:cs="Arial"/>
          <w:bCs/>
          <w:szCs w:val="21"/>
        </w:rPr>
        <w:t>。</w:t>
      </w:r>
      <w:r>
        <w:rPr>
          <w:rFonts w:hint="eastAsia"/>
        </w:rPr>
        <w:t>若有，请提供复印件。</w:t>
      </w:r>
      <w:r>
        <w:rPr>
          <w:rFonts w:hint="eastAsia" w:hAnsi="宋体"/>
          <w:b/>
          <w:bCs/>
        </w:rPr>
        <w:t>）</w:t>
      </w:r>
    </w:p>
    <w:p>
      <w:pPr>
        <w:pStyle w:val="18"/>
        <w:spacing w:line="380" w:lineRule="exact"/>
        <w:ind w:firstLine="420"/>
        <w:rPr>
          <w:rFonts w:hAnsi="宋体"/>
          <w:bCs/>
          <w:spacing w:val="-4"/>
          <w:szCs w:val="21"/>
        </w:rPr>
      </w:pPr>
      <w:r>
        <w:rPr>
          <w:rFonts w:hint="eastAsia"/>
        </w:rPr>
        <w:t>13.3其它资料（服务商认为有必要提供的声明、证明文件资料，如公司简介、业绩、信誉等，由服务商根据自己的实际情况自行提供。）</w:t>
      </w:r>
    </w:p>
    <w:p>
      <w:pPr>
        <w:pStyle w:val="4"/>
        <w:spacing w:before="0" w:after="0" w:line="400" w:lineRule="exact"/>
        <w:rPr>
          <w:rFonts w:ascii="宋体" w:hAnsi="宋体" w:eastAsia="宋体"/>
          <w:sz w:val="21"/>
          <w:szCs w:val="21"/>
        </w:rPr>
      </w:pPr>
      <w:bookmarkStart w:id="104" w:name="_Toc230578072"/>
      <w:bookmarkStart w:id="105" w:name="_Toc207770850"/>
      <w:bookmarkStart w:id="106" w:name="_Toc206525697"/>
      <w:bookmarkStart w:id="107" w:name="_Toc185702564"/>
      <w:bookmarkStart w:id="108" w:name="_Toc239839878"/>
      <w:bookmarkStart w:id="109" w:name="_Toc444005996"/>
      <w:r>
        <w:rPr>
          <w:rFonts w:hint="eastAsia" w:ascii="宋体" w:hAnsi="宋体" w:eastAsia="宋体"/>
          <w:sz w:val="21"/>
          <w:szCs w:val="21"/>
        </w:rPr>
        <w:t>14、竞标的有效期</w:t>
      </w:r>
      <w:bookmarkEnd w:id="104"/>
      <w:bookmarkEnd w:id="105"/>
      <w:bookmarkEnd w:id="106"/>
      <w:bookmarkEnd w:id="107"/>
      <w:bookmarkEnd w:id="108"/>
      <w:bookmarkEnd w:id="109"/>
    </w:p>
    <w:p>
      <w:pPr>
        <w:pStyle w:val="18"/>
        <w:spacing w:line="400" w:lineRule="exact"/>
        <w:ind w:firstLine="420"/>
      </w:pPr>
      <w:r>
        <w:rPr>
          <w:rFonts w:hint="eastAsia"/>
        </w:rPr>
        <w:t>14.1磋商有效期：响应文件从提交响应文件截止时间后60天内有效。</w:t>
      </w:r>
    </w:p>
    <w:p>
      <w:pPr>
        <w:pStyle w:val="18"/>
        <w:spacing w:line="400" w:lineRule="exact"/>
        <w:ind w:firstLine="420"/>
      </w:pPr>
      <w:r>
        <w:rPr>
          <w:rFonts w:hint="eastAsia"/>
        </w:rPr>
        <w:t>14.2在特殊情况下，采购代理机构可与服务商协商延长响应文件的有效期。服务商可同意或不同意延长磋商有效期，不同意延长磋商有效期的服务商，其磋商保证金将在原磋商有效期满后5个工作日内予以退还，不付利息；同意延长磋商有效期的服务商不能要求对原响应文件（经评标委员会确认有效且没有超出响应文件的范围或改变竞标的实质内容的澄清或说明作为响应文件的组成部分）作任何改变，并同意在延长的磋商有效期内遵循本响应文件，在延长的磋商有效期满之前继续具有约束力。</w:t>
      </w:r>
    </w:p>
    <w:p>
      <w:pPr>
        <w:pStyle w:val="4"/>
        <w:spacing w:before="0" w:after="0" w:line="400" w:lineRule="exact"/>
        <w:rPr>
          <w:rFonts w:ascii="宋体" w:hAnsi="宋体" w:eastAsia="宋体"/>
          <w:sz w:val="21"/>
          <w:szCs w:val="21"/>
        </w:rPr>
      </w:pPr>
      <w:bookmarkStart w:id="110" w:name="_Toc206525698"/>
      <w:bookmarkStart w:id="111" w:name="_Toc239839879"/>
      <w:bookmarkStart w:id="112" w:name="_Toc185702565"/>
      <w:bookmarkStart w:id="113" w:name="_Toc444005997"/>
      <w:bookmarkStart w:id="114" w:name="_Toc230578073"/>
      <w:bookmarkStart w:id="115" w:name="_Toc207770851"/>
      <w:r>
        <w:rPr>
          <w:rFonts w:hint="eastAsia" w:ascii="宋体" w:hAnsi="宋体" w:eastAsia="宋体"/>
          <w:sz w:val="21"/>
          <w:szCs w:val="21"/>
        </w:rPr>
        <w:t>15、响应文件书写及签名、盖章要求</w:t>
      </w:r>
      <w:bookmarkEnd w:id="110"/>
      <w:bookmarkEnd w:id="111"/>
      <w:bookmarkEnd w:id="112"/>
      <w:bookmarkEnd w:id="113"/>
      <w:bookmarkEnd w:id="114"/>
      <w:bookmarkEnd w:id="115"/>
    </w:p>
    <w:p>
      <w:pPr>
        <w:pStyle w:val="4"/>
        <w:spacing w:before="0" w:after="0" w:line="400" w:lineRule="exact"/>
        <w:rPr>
          <w:rFonts w:ascii="宋体" w:hAnsi="宋体" w:eastAsia="宋体"/>
          <w:sz w:val="21"/>
          <w:szCs w:val="21"/>
        </w:rPr>
      </w:pPr>
      <w:bookmarkStart w:id="116" w:name="_Toc207770852"/>
      <w:bookmarkStart w:id="117" w:name="_Toc230578074"/>
      <w:bookmarkStart w:id="118" w:name="_Toc206525699"/>
      <w:bookmarkStart w:id="119" w:name="_Toc239839880"/>
      <w:bookmarkStart w:id="120" w:name="_Toc444005998"/>
      <w:bookmarkStart w:id="121" w:name="_Toc185702566"/>
      <w:r>
        <w:rPr>
          <w:rFonts w:hint="eastAsia" w:ascii="宋体" w:hAnsi="宋体" w:eastAsia="宋体"/>
          <w:sz w:val="21"/>
          <w:szCs w:val="21"/>
        </w:rPr>
        <w:t>16、磋商保证金</w:t>
      </w:r>
      <w:bookmarkEnd w:id="116"/>
      <w:bookmarkEnd w:id="117"/>
      <w:bookmarkEnd w:id="118"/>
      <w:bookmarkEnd w:id="119"/>
      <w:bookmarkEnd w:id="120"/>
      <w:bookmarkEnd w:id="121"/>
    </w:p>
    <w:p>
      <w:pPr>
        <w:pStyle w:val="18"/>
        <w:spacing w:line="400" w:lineRule="exact"/>
        <w:ind w:firstLine="420"/>
        <w:rPr>
          <w:b/>
        </w:rPr>
      </w:pPr>
      <w:r>
        <w:rPr>
          <w:rFonts w:hint="eastAsia"/>
          <w:spacing w:val="-4"/>
        </w:rPr>
        <w:t xml:space="preserve">16.1 </w:t>
      </w:r>
      <w:r>
        <w:rPr>
          <w:rFonts w:hint="eastAsia" w:hAnsi="宋体"/>
          <w:szCs w:val="21"/>
        </w:rPr>
        <w:t>磋商保证金的提交：服务商</w:t>
      </w:r>
      <w:r>
        <w:rPr>
          <w:rFonts w:hint="eastAsia"/>
          <w:spacing w:val="-4"/>
        </w:rPr>
        <w:t>必须按</w:t>
      </w:r>
      <w:r>
        <w:rPr>
          <w:rFonts w:hint="eastAsia" w:hAnsi="宋体"/>
          <w:szCs w:val="21"/>
        </w:rPr>
        <w:t>服务商</w:t>
      </w:r>
      <w:r>
        <w:rPr>
          <w:rFonts w:hint="eastAsia"/>
          <w:spacing w:val="-4"/>
        </w:rPr>
        <w:t>须知前附表第6项的要求提交</w:t>
      </w:r>
      <w:r>
        <w:rPr>
          <w:rFonts w:hint="eastAsia" w:hAnsi="宋体"/>
          <w:szCs w:val="21"/>
        </w:rPr>
        <w:t>磋商保证金</w:t>
      </w:r>
      <w:r>
        <w:rPr>
          <w:rFonts w:hint="eastAsia"/>
        </w:rPr>
        <w:t>。</w:t>
      </w:r>
    </w:p>
    <w:p>
      <w:pPr>
        <w:pStyle w:val="3"/>
        <w:spacing w:line="400" w:lineRule="exact"/>
        <w:jc w:val="center"/>
      </w:pPr>
      <w:bookmarkStart w:id="122" w:name="_Toc206525700"/>
      <w:bookmarkStart w:id="123" w:name="_Toc207770853"/>
      <w:bookmarkStart w:id="124" w:name="_Toc185702567"/>
      <w:bookmarkStart w:id="125" w:name="_Toc239839881"/>
      <w:bookmarkStart w:id="126" w:name="_Toc230578075"/>
      <w:bookmarkStart w:id="127" w:name="_Toc444005999"/>
      <w:r>
        <w:rPr>
          <w:rFonts w:hint="eastAsia"/>
        </w:rPr>
        <w:t>四响应文件</w:t>
      </w:r>
      <w:bookmarkEnd w:id="122"/>
      <w:bookmarkEnd w:id="123"/>
      <w:bookmarkEnd w:id="124"/>
      <w:bookmarkEnd w:id="125"/>
      <w:bookmarkEnd w:id="126"/>
      <w:r>
        <w:rPr>
          <w:rFonts w:hint="eastAsia"/>
          <w:spacing w:val="-4"/>
        </w:rPr>
        <w:t>提交</w:t>
      </w:r>
      <w:bookmarkEnd w:id="127"/>
    </w:p>
    <w:p>
      <w:pPr>
        <w:pStyle w:val="4"/>
        <w:numPr>
          <w:ilvl w:val="0"/>
          <w:numId w:val="2"/>
        </w:numPr>
        <w:spacing w:before="0" w:after="0" w:line="400" w:lineRule="exact"/>
        <w:rPr>
          <w:rFonts w:ascii="宋体" w:hAnsi="宋体" w:eastAsia="宋体"/>
          <w:sz w:val="21"/>
          <w:szCs w:val="21"/>
        </w:rPr>
      </w:pPr>
      <w:r>
        <w:rPr>
          <w:rFonts w:hint="eastAsia" w:ascii="宋体" w:hAnsi="宋体" w:eastAsia="宋体"/>
          <w:sz w:val="21"/>
          <w:szCs w:val="21"/>
        </w:rPr>
        <w:t xml:space="preserve"> 竞争性磋商响应文件的上传、提交、修改、撤回和解密</w:t>
      </w:r>
    </w:p>
    <w:p>
      <w:pPr>
        <w:widowControl/>
        <w:spacing w:line="440" w:lineRule="exact"/>
        <w:ind w:firstLine="420" w:firstLineChars="200"/>
        <w:jc w:val="left"/>
        <w:rPr>
          <w:rFonts w:ascii="宋体" w:hAnsi="宋体"/>
          <w:bCs/>
          <w:color w:val="000000"/>
        </w:rPr>
      </w:pPr>
      <w:r>
        <w:rPr>
          <w:rFonts w:hint="eastAsia" w:ascii="宋体" w:hAnsi="宋体"/>
          <w:bCs/>
          <w:color w:val="000000"/>
        </w:rPr>
        <w:t>17.1 竞争性磋商响应文件的上传和提交见须知前附表。</w:t>
      </w:r>
    </w:p>
    <w:p>
      <w:pPr>
        <w:widowControl/>
        <w:spacing w:line="440" w:lineRule="exact"/>
        <w:ind w:firstLine="420" w:firstLineChars="200"/>
        <w:jc w:val="left"/>
        <w:rPr>
          <w:rFonts w:ascii="宋体" w:hAnsi="宋体"/>
          <w:bCs/>
          <w:color w:val="000000"/>
        </w:rPr>
      </w:pPr>
      <w:r>
        <w:rPr>
          <w:rFonts w:hint="eastAsia" w:ascii="宋体" w:hAnsi="宋体"/>
          <w:bCs/>
          <w:color w:val="000000"/>
        </w:rPr>
        <w:t>17.2 磋商响应文件的修改、撤回和解密：服务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截止时间后，服务商不得撤回、修改响应文件。</w:t>
      </w:r>
    </w:p>
    <w:p>
      <w:pPr>
        <w:widowControl/>
        <w:spacing w:line="440" w:lineRule="exact"/>
        <w:ind w:firstLine="420" w:firstLineChars="200"/>
        <w:jc w:val="left"/>
        <w:rPr>
          <w:rFonts w:ascii="宋体" w:hAnsi="宋体"/>
          <w:bCs/>
          <w:color w:val="000000"/>
        </w:rPr>
      </w:pPr>
      <w:r>
        <w:rPr>
          <w:rFonts w:hint="eastAsia" w:ascii="宋体" w:hAnsi="宋体"/>
          <w:bCs/>
          <w:color w:val="000000"/>
        </w:rPr>
        <w:t>电子加密响应文件的解密：见须知前附表。</w:t>
      </w:r>
    </w:p>
    <w:p>
      <w:pPr>
        <w:pStyle w:val="4"/>
        <w:spacing w:before="0" w:after="0" w:line="400" w:lineRule="exact"/>
        <w:rPr>
          <w:rFonts w:ascii="宋体" w:hAnsi="宋体" w:eastAsia="宋体"/>
          <w:sz w:val="21"/>
          <w:szCs w:val="21"/>
        </w:rPr>
      </w:pPr>
      <w:bookmarkStart w:id="128" w:name="_Toc185702569"/>
      <w:bookmarkStart w:id="129" w:name="_Toc207770855"/>
      <w:bookmarkStart w:id="130" w:name="_Toc206525702"/>
      <w:bookmarkStart w:id="131" w:name="_Toc239839883"/>
      <w:bookmarkStart w:id="132" w:name="_Toc230578077"/>
      <w:bookmarkStart w:id="133" w:name="_Toc444006001"/>
      <w:r>
        <w:rPr>
          <w:rFonts w:hint="eastAsia" w:ascii="宋体" w:hAnsi="宋体" w:eastAsia="宋体"/>
          <w:sz w:val="21"/>
          <w:szCs w:val="21"/>
        </w:rPr>
        <w:t>18、响应文件提交的截止时间</w:t>
      </w:r>
      <w:bookmarkEnd w:id="128"/>
      <w:r>
        <w:rPr>
          <w:rFonts w:hint="eastAsia" w:ascii="宋体" w:hAnsi="宋体" w:eastAsia="宋体"/>
          <w:sz w:val="21"/>
          <w:szCs w:val="21"/>
        </w:rPr>
        <w:t>、地点</w:t>
      </w:r>
      <w:bookmarkEnd w:id="129"/>
      <w:bookmarkEnd w:id="130"/>
      <w:bookmarkEnd w:id="131"/>
      <w:bookmarkEnd w:id="132"/>
      <w:bookmarkEnd w:id="133"/>
    </w:p>
    <w:p>
      <w:pPr>
        <w:pStyle w:val="18"/>
        <w:tabs>
          <w:tab w:val="left" w:pos="1957"/>
        </w:tabs>
        <w:spacing w:line="400" w:lineRule="exact"/>
        <w:ind w:firstLine="420"/>
        <w:rPr>
          <w:spacing w:val="-4"/>
        </w:rPr>
      </w:pPr>
      <w:r>
        <w:rPr>
          <w:rFonts w:hint="eastAsia"/>
        </w:rPr>
        <w:t>18.1</w:t>
      </w:r>
      <w:r>
        <w:rPr>
          <w:rFonts w:hint="eastAsia"/>
          <w:spacing w:val="-4"/>
        </w:rPr>
        <w:t>响应文件的提交不得迟于本须知前附表第7项指定的截止时间。</w:t>
      </w:r>
      <w:r>
        <w:rPr>
          <w:rFonts w:hint="eastAsia"/>
        </w:rPr>
        <w:t>在截止时间后送达的响应文件为无效文件，采购人、采购代理机构或者磋商小组应当拒收。</w:t>
      </w:r>
    </w:p>
    <w:p>
      <w:pPr>
        <w:pStyle w:val="18"/>
        <w:spacing w:line="400" w:lineRule="exact"/>
        <w:ind w:firstLine="420"/>
      </w:pPr>
      <w:r>
        <w:rPr>
          <w:rFonts w:hint="eastAsia"/>
        </w:rPr>
        <w:t>18.2服务商必须在规定时间内将响应文件密封送达本须知前附表第7项指定地点</w:t>
      </w:r>
      <w:r>
        <w:rPr>
          <w:rFonts w:hint="eastAsia" w:hAnsi="宋体"/>
        </w:rPr>
        <w:t>。</w:t>
      </w:r>
    </w:p>
    <w:p>
      <w:pPr>
        <w:pStyle w:val="18"/>
        <w:spacing w:line="400" w:lineRule="exact"/>
        <w:ind w:firstLine="420"/>
      </w:pPr>
      <w:r>
        <w:rPr>
          <w:rFonts w:hint="eastAsia"/>
        </w:rPr>
        <w:t>18.3服务商的法定代表人或其委托代理人必须签到出席截标会并按第7项要求提交相关证明文件接受核查，否则</w:t>
      </w:r>
      <w:r>
        <w:rPr>
          <w:rFonts w:hint="eastAsia"/>
          <w:spacing w:val="-4"/>
          <w:szCs w:val="21"/>
        </w:rPr>
        <w:t>响应</w:t>
      </w:r>
      <w:r>
        <w:rPr>
          <w:rFonts w:hint="eastAsia"/>
        </w:rPr>
        <w:t>无效。</w:t>
      </w:r>
    </w:p>
    <w:p>
      <w:pPr>
        <w:pStyle w:val="4"/>
        <w:spacing w:before="0" w:after="0" w:line="400" w:lineRule="exact"/>
        <w:rPr>
          <w:rFonts w:ascii="宋体" w:hAnsi="宋体" w:eastAsia="宋体"/>
          <w:sz w:val="21"/>
          <w:szCs w:val="21"/>
        </w:rPr>
      </w:pPr>
      <w:bookmarkStart w:id="134" w:name="_Toc185702570"/>
      <w:bookmarkStart w:id="135" w:name="_Toc206525703"/>
      <w:bookmarkStart w:id="136" w:name="_Toc207770856"/>
      <w:bookmarkStart w:id="137" w:name="_Toc147250534"/>
      <w:bookmarkStart w:id="138" w:name="_Toc239839884"/>
      <w:bookmarkStart w:id="139" w:name="_Toc444006002"/>
      <w:bookmarkStart w:id="140" w:name="_Toc230578078"/>
      <w:bookmarkStart w:id="141" w:name="_Toc147250378"/>
      <w:bookmarkStart w:id="142" w:name="_Toc147250332"/>
      <w:r>
        <w:rPr>
          <w:rFonts w:hint="eastAsia" w:ascii="宋体" w:hAnsi="宋体" w:eastAsia="宋体"/>
          <w:sz w:val="21"/>
          <w:szCs w:val="21"/>
        </w:rPr>
        <w:t>19、响应文件的修改及撤回</w:t>
      </w:r>
      <w:bookmarkEnd w:id="134"/>
      <w:bookmarkEnd w:id="135"/>
      <w:bookmarkEnd w:id="136"/>
      <w:bookmarkEnd w:id="137"/>
      <w:bookmarkEnd w:id="138"/>
      <w:bookmarkEnd w:id="139"/>
      <w:bookmarkEnd w:id="140"/>
      <w:bookmarkEnd w:id="141"/>
      <w:bookmarkEnd w:id="142"/>
    </w:p>
    <w:p>
      <w:pPr>
        <w:pStyle w:val="18"/>
        <w:spacing w:line="400" w:lineRule="exact"/>
        <w:ind w:firstLine="443" w:firstLineChars="211"/>
      </w:pPr>
      <w:r>
        <w:rPr>
          <w:rFonts w:hint="eastAsia"/>
        </w:rPr>
        <w:t>19.1服务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18"/>
        <w:spacing w:line="400" w:lineRule="exact"/>
        <w:ind w:firstLine="443" w:firstLineChars="211"/>
      </w:pPr>
      <w:r>
        <w:rPr>
          <w:rFonts w:hint="eastAsia"/>
        </w:rPr>
        <w:t>19.2响应文件的修改和撤回通知应按本须知第17条的规定密封、标记和</w:t>
      </w:r>
      <w:r>
        <w:rPr>
          <w:rFonts w:hint="eastAsia"/>
          <w:spacing w:val="-4"/>
        </w:rPr>
        <w:t>提交</w:t>
      </w:r>
      <w:r>
        <w:rPr>
          <w:rFonts w:hint="eastAsia"/>
        </w:rPr>
        <w:t>，并在封面上标明“修改”或“撤回”字样。</w:t>
      </w:r>
    </w:p>
    <w:p>
      <w:pPr>
        <w:pStyle w:val="18"/>
        <w:spacing w:line="400" w:lineRule="exact"/>
        <w:ind w:right="-126" w:rightChars="-60" w:firstLine="360"/>
        <w:rPr>
          <w:spacing w:val="-2"/>
        </w:rPr>
      </w:pPr>
      <w:r>
        <w:rPr>
          <w:rFonts w:hint="eastAsia"/>
          <w:spacing w:val="-2"/>
        </w:rPr>
        <w:t>19.3在</w:t>
      </w:r>
      <w:r>
        <w:rPr>
          <w:rFonts w:hint="eastAsia" w:hAnsi="宋体"/>
          <w:spacing w:val="-2"/>
        </w:rPr>
        <w:t>磋商</w:t>
      </w:r>
      <w:r>
        <w:rPr>
          <w:rFonts w:hint="eastAsia"/>
          <w:spacing w:val="-2"/>
        </w:rPr>
        <w:t>结束后的磋商有效期内，服务商不得撤回其响应文件，否则其全部磋商保证金将不予退还。</w:t>
      </w:r>
    </w:p>
    <w:p>
      <w:pPr>
        <w:pStyle w:val="18"/>
        <w:spacing w:line="400" w:lineRule="exact"/>
        <w:ind w:firstLine="420"/>
      </w:pPr>
    </w:p>
    <w:p>
      <w:pPr>
        <w:pStyle w:val="3"/>
        <w:spacing w:line="400" w:lineRule="exact"/>
        <w:jc w:val="center"/>
      </w:pPr>
      <w:bookmarkStart w:id="143" w:name="_Toc185702571"/>
      <w:bookmarkStart w:id="144" w:name="_Toc239839885"/>
      <w:bookmarkStart w:id="145" w:name="_Toc230578079"/>
      <w:bookmarkStart w:id="146" w:name="_Toc206525704"/>
      <w:bookmarkStart w:id="147" w:name="_Toc207770857"/>
      <w:bookmarkStart w:id="148" w:name="_Toc444006003"/>
      <w:r>
        <w:rPr>
          <w:rFonts w:hint="eastAsia"/>
        </w:rPr>
        <w:t>五响应文件评</w:t>
      </w:r>
      <w:bookmarkEnd w:id="143"/>
      <w:bookmarkEnd w:id="144"/>
      <w:bookmarkEnd w:id="145"/>
      <w:bookmarkEnd w:id="146"/>
      <w:bookmarkEnd w:id="147"/>
      <w:r>
        <w:rPr>
          <w:rFonts w:hint="eastAsia"/>
        </w:rPr>
        <w:t>审</w:t>
      </w:r>
      <w:bookmarkEnd w:id="148"/>
    </w:p>
    <w:p>
      <w:pPr>
        <w:pStyle w:val="4"/>
        <w:spacing w:before="0" w:after="0" w:line="400" w:lineRule="exact"/>
        <w:rPr>
          <w:rFonts w:ascii="宋体" w:hAnsi="宋体" w:eastAsia="宋体"/>
          <w:sz w:val="21"/>
          <w:szCs w:val="21"/>
        </w:rPr>
      </w:pPr>
      <w:bookmarkStart w:id="149" w:name="_Toc239839886"/>
      <w:bookmarkStart w:id="150" w:name="_Toc185702572"/>
      <w:bookmarkStart w:id="151" w:name="_Toc230578080"/>
      <w:bookmarkStart w:id="152" w:name="_Toc207770858"/>
      <w:bookmarkStart w:id="153" w:name="_Toc206525705"/>
      <w:bookmarkStart w:id="154" w:name="_Toc444006004"/>
      <w:r>
        <w:rPr>
          <w:rFonts w:hint="eastAsia" w:ascii="宋体" w:hAnsi="宋体" w:eastAsia="宋体"/>
          <w:sz w:val="21"/>
          <w:szCs w:val="21"/>
        </w:rPr>
        <w:t>20、</w:t>
      </w:r>
      <w:bookmarkEnd w:id="149"/>
      <w:bookmarkEnd w:id="150"/>
      <w:bookmarkEnd w:id="151"/>
      <w:bookmarkEnd w:id="152"/>
      <w:bookmarkEnd w:id="153"/>
      <w:r>
        <w:rPr>
          <w:rFonts w:hint="eastAsia" w:ascii="宋体" w:hAnsi="宋体" w:eastAsia="宋体"/>
          <w:sz w:val="21"/>
          <w:szCs w:val="21"/>
        </w:rPr>
        <w:t>组建磋商小组</w:t>
      </w:r>
      <w:bookmarkEnd w:id="154"/>
    </w:p>
    <w:p>
      <w:pPr>
        <w:pStyle w:val="18"/>
        <w:spacing w:line="400" w:lineRule="exact"/>
        <w:ind w:firstLine="420" w:firstLineChars="200"/>
        <w:rPr>
          <w:rFonts w:ascii="Times New Roman" w:hAnsi="Times New Roman"/>
          <w:bCs/>
        </w:rPr>
      </w:pPr>
      <w:r>
        <w:rPr>
          <w:rFonts w:hint="eastAsia" w:hAnsi="宋体"/>
        </w:rPr>
        <w:t>20.1根据要求</w:t>
      </w:r>
      <w:r>
        <w:rPr>
          <w:rFonts w:hAnsi="宋体"/>
        </w:rPr>
        <w:t>组建竞争性磋商小组（以下简称磋商小组）</w:t>
      </w:r>
      <w:r>
        <w:rPr>
          <w:rFonts w:hint="eastAsia" w:hAnsi="宋体"/>
        </w:rPr>
        <w:t>，</w:t>
      </w:r>
      <w:r>
        <w:rPr>
          <w:rFonts w:hAnsi="宋体"/>
        </w:rPr>
        <w:t>磋商小组由采购人代表和评审专家共</w:t>
      </w:r>
      <w:r>
        <w:rPr>
          <w:rFonts w:hint="eastAsia" w:hAnsi="宋体"/>
        </w:rPr>
        <w:t>三</w:t>
      </w:r>
      <w:r>
        <w:rPr>
          <w:rFonts w:hAnsi="宋体"/>
        </w:rPr>
        <w:t>人以上</w:t>
      </w:r>
      <w:r>
        <w:rPr>
          <w:rFonts w:hint="eastAsia" w:hAnsi="宋体"/>
        </w:rPr>
        <w:t>（含三人）</w:t>
      </w:r>
      <w:r>
        <w:rPr>
          <w:rFonts w:hAnsi="宋体"/>
        </w:rPr>
        <w:t>单数组成，其中评审专家人数不少于磋商小组成员总数的2/3。</w:t>
      </w:r>
      <w:r>
        <w:rPr>
          <w:rFonts w:ascii="Times New Roman" w:hAnsi="Times New Roman"/>
          <w:bCs/>
        </w:rPr>
        <w:t>“</w:t>
      </w:r>
      <w:r>
        <w:rPr>
          <w:rFonts w:hAnsi="宋体"/>
        </w:rPr>
        <w:t>磋商</w:t>
      </w:r>
      <w:r>
        <w:rPr>
          <w:rFonts w:ascii="Times New Roman" w:hAnsi="Times New Roman"/>
          <w:bCs/>
        </w:rPr>
        <w:t>小组”构成：本采购项目的“</w:t>
      </w:r>
      <w:r>
        <w:rPr>
          <w:rFonts w:hAnsi="宋体"/>
        </w:rPr>
        <w:t>磋商</w:t>
      </w:r>
      <w:r>
        <w:rPr>
          <w:rFonts w:ascii="Times New Roman" w:hAnsi="Times New Roman"/>
          <w:bCs/>
        </w:rPr>
        <w:t>小组”分别由政府采购云平台中随机抽取的专家。</w:t>
      </w:r>
    </w:p>
    <w:p>
      <w:pPr>
        <w:pStyle w:val="18"/>
        <w:spacing w:line="400" w:lineRule="exact"/>
        <w:ind w:firstLine="420"/>
        <w:rPr>
          <w:rFonts w:hAnsi="宋体"/>
        </w:rPr>
      </w:pPr>
      <w:r>
        <w:rPr>
          <w:rFonts w:hint="eastAsia" w:hAnsi="宋体"/>
        </w:rPr>
        <w:t>20.2</w:t>
      </w:r>
      <w:r>
        <w:rPr>
          <w:rFonts w:hAnsi="宋体"/>
        </w:rPr>
        <w:t>评审专家应当遵守评审工作纪律，不得泄露评审情况和评审中获悉的商业秘密。</w:t>
      </w:r>
    </w:p>
    <w:p>
      <w:pPr>
        <w:pStyle w:val="18"/>
        <w:spacing w:line="400" w:lineRule="exact"/>
        <w:ind w:firstLine="420"/>
        <w:rPr>
          <w:rFonts w:hAnsi="宋体"/>
        </w:rPr>
      </w:pPr>
      <w:r>
        <w:rPr>
          <w:rFonts w:hint="eastAsia" w:hAnsi="宋体"/>
        </w:rPr>
        <w:t>20.3</w:t>
      </w:r>
      <w:r>
        <w:rPr>
          <w:rFonts w:hAnsi="宋体"/>
        </w:rPr>
        <w:t>磋商小组成员应当按照客观、公正、审慎的原则，根据磋商文件规定的评审程序、评审方法和评审标准进行独立评审。</w:t>
      </w:r>
    </w:p>
    <w:p>
      <w:pPr>
        <w:pStyle w:val="4"/>
        <w:numPr>
          <w:ilvl w:val="0"/>
          <w:numId w:val="3"/>
        </w:numPr>
        <w:spacing w:before="0" w:after="0" w:line="400" w:lineRule="exact"/>
        <w:rPr>
          <w:rFonts w:ascii="宋体" w:hAnsi="宋体" w:eastAsia="宋体"/>
          <w:sz w:val="21"/>
          <w:szCs w:val="21"/>
        </w:rPr>
      </w:pPr>
      <w:bookmarkStart w:id="155" w:name="_Toc239839887"/>
      <w:bookmarkStart w:id="156" w:name="_Toc185702573"/>
      <w:bookmarkStart w:id="157" w:name="_Toc230578081"/>
      <w:bookmarkStart w:id="158" w:name="_Toc207770859"/>
      <w:bookmarkStart w:id="159" w:name="_Toc206525706"/>
      <w:bookmarkStart w:id="160" w:name="_Toc444006005"/>
      <w:r>
        <w:rPr>
          <w:rFonts w:hint="eastAsia" w:ascii="宋体" w:hAnsi="宋体" w:eastAsia="宋体"/>
          <w:sz w:val="21"/>
          <w:szCs w:val="21"/>
        </w:rPr>
        <w:t>评</w:t>
      </w:r>
      <w:bookmarkEnd w:id="155"/>
      <w:bookmarkEnd w:id="156"/>
      <w:bookmarkEnd w:id="157"/>
      <w:bookmarkEnd w:id="158"/>
      <w:bookmarkEnd w:id="159"/>
      <w:r>
        <w:rPr>
          <w:rFonts w:hint="eastAsia" w:ascii="宋体" w:hAnsi="宋体" w:eastAsia="宋体"/>
          <w:sz w:val="21"/>
          <w:szCs w:val="21"/>
        </w:rPr>
        <w:t>审程序</w:t>
      </w:r>
      <w:bookmarkEnd w:id="160"/>
      <w:r>
        <w:rPr>
          <w:rFonts w:hint="eastAsia" w:ascii="宋体" w:hAnsi="宋体" w:eastAsia="宋体"/>
          <w:sz w:val="21"/>
          <w:szCs w:val="21"/>
        </w:rPr>
        <w:t>及评审方法</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1、未实质性响应竞争性磋商文件的竞争性磋商响应文件按无效处理。</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2、有下列情形之一的视为服务商相互串通参与磋商活动，竞争性磋商响应文件将被视为无效：</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（1）不同服务商的竞争性磋商响应文件由同一单位或者个人编制；或不同服务商报名的IP地址一致的；</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（2）不同服务商委托同一单位或者个人办理磋商活动事宜；</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（3）不同的服务商的竞争性磋商响应文件载明的项目管理员为同一个人；</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（4）不同服务商的竞争性磋商响应文件异常一致或磋商报价呈规律性差异；</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（5）不同服务商的竞争性磋商响应文件相互混装；</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（6）不同服务商的保证金从同一单位或者个人账户转出。</w:t>
      </w:r>
    </w:p>
    <w:p>
      <w:pPr>
        <w:widowControl/>
        <w:spacing w:line="400" w:lineRule="exact"/>
        <w:ind w:firstLine="420" w:firstLineChars="200"/>
        <w:jc w:val="left"/>
      </w:pPr>
      <w:r>
        <w:rPr>
          <w:rFonts w:hint="eastAsia" w:ascii="宋体" w:hAnsi="宋体"/>
          <w:color w:val="000000"/>
          <w:kern w:val="0"/>
        </w:rPr>
        <w:t>3、有下列情形之一的视为关联服务商参加同一合同项下政府采购活动，竞争性磋商响应文件将被视为无效：单位负责人为同一人或者存在直接控股、管理关系的不同服务商，参加同一合同项下政府采购活动；</w:t>
      </w:r>
    </w:p>
    <w:p>
      <w:pPr>
        <w:pStyle w:val="18"/>
        <w:spacing w:line="400" w:lineRule="exact"/>
        <w:ind w:firstLine="420"/>
      </w:pPr>
      <w:bookmarkStart w:id="161" w:name="_Toc230578082"/>
      <w:bookmarkStart w:id="162" w:name="_Toc206525707"/>
      <w:bookmarkStart w:id="163" w:name="_Toc185702574"/>
      <w:bookmarkStart w:id="164" w:name="_Toc207770860"/>
      <w:r>
        <w:rPr>
          <w:rFonts w:hint="eastAsia"/>
        </w:rPr>
        <w:t>21.2.2澄清有关问题。</w:t>
      </w:r>
    </w:p>
    <w:p>
      <w:pPr>
        <w:pStyle w:val="18"/>
        <w:spacing w:line="400" w:lineRule="exact"/>
        <w:ind w:firstLine="420"/>
      </w:pPr>
      <w:r>
        <w:rPr>
          <w:rFonts w:hint="eastAsia"/>
        </w:rPr>
        <w:t>(1)</w:t>
      </w:r>
      <w:r>
        <w:t xml:space="preserve"> 磋商小组在对响应文件的有效性、完整性和响应程度进行审查时，可以要求服务商对响应文件中含义不明确、同类问题表述不一致或者有明显文字和计算错误的内容等作出必要的澄清、说明或者更正。服务商的澄清、说明或者更正不得超出响应文件的范围或者改变响应文件的实质性内容。</w:t>
      </w:r>
    </w:p>
    <w:p>
      <w:pPr>
        <w:pStyle w:val="18"/>
        <w:spacing w:line="400" w:lineRule="exact"/>
        <w:ind w:firstLine="420"/>
      </w:pPr>
      <w:r>
        <w:rPr>
          <w:rFonts w:hint="eastAsia"/>
        </w:rPr>
        <w:t>(2)</w:t>
      </w:r>
      <w:r>
        <w:t>磋商小组要求服务商澄清、说明或者更正响应文件应当以书面形式作出。服务商的澄清、说明或者更正应当由法定代表人或其授权代表签字或者加盖公章。由授权代表签字的，应当附法定代表人授权书。</w:t>
      </w:r>
    </w:p>
    <w:p>
      <w:pPr>
        <w:pStyle w:val="18"/>
        <w:spacing w:line="400" w:lineRule="exact"/>
        <w:ind w:firstLine="420"/>
      </w:pPr>
      <w:r>
        <w:rPr>
          <w:rFonts w:hint="eastAsia"/>
        </w:rPr>
        <w:t>(3)响应文件如果出现计算或表达上的错误，修正错误的原则如下：</w:t>
      </w:r>
    </w:p>
    <w:p>
      <w:pPr>
        <w:pStyle w:val="18"/>
        <w:spacing w:line="400" w:lineRule="exact"/>
        <w:ind w:firstLine="420"/>
      </w:pPr>
      <w:r>
        <w:rPr>
          <w:rFonts w:hint="eastAsia"/>
        </w:rPr>
        <w:t>① 响应文件中《磋商报价表》与《</w:t>
      </w:r>
      <w:r>
        <w:rPr>
          <w:rFonts w:hint="eastAsia" w:hAnsi="宋体"/>
        </w:rPr>
        <w:t>响应函</w:t>
      </w:r>
      <w:r>
        <w:rPr>
          <w:rFonts w:hint="eastAsia"/>
        </w:rPr>
        <w:t>》内容不一致的，以《</w:t>
      </w:r>
      <w:r>
        <w:rPr>
          <w:rFonts w:hint="eastAsia" w:hAnsi="宋体"/>
        </w:rPr>
        <w:t>响应函</w:t>
      </w:r>
      <w:r>
        <w:rPr>
          <w:rFonts w:hint="eastAsia"/>
        </w:rPr>
        <w:t>》为准。</w:t>
      </w:r>
    </w:p>
    <w:p>
      <w:pPr>
        <w:pStyle w:val="18"/>
        <w:spacing w:line="400" w:lineRule="exact"/>
        <w:ind w:firstLine="420"/>
      </w:pPr>
      <w:r>
        <w:rPr>
          <w:rFonts w:hint="eastAsia"/>
        </w:rPr>
        <w:t>② 响应文件的大写金额和小写金额不一致的，以大写金额为准；</w:t>
      </w:r>
    </w:p>
    <w:p>
      <w:pPr>
        <w:pStyle w:val="18"/>
        <w:spacing w:line="400" w:lineRule="exact"/>
        <w:ind w:firstLine="420"/>
      </w:pPr>
      <w:r>
        <w:rPr>
          <w:rFonts w:hint="eastAsia"/>
        </w:rPr>
        <w:t>③ 总价金额与按单价汇总金额不一致的，以单价金额计算结果为准；</w:t>
      </w:r>
    </w:p>
    <w:p>
      <w:pPr>
        <w:pStyle w:val="18"/>
        <w:spacing w:line="400" w:lineRule="exact"/>
        <w:ind w:firstLine="420"/>
      </w:pPr>
      <w:r>
        <w:rPr>
          <w:rFonts w:hint="eastAsia"/>
        </w:rPr>
        <w:t>④ 单价金额小数点有明显错位的，应以总价为准，并修改单价；</w:t>
      </w:r>
    </w:p>
    <w:p>
      <w:pPr>
        <w:pStyle w:val="18"/>
        <w:spacing w:line="400" w:lineRule="exact"/>
        <w:ind w:firstLine="420"/>
      </w:pPr>
      <w:r>
        <w:rPr>
          <w:rFonts w:hint="eastAsia"/>
        </w:rPr>
        <w:t>⑤ 对不同文字文本响应文件的解释发生异议的，以中文文本为准。</w:t>
      </w:r>
    </w:p>
    <w:p>
      <w:pPr>
        <w:pStyle w:val="18"/>
        <w:spacing w:line="400" w:lineRule="exact"/>
        <w:ind w:firstLine="420"/>
        <w:rPr>
          <w:szCs w:val="21"/>
        </w:rPr>
      </w:pPr>
      <w:r>
        <w:rPr>
          <w:rFonts w:hint="eastAsia"/>
          <w:szCs w:val="21"/>
        </w:rPr>
        <w:t>⑥ 按上述修正错误的原则及方法调整或修正响应文件的磋商报价，在服务商确认后，调整后的磋商报价对服务商起约束作用。如果服务商拒绝确认，不接受修正后的价格或报价，则其响应文件将不予评审，其竞标将被拒绝，采购人有权没收其磋商保证金。</w:t>
      </w:r>
    </w:p>
    <w:p>
      <w:pPr>
        <w:pStyle w:val="18"/>
        <w:spacing w:line="400" w:lineRule="exact"/>
        <w:ind w:firstLine="420"/>
        <w:rPr>
          <w:spacing w:val="-4"/>
          <w:szCs w:val="21"/>
        </w:rPr>
      </w:pPr>
      <w:r>
        <w:rPr>
          <w:rFonts w:hint="eastAsia"/>
          <w:szCs w:val="21"/>
        </w:rPr>
        <w:t>21.2.3磋商时间：</w:t>
      </w:r>
      <w:r>
        <w:rPr>
          <w:rFonts w:hint="eastAsia"/>
          <w:spacing w:val="-4"/>
          <w:szCs w:val="21"/>
        </w:rPr>
        <w:t>本须知前附表第8项规定的时间</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 xml:space="preserve"> 1</w:t>
      </w:r>
      <w:r>
        <w:rPr>
          <w:rFonts w:hint="eastAsia" w:ascii="宋体" w:hAnsi="宋体"/>
          <w:b/>
          <w:color w:val="000000"/>
          <w:kern w:val="0"/>
        </w:rPr>
        <w:t>第一轮磋商</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（一）</w:t>
      </w:r>
      <w:r>
        <w:rPr>
          <w:rFonts w:hint="eastAsia" w:ascii="宋体" w:hAnsi="宋体"/>
          <w:b/>
          <w:color w:val="000000"/>
          <w:kern w:val="0"/>
        </w:rPr>
        <w:t>磋商准备</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本代理机构将在规定的时间和地点进行电子磋商，磋商服务商的法定代表人或其委托代理人应做好磋商准备，准时在线参加电子磋商会议，随时关注磋商进度。</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（二）</w:t>
      </w:r>
      <w:r>
        <w:rPr>
          <w:rFonts w:hint="eastAsia" w:ascii="宋体" w:hAnsi="宋体"/>
          <w:b/>
          <w:color w:val="000000"/>
          <w:kern w:val="0"/>
        </w:rPr>
        <w:t xml:space="preserve"> 第一轮磋商程序：</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1.磋商会由代理机构主持，主持人宣布磋商会议开始；</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 xml:space="preserve">2.主持人介绍参加磋商会的人员名单； </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3.主持人宣布磋商会议纪律及评审期间的有关事项；告知应当回避的情形,提请有关人员回避；</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4.磋商及评审程序</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（1）在磋商开始时间截止后30分钟内由各服务商自行对磋商响应文件进行解密；</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（2）由磋商小组进行资格审查和符合性审查，审查结束后，在线通知无效磋商服务商磋商响应文件无效理由，有效磋商服务商进入磋商程序。</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（3）系统对各服务商的商务技术进行汇总；</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（4）磋商小组所有成员应当集中与单一服务商分别进行在线磋商，并给予所有参加磋商的服务商平等的磋商机会。</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5）当磋商小组一致确定服务商的竞争性磋商响应文件能够详细列明采购标的的技术、服务要求且符合竞争性磋商文件要求，无需再磋商的，磋商小组按竞争性磋商文件设定的12.4、12.6程序和综合评分法确定成交候选服务商。第一轮磋商后竞争性磋商文件有实质性变动或仍需磋商的，磋商小组对竞争性磋商文件变动或提出磋商意见后进行第二轮磋商。</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21.2.4竞争性磋商文件变动</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⑴第一轮磋商结束后，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对竞争性磋商文件作出的实质性变动是竞争性磋商文件的有效组成部分，磋商小组应当在询标规定时间内及时通知所有参加磋商的服务商，并要求服务商做出响应（需盖CA电子签章）。</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21.2.5第二轮磋商</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磋商小组集中就重新递交的响应材料或磋商小组提出的磋商意见与单一响应服务商分别进行在线磋商。</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磋商后，在询标规定时间内服务商根据磋商小组统一整理的磋商记录要求做出承诺（需盖CA电子签章）。</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当磋商小组一致确定服务商的竞争性磋商响应文件能够详细列明采购标的的技术、服务要求且符合竞争性磋商文件要求，无需再磋商的，磋商小组按竞争性磋商文件设定的12.4、12.6程序和综合评分法确定成交候选服务商。第二轮磋商后竞争性磋商文件仍有实质性变动的或仍需磋商的，磋商小组对竞争性磋商文件变动或提出磋商意见后进行第三轮磋商。以此类推。</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特别说明：</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政采云公司如对电子化开标及评审程序有调整的，按调整后的程序操作。</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磋商评审在严格保密的情况下进行，磋商的任何一方不得透露与磋商有关的其他服务商的技术资料、价格和其他信息。</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电子磋商过程中需要服务商在线确认的所有内容，服务商不予确认的应说明理由，超过规定时间未确认的，将被视为放弃确认或者无异议。</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澄清问题的形式：对响应文件中含义不明确、同类问题表述不一致或者有明显文字和计算错误的内容，磋商小组可要求服务商作出必要的澄清、说明或者纠正，服务商应在询标规定时间内进行澄清或说明（需盖CA电子签章），并不得超出采购文件的范围或者改变磋商响应文件的实质性内容。</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21.2.6最后报价及成交候选服务商推荐</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磋商结束后，磋商小组要求所有继续参加磋商的服务商在规定时间内在线提交最后报价。继续参加磋商的服务商作最后报价，由其法定代表人(负责人)或授权代表CA电子签章后提交。</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磋商小组根据综合评分情况，按照评审得分由高到低顺序推荐3名以上成交候选服务商，并编写评审报告。市场竞争不充分的科研项目，以及需要扶持的科技成果转化项目，可以推荐2家成交候选服务商。评审得分相同的，按照最后报价由低到高的顺序推荐。评审得分且最后报价相同的，按照技术指标优劣顺序推荐。最后报价是服务商竞争性磋商响应文件的有效组成部分。</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磋商小组按照少数服从多数的原则推荐成交候选服务商，采购程序继续进行。对评审报告有异议的磋商小组成员，应当明确不同意见并说明理由。磋商小组成员拒绝提出理由的，视为同意评审结果。</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21.2.7服务商的报价均超过了政府采购最高限价，采购人不能支付的，磋商活动终止。</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21.2.8本采购项目的评审依据为竞争性磋商文件和竞争性磋商响应文件，采用的评审方法为综合评分法。</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21.2.9 可中止电子交易活动的情形</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采购过程中出现以下情形，导致电子交易平台无法正常运行，或者无法保证电子交易的公平、公正和安全时，代理机构可中止电子交易活动：</w:t>
      </w:r>
    </w:p>
    <w:p>
      <w:pPr>
        <w:widowControl/>
        <w:spacing w:line="400" w:lineRule="exact"/>
        <w:ind w:firstLine="420" w:firstLineChars="200"/>
        <w:jc w:val="left"/>
        <w:rPr>
          <w:rFonts w:ascii="宋体" w:hAnsi="宋体"/>
          <w:color w:val="000000"/>
          <w:kern w:val="0"/>
        </w:rPr>
      </w:pPr>
      <w:r>
        <w:rPr>
          <w:rFonts w:ascii="宋体" w:hAnsi="宋体"/>
          <w:color w:val="000000"/>
          <w:kern w:val="0"/>
        </w:rPr>
        <w:t>(1)</w:t>
      </w:r>
      <w:r>
        <w:rPr>
          <w:rFonts w:hint="eastAsia" w:ascii="宋体" w:hAnsi="宋体"/>
          <w:color w:val="000000"/>
          <w:kern w:val="0"/>
        </w:rPr>
        <w:t>电子交易平台发生故障而无法登录访问的；</w:t>
      </w:r>
    </w:p>
    <w:p>
      <w:pPr>
        <w:widowControl/>
        <w:spacing w:line="400" w:lineRule="exact"/>
        <w:ind w:firstLine="420" w:firstLineChars="200"/>
        <w:jc w:val="left"/>
        <w:rPr>
          <w:rFonts w:ascii="宋体" w:hAnsi="宋体"/>
          <w:color w:val="000000"/>
          <w:kern w:val="0"/>
        </w:rPr>
      </w:pPr>
      <w:r>
        <w:rPr>
          <w:rFonts w:ascii="宋体" w:hAnsi="宋体"/>
          <w:color w:val="000000"/>
          <w:kern w:val="0"/>
        </w:rPr>
        <w:t>(2)</w:t>
      </w:r>
      <w:r>
        <w:rPr>
          <w:rFonts w:hint="eastAsia" w:ascii="宋体" w:hAnsi="宋体"/>
          <w:color w:val="000000"/>
          <w:kern w:val="0"/>
        </w:rPr>
        <w:t>电子交易平台应用或数据库出现错误，不能进行正常操作的；</w:t>
      </w:r>
    </w:p>
    <w:p>
      <w:pPr>
        <w:widowControl/>
        <w:spacing w:line="400" w:lineRule="exact"/>
        <w:ind w:firstLine="420" w:firstLineChars="200"/>
        <w:jc w:val="left"/>
        <w:rPr>
          <w:rFonts w:ascii="宋体" w:hAnsi="宋体"/>
          <w:color w:val="000000"/>
          <w:kern w:val="0"/>
        </w:rPr>
      </w:pPr>
      <w:r>
        <w:rPr>
          <w:rFonts w:ascii="宋体" w:hAnsi="宋体"/>
          <w:color w:val="000000"/>
          <w:kern w:val="0"/>
        </w:rPr>
        <w:t>(3)</w:t>
      </w:r>
      <w:r>
        <w:rPr>
          <w:rFonts w:hint="eastAsia" w:ascii="宋体" w:hAnsi="宋体"/>
          <w:color w:val="000000"/>
          <w:kern w:val="0"/>
        </w:rPr>
        <w:t>电子交易平台发现严重安全漏洞，有潜在泄密危险的；</w:t>
      </w:r>
    </w:p>
    <w:p>
      <w:pPr>
        <w:widowControl/>
        <w:spacing w:line="400" w:lineRule="exact"/>
        <w:ind w:firstLine="420" w:firstLineChars="200"/>
        <w:jc w:val="left"/>
        <w:rPr>
          <w:rFonts w:ascii="宋体" w:hAnsi="宋体"/>
          <w:color w:val="000000"/>
          <w:kern w:val="0"/>
        </w:rPr>
      </w:pPr>
      <w:r>
        <w:rPr>
          <w:rFonts w:ascii="宋体" w:hAnsi="宋体"/>
          <w:color w:val="000000"/>
          <w:kern w:val="0"/>
        </w:rPr>
        <w:t>(4)</w:t>
      </w:r>
      <w:r>
        <w:rPr>
          <w:rFonts w:hint="eastAsia" w:ascii="宋体" w:hAnsi="宋体"/>
          <w:color w:val="000000"/>
          <w:kern w:val="0"/>
        </w:rPr>
        <w:t>病毒发作导致不能进行正常操作的；</w:t>
      </w:r>
    </w:p>
    <w:p>
      <w:pPr>
        <w:widowControl/>
        <w:spacing w:line="400" w:lineRule="exact"/>
        <w:ind w:firstLine="420" w:firstLineChars="200"/>
        <w:jc w:val="left"/>
        <w:rPr>
          <w:rFonts w:ascii="宋体" w:hAnsi="宋体"/>
          <w:color w:val="000000"/>
          <w:kern w:val="0"/>
        </w:rPr>
      </w:pPr>
      <w:r>
        <w:rPr>
          <w:rFonts w:ascii="宋体" w:hAnsi="宋体"/>
          <w:color w:val="000000"/>
          <w:kern w:val="0"/>
        </w:rPr>
        <w:t>(5)</w:t>
      </w:r>
      <w:r>
        <w:rPr>
          <w:rFonts w:hint="eastAsia" w:ascii="宋体" w:hAnsi="宋体"/>
          <w:color w:val="000000"/>
          <w:kern w:val="0"/>
        </w:rPr>
        <w:t>其他无法保证电子交易的公平、公正和安全的情况。</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出现前款规定情形，不影响采购公平、公正性的，代理机构待上述情形消除后继续组织电子交易活动；影响或可能影响采购公平、公正性的，重新组织采购活动。</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21.2.10.终止竞争性磋商采购活动</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在竞争性磋商采购活动过程中，出现下列情形之一的，采购人或者代理机构将终止竞争性磋商采购活动，发布项目终止公告并说明原因，重新开展采购活动：</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w:t>
      </w:r>
      <w:r>
        <w:rPr>
          <w:rFonts w:ascii="宋体" w:hAnsi="宋体"/>
          <w:color w:val="000000"/>
          <w:kern w:val="0"/>
        </w:rPr>
        <w:t>1)</w:t>
      </w:r>
      <w:r>
        <w:rPr>
          <w:rFonts w:hint="eastAsia" w:ascii="宋体" w:hAnsi="宋体"/>
          <w:color w:val="000000"/>
          <w:kern w:val="0"/>
        </w:rPr>
        <w:t>因情况变化，不再符合规定的竞争性磋商采购方式适用情形的；</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w:t>
      </w:r>
      <w:r>
        <w:rPr>
          <w:rFonts w:ascii="宋体" w:hAnsi="宋体"/>
          <w:color w:val="000000"/>
          <w:kern w:val="0"/>
        </w:rPr>
        <w:t>2)</w:t>
      </w:r>
      <w:r>
        <w:rPr>
          <w:rFonts w:hint="eastAsia" w:ascii="宋体" w:hAnsi="宋体"/>
          <w:color w:val="000000"/>
          <w:kern w:val="0"/>
        </w:rPr>
        <w:t>出现影响采购公正的违法、违规行为的；</w:t>
      </w:r>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w:t>
      </w:r>
      <w:r>
        <w:rPr>
          <w:rFonts w:ascii="宋体" w:hAnsi="宋体"/>
          <w:color w:val="000000"/>
          <w:kern w:val="0"/>
        </w:rPr>
        <w:t>3)</w:t>
      </w:r>
      <w:r>
        <w:rPr>
          <w:rFonts w:hint="eastAsia" w:ascii="宋体" w:hAnsi="宋体"/>
          <w:color w:val="000000"/>
          <w:kern w:val="0"/>
        </w:rPr>
        <w:t>在采购过程中符合要求的服务商或者报价未超过采购预算的服务商不足 3 家的。（符合磋商文件规定的特殊情形除外；符合《政府采购竞争性磋商采购方式管理暂行办法》第三条第四项情形除外；符合财库〔2015〕124 号文件规定情形的除外。）</w:t>
      </w:r>
    </w:p>
    <w:p>
      <w:pPr>
        <w:rPr>
          <w:rFonts w:hAnsi="宋体"/>
          <w:szCs w:val="21"/>
        </w:rPr>
      </w:pPr>
      <w:r>
        <w:rPr>
          <w:rFonts w:hint="eastAsia" w:ascii="宋体" w:hAnsi="宋体"/>
          <w:color w:val="000000"/>
          <w:kern w:val="0"/>
        </w:rPr>
        <w:t>在采购活动中因重大变故，采购任务取消的，采购人或者代理机构将终止采购活动，通知所有参加采购活动的服务商，并将项目实施情况和采购任务取消原因报送本级财政部门。</w:t>
      </w:r>
    </w:p>
    <w:p>
      <w:pPr>
        <w:pStyle w:val="4"/>
        <w:spacing w:before="0" w:after="0" w:line="400" w:lineRule="exact"/>
        <w:rPr>
          <w:rFonts w:ascii="宋体" w:hAnsi="宋体" w:eastAsia="宋体"/>
          <w:sz w:val="21"/>
          <w:szCs w:val="21"/>
        </w:rPr>
      </w:pPr>
      <w:bookmarkStart w:id="165" w:name="_Toc239839888"/>
      <w:bookmarkStart w:id="166" w:name="_Toc444006006"/>
      <w:r>
        <w:rPr>
          <w:rFonts w:hint="eastAsia" w:ascii="宋体" w:hAnsi="宋体" w:eastAsia="宋体"/>
          <w:sz w:val="21"/>
          <w:szCs w:val="21"/>
        </w:rPr>
        <w:t>22、无效的响应文件</w:t>
      </w:r>
      <w:bookmarkEnd w:id="161"/>
      <w:bookmarkEnd w:id="162"/>
      <w:bookmarkEnd w:id="163"/>
      <w:bookmarkEnd w:id="164"/>
      <w:bookmarkEnd w:id="165"/>
      <w:bookmarkEnd w:id="166"/>
    </w:p>
    <w:p>
      <w:pPr>
        <w:widowControl/>
        <w:spacing w:line="400" w:lineRule="exact"/>
        <w:ind w:firstLine="420" w:firstLineChars="200"/>
        <w:jc w:val="left"/>
        <w:rPr>
          <w:rFonts w:ascii="宋体" w:hAnsi="宋体"/>
          <w:color w:val="000000"/>
          <w:kern w:val="0"/>
        </w:rPr>
      </w:pPr>
      <w:r>
        <w:rPr>
          <w:rFonts w:hint="eastAsia" w:ascii="宋体" w:hAnsi="宋体"/>
          <w:color w:val="000000"/>
          <w:kern w:val="0"/>
        </w:rPr>
        <w:t>被拒绝的响应文件为无效。</w:t>
      </w:r>
    </w:p>
    <w:p>
      <w:pPr>
        <w:widowControl/>
        <w:spacing w:line="400" w:lineRule="exact"/>
        <w:ind w:firstLine="420" w:firstLineChars="200"/>
        <w:jc w:val="left"/>
      </w:pPr>
      <w:r>
        <w:rPr>
          <w:rFonts w:hint="eastAsia" w:ascii="宋体" w:hAnsi="宋体"/>
          <w:color w:val="000000"/>
          <w:kern w:val="0"/>
        </w:rPr>
        <w:t>服务商竞争性磋商响应文件无效的，磋商小组应当告知有关服务商。</w:t>
      </w:r>
    </w:p>
    <w:p>
      <w:pPr>
        <w:pStyle w:val="4"/>
        <w:spacing w:before="0" w:after="0" w:line="400" w:lineRule="exact"/>
        <w:rPr>
          <w:rFonts w:ascii="宋体" w:hAnsi="宋体" w:eastAsia="宋体"/>
          <w:sz w:val="21"/>
          <w:szCs w:val="21"/>
        </w:rPr>
      </w:pPr>
      <w:bookmarkStart w:id="167" w:name="_Toc207770861"/>
      <w:bookmarkStart w:id="168" w:name="_Toc206525708"/>
      <w:bookmarkStart w:id="169" w:name="_Toc239839889"/>
      <w:bookmarkStart w:id="170" w:name="_Toc444006007"/>
      <w:bookmarkStart w:id="171" w:name="_Toc230578083"/>
      <w:bookmarkStart w:id="172" w:name="_Toc185702575"/>
      <w:r>
        <w:rPr>
          <w:rFonts w:hint="eastAsia" w:ascii="宋体" w:hAnsi="宋体" w:eastAsia="宋体"/>
          <w:sz w:val="21"/>
          <w:szCs w:val="21"/>
        </w:rPr>
        <w:t>23、废标</w:t>
      </w:r>
      <w:bookmarkEnd w:id="167"/>
      <w:bookmarkEnd w:id="168"/>
      <w:bookmarkEnd w:id="169"/>
      <w:bookmarkEnd w:id="170"/>
      <w:bookmarkEnd w:id="171"/>
      <w:bookmarkEnd w:id="172"/>
    </w:p>
    <w:p>
      <w:pPr>
        <w:pStyle w:val="18"/>
        <w:spacing w:line="400" w:lineRule="exact"/>
        <w:ind w:firstLine="435"/>
        <w:rPr>
          <w:bCs/>
        </w:rPr>
      </w:pPr>
      <w:r>
        <w:rPr>
          <w:rFonts w:hint="eastAsia"/>
          <w:bCs/>
        </w:rPr>
        <w:t>23.1磋商采购项目出现下列情形之一的，将予以废标；</w:t>
      </w:r>
    </w:p>
    <w:p>
      <w:pPr>
        <w:widowControl/>
        <w:spacing w:line="400" w:lineRule="exact"/>
        <w:ind w:firstLine="422" w:firstLineChars="200"/>
        <w:jc w:val="left"/>
        <w:rPr>
          <w:rFonts w:ascii="宋体" w:hAnsi="宋体"/>
          <w:b/>
          <w:bCs/>
          <w:color w:val="000000"/>
          <w:kern w:val="0"/>
          <w:lang w:val="zh-CN"/>
        </w:rPr>
      </w:pPr>
      <w:bookmarkStart w:id="173" w:name="_Toc207770862"/>
      <w:bookmarkStart w:id="174" w:name="_Toc239839890"/>
      <w:bookmarkStart w:id="175" w:name="_Toc444006008"/>
      <w:bookmarkStart w:id="176" w:name="_Toc230578084"/>
      <w:bookmarkStart w:id="177" w:name="_Toc185702576"/>
      <w:bookmarkStart w:id="178" w:name="_Toc206525709"/>
      <w:r>
        <w:rPr>
          <w:rFonts w:hint="eastAsia" w:ascii="宋体" w:hAnsi="宋体"/>
          <w:b/>
          <w:bCs/>
          <w:color w:val="000000"/>
          <w:kern w:val="0"/>
          <w:lang w:val="zh-CN"/>
        </w:rPr>
        <w:t>（1）</w:t>
      </w:r>
      <w:r>
        <w:rPr>
          <w:rFonts w:hint="eastAsia" w:ascii="宋体" w:hAnsi="宋体"/>
          <w:b/>
          <w:bCs/>
          <w:color w:val="000000"/>
          <w:kern w:val="0"/>
        </w:rPr>
        <w:t>竞争性磋商响应文件未按竞争性磋商文件要求签署或CA电子签章的；</w:t>
      </w:r>
    </w:p>
    <w:p>
      <w:pPr>
        <w:widowControl/>
        <w:spacing w:line="400" w:lineRule="exact"/>
        <w:ind w:firstLine="422" w:firstLineChars="200"/>
        <w:jc w:val="left"/>
        <w:rPr>
          <w:rFonts w:ascii="宋体" w:hAnsi="宋体"/>
          <w:b/>
          <w:bCs/>
          <w:color w:val="000000"/>
          <w:kern w:val="0"/>
          <w:lang w:val="zh-CN"/>
        </w:rPr>
      </w:pPr>
      <w:r>
        <w:rPr>
          <w:rFonts w:hint="eastAsia" w:ascii="宋体" w:hAnsi="宋体"/>
          <w:b/>
          <w:bCs/>
          <w:color w:val="000000"/>
          <w:kern w:val="0"/>
          <w:lang w:val="zh-CN"/>
        </w:rPr>
        <w:t>（2）服务商提交两份或两份以上内容不同的竞争性磋商响应文件的；</w:t>
      </w:r>
    </w:p>
    <w:p>
      <w:pPr>
        <w:widowControl/>
        <w:spacing w:line="400" w:lineRule="exact"/>
        <w:ind w:firstLine="422" w:firstLineChars="200"/>
        <w:jc w:val="left"/>
        <w:rPr>
          <w:rFonts w:ascii="宋体" w:hAnsi="宋体"/>
          <w:b/>
          <w:bCs/>
          <w:color w:val="000000"/>
          <w:kern w:val="0"/>
        </w:rPr>
      </w:pPr>
      <w:r>
        <w:rPr>
          <w:rFonts w:hint="eastAsia" w:ascii="宋体" w:hAnsi="宋体"/>
          <w:b/>
          <w:bCs/>
          <w:color w:val="000000"/>
          <w:kern w:val="0"/>
        </w:rPr>
        <w:t>（3）磋商服务商</w:t>
      </w:r>
      <w:r>
        <w:rPr>
          <w:rFonts w:ascii="宋体" w:hAnsi="宋体"/>
          <w:b/>
          <w:bCs/>
          <w:color w:val="000000"/>
          <w:kern w:val="0"/>
        </w:rPr>
        <w:t>在线制作</w:t>
      </w:r>
      <w:r>
        <w:rPr>
          <w:rFonts w:hint="eastAsia" w:ascii="宋体" w:hAnsi="宋体"/>
          <w:b/>
          <w:bCs/>
          <w:color w:val="000000"/>
          <w:kern w:val="0"/>
        </w:rPr>
        <w:t>竞争性磋商响应文件</w:t>
      </w:r>
      <w:r>
        <w:rPr>
          <w:rFonts w:ascii="宋体" w:hAnsi="宋体"/>
          <w:b/>
          <w:bCs/>
          <w:color w:val="000000"/>
          <w:kern w:val="0"/>
        </w:rPr>
        <w:t>时填写的</w:t>
      </w:r>
      <w:r>
        <w:rPr>
          <w:rFonts w:hint="eastAsia" w:ascii="宋体" w:hAnsi="宋体"/>
          <w:b/>
          <w:bCs/>
          <w:color w:val="000000"/>
          <w:kern w:val="0"/>
        </w:rPr>
        <w:t>报价</w:t>
      </w:r>
      <w:r>
        <w:rPr>
          <w:rFonts w:ascii="宋体" w:hAnsi="宋体"/>
          <w:b/>
          <w:bCs/>
          <w:color w:val="000000"/>
          <w:kern w:val="0"/>
        </w:rPr>
        <w:t>金额与解密后“电子加密</w:t>
      </w:r>
      <w:r>
        <w:rPr>
          <w:rFonts w:hint="eastAsia" w:ascii="宋体" w:hAnsi="宋体"/>
          <w:b/>
          <w:bCs/>
          <w:color w:val="000000"/>
          <w:kern w:val="0"/>
        </w:rPr>
        <w:t>响应</w:t>
      </w:r>
      <w:r>
        <w:rPr>
          <w:rFonts w:ascii="宋体" w:hAnsi="宋体"/>
          <w:b/>
          <w:bCs/>
          <w:color w:val="000000"/>
          <w:kern w:val="0"/>
        </w:rPr>
        <w:t>文件”中《</w:t>
      </w:r>
      <w:r>
        <w:rPr>
          <w:rFonts w:hint="eastAsia" w:ascii="宋体" w:hAnsi="宋体"/>
          <w:b/>
          <w:bCs/>
          <w:color w:val="000000"/>
          <w:kern w:val="0"/>
        </w:rPr>
        <w:t>报价文件</w:t>
      </w:r>
      <w:r>
        <w:rPr>
          <w:rFonts w:ascii="宋体" w:hAnsi="宋体"/>
          <w:b/>
          <w:bCs/>
          <w:color w:val="000000"/>
          <w:kern w:val="0"/>
        </w:rPr>
        <w:t>》填写的金额不一致并拒绝按</w:t>
      </w:r>
      <w:r>
        <w:rPr>
          <w:rFonts w:hint="eastAsia" w:ascii="宋体" w:hAnsi="宋体"/>
          <w:b/>
          <w:bCs/>
          <w:color w:val="000000"/>
          <w:kern w:val="0"/>
        </w:rPr>
        <w:t>采购</w:t>
      </w:r>
      <w:r>
        <w:rPr>
          <w:rFonts w:ascii="宋体" w:hAnsi="宋体"/>
          <w:b/>
          <w:bCs/>
          <w:color w:val="000000"/>
          <w:kern w:val="0"/>
        </w:rPr>
        <w:t>文件要求接受调整的；</w:t>
      </w:r>
    </w:p>
    <w:p>
      <w:pPr>
        <w:widowControl/>
        <w:spacing w:line="400" w:lineRule="exact"/>
        <w:ind w:firstLine="422" w:firstLineChars="200"/>
        <w:jc w:val="left"/>
        <w:rPr>
          <w:rFonts w:ascii="宋体" w:hAnsi="宋体"/>
          <w:color w:val="000000"/>
          <w:kern w:val="0"/>
        </w:rPr>
      </w:pPr>
      <w:r>
        <w:rPr>
          <w:rFonts w:hint="eastAsia" w:ascii="宋体" w:hAnsi="宋体"/>
          <w:b/>
          <w:bCs/>
          <w:color w:val="000000"/>
          <w:kern w:val="0"/>
        </w:rPr>
        <w:t>（4）</w:t>
      </w:r>
      <w:r>
        <w:rPr>
          <w:rFonts w:ascii="宋体" w:hAnsi="宋体"/>
          <w:b/>
          <w:bCs/>
          <w:color w:val="000000"/>
          <w:kern w:val="0"/>
        </w:rPr>
        <w:t>法律、法规和招标文件规定的其他无效情形（或出现重大偏差）。</w:t>
      </w:r>
    </w:p>
    <w:p>
      <w:pPr>
        <w:pStyle w:val="3"/>
        <w:spacing w:line="400" w:lineRule="exact"/>
        <w:jc w:val="center"/>
      </w:pPr>
      <w:r>
        <w:rPr>
          <w:rFonts w:hint="eastAsia"/>
        </w:rPr>
        <w:t>六签订合同</w:t>
      </w:r>
      <w:bookmarkEnd w:id="173"/>
      <w:bookmarkEnd w:id="174"/>
      <w:bookmarkEnd w:id="175"/>
      <w:bookmarkEnd w:id="176"/>
      <w:bookmarkEnd w:id="177"/>
      <w:bookmarkEnd w:id="178"/>
    </w:p>
    <w:p>
      <w:pPr>
        <w:pStyle w:val="4"/>
        <w:spacing w:before="0" w:after="0" w:line="400" w:lineRule="exact"/>
        <w:rPr>
          <w:rFonts w:ascii="宋体" w:hAnsi="宋体" w:eastAsia="宋体"/>
          <w:sz w:val="21"/>
          <w:szCs w:val="21"/>
        </w:rPr>
      </w:pPr>
      <w:bookmarkStart w:id="179" w:name="_Toc230578085"/>
      <w:bookmarkStart w:id="180" w:name="_Toc185702577"/>
      <w:bookmarkStart w:id="181" w:name="_Toc206525710"/>
      <w:bookmarkStart w:id="182" w:name="_Toc207770863"/>
      <w:bookmarkStart w:id="183" w:name="_Toc239839891"/>
      <w:bookmarkStart w:id="184" w:name="_Toc444006009"/>
      <w:r>
        <w:rPr>
          <w:rFonts w:hint="eastAsia" w:ascii="宋体" w:hAnsi="宋体" w:eastAsia="宋体"/>
          <w:sz w:val="21"/>
          <w:szCs w:val="21"/>
        </w:rPr>
        <w:t>24、成交</w:t>
      </w:r>
      <w:bookmarkEnd w:id="179"/>
      <w:bookmarkEnd w:id="180"/>
      <w:bookmarkEnd w:id="181"/>
      <w:bookmarkEnd w:id="182"/>
      <w:r>
        <w:rPr>
          <w:rFonts w:hint="eastAsia" w:ascii="宋体" w:hAnsi="宋体" w:eastAsia="宋体"/>
          <w:sz w:val="21"/>
          <w:szCs w:val="21"/>
        </w:rPr>
        <w:t>结果</w:t>
      </w:r>
      <w:bookmarkEnd w:id="183"/>
      <w:r>
        <w:rPr>
          <w:rFonts w:hint="eastAsia" w:ascii="宋体" w:hAnsi="宋体" w:eastAsia="宋体"/>
          <w:sz w:val="21"/>
          <w:szCs w:val="21"/>
        </w:rPr>
        <w:t>公告</w:t>
      </w:r>
      <w:bookmarkEnd w:id="184"/>
    </w:p>
    <w:p>
      <w:pPr>
        <w:pStyle w:val="18"/>
        <w:spacing w:line="400" w:lineRule="exact"/>
        <w:ind w:firstLine="420"/>
      </w:pPr>
      <w:r>
        <w:rPr>
          <w:rFonts w:hint="eastAsia"/>
        </w:rPr>
        <w:t>24.1</w:t>
      </w:r>
      <w:r>
        <w:rPr>
          <w:rFonts w:ascii="Times New Roman" w:hAnsi="Times New Roman"/>
          <w:bCs/>
        </w:rPr>
        <w:t>采购代理机构将在评审结束2个工作日内将评审结果报告送采购人</w:t>
      </w:r>
      <w:r>
        <w:rPr>
          <w:rFonts w:hint="eastAsia" w:ascii="Times New Roman" w:hAnsi="Times New Roman"/>
          <w:bCs/>
        </w:rPr>
        <w:t>，</w:t>
      </w:r>
      <w:r>
        <w:rPr>
          <w:rFonts w:ascii="Times New Roman" w:hAnsi="Times New Roman"/>
          <w:bCs/>
        </w:rPr>
        <w:t>采购人在5个工作日内按照评审结果报告中推荐的第一成交候选</w:t>
      </w:r>
      <w:r>
        <w:rPr>
          <w:rFonts w:hint="eastAsia" w:ascii="Times New Roman" w:hAnsi="Times New Roman"/>
          <w:bCs/>
        </w:rPr>
        <w:t>服务商</w:t>
      </w:r>
      <w:r>
        <w:rPr>
          <w:rFonts w:ascii="Times New Roman" w:hAnsi="Times New Roman"/>
          <w:bCs/>
        </w:rPr>
        <w:t>确定为成交</w:t>
      </w:r>
      <w:r>
        <w:rPr>
          <w:rFonts w:hint="eastAsia" w:ascii="Times New Roman" w:hAnsi="Times New Roman"/>
          <w:bCs/>
        </w:rPr>
        <w:t>服务商，</w:t>
      </w:r>
      <w:r>
        <w:rPr>
          <w:rFonts w:hint="eastAsia"/>
        </w:rPr>
        <w:t>采购代理机构将在</w:t>
      </w:r>
      <w:r>
        <w:rPr>
          <w:rFonts w:hAnsi="宋体"/>
          <w:szCs w:val="21"/>
        </w:rPr>
        <w:t>广西壮族自治区政府采购网</w:t>
      </w:r>
      <w:r>
        <w:rPr>
          <w:rFonts w:hint="eastAsia"/>
        </w:rPr>
        <w:t>、</w:t>
      </w:r>
      <w:r>
        <w:rPr>
          <w:rFonts w:hAnsi="宋体"/>
          <w:szCs w:val="21"/>
        </w:rPr>
        <w:t>梧州市政府采购网</w:t>
      </w:r>
      <w:r>
        <w:rPr>
          <w:rFonts w:hint="eastAsia" w:hAnsi="宋体"/>
          <w:szCs w:val="21"/>
        </w:rPr>
        <w:t>、广西蒙山县人民政府门户网</w:t>
      </w:r>
      <w:r>
        <w:rPr>
          <w:rFonts w:hint="eastAsia" w:hAnsi="宋体"/>
        </w:rPr>
        <w:t>网站</w:t>
      </w:r>
      <w:r>
        <w:rPr>
          <w:rFonts w:hint="eastAsia"/>
        </w:rPr>
        <w:t>上公布成交结果。</w:t>
      </w:r>
    </w:p>
    <w:p>
      <w:pPr>
        <w:pStyle w:val="4"/>
        <w:spacing w:before="0" w:after="0" w:line="400" w:lineRule="exact"/>
        <w:rPr>
          <w:rFonts w:ascii="宋体" w:hAnsi="宋体" w:eastAsia="宋体"/>
          <w:sz w:val="21"/>
          <w:szCs w:val="21"/>
        </w:rPr>
      </w:pPr>
      <w:bookmarkStart w:id="185" w:name="_Toc206525711"/>
      <w:bookmarkStart w:id="186" w:name="_Toc444006010"/>
      <w:bookmarkStart w:id="187" w:name="_Toc230578086"/>
      <w:bookmarkStart w:id="188" w:name="_Toc207770864"/>
      <w:bookmarkStart w:id="189" w:name="_Toc239839892"/>
      <w:bookmarkStart w:id="190" w:name="_Toc185702578"/>
      <w:r>
        <w:rPr>
          <w:rFonts w:hint="eastAsia" w:ascii="宋体" w:hAnsi="宋体" w:eastAsia="宋体"/>
          <w:sz w:val="21"/>
          <w:szCs w:val="21"/>
        </w:rPr>
        <w:t>25、成交通知</w:t>
      </w:r>
      <w:bookmarkEnd w:id="185"/>
      <w:bookmarkEnd w:id="186"/>
      <w:bookmarkEnd w:id="187"/>
      <w:bookmarkEnd w:id="188"/>
      <w:bookmarkEnd w:id="189"/>
      <w:bookmarkEnd w:id="190"/>
    </w:p>
    <w:p>
      <w:pPr>
        <w:spacing w:line="420" w:lineRule="exact"/>
        <w:ind w:firstLine="420" w:firstLineChars="200"/>
      </w:pPr>
      <w:r>
        <w:t>2</w:t>
      </w:r>
      <w:r>
        <w:rPr>
          <w:rFonts w:hint="eastAsia"/>
        </w:rPr>
        <w:t>5</w:t>
      </w:r>
      <w:r>
        <w:t>.1采购代理机构在成交人确定之日起2个工作日内</w:t>
      </w:r>
      <w:r>
        <w:rPr>
          <w:spacing w:val="2"/>
        </w:rPr>
        <w:t>以书面形式向成交人发出成交通知书并</w:t>
      </w:r>
      <w:r>
        <w:t>同时在广西壮族自治区政府采购网、梧州市政府采购网、蒙山县人民政府网网站发布成交结果公告。</w:t>
      </w:r>
    </w:p>
    <w:p>
      <w:pPr>
        <w:spacing w:line="420" w:lineRule="exact"/>
        <w:ind w:firstLine="420" w:firstLineChars="200"/>
      </w:pPr>
      <w:r>
        <w:t>2</w:t>
      </w:r>
      <w:r>
        <w:rPr>
          <w:rFonts w:hint="eastAsia"/>
        </w:rPr>
        <w:t>5</w:t>
      </w:r>
      <w:r>
        <w:t>.2 如成交</w:t>
      </w:r>
      <w:r>
        <w:rPr>
          <w:rFonts w:hint="eastAsia"/>
        </w:rPr>
        <w:t>服务商</w:t>
      </w:r>
      <w:r>
        <w:t>自接到通知之日起五个工作日内，不办理成交通知书领取手续的，按违约处理。采购单位将取消其成交资格，成交</w:t>
      </w:r>
      <w:r>
        <w:rPr>
          <w:rFonts w:hint="eastAsia"/>
        </w:rPr>
        <w:t>服务商</w:t>
      </w:r>
      <w:r>
        <w:t>的全部磋商保证金不予退还，从磋商小组推荐的成交候选</w:t>
      </w:r>
      <w:r>
        <w:rPr>
          <w:rFonts w:hint="eastAsia"/>
        </w:rPr>
        <w:t>服务商</w:t>
      </w:r>
      <w:r>
        <w:t>中按顺序重新确定成交</w:t>
      </w:r>
      <w:r>
        <w:rPr>
          <w:rFonts w:hint="eastAsia"/>
        </w:rPr>
        <w:t>服务商</w:t>
      </w:r>
      <w:r>
        <w:t>。</w:t>
      </w:r>
    </w:p>
    <w:p>
      <w:pPr>
        <w:spacing w:line="420" w:lineRule="exact"/>
        <w:ind w:firstLine="420" w:firstLineChars="200"/>
      </w:pPr>
      <w:r>
        <w:t>2</w:t>
      </w:r>
      <w:r>
        <w:rPr>
          <w:rFonts w:hint="eastAsia"/>
        </w:rPr>
        <w:t>5</w:t>
      </w:r>
      <w:r>
        <w:t xml:space="preserve">.3 </w:t>
      </w:r>
      <w:r>
        <w:rPr>
          <w:spacing w:val="2"/>
        </w:rPr>
        <w:t>采购人及采购代理机构</w:t>
      </w:r>
      <w:r>
        <w:t>应及时将未成交的结果通知其他</w:t>
      </w:r>
      <w:r>
        <w:rPr>
          <w:rFonts w:hint="eastAsia"/>
        </w:rPr>
        <w:t>服务商</w:t>
      </w:r>
      <w:r>
        <w:t>。</w:t>
      </w:r>
    </w:p>
    <w:p>
      <w:pPr>
        <w:pStyle w:val="18"/>
        <w:spacing w:line="400" w:lineRule="exact"/>
        <w:ind w:firstLine="420" w:firstLineChars="200"/>
      </w:pPr>
      <w:r>
        <w:t>2</w:t>
      </w:r>
      <w:r>
        <w:rPr>
          <w:rFonts w:hint="eastAsia"/>
        </w:rPr>
        <w:t>5</w:t>
      </w:r>
      <w:r>
        <w:t>.4 采购代理机构无义务向未成交的</w:t>
      </w:r>
      <w:r>
        <w:rPr>
          <w:rFonts w:hint="eastAsia"/>
        </w:rPr>
        <w:t>服务商</w:t>
      </w:r>
      <w:r>
        <w:t>解释未成交原因和退还响应文件</w:t>
      </w:r>
      <w:r>
        <w:rPr>
          <w:rFonts w:hint="eastAsia"/>
        </w:rPr>
        <w:t>。</w:t>
      </w:r>
    </w:p>
    <w:p>
      <w:pPr>
        <w:pStyle w:val="4"/>
        <w:spacing w:before="0" w:after="0" w:line="400" w:lineRule="exact"/>
        <w:rPr>
          <w:rFonts w:ascii="宋体" w:hAnsi="宋体" w:eastAsia="宋体"/>
          <w:sz w:val="21"/>
          <w:szCs w:val="21"/>
        </w:rPr>
      </w:pPr>
      <w:bookmarkStart w:id="191" w:name="_Toc239839893"/>
      <w:bookmarkStart w:id="192" w:name="_Toc185702579"/>
      <w:bookmarkStart w:id="193" w:name="_Toc147250388"/>
      <w:bookmarkStart w:id="194" w:name="_Toc444006011"/>
      <w:bookmarkStart w:id="195" w:name="_Toc147250544"/>
      <w:bookmarkStart w:id="196" w:name="_Toc207770865"/>
      <w:bookmarkStart w:id="197" w:name="_Toc230578087"/>
      <w:bookmarkStart w:id="198" w:name="_Toc206525712"/>
      <w:bookmarkStart w:id="199" w:name="_Toc147250342"/>
      <w:r>
        <w:rPr>
          <w:rFonts w:hint="eastAsia" w:ascii="宋体" w:hAnsi="宋体" w:eastAsia="宋体"/>
          <w:sz w:val="21"/>
          <w:szCs w:val="21"/>
        </w:rPr>
        <w:t>26、合同授予标准</w:t>
      </w:r>
      <w:bookmarkEnd w:id="191"/>
      <w:bookmarkEnd w:id="192"/>
      <w:bookmarkEnd w:id="193"/>
      <w:bookmarkEnd w:id="194"/>
      <w:bookmarkEnd w:id="195"/>
      <w:bookmarkEnd w:id="196"/>
      <w:bookmarkEnd w:id="197"/>
      <w:bookmarkEnd w:id="198"/>
      <w:bookmarkEnd w:id="199"/>
    </w:p>
    <w:p>
      <w:pPr>
        <w:pStyle w:val="18"/>
        <w:spacing w:line="400" w:lineRule="exact"/>
        <w:ind w:firstLine="435"/>
        <w:rPr>
          <w:bCs/>
        </w:rPr>
      </w:pPr>
      <w:r>
        <w:rPr>
          <w:rFonts w:hint="eastAsia"/>
          <w:bCs/>
        </w:rPr>
        <w:t>26.1合同授予被确定为实质上响应磋商文件要求，评标认为具备履行合同能力，</w:t>
      </w:r>
      <w:r>
        <w:rPr>
          <w:rFonts w:hint="eastAsia" w:hAnsi="宋体"/>
        </w:rPr>
        <w:t>采购结果报告中推荐名次排名第一的成交候选人为成交人。</w:t>
      </w:r>
    </w:p>
    <w:p>
      <w:pPr>
        <w:pStyle w:val="18"/>
        <w:spacing w:line="400" w:lineRule="exact"/>
        <w:ind w:firstLine="420" w:firstLineChars="200"/>
        <w:rPr>
          <w:bCs/>
        </w:rPr>
      </w:pPr>
      <w:r>
        <w:rPr>
          <w:rFonts w:hint="eastAsia"/>
          <w:bCs/>
        </w:rPr>
        <w:t>26.2采购人应按照评标报告中推荐的成交候选人顺序确定成交人。</w:t>
      </w:r>
    </w:p>
    <w:p>
      <w:pPr>
        <w:pStyle w:val="18"/>
        <w:spacing w:line="400" w:lineRule="exact"/>
        <w:ind w:firstLine="420" w:firstLineChars="200"/>
        <w:rPr>
          <w:bCs/>
        </w:rPr>
      </w:pPr>
      <w:r>
        <w:rPr>
          <w:rFonts w:hint="eastAsia"/>
          <w:bCs/>
        </w:rPr>
        <w:t>26.3若排名第一的成交候选人自愿放弃成交人资格或不能履行合同，则排名第二的成交候选人为成交人，依次类推。</w:t>
      </w:r>
    </w:p>
    <w:p>
      <w:pPr>
        <w:pStyle w:val="4"/>
        <w:spacing w:before="0" w:after="0" w:line="400" w:lineRule="exact"/>
        <w:rPr>
          <w:rFonts w:ascii="宋体" w:hAnsi="宋体" w:eastAsia="宋体"/>
          <w:sz w:val="21"/>
          <w:szCs w:val="21"/>
        </w:rPr>
      </w:pPr>
      <w:bookmarkStart w:id="200" w:name="_Toc239839894"/>
      <w:bookmarkStart w:id="201" w:name="_Toc444006012"/>
      <w:bookmarkStart w:id="202" w:name="_Toc185702580"/>
      <w:bookmarkStart w:id="203" w:name="_Toc230578088"/>
      <w:bookmarkStart w:id="204" w:name="_Toc207770866"/>
      <w:bookmarkStart w:id="205" w:name="_Toc206525713"/>
      <w:r>
        <w:rPr>
          <w:rFonts w:hint="eastAsia" w:ascii="宋体" w:hAnsi="宋体" w:eastAsia="宋体"/>
          <w:sz w:val="21"/>
          <w:szCs w:val="21"/>
        </w:rPr>
        <w:t>27、签订合同</w:t>
      </w:r>
      <w:bookmarkEnd w:id="200"/>
      <w:bookmarkEnd w:id="201"/>
      <w:bookmarkEnd w:id="202"/>
      <w:bookmarkEnd w:id="203"/>
      <w:bookmarkEnd w:id="204"/>
      <w:bookmarkEnd w:id="205"/>
    </w:p>
    <w:p>
      <w:pPr>
        <w:pStyle w:val="18"/>
        <w:spacing w:line="400" w:lineRule="exact"/>
        <w:ind w:firstLine="420"/>
      </w:pPr>
      <w:bookmarkStart w:id="206" w:name="_Toc185702581"/>
      <w:r>
        <w:rPr>
          <w:rFonts w:hint="eastAsia"/>
        </w:rPr>
        <w:t>27.1合同将授予被确定为成交的服务商。</w:t>
      </w:r>
    </w:p>
    <w:p>
      <w:pPr>
        <w:pStyle w:val="18"/>
        <w:spacing w:line="400" w:lineRule="exact"/>
        <w:ind w:firstLine="420"/>
      </w:pPr>
      <w:r>
        <w:rPr>
          <w:rFonts w:hint="eastAsia"/>
        </w:rPr>
        <w:t>27.2成交服务商须凭成交通知书原件按告知函中规定的时间、地点与采购单位签订合同。成交服务商不得再与采购人签署订立背离合同实质性内容的其它协议或声明。</w:t>
      </w:r>
    </w:p>
    <w:p>
      <w:pPr>
        <w:pStyle w:val="18"/>
        <w:spacing w:line="400" w:lineRule="exact"/>
        <w:ind w:firstLine="420"/>
      </w:pPr>
      <w:r>
        <w:rPr>
          <w:rFonts w:hint="eastAsia"/>
        </w:rPr>
        <w:t>27.3如成交人不按成交通知书的规定签订合同，则按成交人违约处理，对成交人所</w:t>
      </w:r>
      <w:r>
        <w:rPr>
          <w:rFonts w:hint="eastAsia"/>
          <w:spacing w:val="-4"/>
        </w:rPr>
        <w:t>提交</w:t>
      </w:r>
      <w:r>
        <w:rPr>
          <w:rFonts w:hint="eastAsia"/>
        </w:rPr>
        <w:t>的全部磋商保证金将不予退还。</w:t>
      </w:r>
    </w:p>
    <w:p>
      <w:pPr>
        <w:pStyle w:val="18"/>
        <w:spacing w:line="400" w:lineRule="exact"/>
        <w:ind w:firstLine="420" w:firstLineChars="200"/>
      </w:pPr>
      <w:r>
        <w:rPr>
          <w:rFonts w:hint="eastAsia" w:hAnsi="宋体"/>
          <w:bCs/>
          <w:szCs w:val="21"/>
        </w:rPr>
        <w:t>27.4</w:t>
      </w:r>
      <w:r>
        <w:rPr>
          <w:rFonts w:hAnsi="宋体" w:cs="Arial"/>
          <w:kern w:val="0"/>
          <w:szCs w:val="21"/>
        </w:rPr>
        <w:t>成交服务商拒绝签订政府采购合同的，采购人可以按照</w:t>
      </w:r>
      <w:r>
        <w:rPr>
          <w:rFonts w:hint="eastAsia" w:hAnsi="宋体" w:cs="Arial"/>
          <w:kern w:val="0"/>
          <w:szCs w:val="21"/>
        </w:rPr>
        <w:t>评审报告中的推荐的候选人顺序</w:t>
      </w:r>
      <w:r>
        <w:rPr>
          <w:rFonts w:hAnsi="宋体" w:cs="Arial"/>
          <w:kern w:val="0"/>
          <w:szCs w:val="21"/>
        </w:rPr>
        <w:t>确定其他服务商作为成交服务商并签订政府采购合同，也可以重新开展采购活动。拒绝签订政府采购合同的成交服务商不得参加对该项目重新开展的采购活动。</w:t>
      </w:r>
    </w:p>
    <w:p>
      <w:pPr>
        <w:pStyle w:val="18"/>
        <w:spacing w:line="400" w:lineRule="exact"/>
        <w:ind w:firstLine="420"/>
      </w:pPr>
      <w:r>
        <w:rPr>
          <w:rFonts w:hint="eastAsia"/>
        </w:rPr>
        <w:t>27.5采购合同必须与磋商文件第三章合同书格式(包括内容和结构)相一致，不能改变主要条款。</w:t>
      </w:r>
    </w:p>
    <w:p>
      <w:pPr>
        <w:pStyle w:val="4"/>
        <w:spacing w:before="0" w:after="0" w:line="400" w:lineRule="exact"/>
        <w:rPr>
          <w:rFonts w:ascii="宋体" w:hAnsi="宋体" w:eastAsia="宋体"/>
          <w:sz w:val="21"/>
          <w:szCs w:val="21"/>
        </w:rPr>
      </w:pPr>
      <w:bookmarkStart w:id="207" w:name="_Toc206525714"/>
      <w:bookmarkStart w:id="208" w:name="_Toc239839895"/>
      <w:bookmarkStart w:id="209" w:name="_Toc444006013"/>
      <w:bookmarkStart w:id="210" w:name="_Toc230578089"/>
      <w:bookmarkStart w:id="211" w:name="_Toc207770867"/>
      <w:r>
        <w:rPr>
          <w:rFonts w:hint="eastAsia" w:ascii="宋体" w:hAnsi="宋体" w:eastAsia="宋体"/>
          <w:sz w:val="21"/>
          <w:szCs w:val="21"/>
        </w:rPr>
        <w:t>28、履约保证金</w:t>
      </w:r>
      <w:bookmarkEnd w:id="206"/>
      <w:bookmarkEnd w:id="207"/>
      <w:bookmarkEnd w:id="208"/>
      <w:bookmarkEnd w:id="209"/>
      <w:bookmarkEnd w:id="210"/>
      <w:bookmarkEnd w:id="211"/>
    </w:p>
    <w:p>
      <w:pPr>
        <w:pStyle w:val="18"/>
        <w:spacing w:line="400" w:lineRule="exact"/>
        <w:ind w:firstLine="210" w:firstLineChars="100"/>
      </w:pPr>
      <w:r>
        <w:rPr>
          <w:rFonts w:hint="eastAsia" w:hAnsi="宋体"/>
          <w:szCs w:val="21"/>
        </w:rPr>
        <w:t>本项目不需要缴纳履约保证金。</w:t>
      </w:r>
    </w:p>
    <w:p>
      <w:pPr>
        <w:pStyle w:val="3"/>
        <w:spacing w:line="400" w:lineRule="exact"/>
        <w:jc w:val="center"/>
      </w:pPr>
      <w:bookmarkStart w:id="212" w:name="_Toc185702582"/>
      <w:bookmarkStart w:id="213" w:name="_Toc207770868"/>
      <w:bookmarkStart w:id="214" w:name="_Toc206525715"/>
      <w:bookmarkStart w:id="215" w:name="_Toc444006014"/>
      <w:bookmarkStart w:id="216" w:name="_Toc230578090"/>
      <w:bookmarkStart w:id="217" w:name="_Toc239839896"/>
      <w:r>
        <w:rPr>
          <w:rFonts w:hint="eastAsia"/>
        </w:rPr>
        <w:t>七其他事项</w:t>
      </w:r>
      <w:bookmarkEnd w:id="212"/>
      <w:bookmarkEnd w:id="213"/>
      <w:bookmarkEnd w:id="214"/>
      <w:bookmarkEnd w:id="215"/>
      <w:bookmarkEnd w:id="216"/>
      <w:bookmarkEnd w:id="217"/>
    </w:p>
    <w:p>
      <w:pPr>
        <w:pStyle w:val="4"/>
        <w:spacing w:before="0" w:after="0" w:line="400" w:lineRule="exact"/>
        <w:rPr>
          <w:rFonts w:ascii="宋体" w:hAnsi="宋体" w:eastAsia="宋体"/>
          <w:sz w:val="21"/>
          <w:szCs w:val="21"/>
        </w:rPr>
      </w:pPr>
      <w:bookmarkStart w:id="218" w:name="_Toc230578091"/>
      <w:bookmarkStart w:id="219" w:name="_Toc444006015"/>
      <w:bookmarkStart w:id="220" w:name="_Toc207770869"/>
      <w:bookmarkStart w:id="221" w:name="_Toc239839897"/>
      <w:bookmarkStart w:id="222" w:name="_Toc185702583"/>
      <w:bookmarkStart w:id="223" w:name="_Toc206525716"/>
      <w:r>
        <w:rPr>
          <w:rFonts w:hint="eastAsia" w:ascii="宋体" w:hAnsi="宋体" w:eastAsia="宋体"/>
          <w:sz w:val="21"/>
          <w:szCs w:val="21"/>
        </w:rPr>
        <w:t>29、成交服务费</w:t>
      </w:r>
      <w:bookmarkEnd w:id="218"/>
      <w:bookmarkEnd w:id="219"/>
      <w:bookmarkEnd w:id="220"/>
      <w:bookmarkEnd w:id="221"/>
      <w:bookmarkEnd w:id="222"/>
      <w:bookmarkEnd w:id="223"/>
    </w:p>
    <w:p>
      <w:pPr>
        <w:pStyle w:val="18"/>
        <w:spacing w:line="400" w:lineRule="exact"/>
        <w:ind w:firstLine="411" w:firstLineChars="196"/>
        <w:rPr>
          <w:bCs/>
        </w:rPr>
      </w:pPr>
      <w:r>
        <w:rPr>
          <w:rFonts w:hint="eastAsia"/>
          <w:bCs/>
        </w:rPr>
        <w:t>29.1</w:t>
      </w:r>
      <w:r>
        <w:rPr>
          <w:rFonts w:hint="eastAsia" w:hAnsi="宋体"/>
        </w:rPr>
        <w:t>成交服务费：</w:t>
      </w:r>
      <w:r>
        <w:rPr>
          <w:rFonts w:hint="eastAsia" w:ascii="Times New Roman" w:hAnsi="Times New Roman"/>
        </w:rPr>
        <w:t>领取成交通知书</w:t>
      </w:r>
      <w:r>
        <w:rPr>
          <w:rFonts w:ascii="Times New Roman" w:hAnsi="Times New Roman"/>
        </w:rPr>
        <w:t>前，中标人须向</w:t>
      </w:r>
      <w:r>
        <w:rPr>
          <w:rFonts w:hint="eastAsia" w:ascii="Times New Roman" w:hAnsi="Times New Roman"/>
        </w:rPr>
        <w:t>本采购代理机构</w:t>
      </w:r>
      <w:r>
        <w:rPr>
          <w:rFonts w:ascii="Times New Roman" w:hAnsi="Times New Roman"/>
        </w:rPr>
        <w:t>一次</w:t>
      </w:r>
      <w:r>
        <w:rPr>
          <w:rFonts w:hint="eastAsia" w:ascii="Times New Roman" w:hAnsi="Times New Roman"/>
        </w:rPr>
        <w:t>性</w:t>
      </w:r>
      <w:r>
        <w:rPr>
          <w:rFonts w:ascii="Times New Roman" w:hAnsi="Times New Roman"/>
        </w:rPr>
        <w:t>付清招标代理服务费，</w:t>
      </w:r>
      <w:r>
        <w:rPr>
          <w:rFonts w:hint="eastAsia" w:hAnsi="宋体"/>
        </w:rPr>
        <w:t>其金额按国家发展计划委员会计价格〔2011〕534号《招标代理服务收费管理暂行办法》服务招标收费标准收取。否则，采购代理机构将视之为违约，取消该成交决定并没收成交人已提交的全部磋商保证金。</w:t>
      </w:r>
    </w:p>
    <w:p>
      <w:pPr>
        <w:pStyle w:val="18"/>
        <w:spacing w:line="400" w:lineRule="exact"/>
        <w:ind w:firstLine="420"/>
        <w:rPr>
          <w:rFonts w:hAnsi="宋体"/>
        </w:rPr>
      </w:pPr>
      <w:r>
        <w:rPr>
          <w:rFonts w:hint="eastAsia" w:hAnsi="宋体"/>
        </w:rPr>
        <w:t>29.2代理服务收费标准：</w:t>
      </w:r>
    </w:p>
    <w:tbl>
      <w:tblPr>
        <w:tblStyle w:val="32"/>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2178"/>
        <w:gridCol w:w="225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7" w:type="dxa"/>
          </w:tcPr>
          <w:p>
            <w:pPr>
              <w:pStyle w:val="18"/>
              <w:spacing w:line="400" w:lineRule="exact"/>
              <w:ind w:left="25"/>
              <w:rPr>
                <w:rFonts w:ascii="Times New Roman" w:hAnsi="Times New Roman"/>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375410" cy="753110"/>
                      <wp:effectExtent l="2540" t="4445" r="6350" b="4445"/>
                      <wp:wrapNone/>
                      <wp:docPr id="1" name="直线 12"/>
                      <wp:cNvGraphicFramePr/>
                      <a:graphic xmlns:a="http://schemas.openxmlformats.org/drawingml/2006/main">
                        <a:graphicData uri="http://schemas.microsoft.com/office/word/2010/wordprocessingShape">
                          <wps:wsp>
                            <wps:cNvCnPr/>
                            <wps:spPr>
                              <a:xfrm>
                                <a:off x="0" y="0"/>
                                <a:ext cx="1375410" cy="7531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23.35pt;margin-top:0.85pt;height:59.3pt;width:108.3pt;z-index:251659264;mso-width-relative:page;mso-height-relative:page;" filled="f" stroked="t" coordsize="21600,21600" o:gfxdata="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GkvK&#10;1QAAAAgBAAAPAAAAAAAAAAEAIAAAACIAAABkcnMvZG93bnJldi54bWxQSwECFAAUAAAACACHTuJA&#10;rPr43usBAADhAwAADgAAAAAAAAABACAAAAAkAQAAZHJzL2Uyb0RvYy54bWxQSwUGAAAAAAYABgBZ&#10;AQAAgQUAAAAA&#10;">
                      <v:fill on="f" focussize="0,0"/>
                      <v:stroke color="#000000" joinstyle="round"/>
                      <v:imagedata o:title=""/>
                      <o:lock v:ext="edit" aspectratio="f"/>
                    </v:line>
                  </w:pict>
                </mc:Fallback>
              </mc:AlternateContent>
            </w:r>
            <w:r>
              <w:rPr>
                <w:rFonts w:ascii="Times New Roman" w:hAnsi="Times New Roman"/>
              </w:rPr>
              <w:t>费率           服务类型</w:t>
            </w:r>
          </w:p>
          <w:p>
            <w:pPr>
              <w:pStyle w:val="18"/>
              <w:spacing w:line="400" w:lineRule="exact"/>
              <w:ind w:left="25"/>
              <w:rPr>
                <w:rFonts w:ascii="Times New Roman" w:hAnsi="Times New Roman"/>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45085</wp:posOffset>
                      </wp:positionV>
                      <wp:extent cx="1744980" cy="464820"/>
                      <wp:effectExtent l="1270" t="4445" r="6350" b="13335"/>
                      <wp:wrapNone/>
                      <wp:docPr id="2" name="直线 13"/>
                      <wp:cNvGraphicFramePr/>
                      <a:graphic xmlns:a="http://schemas.openxmlformats.org/drawingml/2006/main">
                        <a:graphicData uri="http://schemas.microsoft.com/office/word/2010/wordprocessingShape">
                          <wps:wsp>
                            <wps:cNvCnPr/>
                            <wps:spPr>
                              <a:xfrm>
                                <a:off x="0" y="0"/>
                                <a:ext cx="1744980" cy="4648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5.35pt;margin-top:3.55pt;height:36.6pt;width:137.4pt;z-index:251660288;mso-width-relative:page;mso-height-relative:page;" filled="f" stroked="t" coordsize="21600,21600" o:gfxdata="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r1qWdcAAAAIAQAADwAAAAAAAAABACAAAAAiAAAAZHJzL2Rvd25yZXYueG1sUEsBAhQAFAAA&#10;AAgAh07iQIn8YajwAQAA4QMAAA4AAAAAAAAAAQAgAAAAJgEAAGRycy9lMm9Eb2MueG1sUEsFBgAA&#10;AAAGAAYAWQEAAIgFAAAAAA==&#10;">
                      <v:fill on="f" focussize="0,0"/>
                      <v:stroke color="#000000" joinstyle="round"/>
                      <v:imagedata o:title=""/>
                      <o:lock v:ext="edit" aspectratio="f"/>
                    </v:line>
                  </w:pict>
                </mc:Fallback>
              </mc:AlternateContent>
            </w:r>
          </w:p>
          <w:p>
            <w:pPr>
              <w:pStyle w:val="18"/>
              <w:spacing w:line="400" w:lineRule="exact"/>
              <w:ind w:left="25"/>
              <w:rPr>
                <w:rFonts w:ascii="Times New Roman" w:hAnsi="Times New Roman"/>
              </w:rPr>
            </w:pPr>
            <w:r>
              <w:rPr>
                <w:rFonts w:ascii="Times New Roman" w:hAnsi="Times New Roman"/>
              </w:rPr>
              <w:t>中标金额（万元）</w:t>
            </w:r>
          </w:p>
        </w:tc>
        <w:tc>
          <w:tcPr>
            <w:tcW w:w="2178" w:type="dxa"/>
            <w:vAlign w:val="center"/>
          </w:tcPr>
          <w:p>
            <w:pPr>
              <w:pStyle w:val="18"/>
              <w:spacing w:line="400" w:lineRule="exact"/>
              <w:ind w:left="25"/>
              <w:jc w:val="center"/>
              <w:rPr>
                <w:rFonts w:ascii="Times New Roman" w:hAnsi="Times New Roman"/>
              </w:rPr>
            </w:pPr>
            <w:r>
              <w:rPr>
                <w:rFonts w:ascii="Times New Roman" w:hAnsi="Times New Roman"/>
              </w:rPr>
              <w:t>货物招标</w:t>
            </w:r>
          </w:p>
        </w:tc>
        <w:tc>
          <w:tcPr>
            <w:tcW w:w="2250" w:type="dxa"/>
            <w:vAlign w:val="center"/>
          </w:tcPr>
          <w:p>
            <w:pPr>
              <w:pStyle w:val="18"/>
              <w:spacing w:line="400" w:lineRule="exact"/>
              <w:ind w:left="25"/>
              <w:jc w:val="center"/>
              <w:rPr>
                <w:rFonts w:ascii="Times New Roman" w:hAnsi="Times New Roman"/>
              </w:rPr>
            </w:pPr>
            <w:r>
              <w:rPr>
                <w:rFonts w:ascii="Times New Roman" w:hAnsi="Times New Roman"/>
              </w:rPr>
              <w:t>服务招标</w:t>
            </w:r>
          </w:p>
        </w:tc>
        <w:tc>
          <w:tcPr>
            <w:tcW w:w="2160" w:type="dxa"/>
            <w:vAlign w:val="center"/>
          </w:tcPr>
          <w:p>
            <w:pPr>
              <w:pStyle w:val="18"/>
              <w:spacing w:line="400" w:lineRule="exact"/>
              <w:ind w:left="25"/>
              <w:jc w:val="center"/>
              <w:rPr>
                <w:rFonts w:ascii="Times New Roman" w:hAnsi="Times New Roman"/>
              </w:rPr>
            </w:pPr>
            <w:r>
              <w:rPr>
                <w:rFonts w:ascii="Times New Roman" w:hAnsi="Times New Roma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47" w:type="dxa"/>
          </w:tcPr>
          <w:p>
            <w:pPr>
              <w:pStyle w:val="18"/>
              <w:spacing w:line="400" w:lineRule="exact"/>
              <w:ind w:left="25"/>
              <w:rPr>
                <w:rFonts w:ascii="Times New Roman" w:hAnsi="Times New Roman"/>
              </w:rPr>
            </w:pPr>
            <w:r>
              <w:rPr>
                <w:rFonts w:ascii="Times New Roman" w:hAnsi="Times New Roman"/>
              </w:rPr>
              <w:t>100以下</w:t>
            </w:r>
          </w:p>
        </w:tc>
        <w:tc>
          <w:tcPr>
            <w:tcW w:w="2178" w:type="dxa"/>
          </w:tcPr>
          <w:p>
            <w:pPr>
              <w:pStyle w:val="18"/>
              <w:spacing w:line="400" w:lineRule="exact"/>
              <w:ind w:left="25"/>
              <w:jc w:val="center"/>
              <w:rPr>
                <w:rFonts w:ascii="Times New Roman" w:hAnsi="Times New Roman"/>
              </w:rPr>
            </w:pPr>
            <w:r>
              <w:rPr>
                <w:rFonts w:ascii="Times New Roman" w:hAnsi="Times New Roman"/>
              </w:rPr>
              <w:t>1.5%</w:t>
            </w:r>
          </w:p>
        </w:tc>
        <w:tc>
          <w:tcPr>
            <w:tcW w:w="2250" w:type="dxa"/>
          </w:tcPr>
          <w:p>
            <w:pPr>
              <w:pStyle w:val="18"/>
              <w:spacing w:line="400" w:lineRule="exact"/>
              <w:ind w:left="25"/>
              <w:jc w:val="center"/>
              <w:rPr>
                <w:rFonts w:ascii="Times New Roman" w:hAnsi="Times New Roman"/>
              </w:rPr>
            </w:pPr>
            <w:r>
              <w:rPr>
                <w:rFonts w:ascii="Times New Roman" w:hAnsi="Times New Roman"/>
              </w:rPr>
              <w:t>1.5%</w:t>
            </w:r>
          </w:p>
        </w:tc>
        <w:tc>
          <w:tcPr>
            <w:tcW w:w="2160" w:type="dxa"/>
          </w:tcPr>
          <w:p>
            <w:pPr>
              <w:pStyle w:val="18"/>
              <w:spacing w:line="400" w:lineRule="exact"/>
              <w:ind w:left="25"/>
              <w:jc w:val="center"/>
              <w:rPr>
                <w:rFonts w:ascii="Times New Roman" w:hAnsi="Times New Roman"/>
              </w:rPr>
            </w:pPr>
            <w:r>
              <w:rPr>
                <w:rFonts w:ascii="Times New Roman" w:hAnsi="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47" w:type="dxa"/>
          </w:tcPr>
          <w:p>
            <w:pPr>
              <w:pStyle w:val="18"/>
              <w:spacing w:line="400" w:lineRule="exact"/>
              <w:ind w:left="25"/>
              <w:rPr>
                <w:rFonts w:ascii="Times New Roman" w:hAnsi="Times New Roman"/>
              </w:rPr>
            </w:pPr>
            <w:r>
              <w:rPr>
                <w:rFonts w:ascii="Times New Roman" w:hAnsi="Times New Roman"/>
              </w:rPr>
              <w:t>100-500</w:t>
            </w:r>
          </w:p>
        </w:tc>
        <w:tc>
          <w:tcPr>
            <w:tcW w:w="2178" w:type="dxa"/>
          </w:tcPr>
          <w:p>
            <w:pPr>
              <w:pStyle w:val="18"/>
              <w:spacing w:line="400" w:lineRule="exact"/>
              <w:ind w:left="25"/>
              <w:jc w:val="center"/>
              <w:rPr>
                <w:rFonts w:ascii="Times New Roman" w:hAnsi="Times New Roman"/>
              </w:rPr>
            </w:pPr>
            <w:r>
              <w:rPr>
                <w:rFonts w:ascii="Times New Roman" w:hAnsi="Times New Roman"/>
              </w:rPr>
              <w:t>1.1%</w:t>
            </w:r>
          </w:p>
        </w:tc>
        <w:tc>
          <w:tcPr>
            <w:tcW w:w="2250" w:type="dxa"/>
          </w:tcPr>
          <w:p>
            <w:pPr>
              <w:pStyle w:val="18"/>
              <w:spacing w:line="400" w:lineRule="exact"/>
              <w:ind w:left="25"/>
              <w:jc w:val="center"/>
              <w:rPr>
                <w:rFonts w:ascii="Times New Roman" w:hAnsi="Times New Roman"/>
              </w:rPr>
            </w:pPr>
            <w:r>
              <w:rPr>
                <w:rFonts w:ascii="Times New Roman" w:hAnsi="Times New Roman"/>
              </w:rPr>
              <w:t>0.8%</w:t>
            </w:r>
          </w:p>
        </w:tc>
        <w:tc>
          <w:tcPr>
            <w:tcW w:w="2160" w:type="dxa"/>
          </w:tcPr>
          <w:p>
            <w:pPr>
              <w:pStyle w:val="18"/>
              <w:spacing w:line="400" w:lineRule="exact"/>
              <w:ind w:left="25"/>
              <w:jc w:val="center"/>
              <w:rPr>
                <w:rFonts w:ascii="Times New Roman" w:hAnsi="Times New Roman"/>
              </w:rPr>
            </w:pPr>
            <w:r>
              <w:rPr>
                <w:rFonts w:ascii="Times New Roman" w:hAnsi="Times New Roma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47" w:type="dxa"/>
          </w:tcPr>
          <w:p>
            <w:pPr>
              <w:pStyle w:val="18"/>
              <w:spacing w:line="400" w:lineRule="exact"/>
              <w:ind w:left="25"/>
              <w:rPr>
                <w:rFonts w:ascii="Times New Roman" w:hAnsi="Times New Roman"/>
              </w:rPr>
            </w:pPr>
            <w:r>
              <w:rPr>
                <w:rFonts w:ascii="Times New Roman" w:hAnsi="Times New Roman"/>
              </w:rPr>
              <w:t>500-1000</w:t>
            </w:r>
          </w:p>
        </w:tc>
        <w:tc>
          <w:tcPr>
            <w:tcW w:w="2178" w:type="dxa"/>
          </w:tcPr>
          <w:p>
            <w:pPr>
              <w:pStyle w:val="18"/>
              <w:spacing w:line="400" w:lineRule="exact"/>
              <w:ind w:left="25"/>
              <w:jc w:val="center"/>
              <w:rPr>
                <w:rFonts w:ascii="Times New Roman" w:hAnsi="Times New Roman"/>
              </w:rPr>
            </w:pPr>
            <w:r>
              <w:rPr>
                <w:rFonts w:ascii="Times New Roman" w:hAnsi="Times New Roman"/>
              </w:rPr>
              <w:t>0.8%</w:t>
            </w:r>
          </w:p>
        </w:tc>
        <w:tc>
          <w:tcPr>
            <w:tcW w:w="2250" w:type="dxa"/>
          </w:tcPr>
          <w:p>
            <w:pPr>
              <w:pStyle w:val="18"/>
              <w:spacing w:line="400" w:lineRule="exact"/>
              <w:ind w:left="25"/>
              <w:jc w:val="center"/>
              <w:rPr>
                <w:rFonts w:ascii="Times New Roman" w:hAnsi="Times New Roman"/>
              </w:rPr>
            </w:pPr>
            <w:r>
              <w:rPr>
                <w:rFonts w:ascii="Times New Roman" w:hAnsi="Times New Roman"/>
              </w:rPr>
              <w:t>0.45%</w:t>
            </w:r>
          </w:p>
        </w:tc>
        <w:tc>
          <w:tcPr>
            <w:tcW w:w="2160" w:type="dxa"/>
          </w:tcPr>
          <w:p>
            <w:pPr>
              <w:pStyle w:val="18"/>
              <w:spacing w:line="400" w:lineRule="exact"/>
              <w:ind w:left="25"/>
              <w:jc w:val="center"/>
              <w:rPr>
                <w:rFonts w:ascii="Times New Roman" w:hAnsi="Times New Roman"/>
              </w:rPr>
            </w:pPr>
            <w:r>
              <w:rPr>
                <w:rFonts w:ascii="Times New Roman" w:hAnsi="Times New Roma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47" w:type="dxa"/>
          </w:tcPr>
          <w:p>
            <w:pPr>
              <w:pStyle w:val="18"/>
              <w:spacing w:line="400" w:lineRule="exact"/>
              <w:ind w:left="25"/>
              <w:rPr>
                <w:rFonts w:ascii="Times New Roman" w:hAnsi="Times New Roman"/>
              </w:rPr>
            </w:pPr>
            <w:r>
              <w:rPr>
                <w:rFonts w:ascii="Times New Roman" w:hAnsi="Times New Roman"/>
              </w:rPr>
              <w:t>1000-5000</w:t>
            </w:r>
          </w:p>
        </w:tc>
        <w:tc>
          <w:tcPr>
            <w:tcW w:w="2178" w:type="dxa"/>
          </w:tcPr>
          <w:p>
            <w:pPr>
              <w:pStyle w:val="18"/>
              <w:spacing w:line="400" w:lineRule="exact"/>
              <w:ind w:left="25"/>
              <w:jc w:val="center"/>
              <w:rPr>
                <w:rFonts w:ascii="Times New Roman" w:hAnsi="Times New Roman"/>
              </w:rPr>
            </w:pPr>
            <w:r>
              <w:rPr>
                <w:rFonts w:ascii="Times New Roman" w:hAnsi="Times New Roman"/>
              </w:rPr>
              <w:t>0.5%</w:t>
            </w:r>
          </w:p>
        </w:tc>
        <w:tc>
          <w:tcPr>
            <w:tcW w:w="2250" w:type="dxa"/>
          </w:tcPr>
          <w:p>
            <w:pPr>
              <w:pStyle w:val="18"/>
              <w:spacing w:line="400" w:lineRule="exact"/>
              <w:ind w:left="25"/>
              <w:jc w:val="center"/>
              <w:rPr>
                <w:rFonts w:ascii="Times New Roman" w:hAnsi="Times New Roman"/>
              </w:rPr>
            </w:pPr>
            <w:r>
              <w:rPr>
                <w:rFonts w:ascii="Times New Roman" w:hAnsi="Times New Roman"/>
              </w:rPr>
              <w:t>0.25%</w:t>
            </w:r>
          </w:p>
        </w:tc>
        <w:tc>
          <w:tcPr>
            <w:tcW w:w="2160" w:type="dxa"/>
          </w:tcPr>
          <w:p>
            <w:pPr>
              <w:pStyle w:val="18"/>
              <w:spacing w:line="400" w:lineRule="exact"/>
              <w:ind w:left="25"/>
              <w:jc w:val="center"/>
              <w:rPr>
                <w:rFonts w:ascii="Times New Roman" w:hAnsi="Times New Roman"/>
              </w:rPr>
            </w:pPr>
            <w:r>
              <w:rPr>
                <w:rFonts w:ascii="Times New Roman" w:hAnsi="Times New Roma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47" w:type="dxa"/>
          </w:tcPr>
          <w:p>
            <w:pPr>
              <w:pStyle w:val="18"/>
              <w:spacing w:line="400" w:lineRule="exact"/>
              <w:ind w:left="25"/>
              <w:rPr>
                <w:rFonts w:ascii="Times New Roman" w:hAnsi="Times New Roman"/>
              </w:rPr>
            </w:pPr>
            <w:r>
              <w:rPr>
                <w:rFonts w:ascii="Times New Roman" w:hAnsi="Times New Roman"/>
              </w:rPr>
              <w:t>5000-10000</w:t>
            </w:r>
          </w:p>
        </w:tc>
        <w:tc>
          <w:tcPr>
            <w:tcW w:w="2178" w:type="dxa"/>
          </w:tcPr>
          <w:p>
            <w:pPr>
              <w:pStyle w:val="18"/>
              <w:spacing w:line="400" w:lineRule="exact"/>
              <w:ind w:left="25"/>
              <w:jc w:val="center"/>
              <w:rPr>
                <w:rFonts w:ascii="Times New Roman" w:hAnsi="Times New Roman"/>
              </w:rPr>
            </w:pPr>
            <w:r>
              <w:rPr>
                <w:rFonts w:ascii="Times New Roman" w:hAnsi="Times New Roman"/>
              </w:rPr>
              <w:t>0.25%</w:t>
            </w:r>
          </w:p>
        </w:tc>
        <w:tc>
          <w:tcPr>
            <w:tcW w:w="2250" w:type="dxa"/>
          </w:tcPr>
          <w:p>
            <w:pPr>
              <w:pStyle w:val="18"/>
              <w:spacing w:line="400" w:lineRule="exact"/>
              <w:ind w:left="25"/>
              <w:jc w:val="center"/>
              <w:rPr>
                <w:rFonts w:ascii="Times New Roman" w:hAnsi="Times New Roman"/>
              </w:rPr>
            </w:pPr>
            <w:r>
              <w:rPr>
                <w:rFonts w:ascii="Times New Roman" w:hAnsi="Times New Roman"/>
              </w:rPr>
              <w:t>0.1%</w:t>
            </w:r>
          </w:p>
        </w:tc>
        <w:tc>
          <w:tcPr>
            <w:tcW w:w="2160" w:type="dxa"/>
          </w:tcPr>
          <w:p>
            <w:pPr>
              <w:pStyle w:val="18"/>
              <w:spacing w:line="400" w:lineRule="exact"/>
              <w:ind w:left="25"/>
              <w:jc w:val="center"/>
              <w:rPr>
                <w:rFonts w:ascii="Times New Roman" w:hAnsi="Times New Roman"/>
              </w:rPr>
            </w:pPr>
            <w:r>
              <w:rPr>
                <w:rFonts w:ascii="Times New Roman" w:hAnsi="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47" w:type="dxa"/>
          </w:tcPr>
          <w:p>
            <w:pPr>
              <w:pStyle w:val="18"/>
              <w:spacing w:line="400" w:lineRule="exact"/>
              <w:ind w:left="25"/>
              <w:rPr>
                <w:rFonts w:ascii="Times New Roman" w:hAnsi="Times New Roman"/>
              </w:rPr>
            </w:pPr>
            <w:r>
              <w:rPr>
                <w:rFonts w:ascii="Times New Roman" w:hAnsi="Times New Roman"/>
              </w:rPr>
              <w:t>10000-100000</w:t>
            </w:r>
          </w:p>
        </w:tc>
        <w:tc>
          <w:tcPr>
            <w:tcW w:w="2178" w:type="dxa"/>
          </w:tcPr>
          <w:p>
            <w:pPr>
              <w:pStyle w:val="18"/>
              <w:spacing w:line="400" w:lineRule="exact"/>
              <w:ind w:left="25"/>
              <w:jc w:val="center"/>
              <w:rPr>
                <w:rFonts w:ascii="Times New Roman" w:hAnsi="Times New Roman"/>
              </w:rPr>
            </w:pPr>
            <w:r>
              <w:rPr>
                <w:rFonts w:ascii="Times New Roman" w:hAnsi="Times New Roman"/>
              </w:rPr>
              <w:t>0.05%</w:t>
            </w:r>
          </w:p>
        </w:tc>
        <w:tc>
          <w:tcPr>
            <w:tcW w:w="2250" w:type="dxa"/>
          </w:tcPr>
          <w:p>
            <w:pPr>
              <w:pStyle w:val="18"/>
              <w:spacing w:line="400" w:lineRule="exact"/>
              <w:ind w:left="25"/>
              <w:jc w:val="center"/>
              <w:rPr>
                <w:rFonts w:ascii="Times New Roman" w:hAnsi="Times New Roman"/>
              </w:rPr>
            </w:pPr>
            <w:r>
              <w:rPr>
                <w:rFonts w:ascii="Times New Roman" w:hAnsi="Times New Roman"/>
              </w:rPr>
              <w:t>0.05%</w:t>
            </w:r>
          </w:p>
        </w:tc>
        <w:tc>
          <w:tcPr>
            <w:tcW w:w="2160" w:type="dxa"/>
          </w:tcPr>
          <w:p>
            <w:pPr>
              <w:pStyle w:val="18"/>
              <w:spacing w:line="400" w:lineRule="exact"/>
              <w:ind w:left="25"/>
              <w:jc w:val="center"/>
              <w:rPr>
                <w:rFonts w:ascii="Times New Roman" w:hAnsi="Times New Roman"/>
              </w:rPr>
            </w:pPr>
            <w:r>
              <w:rPr>
                <w:rFonts w:ascii="Times New Roman" w:hAnsi="Times New Roman"/>
              </w:rPr>
              <w:t>0.05%</w:t>
            </w:r>
          </w:p>
        </w:tc>
      </w:tr>
    </w:tbl>
    <w:p>
      <w:pPr>
        <w:pStyle w:val="19"/>
        <w:ind w:left="0" w:leftChars="0"/>
      </w:pPr>
    </w:p>
    <w:p>
      <w:pPr>
        <w:pStyle w:val="18"/>
        <w:spacing w:line="400" w:lineRule="exact"/>
        <w:ind w:firstLine="420"/>
        <w:rPr>
          <w:rFonts w:hAnsi="宋体"/>
        </w:rPr>
      </w:pPr>
      <w:bookmarkStart w:id="224" w:name="_Toc206525717"/>
      <w:bookmarkStart w:id="225" w:name="_Toc207770870"/>
      <w:bookmarkStart w:id="226" w:name="_Toc239839898"/>
      <w:bookmarkStart w:id="227" w:name="_Toc230578092"/>
      <w:bookmarkStart w:id="228" w:name="_Toc185702584"/>
      <w:r>
        <w:rPr>
          <w:rFonts w:hint="eastAsia" w:hAnsi="宋体"/>
        </w:rPr>
        <w:t>注：招标代理服务收费按差额定率累进法计算。例如：某服务招标代理业务成交金额为200万元，计算招标代理服务收费额如下：</w:t>
      </w:r>
    </w:p>
    <w:p>
      <w:pPr>
        <w:pStyle w:val="18"/>
        <w:spacing w:line="400" w:lineRule="exact"/>
        <w:ind w:firstLine="420"/>
        <w:rPr>
          <w:rFonts w:hAnsi="宋体"/>
        </w:rPr>
      </w:pPr>
      <w:r>
        <w:rPr>
          <w:rFonts w:hint="eastAsia" w:hAnsi="宋体"/>
        </w:rPr>
        <w:t>100万元×1.5%=1.5万元</w:t>
      </w:r>
    </w:p>
    <w:p>
      <w:pPr>
        <w:pStyle w:val="18"/>
        <w:spacing w:line="400" w:lineRule="exact"/>
        <w:ind w:firstLine="420"/>
        <w:rPr>
          <w:rFonts w:hAnsi="宋体"/>
        </w:rPr>
      </w:pPr>
      <w:r>
        <w:rPr>
          <w:rFonts w:hint="eastAsia" w:hAnsi="宋体"/>
        </w:rPr>
        <w:t>（200-100）万元×0.8%=0.8万元</w:t>
      </w:r>
    </w:p>
    <w:p>
      <w:pPr>
        <w:pStyle w:val="18"/>
        <w:spacing w:line="400" w:lineRule="exact"/>
        <w:ind w:firstLine="420"/>
        <w:rPr>
          <w:rFonts w:hAnsi="宋体"/>
        </w:rPr>
      </w:pPr>
      <w:r>
        <w:rPr>
          <w:rFonts w:hint="eastAsia" w:hAnsi="宋体"/>
        </w:rPr>
        <w:t>合计收费=1.5+0.8=2.3（万元）</w:t>
      </w:r>
    </w:p>
    <w:p>
      <w:pPr>
        <w:pStyle w:val="4"/>
        <w:spacing w:before="0" w:after="0" w:line="400" w:lineRule="exact"/>
        <w:rPr>
          <w:rFonts w:ascii="宋体" w:hAnsi="宋体" w:eastAsia="宋体"/>
          <w:sz w:val="21"/>
          <w:szCs w:val="21"/>
        </w:rPr>
      </w:pPr>
      <w:bookmarkStart w:id="229" w:name="_Toc444006016"/>
      <w:r>
        <w:rPr>
          <w:rFonts w:hint="eastAsia" w:ascii="宋体" w:hAnsi="宋体" w:eastAsia="宋体"/>
          <w:sz w:val="21"/>
          <w:szCs w:val="21"/>
        </w:rPr>
        <w:t>30、解释权</w:t>
      </w:r>
      <w:bookmarkEnd w:id="224"/>
      <w:bookmarkEnd w:id="225"/>
      <w:bookmarkEnd w:id="226"/>
      <w:bookmarkEnd w:id="227"/>
      <w:bookmarkEnd w:id="228"/>
      <w:bookmarkEnd w:id="229"/>
    </w:p>
    <w:p>
      <w:pPr>
        <w:pStyle w:val="18"/>
        <w:spacing w:line="400" w:lineRule="exact"/>
        <w:ind w:firstLine="420"/>
      </w:pPr>
      <w:r>
        <w:rPr>
          <w:rFonts w:hint="eastAsia"/>
        </w:rPr>
        <w:t>30.1本磋商文件是根据国家有关法律、法规以及政府采购管理有关规定和参照国际惯例编制，解释权属本采购代理机构。</w:t>
      </w:r>
    </w:p>
    <w:p>
      <w:pPr>
        <w:pStyle w:val="4"/>
        <w:spacing w:before="0" w:after="0" w:line="400" w:lineRule="exact"/>
        <w:rPr>
          <w:rFonts w:ascii="宋体" w:hAnsi="宋体" w:eastAsia="宋体"/>
          <w:sz w:val="21"/>
          <w:szCs w:val="21"/>
        </w:rPr>
      </w:pPr>
      <w:bookmarkStart w:id="230" w:name="_Toc207770871"/>
      <w:bookmarkStart w:id="231" w:name="_Toc239839899"/>
      <w:bookmarkStart w:id="232" w:name="_Toc230578093"/>
      <w:bookmarkStart w:id="233" w:name="_Toc185702585"/>
      <w:bookmarkStart w:id="234" w:name="_Toc444006017"/>
      <w:bookmarkStart w:id="235" w:name="_Toc206525718"/>
      <w:r>
        <w:rPr>
          <w:rFonts w:hint="eastAsia" w:ascii="宋体" w:hAnsi="宋体" w:eastAsia="宋体"/>
          <w:sz w:val="21"/>
          <w:szCs w:val="21"/>
        </w:rPr>
        <w:t>31、有关事宜</w:t>
      </w:r>
      <w:bookmarkEnd w:id="230"/>
      <w:bookmarkEnd w:id="231"/>
      <w:bookmarkEnd w:id="232"/>
      <w:bookmarkEnd w:id="233"/>
      <w:bookmarkEnd w:id="234"/>
      <w:bookmarkEnd w:id="235"/>
    </w:p>
    <w:p>
      <w:pPr>
        <w:pStyle w:val="18"/>
        <w:spacing w:line="400" w:lineRule="exact"/>
        <w:ind w:firstLine="420"/>
        <w:rPr>
          <w:rFonts w:hAnsi="宋体"/>
        </w:rPr>
      </w:pPr>
      <w:r>
        <w:rPr>
          <w:rFonts w:hint="eastAsia" w:hAnsi="宋体"/>
        </w:rPr>
        <w:t>31.1所有与本磋商文件有关的函电请按下列通讯地址联系：</w:t>
      </w:r>
    </w:p>
    <w:p>
      <w:pPr>
        <w:pStyle w:val="18"/>
        <w:spacing w:line="400" w:lineRule="exact"/>
        <w:ind w:firstLine="840" w:firstLineChars="400"/>
        <w:rPr>
          <w:rFonts w:hAnsi="宋体"/>
          <w:u w:val="single"/>
        </w:rPr>
      </w:pPr>
      <w:r>
        <w:rPr>
          <w:rFonts w:hint="eastAsia" w:hAnsi="宋体"/>
        </w:rPr>
        <w:t>采购代理机构：京延工程咨询有限公司</w:t>
      </w:r>
    </w:p>
    <w:p>
      <w:pPr>
        <w:pStyle w:val="18"/>
        <w:spacing w:line="400" w:lineRule="exact"/>
        <w:ind w:firstLine="840" w:firstLineChars="400"/>
        <w:rPr>
          <w:rFonts w:hAnsi="宋体"/>
        </w:rPr>
      </w:pPr>
      <w:r>
        <w:rPr>
          <w:rFonts w:hint="eastAsia" w:hAnsi="宋体"/>
          <w:bCs/>
        </w:rPr>
        <w:t>本项目业务联系</w:t>
      </w:r>
      <w:r>
        <w:rPr>
          <w:rFonts w:hint="eastAsia" w:hAnsi="宋体"/>
        </w:rPr>
        <w:t>地址：</w:t>
      </w:r>
      <w:r>
        <w:rPr>
          <w:rFonts w:hint="eastAsia" w:ascii="ˎ̥" w:hAnsi="ˎ̥" w:cs="Arial"/>
          <w:kern w:val="0"/>
          <w:szCs w:val="21"/>
        </w:rPr>
        <w:t>蒙山县蒙山镇新公安局开发区协进陶瓷三楼</w:t>
      </w:r>
    </w:p>
    <w:p>
      <w:pPr>
        <w:pStyle w:val="18"/>
        <w:spacing w:line="400" w:lineRule="exact"/>
        <w:ind w:firstLine="840" w:firstLineChars="400"/>
        <w:rPr>
          <w:rFonts w:hAnsi="宋体"/>
        </w:rPr>
      </w:pPr>
      <w:r>
        <w:rPr>
          <w:rFonts w:hint="eastAsia" w:hAnsi="宋体"/>
        </w:rPr>
        <w:t>邮政编码：546700</w:t>
      </w:r>
    </w:p>
    <w:p>
      <w:pPr>
        <w:pStyle w:val="18"/>
        <w:spacing w:line="400" w:lineRule="exact"/>
        <w:ind w:firstLine="840" w:firstLineChars="400"/>
        <w:rPr>
          <w:rFonts w:hAnsi="宋体"/>
        </w:rPr>
      </w:pPr>
      <w:r>
        <w:rPr>
          <w:rFonts w:hint="eastAsia" w:hAnsi="宋体"/>
        </w:rPr>
        <w:t>办公电话： 0774-6287088</w:t>
      </w:r>
    </w:p>
    <w:p>
      <w:pPr>
        <w:pStyle w:val="18"/>
        <w:spacing w:line="400" w:lineRule="exact"/>
        <w:ind w:firstLine="840" w:firstLineChars="400"/>
        <w:rPr>
          <w:rFonts w:hAnsi="宋体"/>
        </w:rPr>
      </w:pPr>
      <w:r>
        <w:rPr>
          <w:rFonts w:hint="eastAsia" w:hAnsi="宋体"/>
        </w:rPr>
        <w:t>联 系 人：刘工</w:t>
      </w:r>
    </w:p>
    <w:p>
      <w:pPr>
        <w:pStyle w:val="18"/>
        <w:spacing w:line="380" w:lineRule="exact"/>
      </w:pPr>
      <w:r>
        <w:rPr>
          <w:rFonts w:hAnsi="宋体"/>
        </w:rPr>
        <w:br w:type="page"/>
      </w:r>
    </w:p>
    <w:p>
      <w:pPr>
        <w:pStyle w:val="3"/>
        <w:numPr>
          <w:ilvl w:val="0"/>
          <w:numId w:val="4"/>
        </w:numPr>
        <w:spacing w:line="560" w:lineRule="exact"/>
        <w:jc w:val="center"/>
        <w:rPr>
          <w:rFonts w:ascii="方正隶书简体" w:hAnsi="宋体" w:eastAsia="方正隶书简体"/>
          <w:bCs/>
          <w:sz w:val="40"/>
          <w:szCs w:val="22"/>
        </w:rPr>
      </w:pPr>
      <w:bookmarkStart w:id="236" w:name="_Toc239839900"/>
      <w:bookmarkEnd w:id="236"/>
      <w:bookmarkStart w:id="237" w:name="_Toc185703008"/>
      <w:bookmarkEnd w:id="237"/>
      <w:bookmarkStart w:id="238" w:name="_Toc147248434"/>
      <w:bookmarkEnd w:id="238"/>
      <w:bookmarkStart w:id="239" w:name="_Toc156106969"/>
      <w:bookmarkEnd w:id="239"/>
      <w:bookmarkStart w:id="240" w:name="_Toc185702586"/>
      <w:bookmarkEnd w:id="240"/>
      <w:bookmarkStart w:id="241" w:name="_Toc444006018"/>
      <w:r>
        <w:rPr>
          <w:rFonts w:hint="eastAsia" w:ascii="方正隶书简体" w:hAnsi="宋体" w:eastAsia="方正隶书简体"/>
          <w:bCs/>
          <w:sz w:val="40"/>
          <w:szCs w:val="22"/>
        </w:rPr>
        <w:t>服务内容及要求</w:t>
      </w:r>
      <w:bookmarkEnd w:id="241"/>
    </w:p>
    <w:p>
      <w:pPr>
        <w:numPr>
          <w:ilvl w:val="0"/>
          <w:numId w:val="5"/>
        </w:numPr>
        <w:spacing w:line="560" w:lineRule="exact"/>
        <w:ind w:firstLine="643" w:firstLineChars="200"/>
        <w:rPr>
          <w:rFonts w:ascii="黑体" w:hAnsi="黑体" w:eastAsia="黑体"/>
          <w:b/>
          <w:bCs/>
          <w:sz w:val="32"/>
          <w:szCs w:val="32"/>
        </w:rPr>
      </w:pPr>
      <w:bookmarkStart w:id="242" w:name="_Toc147248435"/>
      <w:bookmarkStart w:id="243" w:name="_Toc156106970"/>
      <w:bookmarkStart w:id="244" w:name="_Toc185702587"/>
      <w:bookmarkStart w:id="245" w:name="_Toc239839916"/>
      <w:bookmarkStart w:id="246" w:name="_Toc185703009"/>
      <w:bookmarkStart w:id="247" w:name="_Toc444006019"/>
      <w:r>
        <w:rPr>
          <w:rFonts w:hint="eastAsia" w:ascii="黑体" w:hAnsi="黑体" w:eastAsia="黑体"/>
          <w:b/>
          <w:bCs/>
          <w:sz w:val="32"/>
          <w:szCs w:val="32"/>
        </w:rPr>
        <w:t>工作概况</w:t>
      </w:r>
    </w:p>
    <w:p>
      <w:pPr>
        <w:spacing w:line="560" w:lineRule="exact"/>
        <w:ind w:firstLine="640" w:firstLineChars="200"/>
        <w:rPr>
          <w:rFonts w:ascii="黑体" w:hAnsi="黑体" w:eastAsia="黑体" w:cs="黑体"/>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为进一步贯彻落实《广西壮族自治区民政厅、广西壮族自治区机构编制委员会办公室、广西壮族自治区财政厅、广西壮族自治区人力资源和社会保障厅关于积极</w:t>
      </w:r>
      <w:r>
        <w:rPr>
          <w:rFonts w:hint="eastAsia" w:ascii="仿宋" w:hAnsi="仿宋" w:eastAsia="仿宋" w:cs="仿宋"/>
          <w:color w:val="000000" w:themeColor="text1"/>
          <w:sz w:val="32"/>
          <w:szCs w:val="32"/>
          <w:highlight w:val="none"/>
          <w:lang w:eastAsia="zh-CN"/>
          <w14:textFill>
            <w14:solidFill>
              <w14:schemeClr w14:val="tx1"/>
            </w14:solidFill>
          </w14:textFill>
        </w:rPr>
        <w:t>推行政府购买服务加强基层社会救助经办服务能力</w:t>
      </w:r>
      <w:r>
        <w:rPr>
          <w:rFonts w:hint="eastAsia" w:ascii="仿宋" w:hAnsi="仿宋" w:eastAsia="仿宋" w:cs="仿宋"/>
          <w:color w:val="000000" w:themeColor="text1"/>
          <w:sz w:val="32"/>
          <w:szCs w:val="32"/>
          <w:highlight w:val="none"/>
          <w14:textFill>
            <w14:solidFill>
              <w14:schemeClr w14:val="tx1"/>
            </w14:solidFill>
          </w14:textFill>
        </w:rPr>
        <w:t>的实施意见》（桂民规（2018）5号）和《梧州市民政局、中共梧州市委员会机构编制委员会办公室、梧州市财政局、梧州市人力资源和社会保障局关于积极</w:t>
      </w:r>
      <w:r>
        <w:rPr>
          <w:rFonts w:hint="eastAsia" w:ascii="仿宋" w:hAnsi="仿宋" w:eastAsia="仿宋" w:cs="仿宋"/>
          <w:color w:val="000000" w:themeColor="text1"/>
          <w:sz w:val="32"/>
          <w:szCs w:val="32"/>
          <w:highlight w:val="none"/>
          <w:lang w:eastAsia="zh-CN"/>
          <w14:textFill>
            <w14:solidFill>
              <w14:schemeClr w14:val="tx1"/>
            </w14:solidFill>
          </w14:textFill>
        </w:rPr>
        <w:t>推行政府购买服务加强基层社会救助经办服务能力</w:t>
      </w:r>
      <w:r>
        <w:rPr>
          <w:rFonts w:hint="eastAsia" w:ascii="仿宋" w:hAnsi="仿宋" w:eastAsia="仿宋" w:cs="仿宋"/>
          <w:color w:val="000000" w:themeColor="text1"/>
          <w:sz w:val="32"/>
          <w:szCs w:val="32"/>
          <w:highlight w:val="none"/>
          <w14:textFill>
            <w14:solidFill>
              <w14:schemeClr w14:val="tx1"/>
            </w14:solidFill>
          </w14:textFill>
        </w:rPr>
        <w:t>的实施办法》[梧民发（2019）10号]。</w:t>
      </w:r>
      <w:r>
        <w:rPr>
          <w:rFonts w:hint="eastAsia" w:ascii="仿宋" w:hAnsi="仿宋" w:eastAsia="仿宋" w:cs="仿宋"/>
          <w:color w:val="000000" w:themeColor="text1"/>
          <w:sz w:val="32"/>
          <w:szCs w:val="32"/>
          <w:highlight w:val="none"/>
          <w:lang w:val="en-US" w:eastAsia="zh-CN"/>
          <w14:textFill>
            <w14:solidFill>
              <w14:schemeClr w14:val="tx1"/>
            </w14:solidFill>
          </w14:textFill>
        </w:rPr>
        <w:t>蒙山县</w:t>
      </w:r>
      <w:r>
        <w:rPr>
          <w:rFonts w:hint="eastAsia" w:ascii="仿宋" w:hAnsi="仿宋" w:eastAsia="仿宋" w:cs="仿宋"/>
          <w:color w:val="000000" w:themeColor="text1"/>
          <w:sz w:val="32"/>
          <w:szCs w:val="32"/>
          <w:highlight w:val="none"/>
          <w14:textFill>
            <w14:solidFill>
              <w14:schemeClr w14:val="tx1"/>
            </w14:solidFill>
          </w14:textFill>
        </w:rPr>
        <w:t>民政局拟创新工作方式解决现有社会救助工作人员力量不足，委托第三方机构派遣工作人员到</w:t>
      </w:r>
      <w:r>
        <w:rPr>
          <w:rFonts w:hint="eastAsia" w:ascii="仿宋" w:hAnsi="仿宋" w:eastAsia="仿宋" w:cs="仿宋"/>
          <w:color w:val="000000" w:themeColor="text1"/>
          <w:sz w:val="32"/>
          <w:szCs w:val="32"/>
          <w:highlight w:val="none"/>
          <w:lang w:val="en-US" w:eastAsia="zh-CN"/>
          <w14:textFill>
            <w14:solidFill>
              <w14:schemeClr w14:val="tx1"/>
            </w14:solidFill>
          </w14:textFill>
        </w:rPr>
        <w:t>县</w:t>
      </w:r>
      <w:r>
        <w:rPr>
          <w:rFonts w:hint="eastAsia" w:ascii="仿宋" w:hAnsi="仿宋" w:eastAsia="仿宋" w:cs="仿宋"/>
          <w:color w:val="000000" w:themeColor="text1"/>
          <w:sz w:val="32"/>
          <w:szCs w:val="32"/>
          <w:highlight w:val="none"/>
          <w14:textFill>
            <w14:solidFill>
              <w14:schemeClr w14:val="tx1"/>
            </w14:solidFill>
          </w14:textFill>
        </w:rPr>
        <w:t>民政局对城乡在享及新增城乡低保、特困供养家庭、申请临时生活救助对象进行入户核查工作。</w:t>
      </w:r>
    </w:p>
    <w:p>
      <w:pPr>
        <w:spacing w:line="560" w:lineRule="exact"/>
        <w:ind w:firstLine="643" w:firstLineChars="200"/>
        <w:rPr>
          <w:rFonts w:ascii="仿宋" w:hAnsi="仿宋" w:eastAsia="仿宋"/>
          <w:b/>
          <w:sz w:val="32"/>
          <w:szCs w:val="32"/>
        </w:rPr>
      </w:pPr>
      <w:r>
        <w:rPr>
          <w:rFonts w:hint="eastAsia" w:ascii="黑体" w:hAnsi="黑体" w:eastAsia="黑体" w:cs="黑体"/>
          <w:b/>
          <w:sz w:val="32"/>
          <w:szCs w:val="32"/>
        </w:rPr>
        <w:t>二、核查对象</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1.当年新增城乡低保对象、城乡特困人员供养对象及临时对象；</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2.在享城乡低保对象、城乡特困人员供养对象；</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3.自治区、梧州市及蒙山县相关部门提供的预警对象；</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4.享受民政社会救助待遇的人户分离家庭和人口；</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5.退出民政救助政策保障待遇后出现争议的原享受对象；</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6.因民政政策调整，规定应享受其他救助政策待遇的家庭或人口。</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三、核查范围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本次项目核查范围为蒙山县6个镇、1个乡、2个民族乡：蒙山镇、西河镇、新圩镇、文圩镇、黄村镇、陈塘镇、汉豪乡、长</w:t>
      </w:r>
      <w:r>
        <w:rPr>
          <w:rFonts w:hint="eastAsia" w:ascii="仿宋" w:hAnsi="仿宋" w:eastAsia="仿宋"/>
          <w:sz w:val="32"/>
          <w:szCs w:val="32"/>
          <w:lang w:val="en-US" w:eastAsia="zh-CN"/>
        </w:rPr>
        <w:t>坪</w:t>
      </w:r>
      <w:r>
        <w:rPr>
          <w:rFonts w:hint="eastAsia" w:ascii="仿宋" w:hAnsi="仿宋" w:eastAsia="仿宋"/>
          <w:sz w:val="32"/>
          <w:szCs w:val="32"/>
        </w:rPr>
        <w:t>瑶族乡、夏宜瑶族乡。</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四、核查时间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签订合同之日起两年内开展相关核查工作，具体的时间计划安排按照实际要求执行。</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五、核查内容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1.共同生活家庭成员评估认定，根据“按户施保”结合“按人施保”的原则，对低保申请对象共同生活家庭成员进行户籍认定，申请救助家庭成员依据户口簿、居民身份证、居住证、结婚证进行核定。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2.家庭收入评估认定，核查申请人及其共同生活的家庭成员在规定期限内的全部货币及实物收入，在扣除家庭经营费用、生产性固定资产折旧、个人所得税和社会保障支出后的总和。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3.家庭财产评估认定，核查共同生活的家庭成员拥有的家庭财产，指全部货币财产和实物财产。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4.刚性支出评估认定，核查低保申请人及其共同生活的家庭成员的刚性支出。</w:t>
      </w:r>
    </w:p>
    <w:p>
      <w:pPr>
        <w:spacing w:line="560" w:lineRule="exact"/>
        <w:ind w:firstLine="640" w:firstLineChars="200"/>
        <w:rPr>
          <w:rFonts w:ascii="黑体" w:hAnsi="黑体" w:eastAsia="黑体" w:cs="黑体"/>
          <w:b/>
          <w:sz w:val="32"/>
          <w:szCs w:val="32"/>
        </w:rPr>
      </w:pPr>
      <w:r>
        <w:rPr>
          <w:rFonts w:hint="eastAsia" w:ascii="仿宋" w:hAnsi="仿宋" w:eastAsia="仿宋"/>
          <w:sz w:val="32"/>
          <w:szCs w:val="32"/>
        </w:rPr>
        <w:t>5.“一票否决”项评估认定，核查低保申请对象是否存在《广西壮族自治区最低生活保障审核认定操作规程》所规定的“一票否决”规定的情形。</w:t>
      </w:r>
    </w:p>
    <w:p>
      <w:pPr>
        <w:spacing w:line="560" w:lineRule="exact"/>
        <w:ind w:firstLine="643" w:firstLineChars="200"/>
        <w:rPr>
          <w:rFonts w:ascii="黑体" w:hAnsi="黑体" w:eastAsia="黑体" w:cs="黑体"/>
          <w:b/>
          <w:sz w:val="32"/>
          <w:szCs w:val="32"/>
        </w:rPr>
      </w:pPr>
      <w:r>
        <w:rPr>
          <w:rFonts w:hint="eastAsia" w:ascii="黑体" w:hAnsi="黑体" w:eastAsia="黑体" w:cs="黑体"/>
          <w:b/>
          <w:sz w:val="32"/>
          <w:szCs w:val="32"/>
        </w:rPr>
        <w:t>六、核查方式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1.入户核查。根据民政局提供的城乡低保家庭</w:t>
      </w:r>
      <w:r>
        <w:rPr>
          <w:rFonts w:hint="eastAsia" w:ascii="仿宋" w:hAnsi="仿宋" w:eastAsia="仿宋"/>
          <w:sz w:val="32"/>
          <w:szCs w:val="32"/>
          <w:highlight w:val="none"/>
          <w:lang w:val="en-US" w:eastAsia="zh-CN"/>
        </w:rPr>
        <w:t>和特困人员、临时救助</w:t>
      </w:r>
      <w:r>
        <w:rPr>
          <w:rFonts w:hint="eastAsia" w:ascii="仿宋" w:hAnsi="仿宋" w:eastAsia="仿宋"/>
          <w:sz w:val="32"/>
          <w:szCs w:val="32"/>
          <w:highlight w:val="none"/>
        </w:rPr>
        <w:t>名单，由项目承接机构选派专业核查人员，以两人为一</w:t>
      </w:r>
      <w:r>
        <w:rPr>
          <w:rFonts w:hint="eastAsia" w:ascii="仿宋" w:hAnsi="仿宋" w:eastAsia="仿宋"/>
          <w:sz w:val="32"/>
          <w:szCs w:val="32"/>
        </w:rPr>
        <w:t>组，对被核查家庭户进行上门入户核查。通过“问、看、查、记、算”，收集被核查家庭户人口、收入、财产和实际生活状况的信息数据。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2.邻里访问，核查人员到被核查家庭户所在村（社区）委员会，走访了解被核查家庭户收入、财产和实际生活状况，听取并记录群众对被核查家庭户享受社会救助待遇的意见反馈。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3.基础数据采集及电子档案采集。自</w:t>
      </w:r>
      <w:r>
        <w:rPr>
          <w:rFonts w:hint="eastAsia" w:ascii="仿宋" w:hAnsi="仿宋" w:eastAsia="仿宋"/>
          <w:sz w:val="32"/>
          <w:szCs w:val="32"/>
          <w:lang w:val="en-US" w:eastAsia="zh-CN"/>
        </w:rPr>
        <w:t>备</w:t>
      </w:r>
      <w:r>
        <w:rPr>
          <w:rFonts w:hint="eastAsia" w:ascii="仿宋" w:hAnsi="仿宋" w:eastAsia="仿宋"/>
          <w:sz w:val="32"/>
          <w:szCs w:val="32"/>
        </w:rPr>
        <w:t>入户核查设备及相关软件 ，实现社会救助对象入户基本信息及电子档案信息采集（社会救助对象家庭地理信息经纬度、图片、视频、文字等数据）并上报自治区社会救助信息系统。针对基层工作人员流动大问题，提供不定期的</w:t>
      </w:r>
      <w:r>
        <w:rPr>
          <w:rFonts w:hint="eastAsia" w:ascii="仿宋" w:hAnsi="仿宋" w:eastAsia="仿宋"/>
          <w:sz w:val="32"/>
          <w:szCs w:val="32"/>
          <w:lang w:val="en-US" w:eastAsia="zh-CN"/>
        </w:rPr>
        <w:t>乡</w:t>
      </w:r>
      <w:r>
        <w:rPr>
          <w:rFonts w:hint="eastAsia" w:ascii="仿宋" w:hAnsi="仿宋" w:eastAsia="仿宋"/>
          <w:sz w:val="32"/>
          <w:szCs w:val="32"/>
        </w:rPr>
        <w:t>镇民政办的社会救助信息系统使用培训服务，确保收集信息的完整性。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4.信函索证。核查人员在民政部门的配合下以信函的方式向相关单位和部门索取有关作证材料。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5.其他调查方式。根据调查工作的需要，民政局认为应当采取的其他调查方式。</w:t>
      </w:r>
    </w:p>
    <w:p>
      <w:pPr>
        <w:spacing w:line="560" w:lineRule="exact"/>
        <w:ind w:firstLine="643" w:firstLineChars="200"/>
        <w:rPr>
          <w:rFonts w:ascii="黑体" w:hAnsi="黑体" w:eastAsia="黑体" w:cs="黑体"/>
          <w:b/>
          <w:bCs/>
          <w:sz w:val="32"/>
          <w:szCs w:val="32"/>
        </w:rPr>
      </w:pP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七、服务指标</w:t>
      </w:r>
    </w:p>
    <w:p>
      <w:pPr>
        <w:spacing w:line="560" w:lineRule="exact"/>
        <w:ind w:firstLine="640" w:firstLineChars="200"/>
        <w:rPr>
          <w:rFonts w:ascii="黑体" w:hAnsi="黑体" w:eastAsia="黑体" w:cs="黑体"/>
          <w:b/>
          <w:bCs/>
          <w:sz w:val="32"/>
          <w:szCs w:val="32"/>
        </w:rPr>
      </w:pPr>
      <w:r>
        <w:rPr>
          <w:rFonts w:hint="eastAsia" w:ascii="仿宋" w:hAnsi="仿宋" w:eastAsia="仿宋"/>
          <w:sz w:val="32"/>
          <w:szCs w:val="32"/>
        </w:rPr>
        <w:t>依据民政局提供的名单（每年约</w:t>
      </w:r>
      <w:r>
        <w:rPr>
          <w:rFonts w:hint="eastAsia" w:ascii="仿宋" w:hAnsi="仿宋" w:eastAsia="仿宋"/>
          <w:sz w:val="32"/>
          <w:szCs w:val="32"/>
          <w:highlight w:val="none"/>
        </w:rPr>
        <w:t>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00-</w:t>
      </w:r>
      <w:r>
        <w:rPr>
          <w:rFonts w:hint="eastAsia" w:ascii="仿宋" w:hAnsi="仿宋" w:eastAsia="仿宋"/>
          <w:sz w:val="32"/>
          <w:szCs w:val="32"/>
          <w:highlight w:val="none"/>
          <w:lang w:val="en-US" w:eastAsia="zh-CN"/>
        </w:rPr>
        <w:t>30</w:t>
      </w:r>
      <w:r>
        <w:rPr>
          <w:rFonts w:hint="eastAsia" w:ascii="仿宋" w:hAnsi="仿宋" w:eastAsia="仿宋"/>
          <w:sz w:val="32"/>
          <w:szCs w:val="32"/>
          <w:highlight w:val="none"/>
        </w:rPr>
        <w:t>00户）</w:t>
      </w:r>
      <w:r>
        <w:rPr>
          <w:rFonts w:hint="eastAsia" w:ascii="仿宋" w:hAnsi="仿宋" w:eastAsia="仿宋"/>
          <w:sz w:val="32"/>
          <w:szCs w:val="32"/>
        </w:rPr>
        <w:t>进行100%的入户核查，并做好相关核查工作记录。</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八、服务内容</w:t>
      </w:r>
    </w:p>
    <w:p>
      <w:pPr>
        <w:spacing w:line="560" w:lineRule="exact"/>
        <w:ind w:firstLine="643" w:firstLineChars="200"/>
        <w:rPr>
          <w:rFonts w:ascii="楷体" w:hAnsi="楷体" w:eastAsia="楷体" w:cs="楷体"/>
          <w:b/>
          <w:sz w:val="32"/>
          <w:szCs w:val="32"/>
        </w:rPr>
      </w:pPr>
      <w:r>
        <w:rPr>
          <w:rFonts w:hint="eastAsia" w:ascii="楷体" w:hAnsi="楷体" w:eastAsia="楷体" w:cs="楷体"/>
          <w:b/>
          <w:sz w:val="32"/>
          <w:szCs w:val="32"/>
        </w:rPr>
        <w:t>（一）开展特困人员生活自理能力抽查及人文关怀等服务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依托辖区内的社工站资源，与社工合作开展特困人员生活自理能力抽查及人文关怀等服务。抽查</w:t>
      </w:r>
      <w:r>
        <w:rPr>
          <w:rFonts w:hint="eastAsia" w:ascii="仿宋" w:hAnsi="仿宋" w:eastAsia="仿宋"/>
          <w:sz w:val="32"/>
          <w:szCs w:val="32"/>
          <w:lang w:val="en-US" w:eastAsia="zh-CN"/>
        </w:rPr>
        <w:t>乡</w:t>
      </w:r>
      <w:r>
        <w:rPr>
          <w:rFonts w:hint="eastAsia" w:ascii="仿宋" w:hAnsi="仿宋" w:eastAsia="仿宋"/>
          <w:sz w:val="32"/>
          <w:szCs w:val="32"/>
        </w:rPr>
        <w:t>镇人民政府对特困人员的生活自理能力评估鉴定结果是否准确；了解特困人员的基本生活情况，针对存在明显困境以及特殊需求的人员提供持续性的服务。</w:t>
      </w:r>
    </w:p>
    <w:p>
      <w:pPr>
        <w:spacing w:line="560" w:lineRule="exact"/>
        <w:ind w:firstLine="643" w:firstLineChars="200"/>
        <w:rPr>
          <w:rFonts w:ascii="楷体" w:hAnsi="楷体" w:eastAsia="楷体" w:cs="楷体"/>
          <w:b/>
          <w:sz w:val="32"/>
          <w:szCs w:val="32"/>
        </w:rPr>
      </w:pPr>
      <w:r>
        <w:rPr>
          <w:rFonts w:hint="eastAsia" w:ascii="楷体" w:hAnsi="楷体" w:eastAsia="楷体" w:cs="楷体"/>
          <w:b/>
          <w:sz w:val="32"/>
          <w:szCs w:val="32"/>
        </w:rPr>
        <w:t>（二）开展社会救助政策宣传活动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依托乡镇、村（社区）等资源，面向村（社区）居民定期开展社会救助政策宣传活动，重点帮助村（社区）居民了解目前国家在社会救助和脱贫攻坚方面的有关政策，鼓励、协助村（社区）居民结合自身实际将政策利用好，充分行使获得救助的权利，不断改善生活条件，政策宣传活动全年不少于9场，覆盖全县9个乡镇。</w:t>
      </w:r>
    </w:p>
    <w:p>
      <w:pPr>
        <w:spacing w:line="560" w:lineRule="exact"/>
        <w:ind w:firstLine="643" w:firstLineChars="200"/>
        <w:rPr>
          <w:rFonts w:ascii="楷体" w:hAnsi="楷体" w:eastAsia="楷体" w:cs="楷体"/>
          <w:b/>
          <w:sz w:val="32"/>
          <w:szCs w:val="32"/>
        </w:rPr>
      </w:pPr>
      <w:r>
        <w:rPr>
          <w:rFonts w:hint="eastAsia" w:ascii="楷体" w:hAnsi="楷体" w:eastAsia="楷体" w:cs="楷体"/>
          <w:b/>
          <w:sz w:val="32"/>
          <w:szCs w:val="32"/>
        </w:rPr>
        <w:t>（三）开展社会救助业务培训会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给乡镇基层工作人员开展有关社会救助政策、服务对象风险评估、上报、跟进等业务知识培训，提升基层工作人员的业务能力。每个乡镇1场/年。</w:t>
      </w:r>
    </w:p>
    <w:p>
      <w:pPr>
        <w:spacing w:line="560" w:lineRule="exact"/>
        <w:ind w:firstLine="643" w:firstLineChars="200"/>
        <w:rPr>
          <w:rFonts w:ascii="楷体" w:hAnsi="楷体" w:eastAsia="楷体" w:cs="楷体"/>
          <w:b/>
          <w:sz w:val="32"/>
          <w:szCs w:val="32"/>
        </w:rPr>
      </w:pPr>
      <w:r>
        <w:rPr>
          <w:rFonts w:hint="eastAsia" w:ascii="楷体" w:hAnsi="楷体" w:eastAsia="楷体" w:cs="楷体"/>
          <w:b/>
          <w:sz w:val="32"/>
          <w:szCs w:val="32"/>
        </w:rPr>
        <w:t>（四）开展社会救助系统信息维护</w:t>
      </w:r>
    </w:p>
    <w:p>
      <w:pPr>
        <w:spacing w:line="560" w:lineRule="exact"/>
        <w:ind w:firstLine="640" w:firstLineChars="200"/>
        <w:rPr>
          <w:rFonts w:ascii="仿宋" w:hAnsi="仿宋" w:eastAsia="仿宋"/>
          <w:sz w:val="32"/>
          <w:szCs w:val="32"/>
        </w:rPr>
      </w:pPr>
      <w:r>
        <w:rPr>
          <w:rFonts w:ascii="仿宋" w:hAnsi="仿宋" w:eastAsia="仿宋"/>
          <w:sz w:val="32"/>
          <w:szCs w:val="32"/>
        </w:rPr>
        <w:t>对在社会救助系统中救助对象</w:t>
      </w:r>
      <w:r>
        <w:rPr>
          <w:rFonts w:hint="eastAsia" w:ascii="仿宋" w:hAnsi="仿宋" w:eastAsia="仿宋"/>
          <w:sz w:val="32"/>
          <w:szCs w:val="32"/>
        </w:rPr>
        <w:t>根据</w:t>
      </w:r>
      <w:r>
        <w:rPr>
          <w:rFonts w:ascii="仿宋" w:hAnsi="仿宋" w:eastAsia="仿宋"/>
          <w:sz w:val="32"/>
          <w:szCs w:val="32"/>
        </w:rPr>
        <w:t>工作需要</w:t>
      </w:r>
      <w:r>
        <w:rPr>
          <w:rFonts w:hint="eastAsia" w:ascii="仿宋" w:hAnsi="仿宋" w:eastAsia="仿宋"/>
          <w:sz w:val="32"/>
          <w:szCs w:val="32"/>
        </w:rPr>
        <w:t>，</w:t>
      </w:r>
      <w:r>
        <w:rPr>
          <w:rFonts w:ascii="仿宋" w:hAnsi="仿宋" w:eastAsia="仿宋"/>
          <w:sz w:val="32"/>
          <w:szCs w:val="32"/>
        </w:rPr>
        <w:t>完善救助对象信息</w:t>
      </w:r>
      <w:r>
        <w:rPr>
          <w:rFonts w:hint="eastAsia" w:ascii="仿宋" w:hAnsi="仿宋" w:eastAsia="仿宋"/>
          <w:sz w:val="32"/>
          <w:szCs w:val="32"/>
        </w:rPr>
        <w:t>及核对。</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九、人员要求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项目需配备一名持证社工（初级/中级）承担项目主管工作，同时配备至少</w:t>
      </w:r>
      <w:r>
        <w:rPr>
          <w:rFonts w:hint="eastAsia" w:ascii="仿宋" w:hAnsi="仿宋" w:eastAsia="仿宋"/>
          <w:sz w:val="32"/>
          <w:szCs w:val="32"/>
          <w:lang w:val="en-US" w:eastAsia="zh-CN"/>
        </w:rPr>
        <w:t>6</w:t>
      </w:r>
      <w:r>
        <w:rPr>
          <w:rFonts w:hint="eastAsia" w:ascii="仿宋" w:hAnsi="仿宋" w:eastAsia="仿宋"/>
          <w:sz w:val="32"/>
          <w:szCs w:val="32"/>
        </w:rPr>
        <w:t>名工作人员开展该项工作。工作人员一般以中青年为主，男女不限，具有大专及以上学历，专业不限，具有社会工作专业资质人员优先，同等条件下本地户籍人员优先。</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十、工作原则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客观公正，实事求是。实施梧州市蒙山县最低生活保障家庭经济状况第三方核查评估工作要坚持实事求是的原则，做到公平、公正、公开。项目成员要严格按照核查要求开展相关工作，自觉接受监督。核查人员不得弄虚作假，利用职务谋取私利或侵害群众的合法权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合理准确，严格保密，通过科学严谨的实地核查工作，合理准确的反应我区最低生活保障家庭经济状况，通过及时整理核查结果并反馈给相关部门，相关部门根据核查结果采取改进措施，第三方核查人员需要严格保证核查对象相关资料的准确性和保密性。</w:t>
      </w: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十一、具体开展及相关验收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蒙山县民政局对核查工作实行全程跟踪和监督，第三方核查机构自开展入户核查工作起，每7个工作日向城区民政局反馈入户核查情况以及遇到的问题和困难，以便更好的掌握核查进度情况。同时由核查对象对核查工作进行监督评价，杜绝核查人员发生违规违纪现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开展社会救助对象家庭情况核查和镇、村(社区)社会救助工作核查，整理核查材料和工作记录，形成核查报告交民政部门。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民政部门在收到第三方核查机构递交的核查报告后，在双方商议的工作日内组织人员通过复核材料和抽取样本入户复核方式，对核查结果进行验收，形成验收报告;双方召开验收工作会，对核查结果、验收结果以及社会救助工作中存在的问题交换意见，民政部门向第三方调查机构反馈验收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蒙山县民政局委托第三方机构对在享城乡低保、特困供养家庭进行入户核查成果》电子版1份，纸质版10份。</w:t>
      </w:r>
    </w:p>
    <w:p>
      <w:pPr>
        <w:tabs>
          <w:tab w:val="left" w:pos="312"/>
        </w:tabs>
        <w:spacing w:line="560" w:lineRule="exact"/>
        <w:ind w:firstLine="643" w:firstLineChars="200"/>
        <w:rPr>
          <w:rFonts w:ascii="仿宋" w:hAnsi="仿宋" w:eastAsia="仿宋"/>
          <w:sz w:val="32"/>
          <w:szCs w:val="32"/>
        </w:rPr>
      </w:pPr>
      <w:r>
        <w:rPr>
          <w:rFonts w:hint="eastAsia" w:ascii="黑体" w:hAnsi="黑体" w:eastAsia="黑体" w:cs="黑体"/>
          <w:b/>
          <w:bCs/>
          <w:sz w:val="32"/>
          <w:szCs w:val="32"/>
        </w:rPr>
        <w:t>十二、商务及其他要求</w:t>
      </w:r>
    </w:p>
    <w:p>
      <w:pPr>
        <w:tabs>
          <w:tab w:val="left" w:pos="312"/>
        </w:tabs>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投标</w:t>
      </w:r>
      <w:r>
        <w:rPr>
          <w:rFonts w:hint="eastAsia" w:ascii="仿宋" w:hAnsi="仿宋" w:eastAsia="仿宋"/>
          <w:sz w:val="32"/>
          <w:szCs w:val="32"/>
        </w:rPr>
        <w:t>服务商</w:t>
      </w:r>
      <w:r>
        <w:rPr>
          <w:rFonts w:ascii="仿宋" w:hAnsi="仿宋" w:eastAsia="仿宋"/>
          <w:sz w:val="32"/>
          <w:szCs w:val="32"/>
        </w:rPr>
        <w:t>指定地点的现场交货价，包括:完成项目采购需求所列内容的服务费，包括但不限于调查费、资料费、培训费、技术支持、售后服务费、住宿、办公、通讯以及交通等办公生活相关费用、合理的利润、必要的保险费用和各项税费等，竞标</w:t>
      </w:r>
      <w:r>
        <w:rPr>
          <w:rFonts w:hint="eastAsia" w:ascii="仿宋" w:hAnsi="仿宋" w:eastAsia="仿宋"/>
          <w:sz w:val="32"/>
          <w:szCs w:val="32"/>
        </w:rPr>
        <w:t>服务商</w:t>
      </w:r>
      <w:r>
        <w:rPr>
          <w:rFonts w:ascii="仿宋" w:hAnsi="仿宋" w:eastAsia="仿宋"/>
          <w:sz w:val="32"/>
          <w:szCs w:val="32"/>
        </w:rPr>
        <w:t>自行考虑完成项目所需的人力、物力等，竟标报价中应包含全部内容，中标后采购人不再另行支付额外费用。除合同价外，采购人不再支付任何费用。</w:t>
      </w:r>
    </w:p>
    <w:p>
      <w:pPr>
        <w:tabs>
          <w:tab w:val="left" w:pos="312"/>
        </w:tabs>
        <w:spacing w:line="560" w:lineRule="exact"/>
        <w:ind w:firstLine="640" w:firstLineChars="200"/>
        <w:rPr>
          <w:rFonts w:ascii="仿宋" w:hAnsi="仿宋" w:eastAsia="仿宋"/>
          <w:sz w:val="32"/>
          <w:szCs w:val="32"/>
        </w:rPr>
      </w:pPr>
      <w:r>
        <w:rPr>
          <w:rFonts w:hint="eastAsia" w:ascii="仿宋" w:hAnsi="仿宋" w:eastAsia="仿宋"/>
          <w:sz w:val="32"/>
          <w:szCs w:val="32"/>
        </w:rPr>
        <w:t>2.服务商</w:t>
      </w:r>
      <w:r>
        <w:rPr>
          <w:rFonts w:ascii="仿宋" w:hAnsi="仿宋" w:eastAsia="仿宋"/>
          <w:sz w:val="32"/>
          <w:szCs w:val="32"/>
        </w:rPr>
        <w:t>于响应文件中必须提供针对本项目的项目实施方案(根据项目需求自行编写。对应本表具体要求及标准、拟投入本项目的团队人员等)，否则， 响应文件按无效处理。</w:t>
      </w:r>
    </w:p>
    <w:p>
      <w:pPr>
        <w:tabs>
          <w:tab w:val="left" w:pos="312"/>
        </w:tabs>
        <w:spacing w:line="560" w:lineRule="exact"/>
        <w:ind w:firstLine="640" w:firstLineChars="200"/>
        <w:rPr>
          <w:rFonts w:ascii="仿宋" w:hAnsi="仿宋" w:eastAsia="仿宋"/>
          <w:sz w:val="32"/>
          <w:szCs w:val="32"/>
        </w:rPr>
      </w:pPr>
      <w:r>
        <w:rPr>
          <w:rFonts w:hint="eastAsia" w:ascii="仿宋" w:hAnsi="仿宋" w:eastAsia="仿宋"/>
          <w:sz w:val="32"/>
          <w:szCs w:val="32"/>
        </w:rPr>
        <w:t>3.服务商</w:t>
      </w:r>
      <w:r>
        <w:rPr>
          <w:rFonts w:ascii="仿宋" w:hAnsi="仿宋" w:eastAsia="仿宋"/>
          <w:sz w:val="32"/>
          <w:szCs w:val="32"/>
        </w:rPr>
        <w:t>于响应文件中必须提供针对本项目的服务方案、承诺书(根据项目需求自行编写。包括服务期限及项目实施地点、服务质量承诺、服务措施等)，否则，响应文件按无效处理。</w:t>
      </w:r>
    </w:p>
    <w:p>
      <w:pPr>
        <w:tabs>
          <w:tab w:val="left" w:pos="312"/>
        </w:tabs>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支付方式:支付方式:按年度付款，第一年支付中标价50%，第二年支付中标价50%。</w:t>
      </w:r>
    </w:p>
    <w:p>
      <w:pPr>
        <w:tabs>
          <w:tab w:val="left" w:pos="312"/>
        </w:tabs>
        <w:spacing w:line="560" w:lineRule="exact"/>
        <w:ind w:firstLine="640" w:firstLineChars="200"/>
        <w:rPr>
          <w:rFonts w:ascii="仿宋" w:hAnsi="仿宋" w:eastAsia="仿宋"/>
          <w:sz w:val="32"/>
          <w:szCs w:val="32"/>
        </w:rPr>
      </w:pPr>
      <w:r>
        <w:rPr>
          <w:rFonts w:ascii="仿宋" w:hAnsi="仿宋" w:eastAsia="仿宋"/>
          <w:sz w:val="32"/>
          <w:szCs w:val="32"/>
        </w:rPr>
        <w:t>第一年:合同签订井且服务单位进场10个工作日内，采购人向中标人支付中标价合同第一年度总额的40%，项目开展超过60%后采购人向中标人支付中标价合同第一年度总额的50%，项目全</w:t>
      </w:r>
      <w:r>
        <w:rPr>
          <w:rFonts w:hint="eastAsia" w:ascii="仿宋" w:hAnsi="仿宋" w:eastAsia="仿宋"/>
          <w:sz w:val="32"/>
          <w:szCs w:val="32"/>
        </w:rPr>
        <w:t>台</w:t>
      </w:r>
      <w:r>
        <w:rPr>
          <w:rFonts w:ascii="仿宋" w:hAnsi="仿宋" w:eastAsia="仿宋"/>
          <w:sz w:val="32"/>
          <w:szCs w:val="32"/>
        </w:rPr>
        <w:t>结束10个工作日内，由中标人组织专家评审、采购人实施验收，经验收达到合格，双方签字确认，采购人于10个工作日内向中标人支付中标价合同第一年 度总额的10%，第二年付款方式同第一年进度付款方式一致。</w:t>
      </w:r>
    </w:p>
    <w:p>
      <w:pPr>
        <w:tabs>
          <w:tab w:val="left" w:pos="312"/>
        </w:tabs>
        <w:spacing w:line="560" w:lineRule="exact"/>
        <w:ind w:firstLine="640" w:firstLineChars="200"/>
        <w:rPr>
          <w:rFonts w:ascii="仿宋" w:hAnsi="仿宋" w:eastAsia="仿宋"/>
          <w:sz w:val="32"/>
          <w:szCs w:val="32"/>
        </w:rPr>
      </w:pPr>
      <w:r>
        <w:rPr>
          <w:rFonts w:hint="eastAsia" w:ascii="仿宋" w:hAnsi="仿宋" w:eastAsia="仿宋"/>
          <w:sz w:val="32"/>
          <w:szCs w:val="32"/>
        </w:rPr>
        <w:t>2、乙方收到付款后10个工作日内向甲方开具发票。</w:t>
      </w:r>
    </w:p>
    <w:p>
      <w:pPr>
        <w:tabs>
          <w:tab w:val="left" w:pos="312"/>
        </w:tabs>
        <w:spacing w:line="560" w:lineRule="exact"/>
        <w:ind w:firstLine="640" w:firstLineChars="200"/>
      </w:pPr>
      <w:r>
        <w:rPr>
          <w:rFonts w:hint="eastAsia" w:ascii="仿宋" w:hAnsi="仿宋" w:eastAsia="仿宋"/>
          <w:sz w:val="32"/>
          <w:szCs w:val="32"/>
        </w:rPr>
        <w:t>3、若乙方中期、末期评估不合格，甲方有权停止拨付经费，并要求乙方限期整改，整改合格的可继续拨付经费，整改不合格的，甲方可单方面解除合同</w:t>
      </w:r>
      <w:r>
        <w:rPr>
          <w:rFonts w:hint="eastAsia" w:ascii="宋体" w:hAnsi="宋体" w:cs="宋体"/>
          <w:szCs w:val="21"/>
        </w:rPr>
        <w:t>。</w:t>
      </w:r>
    </w:p>
    <w:p>
      <w:pPr>
        <w:tabs>
          <w:tab w:val="left" w:pos="312"/>
        </w:tabs>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其他要求</w:t>
      </w:r>
    </w:p>
    <w:p>
      <w:pPr>
        <w:tabs>
          <w:tab w:val="left" w:pos="312"/>
        </w:tabs>
        <w:spacing w:line="500" w:lineRule="exact"/>
        <w:ind w:firstLine="640" w:firstLineChars="200"/>
        <w:rPr>
          <w:rFonts w:ascii="仿宋" w:hAnsi="仿宋" w:eastAsia="仿宋"/>
          <w:sz w:val="32"/>
          <w:szCs w:val="32"/>
        </w:rPr>
      </w:pPr>
      <w:r>
        <w:rPr>
          <w:rFonts w:hint="eastAsia" w:ascii="仿宋" w:hAnsi="仿宋" w:eastAsia="仿宋"/>
          <w:sz w:val="32"/>
          <w:szCs w:val="32"/>
        </w:rPr>
        <w:t>（1）服务商</w:t>
      </w:r>
      <w:r>
        <w:rPr>
          <w:rFonts w:ascii="仿宋" w:hAnsi="仿宋" w:eastAsia="仿宋"/>
          <w:sz w:val="32"/>
          <w:szCs w:val="32"/>
        </w:rPr>
        <w:t>必须根据项目要求，在响应文件中提出本项目工作具体实施方案。</w:t>
      </w:r>
    </w:p>
    <w:p>
      <w:pPr>
        <w:tabs>
          <w:tab w:val="left" w:pos="312"/>
        </w:tabs>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项目成果提交形式:纸质和电子两种形式。</w:t>
      </w:r>
    </w:p>
    <w:p>
      <w:pPr>
        <w:tabs>
          <w:tab w:val="left" w:pos="312"/>
        </w:tabs>
        <w:spacing w:line="5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处理问题响应时间:调查实施阶段采购人发现问题或有调查沟通时，在接到采购人通知后2小时内到达采购人指定现场。</w:t>
      </w:r>
    </w:p>
    <w:p>
      <w:pPr>
        <w:tabs>
          <w:tab w:val="left" w:pos="312"/>
        </w:tabs>
        <w:spacing w:line="50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知识产权:采购人在中华人民共和国境内使用中标人提供的产品及服务时免受第三方提出的侵犯其专利权或其它知识产权的起诉。如果第三方提出侵权指控，中标人应承担由此而引起的一切法律责任和费用。</w:t>
      </w:r>
    </w:p>
    <w:p>
      <w:pPr>
        <w:tabs>
          <w:tab w:val="left" w:pos="312"/>
        </w:tabs>
        <w:spacing w:line="50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采购人有权对合同条款的调整(如对验收、违约责任等有特殊要求的)</w:t>
      </w:r>
      <w:r>
        <w:rPr>
          <w:rFonts w:hint="eastAsia" w:ascii="仿宋" w:hAnsi="仿宋" w:eastAsia="仿宋"/>
          <w:sz w:val="32"/>
          <w:szCs w:val="32"/>
        </w:rPr>
        <w:t>。</w:t>
      </w:r>
    </w:p>
    <w:p>
      <w:pPr>
        <w:tabs>
          <w:tab w:val="left" w:pos="312"/>
        </w:tabs>
        <w:spacing w:line="50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中标人提交核查结果报告后，采购方组织相关人员通过复核材料和抽取样本入户复核的方式，对核查结果进行验收，形成验收报告。</w:t>
      </w:r>
    </w:p>
    <w:p>
      <w:pPr>
        <w:spacing w:line="400" w:lineRule="exact"/>
        <w:rPr>
          <w:rFonts w:ascii="宋体" w:hAnsi="宋体" w:cs="宋体"/>
          <w:b/>
          <w:sz w:val="24"/>
        </w:rPr>
      </w:pPr>
    </w:p>
    <w:p>
      <w:pPr>
        <w:pStyle w:val="11"/>
        <w:ind w:firstLine="0"/>
        <w:rPr>
          <w:b/>
          <w:bCs/>
          <w:sz w:val="44"/>
          <w:szCs w:val="44"/>
        </w:rPr>
      </w:pPr>
    </w:p>
    <w:p>
      <w:pPr>
        <w:pStyle w:val="11"/>
        <w:ind w:firstLine="0"/>
        <w:rPr>
          <w:b/>
          <w:bCs/>
          <w:sz w:val="44"/>
          <w:szCs w:val="44"/>
        </w:rPr>
      </w:pPr>
    </w:p>
    <w:p>
      <w:pPr>
        <w:pStyle w:val="11"/>
        <w:ind w:firstLine="0"/>
        <w:rPr>
          <w:b/>
          <w:bCs/>
          <w:sz w:val="44"/>
          <w:szCs w:val="44"/>
        </w:rPr>
      </w:pPr>
    </w:p>
    <w:p>
      <w:pPr>
        <w:pStyle w:val="11"/>
        <w:ind w:firstLine="0"/>
        <w:rPr>
          <w:b/>
          <w:bCs/>
          <w:sz w:val="44"/>
          <w:szCs w:val="44"/>
        </w:rPr>
      </w:pPr>
    </w:p>
    <w:p>
      <w:pPr>
        <w:pStyle w:val="11"/>
        <w:ind w:firstLine="0"/>
        <w:rPr>
          <w:b/>
          <w:bCs/>
          <w:sz w:val="44"/>
          <w:szCs w:val="44"/>
        </w:rPr>
      </w:pPr>
    </w:p>
    <w:p>
      <w:pPr>
        <w:pStyle w:val="11"/>
        <w:ind w:firstLine="0"/>
        <w:rPr>
          <w:b/>
          <w:bCs/>
          <w:sz w:val="44"/>
          <w:szCs w:val="44"/>
        </w:rPr>
      </w:pPr>
    </w:p>
    <w:p>
      <w:pPr>
        <w:pStyle w:val="11"/>
        <w:ind w:firstLine="0"/>
        <w:rPr>
          <w:b/>
          <w:bCs/>
          <w:sz w:val="44"/>
          <w:szCs w:val="44"/>
        </w:rPr>
      </w:pPr>
    </w:p>
    <w:p>
      <w:pPr>
        <w:pStyle w:val="11"/>
        <w:ind w:firstLine="0"/>
        <w:rPr>
          <w:b/>
          <w:bCs/>
          <w:sz w:val="44"/>
          <w:szCs w:val="44"/>
        </w:rPr>
      </w:pPr>
    </w:p>
    <w:p>
      <w:pPr>
        <w:pStyle w:val="11"/>
        <w:ind w:firstLine="0"/>
        <w:rPr>
          <w:b/>
          <w:bCs/>
          <w:sz w:val="44"/>
          <w:szCs w:val="44"/>
        </w:rPr>
      </w:pPr>
    </w:p>
    <w:p>
      <w:pPr>
        <w:pStyle w:val="11"/>
        <w:ind w:firstLine="0"/>
        <w:rPr>
          <w:b/>
          <w:bCs/>
          <w:sz w:val="44"/>
          <w:szCs w:val="44"/>
        </w:rPr>
      </w:pPr>
    </w:p>
    <w:p>
      <w:pPr>
        <w:pStyle w:val="11"/>
        <w:ind w:firstLine="0"/>
        <w:rPr>
          <w:b/>
          <w:bCs/>
          <w:sz w:val="44"/>
          <w:szCs w:val="44"/>
        </w:rPr>
      </w:pPr>
    </w:p>
    <w:p>
      <w:pPr>
        <w:pStyle w:val="11"/>
        <w:ind w:firstLine="0"/>
        <w:rPr>
          <w:b/>
          <w:bCs/>
          <w:sz w:val="44"/>
          <w:szCs w:val="44"/>
        </w:rPr>
      </w:pPr>
    </w:p>
    <w:p>
      <w:pPr>
        <w:pStyle w:val="11"/>
        <w:ind w:firstLine="0"/>
        <w:rPr>
          <w:b/>
          <w:bCs/>
          <w:sz w:val="44"/>
          <w:szCs w:val="44"/>
        </w:rPr>
      </w:pPr>
    </w:p>
    <w:p>
      <w:pPr>
        <w:pStyle w:val="11"/>
        <w:ind w:firstLine="0"/>
        <w:rPr>
          <w:b/>
          <w:bCs/>
          <w:sz w:val="44"/>
          <w:szCs w:val="44"/>
        </w:rPr>
      </w:pPr>
    </w:p>
    <w:p>
      <w:pPr>
        <w:pStyle w:val="11"/>
        <w:ind w:firstLine="0"/>
        <w:rPr>
          <w:b/>
          <w:bCs/>
          <w:sz w:val="44"/>
          <w:szCs w:val="44"/>
        </w:rPr>
      </w:pPr>
    </w:p>
    <w:p>
      <w:pPr>
        <w:pStyle w:val="11"/>
        <w:ind w:firstLine="0"/>
        <w:rPr>
          <w:b/>
          <w:bCs/>
          <w:sz w:val="44"/>
          <w:szCs w:val="44"/>
        </w:rPr>
      </w:pPr>
    </w:p>
    <w:p>
      <w:pPr>
        <w:pStyle w:val="11"/>
        <w:ind w:firstLine="0"/>
        <w:rPr>
          <w:b/>
          <w:bCs/>
          <w:sz w:val="44"/>
          <w:szCs w:val="44"/>
        </w:rPr>
      </w:pPr>
    </w:p>
    <w:p>
      <w:pPr>
        <w:jc w:val="center"/>
        <w:rPr>
          <w:b/>
          <w:bCs/>
        </w:rPr>
      </w:pPr>
      <w:r>
        <w:rPr>
          <w:rFonts w:hint="eastAsia"/>
          <w:b/>
          <w:bCs/>
          <w:sz w:val="44"/>
          <w:szCs w:val="44"/>
        </w:rPr>
        <w:t>第三章   政府采购合同（格式）</w:t>
      </w:r>
      <w:bookmarkEnd w:id="242"/>
      <w:bookmarkEnd w:id="243"/>
      <w:bookmarkEnd w:id="244"/>
      <w:bookmarkEnd w:id="245"/>
      <w:bookmarkEnd w:id="246"/>
      <w:bookmarkEnd w:id="247"/>
    </w:p>
    <w:p>
      <w:pPr>
        <w:pStyle w:val="18"/>
        <w:spacing w:line="400" w:lineRule="exact"/>
        <w:ind w:firstLine="4" w:firstLineChars="2"/>
        <w:rPr>
          <w:rFonts w:hAnsi="宋体"/>
          <w:b/>
          <w:bCs/>
          <w:szCs w:val="21"/>
        </w:rPr>
      </w:pPr>
      <w:r>
        <w:rPr>
          <w:rFonts w:hint="eastAsia" w:hAnsi="宋体"/>
          <w:b/>
          <w:bCs/>
          <w:szCs w:val="21"/>
        </w:rPr>
        <w:t>注：</w:t>
      </w:r>
    </w:p>
    <w:p>
      <w:pPr>
        <w:pStyle w:val="18"/>
        <w:spacing w:line="400" w:lineRule="exact"/>
        <w:ind w:left="314" w:leftChars="2" w:hanging="310" w:hangingChars="147"/>
        <w:rPr>
          <w:rFonts w:hAnsi="宋体"/>
          <w:b/>
          <w:bCs/>
          <w:szCs w:val="21"/>
        </w:rPr>
      </w:pPr>
      <w:r>
        <w:rPr>
          <w:rFonts w:hint="eastAsia" w:hAnsi="宋体"/>
          <w:b/>
          <w:bCs/>
          <w:szCs w:val="21"/>
        </w:rPr>
        <w:t>1、本合同样本仅供参考，具体内容由采购人和成交人协商确定，但补充和修改不得造成与本章格式内容有实质性的违背。</w:t>
      </w:r>
    </w:p>
    <w:p>
      <w:pPr>
        <w:pStyle w:val="18"/>
        <w:spacing w:line="400" w:lineRule="exact"/>
        <w:ind w:left="314" w:leftChars="2" w:hanging="310" w:hangingChars="147"/>
        <w:rPr>
          <w:rFonts w:hAnsi="宋体"/>
          <w:b/>
          <w:bCs/>
          <w:szCs w:val="21"/>
        </w:rPr>
      </w:pPr>
      <w:r>
        <w:rPr>
          <w:rFonts w:hint="eastAsia" w:hAnsi="宋体"/>
          <w:b/>
          <w:bCs/>
          <w:szCs w:val="21"/>
        </w:rPr>
        <w:t>2、合同基本条款部分采用国家工商行政管理局和建设部颁布的《规划项目设计合同》GF-2000-0209范本。如与合同书不一致之处以合同书为准。</w:t>
      </w:r>
    </w:p>
    <w:p>
      <w:pPr>
        <w:rPr>
          <w:rFonts w:hAnsi="宋体"/>
          <w:b/>
          <w:bCs/>
        </w:rPr>
      </w:pPr>
      <w:r>
        <w:rPr>
          <w:rFonts w:hint="eastAsia" w:hAnsi="宋体"/>
          <w:b/>
          <w:bCs/>
        </w:rPr>
        <w:cr/>
      </w:r>
    </w:p>
    <w:p>
      <w:pPr>
        <w:rPr>
          <w:rFonts w:hAnsi="宋体"/>
          <w:b/>
          <w:bCs/>
        </w:rPr>
      </w:pPr>
    </w:p>
    <w:p>
      <w:pPr>
        <w:rPr>
          <w:rFonts w:hAnsi="宋体"/>
          <w:b/>
          <w:bCs/>
        </w:rPr>
      </w:pPr>
    </w:p>
    <w:p>
      <w:pPr>
        <w:rPr>
          <w:rFonts w:hAnsi="宋体"/>
          <w:b/>
          <w:bCs/>
        </w:rPr>
      </w:pPr>
    </w:p>
    <w:p>
      <w:pPr>
        <w:rPr>
          <w:rFonts w:hAnsi="宋体"/>
          <w:b/>
          <w:bCs/>
        </w:rPr>
      </w:pPr>
    </w:p>
    <w:p>
      <w:pPr>
        <w:rPr>
          <w:rFonts w:hAnsi="宋体"/>
          <w:b/>
          <w:bCs/>
        </w:rPr>
      </w:pPr>
    </w:p>
    <w:p>
      <w:pPr>
        <w:rPr>
          <w:rFonts w:hAnsi="宋体"/>
          <w:b/>
          <w:bCs/>
        </w:rPr>
      </w:pPr>
    </w:p>
    <w:p>
      <w:pPr>
        <w:rPr>
          <w:rFonts w:hAnsi="宋体"/>
          <w:b/>
          <w:bCs/>
        </w:rPr>
      </w:pPr>
    </w:p>
    <w:p>
      <w:pPr>
        <w:rPr>
          <w:rFonts w:hAnsi="宋体"/>
          <w:b/>
          <w:bCs/>
        </w:rPr>
      </w:pPr>
    </w:p>
    <w:p>
      <w:pPr>
        <w:rPr>
          <w:rFonts w:hAnsi="宋体"/>
          <w:b/>
          <w:bCs/>
        </w:rPr>
      </w:pPr>
    </w:p>
    <w:p>
      <w:pPr>
        <w:rPr>
          <w:rFonts w:hAnsi="宋体"/>
          <w:b/>
          <w:bCs/>
        </w:rPr>
      </w:pPr>
    </w:p>
    <w:p>
      <w:pPr>
        <w:rPr>
          <w:rFonts w:hAnsi="宋体"/>
          <w:b/>
          <w:bCs/>
        </w:rPr>
      </w:pPr>
    </w:p>
    <w:p>
      <w:pPr>
        <w:rPr>
          <w:rFonts w:hAnsi="宋体"/>
          <w:b/>
          <w:bCs/>
        </w:rPr>
      </w:pPr>
    </w:p>
    <w:p>
      <w:pPr>
        <w:rPr>
          <w:rFonts w:hAnsi="宋体"/>
          <w:b/>
          <w:bCs/>
        </w:rPr>
      </w:pPr>
    </w:p>
    <w:p>
      <w:pPr>
        <w:rPr>
          <w:rFonts w:hAnsi="宋体"/>
          <w:b/>
          <w:bCs/>
        </w:rPr>
      </w:pPr>
    </w:p>
    <w:p>
      <w:pPr>
        <w:rPr>
          <w:rFonts w:hAnsi="宋体"/>
          <w:b/>
          <w:bCs/>
        </w:rPr>
      </w:pPr>
    </w:p>
    <w:p>
      <w:pPr>
        <w:pStyle w:val="7"/>
        <w:rPr>
          <w:rFonts w:hAnsi="宋体"/>
          <w:b/>
          <w:bCs/>
        </w:rPr>
      </w:pPr>
    </w:p>
    <w:p>
      <w:pPr>
        <w:rPr>
          <w:rFonts w:hAnsi="宋体"/>
          <w:b/>
          <w:bCs/>
        </w:rPr>
      </w:pPr>
    </w:p>
    <w:p>
      <w:pPr>
        <w:pStyle w:val="7"/>
        <w:rPr>
          <w:rFonts w:hAnsi="宋体"/>
          <w:b/>
          <w:bCs/>
        </w:rPr>
      </w:pPr>
    </w:p>
    <w:p>
      <w:pPr>
        <w:rPr>
          <w:rFonts w:hAnsi="宋体"/>
          <w:b/>
          <w:bCs/>
        </w:rPr>
      </w:pPr>
    </w:p>
    <w:p>
      <w:pPr>
        <w:pStyle w:val="7"/>
        <w:rPr>
          <w:rFonts w:hAnsi="宋体"/>
          <w:b/>
          <w:bCs/>
        </w:rPr>
      </w:pPr>
    </w:p>
    <w:p>
      <w:pPr>
        <w:rPr>
          <w:rFonts w:hAnsi="宋体"/>
          <w:b/>
          <w:bCs/>
        </w:rPr>
      </w:pPr>
    </w:p>
    <w:p>
      <w:pPr>
        <w:pStyle w:val="7"/>
        <w:rPr>
          <w:rFonts w:hAnsi="宋体"/>
          <w:b/>
          <w:bCs/>
        </w:rPr>
      </w:pPr>
    </w:p>
    <w:p>
      <w:pPr>
        <w:rPr>
          <w:rFonts w:hAnsi="宋体"/>
          <w:b/>
          <w:bCs/>
        </w:rPr>
      </w:pPr>
    </w:p>
    <w:p>
      <w:pPr>
        <w:pStyle w:val="2"/>
        <w:rPr>
          <w:rFonts w:hAnsi="宋体"/>
          <w:b/>
          <w:bCs/>
        </w:rPr>
      </w:pPr>
    </w:p>
    <w:p>
      <w:pPr>
        <w:rPr>
          <w:rFonts w:hAnsi="宋体"/>
          <w:b/>
          <w:bCs/>
        </w:rPr>
      </w:pPr>
    </w:p>
    <w:p>
      <w:pPr>
        <w:pStyle w:val="2"/>
      </w:pPr>
    </w:p>
    <w:p/>
    <w:p>
      <w:pPr>
        <w:pStyle w:val="3"/>
      </w:pPr>
    </w:p>
    <w:p/>
    <w:p/>
    <w:p>
      <w:pPr>
        <w:pStyle w:val="3"/>
        <w:jc w:val="center"/>
        <w:rPr>
          <w:rFonts w:asciiTheme="minorEastAsia" w:hAnsiTheme="minorEastAsia" w:eastAsiaTheme="minorEastAsia" w:cstheme="minorEastAsia"/>
          <w:sz w:val="24"/>
        </w:rPr>
      </w:pPr>
      <w:bookmarkStart w:id="248" w:name="_Toc185703010"/>
      <w:bookmarkStart w:id="249" w:name="_Toc239839917"/>
      <w:bookmarkStart w:id="250" w:name="_Toc444006020"/>
      <w:bookmarkStart w:id="251" w:name="_Toc156106971"/>
      <w:bookmarkStart w:id="252" w:name="_Toc147248436"/>
      <w:bookmarkStart w:id="253" w:name="_Toc185702588"/>
      <w:r>
        <w:rPr>
          <w:rFonts w:hint="eastAsia" w:asciiTheme="minorEastAsia" w:hAnsiTheme="minorEastAsia" w:eastAsiaTheme="minorEastAsia" w:cstheme="minorEastAsia"/>
          <w:sz w:val="32"/>
          <w:szCs w:val="32"/>
        </w:rPr>
        <w:t>政府采购合同书</w:t>
      </w:r>
    </w:p>
    <w:p>
      <w:pPr>
        <w:pStyle w:val="18"/>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采购合同</w:t>
      </w:r>
    </w:p>
    <w:p>
      <w:pPr>
        <w:pStyle w:val="18"/>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合同编号：</w:t>
      </w:r>
      <w:r>
        <w:rPr>
          <w:rFonts w:hint="eastAsia" w:asciiTheme="minorEastAsia" w:hAnsiTheme="minorEastAsia" w:eastAsiaTheme="minorEastAsia" w:cstheme="minorEastAsia"/>
          <w:sz w:val="24"/>
          <w:szCs w:val="24"/>
          <w:u w:val="single"/>
        </w:rPr>
        <w:t xml:space="preserve">                      </w:t>
      </w:r>
    </w:p>
    <w:p>
      <w:pPr>
        <w:pStyle w:val="18"/>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（采购人）</w:t>
      </w:r>
    </w:p>
    <w:p>
      <w:pPr>
        <w:pStyle w:val="18"/>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（成交服务商）</w:t>
      </w:r>
    </w:p>
    <w:p>
      <w:pPr>
        <w:pStyle w:val="18"/>
        <w:spacing w:line="5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甲乙双方同意按下述条款和条件签署本合同书（以下简称合同）。</w:t>
      </w:r>
    </w:p>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第一部分 总则</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1．定义</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（1）合同：如无特别说明，以下合同特指本合同。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（2）项目：</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不可抗力：指不能预见、不能避免、不可克服的客观情况，例如地震、战争、政府行为等。由于不可抗力的影响，使得一方实际不可能在此情况下履行其协议。不可抗力不包括由于一方的疏忽或故意不遵守良好的工程惯例所发生的事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（4）货币单位：本合同项下一切费用均以人民币为单位进行结算。</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2．合同生效</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本合同经甲乙双方盖章并由双方法定代表人或授权人签字后生效。</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3．合同修改</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除非由双方签订书面修改文件，否则合同不得修改。符合这一程序的修改将构成合同的一部分，并将与合同具有同等的法律效力。</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4．告知</w:t>
      </w:r>
    </w:p>
    <w:p>
      <w:pPr>
        <w:spacing w:line="360" w:lineRule="auto"/>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任何涉及本合同的通知应以面呈、邮寄或传真方式送达至对方，任何更改该等地址或传真号码必须提前7日以书面形式告知对方。任何面呈的通知在递交时视为送达；任何以邮资预付的邮寄方式发出的通知在投邮后7日视为送达；任何以传真方式发出的通知在发出时视为送达。</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 合同组成部分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以下附件作为本合同不可分割的部分，与本合同具有同等法律效力。</w:t>
      </w:r>
    </w:p>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第二部分 双方责任及义务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1．甲方责任及义务</w:t>
      </w:r>
    </w:p>
    <w:p>
      <w:pPr>
        <w:spacing w:line="360" w:lineRule="auto"/>
        <w:ind w:left="599" w:leftChars="228" w:hanging="120" w:hangingChars="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（1）甲方负责组织制定项目验收标准并组织项目的验收；</w:t>
      </w:r>
    </w:p>
    <w:p>
      <w:pPr>
        <w:spacing w:line="360" w:lineRule="auto"/>
        <w:ind w:left="599" w:leftChars="228" w:hanging="120" w:hangingChars="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（2）按照合同约定时间及金额向乙方支付合同价款。</w:t>
      </w:r>
    </w:p>
    <w:p>
      <w:pPr>
        <w:spacing w:line="360" w:lineRule="auto"/>
        <w:ind w:left="599" w:leftChars="228" w:hanging="120" w:hangingChars="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2．乙方责任及义务</w:t>
      </w:r>
    </w:p>
    <w:p>
      <w:pPr>
        <w:spacing w:line="360" w:lineRule="auto"/>
        <w:ind w:left="599" w:leftChars="228" w:hanging="120" w:hangingChars="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（1）严格按照合同约定的日期及标准完成项目的技术服务内容；</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（2）根据甲方的实际情况，为甲方提供可行性技术解决方案，并组织乙方相关专业人员进行实施；</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（3）甲方向乙方提供的内部资料乙方应予以保密，乙方承诺不向任何第三方泄露甲方的业务机密。</w:t>
      </w:r>
    </w:p>
    <w:p>
      <w:pPr>
        <w:spacing w:line="360" w:lineRule="auto"/>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第三部分 服务费用</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1．费用额</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技术服务费用共计人民币￥</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元，（大写人民币：     元整）</w:t>
      </w:r>
    </w:p>
    <w:p>
      <w:pPr>
        <w:numPr>
          <w:ilvl w:val="0"/>
          <w:numId w:val="6"/>
        </w:numPr>
        <w:spacing w:line="360" w:lineRule="auto"/>
        <w:ind w:firstLine="480" w:firstLineChars="200"/>
        <w:rPr>
          <w:highlight w:val="none"/>
        </w:rPr>
      </w:pPr>
      <w:r>
        <w:rPr>
          <w:rFonts w:hint="eastAsia" w:asciiTheme="minorEastAsia" w:hAnsiTheme="minorEastAsia" w:eastAsiaTheme="minorEastAsia" w:cstheme="minorEastAsia"/>
          <w:sz w:val="24"/>
          <w:highlight w:val="none"/>
        </w:rPr>
        <w:t>费用的支付</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按年度付款，第一年支付中标价50%,第二年支付中标价50%</w:t>
      </w:r>
      <w:r>
        <w:rPr>
          <w:rFonts w:asciiTheme="minorEastAsia" w:hAnsiTheme="minorEastAsia" w:eastAsiaTheme="minorEastAsia" w:cstheme="minorEastAsia"/>
          <w:sz w:val="24"/>
          <w:highlight w:val="none"/>
        </w:rPr>
        <w:t>。</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第一年：</w:t>
      </w:r>
      <w:r>
        <w:rPr>
          <w:rFonts w:asciiTheme="minorEastAsia" w:hAnsiTheme="minorEastAsia" w:eastAsiaTheme="minorEastAsia" w:cstheme="minorEastAsia"/>
          <w:sz w:val="24"/>
          <w:highlight w:val="none"/>
        </w:rPr>
        <w:t>合同签订井且服务单位进场10个工作日内，采购人向中标人支付</w:t>
      </w:r>
      <w:r>
        <w:rPr>
          <w:rFonts w:hint="eastAsia" w:asciiTheme="minorEastAsia" w:hAnsiTheme="minorEastAsia" w:eastAsiaTheme="minorEastAsia" w:cstheme="minorEastAsia"/>
          <w:sz w:val="24"/>
          <w:highlight w:val="none"/>
        </w:rPr>
        <w:t>中标价合同第一年度</w:t>
      </w:r>
      <w:r>
        <w:rPr>
          <w:rFonts w:asciiTheme="minorEastAsia" w:hAnsiTheme="minorEastAsia" w:eastAsiaTheme="minorEastAsia" w:cstheme="minorEastAsia"/>
          <w:sz w:val="24"/>
          <w:highlight w:val="none"/>
        </w:rPr>
        <w:t>总额的</w:t>
      </w:r>
      <w:r>
        <w:rPr>
          <w:rFonts w:hint="eastAsia" w:asciiTheme="minorEastAsia" w:hAnsiTheme="minorEastAsia" w:eastAsiaTheme="minorEastAsia" w:cstheme="minorEastAsia"/>
          <w:sz w:val="24"/>
          <w:highlight w:val="none"/>
          <w:u w:val="single"/>
        </w:rPr>
        <w:t xml:space="preserve">  40%   </w:t>
      </w:r>
      <w:r>
        <w:rPr>
          <w:rFonts w:hint="eastAsia" w:asciiTheme="minorEastAsia" w:hAnsiTheme="minorEastAsia" w:eastAsiaTheme="minorEastAsia" w:cstheme="minorEastAsia"/>
          <w:sz w:val="24"/>
          <w:highlight w:val="none"/>
        </w:rPr>
        <w:t xml:space="preserve">；计￥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 （大写人民币：     元整）；项目开展超过60%</w:t>
      </w:r>
      <w:r>
        <w:rPr>
          <w:rFonts w:asciiTheme="minorEastAsia" w:hAnsiTheme="minorEastAsia" w:eastAsiaTheme="minorEastAsia" w:cstheme="minorEastAsia"/>
          <w:sz w:val="24"/>
          <w:highlight w:val="none"/>
        </w:rPr>
        <w:t>后采购人向中标人支付</w:t>
      </w:r>
      <w:r>
        <w:rPr>
          <w:rFonts w:hint="eastAsia" w:asciiTheme="minorEastAsia" w:hAnsiTheme="minorEastAsia" w:eastAsiaTheme="minorEastAsia" w:cstheme="minorEastAsia"/>
          <w:sz w:val="24"/>
          <w:highlight w:val="none"/>
        </w:rPr>
        <w:t>中标价合同第一年度</w:t>
      </w:r>
      <w:r>
        <w:rPr>
          <w:rFonts w:asciiTheme="minorEastAsia" w:hAnsiTheme="minorEastAsia" w:eastAsiaTheme="minorEastAsia" w:cstheme="minorEastAsia"/>
          <w:sz w:val="24"/>
          <w:highlight w:val="none"/>
        </w:rPr>
        <w:t>总额的</w:t>
      </w:r>
      <w:r>
        <w:rPr>
          <w:rFonts w:hint="eastAsia" w:asciiTheme="minorEastAsia" w:hAnsiTheme="minorEastAsia" w:eastAsiaTheme="minorEastAsia" w:cstheme="minorEastAsia"/>
          <w:sz w:val="24"/>
          <w:highlight w:val="none"/>
        </w:rPr>
        <w:t xml:space="preserve"> 50</w:t>
      </w:r>
      <w:r>
        <w:rPr>
          <w:rFonts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rPr>
        <w:t xml:space="preserve">  ；计￥</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 （大写人民币：     元整）；</w:t>
      </w:r>
      <w:r>
        <w:rPr>
          <w:rFonts w:asciiTheme="minorEastAsia" w:hAnsiTheme="minorEastAsia" w:eastAsiaTheme="minorEastAsia" w:cstheme="minorEastAsia"/>
          <w:sz w:val="24"/>
          <w:highlight w:val="none"/>
        </w:rPr>
        <w:t>项目全</w:t>
      </w:r>
      <w:r>
        <w:rPr>
          <w:rFonts w:hint="eastAsia" w:asciiTheme="minorEastAsia" w:hAnsiTheme="minorEastAsia" w:eastAsiaTheme="minorEastAsia" w:cstheme="minorEastAsia"/>
          <w:sz w:val="24"/>
          <w:highlight w:val="none"/>
        </w:rPr>
        <w:t>台</w:t>
      </w:r>
      <w:r>
        <w:rPr>
          <w:rFonts w:asciiTheme="minorEastAsia" w:hAnsiTheme="minorEastAsia" w:eastAsiaTheme="minorEastAsia" w:cstheme="minorEastAsia"/>
          <w:sz w:val="24"/>
          <w:highlight w:val="none"/>
        </w:rPr>
        <w:t>结束10个工作日内，由中标人组织专家评审、采购人实施验收，经验收达到合格，双方签字确认，采购人于10个工作日内向中标人支付</w:t>
      </w:r>
      <w:r>
        <w:rPr>
          <w:rFonts w:hint="eastAsia" w:asciiTheme="minorEastAsia" w:hAnsiTheme="minorEastAsia" w:eastAsiaTheme="minorEastAsia" w:cstheme="minorEastAsia"/>
          <w:sz w:val="24"/>
          <w:highlight w:val="none"/>
        </w:rPr>
        <w:t>中标价合同第一年度</w:t>
      </w:r>
      <w:r>
        <w:rPr>
          <w:rFonts w:asciiTheme="minorEastAsia" w:hAnsiTheme="minorEastAsia" w:eastAsiaTheme="minorEastAsia" w:cstheme="minorEastAsia"/>
          <w:sz w:val="24"/>
          <w:highlight w:val="none"/>
        </w:rPr>
        <w:t>总额的</w:t>
      </w:r>
      <w:r>
        <w:rPr>
          <w:rFonts w:hint="eastAsia" w:asciiTheme="minorEastAsia" w:hAnsiTheme="minorEastAsia" w:eastAsiaTheme="minorEastAsia" w:cstheme="minorEastAsia"/>
          <w:sz w:val="24"/>
          <w:highlight w:val="none"/>
          <w:u w:val="single"/>
        </w:rPr>
        <w:t xml:space="preserve">  1</w:t>
      </w:r>
      <w:r>
        <w:rPr>
          <w:rFonts w:asciiTheme="minorEastAsia" w:hAnsiTheme="minorEastAsia" w:eastAsiaTheme="minorEastAsia" w:cstheme="minorEastAsia"/>
          <w:sz w:val="24"/>
          <w:highlight w:val="none"/>
          <w:u w:val="single"/>
        </w:rPr>
        <w:t>0%</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 xml:space="preserve">；计￥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 （大写人民币：     元整）。第二年付款方式同第一年进度付款方式一致。</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本合同项下一切费用均使用人民币结算及支付。甲方向乙方付款同时乙方应出具与当次付款金额等额的发票，甲乙双方对有关商业发票、结算票据一致认同：甲方取得发票不代表甲方款项已付清，款项已付清以甲方款项全部到达乙方开户账户为准。</w:t>
      </w:r>
    </w:p>
    <w:p>
      <w:pPr>
        <w:spacing w:line="360" w:lineRule="auto"/>
        <w:ind w:left="479" w:leftChars="228" w:firstLine="120" w:firstLineChars="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乙方账户信息：</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名称：</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开户行： </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账  号</w:t>
      </w:r>
    </w:p>
    <w:p>
      <w:pPr>
        <w:spacing w:line="360" w:lineRule="auto"/>
        <w:ind w:left="315" w:leftChars="150"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第四部分 保密责任</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1.保密条款。</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（1）除非因履行本合同目的之需要，在未征得甲方同意的情况下，乙方不得以任何方式向第三方泄露甲方的业务数据、业务事务及相关信息及文档。</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（2）如因履行本合同目的之需要，乙方将相关信息向第三方披露的，乙方应要求该第三方承担同样的保密义务。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2.保密期限</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在本协议有效期内以及在有效期后的合理期限内甲乙双方均不得将合同及项目相关的技术资料、技术秘密等成为公共信息之前披露给任何第三方。</w:t>
      </w:r>
    </w:p>
    <w:p>
      <w:pPr>
        <w:spacing w:line="360" w:lineRule="auto"/>
        <w:ind w:left="360"/>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t>第五部分 不可抗力</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由于地震、台风、水灾、火灾、战争以及其他不能预见并对其发生和后果不能预防、不能克服或避免的不可抗力直接影响本合同的履行或者导致双方不能按照约定履行合同的，遇有不可抗力的一方可以免除相关合同责任。但是遇有不可抗力的一方应立即书面通知对方，并在15天之内提供上述不可抗力的详细情况及合同不能履行或者部分不能履行或者需要延期履行的理由和有效的证明文件。按照不可抗力对履行合同影响的程度，由双方协商决定是否解除合同，或者部分免除履行合同的义务，或者延期履行合同。一方迟延履行本合同时发生了不可抗力的，迟延方的合同义务不能免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2.受不可抗力影响的一方，应当尽可能采取合理的行为和适当的措施减轻不可抗力对履行本合同所造成的影响。没有采取适当措施致使损失扩大的，该方不得就扩大损失的部分要求免责或赔偿。</w:t>
      </w:r>
    </w:p>
    <w:p>
      <w:pPr>
        <w:spacing w:line="360" w:lineRule="auto"/>
        <w:ind w:left="420"/>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t>第六部分 解决争议的方法</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1.合同各方应通过友好协商，解决在执行合同过程中所发生的或与合同有关的一切争端。如从协商开始后十日内仍不能解决，可以向财政部门提请调解。</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2.调解不成，则通过以下途径之一解决纠纷：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提请仲裁       □ 向人民法院提起诉讼</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3.如仲裁或诉讼事项不影响合同其它部分的履行，则在仲裁或诉讼期间，除正在进行仲裁或诉讼的部分外，合同的其它部分应继续执行。</w:t>
      </w:r>
    </w:p>
    <w:p>
      <w:pPr>
        <w:spacing w:line="360" w:lineRule="auto"/>
        <w:ind w:left="360" w:hanging="360" w:hangingChars="150"/>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第七部分 其他</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1.本合同附件是本合同不可分割的部分，并与本合同具有同等法律效力。</w:t>
      </w:r>
    </w:p>
    <w:p>
      <w:pPr>
        <w:tabs>
          <w:tab w:val="left" w:pos="180"/>
        </w:tabs>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2.双方签订的补充协议以及修改或变更的条款与本合同具有同等法律效力。若有不一致之处，以时间在后者为准。</w:t>
      </w:r>
    </w:p>
    <w:p>
      <w:pPr>
        <w:tabs>
          <w:tab w:val="left" w:pos="540"/>
        </w:tabs>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3.本合同一式陆份，经甲乙双方法定代表人或委托代理人签名并加盖公章</w:t>
      </w:r>
      <w:r>
        <w:rPr>
          <w:rFonts w:hint="eastAsia" w:asciiTheme="minorEastAsia" w:hAnsiTheme="minorEastAsia" w:eastAsiaTheme="minorEastAsia" w:cstheme="minorEastAsia"/>
          <w:bCs/>
          <w:sz w:val="24"/>
        </w:rPr>
        <w:t>（如服务商为自然人的，应当由本人或其委托代理人签字并加盖手指纹）</w:t>
      </w:r>
      <w:r>
        <w:rPr>
          <w:rFonts w:hint="eastAsia" w:asciiTheme="minorEastAsia" w:hAnsiTheme="minorEastAsia" w:eastAsiaTheme="minorEastAsia" w:cstheme="minorEastAsia"/>
          <w:sz w:val="24"/>
        </w:rPr>
        <w:t>后生效。甲乙双方各执两份，监督管理部门执一份，采购代理机构公司执一份。（可根据需要另增加）</w:t>
      </w:r>
    </w:p>
    <w:p>
      <w:pPr>
        <w:pStyle w:val="18"/>
        <w:spacing w:line="300" w:lineRule="exact"/>
        <w:ind w:firstLine="420"/>
        <w:rPr>
          <w:rFonts w:asciiTheme="minorEastAsia" w:hAnsiTheme="minorEastAsia" w:eastAsiaTheme="minorEastAsia" w:cstheme="minorEastAsia"/>
          <w:sz w:val="24"/>
          <w:szCs w:val="24"/>
        </w:rPr>
      </w:pPr>
    </w:p>
    <w:p>
      <w:pPr>
        <w:tabs>
          <w:tab w:val="left" w:pos="4320"/>
          <w:tab w:val="left" w:pos="4500"/>
        </w:tabs>
        <w:spacing w:line="40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甲方名称（公章）：</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乙方（公章）：</w:t>
      </w:r>
      <w:r>
        <w:rPr>
          <w:rFonts w:hint="eastAsia" w:asciiTheme="minorEastAsia" w:hAnsiTheme="minorEastAsia" w:eastAsiaTheme="minorEastAsia" w:cstheme="minorEastAsia"/>
          <w:sz w:val="24"/>
          <w:u w:val="single"/>
        </w:rPr>
        <w:t xml:space="preserve">                             </w:t>
      </w:r>
    </w:p>
    <w:p>
      <w:pPr>
        <w:spacing w:line="400" w:lineRule="exact"/>
        <w:ind w:left="5280" w:hanging="5280" w:hangingChars="2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tabs>
          <w:tab w:val="left" w:pos="4680"/>
        </w:tabs>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tabs>
          <w:tab w:val="left" w:pos="5040"/>
        </w:tabs>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  话：</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电   话：</w:t>
      </w:r>
      <w:r>
        <w:rPr>
          <w:rFonts w:hint="eastAsia" w:asciiTheme="minorEastAsia" w:hAnsiTheme="minorEastAsia" w:eastAsiaTheme="minorEastAsia" w:cstheme="minorEastAsia"/>
          <w:sz w:val="24"/>
          <w:u w:val="single"/>
        </w:rPr>
        <w:t xml:space="preserve">                                           </w:t>
      </w:r>
    </w:p>
    <w:p>
      <w:pPr>
        <w:tabs>
          <w:tab w:val="left" w:pos="5040"/>
        </w:tabs>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开户名称：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tabs>
          <w:tab w:val="left" w:pos="5040"/>
        </w:tabs>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开户银行：</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tabs>
          <w:tab w:val="left" w:pos="5040"/>
        </w:tabs>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银行账号：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银行账号：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napToGrid w:val="0"/>
        <w:spacing w:line="3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    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日    期：</w:t>
      </w:r>
      <w:r>
        <w:rPr>
          <w:rFonts w:hint="eastAsia" w:asciiTheme="minorEastAsia" w:hAnsiTheme="minorEastAsia" w:eastAsiaTheme="minorEastAsia" w:cstheme="minorEastAsia"/>
          <w:sz w:val="24"/>
          <w:u w:val="single"/>
        </w:rPr>
        <w:t xml:space="preserve">                                    </w:t>
      </w:r>
    </w:p>
    <w:p>
      <w:pPr>
        <w:snapToGrid w:val="0"/>
        <w:spacing w:line="380" w:lineRule="exact"/>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pStyle w:val="3"/>
        <w:spacing w:line="560" w:lineRule="exact"/>
        <w:jc w:val="center"/>
        <w:rPr>
          <w:rFonts w:ascii="方正隶书简体" w:hAnsi="宋体" w:eastAsia="方正隶书简体"/>
          <w:bCs/>
          <w:sz w:val="44"/>
        </w:rPr>
      </w:pPr>
      <w:r>
        <w:rPr>
          <w:rFonts w:ascii="宋体" w:hAnsi="宋体"/>
          <w:szCs w:val="21"/>
        </w:rPr>
        <w:br w:type="page"/>
      </w:r>
      <w:bookmarkEnd w:id="248"/>
      <w:bookmarkEnd w:id="249"/>
      <w:bookmarkEnd w:id="250"/>
      <w:bookmarkEnd w:id="251"/>
      <w:bookmarkEnd w:id="252"/>
      <w:bookmarkEnd w:id="253"/>
      <w:bookmarkStart w:id="254" w:name="_Toc185703035"/>
      <w:bookmarkStart w:id="255" w:name="_Toc156106972"/>
      <w:bookmarkStart w:id="256" w:name="_Toc444006024"/>
      <w:bookmarkStart w:id="257" w:name="_Toc147248437"/>
      <w:bookmarkStart w:id="258" w:name="_Toc239839919"/>
      <w:bookmarkStart w:id="259" w:name="_Toc185702613"/>
      <w:r>
        <w:rPr>
          <w:rFonts w:hint="eastAsia" w:ascii="方正隶书简体" w:hAnsi="宋体" w:eastAsia="方正隶书简体"/>
          <w:bCs/>
          <w:sz w:val="44"/>
        </w:rPr>
        <w:t>第四章   评标方法</w:t>
      </w:r>
    </w:p>
    <w:p/>
    <w:p>
      <w:pPr>
        <w:pStyle w:val="18"/>
        <w:spacing w:line="360" w:lineRule="auto"/>
        <w:ind w:firstLine="527" w:firstLineChars="250"/>
        <w:outlineLvl w:val="0"/>
        <w:rPr>
          <w:rFonts w:asciiTheme="minorEastAsia" w:hAnsiTheme="minorEastAsia" w:eastAsiaTheme="minorEastAsia"/>
          <w:b/>
          <w:szCs w:val="21"/>
        </w:rPr>
      </w:pPr>
      <w:bookmarkStart w:id="260" w:name="_Toc444006021"/>
      <w:bookmarkStart w:id="261" w:name="_Toc405943016"/>
      <w:bookmarkStart w:id="262" w:name="_Toc395066558"/>
      <w:r>
        <w:rPr>
          <w:rFonts w:hint="eastAsia" w:asciiTheme="minorEastAsia" w:hAnsiTheme="minorEastAsia" w:eastAsiaTheme="minorEastAsia"/>
          <w:b/>
          <w:szCs w:val="21"/>
        </w:rPr>
        <w:t>一、评审依据及方式</w:t>
      </w:r>
    </w:p>
    <w:p>
      <w:pPr>
        <w:pStyle w:val="18"/>
        <w:spacing w:line="400" w:lineRule="exact"/>
        <w:ind w:firstLine="420" w:firstLineChars="200"/>
        <w:rPr>
          <w:rFonts w:ascii="Times New Roman" w:hAnsi="Times New Roman"/>
          <w:bCs/>
        </w:rPr>
      </w:pPr>
      <w:r>
        <w:rPr>
          <w:rFonts w:ascii="Times New Roman" w:hAnsi="Times New Roman"/>
          <w:bCs/>
        </w:rPr>
        <w:t>（一）评委构成：本磋商采购项目的磋商小组由采购人代表和有关技术、经济等方面的专家组成，成员人数应当为三人以上（含三人）单数。其中，技术、经济等方面的专家不得少于成员总数的三分之二。</w:t>
      </w:r>
    </w:p>
    <w:p>
      <w:pPr>
        <w:pStyle w:val="18"/>
        <w:spacing w:line="400" w:lineRule="exact"/>
        <w:ind w:firstLine="420" w:firstLineChars="200"/>
        <w:rPr>
          <w:rFonts w:ascii="Times New Roman" w:hAnsi="Times New Roman"/>
          <w:bCs/>
        </w:rPr>
      </w:pPr>
      <w:r>
        <w:rPr>
          <w:rFonts w:ascii="Times New Roman" w:hAnsi="Times New Roman"/>
          <w:bCs/>
        </w:rPr>
        <w:t>（二）评审依据：磋商小组将以响应文件为评审依据，对初审合格的响应文件的磋商报价，技术文件、商务文件方面内容按百分制打分。</w:t>
      </w:r>
    </w:p>
    <w:p>
      <w:pPr>
        <w:pStyle w:val="18"/>
        <w:spacing w:line="360" w:lineRule="auto"/>
        <w:ind w:firstLine="525" w:firstLineChars="250"/>
        <w:outlineLvl w:val="0"/>
        <w:rPr>
          <w:rFonts w:asciiTheme="minorEastAsia" w:hAnsiTheme="minorEastAsia" w:eastAsiaTheme="minorEastAsia"/>
          <w:bCs/>
          <w:szCs w:val="21"/>
        </w:rPr>
      </w:pPr>
      <w:r>
        <w:rPr>
          <w:rFonts w:ascii="Times New Roman" w:hAnsi="Times New Roman"/>
          <w:bCs/>
        </w:rPr>
        <w:t>（三）评审方式：以封闭方式进行</w:t>
      </w:r>
      <w:r>
        <w:rPr>
          <w:rFonts w:hint="eastAsia" w:asciiTheme="minorEastAsia" w:hAnsiTheme="minorEastAsia" w:eastAsiaTheme="minorEastAsia"/>
          <w:bCs/>
          <w:szCs w:val="21"/>
        </w:rPr>
        <w:t>。</w:t>
      </w:r>
    </w:p>
    <w:p>
      <w:pPr>
        <w:pStyle w:val="18"/>
        <w:spacing w:line="360" w:lineRule="auto"/>
        <w:ind w:firstLine="527" w:firstLineChars="250"/>
        <w:outlineLvl w:val="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二、评审办法</w:t>
      </w:r>
    </w:p>
    <w:p>
      <w:pPr>
        <w:pStyle w:val="18"/>
        <w:spacing w:line="360" w:lineRule="auto"/>
        <w:ind w:firstLine="525" w:firstLineChars="250"/>
        <w:outlineLvl w:val="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（一）对进入详评的，采用综合评分法。</w:t>
      </w:r>
    </w:p>
    <w:p>
      <w:pPr>
        <w:pStyle w:val="18"/>
        <w:spacing w:line="360" w:lineRule="auto"/>
        <w:ind w:firstLine="525" w:firstLineChars="250"/>
        <w:outlineLvl w:val="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（二）计分办法（按四舍五入取至小数点后二位）</w:t>
      </w:r>
    </w:p>
    <w:p>
      <w:pPr>
        <w:pStyle w:val="18"/>
        <w:spacing w:line="360" w:lineRule="auto"/>
        <w:ind w:firstLine="422" w:firstLineChars="200"/>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1、价格分………………………………………………………………………………</w:t>
      </w:r>
      <w:r>
        <w:rPr>
          <w:rFonts w:hAnsi="宋体"/>
          <w:b/>
          <w:bCs/>
          <w:color w:val="000000" w:themeColor="text1"/>
          <w14:textFill>
            <w14:solidFill>
              <w14:schemeClr w14:val="tx1"/>
            </w14:solidFill>
          </w14:textFill>
        </w:rPr>
        <w:t>1</w:t>
      </w:r>
      <w:r>
        <w:rPr>
          <w:rFonts w:hint="eastAsia" w:hAnsi="宋体"/>
          <w:b/>
          <w:bCs/>
          <w:color w:val="000000" w:themeColor="text1"/>
          <w14:textFill>
            <w14:solidFill>
              <w14:schemeClr w14:val="tx1"/>
            </w14:solidFill>
          </w14:textFill>
        </w:rPr>
        <w:t>0分</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1.1 通过资格性和符合性审查，以实质上响应满足磋商文件要求的最低评标报价作为评标基准价。</w:t>
      </w:r>
    </w:p>
    <w:p>
      <w:pPr>
        <w:pStyle w:val="18"/>
        <w:spacing w:line="360" w:lineRule="auto"/>
        <w:ind w:firstLine="3885" w:firstLineChars="1850"/>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评标基准价</w:t>
      </w:r>
    </w:p>
    <w:p>
      <w:pPr>
        <w:pStyle w:val="18"/>
        <w:spacing w:line="360" w:lineRule="auto"/>
        <w:ind w:firstLine="735" w:firstLineChars="350"/>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1736725</wp:posOffset>
                </wp:positionH>
                <wp:positionV relativeFrom="paragraph">
                  <wp:posOffset>113030</wp:posOffset>
                </wp:positionV>
                <wp:extent cx="2223770" cy="0"/>
                <wp:effectExtent l="0" t="0" r="0" b="0"/>
                <wp:wrapNone/>
                <wp:docPr id="4"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2377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136.75pt;margin-top:8.9pt;height:0pt;width:175.1pt;z-index:251661312;mso-width-relative:page;mso-height-relative:page;" filled="f" stroked="t" coordsize="21600,21600" o:gfxdata="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xH8KDW&#10;AAAACQEAAA8AAAAAAAAAAQAgAAAAIgAAAGRycy9kb3ducmV2LnhtbFBLAQIUABQAAAAIAIdO4kCA&#10;ZiI96QEAALgDAAAOAAAAAAAAAAEAIAAAACUBAABkcnMvZTJvRG9jLnhtbFBLBQYAAAAABgAGAFkB&#10;AACABQAAAAA=&#10;">
                <v:fill on="f" focussize="0,0"/>
                <v:stroke color="#000000" joinstyle="round"/>
                <v:imagedata o:title=""/>
                <o:lock v:ext="edit" aspectratio="f"/>
              </v:line>
            </w:pict>
          </mc:Fallback>
        </mc:AlternateContent>
      </w:r>
      <w:r>
        <w:rPr>
          <w:rFonts w:ascii="Times New Roman" w:hAnsi="Times New Roman"/>
          <w:bCs/>
          <w:color w:val="000000" w:themeColor="text1"/>
          <w14:textFill>
            <w14:solidFill>
              <w14:schemeClr w14:val="tx1"/>
            </w14:solidFill>
          </w14:textFill>
        </w:rPr>
        <w:t>某供应商价格得分 = 　                                   ×  1</w:t>
      </w:r>
      <w:r>
        <w:rPr>
          <w:rFonts w:hint="eastAsia" w:ascii="Times New Roman" w:hAnsi="Times New Roman"/>
          <w:bCs/>
          <w:color w:val="000000" w:themeColor="text1"/>
          <w14:textFill>
            <w14:solidFill>
              <w14:schemeClr w14:val="tx1"/>
            </w14:solidFill>
          </w14:textFill>
        </w:rPr>
        <w:t>0</w:t>
      </w:r>
      <w:r>
        <w:rPr>
          <w:rFonts w:ascii="Times New Roman" w:hAnsi="Times New Roman"/>
          <w:bCs/>
          <w:color w:val="000000" w:themeColor="text1"/>
          <w14:textFill>
            <w14:solidFill>
              <w14:schemeClr w14:val="tx1"/>
            </w14:solidFill>
          </w14:textFill>
        </w:rPr>
        <w:t>分</w:t>
      </w:r>
    </w:p>
    <w:p>
      <w:pPr>
        <w:pStyle w:val="18"/>
        <w:spacing w:line="360" w:lineRule="auto"/>
        <w:ind w:firstLine="420" w:firstLineChars="200"/>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xml:space="preserve">                              某供应商最终报价</w:t>
      </w:r>
    </w:p>
    <w:p>
      <w:pPr>
        <w:pStyle w:val="18"/>
        <w:spacing w:line="440" w:lineRule="exact"/>
        <w:ind w:firstLine="430"/>
        <w:rPr>
          <w:rFonts w:ascii="Times New Roman" w:hAnsi="Times New Roman"/>
          <w:bCs/>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1.2 </w:t>
      </w:r>
      <w:r>
        <w:rPr>
          <w:rFonts w:ascii="Times New Roman" w:hAnsi="Times New Roman"/>
          <w:bCs/>
          <w:color w:val="000000" w:themeColor="text1"/>
          <w14:textFill>
            <w14:solidFill>
              <w14:schemeClr w14:val="tx1"/>
            </w14:solidFill>
          </w14:textFill>
        </w:rPr>
        <w:t>若供应商符合以下情形之一的，对其竞标报价将给予相应比例的扣除，用扣除后的价格参与评审。未按要求填写和提供有效证明或相关内容表述不清的，不得享受价格扣除；</w:t>
      </w:r>
    </w:p>
    <w:p>
      <w:pPr>
        <w:pStyle w:val="18"/>
        <w:spacing w:line="440" w:lineRule="exact"/>
        <w:ind w:firstLine="420" w:firstLineChars="200"/>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（1）根据《政府采购支持中小企业发展暂行办法》（财库[2011]181号）规定，供应商属于小型或微型企业且所提供产品属于小型或微型企业生产的，将对供应商的最终报价给予</w:t>
      </w:r>
      <w:r>
        <w:rPr>
          <w:rFonts w:hint="eastAsia" w:ascii="Times New Roman" w:hAnsi="Times New Roman"/>
          <w:bCs/>
          <w:color w:val="000000" w:themeColor="text1"/>
          <w14:textFill>
            <w14:solidFill>
              <w14:schemeClr w14:val="tx1"/>
            </w14:solidFill>
          </w14:textFill>
        </w:rPr>
        <w:t>10</w:t>
      </w:r>
      <w:r>
        <w:rPr>
          <w:rFonts w:ascii="Times New Roman" w:hAnsi="Times New Roman"/>
          <w:bCs/>
          <w:color w:val="000000" w:themeColor="text1"/>
          <w14:textFill>
            <w14:solidFill>
              <w14:schemeClr w14:val="tx1"/>
            </w14:solidFill>
          </w14:textFill>
        </w:rPr>
        <w:t>%的扣除。</w:t>
      </w:r>
    </w:p>
    <w:p>
      <w:pPr>
        <w:pStyle w:val="18"/>
        <w:spacing w:line="440" w:lineRule="exact"/>
        <w:ind w:firstLine="420" w:firstLineChars="200"/>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（2）根据《关于政府采购支持监狱企业发展有关问题的通知》（财库[2014]68号）规定，供应商被认定为监狱企业的，将对其最终报价给予</w:t>
      </w:r>
      <w:r>
        <w:rPr>
          <w:rFonts w:hint="eastAsia" w:ascii="Times New Roman" w:hAnsi="Times New Roman"/>
          <w:bCs/>
          <w:color w:val="000000" w:themeColor="text1"/>
          <w14:textFill>
            <w14:solidFill>
              <w14:schemeClr w14:val="tx1"/>
            </w14:solidFill>
          </w14:textFill>
        </w:rPr>
        <w:t>10</w:t>
      </w:r>
      <w:r>
        <w:rPr>
          <w:rFonts w:ascii="Times New Roman" w:hAnsi="Times New Roman"/>
          <w:bCs/>
          <w:color w:val="000000" w:themeColor="text1"/>
          <w14:textFill>
            <w14:solidFill>
              <w14:schemeClr w14:val="tx1"/>
            </w14:solidFill>
          </w14:textFill>
        </w:rPr>
        <w:t>%的扣除；</w:t>
      </w:r>
    </w:p>
    <w:p>
      <w:pPr>
        <w:pStyle w:val="18"/>
        <w:spacing w:line="440" w:lineRule="exact"/>
        <w:ind w:firstLine="420" w:firstLineChars="200"/>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（3）根据《关于促进残疾人就业政府采购政策的通知》（财库〔2017〕141号）规定，供应商属于残疾人福利性单位且所提供产品属于残疾人福利性单位生产的，享受小型、微型企业政策，将对其最终报价给予</w:t>
      </w:r>
      <w:r>
        <w:rPr>
          <w:rFonts w:hint="eastAsia" w:ascii="Times New Roman" w:hAnsi="Times New Roman"/>
          <w:bCs/>
          <w:color w:val="000000" w:themeColor="text1"/>
          <w14:textFill>
            <w14:solidFill>
              <w14:schemeClr w14:val="tx1"/>
            </w14:solidFill>
          </w14:textFill>
        </w:rPr>
        <w:t>10</w:t>
      </w:r>
      <w:r>
        <w:rPr>
          <w:rFonts w:ascii="Times New Roman" w:hAnsi="Times New Roman"/>
          <w:bCs/>
          <w:color w:val="000000" w:themeColor="text1"/>
          <w14:textFill>
            <w14:solidFill>
              <w14:schemeClr w14:val="tx1"/>
            </w14:solidFill>
          </w14:textFill>
        </w:rPr>
        <w:t>%的扣除。残疾人福利性单位属于小型、微型企业的，不重复享受政策；</w:t>
      </w:r>
    </w:p>
    <w:p>
      <w:pPr>
        <w:pStyle w:val="18"/>
        <w:spacing w:line="440" w:lineRule="exact"/>
        <w:ind w:firstLine="420" w:firstLineChars="200"/>
        <w:jc w:val="left"/>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（4）供应商属两种情形以上的，其只能享受最终报价一次性</w:t>
      </w:r>
      <w:r>
        <w:rPr>
          <w:rFonts w:hint="eastAsia" w:ascii="Times New Roman" w:hAnsi="Times New Roman"/>
          <w:bCs/>
          <w:color w:val="000000" w:themeColor="text1"/>
          <w14:textFill>
            <w14:solidFill>
              <w14:schemeClr w14:val="tx1"/>
            </w14:solidFill>
          </w14:textFill>
        </w:rPr>
        <w:t>10</w:t>
      </w:r>
      <w:r>
        <w:rPr>
          <w:rFonts w:ascii="Times New Roman" w:hAnsi="Times New Roman"/>
          <w:bCs/>
          <w:color w:val="000000" w:themeColor="text1"/>
          <w14:textFill>
            <w14:solidFill>
              <w14:schemeClr w14:val="tx1"/>
            </w14:solidFill>
          </w14:textFill>
        </w:rPr>
        <w:t>%的扣除，不重复享受政策。</w:t>
      </w:r>
    </w:p>
    <w:p>
      <w:pPr>
        <w:spacing w:line="391" w:lineRule="auto"/>
        <w:ind w:left="199" w:leftChars="95" w:right="360" w:firstLine="420" w:firstLineChars="200"/>
        <w:rPr>
          <w:rFonts w:ascii="宋体" w:hAnsi="宋体" w:cs="宋体"/>
          <w:color w:val="000000" w:themeColor="text1"/>
          <w:szCs w:val="21"/>
          <w14:textFill>
            <w14:solidFill>
              <w14:schemeClr w14:val="tx1"/>
            </w14:solidFill>
          </w14:textFill>
        </w:rPr>
      </w:pPr>
      <w:r>
        <w:rPr>
          <w:bCs/>
          <w:color w:val="000000" w:themeColor="text1"/>
          <w14:textFill>
            <w14:solidFill>
              <w14:schemeClr w14:val="tx1"/>
            </w14:solidFill>
          </w14:textFill>
        </w:rPr>
        <w:t>注：小型、微型企业提供中型企业制造的货物的，视同为中型企业</w:t>
      </w:r>
      <w:r>
        <w:rPr>
          <w:rFonts w:hint="eastAsia" w:ascii="宋体" w:hAnsi="宋体" w:cs="宋体"/>
          <w:color w:val="000000" w:themeColor="text1"/>
          <w:szCs w:val="21"/>
          <w14:textFill>
            <w14:solidFill>
              <w14:schemeClr w14:val="tx1"/>
            </w14:solidFill>
          </w14:textFill>
        </w:rPr>
        <w:t>。</w:t>
      </w:r>
    </w:p>
    <w:p>
      <w:pPr>
        <w:spacing w:before="123" w:line="350" w:lineRule="auto"/>
        <w:ind w:left="533" w:right="110"/>
        <w:jc w:val="left"/>
        <w:rPr>
          <w:rFonts w:ascii="宋体" w:hAnsi="宋体" w:cs="宋体"/>
          <w:b/>
          <w:bCs/>
          <w:color w:val="000000" w:themeColor="text1"/>
          <w:w w:val="99"/>
          <w:kern w:val="0"/>
          <w:szCs w:val="21"/>
          <w14:textFill>
            <w14:solidFill>
              <w14:schemeClr w14:val="tx1"/>
            </w14:solidFill>
          </w14:textFill>
        </w:rPr>
      </w:pPr>
      <w:r>
        <w:rPr>
          <w:rFonts w:ascii="宋体" w:hAnsi="宋体" w:cs="宋体"/>
          <w:b/>
          <w:bCs/>
          <w:color w:val="000000" w:themeColor="text1"/>
          <w:kern w:val="0"/>
          <w:szCs w:val="21"/>
          <w14:textFill>
            <w14:solidFill>
              <w14:schemeClr w14:val="tx1"/>
            </w14:solidFill>
          </w14:textFill>
        </w:rPr>
        <w:t>2、项目技术方案分……………………………………………………………………………45分</w:t>
      </w:r>
      <w:r>
        <w:rPr>
          <w:rFonts w:ascii="宋体" w:hAnsi="宋体" w:cs="宋体"/>
          <w:b/>
          <w:bCs/>
          <w:color w:val="000000" w:themeColor="text1"/>
          <w:w w:val="99"/>
          <w:kern w:val="0"/>
          <w:szCs w:val="21"/>
          <w14:textFill>
            <w14:solidFill>
              <w14:schemeClr w14:val="tx1"/>
            </w14:solidFill>
          </w14:textFill>
        </w:rPr>
        <w:t xml:space="preserve"> </w:t>
      </w:r>
    </w:p>
    <w:p>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一档（</w:t>
      </w:r>
      <w:r>
        <w:rPr>
          <w:rFonts w:hint="eastAsia" w:ascii="宋体" w:hAnsi="宋体"/>
          <w:color w:val="000000" w:themeColor="text1"/>
          <w14:textFill>
            <w14:solidFill>
              <w14:schemeClr w14:val="tx1"/>
            </w14:solidFill>
          </w14:textFill>
        </w:rPr>
        <w:t>0</w:t>
      </w:r>
      <w:r>
        <w:rPr>
          <w:rFonts w:hint="eastAsia" w:ascii="宋体" w:hAnsi="宋体"/>
          <w:color w:val="000000" w:themeColor="text1"/>
          <w:szCs w:val="21"/>
          <w14:textFill>
            <w14:solidFill>
              <w14:schemeClr w14:val="tx1"/>
            </w14:solidFill>
          </w14:textFill>
        </w:rPr>
        <w:t>～</w:t>
      </w:r>
      <w:r>
        <w:rPr>
          <w:rFonts w:ascii="宋体" w:hAnsi="宋体"/>
          <w:color w:val="000000" w:themeColor="text1"/>
          <w14:textFill>
            <w14:solidFill>
              <w14:schemeClr w14:val="tx1"/>
            </w14:solidFill>
          </w14:textFill>
        </w:rPr>
        <w:t>15分）：工作方案可行，方案描述简单，基本满足项目要求；</w:t>
      </w:r>
    </w:p>
    <w:p>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二档（16</w:t>
      </w:r>
      <w:r>
        <w:rPr>
          <w:rFonts w:hint="eastAsia" w:ascii="宋体" w:hAnsi="宋体"/>
          <w:color w:val="000000" w:themeColor="text1"/>
          <w:szCs w:val="21"/>
          <w14:textFill>
            <w14:solidFill>
              <w14:schemeClr w14:val="tx1"/>
            </w14:solidFill>
          </w14:textFill>
        </w:rPr>
        <w:t>～</w:t>
      </w:r>
      <w:r>
        <w:rPr>
          <w:rFonts w:ascii="宋体" w:hAnsi="宋体"/>
          <w:color w:val="000000" w:themeColor="text1"/>
          <w14:textFill>
            <w14:solidFill>
              <w14:schemeClr w14:val="tx1"/>
            </w14:solidFill>
          </w14:textFill>
        </w:rPr>
        <w:t>30分）：工作方案较好，方案分析论述一般，能考虑到本项目的情况，</w:t>
      </w:r>
      <w:r>
        <w:rPr>
          <w:rFonts w:hint="eastAsia" w:ascii="宋体" w:hAnsi="宋体"/>
          <w:color w:val="000000" w:themeColor="text1"/>
          <w14:textFill>
            <w14:solidFill>
              <w14:schemeClr w14:val="tx1"/>
            </w14:solidFill>
          </w14:textFill>
        </w:rPr>
        <w:t>配备一名初级社工师作为项目主管，比较有效的促进项目的进度；</w:t>
      </w:r>
      <w:r>
        <w:rPr>
          <w:rFonts w:ascii="宋体" w:hAnsi="宋体"/>
          <w:color w:val="000000" w:themeColor="text1"/>
          <w14:textFill>
            <w14:solidFill>
              <w14:schemeClr w14:val="tx1"/>
            </w14:solidFill>
          </w14:textFill>
        </w:rPr>
        <w:t>较好的满足项目要求；</w:t>
      </w:r>
    </w:p>
    <w:p>
      <w:pPr>
        <w:spacing w:line="360" w:lineRule="auto"/>
        <w:ind w:firstLine="420" w:firstLineChars="20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三档（</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0</w:t>
      </w: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5</w:t>
      </w:r>
      <w:r>
        <w:rPr>
          <w:rFonts w:ascii="宋体" w:hAnsi="宋体"/>
          <w:color w:val="000000" w:themeColor="text1"/>
          <w14:textFill>
            <w14:solidFill>
              <w14:schemeClr w14:val="tx1"/>
            </w14:solidFill>
          </w14:textFill>
        </w:rPr>
        <w:t>分）：工作方案良好，方案描述清晰、准确、完整、合理，能充分考虑到本项目的具体情况并采取针对性措施，有良好的进度控制、质量控制、组织与协调管理方案；</w:t>
      </w:r>
      <w:r>
        <w:rPr>
          <w:rFonts w:hint="eastAsia" w:ascii="宋体" w:hAnsi="宋体"/>
          <w:color w:val="000000" w:themeColor="text1"/>
          <w14:textFill>
            <w14:solidFill>
              <w14:schemeClr w14:val="tx1"/>
            </w14:solidFill>
          </w14:textFill>
        </w:rPr>
        <w:t>配备1名中级社工师为项目主管，保证项目的工作质量、培训时间，</w:t>
      </w:r>
      <w:r>
        <w:rPr>
          <w:rFonts w:ascii="宋体" w:hAnsi="宋体"/>
          <w:color w:val="000000" w:themeColor="text1"/>
          <w14:textFill>
            <w14:solidFill>
              <w14:schemeClr w14:val="tx1"/>
            </w14:solidFill>
          </w14:textFill>
        </w:rPr>
        <w:t>提出的</w:t>
      </w:r>
      <w:r>
        <w:rPr>
          <w:rFonts w:hint="eastAsia" w:ascii="宋体" w:hAnsi="宋体"/>
          <w:color w:val="000000" w:themeColor="text1"/>
          <w14:textFill>
            <w14:solidFill>
              <w14:schemeClr w14:val="tx1"/>
            </w14:solidFill>
          </w14:textFill>
        </w:rPr>
        <w:t>方案</w:t>
      </w:r>
      <w:r>
        <w:rPr>
          <w:rFonts w:ascii="宋体" w:hAnsi="宋体"/>
          <w:color w:val="000000" w:themeColor="text1"/>
          <w14:textFill>
            <w14:solidFill>
              <w14:schemeClr w14:val="tx1"/>
            </w14:solidFill>
          </w14:textFill>
        </w:rPr>
        <w:t>可实施性强。能很好的满足项目要求</w:t>
      </w:r>
      <w:r>
        <w:rPr>
          <w:rFonts w:hint="eastAsia" w:ascii="宋体" w:hAnsi="宋体"/>
          <w:color w:val="000000" w:themeColor="text1"/>
          <w14:textFill>
            <w14:solidFill>
              <w14:schemeClr w14:val="tx1"/>
            </w14:solidFill>
          </w14:textFill>
        </w:rPr>
        <w:t>。</w:t>
      </w:r>
    </w:p>
    <w:p>
      <w:pPr>
        <w:spacing w:before="31"/>
        <w:ind w:left="526" w:right="110"/>
        <w:jc w:val="left"/>
        <w:outlineLvl w:val="3"/>
        <w:rPr>
          <w:rFonts w:ascii="宋体" w:hAnsi="宋体"/>
          <w:color w:val="000000" w:themeColor="text1"/>
          <w:kern w:val="0"/>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3、项目投入人员配备分…………………………………………………………………</w:t>
      </w:r>
      <w:r>
        <w:rPr>
          <w:rFonts w:hint="eastAsia" w:ascii="宋体" w:hAnsi="宋体"/>
          <w:b/>
          <w:bCs/>
          <w:color w:val="000000" w:themeColor="text1"/>
          <w:kern w:val="0"/>
          <w:szCs w:val="21"/>
          <w14:textFill>
            <w14:solidFill>
              <w14:schemeClr w14:val="tx1"/>
            </w14:solidFill>
          </w14:textFill>
        </w:rPr>
        <w:t>18分</w:t>
      </w:r>
    </w:p>
    <w:p>
      <w:pPr>
        <w:spacing w:before="126"/>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1）拟投入本次项目的主管取得初级社会工作师，得 3 分；拟投入本次项目的主管取得中级社会工作师，得 4 分；拟投入本次项目的主管是社会工作专业毕业且取得中级社会工作师满3年，得6分。满分6分（注：须在投标文件中提供磋商截止之日前半年内磋商人连续三个月的为其依法缴纳社保费的证明材料、身份证复印件、毕业证及资格证书复印件。）</w:t>
      </w:r>
    </w:p>
    <w:p>
      <w:pPr>
        <w:spacing w:before="126"/>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3）拟投入项目人员具有初级社会工作师职称的，每人得 3分，满分 12 分。（注：须在投标文件中提供初级职称证复印件，须在投标文件中提供磋商截止之日前半年内磋商人连续三个月的为其依法缴纳社保费的证明材料、身份证复印件。）</w:t>
      </w:r>
    </w:p>
    <w:p>
      <w:pPr>
        <w:spacing w:before="29"/>
        <w:ind w:left="533" w:right="80"/>
        <w:jc w:val="left"/>
        <w:outlineLvl w:val="3"/>
        <w:rPr>
          <w:rFonts w:ascii="宋体" w:hAnsi="宋体"/>
          <w:color w:val="000000" w:themeColor="text1"/>
          <w:kern w:val="0"/>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4、信誉分………………………………………………………………………………………17分</w:t>
      </w:r>
    </w:p>
    <w:p>
      <w:pPr>
        <w:spacing w:line="400" w:lineRule="exact"/>
        <w:ind w:firstLine="420" w:firstLineChars="200"/>
        <w:rPr>
          <w:rStyle w:val="80"/>
          <w:rFonts w:ascii="Arial" w:hAnsi="Arial" w:cs="Arial"/>
          <w:bCs/>
          <w:color w:val="000000" w:themeColor="text1"/>
          <w:szCs w:val="21"/>
          <w14:textFill>
            <w14:solidFill>
              <w14:schemeClr w14:val="tx1"/>
            </w14:solidFill>
          </w14:textFill>
        </w:rPr>
      </w:pPr>
      <w:r>
        <w:rPr>
          <w:rStyle w:val="80"/>
          <w:rFonts w:hint="eastAsia" w:ascii="仿宋_GB2312" w:hAnsi="仿宋_GB2312" w:eastAsia="仿宋_GB2312" w:cs="仿宋_GB2312"/>
          <w:bCs/>
          <w:color w:val="000000" w:themeColor="text1"/>
          <w:szCs w:val="21"/>
          <w14:textFill>
            <w14:solidFill>
              <w14:schemeClr w14:val="tx1"/>
            </w14:solidFill>
          </w14:textFill>
        </w:rPr>
        <w:t>①</w:t>
      </w:r>
      <w:r>
        <w:rPr>
          <w:rStyle w:val="80"/>
          <w:rFonts w:ascii="Arial" w:hAnsi="Arial" w:cs="Arial"/>
          <w:bCs/>
          <w:color w:val="000000" w:themeColor="text1"/>
          <w:szCs w:val="21"/>
          <w14:textFill>
            <w14:solidFill>
              <w14:schemeClr w14:val="tx1"/>
            </w14:solidFill>
          </w14:textFill>
        </w:rPr>
        <w:t>投标人自201</w:t>
      </w:r>
      <w:r>
        <w:rPr>
          <w:rStyle w:val="80"/>
          <w:rFonts w:hint="eastAsia" w:ascii="Arial" w:hAnsi="Arial" w:cs="Arial"/>
          <w:bCs/>
          <w:color w:val="000000" w:themeColor="text1"/>
          <w:szCs w:val="21"/>
          <w14:textFill>
            <w14:solidFill>
              <w14:schemeClr w14:val="tx1"/>
            </w14:solidFill>
          </w14:textFill>
        </w:rPr>
        <w:t>7</w:t>
      </w:r>
      <w:r>
        <w:rPr>
          <w:rStyle w:val="80"/>
          <w:rFonts w:ascii="Arial" w:hAnsi="Arial" w:cs="Arial"/>
          <w:bCs/>
          <w:color w:val="000000" w:themeColor="text1"/>
          <w:szCs w:val="21"/>
          <w14:textFill>
            <w14:solidFill>
              <w14:schemeClr w14:val="tx1"/>
            </w14:solidFill>
          </w14:textFill>
        </w:rPr>
        <w:t>年1月1日以来获得行政部门颁发的重合同守信用、先进企业、纳税大户等与生产经营服务相关的奖项，获得地级市奖项每一项为</w:t>
      </w:r>
      <w:r>
        <w:rPr>
          <w:rStyle w:val="80"/>
          <w:rFonts w:hint="eastAsia" w:ascii="Arial" w:hAnsi="Arial" w:cs="Arial"/>
          <w:bCs/>
          <w:color w:val="000000" w:themeColor="text1"/>
          <w:szCs w:val="21"/>
          <w14:textFill>
            <w14:solidFill>
              <w14:schemeClr w14:val="tx1"/>
            </w14:solidFill>
          </w14:textFill>
        </w:rPr>
        <w:t>1</w:t>
      </w:r>
      <w:r>
        <w:rPr>
          <w:rStyle w:val="80"/>
          <w:rFonts w:ascii="Arial" w:hAnsi="Arial" w:cs="Arial"/>
          <w:bCs/>
          <w:color w:val="000000" w:themeColor="text1"/>
          <w:szCs w:val="21"/>
          <w14:textFill>
            <w14:solidFill>
              <w14:schemeClr w14:val="tx1"/>
            </w14:solidFill>
          </w14:textFill>
        </w:rPr>
        <w:t>分，满分3分；获得省</w:t>
      </w:r>
      <w:r>
        <w:rPr>
          <w:rStyle w:val="80"/>
          <w:rFonts w:hint="eastAsia" w:ascii="Arial" w:hAnsi="Arial" w:cs="Arial"/>
          <w:bCs/>
          <w:color w:val="000000" w:themeColor="text1"/>
          <w:szCs w:val="21"/>
          <w14:textFill>
            <w14:solidFill>
              <w14:schemeClr w14:val="tx1"/>
            </w14:solidFill>
          </w14:textFill>
        </w:rPr>
        <w:t>/国家</w:t>
      </w:r>
      <w:r>
        <w:rPr>
          <w:rStyle w:val="80"/>
          <w:rFonts w:ascii="Arial" w:hAnsi="Arial" w:cs="Arial"/>
          <w:bCs/>
          <w:color w:val="000000" w:themeColor="text1"/>
          <w:szCs w:val="21"/>
          <w14:textFill>
            <w14:solidFill>
              <w14:schemeClr w14:val="tx1"/>
            </w14:solidFill>
          </w14:textFill>
        </w:rPr>
        <w:t>级奖项每一项为2分，满分4分；如同时具备地级市或省或国家级以上同一奖项的，以最高级奖项为准</w:t>
      </w:r>
      <w:r>
        <w:rPr>
          <w:rStyle w:val="80"/>
          <w:rFonts w:hint="eastAsia" w:ascii="Arial" w:hAnsi="Arial" w:cs="Arial"/>
          <w:bCs/>
          <w:color w:val="000000" w:themeColor="text1"/>
          <w:szCs w:val="21"/>
          <w14:textFill>
            <w14:solidFill>
              <w14:schemeClr w14:val="tx1"/>
            </w14:solidFill>
          </w14:textFill>
        </w:rPr>
        <w:t>。此项满分共</w:t>
      </w:r>
      <w:r>
        <w:rPr>
          <w:rStyle w:val="80"/>
          <w:rFonts w:ascii="Arial" w:hAnsi="Arial" w:cs="Arial"/>
          <w:bCs/>
          <w:color w:val="000000" w:themeColor="text1"/>
          <w:szCs w:val="21"/>
          <w14:textFill>
            <w14:solidFill>
              <w14:schemeClr w14:val="tx1"/>
            </w14:solidFill>
          </w14:textFill>
        </w:rPr>
        <w:t>7</w:t>
      </w:r>
      <w:r>
        <w:rPr>
          <w:rStyle w:val="80"/>
          <w:rFonts w:hint="eastAsia" w:ascii="Arial" w:hAnsi="Arial" w:cs="Arial"/>
          <w:bCs/>
          <w:color w:val="000000" w:themeColor="text1"/>
          <w:szCs w:val="21"/>
          <w14:textFill>
            <w14:solidFill>
              <w14:schemeClr w14:val="tx1"/>
            </w14:solidFill>
          </w14:textFill>
        </w:rPr>
        <w:t>分。</w:t>
      </w:r>
      <w:r>
        <w:rPr>
          <w:rStyle w:val="80"/>
          <w:rFonts w:ascii="Arial" w:hAnsi="Arial" w:cs="Arial"/>
          <w:bCs/>
          <w:color w:val="000000" w:themeColor="text1"/>
          <w:szCs w:val="21"/>
          <w14:textFill>
            <w14:solidFill>
              <w14:schemeClr w14:val="tx1"/>
            </w14:solidFill>
          </w14:textFill>
        </w:rPr>
        <w:t>（须提供有效证件复印件，否则不得分）。</w:t>
      </w:r>
    </w:p>
    <w:p>
      <w:pPr>
        <w:spacing w:line="400" w:lineRule="exact"/>
        <w:ind w:firstLine="420" w:firstLineChars="200"/>
        <w:rPr>
          <w:rStyle w:val="80"/>
          <w:rFonts w:ascii="Arial" w:hAnsi="Arial" w:cs="Arial"/>
          <w:bCs/>
          <w:color w:val="000000" w:themeColor="text1"/>
          <w:szCs w:val="21"/>
          <w14:textFill>
            <w14:solidFill>
              <w14:schemeClr w14:val="tx1"/>
            </w14:solidFill>
          </w14:textFill>
        </w:rPr>
      </w:pPr>
      <w:r>
        <w:rPr>
          <w:rStyle w:val="80"/>
          <w:rFonts w:hint="eastAsia" w:ascii="仿宋_GB2312" w:hAnsi="仿宋_GB2312" w:eastAsia="仿宋_GB2312" w:cs="仿宋_GB2312"/>
          <w:bCs/>
          <w:color w:val="000000" w:themeColor="text1"/>
          <w:szCs w:val="21"/>
          <w14:textFill>
            <w14:solidFill>
              <w14:schemeClr w14:val="tx1"/>
            </w14:solidFill>
          </w14:textFill>
        </w:rPr>
        <w:t>②</w:t>
      </w:r>
      <w:r>
        <w:rPr>
          <w:rStyle w:val="80"/>
          <w:rFonts w:ascii="Arial" w:hAnsi="Arial" w:cs="Arial"/>
          <w:bCs/>
          <w:color w:val="000000" w:themeColor="text1"/>
          <w:szCs w:val="21"/>
          <w14:textFill>
            <w14:solidFill>
              <w14:schemeClr w14:val="tx1"/>
            </w14:solidFill>
          </w14:textFill>
        </w:rPr>
        <w:t>已获得5A级社会组织得10分，已获得4A社会组织得5分，3A及以下得2分。（须提供有效证件复印件并盖公章，否则不得分）。</w:t>
      </w:r>
      <w:r>
        <w:rPr>
          <w:rStyle w:val="80"/>
          <w:rFonts w:hint="eastAsia" w:ascii="Arial" w:hAnsi="Arial" w:cs="Arial"/>
          <w:bCs/>
          <w:color w:val="000000" w:themeColor="text1"/>
          <w:szCs w:val="21"/>
          <w14:textFill>
            <w14:solidFill>
              <w14:schemeClr w14:val="tx1"/>
            </w14:solidFill>
          </w14:textFill>
        </w:rPr>
        <w:t>此项满分1</w:t>
      </w:r>
      <w:r>
        <w:rPr>
          <w:rStyle w:val="80"/>
          <w:rFonts w:ascii="Arial" w:hAnsi="Arial" w:cs="Arial"/>
          <w:bCs/>
          <w:color w:val="000000" w:themeColor="text1"/>
          <w:szCs w:val="21"/>
          <w14:textFill>
            <w14:solidFill>
              <w14:schemeClr w14:val="tx1"/>
            </w14:solidFill>
          </w14:textFill>
        </w:rPr>
        <w:t>0</w:t>
      </w:r>
      <w:r>
        <w:rPr>
          <w:rStyle w:val="80"/>
          <w:rFonts w:hint="eastAsia" w:ascii="Arial" w:hAnsi="Arial" w:cs="Arial"/>
          <w:bCs/>
          <w:color w:val="000000" w:themeColor="text1"/>
          <w:szCs w:val="21"/>
          <w14:textFill>
            <w14:solidFill>
              <w14:schemeClr w14:val="tx1"/>
            </w14:solidFill>
          </w14:textFill>
        </w:rPr>
        <w:t>分。</w:t>
      </w:r>
    </w:p>
    <w:p>
      <w:pPr>
        <w:spacing w:line="400" w:lineRule="exact"/>
        <w:ind w:firstLine="420" w:firstLineChars="200"/>
        <w:rPr>
          <w:rFonts w:ascii="宋体" w:hAnsi="宋体"/>
          <w:color w:val="000000" w:themeColor="text1"/>
          <w:kern w:val="0"/>
          <w:szCs w:val="21"/>
          <w14:textFill>
            <w14:solidFill>
              <w14:schemeClr w14:val="tx1"/>
            </w14:solidFill>
          </w14:textFill>
        </w:rPr>
      </w:pPr>
      <w:r>
        <w:rPr>
          <w:rStyle w:val="80"/>
          <w:rFonts w:hint="eastAsia" w:ascii="Arial" w:hAnsi="Arial" w:cs="Arial"/>
          <w:bCs/>
          <w:color w:val="000000" w:themeColor="text1"/>
          <w:szCs w:val="21"/>
          <w14:textFill>
            <w14:solidFill>
              <w14:schemeClr w14:val="tx1"/>
            </w14:solidFill>
          </w14:textFill>
        </w:rPr>
        <w:t>信誉分=</w:t>
      </w:r>
      <w:r>
        <w:rPr>
          <w:rStyle w:val="80"/>
          <w:rFonts w:hint="eastAsia" w:ascii="仿宋_GB2312" w:hAnsi="仿宋_GB2312" w:eastAsia="仿宋_GB2312" w:cs="仿宋_GB2312"/>
          <w:bCs/>
          <w:color w:val="000000" w:themeColor="text1"/>
          <w:szCs w:val="21"/>
          <w14:textFill>
            <w14:solidFill>
              <w14:schemeClr w14:val="tx1"/>
            </w14:solidFill>
          </w14:textFill>
        </w:rPr>
        <w:t>①</w:t>
      </w:r>
      <w:r>
        <w:rPr>
          <w:rStyle w:val="80"/>
          <w:rFonts w:hint="eastAsia" w:ascii="Arial" w:hAnsi="Arial" w:cs="Arial"/>
          <w:bCs/>
          <w:color w:val="000000" w:themeColor="text1"/>
          <w:szCs w:val="21"/>
          <w14:textFill>
            <w14:solidFill>
              <w14:schemeClr w14:val="tx1"/>
            </w14:solidFill>
          </w14:textFill>
        </w:rPr>
        <w:t>+</w:t>
      </w:r>
      <w:r>
        <w:rPr>
          <w:rStyle w:val="80"/>
          <w:rFonts w:hint="eastAsia" w:ascii="仿宋_GB2312" w:hAnsi="仿宋_GB2312" w:eastAsia="仿宋_GB2312" w:cs="仿宋_GB2312"/>
          <w:bCs/>
          <w:color w:val="000000" w:themeColor="text1"/>
          <w:szCs w:val="21"/>
          <w14:textFill>
            <w14:solidFill>
              <w14:schemeClr w14:val="tx1"/>
            </w14:solidFill>
          </w14:textFill>
        </w:rPr>
        <w:t>②</w:t>
      </w:r>
    </w:p>
    <w:p>
      <w:pPr>
        <w:spacing w:before="123" w:line="350" w:lineRule="auto"/>
        <w:ind w:left="526" w:right="80"/>
        <w:jc w:val="left"/>
        <w:rPr>
          <w:rFonts w:ascii="宋体" w:hAnsi="宋体" w:cs="宋体"/>
          <w:color w:val="000000" w:themeColor="text1"/>
          <w:w w:val="99"/>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（注：以上证明文件须在投标文件中提供相应的复印件并加盖公章，否则不予认可加分。）</w:t>
      </w:r>
      <w:r>
        <w:rPr>
          <w:rFonts w:ascii="宋体" w:hAnsi="宋体" w:cs="宋体"/>
          <w:color w:val="000000" w:themeColor="text1"/>
          <w:w w:val="99"/>
          <w:kern w:val="0"/>
          <w:szCs w:val="21"/>
          <w14:textFill>
            <w14:solidFill>
              <w14:schemeClr w14:val="tx1"/>
            </w14:solidFill>
          </w14:textFill>
        </w:rPr>
        <w:t xml:space="preserve"> </w:t>
      </w:r>
    </w:p>
    <w:p>
      <w:pPr>
        <w:spacing w:before="123" w:line="350" w:lineRule="auto"/>
        <w:ind w:left="526" w:right="80"/>
        <w:jc w:val="left"/>
        <w:rPr>
          <w:rFonts w:ascii="宋体" w:hAnsi="宋体" w:cs="宋体"/>
          <w:b/>
          <w:bCs/>
          <w:color w:val="000000" w:themeColor="text1"/>
          <w:w w:val="99"/>
          <w:kern w:val="0"/>
          <w:szCs w:val="21"/>
          <w14:textFill>
            <w14:solidFill>
              <w14:schemeClr w14:val="tx1"/>
            </w14:solidFill>
          </w14:textFill>
        </w:rPr>
      </w:pPr>
      <w:r>
        <w:rPr>
          <w:rFonts w:ascii="宋体" w:hAnsi="宋体" w:cs="宋体"/>
          <w:b/>
          <w:bCs/>
          <w:color w:val="000000" w:themeColor="text1"/>
          <w:kern w:val="0"/>
          <w:szCs w:val="21"/>
          <w14:textFill>
            <w14:solidFill>
              <w14:schemeClr w14:val="tx1"/>
            </w14:solidFill>
          </w14:textFill>
        </w:rPr>
        <w:t>5、业绩分…………………………………………………………………………………………</w:t>
      </w:r>
      <w:r>
        <w:rPr>
          <w:rFonts w:hint="eastAsia" w:ascii="宋体" w:hAnsi="宋体" w:cs="宋体"/>
          <w:b/>
          <w:bCs/>
          <w:color w:val="000000" w:themeColor="text1"/>
          <w:kern w:val="0"/>
          <w:szCs w:val="21"/>
          <w14:textFill>
            <w14:solidFill>
              <w14:schemeClr w14:val="tx1"/>
            </w14:solidFill>
          </w14:textFill>
        </w:rPr>
        <w:t>4</w:t>
      </w:r>
      <w:r>
        <w:rPr>
          <w:rFonts w:ascii="宋体" w:hAnsi="宋体" w:cs="宋体"/>
          <w:b/>
          <w:bCs/>
          <w:color w:val="000000" w:themeColor="text1"/>
          <w:kern w:val="0"/>
          <w:szCs w:val="21"/>
          <w14:textFill>
            <w14:solidFill>
              <w14:schemeClr w14:val="tx1"/>
            </w14:solidFill>
          </w14:textFill>
        </w:rPr>
        <w:t>分</w:t>
      </w:r>
      <w:r>
        <w:rPr>
          <w:rFonts w:ascii="宋体" w:hAnsi="宋体" w:cs="宋体"/>
          <w:b/>
          <w:bCs/>
          <w:color w:val="000000" w:themeColor="text1"/>
          <w:w w:val="99"/>
          <w:kern w:val="0"/>
          <w:szCs w:val="21"/>
          <w14:textFill>
            <w14:solidFill>
              <w14:schemeClr w14:val="tx1"/>
            </w14:solidFill>
          </w14:textFill>
        </w:rPr>
        <w:t xml:space="preserve"> </w:t>
      </w:r>
    </w:p>
    <w:p>
      <w:pPr>
        <w:spacing w:before="126" w:line="348" w:lineRule="auto"/>
        <w:ind w:left="113" w:right="210" w:firstLine="420"/>
        <w:rPr>
          <w:rFonts w:ascii="宋体" w:hAnsi="宋体" w:cs="宋体"/>
          <w:color w:val="000000" w:themeColor="text1"/>
          <w:kern w:val="0"/>
          <w:szCs w:val="21"/>
          <w14:textFill>
            <w14:solidFill>
              <w14:schemeClr w14:val="tx1"/>
            </w14:solidFill>
          </w14:textFill>
        </w:rPr>
      </w:pPr>
      <w:r>
        <w:rPr>
          <w:rStyle w:val="80"/>
          <w:rFonts w:hint="eastAsia" w:ascii="Arial" w:hAnsi="Arial" w:cs="Arial"/>
          <w:bCs/>
          <w:color w:val="000000" w:themeColor="text1"/>
          <w:szCs w:val="21"/>
          <w14:textFill>
            <w14:solidFill>
              <w14:schemeClr w14:val="tx1"/>
            </w14:solidFill>
          </w14:textFill>
        </w:rPr>
        <w:t>供应商自 2019 年 1 月 1 日以来承担过类似项目成功案例的（为政府部门或行政事业单位开展核查/调查/评估服务），地市级项目，每项得2分；广西区级项目，每项得4分。满分 4 分。（注：须在投标文件中提供项目委托书或合同协议书或中标通知书复印件并加盖投标单位公章，否则不予计分。）</w:t>
      </w:r>
    </w:p>
    <w:p>
      <w:pPr>
        <w:spacing w:before="31" w:line="350" w:lineRule="auto"/>
        <w:ind w:left="533" w:right="80"/>
        <w:jc w:val="left"/>
        <w:rPr>
          <w:rFonts w:ascii="宋体" w:hAnsi="宋体"/>
          <w:color w:val="000000" w:themeColor="text1"/>
          <w:spacing w:val="89"/>
          <w:w w:val="95"/>
          <w:kern w:val="0"/>
          <w:szCs w:val="21"/>
          <w14:textFill>
            <w14:solidFill>
              <w14:schemeClr w14:val="tx1"/>
            </w14:solidFill>
          </w14:textFill>
        </w:rPr>
      </w:pPr>
      <w:r>
        <w:rPr>
          <w:rFonts w:ascii="宋体" w:hAnsi="宋体" w:cs="宋体"/>
          <w:b/>
          <w:bCs/>
          <w:color w:val="000000" w:themeColor="text1"/>
          <w:kern w:val="0"/>
          <w:szCs w:val="21"/>
          <w14:textFill>
            <w14:solidFill>
              <w14:schemeClr w14:val="tx1"/>
            </w14:solidFill>
          </w14:textFill>
        </w:rPr>
        <w:t>6、服务承诺分…………………………………………………………………………………</w:t>
      </w:r>
      <w:r>
        <w:rPr>
          <w:rFonts w:hint="eastAsia" w:ascii="宋体" w:hAnsi="宋体" w:cs="宋体"/>
          <w:b/>
          <w:bCs/>
          <w:color w:val="000000" w:themeColor="text1"/>
          <w:kern w:val="0"/>
          <w:szCs w:val="21"/>
          <w14:textFill>
            <w14:solidFill>
              <w14:schemeClr w14:val="tx1"/>
            </w14:solidFill>
          </w14:textFill>
        </w:rPr>
        <w:t>6</w:t>
      </w:r>
      <w:r>
        <w:rPr>
          <w:rFonts w:ascii="宋体" w:hAnsi="宋体" w:cs="宋体"/>
          <w:b/>
          <w:bCs/>
          <w:color w:val="000000" w:themeColor="text1"/>
          <w:kern w:val="0"/>
          <w:szCs w:val="21"/>
          <w14:textFill>
            <w14:solidFill>
              <w14:schemeClr w14:val="tx1"/>
            </w14:solidFill>
          </w14:textFill>
        </w:rPr>
        <w:t>分</w:t>
      </w:r>
      <w:r>
        <w:rPr>
          <w:rFonts w:ascii="宋体" w:hAnsi="宋体" w:cs="宋体"/>
          <w:b/>
          <w:bCs/>
          <w:color w:val="000000" w:themeColor="text1"/>
          <w:w w:val="99"/>
          <w:kern w:val="0"/>
          <w:szCs w:val="21"/>
          <w14:textFill>
            <w14:solidFill>
              <w14:schemeClr w14:val="tx1"/>
            </w14:solidFill>
          </w14:textFill>
        </w:rPr>
        <w:t xml:space="preserve"> </w:t>
      </w:r>
      <w:r>
        <w:rPr>
          <w:rFonts w:ascii="宋体" w:hAnsi="宋体"/>
          <w:color w:val="000000" w:themeColor="text1"/>
          <w:spacing w:val="89"/>
          <w:w w:val="95"/>
          <w:kern w:val="0"/>
          <w:szCs w:val="21"/>
          <w14:textFill>
            <w14:solidFill>
              <w14:schemeClr w14:val="tx1"/>
            </w14:solidFill>
          </w14:textFill>
        </w:rPr>
        <w:t xml:space="preserve"> </w:t>
      </w:r>
    </w:p>
    <w:p>
      <w:pPr>
        <w:spacing w:before="31" w:line="350" w:lineRule="auto"/>
        <w:ind w:left="533" w:right="80"/>
        <w:jc w:val="left"/>
        <w:rPr>
          <w:rFonts w:ascii="宋体" w:hAnsi="宋体" w:cs="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一档（</w:t>
      </w:r>
      <w:r>
        <w:rPr>
          <w:rFonts w:hint="eastAsia" w:ascii="宋体" w:hAnsi="宋体"/>
          <w:color w:val="000000" w:themeColor="text1"/>
          <w:kern w:val="0"/>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2</w:t>
      </w:r>
      <w:r>
        <w:rPr>
          <w:rFonts w:ascii="宋体" w:hAnsi="宋体"/>
          <w:color w:val="000000" w:themeColor="text1"/>
          <w:kern w:val="0"/>
          <w:szCs w:val="21"/>
          <w14:textFill>
            <w14:solidFill>
              <w14:schemeClr w14:val="tx1"/>
            </w14:solidFill>
          </w14:textFill>
        </w:rPr>
        <w:t>分）：承诺基本满足采购文件需求；</w:t>
      </w:r>
    </w:p>
    <w:p>
      <w:pPr>
        <w:spacing w:before="29" w:line="348" w:lineRule="auto"/>
        <w:ind w:left="113" w:right="80" w:firstLine="420"/>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二档（</w:t>
      </w:r>
      <w:r>
        <w:rPr>
          <w:rFonts w:hint="eastAsia" w:ascii="宋体" w:hAnsi="宋体"/>
          <w:color w:val="000000" w:themeColor="text1"/>
          <w:kern w:val="0"/>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4</w:t>
      </w:r>
      <w:r>
        <w:rPr>
          <w:rFonts w:ascii="宋体" w:hAnsi="宋体"/>
          <w:color w:val="000000" w:themeColor="text1"/>
          <w:spacing w:val="-21"/>
          <w:kern w:val="0"/>
          <w:szCs w:val="21"/>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分）：服务承诺良好，完全满足采购文件要求（有简单的保障制度、措施和内部质量管理措施，</w:t>
      </w:r>
      <w:r>
        <w:rPr>
          <w:rFonts w:ascii="宋体" w:hAnsi="宋体"/>
          <w:color w:val="000000" w:themeColor="text1"/>
          <w:w w:val="99"/>
          <w:kern w:val="0"/>
          <w:szCs w:val="21"/>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提供完整的后续服务方案）；</w:t>
      </w:r>
    </w:p>
    <w:p>
      <w:pPr>
        <w:spacing w:before="31" w:line="350" w:lineRule="auto"/>
        <w:ind w:left="113" w:right="80" w:firstLine="420"/>
        <w:jc w:val="left"/>
        <w:rPr>
          <w:color w:val="000000" w:themeColor="text1"/>
          <w:sz w:val="18"/>
          <w:szCs w:val="18"/>
          <w14:textFill>
            <w14:solidFill>
              <w14:schemeClr w14:val="tx1"/>
            </w14:solidFill>
          </w14:textFill>
        </w:rPr>
      </w:pPr>
      <w:r>
        <w:rPr>
          <w:rFonts w:ascii="宋体" w:hAnsi="宋体"/>
          <w:color w:val="000000" w:themeColor="text1"/>
          <w:kern w:val="0"/>
          <w:szCs w:val="21"/>
          <w14:textFill>
            <w14:solidFill>
              <w14:schemeClr w14:val="tx1"/>
            </w14:solidFill>
          </w14:textFill>
        </w:rPr>
        <w:t>三档（</w:t>
      </w:r>
      <w:r>
        <w:rPr>
          <w:rFonts w:hint="eastAsia" w:ascii="宋体" w:hAnsi="宋体"/>
          <w:color w:val="000000" w:themeColor="text1"/>
          <w:kern w:val="0"/>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6</w:t>
      </w:r>
      <w:r>
        <w:rPr>
          <w:rFonts w:ascii="宋体" w:hAnsi="宋体"/>
          <w:color w:val="000000" w:themeColor="text1"/>
          <w:kern w:val="0"/>
          <w:szCs w:val="21"/>
          <w14:textFill>
            <w14:solidFill>
              <w14:schemeClr w14:val="tx1"/>
            </w14:solidFill>
          </w14:textFill>
        </w:rPr>
        <w:t>分）：服务承诺详细，表达充分，完全满足采购文件要求（对整个项目质量管理有具体的保障制度和措施，有明确的内部质量管理措施，承诺对问题在2小时内给予回应并尽快提出解决方案）</w:t>
      </w:r>
    </w:p>
    <w:p>
      <w:pPr>
        <w:adjustRightInd w:val="0"/>
        <w:spacing w:line="36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三、总得分=</w:t>
      </w:r>
      <w:r>
        <w:rPr>
          <w:rFonts w:hint="eastAsia" w:hAnsi="宋体"/>
          <w:b/>
          <w:bCs/>
          <w:color w:val="000000" w:themeColor="text1"/>
          <w:szCs w:val="21"/>
          <w14:textFill>
            <w14:solidFill>
              <w14:schemeClr w14:val="tx1"/>
            </w14:solidFill>
          </w14:textFill>
        </w:rPr>
        <w:t>1+2+3+4+5+6</w:t>
      </w:r>
      <w:r>
        <w:rPr>
          <w:rFonts w:hint="eastAsia" w:ascii="宋体" w:hAnsi="宋体" w:cs="宋体"/>
          <w:b/>
          <w:bCs/>
          <w:color w:val="000000" w:themeColor="text1"/>
          <w:szCs w:val="21"/>
          <w14:textFill>
            <w14:solidFill>
              <w14:schemeClr w14:val="tx1"/>
            </w14:solidFill>
          </w14:textFill>
        </w:rPr>
        <w:t>。</w:t>
      </w:r>
    </w:p>
    <w:p>
      <w:pPr>
        <w:pStyle w:val="18"/>
        <w:spacing w:line="360" w:lineRule="auto"/>
        <w:ind w:firstLine="527" w:firstLineChars="250"/>
        <w:outlineLvl w:val="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四、推荐成交候选供应商原则</w:t>
      </w:r>
    </w:p>
    <w:p>
      <w:pPr>
        <w:pStyle w:val="18"/>
        <w:spacing w:line="360" w:lineRule="auto"/>
        <w:ind w:firstLine="525" w:firstLineChars="250"/>
        <w:outlineLvl w:val="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1）磋商小组应当根据综合评分情况，按照综合得分由高到低顺序推荐成交候选供应商，并编写评审报告。磋商小组根据综合得分由高到低排列次序，若得分相同时，以评审报价由低到高顺序排列；若得分相同且评审报价相同的，以最后报价由低到高顺序排列；若仍相同的，依次按服务承诺方案分、项目实施方案分由高到低顺序排列并推荐成交候选供应商。</w:t>
      </w:r>
    </w:p>
    <w:p>
      <w:pPr>
        <w:pStyle w:val="18"/>
        <w:spacing w:line="360" w:lineRule="auto"/>
        <w:ind w:firstLine="525" w:firstLineChars="250"/>
        <w:outlineLvl w:val="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（2）采购单位应当确定磋商小组推荐排名第一的成交候选供应商为成交供应商。</w:t>
      </w:r>
    </w:p>
    <w:p>
      <w:pPr>
        <w:pStyle w:val="18"/>
        <w:spacing w:line="360" w:lineRule="auto"/>
        <w:ind w:firstLine="525" w:firstLineChars="250"/>
        <w:outlineLvl w:val="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（3）排名第一的成交候选供应商放弃成交、因不可抗力提出不能履行合同，或因失信行为被取消成交候选人资格的，采购单位可以确定排名第二的成交候选供应商为成交供应商。</w:t>
      </w:r>
    </w:p>
    <w:p>
      <w:pPr>
        <w:pStyle w:val="18"/>
        <w:spacing w:line="360" w:lineRule="auto"/>
        <w:ind w:firstLine="525" w:firstLineChars="250"/>
        <w:outlineLvl w:val="0"/>
        <w:rPr>
          <w:rFonts w:ascii="方正隶书简体" w:hAnsi="宋体" w:eastAsia="方正隶书简体"/>
          <w:bCs/>
          <w:color w:val="000000" w:themeColor="text1"/>
          <w:sz w:val="44"/>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（4）排名第二的成交候选供应商因前款规定的同样原因不能签订合同的，采购单位可以确定排名第三的成交候选人为成交供应商。以此类推。</w:t>
      </w:r>
      <w:bookmarkEnd w:id="260"/>
      <w:bookmarkEnd w:id="261"/>
      <w:bookmarkEnd w:id="262"/>
    </w:p>
    <w:p>
      <w:pPr>
        <w:rPr>
          <w:color w:val="000000" w:themeColor="text1"/>
          <w14:textFill>
            <w14:solidFill>
              <w14:schemeClr w14:val="tx1"/>
            </w14:solidFill>
          </w14:textFill>
        </w:rPr>
      </w:pPr>
    </w:p>
    <w:p>
      <w:pPr>
        <w:pStyle w:val="5"/>
        <w:ind w:firstLine="880"/>
        <w:rPr>
          <w:rFonts w:ascii="方正隶书简体" w:hAnsi="宋体" w:eastAsia="方正隶书简体"/>
          <w:bCs/>
          <w:sz w:val="44"/>
        </w:rPr>
      </w:pPr>
    </w:p>
    <w:p>
      <w:pPr>
        <w:pStyle w:val="5"/>
        <w:ind w:firstLine="880"/>
        <w:rPr>
          <w:rFonts w:ascii="方正隶书简体" w:hAnsi="宋体" w:eastAsia="方正隶书简体"/>
          <w:bCs/>
          <w:sz w:val="44"/>
        </w:rPr>
      </w:pPr>
    </w:p>
    <w:p>
      <w:pPr>
        <w:pStyle w:val="5"/>
        <w:ind w:firstLine="880"/>
        <w:rPr>
          <w:rFonts w:ascii="方正隶书简体" w:hAnsi="宋体" w:eastAsia="方正隶书简体"/>
          <w:bCs/>
          <w:sz w:val="44"/>
        </w:rPr>
      </w:pPr>
    </w:p>
    <w:p>
      <w:pPr>
        <w:pStyle w:val="5"/>
        <w:ind w:firstLine="880"/>
        <w:rPr>
          <w:rFonts w:ascii="方正隶书简体" w:hAnsi="宋体" w:eastAsia="方正隶书简体"/>
          <w:bCs/>
          <w:sz w:val="44"/>
        </w:rPr>
      </w:pPr>
    </w:p>
    <w:p>
      <w:pPr>
        <w:pStyle w:val="5"/>
        <w:ind w:firstLine="880"/>
        <w:rPr>
          <w:rFonts w:ascii="方正隶书简体" w:hAnsi="宋体" w:eastAsia="方正隶书简体"/>
          <w:bCs/>
          <w:sz w:val="44"/>
        </w:rPr>
      </w:pPr>
    </w:p>
    <w:p>
      <w:pPr>
        <w:pStyle w:val="5"/>
        <w:ind w:firstLine="880"/>
        <w:rPr>
          <w:rFonts w:ascii="方正隶书简体" w:hAnsi="宋体" w:eastAsia="方正隶书简体"/>
          <w:bCs/>
          <w:sz w:val="44"/>
        </w:rPr>
      </w:pPr>
    </w:p>
    <w:p>
      <w:pPr>
        <w:pStyle w:val="5"/>
        <w:ind w:firstLine="880"/>
        <w:rPr>
          <w:rFonts w:ascii="方正隶书简体" w:hAnsi="宋体" w:eastAsia="方正隶书简体"/>
          <w:bCs/>
          <w:sz w:val="44"/>
        </w:rPr>
      </w:pPr>
    </w:p>
    <w:p>
      <w:pPr>
        <w:pStyle w:val="5"/>
        <w:ind w:firstLine="0" w:firstLineChars="0"/>
        <w:rPr>
          <w:rFonts w:ascii="方正隶书简体" w:hAnsi="宋体" w:eastAsia="方正隶书简体"/>
          <w:bCs/>
          <w:sz w:val="44"/>
        </w:rPr>
      </w:pPr>
    </w:p>
    <w:p>
      <w:pPr>
        <w:pStyle w:val="3"/>
        <w:spacing w:line="560" w:lineRule="exact"/>
        <w:jc w:val="center"/>
        <w:rPr>
          <w:rFonts w:ascii="方正隶书简体" w:hAnsi="宋体" w:eastAsia="方正隶书简体"/>
          <w:bCs/>
          <w:sz w:val="44"/>
        </w:rPr>
      </w:pPr>
      <w:r>
        <w:rPr>
          <w:rFonts w:hint="eastAsia" w:ascii="方正隶书简体" w:hAnsi="宋体" w:eastAsia="方正隶书简体"/>
          <w:bCs/>
          <w:sz w:val="44"/>
        </w:rPr>
        <w:t>第五章   响应文件（格式）</w:t>
      </w:r>
      <w:bookmarkEnd w:id="254"/>
      <w:bookmarkEnd w:id="255"/>
      <w:bookmarkEnd w:id="256"/>
      <w:bookmarkEnd w:id="257"/>
      <w:bookmarkEnd w:id="258"/>
      <w:bookmarkEnd w:id="259"/>
    </w:p>
    <w:p>
      <w:pPr>
        <w:spacing w:line="400" w:lineRule="exact"/>
      </w:pPr>
    </w:p>
    <w:p>
      <w:pPr>
        <w:spacing w:line="400" w:lineRule="exact"/>
      </w:pPr>
    </w:p>
    <w:p>
      <w:pPr>
        <w:autoSpaceDE w:val="0"/>
        <w:autoSpaceDN w:val="0"/>
        <w:adjustRightInd w:val="0"/>
        <w:spacing w:line="360" w:lineRule="auto"/>
        <w:rPr>
          <w:szCs w:val="21"/>
        </w:rPr>
      </w:pPr>
      <w:r>
        <w:rPr>
          <w:rFonts w:hint="eastAsia" w:ascii="宋体" w:cs="宋体"/>
          <w:szCs w:val="21"/>
          <w:lang w:val="zh-CN"/>
        </w:rPr>
        <w:t>说明：</w:t>
      </w:r>
    </w:p>
    <w:p>
      <w:pPr>
        <w:pStyle w:val="18"/>
        <w:spacing w:line="400" w:lineRule="exact"/>
        <w:ind w:left="315" w:hanging="315" w:hangingChars="150"/>
        <w:rPr>
          <w:szCs w:val="21"/>
        </w:rPr>
      </w:pPr>
      <w:r>
        <w:rPr>
          <w:rFonts w:hint="eastAsia" w:cs="宋体"/>
          <w:szCs w:val="21"/>
          <w:lang w:val="zh-CN"/>
        </w:rPr>
        <w:t>1、</w:t>
      </w:r>
      <w:r>
        <w:rPr>
          <w:rFonts w:hint="eastAsia" w:hAnsi="宋体"/>
          <w:szCs w:val="21"/>
        </w:rPr>
        <w:t>本章所列的报价文件格式</w:t>
      </w:r>
      <w:r>
        <w:rPr>
          <w:rFonts w:hint="eastAsia" w:cs="宋体"/>
          <w:szCs w:val="21"/>
          <w:lang w:val="zh-CN"/>
        </w:rPr>
        <w:t>，服务商可根据自身情况进行补充和修改、扩展，但补充和修改不得造成与本章格式内容有实质性的违背。</w:t>
      </w:r>
    </w:p>
    <w:p>
      <w:pPr>
        <w:pStyle w:val="18"/>
        <w:spacing w:line="400" w:lineRule="exact"/>
        <w:ind w:left="315" w:hanging="315" w:hangingChars="150"/>
        <w:rPr>
          <w:rFonts w:cs="宋体"/>
          <w:szCs w:val="21"/>
          <w:lang w:val="zh-CN"/>
        </w:rPr>
      </w:pPr>
      <w:r>
        <w:rPr>
          <w:rFonts w:hint="eastAsia" w:cs="宋体"/>
          <w:szCs w:val="21"/>
          <w:lang w:val="zh-CN"/>
        </w:rPr>
        <w:t>2、</w:t>
      </w:r>
      <w:r>
        <w:rPr>
          <w:rFonts w:hint="eastAsia" w:hAnsi="宋体"/>
          <w:sz w:val="20"/>
        </w:rPr>
        <w:t>目录</w:t>
      </w:r>
      <w:r>
        <w:rPr>
          <w:rFonts w:hint="eastAsia" w:hAnsi="宋体"/>
          <w:szCs w:val="21"/>
        </w:rPr>
        <w:t>由服务商自拟</w:t>
      </w:r>
      <w:r>
        <w:rPr>
          <w:rFonts w:hint="eastAsia" w:cs="宋体"/>
          <w:szCs w:val="21"/>
          <w:lang w:val="zh-CN"/>
        </w:rPr>
        <w:t>。</w:t>
      </w:r>
    </w:p>
    <w:p>
      <w:pPr>
        <w:pStyle w:val="18"/>
        <w:spacing w:line="400" w:lineRule="exact"/>
        <w:ind w:left="315" w:hanging="315" w:hangingChars="150"/>
        <w:rPr>
          <w:rFonts w:cs="宋体"/>
          <w:szCs w:val="21"/>
          <w:lang w:val="zh-CN"/>
        </w:rPr>
      </w:pPr>
      <w:r>
        <w:rPr>
          <w:rFonts w:hint="eastAsia" w:cs="宋体"/>
          <w:szCs w:val="21"/>
          <w:lang w:val="zh-CN"/>
        </w:rPr>
        <w:t>3、</w:t>
      </w:r>
      <w:r>
        <w:rPr>
          <w:rFonts w:hint="eastAsia" w:hAnsi="宋体"/>
          <w:szCs w:val="21"/>
        </w:rPr>
        <w:t>服务商</w:t>
      </w:r>
      <w:r>
        <w:rPr>
          <w:rFonts w:hint="eastAsia" w:cs="宋体"/>
          <w:szCs w:val="21"/>
          <w:lang w:val="zh-CN"/>
        </w:rPr>
        <w:t>资格证明文件按</w:t>
      </w:r>
      <w:r>
        <w:rPr>
          <w:rFonts w:hint="eastAsia" w:hAnsi="宋体"/>
          <w:szCs w:val="21"/>
        </w:rPr>
        <w:t>服务商</w:t>
      </w:r>
      <w:r>
        <w:rPr>
          <w:rFonts w:hint="eastAsia" w:cs="宋体"/>
          <w:szCs w:val="21"/>
          <w:lang w:val="zh-CN"/>
        </w:rPr>
        <w:t>须知要求提供。</w:t>
      </w:r>
    </w:p>
    <w:p>
      <w:pPr>
        <w:pStyle w:val="18"/>
        <w:spacing w:line="400" w:lineRule="exact"/>
        <w:ind w:left="315" w:hanging="315" w:hangingChars="150"/>
        <w:rPr>
          <w:rFonts w:cs="宋体"/>
          <w:szCs w:val="21"/>
          <w:lang w:val="zh-CN"/>
        </w:rPr>
      </w:pPr>
      <w:r>
        <w:rPr>
          <w:rFonts w:hint="eastAsia" w:cs="宋体"/>
          <w:szCs w:val="21"/>
          <w:lang w:val="zh-CN"/>
        </w:rPr>
        <w:t>4、《法人授权委托书》填写说明：</w:t>
      </w:r>
    </w:p>
    <w:p>
      <w:pPr>
        <w:pStyle w:val="18"/>
        <w:spacing w:line="400" w:lineRule="exact"/>
        <w:ind w:left="540" w:leftChars="107" w:hanging="315" w:hangingChars="150"/>
        <w:rPr>
          <w:rFonts w:hAnsi="宋体"/>
          <w:bCs/>
          <w:szCs w:val="21"/>
        </w:rPr>
      </w:pPr>
      <w:r>
        <w:rPr>
          <w:rFonts w:hint="eastAsia" w:hAnsi="宋体"/>
          <w:bCs/>
          <w:szCs w:val="21"/>
        </w:rPr>
        <w:t>1）委托书所签发的代理期限必须涵盖代理人所有签字为有效时间。</w:t>
      </w:r>
    </w:p>
    <w:p>
      <w:pPr>
        <w:pStyle w:val="18"/>
        <w:spacing w:line="400" w:lineRule="exact"/>
        <w:ind w:left="540" w:leftChars="107" w:hanging="315" w:hangingChars="150"/>
        <w:rPr>
          <w:rFonts w:hAnsi="宋体"/>
          <w:bCs/>
          <w:szCs w:val="21"/>
        </w:rPr>
      </w:pPr>
      <w:r>
        <w:rPr>
          <w:rFonts w:hint="eastAsia" w:hAnsi="宋体"/>
          <w:bCs/>
          <w:szCs w:val="21"/>
        </w:rPr>
        <w:t>2）委托书内容填写要明确，文字要工整清楚，涂改无效。</w:t>
      </w:r>
    </w:p>
    <w:p>
      <w:pPr>
        <w:pStyle w:val="18"/>
        <w:spacing w:line="400" w:lineRule="exact"/>
        <w:ind w:left="540" w:leftChars="107" w:hanging="315" w:hangingChars="150"/>
        <w:rPr>
          <w:rFonts w:hAnsi="宋体"/>
          <w:bCs/>
          <w:szCs w:val="21"/>
        </w:rPr>
      </w:pPr>
      <w:r>
        <w:rPr>
          <w:rFonts w:hint="eastAsia" w:hAnsi="宋体"/>
          <w:bCs/>
          <w:szCs w:val="21"/>
        </w:rPr>
        <w:t>3）委托书不得转借、转让，不得买卖。</w:t>
      </w:r>
    </w:p>
    <w:p>
      <w:pPr>
        <w:pStyle w:val="18"/>
        <w:spacing w:line="400" w:lineRule="exact"/>
        <w:ind w:left="540" w:leftChars="107" w:hanging="315" w:hangingChars="150"/>
        <w:rPr>
          <w:rFonts w:hAnsi="宋体"/>
          <w:bCs/>
          <w:szCs w:val="21"/>
        </w:rPr>
      </w:pPr>
      <w:r>
        <w:rPr>
          <w:rFonts w:hint="eastAsia" w:hAnsi="宋体"/>
          <w:bCs/>
          <w:szCs w:val="21"/>
        </w:rPr>
        <w:t>4）代理人根据授权范围，以委托单位的名义签订合同，并将此委托书提交给对方作为合同附件。</w:t>
      </w:r>
    </w:p>
    <w:p>
      <w:pPr>
        <w:pStyle w:val="18"/>
        <w:spacing w:line="400" w:lineRule="exact"/>
        <w:ind w:left="315" w:hanging="315" w:hangingChars="150"/>
        <w:rPr>
          <w:rFonts w:cs="宋体"/>
          <w:szCs w:val="21"/>
          <w:lang w:val="zh-CN"/>
        </w:rPr>
      </w:pPr>
    </w:p>
    <w:p>
      <w:pPr>
        <w:spacing w:line="400" w:lineRule="exact"/>
      </w:pPr>
    </w:p>
    <w:p>
      <w:pPr>
        <w:pStyle w:val="18"/>
        <w:rPr>
          <w:rFonts w:hAnsi="宋体"/>
          <w:sz w:val="36"/>
          <w:szCs w:val="36"/>
        </w:rPr>
      </w:pPr>
      <w:r>
        <w:rPr>
          <w:rFonts w:ascii="Times New Roman" w:hAnsi="Times New Roman"/>
          <w:szCs w:val="24"/>
        </w:rPr>
        <w:br w:type="page"/>
      </w:r>
      <w:r>
        <w:rPr>
          <w:rFonts w:hint="eastAsia" w:hAnsi="宋体"/>
          <w:sz w:val="36"/>
          <w:szCs w:val="36"/>
        </w:rPr>
        <w:t>（封面格式）</w:t>
      </w:r>
    </w:p>
    <w:p>
      <w:pPr>
        <w:pStyle w:val="18"/>
        <w:jc w:val="right"/>
        <w:rPr>
          <w:rFonts w:hAnsi="宋体"/>
          <w:b/>
          <w:sz w:val="36"/>
          <w:szCs w:val="36"/>
        </w:rPr>
      </w:pPr>
    </w:p>
    <w:p>
      <w:pPr>
        <w:pStyle w:val="18"/>
        <w:spacing w:line="400" w:lineRule="exact"/>
        <w:jc w:val="center"/>
        <w:rPr>
          <w:rFonts w:hAnsi="宋体"/>
          <w:b/>
          <w:sz w:val="36"/>
          <w:szCs w:val="36"/>
        </w:rPr>
      </w:pPr>
    </w:p>
    <w:p>
      <w:pPr>
        <w:pStyle w:val="18"/>
        <w:spacing w:line="1000" w:lineRule="exact"/>
        <w:ind w:left="359" w:leftChars="171" w:right="412" w:rightChars="196"/>
        <w:jc w:val="center"/>
        <w:rPr>
          <w:rFonts w:hAnsi="宋体"/>
          <w:b/>
          <w:sz w:val="48"/>
          <w:szCs w:val="48"/>
        </w:rPr>
      </w:pPr>
      <w:r>
        <w:rPr>
          <w:rFonts w:hint="eastAsia" w:hAnsi="宋体"/>
          <w:b/>
          <w:sz w:val="48"/>
          <w:szCs w:val="48"/>
          <w:lang w:eastAsia="zh-CN"/>
        </w:rPr>
        <w:t>推行政府购买服务加强基层社会救助经办服务能力</w:t>
      </w:r>
      <w:r>
        <w:rPr>
          <w:rFonts w:hint="eastAsia" w:hAnsi="宋体"/>
          <w:b/>
          <w:sz w:val="48"/>
          <w:szCs w:val="48"/>
        </w:rPr>
        <w:t xml:space="preserve"> </w:t>
      </w:r>
    </w:p>
    <w:p>
      <w:pPr>
        <w:pStyle w:val="18"/>
        <w:spacing w:line="1000" w:lineRule="exact"/>
        <w:jc w:val="center"/>
        <w:rPr>
          <w:rFonts w:hAnsi="宋体"/>
          <w:b/>
          <w:sz w:val="48"/>
          <w:szCs w:val="48"/>
        </w:rPr>
      </w:pPr>
      <w:r>
        <w:rPr>
          <w:rFonts w:hint="eastAsia" w:hAnsi="宋体"/>
          <w:b/>
          <w:sz w:val="48"/>
          <w:szCs w:val="48"/>
        </w:rPr>
        <w:t>（MSZC2021-C3-01583）</w:t>
      </w:r>
    </w:p>
    <w:p>
      <w:pPr>
        <w:pStyle w:val="18"/>
        <w:jc w:val="center"/>
        <w:rPr>
          <w:rFonts w:hAnsi="宋体"/>
          <w:b/>
          <w:sz w:val="36"/>
          <w:szCs w:val="36"/>
        </w:rPr>
      </w:pPr>
    </w:p>
    <w:p>
      <w:pPr>
        <w:pStyle w:val="18"/>
        <w:jc w:val="center"/>
        <w:rPr>
          <w:rFonts w:hAnsi="宋体"/>
          <w:b/>
          <w:sz w:val="36"/>
          <w:szCs w:val="36"/>
        </w:rPr>
      </w:pPr>
    </w:p>
    <w:p>
      <w:pPr>
        <w:pStyle w:val="18"/>
        <w:jc w:val="center"/>
        <w:rPr>
          <w:rFonts w:hAnsi="宋体"/>
          <w:b/>
          <w:spacing w:val="200"/>
          <w:sz w:val="72"/>
          <w:szCs w:val="72"/>
        </w:rPr>
      </w:pPr>
      <w:r>
        <w:rPr>
          <w:rFonts w:hint="eastAsia" w:hAnsi="宋体"/>
          <w:b/>
          <w:spacing w:val="200"/>
          <w:sz w:val="72"/>
          <w:szCs w:val="72"/>
        </w:rPr>
        <w:t>响应文件</w:t>
      </w:r>
    </w:p>
    <w:p>
      <w:pPr>
        <w:pStyle w:val="18"/>
        <w:jc w:val="center"/>
        <w:rPr>
          <w:rFonts w:hAnsi="宋体"/>
          <w:b/>
          <w:sz w:val="36"/>
          <w:szCs w:val="36"/>
        </w:rPr>
      </w:pPr>
    </w:p>
    <w:p>
      <w:pPr>
        <w:pStyle w:val="18"/>
        <w:ind w:firstLine="2570" w:firstLineChars="800"/>
        <w:rPr>
          <w:rFonts w:hAnsi="宋体"/>
          <w:b/>
          <w:sz w:val="32"/>
          <w:szCs w:val="32"/>
          <w:u w:val="single"/>
        </w:rPr>
      </w:pPr>
    </w:p>
    <w:p>
      <w:pPr>
        <w:pStyle w:val="18"/>
        <w:ind w:firstLine="2570" w:firstLineChars="800"/>
        <w:rPr>
          <w:rFonts w:hAnsi="宋体"/>
          <w:b/>
          <w:sz w:val="32"/>
          <w:szCs w:val="32"/>
          <w:u w:val="single"/>
        </w:rPr>
      </w:pPr>
    </w:p>
    <w:p>
      <w:pPr>
        <w:pStyle w:val="18"/>
        <w:ind w:firstLine="2570" w:firstLineChars="800"/>
        <w:rPr>
          <w:rFonts w:hAnsi="宋体"/>
          <w:b/>
          <w:sz w:val="32"/>
          <w:szCs w:val="32"/>
          <w:u w:val="single"/>
        </w:rPr>
      </w:pPr>
    </w:p>
    <w:p>
      <w:pPr>
        <w:pStyle w:val="18"/>
        <w:spacing w:line="1000" w:lineRule="exact"/>
        <w:ind w:firstLine="540" w:firstLineChars="168"/>
        <w:rPr>
          <w:rFonts w:hAnsi="宋体"/>
          <w:b/>
          <w:sz w:val="32"/>
          <w:szCs w:val="32"/>
          <w:u w:val="single"/>
        </w:rPr>
      </w:pPr>
      <w:r>
        <w:rPr>
          <w:rFonts w:hint="eastAsia" w:hAnsi="宋体"/>
          <w:b/>
          <w:sz w:val="32"/>
          <w:szCs w:val="32"/>
        </w:rPr>
        <w:t>服务商：</w:t>
      </w:r>
      <w:r>
        <w:rPr>
          <w:rFonts w:hint="eastAsia" w:hAnsi="宋体"/>
          <w:b/>
          <w:sz w:val="32"/>
          <w:szCs w:val="32"/>
          <w:u w:val="single"/>
        </w:rPr>
        <w:t xml:space="preserve">                         （名称加盖单位公章）</w:t>
      </w:r>
    </w:p>
    <w:p>
      <w:pPr>
        <w:pStyle w:val="18"/>
        <w:spacing w:line="1000" w:lineRule="exact"/>
        <w:ind w:firstLine="540" w:firstLineChars="168"/>
        <w:rPr>
          <w:rFonts w:hAnsi="宋体"/>
          <w:b/>
          <w:sz w:val="32"/>
          <w:szCs w:val="32"/>
        </w:rPr>
      </w:pPr>
      <w:r>
        <w:rPr>
          <w:rFonts w:hint="eastAsia" w:hAnsi="宋体"/>
          <w:b/>
          <w:sz w:val="32"/>
          <w:szCs w:val="32"/>
        </w:rPr>
        <w:t>服务商地址：</w:t>
      </w:r>
      <w:r>
        <w:rPr>
          <w:rFonts w:hint="eastAsia" w:hAnsi="宋体"/>
          <w:b/>
          <w:sz w:val="32"/>
          <w:szCs w:val="32"/>
          <w:u w:val="single"/>
        </w:rPr>
        <w:t xml:space="preserve">                                          </w:t>
      </w:r>
    </w:p>
    <w:p>
      <w:pPr>
        <w:pStyle w:val="18"/>
        <w:ind w:firstLine="482" w:firstLineChars="150"/>
        <w:rPr>
          <w:rFonts w:hAnsi="宋体"/>
          <w:b/>
          <w:sz w:val="32"/>
          <w:szCs w:val="32"/>
        </w:rPr>
      </w:pPr>
    </w:p>
    <w:p>
      <w:pPr>
        <w:pStyle w:val="18"/>
        <w:jc w:val="center"/>
        <w:rPr>
          <w:rFonts w:hAnsi="宋体"/>
          <w:b/>
          <w:sz w:val="32"/>
          <w:szCs w:val="32"/>
        </w:rPr>
      </w:pPr>
      <w:r>
        <w:rPr>
          <w:rFonts w:hint="eastAsia" w:hAnsi="宋体"/>
          <w:b/>
          <w:sz w:val="32"/>
          <w:szCs w:val="32"/>
        </w:rPr>
        <w:t>竞标日期：年月日</w:t>
      </w:r>
    </w:p>
    <w:p>
      <w:pPr>
        <w:pStyle w:val="18"/>
        <w:spacing w:line="500" w:lineRule="exact"/>
        <w:ind w:firstLine="4000" w:firstLineChars="1250"/>
      </w:pPr>
      <w:r>
        <w:rPr>
          <w:rFonts w:hAnsi="宋体"/>
          <w:sz w:val="32"/>
          <w:szCs w:val="32"/>
        </w:rPr>
        <w:br w:type="page"/>
      </w:r>
      <w:r>
        <w:rPr>
          <w:rFonts w:hint="eastAsia"/>
          <w:b/>
          <w:sz w:val="32"/>
        </w:rPr>
        <w:t>响应函（格式）</w:t>
      </w:r>
    </w:p>
    <w:p>
      <w:pPr>
        <w:snapToGrid w:val="0"/>
        <w:spacing w:line="360" w:lineRule="auto"/>
      </w:pPr>
    </w:p>
    <w:p>
      <w:pPr>
        <w:snapToGrid w:val="0"/>
        <w:spacing w:line="360" w:lineRule="auto"/>
      </w:pPr>
    </w:p>
    <w:p>
      <w:pPr>
        <w:snapToGrid w:val="0"/>
        <w:spacing w:line="360" w:lineRule="auto"/>
      </w:pPr>
      <w:r>
        <w:t>致：</w:t>
      </w:r>
      <w:r>
        <w:rPr>
          <w:u w:val="single"/>
        </w:rPr>
        <w:t xml:space="preserve">                  </w:t>
      </w:r>
      <w:r>
        <w:t>（采购单位名称）：</w:t>
      </w:r>
    </w:p>
    <w:p>
      <w:pPr>
        <w:snapToGrid w:val="0"/>
        <w:spacing w:line="360" w:lineRule="auto"/>
        <w:ind w:firstLine="480"/>
      </w:pPr>
      <w:r>
        <w:t>根据贵方为</w:t>
      </w:r>
      <w:r>
        <w:rPr>
          <w:u w:val="single"/>
        </w:rPr>
        <w:t xml:space="preserve">                             </w:t>
      </w:r>
      <w:r>
        <w:t>项目的磋商文件（项目编号：</w:t>
      </w:r>
      <w:r>
        <w:rPr>
          <w:u w:val="single"/>
        </w:rPr>
        <w:t xml:space="preserve">                 </w:t>
      </w:r>
      <w:r>
        <w:t>），签字代表</w:t>
      </w:r>
      <w:r>
        <w:rPr>
          <w:u w:val="single"/>
        </w:rPr>
        <w:t xml:space="preserve">             </w:t>
      </w:r>
      <w:r>
        <w:t>（全名）经正式授权并代表</w:t>
      </w:r>
      <w:r>
        <w:rPr>
          <w:rFonts w:hint="eastAsia"/>
        </w:rPr>
        <w:t>服务商</w:t>
      </w:r>
      <w:r>
        <w:rPr>
          <w:u w:val="single"/>
        </w:rPr>
        <w:t xml:space="preserve">                          </w:t>
      </w:r>
      <w:r>
        <w:t>（</w:t>
      </w:r>
      <w:r>
        <w:rPr>
          <w:rFonts w:hint="eastAsia"/>
        </w:rPr>
        <w:t>服务商</w:t>
      </w:r>
      <w:r>
        <w:t>名称）提交资信/商务文件、技术文件、报价。</w:t>
      </w:r>
    </w:p>
    <w:p>
      <w:pPr>
        <w:snapToGrid w:val="0"/>
        <w:spacing w:line="360" w:lineRule="auto"/>
        <w:ind w:firstLine="420" w:firstLineChars="200"/>
      </w:pPr>
      <w:r>
        <w:t>据此函，签字代表宣布同意如下：</w:t>
      </w:r>
    </w:p>
    <w:p>
      <w:pPr>
        <w:snapToGrid w:val="0"/>
        <w:spacing w:line="360" w:lineRule="auto"/>
        <w:ind w:firstLine="420" w:firstLineChars="200"/>
      </w:pPr>
      <w:r>
        <w:t>1．按磋商文件采购需求和磋商报价表：磋商报价（大写）</w:t>
      </w:r>
      <w:r>
        <w:rPr>
          <w:u w:val="single"/>
        </w:rPr>
        <w:t xml:space="preserve">               </w:t>
      </w:r>
      <w:r>
        <w:t>元人民币(￥</w:t>
      </w:r>
      <w:r>
        <w:rPr>
          <w:u w:val="single"/>
        </w:rPr>
        <w:t xml:space="preserve">         </w:t>
      </w:r>
      <w:r>
        <w:t>)，服务期限____________。</w:t>
      </w:r>
    </w:p>
    <w:p>
      <w:pPr>
        <w:snapToGrid w:val="0"/>
        <w:spacing w:line="360" w:lineRule="auto"/>
        <w:ind w:firstLine="420" w:firstLineChars="200"/>
      </w:pPr>
      <w:r>
        <w:t>2．我方已详细审查全部“竞争性磋商文件”，包括修改文件（如有的话）以及全部参考资料和有关附件，已经了解我方对于竞争性磋商文件、采购过程、采购结果有依法进行询问、质疑、投诉的权利及相关渠道和要求。</w:t>
      </w:r>
    </w:p>
    <w:p>
      <w:pPr>
        <w:snapToGrid w:val="0"/>
        <w:spacing w:line="360" w:lineRule="auto"/>
        <w:ind w:firstLine="420" w:firstLineChars="200"/>
      </w:pPr>
      <w:r>
        <w:t>3．我方在磋商之前已经与贵方进行了充分的沟通，完全理解并接受采购文件的各项规定和要求，对竞争性磋商文件的合理性、合法性不再有异议。</w:t>
      </w:r>
    </w:p>
    <w:p>
      <w:pPr>
        <w:snapToGrid w:val="0"/>
        <w:spacing w:line="360" w:lineRule="auto"/>
        <w:ind w:firstLine="420" w:firstLineChars="200"/>
      </w:pPr>
      <w:r>
        <w:t>4．我方承诺磋商有效期为自磋商截止时间起</w:t>
      </w:r>
      <w:r>
        <w:rPr>
          <w:u w:val="single"/>
        </w:rPr>
        <w:t xml:space="preserve"> </w:t>
      </w:r>
      <w:r>
        <w:rPr>
          <w:rFonts w:hint="eastAsia"/>
          <w:u w:val="single"/>
        </w:rPr>
        <w:t>60</w:t>
      </w:r>
      <w:r>
        <w:rPr>
          <w:u w:val="single"/>
        </w:rPr>
        <w:t xml:space="preserve"> </w:t>
      </w:r>
      <w:r>
        <w:t>天。</w:t>
      </w:r>
    </w:p>
    <w:p>
      <w:pPr>
        <w:snapToGrid w:val="0"/>
        <w:spacing w:line="360" w:lineRule="auto"/>
        <w:ind w:firstLine="420" w:firstLineChars="200"/>
      </w:pPr>
      <w:r>
        <w:t>5．如我方成交：</w:t>
      </w:r>
    </w:p>
    <w:p>
      <w:pPr>
        <w:snapToGrid w:val="0"/>
        <w:spacing w:line="360" w:lineRule="auto"/>
        <w:ind w:firstLine="420" w:firstLineChars="200"/>
      </w:pPr>
      <w:r>
        <w:t>（1）我方承诺在收到成交通知书后，在成交通知书规定的期限内与采购人签订合同。</w:t>
      </w:r>
    </w:p>
    <w:p>
      <w:pPr>
        <w:snapToGrid w:val="0"/>
        <w:spacing w:line="360" w:lineRule="auto"/>
        <w:ind w:firstLine="420" w:firstLineChars="200"/>
      </w:pPr>
      <w:r>
        <w:t>（2）我方承诺本响应文件至本项目合同履行完毕止均保持有效，按磋商文件及政府采购法律、法规的规定履行合同责任和义务。</w:t>
      </w:r>
    </w:p>
    <w:p>
      <w:pPr>
        <w:snapToGrid w:val="0"/>
        <w:spacing w:line="360" w:lineRule="auto"/>
        <w:ind w:firstLine="420" w:firstLineChars="200"/>
      </w:pPr>
      <w:r>
        <w:t>6．我方同意按照贵方要求提供与磋商有关的一切数据或资料。</w:t>
      </w:r>
    </w:p>
    <w:p>
      <w:pPr>
        <w:snapToGrid w:val="0"/>
        <w:spacing w:line="360" w:lineRule="auto"/>
        <w:ind w:firstLine="420" w:firstLineChars="200"/>
      </w:pPr>
      <w:r>
        <w:t>7．与本磋商有关的一切正式往来信函请寄：</w:t>
      </w:r>
    </w:p>
    <w:p>
      <w:pPr>
        <w:snapToGrid w:val="0"/>
        <w:spacing w:line="480" w:lineRule="auto"/>
        <w:ind w:firstLine="420" w:firstLineChars="200"/>
        <w:rPr>
          <w:u w:val="single"/>
        </w:rPr>
      </w:pPr>
      <w:r>
        <w:t>地址：</w:t>
      </w:r>
      <w:r>
        <w:rPr>
          <w:u w:val="single"/>
        </w:rPr>
        <w:t xml:space="preserve">                   </w:t>
      </w:r>
      <w:r>
        <w:t xml:space="preserve">    邮编：</w:t>
      </w:r>
      <w:r>
        <w:rPr>
          <w:u w:val="single"/>
        </w:rPr>
        <w:t xml:space="preserve">                      </w:t>
      </w:r>
      <w:r>
        <w:t xml:space="preserve">     电话：</w:t>
      </w:r>
      <w:r>
        <w:rPr>
          <w:u w:val="single"/>
        </w:rPr>
        <w:t xml:space="preserve">                </w:t>
      </w:r>
    </w:p>
    <w:p>
      <w:pPr>
        <w:snapToGrid w:val="0"/>
        <w:spacing w:line="480" w:lineRule="auto"/>
        <w:ind w:firstLine="420" w:firstLineChars="200"/>
        <w:rPr>
          <w:u w:val="single"/>
        </w:rPr>
      </w:pPr>
      <w:r>
        <w:t>传真：</w:t>
      </w:r>
      <w:r>
        <w:rPr>
          <w:u w:val="single"/>
        </w:rPr>
        <w:t xml:space="preserve">                   </w:t>
      </w:r>
      <w:r>
        <w:t xml:space="preserve">    </w:t>
      </w:r>
      <w:r>
        <w:rPr>
          <w:rFonts w:hint="eastAsia"/>
        </w:rPr>
        <w:t>服务商</w:t>
      </w:r>
      <w:r>
        <w:t>代表姓名：</w:t>
      </w:r>
      <w:r>
        <w:rPr>
          <w:u w:val="single"/>
        </w:rPr>
        <w:t xml:space="preserve">            </w:t>
      </w:r>
      <w:r>
        <w:t xml:space="preserve">     职务：</w:t>
      </w:r>
      <w:r>
        <w:rPr>
          <w:u w:val="single"/>
        </w:rPr>
        <w:t xml:space="preserve">                </w:t>
      </w:r>
    </w:p>
    <w:p>
      <w:pPr>
        <w:snapToGrid w:val="0"/>
        <w:spacing w:line="480" w:lineRule="auto"/>
        <w:ind w:firstLine="420" w:firstLineChars="200"/>
        <w:rPr>
          <w:u w:val="single"/>
        </w:rPr>
      </w:pPr>
      <w:r>
        <w:rPr>
          <w:rFonts w:hint="eastAsia"/>
        </w:rPr>
        <w:t>服务商</w:t>
      </w:r>
      <w:r>
        <w:t>名称（公章）：</w:t>
      </w:r>
      <w:r>
        <w:rPr>
          <w:u w:val="single"/>
        </w:rPr>
        <w:t xml:space="preserve">                                         </w:t>
      </w:r>
    </w:p>
    <w:p>
      <w:pPr>
        <w:snapToGrid w:val="0"/>
        <w:spacing w:line="480" w:lineRule="auto"/>
        <w:ind w:firstLine="420" w:firstLineChars="200"/>
      </w:pPr>
      <w:r>
        <w:t>开户银行：</w:t>
      </w:r>
      <w:r>
        <w:rPr>
          <w:u w:val="single"/>
        </w:rPr>
        <w:t xml:space="preserve">                             </w:t>
      </w:r>
      <w:r>
        <w:t xml:space="preserve">   银行账号：</w:t>
      </w:r>
      <w:r>
        <w:rPr>
          <w:u w:val="single"/>
        </w:rPr>
        <w:t xml:space="preserve">                                </w:t>
      </w:r>
    </w:p>
    <w:p>
      <w:pPr>
        <w:snapToGrid w:val="0"/>
        <w:spacing w:line="480" w:lineRule="auto"/>
        <w:ind w:firstLine="420" w:firstLineChars="200"/>
      </w:pPr>
      <w:r>
        <w:t>法定代表人或授权代表签字：</w:t>
      </w:r>
      <w:r>
        <w:rPr>
          <w:u w:val="single"/>
        </w:rPr>
        <w:t xml:space="preserve">             </w:t>
      </w:r>
      <w:r>
        <w:t xml:space="preserve">                     </w:t>
      </w:r>
    </w:p>
    <w:p>
      <w:pPr>
        <w:snapToGrid w:val="0"/>
        <w:spacing w:line="360" w:lineRule="auto"/>
        <w:ind w:firstLine="6195" w:firstLineChars="2950"/>
      </w:pPr>
    </w:p>
    <w:p>
      <w:pPr>
        <w:spacing w:line="320" w:lineRule="exact"/>
        <w:ind w:left="315" w:hanging="315" w:hangingChars="150"/>
        <w:jc w:val="right"/>
        <w:rPr>
          <w:rFonts w:hAnsi="宋体"/>
        </w:rPr>
      </w:pPr>
      <w:r>
        <w:t xml:space="preserve">      年      月     日</w:t>
      </w:r>
    </w:p>
    <w:p>
      <w:pPr>
        <w:pStyle w:val="18"/>
        <w:spacing w:line="400" w:lineRule="exact"/>
        <w:rPr>
          <w:b/>
          <w:sz w:val="32"/>
        </w:rPr>
      </w:pPr>
    </w:p>
    <w:p>
      <w:pPr>
        <w:pStyle w:val="18"/>
        <w:spacing w:line="400" w:lineRule="exact"/>
        <w:rPr>
          <w:bCs/>
        </w:rPr>
      </w:pPr>
      <w:r>
        <w:rPr>
          <w:b/>
          <w:sz w:val="32"/>
        </w:rPr>
        <w:br w:type="page"/>
      </w:r>
    </w:p>
    <w:p>
      <w:pPr>
        <w:pStyle w:val="18"/>
        <w:jc w:val="center"/>
        <w:rPr>
          <w:b/>
          <w:sz w:val="32"/>
        </w:rPr>
      </w:pPr>
      <w:r>
        <w:rPr>
          <w:rFonts w:hint="eastAsia"/>
          <w:b/>
          <w:sz w:val="32"/>
        </w:rPr>
        <w:t>磋商报价表（格式）</w:t>
      </w:r>
    </w:p>
    <w:p>
      <w:pPr>
        <w:tabs>
          <w:tab w:val="left" w:pos="5040"/>
        </w:tabs>
        <w:rPr>
          <w:rFonts w:ascii="宋体" w:hAnsi="宋体"/>
          <w:sz w:val="24"/>
        </w:rPr>
      </w:pPr>
    </w:p>
    <w:p>
      <w:pPr>
        <w:pStyle w:val="18"/>
        <w:spacing w:before="165" w:beforeLines="50" w:after="165" w:afterLines="50"/>
        <w:rPr>
          <w:rFonts w:hAnsi="宋体"/>
          <w:szCs w:val="21"/>
          <w:u w:val="single"/>
        </w:rPr>
      </w:pPr>
      <w:r>
        <w:rPr>
          <w:rFonts w:hint="eastAsia" w:hAnsi="宋体"/>
          <w:szCs w:val="21"/>
        </w:rPr>
        <w:t>项目名称：</w:t>
      </w:r>
      <w:r>
        <w:rPr>
          <w:rFonts w:hint="eastAsia" w:hAnsi="宋体"/>
          <w:szCs w:val="21"/>
          <w:u w:val="single"/>
        </w:rPr>
        <w:t xml:space="preserve">                        </w:t>
      </w:r>
    </w:p>
    <w:p>
      <w:pPr>
        <w:pStyle w:val="18"/>
        <w:spacing w:before="165" w:beforeLines="50" w:after="165" w:afterLines="50"/>
        <w:rPr>
          <w:rFonts w:hAnsi="宋体"/>
          <w:szCs w:val="21"/>
        </w:rPr>
      </w:pPr>
      <w:r>
        <w:rPr>
          <w:rFonts w:hint="eastAsia" w:hAnsi="宋体"/>
          <w:szCs w:val="21"/>
        </w:rPr>
        <w:t>项目编号：</w:t>
      </w:r>
      <w:r>
        <w:rPr>
          <w:rFonts w:hint="eastAsia" w:hAnsi="宋体"/>
          <w:szCs w:val="21"/>
          <w:u w:val="single"/>
        </w:rPr>
        <w:t xml:space="preserve">                        </w:t>
      </w:r>
      <w:r>
        <w:rPr>
          <w:rFonts w:hint="eastAsia" w:hAnsi="宋体"/>
          <w:szCs w:val="21"/>
        </w:rPr>
        <w:t xml:space="preserve">                                金额单位：人民币（元）</w:t>
      </w:r>
    </w:p>
    <w:tbl>
      <w:tblPr>
        <w:tblStyle w:val="32"/>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2564"/>
        <w:gridCol w:w="792"/>
        <w:gridCol w:w="2280"/>
        <w:gridCol w:w="2088"/>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pStyle w:val="18"/>
              <w:spacing w:before="165" w:beforeLines="50" w:after="165" w:afterLines="50"/>
              <w:jc w:val="center"/>
              <w:rPr>
                <w:rFonts w:hAnsi="宋体"/>
                <w:szCs w:val="21"/>
              </w:rPr>
            </w:pPr>
            <w:r>
              <w:rPr>
                <w:rFonts w:hint="eastAsia" w:hAnsi="宋体"/>
                <w:szCs w:val="21"/>
              </w:rPr>
              <w:t>项号</w:t>
            </w:r>
          </w:p>
        </w:tc>
        <w:tc>
          <w:tcPr>
            <w:tcW w:w="2564" w:type="dxa"/>
            <w:tcBorders>
              <w:top w:val="single" w:color="auto" w:sz="4" w:space="0"/>
              <w:left w:val="single" w:color="auto" w:sz="4" w:space="0"/>
              <w:bottom w:val="single" w:color="auto" w:sz="4" w:space="0"/>
              <w:right w:val="single" w:color="auto" w:sz="4" w:space="0"/>
            </w:tcBorders>
            <w:vAlign w:val="center"/>
          </w:tcPr>
          <w:p>
            <w:pPr>
              <w:pStyle w:val="18"/>
              <w:spacing w:before="165" w:beforeLines="50" w:after="165" w:afterLines="50"/>
              <w:jc w:val="center"/>
              <w:rPr>
                <w:rFonts w:hAnsi="宋体"/>
                <w:szCs w:val="21"/>
              </w:rPr>
            </w:pPr>
            <w:r>
              <w:rPr>
                <w:rFonts w:hint="eastAsia" w:hAnsi="宋体"/>
                <w:szCs w:val="21"/>
              </w:rPr>
              <w:t>服务名称</w:t>
            </w:r>
          </w:p>
        </w:tc>
        <w:tc>
          <w:tcPr>
            <w:tcW w:w="792" w:type="dxa"/>
            <w:tcBorders>
              <w:top w:val="single" w:color="auto" w:sz="4" w:space="0"/>
              <w:left w:val="single" w:color="auto" w:sz="4" w:space="0"/>
              <w:bottom w:val="single" w:color="auto" w:sz="4" w:space="0"/>
              <w:right w:val="single" w:color="auto" w:sz="4" w:space="0"/>
            </w:tcBorders>
            <w:vAlign w:val="center"/>
          </w:tcPr>
          <w:p>
            <w:pPr>
              <w:pStyle w:val="18"/>
              <w:spacing w:before="165" w:beforeLines="50" w:after="165" w:afterLines="50"/>
              <w:jc w:val="center"/>
              <w:rPr>
                <w:rFonts w:hAnsi="宋体"/>
                <w:szCs w:val="21"/>
              </w:rPr>
            </w:pPr>
            <w:r>
              <w:rPr>
                <w:rFonts w:hint="eastAsia" w:hAnsi="宋体"/>
                <w:szCs w:val="21"/>
              </w:rPr>
              <w:t>数量</w:t>
            </w:r>
          </w:p>
        </w:tc>
        <w:tc>
          <w:tcPr>
            <w:tcW w:w="2280" w:type="dxa"/>
            <w:tcBorders>
              <w:top w:val="single" w:color="auto" w:sz="4" w:space="0"/>
              <w:left w:val="single" w:color="auto" w:sz="4" w:space="0"/>
              <w:bottom w:val="single" w:color="auto" w:sz="4" w:space="0"/>
              <w:right w:val="single" w:color="auto" w:sz="4" w:space="0"/>
            </w:tcBorders>
            <w:vAlign w:val="center"/>
          </w:tcPr>
          <w:p>
            <w:pPr>
              <w:pStyle w:val="18"/>
              <w:spacing w:before="165" w:beforeLines="50" w:after="165" w:afterLines="50"/>
              <w:jc w:val="center"/>
              <w:rPr>
                <w:rFonts w:hAnsi="宋体"/>
                <w:szCs w:val="21"/>
              </w:rPr>
            </w:pPr>
            <w:r>
              <w:rPr>
                <w:rFonts w:hint="eastAsia" w:hAnsi="宋体"/>
                <w:szCs w:val="21"/>
              </w:rPr>
              <w:t>完成时间</w:t>
            </w:r>
          </w:p>
        </w:tc>
        <w:tc>
          <w:tcPr>
            <w:tcW w:w="2088" w:type="dxa"/>
            <w:tcBorders>
              <w:top w:val="single" w:color="auto" w:sz="4" w:space="0"/>
              <w:left w:val="single" w:color="auto" w:sz="4" w:space="0"/>
              <w:bottom w:val="single" w:color="auto" w:sz="4" w:space="0"/>
              <w:right w:val="single" w:color="auto" w:sz="4" w:space="0"/>
            </w:tcBorders>
            <w:vAlign w:val="center"/>
          </w:tcPr>
          <w:p>
            <w:pPr>
              <w:pStyle w:val="18"/>
              <w:spacing w:before="165" w:beforeLines="50" w:after="165" w:afterLines="50"/>
              <w:jc w:val="center"/>
              <w:rPr>
                <w:rFonts w:hAnsi="宋体"/>
                <w:szCs w:val="21"/>
              </w:rPr>
            </w:pPr>
            <w:r>
              <w:rPr>
                <w:rFonts w:hint="eastAsia"/>
              </w:rPr>
              <w:t>投标报价</w:t>
            </w:r>
            <w:r>
              <w:rPr>
                <w:rFonts w:hint="eastAsia" w:hAnsi="宋体"/>
                <w:szCs w:val="21"/>
              </w:rPr>
              <w:t>（元）</w:t>
            </w:r>
          </w:p>
        </w:tc>
        <w:tc>
          <w:tcPr>
            <w:tcW w:w="926" w:type="dxa"/>
            <w:tcBorders>
              <w:top w:val="single" w:color="auto" w:sz="4" w:space="0"/>
              <w:left w:val="single" w:color="auto" w:sz="4" w:space="0"/>
              <w:bottom w:val="single" w:color="auto" w:sz="4" w:space="0"/>
              <w:right w:val="single" w:color="auto" w:sz="4" w:space="0"/>
            </w:tcBorders>
            <w:vAlign w:val="center"/>
          </w:tcPr>
          <w:p>
            <w:pPr>
              <w:pStyle w:val="18"/>
              <w:spacing w:before="165" w:beforeLines="50" w:after="165" w:afterLines="50"/>
              <w:jc w:val="center"/>
              <w:rPr>
                <w:rFonts w:hAnsi="宋体"/>
                <w:szCs w:val="21"/>
              </w:rPr>
            </w:pPr>
            <w:r>
              <w:rPr>
                <w:rFonts w:hint="eastAsia"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8"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25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推行政府购买服务加强基层社会救助经办服务能力</w:t>
            </w:r>
            <w:r>
              <w:rPr>
                <w:rFonts w:hint="eastAsia" w:ascii="宋体" w:hAnsi="宋体"/>
                <w:szCs w:val="21"/>
              </w:rPr>
              <w:t xml:space="preserve"> </w:t>
            </w:r>
          </w:p>
        </w:tc>
        <w:tc>
          <w:tcPr>
            <w:tcW w:w="792" w:type="dxa"/>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Cs w:val="21"/>
              </w:rPr>
            </w:pPr>
            <w:r>
              <w:rPr>
                <w:rFonts w:hint="eastAsia" w:hAnsi="宋体"/>
                <w:szCs w:val="21"/>
              </w:rPr>
              <w:t>1项</w:t>
            </w:r>
          </w:p>
        </w:tc>
        <w:tc>
          <w:tcPr>
            <w:tcW w:w="2280" w:type="dxa"/>
            <w:tcBorders>
              <w:top w:val="single" w:color="auto" w:sz="4" w:space="0"/>
              <w:left w:val="single" w:color="auto" w:sz="4" w:space="0"/>
              <w:bottom w:val="single" w:color="auto" w:sz="4" w:space="0"/>
              <w:right w:val="single" w:color="auto" w:sz="4" w:space="0"/>
            </w:tcBorders>
            <w:vAlign w:val="center"/>
          </w:tcPr>
          <w:p>
            <w:pPr>
              <w:pStyle w:val="18"/>
              <w:jc w:val="center"/>
              <w:rPr>
                <w:rFonts w:hAnsi="宋体"/>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pStyle w:val="18"/>
              <w:rPr>
                <w:rFonts w:hAnsi="宋体"/>
                <w:szCs w:val="21"/>
              </w:rPr>
            </w:pPr>
          </w:p>
        </w:tc>
        <w:tc>
          <w:tcPr>
            <w:tcW w:w="926" w:type="dxa"/>
            <w:tcBorders>
              <w:top w:val="single" w:color="auto" w:sz="4" w:space="0"/>
              <w:left w:val="single" w:color="auto" w:sz="4" w:space="0"/>
              <w:bottom w:val="single" w:color="auto" w:sz="4" w:space="0"/>
              <w:right w:val="single" w:color="auto" w:sz="4" w:space="0"/>
            </w:tcBorders>
            <w:vAlign w:val="center"/>
          </w:tcPr>
          <w:p>
            <w:pPr>
              <w:pStyle w:val="18"/>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9232" w:type="dxa"/>
            <w:gridSpan w:val="6"/>
            <w:tcBorders>
              <w:top w:val="single" w:color="auto" w:sz="4" w:space="0"/>
              <w:left w:val="single" w:color="auto" w:sz="4" w:space="0"/>
              <w:bottom w:val="single" w:color="auto" w:sz="4" w:space="0"/>
              <w:right w:val="single" w:color="auto" w:sz="4" w:space="0"/>
            </w:tcBorders>
            <w:vAlign w:val="center"/>
          </w:tcPr>
          <w:p>
            <w:pPr>
              <w:pStyle w:val="18"/>
              <w:spacing w:before="165" w:beforeLines="50" w:after="165" w:afterLines="50"/>
              <w:rPr>
                <w:rFonts w:hAnsi="宋体"/>
                <w:szCs w:val="21"/>
              </w:rPr>
            </w:pPr>
            <w:r>
              <w:rPr>
                <w:rFonts w:hint="eastAsia" w:hAnsi="宋体"/>
                <w:szCs w:val="21"/>
              </w:rPr>
              <w:t>投标总报价：（大写）人民币</w:t>
            </w:r>
            <w:r>
              <w:rPr>
                <w:rFonts w:hint="eastAsia" w:hAnsi="宋体"/>
                <w:szCs w:val="21"/>
                <w:u w:val="single"/>
              </w:rPr>
              <w:t xml:space="preserve">                     </w:t>
            </w:r>
            <w:r>
              <w:rPr>
                <w:rFonts w:hint="eastAsia" w:hAnsi="宋体"/>
                <w:szCs w:val="21"/>
              </w:rPr>
              <w:t>（ ￥</w:t>
            </w:r>
            <w:r>
              <w:rPr>
                <w:rFonts w:hint="eastAsia" w:hAnsi="宋体"/>
                <w:szCs w:val="21"/>
                <w:u w:val="single"/>
              </w:rPr>
              <w:t xml:space="preserve">                  </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9232" w:type="dxa"/>
            <w:gridSpan w:val="6"/>
            <w:tcBorders>
              <w:top w:val="single" w:color="auto" w:sz="4" w:space="0"/>
              <w:left w:val="single" w:color="auto" w:sz="4" w:space="0"/>
              <w:bottom w:val="single" w:color="auto" w:sz="4" w:space="0"/>
              <w:right w:val="single" w:color="auto" w:sz="4" w:space="0"/>
            </w:tcBorders>
            <w:vAlign w:val="center"/>
          </w:tcPr>
          <w:p>
            <w:pPr>
              <w:pStyle w:val="18"/>
              <w:spacing w:before="165" w:beforeLines="50" w:after="165" w:afterLines="50"/>
              <w:rPr>
                <w:rFonts w:hAnsi="宋体"/>
                <w:szCs w:val="21"/>
              </w:rPr>
            </w:pPr>
            <w:r>
              <w:rPr>
                <w:rFonts w:hint="eastAsia" w:hAnsi="宋体"/>
                <w:szCs w:val="21"/>
              </w:rPr>
              <w:t>注：磋商报价包括顺利实施和完成服务所发生的各项劳务费、技术服务费、前期调查及资料收集、勘察费、资料整理费、评审费、设备、交通、通讯、办公场地、管理费、税费和利润及上报过程审批等所有费用和政策性文件规定及合同包含的所有风险、责任等各项应有的费用。</w:t>
            </w:r>
          </w:p>
        </w:tc>
      </w:tr>
    </w:tbl>
    <w:p>
      <w:pPr>
        <w:tabs>
          <w:tab w:val="left" w:pos="5040"/>
        </w:tabs>
        <w:rPr>
          <w:rFonts w:ascii="宋体" w:hAnsi="宋体"/>
          <w:szCs w:val="21"/>
        </w:rPr>
      </w:pPr>
    </w:p>
    <w:p>
      <w:pPr>
        <w:pStyle w:val="18"/>
        <w:rPr>
          <w:rFonts w:hAnsi="宋体"/>
          <w:szCs w:val="21"/>
        </w:rPr>
      </w:pPr>
    </w:p>
    <w:p>
      <w:pPr>
        <w:pStyle w:val="18"/>
        <w:spacing w:line="600" w:lineRule="exact"/>
        <w:ind w:firstLine="3060"/>
        <w:rPr>
          <w:szCs w:val="21"/>
          <w:u w:val="single"/>
        </w:rPr>
      </w:pPr>
      <w:r>
        <w:rPr>
          <w:rFonts w:hint="eastAsia"/>
          <w:szCs w:val="21"/>
        </w:rPr>
        <w:t>服务商名称（加盖单位公章）：</w:t>
      </w:r>
    </w:p>
    <w:p>
      <w:pPr>
        <w:pStyle w:val="18"/>
        <w:spacing w:line="600" w:lineRule="exact"/>
        <w:ind w:firstLine="3060"/>
        <w:rPr>
          <w:szCs w:val="21"/>
        </w:rPr>
      </w:pPr>
      <w:r>
        <w:rPr>
          <w:rFonts w:hint="eastAsia"/>
          <w:szCs w:val="21"/>
        </w:rPr>
        <w:t>法定代表人或委托代理人签名：</w:t>
      </w:r>
    </w:p>
    <w:p>
      <w:pPr>
        <w:pStyle w:val="18"/>
        <w:spacing w:line="600" w:lineRule="exact"/>
        <w:ind w:firstLine="3060"/>
        <w:rPr>
          <w:szCs w:val="21"/>
          <w:u w:val="single"/>
        </w:rPr>
      </w:pPr>
      <w:r>
        <w:rPr>
          <w:rFonts w:hint="eastAsia"/>
          <w:szCs w:val="21"/>
        </w:rPr>
        <w:t>响应日期：</w:t>
      </w:r>
    </w:p>
    <w:p>
      <w:pPr>
        <w:pStyle w:val="18"/>
        <w:spacing w:line="400" w:lineRule="exact"/>
        <w:rPr>
          <w:szCs w:val="21"/>
        </w:rPr>
      </w:pPr>
    </w:p>
    <w:p>
      <w:pPr>
        <w:pStyle w:val="18"/>
        <w:spacing w:line="400" w:lineRule="exact"/>
        <w:rPr>
          <w:szCs w:val="21"/>
        </w:rPr>
      </w:pPr>
    </w:p>
    <w:p>
      <w:pPr>
        <w:pStyle w:val="18"/>
        <w:spacing w:line="400" w:lineRule="exact"/>
        <w:rPr>
          <w:szCs w:val="21"/>
        </w:rPr>
      </w:pPr>
    </w:p>
    <w:p>
      <w:pPr>
        <w:pStyle w:val="18"/>
        <w:rPr>
          <w:bCs/>
          <w:szCs w:val="21"/>
        </w:rPr>
      </w:pPr>
      <w:r>
        <w:rPr>
          <w:szCs w:val="21"/>
        </w:rPr>
        <w:br w:type="page"/>
      </w:r>
    </w:p>
    <w:p>
      <w:pPr>
        <w:pStyle w:val="18"/>
        <w:spacing w:before="165" w:beforeLines="50" w:after="165" w:afterLines="50"/>
        <w:jc w:val="center"/>
        <w:rPr>
          <w:rFonts w:hAnsi="宋体"/>
          <w:b/>
          <w:sz w:val="30"/>
          <w:szCs w:val="30"/>
        </w:rPr>
      </w:pPr>
      <w:r>
        <w:rPr>
          <w:rFonts w:hint="eastAsia" w:hAnsi="宋体"/>
          <w:b/>
          <w:sz w:val="30"/>
          <w:szCs w:val="30"/>
        </w:rPr>
        <w:t>商务条款响应表（格式）</w:t>
      </w:r>
    </w:p>
    <w:p>
      <w:pPr>
        <w:pStyle w:val="18"/>
        <w:spacing w:line="400" w:lineRule="exact"/>
        <w:jc w:val="left"/>
        <w:rPr>
          <w:rFonts w:hAnsi="宋体"/>
          <w:b/>
          <w:sz w:val="24"/>
          <w:u w:val="single"/>
        </w:rPr>
      </w:pPr>
    </w:p>
    <w:tbl>
      <w:tblPr>
        <w:tblStyle w:val="32"/>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772"/>
        <w:gridCol w:w="2873"/>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pStyle w:val="18"/>
              <w:snapToGrid w:val="0"/>
              <w:jc w:val="center"/>
            </w:pPr>
            <w:r>
              <w:rPr>
                <w:rFonts w:hint="eastAsia"/>
              </w:rPr>
              <w:t>序号</w:t>
            </w:r>
          </w:p>
        </w:tc>
        <w:tc>
          <w:tcPr>
            <w:tcW w:w="3772" w:type="dxa"/>
            <w:vAlign w:val="center"/>
          </w:tcPr>
          <w:p>
            <w:pPr>
              <w:pStyle w:val="18"/>
              <w:snapToGrid w:val="0"/>
              <w:jc w:val="center"/>
            </w:pPr>
            <w:r>
              <w:rPr>
                <w:rFonts w:hint="eastAsia" w:cs="Courier New"/>
              </w:rPr>
              <w:t>服务内容</w:t>
            </w:r>
            <w:r>
              <w:rPr>
                <w:rFonts w:cs="Courier New"/>
              </w:rPr>
              <w:t>及要求</w:t>
            </w:r>
          </w:p>
        </w:tc>
        <w:tc>
          <w:tcPr>
            <w:tcW w:w="2873" w:type="dxa"/>
            <w:vAlign w:val="center"/>
          </w:tcPr>
          <w:p>
            <w:pPr>
              <w:pStyle w:val="18"/>
              <w:snapToGrid w:val="0"/>
              <w:jc w:val="center"/>
            </w:pPr>
            <w:r>
              <w:rPr>
                <w:rFonts w:hint="eastAsia"/>
              </w:rPr>
              <w:t>响应文件具体</w:t>
            </w:r>
            <w:r>
              <w:rPr>
                <w:rFonts w:hint="eastAsia" w:cs="Courier New"/>
              </w:rPr>
              <w:t>情况</w:t>
            </w:r>
          </w:p>
        </w:tc>
        <w:tc>
          <w:tcPr>
            <w:tcW w:w="1802" w:type="dxa"/>
            <w:vAlign w:val="center"/>
          </w:tcPr>
          <w:p>
            <w:pPr>
              <w:pStyle w:val="18"/>
              <w:snapToGrid w:val="0"/>
              <w:jc w:val="center"/>
            </w:pPr>
            <w:r>
              <w:rPr>
                <w:rFonts w:hint="eastAsia" w:cs="Courier New"/>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36" w:type="dxa"/>
            <w:vAlign w:val="center"/>
          </w:tcPr>
          <w:p>
            <w:pPr>
              <w:pStyle w:val="18"/>
              <w:snapToGrid w:val="0"/>
              <w:jc w:val="center"/>
            </w:pPr>
            <w:r>
              <w:rPr>
                <w:rFonts w:hint="eastAsia"/>
              </w:rPr>
              <w:t>1</w:t>
            </w:r>
          </w:p>
        </w:tc>
        <w:tc>
          <w:tcPr>
            <w:tcW w:w="3772" w:type="dxa"/>
          </w:tcPr>
          <w:p>
            <w:pPr>
              <w:pStyle w:val="18"/>
              <w:snapToGrid w:val="0"/>
              <w:jc w:val="left"/>
            </w:pPr>
          </w:p>
        </w:tc>
        <w:tc>
          <w:tcPr>
            <w:tcW w:w="2873" w:type="dxa"/>
            <w:vAlign w:val="center"/>
          </w:tcPr>
          <w:p>
            <w:pPr>
              <w:pStyle w:val="18"/>
              <w:snapToGrid w:val="0"/>
            </w:pPr>
          </w:p>
        </w:tc>
        <w:tc>
          <w:tcPr>
            <w:tcW w:w="1802" w:type="dxa"/>
            <w:vAlign w:val="center"/>
          </w:tcPr>
          <w:p>
            <w:pPr>
              <w:pStyle w:val="18"/>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36" w:type="dxa"/>
            <w:vAlign w:val="center"/>
          </w:tcPr>
          <w:p>
            <w:pPr>
              <w:pStyle w:val="18"/>
              <w:snapToGrid w:val="0"/>
              <w:jc w:val="center"/>
            </w:pPr>
            <w:r>
              <w:rPr>
                <w:rFonts w:hint="eastAsia"/>
              </w:rPr>
              <w:t>2</w:t>
            </w:r>
          </w:p>
        </w:tc>
        <w:tc>
          <w:tcPr>
            <w:tcW w:w="3772" w:type="dxa"/>
            <w:vAlign w:val="center"/>
          </w:tcPr>
          <w:p>
            <w:pPr>
              <w:pStyle w:val="18"/>
              <w:snapToGrid w:val="0"/>
              <w:jc w:val="left"/>
            </w:pPr>
          </w:p>
        </w:tc>
        <w:tc>
          <w:tcPr>
            <w:tcW w:w="2873" w:type="dxa"/>
            <w:vAlign w:val="center"/>
          </w:tcPr>
          <w:p>
            <w:pPr>
              <w:pStyle w:val="18"/>
              <w:snapToGrid w:val="0"/>
              <w:jc w:val="center"/>
            </w:pPr>
          </w:p>
        </w:tc>
        <w:tc>
          <w:tcPr>
            <w:tcW w:w="1802" w:type="dxa"/>
            <w:vAlign w:val="center"/>
          </w:tcPr>
          <w:p>
            <w:pPr>
              <w:pStyle w:val="18"/>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36" w:type="dxa"/>
            <w:vAlign w:val="center"/>
          </w:tcPr>
          <w:p>
            <w:pPr>
              <w:pStyle w:val="18"/>
              <w:snapToGrid w:val="0"/>
              <w:jc w:val="center"/>
            </w:pPr>
            <w:r>
              <w:rPr>
                <w:rFonts w:hint="eastAsia"/>
              </w:rPr>
              <w:t>N</w:t>
            </w:r>
          </w:p>
        </w:tc>
        <w:tc>
          <w:tcPr>
            <w:tcW w:w="3772" w:type="dxa"/>
            <w:vAlign w:val="center"/>
          </w:tcPr>
          <w:p>
            <w:pPr>
              <w:pStyle w:val="18"/>
              <w:snapToGrid w:val="0"/>
              <w:jc w:val="left"/>
            </w:pPr>
          </w:p>
        </w:tc>
        <w:tc>
          <w:tcPr>
            <w:tcW w:w="2873" w:type="dxa"/>
            <w:vAlign w:val="center"/>
          </w:tcPr>
          <w:p>
            <w:pPr>
              <w:pStyle w:val="18"/>
              <w:snapToGrid w:val="0"/>
              <w:jc w:val="center"/>
            </w:pPr>
          </w:p>
        </w:tc>
        <w:tc>
          <w:tcPr>
            <w:tcW w:w="1802" w:type="dxa"/>
            <w:vAlign w:val="center"/>
          </w:tcPr>
          <w:p>
            <w:pPr>
              <w:pStyle w:val="18"/>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36" w:type="dxa"/>
            <w:vAlign w:val="center"/>
          </w:tcPr>
          <w:p>
            <w:pPr>
              <w:pStyle w:val="18"/>
              <w:snapToGrid w:val="0"/>
              <w:jc w:val="center"/>
            </w:pPr>
            <w:r>
              <w:rPr>
                <w:rFonts w:hint="eastAsia"/>
              </w:rPr>
              <w:t>……</w:t>
            </w:r>
          </w:p>
        </w:tc>
        <w:tc>
          <w:tcPr>
            <w:tcW w:w="3772" w:type="dxa"/>
            <w:vAlign w:val="center"/>
          </w:tcPr>
          <w:p>
            <w:pPr>
              <w:pStyle w:val="18"/>
              <w:snapToGrid w:val="0"/>
              <w:jc w:val="left"/>
            </w:pPr>
          </w:p>
        </w:tc>
        <w:tc>
          <w:tcPr>
            <w:tcW w:w="2873" w:type="dxa"/>
            <w:vAlign w:val="center"/>
          </w:tcPr>
          <w:p>
            <w:pPr>
              <w:pStyle w:val="18"/>
              <w:snapToGrid w:val="0"/>
              <w:jc w:val="center"/>
            </w:pPr>
          </w:p>
        </w:tc>
        <w:tc>
          <w:tcPr>
            <w:tcW w:w="1802" w:type="dxa"/>
            <w:vAlign w:val="center"/>
          </w:tcPr>
          <w:p>
            <w:pPr>
              <w:pStyle w:val="18"/>
              <w:snapToGrid w:val="0"/>
              <w:jc w:val="center"/>
            </w:pPr>
          </w:p>
        </w:tc>
      </w:tr>
    </w:tbl>
    <w:p>
      <w:pPr>
        <w:pStyle w:val="18"/>
        <w:spacing w:before="165" w:beforeLines="50" w:after="165" w:afterLines="50"/>
        <w:rPr>
          <w:rFonts w:hAnsi="宋体"/>
          <w:b/>
          <w:sz w:val="24"/>
          <w:u w:val="single"/>
        </w:rPr>
      </w:pPr>
    </w:p>
    <w:p>
      <w:pPr>
        <w:pStyle w:val="18"/>
        <w:spacing w:line="600" w:lineRule="exact"/>
        <w:ind w:firstLine="3060"/>
        <w:rPr>
          <w:u w:val="single"/>
        </w:rPr>
      </w:pPr>
      <w:r>
        <w:rPr>
          <w:rFonts w:hint="eastAsia"/>
        </w:rPr>
        <w:t>服务商名称（加盖单位公章）：</w:t>
      </w:r>
    </w:p>
    <w:p>
      <w:pPr>
        <w:pStyle w:val="18"/>
        <w:spacing w:line="600" w:lineRule="exact"/>
        <w:ind w:firstLine="3060"/>
      </w:pPr>
      <w:r>
        <w:rPr>
          <w:rFonts w:hint="eastAsia"/>
        </w:rPr>
        <w:t>法定代表人或委托代理人签名：</w:t>
      </w:r>
    </w:p>
    <w:p>
      <w:pPr>
        <w:pStyle w:val="18"/>
        <w:spacing w:line="600" w:lineRule="exact"/>
        <w:ind w:firstLine="3060"/>
        <w:rPr>
          <w:u w:val="single"/>
        </w:rPr>
      </w:pPr>
      <w:r>
        <w:rPr>
          <w:rFonts w:hint="eastAsia"/>
        </w:rPr>
        <w:t>响应日期：</w:t>
      </w:r>
    </w:p>
    <w:p>
      <w:pPr>
        <w:spacing w:line="400" w:lineRule="exact"/>
        <w:ind w:firstLine="210" w:firstLineChars="100"/>
        <w:rPr>
          <w:u w:val="single"/>
        </w:rPr>
      </w:pPr>
    </w:p>
    <w:p>
      <w:pPr>
        <w:spacing w:line="400" w:lineRule="exact"/>
        <w:ind w:firstLine="210" w:firstLineChars="100"/>
        <w:rPr>
          <w:u w:val="single"/>
        </w:rPr>
      </w:pPr>
    </w:p>
    <w:p>
      <w:pPr>
        <w:spacing w:line="400" w:lineRule="exact"/>
        <w:ind w:firstLine="210" w:firstLineChars="100"/>
        <w:rPr>
          <w:u w:val="single"/>
        </w:rPr>
      </w:pPr>
    </w:p>
    <w:p>
      <w:pPr>
        <w:spacing w:line="400" w:lineRule="exact"/>
        <w:ind w:firstLine="210" w:firstLineChars="100"/>
        <w:rPr>
          <w:u w:val="single"/>
        </w:rPr>
      </w:pPr>
    </w:p>
    <w:p>
      <w:pPr>
        <w:spacing w:line="400" w:lineRule="exact"/>
        <w:ind w:firstLine="210" w:firstLineChars="100"/>
        <w:rPr>
          <w:u w:val="single"/>
        </w:rPr>
      </w:pPr>
    </w:p>
    <w:p>
      <w:pPr>
        <w:spacing w:line="400" w:lineRule="exact"/>
        <w:rPr>
          <w:u w:val="single"/>
        </w:rPr>
      </w:pPr>
      <w:r>
        <w:rPr>
          <w:rFonts w:hint="eastAsia"/>
          <w:b/>
          <w:bCs/>
        </w:rPr>
        <w:t>说明：应根据投标服务内容及要求、对照招标文件要求在“偏离情况”栏注明“正偏离”、“负偏离”或“无偏离”。</w:t>
      </w:r>
    </w:p>
    <w:p>
      <w:pPr>
        <w:spacing w:line="400" w:lineRule="exact"/>
        <w:rPr>
          <w:u w:val="single"/>
        </w:rPr>
      </w:pPr>
      <w:r>
        <w:br w:type="page"/>
      </w:r>
    </w:p>
    <w:p>
      <w:pPr>
        <w:pStyle w:val="18"/>
        <w:spacing w:before="165" w:beforeLines="50" w:after="165" w:afterLines="50"/>
        <w:jc w:val="center"/>
        <w:rPr>
          <w:rFonts w:hAnsi="宋体"/>
          <w:b/>
          <w:sz w:val="30"/>
          <w:szCs w:val="30"/>
        </w:rPr>
      </w:pPr>
      <w:r>
        <w:rPr>
          <w:rFonts w:hint="eastAsia" w:hAnsi="宋体"/>
          <w:b/>
          <w:sz w:val="30"/>
          <w:szCs w:val="30"/>
        </w:rPr>
        <w:t>服务商资格证明文件</w:t>
      </w:r>
    </w:p>
    <w:p>
      <w:pPr>
        <w:pStyle w:val="18"/>
        <w:spacing w:before="165" w:beforeLines="50" w:after="165" w:afterLines="50"/>
        <w:jc w:val="center"/>
        <w:rPr>
          <w:rFonts w:hAnsi="宋体"/>
          <w:b/>
          <w:sz w:val="28"/>
          <w:szCs w:val="28"/>
        </w:rPr>
      </w:pPr>
      <w:r>
        <w:rPr>
          <w:rFonts w:hint="eastAsia" w:hAnsi="宋体"/>
          <w:b/>
          <w:sz w:val="28"/>
          <w:szCs w:val="28"/>
        </w:rPr>
        <w:t>（按服务商须知第12条要求提供）</w:t>
      </w:r>
    </w:p>
    <w:p>
      <w:pPr>
        <w:pStyle w:val="18"/>
        <w:spacing w:line="200" w:lineRule="exact"/>
        <w:rPr>
          <w:u w:val="single"/>
        </w:rPr>
      </w:pPr>
    </w:p>
    <w:p>
      <w:pPr>
        <w:pStyle w:val="18"/>
        <w:spacing w:line="200" w:lineRule="exact"/>
        <w:rPr>
          <w:u w:val="single"/>
        </w:rPr>
      </w:pPr>
    </w:p>
    <w:p>
      <w:pPr>
        <w:pStyle w:val="18"/>
        <w:spacing w:line="200" w:lineRule="exact"/>
        <w:rPr>
          <w:u w:val="single"/>
        </w:rPr>
      </w:pPr>
    </w:p>
    <w:p>
      <w:pPr>
        <w:pStyle w:val="18"/>
        <w:spacing w:line="200" w:lineRule="exact"/>
        <w:rPr>
          <w:u w:val="single"/>
        </w:rPr>
      </w:pPr>
    </w:p>
    <w:p>
      <w:pPr>
        <w:pStyle w:val="18"/>
        <w:spacing w:line="200" w:lineRule="exact"/>
        <w:rPr>
          <w:u w:val="single"/>
        </w:rPr>
      </w:pPr>
    </w:p>
    <w:p>
      <w:pPr>
        <w:pStyle w:val="18"/>
        <w:spacing w:line="200" w:lineRule="exact"/>
        <w:rPr>
          <w:u w:val="single"/>
        </w:rPr>
      </w:pPr>
    </w:p>
    <w:p>
      <w:pPr>
        <w:pStyle w:val="18"/>
        <w:spacing w:line="200" w:lineRule="exact"/>
        <w:rPr>
          <w:u w:val="single"/>
        </w:rPr>
      </w:pPr>
    </w:p>
    <w:p>
      <w:pPr>
        <w:pStyle w:val="18"/>
        <w:spacing w:line="200" w:lineRule="exact"/>
        <w:rPr>
          <w:u w:val="single"/>
        </w:rPr>
      </w:pPr>
    </w:p>
    <w:p>
      <w:pPr>
        <w:pStyle w:val="18"/>
        <w:spacing w:line="200" w:lineRule="exact"/>
        <w:rPr>
          <w:u w:val="single"/>
        </w:rPr>
      </w:pPr>
    </w:p>
    <w:p>
      <w:pPr>
        <w:spacing w:before="331" w:beforeLines="100" w:after="165" w:afterLines="50"/>
        <w:rPr>
          <w:b/>
          <w:sz w:val="30"/>
          <w:szCs w:val="30"/>
        </w:rPr>
      </w:pPr>
    </w:p>
    <w:p>
      <w:pPr>
        <w:pStyle w:val="2"/>
        <w:rPr>
          <w:b/>
          <w:sz w:val="30"/>
          <w:szCs w:val="30"/>
        </w:rPr>
      </w:pPr>
    </w:p>
    <w:p>
      <w:pPr>
        <w:rPr>
          <w:b/>
          <w:sz w:val="30"/>
          <w:szCs w:val="30"/>
        </w:rPr>
      </w:pPr>
    </w:p>
    <w:p>
      <w:pPr>
        <w:pStyle w:val="2"/>
        <w:rPr>
          <w:b/>
          <w:sz w:val="30"/>
          <w:szCs w:val="30"/>
        </w:rPr>
      </w:pPr>
    </w:p>
    <w:p>
      <w:pPr>
        <w:rPr>
          <w:b/>
          <w:sz w:val="30"/>
          <w:szCs w:val="30"/>
        </w:rPr>
      </w:pPr>
    </w:p>
    <w:p>
      <w:pPr>
        <w:pStyle w:val="2"/>
        <w:rPr>
          <w:b/>
          <w:sz w:val="30"/>
          <w:szCs w:val="30"/>
        </w:rPr>
      </w:pPr>
    </w:p>
    <w:p>
      <w:pPr>
        <w:rPr>
          <w:b/>
          <w:sz w:val="30"/>
          <w:szCs w:val="30"/>
        </w:rPr>
      </w:pPr>
    </w:p>
    <w:p>
      <w:pPr>
        <w:pStyle w:val="2"/>
        <w:rPr>
          <w:b/>
          <w:sz w:val="30"/>
          <w:szCs w:val="30"/>
        </w:rPr>
      </w:pPr>
    </w:p>
    <w:p>
      <w:pPr>
        <w:rPr>
          <w:b/>
          <w:sz w:val="30"/>
          <w:szCs w:val="30"/>
        </w:rPr>
      </w:pPr>
    </w:p>
    <w:p>
      <w:pPr>
        <w:pStyle w:val="2"/>
        <w:rPr>
          <w:b/>
          <w:sz w:val="30"/>
          <w:szCs w:val="30"/>
        </w:rPr>
      </w:pPr>
    </w:p>
    <w:p>
      <w:pPr>
        <w:rPr>
          <w:b/>
          <w:sz w:val="30"/>
          <w:szCs w:val="30"/>
        </w:rPr>
      </w:pPr>
    </w:p>
    <w:p>
      <w:pPr>
        <w:pStyle w:val="2"/>
        <w:rPr>
          <w:b/>
          <w:sz w:val="30"/>
          <w:szCs w:val="30"/>
        </w:rPr>
      </w:pPr>
    </w:p>
    <w:p>
      <w:pPr>
        <w:rPr>
          <w:b/>
          <w:sz w:val="30"/>
          <w:szCs w:val="30"/>
        </w:rPr>
      </w:pPr>
    </w:p>
    <w:p>
      <w:pPr>
        <w:pStyle w:val="2"/>
        <w:rPr>
          <w:b/>
          <w:sz w:val="30"/>
          <w:szCs w:val="30"/>
        </w:rPr>
      </w:pPr>
    </w:p>
    <w:p>
      <w:pPr>
        <w:rPr>
          <w:b/>
          <w:sz w:val="30"/>
          <w:szCs w:val="30"/>
        </w:rPr>
      </w:pPr>
    </w:p>
    <w:p>
      <w:pPr>
        <w:pStyle w:val="2"/>
      </w:pPr>
    </w:p>
    <w:p>
      <w:pPr>
        <w:spacing w:before="331" w:beforeLines="100" w:after="165" w:afterLines="50"/>
        <w:jc w:val="center"/>
        <w:rPr>
          <w:b/>
          <w:sz w:val="30"/>
          <w:szCs w:val="30"/>
        </w:rPr>
      </w:pPr>
      <w:r>
        <w:rPr>
          <w:b/>
          <w:sz w:val="30"/>
          <w:szCs w:val="30"/>
        </w:rPr>
        <w:t>法定代表人身份证明书格式</w:t>
      </w:r>
    </w:p>
    <w:p>
      <w:pPr>
        <w:spacing w:before="331" w:beforeLines="100" w:after="165" w:afterLines="50"/>
        <w:jc w:val="center"/>
        <w:rPr>
          <w:b/>
          <w:sz w:val="30"/>
          <w:szCs w:val="30"/>
        </w:rPr>
      </w:pPr>
    </w:p>
    <w:p>
      <w:pPr>
        <w:spacing w:line="600" w:lineRule="exact"/>
        <w:ind w:firstLine="820" w:firstLineChars="342"/>
        <w:rPr>
          <w:sz w:val="24"/>
        </w:rPr>
      </w:pPr>
      <w:r>
        <w:rPr>
          <w:rFonts w:hint="eastAsia"/>
          <w:sz w:val="24"/>
        </w:rPr>
        <w:t>服务商</w:t>
      </w:r>
      <w:r>
        <w:rPr>
          <w:sz w:val="24"/>
        </w:rPr>
        <w:t>：</w:t>
      </w:r>
      <w:r>
        <w:rPr>
          <w:sz w:val="24"/>
          <w:u w:val="single"/>
        </w:rPr>
        <w:t xml:space="preserve">                                                     </w:t>
      </w:r>
    </w:p>
    <w:p>
      <w:pPr>
        <w:spacing w:line="600" w:lineRule="exact"/>
        <w:ind w:firstLine="820" w:firstLineChars="342"/>
        <w:rPr>
          <w:sz w:val="24"/>
        </w:rPr>
      </w:pPr>
      <w:r>
        <w:rPr>
          <w:sz w:val="24"/>
        </w:rPr>
        <w:t>单位性质：</w:t>
      </w:r>
      <w:r>
        <w:rPr>
          <w:sz w:val="24"/>
          <w:u w:val="single"/>
        </w:rPr>
        <w:t xml:space="preserve">                                                     </w:t>
      </w:r>
    </w:p>
    <w:p>
      <w:pPr>
        <w:spacing w:line="600" w:lineRule="exact"/>
        <w:ind w:firstLine="820" w:firstLineChars="342"/>
        <w:rPr>
          <w:sz w:val="24"/>
        </w:rPr>
      </w:pPr>
      <w:r>
        <w:rPr>
          <w:sz w:val="24"/>
        </w:rPr>
        <w:t>地    址：</w:t>
      </w:r>
      <w:r>
        <w:rPr>
          <w:sz w:val="24"/>
          <w:u w:val="single"/>
        </w:rPr>
        <w:t xml:space="preserve">                                                     </w:t>
      </w:r>
    </w:p>
    <w:p>
      <w:pPr>
        <w:spacing w:line="600" w:lineRule="exact"/>
        <w:ind w:firstLine="820" w:firstLineChars="342"/>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600" w:lineRule="exact"/>
        <w:ind w:firstLine="820" w:firstLineChars="342"/>
        <w:rPr>
          <w:sz w:val="24"/>
        </w:rPr>
      </w:pPr>
      <w:r>
        <w:rPr>
          <w:sz w:val="24"/>
        </w:rPr>
        <w:t>经营期限：</w:t>
      </w:r>
      <w:r>
        <w:rPr>
          <w:sz w:val="24"/>
          <w:u w:val="single"/>
        </w:rPr>
        <w:t xml:space="preserve">                                                     </w:t>
      </w:r>
    </w:p>
    <w:p>
      <w:pPr>
        <w:spacing w:line="600" w:lineRule="exact"/>
        <w:ind w:firstLine="820" w:firstLineChars="342"/>
        <w:rPr>
          <w:sz w:val="24"/>
        </w:rPr>
      </w:pPr>
      <w:r>
        <w:rPr>
          <w:sz w:val="24"/>
        </w:rPr>
        <w:t>姓    名：</w:t>
      </w:r>
      <w:r>
        <w:rPr>
          <w:sz w:val="24"/>
          <w:u w:val="single"/>
        </w:rPr>
        <w:t xml:space="preserve">                       </w:t>
      </w:r>
      <w:r>
        <w:rPr>
          <w:sz w:val="24"/>
        </w:rPr>
        <w:t xml:space="preserve">   性     别：</w:t>
      </w:r>
      <w:r>
        <w:rPr>
          <w:sz w:val="24"/>
          <w:u w:val="single"/>
        </w:rPr>
        <w:t xml:space="preserve">                </w:t>
      </w:r>
    </w:p>
    <w:p>
      <w:pPr>
        <w:spacing w:line="600" w:lineRule="exact"/>
        <w:ind w:firstLine="820" w:firstLineChars="342"/>
        <w:rPr>
          <w:sz w:val="24"/>
        </w:rPr>
      </w:pPr>
      <w:r>
        <w:rPr>
          <w:sz w:val="24"/>
        </w:rPr>
        <w:t>年    龄：</w:t>
      </w:r>
      <w:r>
        <w:rPr>
          <w:sz w:val="24"/>
          <w:u w:val="single"/>
        </w:rPr>
        <w:t xml:space="preserve">                       </w:t>
      </w:r>
      <w:r>
        <w:rPr>
          <w:sz w:val="24"/>
        </w:rPr>
        <w:t xml:space="preserve">   职     务：</w:t>
      </w:r>
      <w:r>
        <w:rPr>
          <w:sz w:val="24"/>
          <w:u w:val="single"/>
        </w:rPr>
        <w:t xml:space="preserve">                </w:t>
      </w:r>
    </w:p>
    <w:p>
      <w:pPr>
        <w:spacing w:line="600" w:lineRule="exact"/>
        <w:ind w:firstLine="820" w:firstLineChars="342"/>
        <w:rPr>
          <w:sz w:val="24"/>
        </w:rPr>
      </w:pPr>
      <w:r>
        <w:rPr>
          <w:sz w:val="24"/>
        </w:rPr>
        <w:t>系</w:t>
      </w:r>
      <w:r>
        <w:rPr>
          <w:sz w:val="24"/>
          <w:u w:val="single"/>
        </w:rPr>
        <w:t xml:space="preserve">                                          </w:t>
      </w:r>
      <w:r>
        <w:rPr>
          <w:sz w:val="24"/>
        </w:rPr>
        <w:t>（</w:t>
      </w:r>
      <w:r>
        <w:rPr>
          <w:rFonts w:hint="eastAsia"/>
          <w:sz w:val="24"/>
        </w:rPr>
        <w:t>服务商</w:t>
      </w:r>
      <w:r>
        <w:rPr>
          <w:sz w:val="24"/>
        </w:rPr>
        <w:t>名称）的</w:t>
      </w:r>
      <w:r>
        <w:rPr>
          <w:rFonts w:hint="eastAsia"/>
          <w:sz w:val="24"/>
        </w:rPr>
        <w:t>法定代表人</w:t>
      </w:r>
      <w:r>
        <w:rPr>
          <w:sz w:val="24"/>
        </w:rPr>
        <w:t>。</w:t>
      </w:r>
    </w:p>
    <w:p>
      <w:pPr>
        <w:spacing w:line="500" w:lineRule="exact"/>
        <w:ind w:firstLine="820" w:firstLineChars="342"/>
        <w:rPr>
          <w:sz w:val="24"/>
        </w:rPr>
      </w:pPr>
    </w:p>
    <w:p>
      <w:pPr>
        <w:spacing w:line="500" w:lineRule="exact"/>
        <w:ind w:firstLine="820" w:firstLineChars="342"/>
        <w:rPr>
          <w:sz w:val="24"/>
        </w:rPr>
      </w:pPr>
      <w:r>
        <w:rPr>
          <w:sz w:val="24"/>
        </w:rPr>
        <w:t>特此证明</w:t>
      </w:r>
    </w:p>
    <w:p>
      <w:pPr>
        <w:spacing w:line="500" w:lineRule="exact"/>
        <w:rPr>
          <w:sz w:val="24"/>
        </w:rPr>
      </w:pPr>
    </w:p>
    <w:p>
      <w:pPr>
        <w:spacing w:line="500" w:lineRule="exact"/>
        <w:rPr>
          <w:sz w:val="24"/>
        </w:rPr>
      </w:pPr>
    </w:p>
    <w:p>
      <w:pPr>
        <w:spacing w:line="500" w:lineRule="exact"/>
        <w:rPr>
          <w:sz w:val="24"/>
        </w:rPr>
      </w:pPr>
    </w:p>
    <w:p>
      <w:pPr>
        <w:spacing w:line="500" w:lineRule="exact"/>
        <w:ind w:right="420"/>
        <w:jc w:val="right"/>
        <w:rPr>
          <w:sz w:val="24"/>
        </w:rPr>
      </w:pPr>
      <w:r>
        <w:rPr>
          <w:rFonts w:hint="eastAsia"/>
          <w:sz w:val="24"/>
        </w:rPr>
        <w:t>服务商</w:t>
      </w:r>
      <w:r>
        <w:rPr>
          <w:sz w:val="24"/>
        </w:rPr>
        <w:t>：</w:t>
      </w:r>
      <w:r>
        <w:rPr>
          <w:sz w:val="24"/>
          <w:u w:val="single"/>
        </w:rPr>
        <w:t xml:space="preserve">                      </w:t>
      </w:r>
      <w:r>
        <w:rPr>
          <w:sz w:val="24"/>
        </w:rPr>
        <w:t>（盖单位章）</w:t>
      </w:r>
    </w:p>
    <w:p>
      <w:pPr>
        <w:spacing w:line="500" w:lineRule="exact"/>
        <w:ind w:right="420"/>
        <w:jc w:val="right"/>
        <w:rPr>
          <w:sz w:val="24"/>
        </w:rPr>
      </w:pPr>
    </w:p>
    <w:p>
      <w:pPr>
        <w:jc w:val="center"/>
        <w:rPr>
          <w:b/>
          <w:sz w:val="30"/>
          <w:szCs w:val="30"/>
        </w:rPr>
      </w:pPr>
      <w:r>
        <w:rPr>
          <w:rFonts w:hint="eastAsia"/>
          <w:sz w:val="24"/>
        </w:rPr>
        <w:t xml:space="preserve">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pStyle w:val="83"/>
        <w:rPr>
          <w:b/>
          <w:sz w:val="30"/>
          <w:szCs w:val="30"/>
        </w:rPr>
      </w:pPr>
    </w:p>
    <w:p>
      <w:pPr>
        <w:spacing w:line="500" w:lineRule="exact"/>
        <w:ind w:firstLine="718" w:firstLineChars="342"/>
        <w:rPr>
          <w:szCs w:val="21"/>
        </w:rPr>
      </w:pPr>
      <w:r>
        <w:rPr>
          <w:rFonts w:hint="eastAsia"/>
          <w:szCs w:val="21"/>
        </w:rPr>
        <w:t>附：法定代表人身份证复印件</w:t>
      </w:r>
    </w:p>
    <w:p>
      <w:pPr>
        <w:spacing w:line="500" w:lineRule="exact"/>
        <w:ind w:firstLine="480" w:firstLineChars="200"/>
        <w:rPr>
          <w:rFonts w:ascii="宋体" w:hAnsi="宋体"/>
          <w:bCs/>
          <w:sz w:val="24"/>
        </w:rPr>
      </w:pPr>
    </w:p>
    <w:p>
      <w:pPr>
        <w:pStyle w:val="18"/>
        <w:spacing w:line="200" w:lineRule="exact"/>
        <w:rPr>
          <w:u w:val="single"/>
        </w:rPr>
      </w:pPr>
    </w:p>
    <w:p>
      <w:pPr>
        <w:spacing w:line="400" w:lineRule="exact"/>
        <w:jc w:val="center"/>
        <w:rPr>
          <w:b/>
          <w:sz w:val="32"/>
          <w:szCs w:val="32"/>
        </w:rPr>
      </w:pPr>
    </w:p>
    <w:p>
      <w:pPr>
        <w:pStyle w:val="7"/>
        <w:rPr>
          <w:b/>
          <w:sz w:val="32"/>
          <w:szCs w:val="32"/>
        </w:rPr>
      </w:pPr>
    </w:p>
    <w:p/>
    <w:p/>
    <w:p>
      <w:pPr>
        <w:spacing w:line="400" w:lineRule="exact"/>
        <w:jc w:val="center"/>
        <w:rPr>
          <w:b/>
          <w:sz w:val="32"/>
          <w:szCs w:val="32"/>
        </w:rPr>
      </w:pPr>
      <w:r>
        <w:rPr>
          <w:rFonts w:hint="eastAsia"/>
          <w:b/>
          <w:sz w:val="32"/>
          <w:szCs w:val="32"/>
        </w:rPr>
        <w:t>法人授权委托书</w:t>
      </w:r>
      <w:r>
        <w:rPr>
          <w:rFonts w:hint="eastAsia"/>
          <w:b/>
          <w:sz w:val="32"/>
        </w:rPr>
        <w:t>（格式）</w:t>
      </w:r>
    </w:p>
    <w:p>
      <w:pPr>
        <w:pStyle w:val="18"/>
        <w:spacing w:line="200" w:lineRule="exact"/>
      </w:pPr>
    </w:p>
    <w:p>
      <w:pPr>
        <w:pStyle w:val="18"/>
        <w:spacing w:line="400" w:lineRule="exact"/>
        <w:ind w:firstLine="420"/>
      </w:pPr>
      <w:r>
        <w:rPr>
          <w:rFonts w:hint="eastAsia"/>
        </w:rPr>
        <w:t xml:space="preserve">本授权委托书声明：我 </w:t>
      </w:r>
      <w:r>
        <w:rPr>
          <w:rFonts w:hint="eastAsia"/>
          <w:u w:val="single"/>
        </w:rPr>
        <w:t xml:space="preserve">（姓名）   </w:t>
      </w:r>
      <w:r>
        <w:rPr>
          <w:rFonts w:hint="eastAsia"/>
        </w:rPr>
        <w:t>系</w:t>
      </w:r>
      <w:r>
        <w:rPr>
          <w:rFonts w:hint="eastAsia"/>
          <w:u w:val="single"/>
        </w:rPr>
        <w:t xml:space="preserve">（竞标单位名称） </w:t>
      </w:r>
      <w:r>
        <w:rPr>
          <w:rFonts w:hint="eastAsia"/>
        </w:rPr>
        <w:t>的法定代表人，现授权委托</w:t>
      </w:r>
      <w:r>
        <w:rPr>
          <w:rFonts w:hint="eastAsia"/>
          <w:u w:val="single"/>
        </w:rPr>
        <w:t>（单位名称）</w:t>
      </w:r>
      <w:r>
        <w:rPr>
          <w:rFonts w:hint="eastAsia"/>
        </w:rPr>
        <w:t>的</w:t>
      </w:r>
      <w:r>
        <w:rPr>
          <w:rFonts w:hint="eastAsia"/>
          <w:u w:val="single"/>
        </w:rPr>
        <w:t xml:space="preserve">（姓名）  </w:t>
      </w:r>
      <w:r>
        <w:rPr>
          <w:rFonts w:hint="eastAsia"/>
        </w:rPr>
        <w:t>为我公司被授权人，以本公司的名义参加京延工程咨询有限公司组织实施的</w:t>
      </w:r>
      <w:r>
        <w:rPr>
          <w:rFonts w:hint="eastAsia"/>
          <w:u w:val="single"/>
        </w:rPr>
        <w:t>（项目名称：         ）（项目编号:       ）</w:t>
      </w:r>
      <w:r>
        <w:rPr>
          <w:rFonts w:hint="eastAsia"/>
        </w:rPr>
        <w:t>的采购活动。被授权人在开标、评标、合同磋商过程中所签署的一切文件和处理与这有关的一切事务，我均予以承认。</w:t>
      </w:r>
    </w:p>
    <w:p>
      <w:pPr>
        <w:pStyle w:val="18"/>
        <w:spacing w:line="400" w:lineRule="exact"/>
        <w:ind w:firstLine="420"/>
      </w:pPr>
      <w:r>
        <w:rPr>
          <w:rFonts w:hint="eastAsia"/>
        </w:rPr>
        <w:t>被授权人在授权委托书有效期内签署的所有文件不因授权委托的撤销而失效，除非有撤销授权委托的书面通知，本授权委托书自投标开始至合同履行完毕止。</w:t>
      </w:r>
    </w:p>
    <w:p>
      <w:pPr>
        <w:pStyle w:val="18"/>
        <w:spacing w:line="400" w:lineRule="exact"/>
        <w:ind w:firstLine="420"/>
      </w:pPr>
      <w:r>
        <w:rPr>
          <w:rFonts w:hint="eastAsia"/>
        </w:rPr>
        <w:t>被授权人无转委托权。特此委托。</w:t>
      </w:r>
    </w:p>
    <w:p>
      <w:pPr>
        <w:pStyle w:val="18"/>
        <w:spacing w:line="400" w:lineRule="exact"/>
        <w:ind w:firstLine="420"/>
      </w:pPr>
      <w:r>
        <w:rPr>
          <w:rFonts w:hint="eastAsia"/>
        </w:rPr>
        <w:t>委托单位：</w:t>
      </w:r>
      <w:r>
        <w:rPr>
          <w:rFonts w:hint="eastAsia"/>
          <w:u w:val="single"/>
        </w:rPr>
        <w:t xml:space="preserve">              （盖单位公章）</w:t>
      </w:r>
      <w:r>
        <w:rPr>
          <w:rFonts w:hint="eastAsia"/>
        </w:rPr>
        <w:t xml:space="preserve">        法定代表人：</w:t>
      </w:r>
      <w:r>
        <w:rPr>
          <w:rFonts w:hint="eastAsia"/>
          <w:u w:val="single"/>
        </w:rPr>
        <w:t xml:space="preserve">             （签字或私章）</w:t>
      </w:r>
    </w:p>
    <w:p>
      <w:pPr>
        <w:pStyle w:val="18"/>
        <w:pBdr>
          <w:bottom w:val="single" w:color="auto" w:sz="6" w:space="1"/>
        </w:pBdr>
        <w:spacing w:line="400" w:lineRule="exact"/>
        <w:ind w:firstLine="420"/>
      </w:pPr>
      <w:r>
        <w:rPr>
          <w:rFonts w:hint="eastAsia"/>
        </w:rPr>
        <w:t>签发日期：  年   月   日</w:t>
      </w:r>
    </w:p>
    <w:p>
      <w:pPr>
        <w:pStyle w:val="18"/>
        <w:pBdr>
          <w:bottom w:val="single" w:color="auto" w:sz="6" w:space="1"/>
        </w:pBdr>
        <w:spacing w:line="340" w:lineRule="exact"/>
        <w:ind w:firstLine="420"/>
      </w:pPr>
    </w:p>
    <w:p>
      <w:pPr>
        <w:pStyle w:val="18"/>
        <w:spacing w:line="200" w:lineRule="exact"/>
      </w:pPr>
    </w:p>
    <w:p>
      <w:pPr>
        <w:pStyle w:val="18"/>
        <w:tabs>
          <w:tab w:val="left" w:pos="5768"/>
        </w:tabs>
        <w:spacing w:line="340" w:lineRule="exact"/>
        <w:ind w:firstLine="420"/>
      </w:pPr>
      <w:r>
        <w:rPr>
          <w:rFonts w:hint="eastAsia"/>
        </w:rPr>
        <w:t>附：1、代理人工作单位：</w:t>
      </w:r>
      <w:r>
        <w:rPr>
          <w:rFonts w:hint="eastAsia"/>
        </w:rPr>
        <w:tab/>
      </w:r>
      <w:r>
        <w:rPr>
          <w:rFonts w:hint="eastAsia"/>
        </w:rPr>
        <w:t>职务：</w:t>
      </w:r>
    </w:p>
    <w:p>
      <w:pPr>
        <w:pStyle w:val="18"/>
        <w:tabs>
          <w:tab w:val="left" w:pos="5768"/>
        </w:tabs>
        <w:spacing w:line="340" w:lineRule="exact"/>
        <w:ind w:firstLine="1155"/>
      </w:pPr>
      <w:r>
        <w:rPr>
          <w:rFonts w:hint="eastAsia"/>
        </w:rPr>
        <w:t>身份证号码：</w:t>
      </w:r>
      <w:r>
        <w:rPr>
          <w:rFonts w:hint="eastAsia"/>
        </w:rPr>
        <w:tab/>
      </w:r>
      <w:r>
        <w:rPr>
          <w:rFonts w:hint="eastAsia"/>
        </w:rPr>
        <w:t>性别：          年龄：</w:t>
      </w:r>
    </w:p>
    <w:p>
      <w:pPr>
        <w:pStyle w:val="18"/>
        <w:spacing w:line="340" w:lineRule="exact"/>
        <w:ind w:firstLine="840"/>
      </w:pPr>
      <w:r>
        <w:rPr>
          <w:rFonts w:hint="eastAsia"/>
        </w:rPr>
        <w:t>2、委托人企业法人营业执照号码：</w:t>
      </w:r>
    </w:p>
    <w:p>
      <w:pPr>
        <w:pStyle w:val="18"/>
        <w:tabs>
          <w:tab w:val="left" w:pos="5768"/>
        </w:tabs>
        <w:spacing w:line="340" w:lineRule="exact"/>
        <w:ind w:firstLine="1155"/>
      </w:pPr>
      <w:r>
        <w:rPr>
          <w:rFonts w:hint="eastAsia"/>
        </w:rPr>
        <w:t>地    址：</w:t>
      </w:r>
      <w:r>
        <w:rPr>
          <w:rFonts w:hint="eastAsia"/>
        </w:rPr>
        <w:tab/>
      </w:r>
      <w:r>
        <w:rPr>
          <w:rFonts w:hint="eastAsia"/>
        </w:rPr>
        <w:t>经济性质：</w:t>
      </w:r>
    </w:p>
    <w:p>
      <w:pPr>
        <w:pStyle w:val="18"/>
        <w:tabs>
          <w:tab w:val="left" w:pos="5768"/>
        </w:tabs>
        <w:spacing w:line="340" w:lineRule="exact"/>
        <w:ind w:firstLine="1155"/>
      </w:pPr>
      <w:r>
        <w:rPr>
          <w:rFonts w:hint="eastAsia"/>
        </w:rPr>
        <w:t>经营范围：</w:t>
      </w:r>
    </w:p>
    <w:p>
      <w:pPr>
        <w:pStyle w:val="18"/>
        <w:spacing w:line="340" w:lineRule="exact"/>
        <w:ind w:firstLine="840"/>
      </w:pPr>
      <w:r>
        <w:rPr>
          <w:rFonts w:hint="eastAsia"/>
        </w:rPr>
        <w:t>3、法定代表人身份证、委托代理人身份证复印件</w:t>
      </w:r>
    </w:p>
    <w:tbl>
      <w:tblPr>
        <w:tblStyle w:val="32"/>
        <w:tblW w:w="9628" w:type="dxa"/>
        <w:tblInd w:w="0" w:type="dxa"/>
        <w:tblLayout w:type="fixed"/>
        <w:tblCellMar>
          <w:top w:w="0" w:type="dxa"/>
          <w:left w:w="108" w:type="dxa"/>
          <w:bottom w:w="0" w:type="dxa"/>
          <w:right w:w="108" w:type="dxa"/>
        </w:tblCellMar>
      </w:tblPr>
      <w:tblGrid>
        <w:gridCol w:w="4608"/>
        <w:gridCol w:w="416"/>
        <w:gridCol w:w="4604"/>
      </w:tblGrid>
      <w:tr>
        <w:tblPrEx>
          <w:tblCellMar>
            <w:top w:w="0" w:type="dxa"/>
            <w:left w:w="108" w:type="dxa"/>
            <w:bottom w:w="0" w:type="dxa"/>
            <w:right w:w="108" w:type="dxa"/>
          </w:tblCellMar>
        </w:tblPrEx>
        <w:trPr>
          <w:trHeight w:val="5971" w:hRule="atLeast"/>
        </w:trPr>
        <w:tc>
          <w:tcPr>
            <w:tcW w:w="460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粘贴法定代表人身份证</w:t>
            </w:r>
            <w:r>
              <w:rPr>
                <w:szCs w:val="21"/>
              </w:rPr>
              <w:t>(</w:t>
            </w:r>
            <w:r>
              <w:rPr>
                <w:rFonts w:hint="eastAsia"/>
                <w:szCs w:val="21"/>
              </w:rPr>
              <w:t>正、背</w:t>
            </w:r>
            <w:r>
              <w:rPr>
                <w:szCs w:val="21"/>
              </w:rPr>
              <w:t>)</w:t>
            </w:r>
            <w:r>
              <w:rPr>
                <w:rFonts w:hint="eastAsia"/>
                <w:szCs w:val="21"/>
              </w:rPr>
              <w:t>面复印件</w:t>
            </w:r>
          </w:p>
          <w:p>
            <w:pPr>
              <w:spacing w:line="340" w:lineRule="exact"/>
              <w:jc w:val="center"/>
              <w:rPr>
                <w:szCs w:val="21"/>
              </w:rPr>
            </w:pPr>
            <w:r>
              <w:rPr>
                <w:rFonts w:hint="eastAsia"/>
                <w:szCs w:val="21"/>
              </w:rPr>
              <w:t>（加盖单位公章）</w:t>
            </w:r>
          </w:p>
        </w:tc>
        <w:tc>
          <w:tcPr>
            <w:tcW w:w="416" w:type="dxa"/>
            <w:tcBorders>
              <w:left w:val="single" w:color="auto" w:sz="4" w:space="0"/>
              <w:right w:val="single" w:color="auto" w:sz="4" w:space="0"/>
            </w:tcBorders>
          </w:tcPr>
          <w:p>
            <w:pPr>
              <w:spacing w:line="340" w:lineRule="exact"/>
              <w:rPr>
                <w:szCs w:val="21"/>
              </w:rPr>
            </w:pPr>
          </w:p>
        </w:tc>
        <w:tc>
          <w:tcPr>
            <w:tcW w:w="460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粘贴委托代理人身份证</w:t>
            </w:r>
            <w:r>
              <w:rPr>
                <w:szCs w:val="21"/>
              </w:rPr>
              <w:t>(</w:t>
            </w:r>
            <w:r>
              <w:rPr>
                <w:rFonts w:hint="eastAsia"/>
                <w:szCs w:val="21"/>
              </w:rPr>
              <w:t>正、背</w:t>
            </w:r>
            <w:r>
              <w:rPr>
                <w:szCs w:val="21"/>
              </w:rPr>
              <w:t>)</w:t>
            </w:r>
            <w:r>
              <w:rPr>
                <w:rFonts w:hint="eastAsia"/>
                <w:szCs w:val="21"/>
              </w:rPr>
              <w:t>面复印件</w:t>
            </w:r>
          </w:p>
          <w:p>
            <w:pPr>
              <w:spacing w:line="340" w:lineRule="exact"/>
              <w:jc w:val="center"/>
              <w:rPr>
                <w:szCs w:val="21"/>
              </w:rPr>
            </w:pPr>
            <w:r>
              <w:rPr>
                <w:rFonts w:hint="eastAsia"/>
                <w:szCs w:val="21"/>
              </w:rPr>
              <w:t>（加盖单位公章）</w:t>
            </w:r>
          </w:p>
        </w:tc>
      </w:tr>
    </w:tbl>
    <w:p>
      <w:pPr>
        <w:pStyle w:val="18"/>
        <w:spacing w:line="500" w:lineRule="exact"/>
        <w:jc w:val="center"/>
        <w:rPr>
          <w:rFonts w:hAnsi="宋体"/>
          <w:szCs w:val="21"/>
        </w:rPr>
      </w:pPr>
      <w:r>
        <w:rPr>
          <w:rFonts w:hAnsi="宋体"/>
          <w:szCs w:val="21"/>
        </w:rPr>
        <w:br w:type="page"/>
      </w:r>
      <w:bookmarkStart w:id="263" w:name="_Toc326328273"/>
      <w:bookmarkStart w:id="264" w:name="_Toc446958825"/>
      <w:bookmarkStart w:id="265" w:name="_Toc391392841"/>
      <w:bookmarkStart w:id="266" w:name="_Toc421089486"/>
      <w:bookmarkStart w:id="267" w:name="_Toc234125840"/>
      <w:bookmarkStart w:id="268" w:name="_Toc91153315"/>
      <w:bookmarkStart w:id="269" w:name="_Toc96865258"/>
      <w:bookmarkStart w:id="270" w:name="_Toc265702596"/>
    </w:p>
    <w:p>
      <w:pPr>
        <w:pStyle w:val="18"/>
        <w:spacing w:line="500" w:lineRule="exact"/>
        <w:rPr>
          <w:rFonts w:hAnsi="宋体"/>
          <w:szCs w:val="21"/>
        </w:rPr>
      </w:pPr>
    </w:p>
    <w:p>
      <w:pPr>
        <w:pStyle w:val="18"/>
        <w:spacing w:line="500" w:lineRule="exact"/>
        <w:jc w:val="center"/>
        <w:rPr>
          <w:rFonts w:hAnsi="宋体"/>
          <w:szCs w:val="21"/>
        </w:rPr>
      </w:pPr>
    </w:p>
    <w:p>
      <w:pPr>
        <w:pStyle w:val="18"/>
        <w:spacing w:line="500" w:lineRule="exact"/>
        <w:jc w:val="center"/>
        <w:rPr>
          <w:rFonts w:ascii="Times New Roman" w:hAnsi="Times New Roman"/>
          <w:b/>
          <w:bCs/>
          <w:sz w:val="30"/>
          <w:szCs w:val="30"/>
        </w:rPr>
      </w:pPr>
      <w:r>
        <w:rPr>
          <w:rFonts w:hint="eastAsia" w:ascii="Times New Roman" w:hAnsi="Times New Roman"/>
          <w:b/>
          <w:bCs/>
          <w:sz w:val="30"/>
          <w:szCs w:val="30"/>
        </w:rPr>
        <w:t>拟投入项目实施人员一览表</w:t>
      </w:r>
    </w:p>
    <w:p/>
    <w:tbl>
      <w:tblPr>
        <w:tblStyle w:val="3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1450"/>
        <w:gridCol w:w="1776"/>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snapToGrid w:val="0"/>
              <w:spacing w:before="50" w:after="165" w:afterLines="50"/>
              <w:jc w:val="center"/>
              <w:rPr>
                <w:rFonts w:ascii="宋体" w:hAnsi="宋体"/>
                <w:szCs w:val="21"/>
              </w:rPr>
            </w:pPr>
            <w:r>
              <w:rPr>
                <w:rFonts w:hint="eastAsia" w:ascii="宋体" w:hAnsi="宋体"/>
                <w:szCs w:val="21"/>
              </w:rPr>
              <w:t>姓名</w:t>
            </w:r>
          </w:p>
        </w:tc>
        <w:tc>
          <w:tcPr>
            <w:tcW w:w="1450" w:type="dxa"/>
            <w:vAlign w:val="center"/>
          </w:tcPr>
          <w:p>
            <w:pPr>
              <w:snapToGrid w:val="0"/>
              <w:spacing w:before="50" w:after="165" w:afterLines="50"/>
              <w:jc w:val="center"/>
              <w:rPr>
                <w:rFonts w:ascii="宋体" w:hAnsi="宋体"/>
                <w:szCs w:val="21"/>
              </w:rPr>
            </w:pPr>
            <w:r>
              <w:rPr>
                <w:rFonts w:hint="eastAsia" w:ascii="宋体" w:hAnsi="宋体"/>
                <w:szCs w:val="21"/>
              </w:rPr>
              <w:t>职务</w:t>
            </w:r>
          </w:p>
        </w:tc>
        <w:tc>
          <w:tcPr>
            <w:tcW w:w="1776" w:type="dxa"/>
            <w:vAlign w:val="center"/>
          </w:tcPr>
          <w:p>
            <w:pPr>
              <w:snapToGrid w:val="0"/>
              <w:spacing w:before="50" w:after="165" w:afterLines="50"/>
              <w:jc w:val="center"/>
              <w:rPr>
                <w:rFonts w:ascii="宋体" w:hAnsi="宋体"/>
                <w:szCs w:val="21"/>
              </w:rPr>
            </w:pPr>
            <w:r>
              <w:rPr>
                <w:rFonts w:hint="eastAsia" w:ascii="宋体" w:hAnsi="宋体"/>
                <w:szCs w:val="21"/>
              </w:rPr>
              <w:t>专业技术资格</w:t>
            </w:r>
          </w:p>
        </w:tc>
        <w:tc>
          <w:tcPr>
            <w:tcW w:w="4248" w:type="dxa"/>
            <w:vAlign w:val="center"/>
          </w:tcPr>
          <w:p>
            <w:pPr>
              <w:snapToGrid w:val="0"/>
              <w:spacing w:before="50" w:after="165" w:afterLines="50"/>
              <w:jc w:val="center"/>
              <w:rPr>
                <w:rFonts w:ascii="宋体" w:hAnsi="宋体"/>
                <w:szCs w:val="21"/>
              </w:rPr>
            </w:pPr>
            <w:r>
              <w:rPr>
                <w:rFonts w:hint="eastAsia" w:ascii="宋体" w:hAnsi="宋体"/>
                <w:szCs w:val="21"/>
              </w:rPr>
              <w:t>在本项目拟承担的工作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snapToGrid w:val="0"/>
              <w:spacing w:before="50" w:after="165" w:afterLines="50"/>
              <w:jc w:val="center"/>
              <w:rPr>
                <w:rFonts w:ascii="宋体" w:hAnsi="宋体"/>
                <w:szCs w:val="21"/>
              </w:rPr>
            </w:pPr>
          </w:p>
        </w:tc>
        <w:tc>
          <w:tcPr>
            <w:tcW w:w="1450" w:type="dxa"/>
            <w:vAlign w:val="center"/>
          </w:tcPr>
          <w:p>
            <w:pPr>
              <w:snapToGrid w:val="0"/>
              <w:spacing w:before="50" w:after="165" w:afterLines="50"/>
              <w:jc w:val="center"/>
              <w:rPr>
                <w:rFonts w:ascii="宋体" w:hAnsi="宋体"/>
                <w:szCs w:val="21"/>
              </w:rPr>
            </w:pPr>
          </w:p>
        </w:tc>
        <w:tc>
          <w:tcPr>
            <w:tcW w:w="1776" w:type="dxa"/>
            <w:vAlign w:val="center"/>
          </w:tcPr>
          <w:p>
            <w:pPr>
              <w:snapToGrid w:val="0"/>
              <w:spacing w:before="50" w:after="165" w:afterLines="50"/>
              <w:jc w:val="center"/>
              <w:rPr>
                <w:rFonts w:ascii="宋体" w:hAnsi="宋体"/>
                <w:szCs w:val="21"/>
              </w:rPr>
            </w:pPr>
          </w:p>
        </w:tc>
        <w:tc>
          <w:tcPr>
            <w:tcW w:w="4248" w:type="dxa"/>
            <w:vAlign w:val="center"/>
          </w:tcPr>
          <w:p>
            <w:pPr>
              <w:snapToGrid w:val="0"/>
              <w:spacing w:before="50" w:after="165" w:after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snapToGrid w:val="0"/>
              <w:spacing w:before="50" w:after="165" w:afterLines="50"/>
              <w:jc w:val="center"/>
              <w:rPr>
                <w:rFonts w:ascii="宋体" w:hAnsi="宋体"/>
                <w:szCs w:val="21"/>
              </w:rPr>
            </w:pPr>
          </w:p>
        </w:tc>
        <w:tc>
          <w:tcPr>
            <w:tcW w:w="1450" w:type="dxa"/>
            <w:vAlign w:val="center"/>
          </w:tcPr>
          <w:p>
            <w:pPr>
              <w:snapToGrid w:val="0"/>
              <w:spacing w:before="50" w:after="165" w:afterLines="50"/>
              <w:jc w:val="center"/>
              <w:rPr>
                <w:rFonts w:ascii="宋体" w:hAnsi="宋体"/>
                <w:szCs w:val="21"/>
              </w:rPr>
            </w:pPr>
          </w:p>
        </w:tc>
        <w:tc>
          <w:tcPr>
            <w:tcW w:w="1776" w:type="dxa"/>
            <w:vAlign w:val="center"/>
          </w:tcPr>
          <w:p>
            <w:pPr>
              <w:snapToGrid w:val="0"/>
              <w:spacing w:before="50" w:after="165" w:afterLines="50"/>
              <w:jc w:val="center"/>
              <w:rPr>
                <w:rFonts w:ascii="宋体" w:hAnsi="宋体"/>
                <w:szCs w:val="21"/>
              </w:rPr>
            </w:pPr>
          </w:p>
        </w:tc>
        <w:tc>
          <w:tcPr>
            <w:tcW w:w="4248" w:type="dxa"/>
            <w:vAlign w:val="center"/>
          </w:tcPr>
          <w:p>
            <w:pPr>
              <w:snapToGrid w:val="0"/>
              <w:spacing w:before="50" w:after="165" w:after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snapToGrid w:val="0"/>
              <w:spacing w:before="50" w:after="165" w:afterLines="50"/>
              <w:jc w:val="center"/>
              <w:rPr>
                <w:rFonts w:ascii="宋体" w:hAnsi="宋体"/>
                <w:szCs w:val="21"/>
              </w:rPr>
            </w:pPr>
          </w:p>
        </w:tc>
        <w:tc>
          <w:tcPr>
            <w:tcW w:w="1450" w:type="dxa"/>
            <w:vAlign w:val="center"/>
          </w:tcPr>
          <w:p>
            <w:pPr>
              <w:snapToGrid w:val="0"/>
              <w:spacing w:before="50" w:after="165" w:afterLines="50"/>
              <w:jc w:val="center"/>
              <w:rPr>
                <w:rFonts w:ascii="宋体" w:hAnsi="宋体"/>
                <w:szCs w:val="21"/>
              </w:rPr>
            </w:pPr>
          </w:p>
        </w:tc>
        <w:tc>
          <w:tcPr>
            <w:tcW w:w="1776" w:type="dxa"/>
            <w:vAlign w:val="center"/>
          </w:tcPr>
          <w:p>
            <w:pPr>
              <w:snapToGrid w:val="0"/>
              <w:spacing w:before="50" w:after="165" w:afterLines="50"/>
              <w:jc w:val="center"/>
              <w:rPr>
                <w:rFonts w:ascii="宋体" w:hAnsi="宋体"/>
                <w:szCs w:val="21"/>
              </w:rPr>
            </w:pPr>
          </w:p>
        </w:tc>
        <w:tc>
          <w:tcPr>
            <w:tcW w:w="4248" w:type="dxa"/>
            <w:vAlign w:val="center"/>
          </w:tcPr>
          <w:p>
            <w:pPr>
              <w:snapToGrid w:val="0"/>
              <w:spacing w:before="50" w:after="165" w:afterLine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snapToGrid w:val="0"/>
              <w:spacing w:before="50" w:after="165" w:afterLines="50"/>
              <w:jc w:val="center"/>
              <w:rPr>
                <w:rFonts w:ascii="宋体" w:hAnsi="宋体"/>
                <w:szCs w:val="21"/>
              </w:rPr>
            </w:pPr>
          </w:p>
        </w:tc>
        <w:tc>
          <w:tcPr>
            <w:tcW w:w="1450" w:type="dxa"/>
            <w:vAlign w:val="center"/>
          </w:tcPr>
          <w:p>
            <w:pPr>
              <w:snapToGrid w:val="0"/>
              <w:spacing w:before="50" w:after="165" w:afterLines="50"/>
              <w:jc w:val="center"/>
              <w:rPr>
                <w:rFonts w:ascii="宋体" w:hAnsi="宋体"/>
                <w:szCs w:val="21"/>
              </w:rPr>
            </w:pPr>
          </w:p>
        </w:tc>
        <w:tc>
          <w:tcPr>
            <w:tcW w:w="1776" w:type="dxa"/>
            <w:vAlign w:val="center"/>
          </w:tcPr>
          <w:p>
            <w:pPr>
              <w:snapToGrid w:val="0"/>
              <w:spacing w:before="50" w:after="165" w:afterLines="50"/>
              <w:jc w:val="center"/>
              <w:rPr>
                <w:rFonts w:ascii="宋体" w:hAnsi="宋体"/>
                <w:szCs w:val="21"/>
              </w:rPr>
            </w:pPr>
          </w:p>
        </w:tc>
        <w:tc>
          <w:tcPr>
            <w:tcW w:w="4248" w:type="dxa"/>
            <w:vAlign w:val="center"/>
          </w:tcPr>
          <w:p>
            <w:pPr>
              <w:snapToGrid w:val="0"/>
              <w:spacing w:before="50" w:after="165" w:afterLines="50"/>
              <w:jc w:val="center"/>
              <w:rPr>
                <w:rFonts w:ascii="宋体" w:hAnsi="宋体"/>
                <w:szCs w:val="21"/>
              </w:rPr>
            </w:pPr>
          </w:p>
        </w:tc>
      </w:tr>
    </w:tbl>
    <w:p>
      <w:pPr>
        <w:spacing w:line="300" w:lineRule="auto"/>
        <w:rPr>
          <w:rFonts w:ascii="宋体" w:hAnsi="宋体"/>
          <w:szCs w:val="21"/>
        </w:rPr>
      </w:pPr>
    </w:p>
    <w:p>
      <w:pPr>
        <w:tabs>
          <w:tab w:val="left" w:pos="0"/>
        </w:tabs>
        <w:spacing w:line="360" w:lineRule="auto"/>
        <w:ind w:right="-210"/>
        <w:rPr>
          <w:rFonts w:eastAsia="楷体_GB2312"/>
          <w:sz w:val="18"/>
          <w:szCs w:val="21"/>
        </w:rPr>
      </w:pPr>
      <w:r>
        <w:rPr>
          <w:rFonts w:hint="eastAsia" w:ascii="宋体" w:hAnsi="宋体"/>
          <w:b/>
          <w:sz w:val="22"/>
          <w:szCs w:val="22"/>
        </w:rPr>
        <w:t>注：在填写时，如本表格不适服务商的实际情况，可根据本表格式自行制表填写。附职称证书复印件并</w:t>
      </w:r>
      <w:r>
        <w:rPr>
          <w:rFonts w:ascii="宋体" w:hAnsi="宋体"/>
          <w:b/>
          <w:sz w:val="22"/>
          <w:szCs w:val="22"/>
        </w:rPr>
        <w:t>加盖公章</w:t>
      </w:r>
      <w:r>
        <w:rPr>
          <w:rFonts w:hint="eastAsia" w:ascii="宋体" w:hAnsi="宋体"/>
          <w:b/>
          <w:sz w:val="22"/>
          <w:szCs w:val="22"/>
        </w:rPr>
        <w:t>。</w:t>
      </w:r>
    </w:p>
    <w:bookmarkEnd w:id="263"/>
    <w:bookmarkEnd w:id="264"/>
    <w:bookmarkEnd w:id="265"/>
    <w:bookmarkEnd w:id="266"/>
    <w:bookmarkEnd w:id="267"/>
    <w:bookmarkEnd w:id="268"/>
    <w:bookmarkEnd w:id="269"/>
    <w:bookmarkEnd w:id="270"/>
    <w:p>
      <w:pPr>
        <w:rPr>
          <w:szCs w:val="21"/>
        </w:rPr>
      </w:pPr>
    </w:p>
    <w:p>
      <w:pPr>
        <w:rPr>
          <w:szCs w:val="21"/>
        </w:rPr>
      </w:pPr>
    </w:p>
    <w:p>
      <w:pPr>
        <w:rPr>
          <w:szCs w:val="21"/>
        </w:rPr>
      </w:pPr>
    </w:p>
    <w:p>
      <w:pPr>
        <w:rPr>
          <w:szCs w:val="21"/>
        </w:rPr>
      </w:pPr>
    </w:p>
    <w:p>
      <w:pPr>
        <w:jc w:val="center"/>
        <w:rPr>
          <w:sz w:val="32"/>
          <w:szCs w:val="21"/>
        </w:rPr>
      </w:pPr>
    </w:p>
    <w:p>
      <w:pPr>
        <w:jc w:val="center"/>
        <w:rPr>
          <w:sz w:val="32"/>
          <w:szCs w:val="21"/>
        </w:rPr>
      </w:pPr>
    </w:p>
    <w:p>
      <w:pPr>
        <w:jc w:val="center"/>
        <w:rPr>
          <w:sz w:val="32"/>
          <w:szCs w:val="21"/>
        </w:rPr>
      </w:pPr>
    </w:p>
    <w:p>
      <w:pPr>
        <w:jc w:val="center"/>
        <w:rPr>
          <w:sz w:val="32"/>
          <w:szCs w:val="21"/>
        </w:rPr>
      </w:pPr>
    </w:p>
    <w:p>
      <w:pPr>
        <w:jc w:val="center"/>
        <w:rPr>
          <w:sz w:val="32"/>
          <w:szCs w:val="21"/>
        </w:rPr>
      </w:pPr>
    </w:p>
    <w:p>
      <w:pPr>
        <w:jc w:val="center"/>
        <w:rPr>
          <w:sz w:val="32"/>
          <w:szCs w:val="21"/>
        </w:rPr>
      </w:pPr>
    </w:p>
    <w:p>
      <w:pPr>
        <w:jc w:val="center"/>
        <w:rPr>
          <w:sz w:val="32"/>
          <w:szCs w:val="21"/>
        </w:rPr>
      </w:pPr>
    </w:p>
    <w:p>
      <w:pPr>
        <w:jc w:val="center"/>
        <w:rPr>
          <w:sz w:val="32"/>
          <w:szCs w:val="21"/>
        </w:rPr>
      </w:pPr>
    </w:p>
    <w:p>
      <w:pPr>
        <w:jc w:val="center"/>
        <w:rPr>
          <w:sz w:val="32"/>
          <w:szCs w:val="21"/>
        </w:rPr>
      </w:pPr>
    </w:p>
    <w:p>
      <w:pPr>
        <w:jc w:val="center"/>
        <w:rPr>
          <w:sz w:val="32"/>
          <w:szCs w:val="21"/>
        </w:rPr>
      </w:pPr>
    </w:p>
    <w:p>
      <w:pPr>
        <w:jc w:val="center"/>
        <w:rPr>
          <w:sz w:val="32"/>
          <w:szCs w:val="21"/>
        </w:rPr>
      </w:pPr>
    </w:p>
    <w:p>
      <w:pPr>
        <w:jc w:val="center"/>
        <w:rPr>
          <w:b/>
          <w:bCs/>
          <w:sz w:val="32"/>
          <w:szCs w:val="21"/>
        </w:rPr>
      </w:pPr>
      <w:r>
        <w:rPr>
          <w:rFonts w:hint="eastAsia"/>
          <w:b/>
          <w:bCs/>
          <w:sz w:val="32"/>
          <w:szCs w:val="21"/>
        </w:rPr>
        <w:t>诚信声明（格式）</w:t>
      </w:r>
    </w:p>
    <w:p>
      <w:pPr>
        <w:rPr>
          <w:szCs w:val="21"/>
        </w:rPr>
      </w:pPr>
    </w:p>
    <w:p>
      <w:pPr>
        <w:spacing w:line="360" w:lineRule="auto"/>
        <w:ind w:firstLine="525" w:firstLineChars="250"/>
        <w:rPr>
          <w:szCs w:val="21"/>
        </w:rPr>
      </w:pPr>
      <w:r>
        <w:rPr>
          <w:rFonts w:hint="eastAsia"/>
          <w:szCs w:val="21"/>
        </w:rPr>
        <w:t>本企业法定代表人（法定代表人、身份证号码）郑重声明，本企业参加</w:t>
      </w:r>
      <w:r>
        <w:rPr>
          <w:rFonts w:hint="eastAsia"/>
          <w:szCs w:val="21"/>
          <w:u w:val="single"/>
        </w:rPr>
        <w:t>（项目名称）</w:t>
      </w:r>
      <w:r>
        <w:rPr>
          <w:rFonts w:hint="eastAsia"/>
          <w:szCs w:val="21"/>
        </w:rPr>
        <w:t>（</w:t>
      </w:r>
      <w:r>
        <w:rPr>
          <w:rFonts w:hint="eastAsia"/>
          <w:szCs w:val="21"/>
          <w:u w:val="single"/>
        </w:rPr>
        <w:t>项目编号：</w:t>
      </w:r>
      <w:r>
        <w:rPr>
          <w:rFonts w:hint="eastAsia"/>
          <w:szCs w:val="21"/>
        </w:rPr>
        <w:t>）所提交的所有资料、填写数据及所包含的附件资料内容是真实的、合法的、有效的，所提供的服务能按竞标文件所承诺的提供。所提交的货物是全新的、未使用的原装产品，且在正常安装、使用和保养条件下，其使用寿命期内各项指标均达到质量要求。本企业承诺在本项目的整个采购活动过程中严格遵守职业道德，坚持公开、公正、公平原则，依法依规参与竞争，决不从事任何不正当竞争和任何违法违纪行为，保持廉洁自律。同样我在此所作的声明也是真实有效的。并愿意对在竞标过程中有关部门的调查结果承担责任。本企业提交的所有竞标资料如有不实，愿接受财政部门和行业主管部门依据有关法律法规给予的处罚。</w:t>
      </w:r>
    </w:p>
    <w:p>
      <w:pPr>
        <w:rPr>
          <w:szCs w:val="21"/>
        </w:rPr>
      </w:pPr>
    </w:p>
    <w:p>
      <w:pPr>
        <w:rPr>
          <w:szCs w:val="21"/>
        </w:rPr>
      </w:pPr>
    </w:p>
    <w:p>
      <w:pPr>
        <w:rPr>
          <w:szCs w:val="21"/>
          <w:u w:val="single"/>
        </w:rPr>
      </w:pPr>
      <w:r>
        <w:rPr>
          <w:rFonts w:hint="eastAsia"/>
          <w:szCs w:val="21"/>
        </w:rPr>
        <w:t>服务商名称（盖单位公章）：</w:t>
      </w:r>
    </w:p>
    <w:p>
      <w:pPr>
        <w:rPr>
          <w:szCs w:val="21"/>
        </w:rPr>
      </w:pPr>
      <w:r>
        <w:rPr>
          <w:rFonts w:hint="eastAsia"/>
          <w:szCs w:val="21"/>
        </w:rPr>
        <w:t>法定代表人或其委托代理人（签字或盖章）：</w:t>
      </w:r>
    </w:p>
    <w:p>
      <w:pPr>
        <w:pStyle w:val="24"/>
      </w:pPr>
    </w:p>
    <w:p>
      <w:pPr>
        <w:rPr>
          <w:szCs w:val="21"/>
        </w:rPr>
      </w:pPr>
    </w:p>
    <w:p>
      <w:pPr>
        <w:pStyle w:val="24"/>
      </w:pPr>
    </w:p>
    <w:p>
      <w:pPr>
        <w:rPr>
          <w:szCs w:val="21"/>
        </w:rPr>
      </w:pPr>
    </w:p>
    <w:p>
      <w:pPr>
        <w:pStyle w:val="24"/>
      </w:pPr>
    </w:p>
    <w:p>
      <w:pPr>
        <w:rPr>
          <w:szCs w:val="21"/>
        </w:rPr>
      </w:pPr>
    </w:p>
    <w:p>
      <w:pPr>
        <w:pStyle w:val="24"/>
      </w:pPr>
    </w:p>
    <w:p>
      <w:pPr>
        <w:rPr>
          <w:szCs w:val="21"/>
        </w:rPr>
      </w:pPr>
    </w:p>
    <w:p>
      <w:pPr>
        <w:pStyle w:val="2"/>
        <w:rPr>
          <w:szCs w:val="21"/>
        </w:rPr>
      </w:pPr>
    </w:p>
    <w:p>
      <w:pPr>
        <w:rPr>
          <w:szCs w:val="21"/>
        </w:rPr>
      </w:pPr>
    </w:p>
    <w:p>
      <w:pPr>
        <w:pStyle w:val="2"/>
        <w:rPr>
          <w:szCs w:val="21"/>
        </w:rPr>
      </w:pPr>
    </w:p>
    <w:p>
      <w:pPr>
        <w:rPr>
          <w:szCs w:val="21"/>
        </w:rPr>
      </w:pPr>
    </w:p>
    <w:p>
      <w:pPr>
        <w:pStyle w:val="2"/>
        <w:rPr>
          <w:szCs w:val="21"/>
        </w:rPr>
      </w:pPr>
    </w:p>
    <w:p>
      <w:pPr>
        <w:rPr>
          <w:szCs w:val="21"/>
        </w:rPr>
      </w:pPr>
    </w:p>
    <w:p>
      <w:pPr>
        <w:pStyle w:val="2"/>
        <w:rPr>
          <w:szCs w:val="21"/>
        </w:rPr>
      </w:pPr>
    </w:p>
    <w:p>
      <w:pPr>
        <w:rPr>
          <w:szCs w:val="21"/>
        </w:rPr>
      </w:pPr>
    </w:p>
    <w:p>
      <w:pPr>
        <w:pStyle w:val="2"/>
        <w:rPr>
          <w:szCs w:val="21"/>
        </w:rPr>
      </w:pPr>
    </w:p>
    <w:p>
      <w:pPr>
        <w:rPr>
          <w:szCs w:val="21"/>
        </w:rPr>
      </w:pPr>
    </w:p>
    <w:p>
      <w:pPr>
        <w:pStyle w:val="2"/>
        <w:rPr>
          <w:szCs w:val="21"/>
        </w:rPr>
      </w:pPr>
    </w:p>
    <w:p>
      <w:pPr>
        <w:rPr>
          <w:szCs w:val="21"/>
        </w:rPr>
      </w:pPr>
    </w:p>
    <w:p>
      <w:pPr>
        <w:pStyle w:val="2"/>
        <w:rPr>
          <w:szCs w:val="21"/>
        </w:rPr>
      </w:pPr>
    </w:p>
    <w:p>
      <w:pPr>
        <w:rPr>
          <w:szCs w:val="21"/>
        </w:rPr>
      </w:pPr>
    </w:p>
    <w:p>
      <w:pPr>
        <w:pStyle w:val="2"/>
        <w:rPr>
          <w:szCs w:val="21"/>
        </w:rPr>
      </w:pPr>
    </w:p>
    <w:p>
      <w:pPr>
        <w:rPr>
          <w:szCs w:val="21"/>
        </w:rPr>
      </w:pPr>
    </w:p>
    <w:p>
      <w:pPr>
        <w:rPr>
          <w:b/>
          <w:bCs/>
          <w:sz w:val="32"/>
          <w:szCs w:val="32"/>
        </w:rPr>
      </w:pPr>
      <w:r>
        <w:rPr>
          <w:rFonts w:hint="eastAsia"/>
          <w:b/>
          <w:bCs/>
          <w:sz w:val="32"/>
          <w:szCs w:val="32"/>
        </w:rPr>
        <w:t>其它资料（服务商认为有必要提供的声明、证明文件资料，如公司简介、业绩、信誉等，由服务商根据自己的实际情况自行提供。）</w:t>
      </w:r>
    </w:p>
    <w:p/>
    <w:p>
      <w:pPr>
        <w:rPr>
          <w:szCs w:val="21"/>
        </w:rPr>
      </w:pPr>
    </w:p>
    <w:p>
      <w:pPr>
        <w:pStyle w:val="2"/>
        <w:rPr>
          <w:szCs w:val="21"/>
        </w:rPr>
      </w:pPr>
    </w:p>
    <w:p>
      <w:pPr>
        <w:rPr>
          <w:szCs w:val="21"/>
        </w:rPr>
      </w:pPr>
    </w:p>
    <w:p>
      <w:pPr>
        <w:pStyle w:val="2"/>
        <w:rPr>
          <w:szCs w:val="21"/>
        </w:rPr>
      </w:pPr>
    </w:p>
    <w:p>
      <w:pPr>
        <w:rPr>
          <w:szCs w:val="21"/>
        </w:rPr>
      </w:pPr>
    </w:p>
    <w:p>
      <w:pPr>
        <w:pStyle w:val="2"/>
        <w:rPr>
          <w:szCs w:val="21"/>
        </w:rPr>
      </w:pPr>
    </w:p>
    <w:p>
      <w:pPr>
        <w:rPr>
          <w:szCs w:val="21"/>
        </w:rPr>
      </w:pPr>
    </w:p>
    <w:p>
      <w:pPr>
        <w:pStyle w:val="2"/>
        <w:rPr>
          <w:szCs w:val="21"/>
        </w:rPr>
      </w:pPr>
    </w:p>
    <w:p>
      <w:pPr>
        <w:rPr>
          <w:szCs w:val="21"/>
        </w:rPr>
      </w:pPr>
    </w:p>
    <w:p>
      <w:pPr>
        <w:pStyle w:val="2"/>
        <w:rPr>
          <w:szCs w:val="21"/>
        </w:rPr>
      </w:pPr>
    </w:p>
    <w:p>
      <w:pPr>
        <w:rPr>
          <w:szCs w:val="21"/>
        </w:rPr>
      </w:pPr>
    </w:p>
    <w:p>
      <w:pPr>
        <w:pStyle w:val="2"/>
        <w:rPr>
          <w:szCs w:val="21"/>
        </w:rPr>
      </w:pPr>
    </w:p>
    <w:p>
      <w:pPr>
        <w:rPr>
          <w:szCs w:val="21"/>
        </w:rPr>
      </w:pPr>
    </w:p>
    <w:p>
      <w:pPr>
        <w:pStyle w:val="2"/>
        <w:rPr>
          <w:szCs w:val="21"/>
        </w:rPr>
      </w:pPr>
    </w:p>
    <w:p>
      <w:pPr>
        <w:rPr>
          <w:szCs w:val="21"/>
        </w:rPr>
      </w:pPr>
    </w:p>
    <w:p>
      <w:pPr>
        <w:pStyle w:val="2"/>
        <w:rPr>
          <w:szCs w:val="21"/>
        </w:rPr>
      </w:pPr>
    </w:p>
    <w:p>
      <w:pPr>
        <w:rPr>
          <w:szCs w:val="21"/>
        </w:rPr>
      </w:pPr>
    </w:p>
    <w:p>
      <w:pPr>
        <w:pStyle w:val="2"/>
        <w:rPr>
          <w:szCs w:val="21"/>
        </w:rPr>
      </w:pPr>
    </w:p>
    <w:p>
      <w:pPr>
        <w:rPr>
          <w:szCs w:val="21"/>
        </w:rPr>
      </w:pPr>
    </w:p>
    <w:p>
      <w:pPr>
        <w:pStyle w:val="2"/>
        <w:rPr>
          <w:szCs w:val="21"/>
        </w:rPr>
      </w:pPr>
    </w:p>
    <w:p>
      <w:pPr>
        <w:rPr>
          <w:szCs w:val="21"/>
        </w:rPr>
      </w:pPr>
    </w:p>
    <w:p>
      <w:pPr>
        <w:pStyle w:val="2"/>
        <w:rPr>
          <w:szCs w:val="21"/>
        </w:rPr>
      </w:pPr>
    </w:p>
    <w:p>
      <w:pPr>
        <w:rPr>
          <w:szCs w:val="21"/>
        </w:rPr>
      </w:pPr>
    </w:p>
    <w:p>
      <w:pPr>
        <w:pStyle w:val="2"/>
        <w:rPr>
          <w:szCs w:val="21"/>
        </w:rPr>
      </w:pPr>
    </w:p>
    <w:p/>
    <w:p>
      <w:pPr>
        <w:pStyle w:val="24"/>
      </w:pPr>
    </w:p>
    <w:p>
      <w:pPr>
        <w:rPr>
          <w:szCs w:val="21"/>
        </w:rPr>
      </w:pPr>
    </w:p>
    <w:p>
      <w:pPr>
        <w:pStyle w:val="24"/>
      </w:pPr>
    </w:p>
    <w:p>
      <w:pPr>
        <w:rPr>
          <w:szCs w:val="21"/>
        </w:rPr>
      </w:pPr>
    </w:p>
    <w:p>
      <w:pPr>
        <w:pStyle w:val="24"/>
      </w:pPr>
    </w:p>
    <w:p>
      <w:pPr>
        <w:pStyle w:val="24"/>
        <w:ind w:left="0"/>
      </w:pPr>
    </w:p>
    <w:p>
      <w:pPr>
        <w:rPr>
          <w:szCs w:val="21"/>
        </w:rPr>
      </w:pPr>
    </w:p>
    <w:p>
      <w:pPr>
        <w:pStyle w:val="24"/>
      </w:pPr>
    </w:p>
    <w:p>
      <w:pPr>
        <w:rPr>
          <w:szCs w:val="21"/>
        </w:rPr>
      </w:pPr>
    </w:p>
    <w:p>
      <w:pPr>
        <w:pStyle w:val="24"/>
        <w:ind w:left="0"/>
      </w:pPr>
    </w:p>
    <w:p/>
    <w:p/>
    <w:p>
      <w:pPr>
        <w:pStyle w:val="18"/>
        <w:spacing w:line="400" w:lineRule="exact"/>
        <w:rPr>
          <w:rFonts w:hAnsi="宋体"/>
          <w:b/>
          <w:bCs/>
          <w:sz w:val="28"/>
          <w:szCs w:val="28"/>
        </w:rPr>
      </w:pPr>
      <w:r>
        <w:rPr>
          <w:rFonts w:hint="eastAsia" w:hAnsi="宋体"/>
          <w:b/>
          <w:bCs/>
          <w:sz w:val="28"/>
          <w:szCs w:val="28"/>
        </w:rPr>
        <w:t>附件1：</w:t>
      </w:r>
      <w:r>
        <w:rPr>
          <w:rFonts w:hint="eastAsia" w:hAnsi="宋体" w:cs="宋体"/>
          <w:b/>
          <w:sz w:val="28"/>
          <w:szCs w:val="28"/>
        </w:rPr>
        <w:t>《中小企业声明函》格式</w:t>
      </w:r>
      <w:r>
        <w:rPr>
          <w:rFonts w:hint="eastAsia" w:hAnsi="宋体" w:cs="宋体"/>
          <w:b/>
          <w:szCs w:val="21"/>
        </w:rPr>
        <w:t>（非小型、微型企业无需填写）</w:t>
      </w:r>
    </w:p>
    <w:p>
      <w:pPr>
        <w:pStyle w:val="18"/>
        <w:spacing w:line="400" w:lineRule="exact"/>
        <w:jc w:val="center"/>
        <w:rPr>
          <w:rFonts w:hAnsi="宋体"/>
          <w:b/>
          <w:bCs/>
          <w:sz w:val="28"/>
          <w:szCs w:val="28"/>
        </w:rPr>
      </w:pPr>
    </w:p>
    <w:p>
      <w:pPr>
        <w:pStyle w:val="85"/>
        <w:spacing w:after="0"/>
        <w:rPr>
          <w:rFonts w:eastAsia="宋体"/>
          <w:color w:val="000000"/>
        </w:rPr>
      </w:pPr>
      <w:r>
        <w:rPr>
          <w:color w:val="000000"/>
        </w:rPr>
        <w:t>中小企业声明函</w:t>
      </w:r>
    </w:p>
    <w:p>
      <w:pPr>
        <w:pStyle w:val="86"/>
        <w:spacing w:line="506" w:lineRule="exact"/>
        <w:ind w:firstLine="640"/>
        <w:jc w:val="both"/>
        <w:rPr>
          <w:color w:val="000000"/>
          <w:sz w:val="21"/>
          <w:szCs w:val="21"/>
        </w:rPr>
      </w:pPr>
      <w:r>
        <w:rPr>
          <w:color w:val="000000"/>
          <w:sz w:val="21"/>
          <w:szCs w:val="21"/>
        </w:rPr>
        <w:t>本公司（联合体）郑重声明，根据《政府采购促进中小企业发展管理办法》（财库〔2020 〕46号）的规定，本公司（联合体）参加</w:t>
      </w:r>
      <w:r>
        <w:rPr>
          <w:color w:val="000000"/>
          <w:sz w:val="21"/>
          <w:szCs w:val="21"/>
          <w:u w:val="single"/>
        </w:rPr>
        <w:t>（单位名称）</w:t>
      </w:r>
      <w:r>
        <w:rPr>
          <w:color w:val="000000"/>
          <w:sz w:val="21"/>
          <w:szCs w:val="21"/>
        </w:rPr>
        <w:t>的</w:t>
      </w:r>
      <w:r>
        <w:rPr>
          <w:color w:val="000000"/>
          <w:sz w:val="21"/>
          <w:szCs w:val="21"/>
          <w:u w:val="single"/>
        </w:rPr>
        <w:t>（项目名称）</w:t>
      </w:r>
      <w:r>
        <w:rPr>
          <w:color w:val="000000"/>
          <w:sz w:val="21"/>
          <w:szCs w:val="21"/>
        </w:rPr>
        <w:t>釆购活动,服务全部由符合政策要求的中小企业承接。相关企业的具体情况如下</w:t>
      </w:r>
      <w:r>
        <w:rPr>
          <w:rFonts w:hint="eastAsia"/>
          <w:color w:val="000000"/>
          <w:sz w:val="21"/>
          <w:szCs w:val="21"/>
        </w:rPr>
        <w:t>：</w:t>
      </w:r>
    </w:p>
    <w:p>
      <w:pPr>
        <w:pStyle w:val="86"/>
        <w:spacing w:line="506" w:lineRule="exact"/>
        <w:ind w:firstLine="640"/>
        <w:jc w:val="both"/>
        <w:rPr>
          <w:color w:val="000000"/>
          <w:sz w:val="21"/>
          <w:szCs w:val="21"/>
        </w:rPr>
      </w:pPr>
      <w:r>
        <w:rPr>
          <w:rFonts w:hint="eastAsia"/>
          <w:color w:val="000000"/>
          <w:sz w:val="21"/>
          <w:szCs w:val="21"/>
        </w:rPr>
        <w:t>1.</w:t>
      </w:r>
      <w:r>
        <w:rPr>
          <w:rFonts w:hint="eastAsia"/>
          <w:color w:val="000000"/>
          <w:sz w:val="21"/>
          <w:szCs w:val="21"/>
          <w:u w:val="single"/>
        </w:rPr>
        <w:t xml:space="preserve">   （</w:t>
      </w:r>
      <w:r>
        <w:rPr>
          <w:color w:val="000000"/>
          <w:sz w:val="21"/>
          <w:szCs w:val="21"/>
          <w:u w:val="single"/>
        </w:rPr>
        <w:t>标的名称</w:t>
      </w:r>
      <w:r>
        <w:rPr>
          <w:rFonts w:hint="eastAsia"/>
          <w:color w:val="000000"/>
          <w:sz w:val="21"/>
          <w:szCs w:val="21"/>
          <w:u w:val="single"/>
        </w:rPr>
        <w:t>）</w:t>
      </w:r>
      <w:r>
        <w:rPr>
          <w:rFonts w:hint="eastAsia"/>
          <w:color w:val="000000"/>
          <w:sz w:val="21"/>
          <w:szCs w:val="21"/>
        </w:rPr>
        <w:t>，</w:t>
      </w:r>
      <w:r>
        <w:rPr>
          <w:color w:val="000000"/>
          <w:sz w:val="21"/>
          <w:szCs w:val="21"/>
        </w:rPr>
        <w:t>属于</w:t>
      </w:r>
      <w:r>
        <w:rPr>
          <w:rFonts w:hint="eastAsia"/>
          <w:color w:val="000000"/>
          <w:sz w:val="21"/>
          <w:szCs w:val="21"/>
          <w:u w:val="single"/>
        </w:rPr>
        <w:t xml:space="preserve">     </w:t>
      </w:r>
      <w:r>
        <w:rPr>
          <w:color w:val="000000"/>
          <w:sz w:val="21"/>
          <w:szCs w:val="21"/>
          <w:u w:val="single"/>
        </w:rPr>
        <w:t>（釆购文件中明确的所属行业）行业</w:t>
      </w:r>
      <w:r>
        <w:rPr>
          <w:rFonts w:hint="eastAsia"/>
          <w:color w:val="000000"/>
          <w:sz w:val="21"/>
          <w:szCs w:val="21"/>
        </w:rPr>
        <w:t>；</w:t>
      </w:r>
      <w:r>
        <w:rPr>
          <w:color w:val="000000"/>
          <w:sz w:val="21"/>
          <w:szCs w:val="21"/>
        </w:rPr>
        <w:t>承接企业为</w:t>
      </w:r>
      <w:r>
        <w:rPr>
          <w:color w:val="000000"/>
          <w:sz w:val="21"/>
          <w:szCs w:val="21"/>
          <w:u w:val="single"/>
        </w:rPr>
        <w:t>（企业名称）</w:t>
      </w:r>
      <w:r>
        <w:rPr>
          <w:rFonts w:hint="eastAsia"/>
          <w:color w:val="000000"/>
          <w:sz w:val="21"/>
          <w:szCs w:val="21"/>
        </w:rPr>
        <w:t>，</w:t>
      </w:r>
      <w:r>
        <w:rPr>
          <w:color w:val="000000"/>
          <w:sz w:val="21"/>
          <w:szCs w:val="21"/>
        </w:rPr>
        <w:t>从业人员</w:t>
      </w:r>
      <w:r>
        <w:rPr>
          <w:color w:val="000000"/>
          <w:sz w:val="21"/>
          <w:szCs w:val="21"/>
          <w:u w:val="single"/>
        </w:rPr>
        <w:tab/>
      </w:r>
      <w:r>
        <w:rPr>
          <w:color w:val="000000"/>
          <w:sz w:val="21"/>
          <w:szCs w:val="21"/>
          <w:u w:val="single"/>
        </w:rPr>
        <w:tab/>
      </w:r>
      <w:r>
        <w:rPr>
          <w:rFonts w:hint="eastAsia"/>
          <w:color w:val="000000"/>
          <w:sz w:val="21"/>
          <w:szCs w:val="21"/>
          <w:u w:val="single"/>
        </w:rPr>
        <w:t xml:space="preserve">  </w:t>
      </w:r>
      <w:r>
        <w:rPr>
          <w:color w:val="000000"/>
          <w:sz w:val="21"/>
          <w:szCs w:val="21"/>
        </w:rPr>
        <w:t>人，营业收入为</w:t>
      </w:r>
      <w:r>
        <w:rPr>
          <w:rFonts w:hint="eastAsia"/>
          <w:color w:val="000000"/>
          <w:sz w:val="21"/>
          <w:szCs w:val="21"/>
          <w:u w:val="single"/>
        </w:rPr>
        <w:t xml:space="preserve">    </w:t>
      </w:r>
      <w:r>
        <w:rPr>
          <w:color w:val="000000"/>
          <w:sz w:val="21"/>
          <w:szCs w:val="21"/>
        </w:rPr>
        <w:t>万元，资产总额为</w:t>
      </w:r>
      <w:r>
        <w:rPr>
          <w:rFonts w:hint="eastAsia"/>
          <w:color w:val="000000"/>
          <w:sz w:val="21"/>
          <w:szCs w:val="21"/>
          <w:u w:val="single"/>
        </w:rPr>
        <w:t xml:space="preserve">     </w:t>
      </w:r>
      <w:r>
        <w:rPr>
          <w:color w:val="000000"/>
          <w:sz w:val="21"/>
          <w:szCs w:val="21"/>
        </w:rPr>
        <w:t>万元</w:t>
      </w:r>
      <w:r>
        <w:rPr>
          <w:rFonts w:hint="eastAsia"/>
          <w:color w:val="000000"/>
          <w:sz w:val="21"/>
          <w:szCs w:val="21"/>
        </w:rPr>
        <w:t>，</w:t>
      </w:r>
      <w:r>
        <w:rPr>
          <w:color w:val="000000"/>
          <w:sz w:val="21"/>
          <w:szCs w:val="21"/>
        </w:rPr>
        <w:t>属于</w:t>
      </w:r>
      <w:r>
        <w:rPr>
          <w:color w:val="000000"/>
          <w:sz w:val="21"/>
          <w:szCs w:val="21"/>
          <w:u w:val="single"/>
        </w:rPr>
        <w:t>（中型企业、小型企业、微型企业）</w:t>
      </w:r>
      <w:r>
        <w:rPr>
          <w:rFonts w:hint="eastAsia"/>
          <w:color w:val="000000"/>
          <w:sz w:val="21"/>
          <w:szCs w:val="21"/>
        </w:rPr>
        <w:t>；</w:t>
      </w:r>
      <w:r>
        <w:rPr>
          <w:color w:val="000000"/>
          <w:sz w:val="21"/>
          <w:szCs w:val="21"/>
        </w:rPr>
        <w:t xml:space="preserve"> </w:t>
      </w:r>
    </w:p>
    <w:p>
      <w:pPr>
        <w:pStyle w:val="86"/>
        <w:spacing w:line="506" w:lineRule="exact"/>
        <w:ind w:firstLine="640"/>
        <w:jc w:val="both"/>
        <w:rPr>
          <w:color w:val="000000"/>
          <w:sz w:val="21"/>
          <w:szCs w:val="21"/>
        </w:rPr>
      </w:pPr>
      <w:r>
        <w:rPr>
          <w:rFonts w:hint="eastAsia"/>
          <w:color w:val="000000"/>
          <w:sz w:val="21"/>
          <w:szCs w:val="21"/>
        </w:rPr>
        <w:t>2.</w:t>
      </w:r>
      <w:r>
        <w:rPr>
          <w:rFonts w:hint="eastAsia"/>
          <w:color w:val="000000"/>
          <w:sz w:val="21"/>
          <w:szCs w:val="21"/>
          <w:u w:val="single"/>
        </w:rPr>
        <w:t xml:space="preserve">    </w:t>
      </w:r>
      <w:r>
        <w:rPr>
          <w:color w:val="000000"/>
          <w:sz w:val="21"/>
          <w:szCs w:val="21"/>
          <w:u w:val="single"/>
        </w:rPr>
        <w:t>（标的名称）</w:t>
      </w:r>
      <w:r>
        <w:rPr>
          <w:rFonts w:hint="eastAsia"/>
          <w:color w:val="000000"/>
          <w:sz w:val="21"/>
          <w:szCs w:val="21"/>
        </w:rPr>
        <w:t>，</w:t>
      </w:r>
      <w:r>
        <w:rPr>
          <w:color w:val="000000"/>
          <w:sz w:val="21"/>
          <w:szCs w:val="21"/>
        </w:rPr>
        <w:t>属于</w:t>
      </w:r>
      <w:r>
        <w:rPr>
          <w:rFonts w:hint="eastAsia"/>
          <w:color w:val="000000"/>
          <w:sz w:val="21"/>
          <w:szCs w:val="21"/>
          <w:u w:val="single"/>
        </w:rPr>
        <w:t xml:space="preserve">     </w:t>
      </w:r>
      <w:r>
        <w:rPr>
          <w:color w:val="000000"/>
          <w:sz w:val="21"/>
          <w:szCs w:val="21"/>
          <w:u w:val="single"/>
        </w:rPr>
        <w:t>（釆购文件中明确的所属行业）行业</w:t>
      </w:r>
      <w:r>
        <w:rPr>
          <w:rFonts w:hint="eastAsia"/>
          <w:color w:val="000000"/>
          <w:sz w:val="21"/>
          <w:szCs w:val="21"/>
        </w:rPr>
        <w:t>；</w:t>
      </w:r>
      <w:r>
        <w:rPr>
          <w:color w:val="000000"/>
          <w:sz w:val="21"/>
          <w:szCs w:val="21"/>
        </w:rPr>
        <w:t>承建（承接）企业为</w:t>
      </w:r>
      <w:r>
        <w:rPr>
          <w:color w:val="000000"/>
          <w:sz w:val="21"/>
          <w:szCs w:val="21"/>
          <w:u w:val="single"/>
        </w:rPr>
        <w:t>（企业名称）</w:t>
      </w:r>
      <w:r>
        <w:rPr>
          <w:color w:val="000000"/>
          <w:sz w:val="21"/>
          <w:szCs w:val="21"/>
        </w:rPr>
        <w:t>、从业人员</w:t>
      </w:r>
      <w:r>
        <w:rPr>
          <w:color w:val="000000"/>
          <w:sz w:val="21"/>
          <w:szCs w:val="21"/>
          <w:u w:val="single"/>
        </w:rPr>
        <w:tab/>
      </w:r>
      <w:r>
        <w:rPr>
          <w:color w:val="000000"/>
          <w:sz w:val="21"/>
          <w:szCs w:val="21"/>
          <w:u w:val="single"/>
        </w:rPr>
        <w:tab/>
      </w:r>
      <w:r>
        <w:rPr>
          <w:rFonts w:hint="eastAsia"/>
          <w:color w:val="000000"/>
          <w:sz w:val="21"/>
          <w:szCs w:val="21"/>
          <w:u w:val="single"/>
        </w:rPr>
        <w:t xml:space="preserve">  </w:t>
      </w:r>
      <w:r>
        <w:rPr>
          <w:color w:val="000000"/>
          <w:sz w:val="21"/>
          <w:szCs w:val="21"/>
          <w:u w:val="single"/>
        </w:rPr>
        <w:tab/>
      </w:r>
      <w:r>
        <w:rPr>
          <w:color w:val="000000"/>
          <w:sz w:val="21"/>
          <w:szCs w:val="21"/>
        </w:rPr>
        <w:t>人，营业收入为</w:t>
      </w:r>
      <w:r>
        <w:rPr>
          <w:rFonts w:hint="eastAsia"/>
          <w:color w:val="000000"/>
          <w:sz w:val="21"/>
          <w:szCs w:val="21"/>
          <w:u w:val="single"/>
        </w:rPr>
        <w:t xml:space="preserve">    </w:t>
      </w:r>
      <w:r>
        <w:rPr>
          <w:color w:val="000000"/>
          <w:sz w:val="21"/>
          <w:szCs w:val="21"/>
        </w:rPr>
        <w:t>万元，资产总额为</w:t>
      </w:r>
      <w:r>
        <w:rPr>
          <w:rFonts w:hint="eastAsia"/>
          <w:color w:val="000000"/>
          <w:sz w:val="21"/>
          <w:szCs w:val="21"/>
          <w:u w:val="single"/>
        </w:rPr>
        <w:t xml:space="preserve">    </w:t>
      </w:r>
      <w:r>
        <w:rPr>
          <w:color w:val="000000"/>
          <w:sz w:val="21"/>
          <w:szCs w:val="21"/>
        </w:rPr>
        <w:t>万元，属于</w:t>
      </w:r>
      <w:r>
        <w:rPr>
          <w:color w:val="000000"/>
          <w:sz w:val="21"/>
          <w:szCs w:val="21"/>
          <w:u w:val="single"/>
        </w:rPr>
        <w:t>（中型企业、小型企业、微型企业）</w:t>
      </w:r>
      <w:r>
        <w:rPr>
          <w:rFonts w:hint="eastAsia"/>
          <w:color w:val="000000"/>
          <w:sz w:val="21"/>
          <w:szCs w:val="21"/>
        </w:rPr>
        <w:t>；</w:t>
      </w:r>
    </w:p>
    <w:p>
      <w:pPr>
        <w:pStyle w:val="86"/>
        <w:spacing w:line="506" w:lineRule="exact"/>
        <w:ind w:firstLine="640"/>
        <w:jc w:val="both"/>
        <w:rPr>
          <w:color w:val="000000"/>
          <w:sz w:val="21"/>
          <w:szCs w:val="21"/>
        </w:rPr>
      </w:pPr>
      <w:r>
        <w:rPr>
          <w:rFonts w:hint="eastAsia"/>
          <w:color w:val="000000"/>
          <w:sz w:val="21"/>
          <w:szCs w:val="21"/>
        </w:rPr>
        <w:t>......</w:t>
      </w:r>
    </w:p>
    <w:p>
      <w:pPr>
        <w:pStyle w:val="86"/>
        <w:spacing w:line="499" w:lineRule="exact"/>
        <w:ind w:firstLine="640"/>
        <w:jc w:val="both"/>
        <w:rPr>
          <w:color w:val="000000"/>
          <w:sz w:val="21"/>
          <w:szCs w:val="21"/>
        </w:rPr>
      </w:pPr>
      <w:r>
        <w:rPr>
          <w:color w:val="000000"/>
          <w:sz w:val="21"/>
          <w:szCs w:val="21"/>
        </w:rPr>
        <w:t>以上企业，不属于大企业的分支机构，不存在控股股东为大企业的情形，也不存在与大企业的负责人为同一人的情形。</w:t>
      </w:r>
    </w:p>
    <w:p>
      <w:pPr>
        <w:pStyle w:val="86"/>
        <w:spacing w:after="40" w:line="499" w:lineRule="exact"/>
        <w:ind w:firstLine="640"/>
        <w:jc w:val="both"/>
        <w:rPr>
          <w:color w:val="000000"/>
          <w:sz w:val="21"/>
          <w:szCs w:val="21"/>
        </w:rPr>
      </w:pPr>
      <w:r>
        <w:rPr>
          <w:color w:val="000000"/>
          <w:sz w:val="21"/>
          <w:szCs w:val="21"/>
        </w:rPr>
        <w:t>本企业对上述声明内容的真实性</w:t>
      </w:r>
      <w:r>
        <w:rPr>
          <w:rFonts w:hint="eastAsia"/>
          <w:color w:val="000000"/>
          <w:sz w:val="21"/>
          <w:szCs w:val="21"/>
        </w:rPr>
        <w:t>负责</w:t>
      </w:r>
      <w:r>
        <w:rPr>
          <w:color w:val="000000"/>
          <w:sz w:val="21"/>
          <w:szCs w:val="21"/>
        </w:rPr>
        <w:t>。如有虚假，将依法承担相应责任。</w:t>
      </w:r>
    </w:p>
    <w:p>
      <w:pPr>
        <w:pStyle w:val="86"/>
        <w:spacing w:after="40" w:line="499" w:lineRule="exact"/>
        <w:ind w:firstLine="640"/>
        <w:jc w:val="both"/>
        <w:rPr>
          <w:color w:val="000000"/>
          <w:sz w:val="21"/>
          <w:szCs w:val="21"/>
        </w:rPr>
      </w:pPr>
    </w:p>
    <w:p>
      <w:pPr>
        <w:pStyle w:val="86"/>
        <w:spacing w:line="506" w:lineRule="exact"/>
        <w:ind w:firstLine="640"/>
        <w:jc w:val="both"/>
        <w:rPr>
          <w:color w:val="000000"/>
          <w:sz w:val="21"/>
          <w:szCs w:val="21"/>
        </w:rPr>
      </w:pPr>
      <w:r>
        <w:rPr>
          <w:rFonts w:hint="eastAsia"/>
          <w:color w:val="000000"/>
          <w:sz w:val="21"/>
          <w:szCs w:val="21"/>
        </w:rPr>
        <w:t xml:space="preserve">                          </w:t>
      </w:r>
      <w:r>
        <w:rPr>
          <w:color w:val="000000"/>
          <w:sz w:val="21"/>
          <w:szCs w:val="21"/>
        </w:rPr>
        <w:t>企业名称（盖章）：</w:t>
      </w:r>
    </w:p>
    <w:p>
      <w:pPr>
        <w:pStyle w:val="86"/>
        <w:spacing w:line="506" w:lineRule="exact"/>
        <w:ind w:firstLine="640"/>
        <w:jc w:val="both"/>
        <w:rPr>
          <w:color w:val="000000"/>
          <w:sz w:val="21"/>
          <w:szCs w:val="21"/>
        </w:rPr>
      </w:pPr>
      <w:r>
        <w:rPr>
          <w:rFonts w:hint="eastAsia"/>
          <w:color w:val="000000"/>
          <w:sz w:val="21"/>
          <w:szCs w:val="21"/>
        </w:rPr>
        <w:t xml:space="preserve">                          日期：</w:t>
      </w:r>
    </w:p>
    <w:p>
      <w:pPr>
        <w:pStyle w:val="85"/>
        <w:spacing w:after="0"/>
        <w:rPr>
          <w:color w:val="000000"/>
        </w:rPr>
      </w:pPr>
    </w:p>
    <w:p>
      <w:pPr>
        <w:pStyle w:val="85"/>
        <w:adjustRightInd w:val="0"/>
        <w:snapToGrid w:val="0"/>
        <w:spacing w:after="0" w:line="360" w:lineRule="exact"/>
        <w:jc w:val="left"/>
        <w:rPr>
          <w:color w:val="000000"/>
          <w:sz w:val="21"/>
          <w:szCs w:val="21"/>
        </w:rPr>
      </w:pPr>
      <w:r>
        <w:rPr>
          <w:color w:val="000000"/>
          <w:sz w:val="21"/>
          <w:szCs w:val="21"/>
        </w:rPr>
        <w:t>备注：</w:t>
      </w:r>
    </w:p>
    <w:p>
      <w:pPr>
        <w:pStyle w:val="85"/>
        <w:adjustRightInd w:val="0"/>
        <w:snapToGrid w:val="0"/>
        <w:spacing w:after="0" w:line="360" w:lineRule="exact"/>
        <w:jc w:val="left"/>
        <w:rPr>
          <w:rFonts w:eastAsia="宋体"/>
          <w:color w:val="000000"/>
          <w:sz w:val="21"/>
          <w:szCs w:val="21"/>
        </w:rPr>
      </w:pPr>
      <w:r>
        <w:rPr>
          <w:rFonts w:hint="eastAsia"/>
          <w:color w:val="000000"/>
          <w:sz w:val="21"/>
          <w:szCs w:val="21"/>
        </w:rPr>
        <w:t>1、</w:t>
      </w:r>
      <w:r>
        <w:rPr>
          <w:color w:val="000000"/>
          <w:sz w:val="21"/>
          <w:szCs w:val="21"/>
        </w:rPr>
        <w:t>从业人员、营业收入、资产总额填报上一年度数据，无上一年度数据的新成立企业可不填报。</w:t>
      </w:r>
      <w:r>
        <w:rPr>
          <w:rFonts w:hint="eastAsia"/>
          <w:color w:val="000000"/>
          <w:sz w:val="21"/>
          <w:szCs w:val="21"/>
        </w:rPr>
        <w:t>2、采购文件中明确的所属行业名称是根据《关于印发中小企业划型标准规定的通知》（工信部联企业[2011]300号）规定确定。</w:t>
      </w:r>
    </w:p>
    <w:p/>
    <w:p>
      <w:pPr>
        <w:pStyle w:val="18"/>
        <w:spacing w:line="400" w:lineRule="exact"/>
        <w:jc w:val="center"/>
        <w:rPr>
          <w:rFonts w:hAnsi="宋体"/>
          <w:b/>
          <w:bCs/>
          <w:sz w:val="28"/>
          <w:szCs w:val="28"/>
        </w:rPr>
      </w:pPr>
    </w:p>
    <w:p>
      <w:pPr>
        <w:pStyle w:val="18"/>
        <w:spacing w:line="400" w:lineRule="exact"/>
        <w:jc w:val="center"/>
        <w:rPr>
          <w:rFonts w:hAnsi="宋体"/>
          <w:b/>
          <w:bCs/>
          <w:sz w:val="28"/>
          <w:szCs w:val="28"/>
        </w:rPr>
      </w:pPr>
    </w:p>
    <w:p>
      <w:pPr>
        <w:pStyle w:val="18"/>
        <w:spacing w:line="400" w:lineRule="exact"/>
        <w:rPr>
          <w:rFonts w:hAnsi="宋体"/>
          <w:b/>
          <w:bCs/>
          <w:sz w:val="28"/>
          <w:szCs w:val="28"/>
        </w:rPr>
      </w:pPr>
    </w:p>
    <w:p>
      <w:pPr>
        <w:pStyle w:val="18"/>
        <w:spacing w:line="400" w:lineRule="exact"/>
        <w:rPr>
          <w:rFonts w:hAnsi="宋体"/>
          <w:b/>
          <w:bCs/>
          <w:sz w:val="28"/>
          <w:szCs w:val="28"/>
        </w:rPr>
      </w:pPr>
    </w:p>
    <w:p>
      <w:pPr>
        <w:pStyle w:val="18"/>
        <w:spacing w:line="400" w:lineRule="exact"/>
        <w:jc w:val="left"/>
        <w:rPr>
          <w:rFonts w:hAnsi="宋体"/>
          <w:b/>
          <w:bCs/>
          <w:sz w:val="28"/>
          <w:szCs w:val="28"/>
        </w:rPr>
      </w:pPr>
    </w:p>
    <w:p>
      <w:pPr>
        <w:pStyle w:val="18"/>
        <w:spacing w:line="400" w:lineRule="exact"/>
        <w:jc w:val="left"/>
        <w:rPr>
          <w:rFonts w:hAnsi="宋体"/>
          <w:b/>
          <w:bCs/>
          <w:sz w:val="28"/>
          <w:szCs w:val="28"/>
        </w:rPr>
      </w:pPr>
      <w:r>
        <w:rPr>
          <w:rFonts w:hint="eastAsia" w:hAnsi="宋体" w:cs="宋体"/>
          <w:b/>
          <w:sz w:val="28"/>
          <w:szCs w:val="28"/>
        </w:rPr>
        <w:t>附件2：《残疾人福利性单位声明函》格式</w:t>
      </w:r>
      <w:r>
        <w:rPr>
          <w:rFonts w:hint="eastAsia" w:hAnsi="宋体" w:cs="宋体"/>
          <w:b/>
          <w:szCs w:val="21"/>
        </w:rPr>
        <w:t>（非残疾人福利性单位无需填写）</w:t>
      </w:r>
    </w:p>
    <w:p>
      <w:pPr>
        <w:pStyle w:val="18"/>
        <w:spacing w:line="400" w:lineRule="exact"/>
        <w:jc w:val="center"/>
        <w:rPr>
          <w:rFonts w:hAnsi="宋体"/>
          <w:b/>
          <w:bCs/>
          <w:sz w:val="28"/>
          <w:szCs w:val="28"/>
        </w:rPr>
      </w:pPr>
    </w:p>
    <w:p>
      <w:pPr>
        <w:pStyle w:val="18"/>
        <w:spacing w:line="400" w:lineRule="exact"/>
        <w:jc w:val="center"/>
        <w:rPr>
          <w:rFonts w:hAnsi="宋体"/>
          <w:b/>
          <w:bCs/>
          <w:sz w:val="28"/>
          <w:szCs w:val="28"/>
        </w:rPr>
      </w:pPr>
      <w:r>
        <w:rPr>
          <w:rFonts w:hint="eastAsia" w:hAnsi="宋体"/>
          <w:b/>
          <w:bCs/>
          <w:sz w:val="28"/>
          <w:szCs w:val="28"/>
        </w:rPr>
        <w:t>残疾人福利性单位声明函</w:t>
      </w:r>
    </w:p>
    <w:p>
      <w:pPr>
        <w:pStyle w:val="18"/>
        <w:spacing w:line="360" w:lineRule="auto"/>
        <w:jc w:val="left"/>
        <w:rPr>
          <w:rFonts w:hAnsi="宋体"/>
          <w:bCs/>
          <w:sz w:val="24"/>
          <w:szCs w:val="28"/>
        </w:rPr>
      </w:pPr>
    </w:p>
    <w:p>
      <w:pPr>
        <w:pStyle w:val="18"/>
        <w:spacing w:line="360" w:lineRule="auto"/>
        <w:ind w:firstLine="480" w:firstLineChars="200"/>
        <w:jc w:val="left"/>
        <w:rPr>
          <w:rFonts w:hAnsi="宋体"/>
          <w:bCs/>
          <w:sz w:val="24"/>
          <w:szCs w:val="28"/>
        </w:rPr>
      </w:pPr>
      <w:r>
        <w:rPr>
          <w:rFonts w:hint="eastAsia" w:hAnsi="宋体"/>
          <w:bCs/>
          <w:sz w:val="24"/>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8"/>
        <w:spacing w:line="360" w:lineRule="auto"/>
        <w:ind w:firstLine="360" w:firstLineChars="150"/>
        <w:jc w:val="left"/>
        <w:rPr>
          <w:rFonts w:hAnsi="宋体"/>
          <w:bCs/>
          <w:sz w:val="24"/>
          <w:szCs w:val="28"/>
        </w:rPr>
      </w:pPr>
      <w:r>
        <w:rPr>
          <w:rFonts w:hint="eastAsia" w:hAnsi="宋体"/>
          <w:bCs/>
          <w:sz w:val="24"/>
          <w:szCs w:val="28"/>
        </w:rPr>
        <w:t>本单位对上述声明的真实性负责。如有虚假，将依法承担相应责任。</w:t>
      </w:r>
    </w:p>
    <w:p>
      <w:pPr>
        <w:pStyle w:val="18"/>
        <w:spacing w:line="360" w:lineRule="auto"/>
        <w:jc w:val="left"/>
        <w:rPr>
          <w:rFonts w:hAnsi="宋体"/>
          <w:bCs/>
          <w:sz w:val="24"/>
          <w:szCs w:val="28"/>
        </w:rPr>
      </w:pPr>
    </w:p>
    <w:p>
      <w:pPr>
        <w:pStyle w:val="18"/>
        <w:spacing w:line="400" w:lineRule="exact"/>
        <w:jc w:val="center"/>
        <w:rPr>
          <w:rFonts w:hAnsi="宋体"/>
          <w:bCs/>
          <w:sz w:val="28"/>
          <w:szCs w:val="28"/>
        </w:rPr>
      </w:pPr>
    </w:p>
    <w:p>
      <w:pPr>
        <w:pStyle w:val="18"/>
        <w:spacing w:line="400" w:lineRule="exact"/>
        <w:jc w:val="center"/>
        <w:rPr>
          <w:rFonts w:hAnsi="宋体"/>
          <w:bCs/>
          <w:sz w:val="28"/>
          <w:szCs w:val="28"/>
        </w:rPr>
      </w:pPr>
      <w:r>
        <w:rPr>
          <w:rFonts w:hint="eastAsia" w:hAnsi="宋体"/>
          <w:bCs/>
          <w:sz w:val="28"/>
          <w:szCs w:val="28"/>
        </w:rPr>
        <w:t xml:space="preserve">                        单位名称（盖章）：</w:t>
      </w:r>
    </w:p>
    <w:p>
      <w:r>
        <w:rPr>
          <w:rFonts w:hint="eastAsia" w:hAnsi="宋体"/>
          <w:bCs/>
          <w:sz w:val="28"/>
          <w:szCs w:val="28"/>
        </w:rPr>
        <w:t xml:space="preserve">                                               日  期</w:t>
      </w:r>
    </w:p>
    <w:sectPr>
      <w:headerReference r:id="rId3" w:type="default"/>
      <w:footerReference r:id="rId4" w:type="default"/>
      <w:pgSz w:w="11906" w:h="16838"/>
      <w:pgMar w:top="1247" w:right="1247" w:bottom="1418" w:left="1247" w:header="680" w:footer="851"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方正隶书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金山简隶书">
    <w:altName w:val="宋体"/>
    <w:panose1 w:val="00000000000000000000"/>
    <w:charset w:val="86"/>
    <w:family w:val="auto"/>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4595" w:firstLineChars="255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2"/>
                          </w:pPr>
                          <w:r>
                            <w:fldChar w:fldCharType="begin"/>
                          </w:r>
                          <w:r>
                            <w:instrText xml:space="preserve"> PAGE  \* MERGEFORMAT </w:instrText>
                          </w:r>
                          <w:r>
                            <w:fldChar w:fldCharType="separate"/>
                          </w:r>
                          <w:r>
                            <w:t>50</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gCtJzSAQAAow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dU2KZwYFffv64/Ppz&#10;+f2dvE7y9B5qzLr3mBeHd27ApZnvAS8T60EGk77Ih2AcxT1fxRVDJDw9qlZVVWKIY2x2EL94eO4D&#10;xPfCGZKMhgacXhaVnT5CHFPnlFTNujuldZ6gtqRH1HX1dp1fXEOIri0WSSzGbpMVh/0wUdu79ozM&#10;elyBhlrceEr0B4sKp22ZjTAb+9k4+qAOHTa5zPXA3x4jtpO7TBVG2Kkwzi7znPYsLce/fs56+Le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mAK0nNIBAACjAwAADgAAAAAAAAABACAAAAAi&#10;AQAAZHJzL2Uyb0RvYy54bWxQSwUGAAAAAAYABgBZAQAAZgUAAAAA&#10;">
              <v:fill on="f" focussize="0,0"/>
              <v:stroke on="f" weight="1.25pt"/>
              <v:imagedata o:title=""/>
              <o:lock v:ext="edit" aspectratio="f"/>
              <v:textbox inset="0mm,0mm,0mm,0mm" style="mso-fit-shape-to-text:t;">
                <w:txbxContent>
                  <w:p>
                    <w:pPr>
                      <w:pStyle w:val="2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tabs>
        <w:tab w:val="clear" w:pos="8306"/>
      </w:tabs>
      <w:jc w:val="both"/>
      <w:rPr>
        <w:rFonts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5E50E"/>
    <w:multiLevelType w:val="singleLevel"/>
    <w:tmpl w:val="9295E50E"/>
    <w:lvl w:ilvl="0" w:tentative="0">
      <w:start w:val="21"/>
      <w:numFmt w:val="decimal"/>
      <w:suff w:val="nothing"/>
      <w:lvlText w:val="%1、"/>
      <w:lvlJc w:val="left"/>
    </w:lvl>
  </w:abstractNum>
  <w:abstractNum w:abstractNumId="1">
    <w:nsid w:val="98035E89"/>
    <w:multiLevelType w:val="singleLevel"/>
    <w:tmpl w:val="98035E89"/>
    <w:lvl w:ilvl="0" w:tentative="0">
      <w:start w:val="2"/>
      <w:numFmt w:val="chineseCounting"/>
      <w:suff w:val="space"/>
      <w:lvlText w:val="第%1章"/>
      <w:lvlJc w:val="left"/>
      <w:rPr>
        <w:rFonts w:hint="eastAsia"/>
      </w:rPr>
    </w:lvl>
  </w:abstractNum>
  <w:abstractNum w:abstractNumId="2">
    <w:nsid w:val="B1EA15BB"/>
    <w:multiLevelType w:val="singleLevel"/>
    <w:tmpl w:val="B1EA15BB"/>
    <w:lvl w:ilvl="0" w:tentative="0">
      <w:start w:val="2"/>
      <w:numFmt w:val="decimal"/>
      <w:suff w:val="nothing"/>
      <w:lvlText w:val="%1．"/>
      <w:lvlJc w:val="left"/>
    </w:lvl>
  </w:abstractNum>
  <w:abstractNum w:abstractNumId="3">
    <w:nsid w:val="F4C86BF1"/>
    <w:multiLevelType w:val="singleLevel"/>
    <w:tmpl w:val="F4C86BF1"/>
    <w:lvl w:ilvl="0" w:tentative="0">
      <w:start w:val="17"/>
      <w:numFmt w:val="decimal"/>
      <w:suff w:val="nothing"/>
      <w:lvlText w:val="%1、"/>
      <w:lvlJc w:val="left"/>
    </w:lvl>
  </w:abstractNum>
  <w:abstractNum w:abstractNumId="4">
    <w:nsid w:val="241D1B56"/>
    <w:multiLevelType w:val="singleLevel"/>
    <w:tmpl w:val="241D1B56"/>
    <w:lvl w:ilvl="0" w:tentative="0">
      <w:start w:val="7"/>
      <w:numFmt w:val="chineseCounting"/>
      <w:suff w:val="nothing"/>
      <w:lvlText w:val="%1、"/>
      <w:lvlJc w:val="left"/>
      <w:rPr>
        <w:rFonts w:hint="eastAsia"/>
      </w:rPr>
    </w:lvl>
  </w:abstractNum>
  <w:abstractNum w:abstractNumId="5">
    <w:nsid w:val="7CDA90B2"/>
    <w:multiLevelType w:val="singleLevel"/>
    <w:tmpl w:val="7CDA90B2"/>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39D"/>
    <w:rsid w:val="00002687"/>
    <w:rsid w:val="00011F82"/>
    <w:rsid w:val="00016FA4"/>
    <w:rsid w:val="00020BD4"/>
    <w:rsid w:val="00023743"/>
    <w:rsid w:val="000307AB"/>
    <w:rsid w:val="00030AEF"/>
    <w:rsid w:val="00033199"/>
    <w:rsid w:val="0003433E"/>
    <w:rsid w:val="00036777"/>
    <w:rsid w:val="00043A0F"/>
    <w:rsid w:val="00053418"/>
    <w:rsid w:val="00060B6F"/>
    <w:rsid w:val="000711FB"/>
    <w:rsid w:val="00075498"/>
    <w:rsid w:val="00084B92"/>
    <w:rsid w:val="00090CF6"/>
    <w:rsid w:val="000937B9"/>
    <w:rsid w:val="0009601F"/>
    <w:rsid w:val="00096BE5"/>
    <w:rsid w:val="0009731E"/>
    <w:rsid w:val="000B5472"/>
    <w:rsid w:val="000C2184"/>
    <w:rsid w:val="000E4148"/>
    <w:rsid w:val="000F1AC6"/>
    <w:rsid w:val="000F62F0"/>
    <w:rsid w:val="0010088E"/>
    <w:rsid w:val="00100A1D"/>
    <w:rsid w:val="00111444"/>
    <w:rsid w:val="00133710"/>
    <w:rsid w:val="00134FD2"/>
    <w:rsid w:val="001431DF"/>
    <w:rsid w:val="001432C6"/>
    <w:rsid w:val="00161468"/>
    <w:rsid w:val="00164E75"/>
    <w:rsid w:val="00173638"/>
    <w:rsid w:val="00181726"/>
    <w:rsid w:val="001934CD"/>
    <w:rsid w:val="001A1090"/>
    <w:rsid w:val="001A61D3"/>
    <w:rsid w:val="001B23C3"/>
    <w:rsid w:val="001B27F0"/>
    <w:rsid w:val="001C20DB"/>
    <w:rsid w:val="001C33AE"/>
    <w:rsid w:val="001C512D"/>
    <w:rsid w:val="001C6FCF"/>
    <w:rsid w:val="001D0A5F"/>
    <w:rsid w:val="001D1A50"/>
    <w:rsid w:val="001E22B6"/>
    <w:rsid w:val="001E5951"/>
    <w:rsid w:val="001F24D7"/>
    <w:rsid w:val="00200499"/>
    <w:rsid w:val="002005A2"/>
    <w:rsid w:val="002065DF"/>
    <w:rsid w:val="00210DBC"/>
    <w:rsid w:val="00227FE0"/>
    <w:rsid w:val="002426FC"/>
    <w:rsid w:val="002537B2"/>
    <w:rsid w:val="00254F1C"/>
    <w:rsid w:val="00255FAE"/>
    <w:rsid w:val="00266E91"/>
    <w:rsid w:val="002700D8"/>
    <w:rsid w:val="0027101E"/>
    <w:rsid w:val="002727BF"/>
    <w:rsid w:val="002759EE"/>
    <w:rsid w:val="002801BA"/>
    <w:rsid w:val="00282D47"/>
    <w:rsid w:val="002901AE"/>
    <w:rsid w:val="00291C89"/>
    <w:rsid w:val="00293604"/>
    <w:rsid w:val="002A1B39"/>
    <w:rsid w:val="002B0CA4"/>
    <w:rsid w:val="002B37F2"/>
    <w:rsid w:val="002B4C83"/>
    <w:rsid w:val="002C19C0"/>
    <w:rsid w:val="002C3B31"/>
    <w:rsid w:val="002F0425"/>
    <w:rsid w:val="002F2C51"/>
    <w:rsid w:val="00300730"/>
    <w:rsid w:val="00305A38"/>
    <w:rsid w:val="00321BFF"/>
    <w:rsid w:val="003263AB"/>
    <w:rsid w:val="00326F2E"/>
    <w:rsid w:val="00344AE2"/>
    <w:rsid w:val="00344B02"/>
    <w:rsid w:val="00347A3B"/>
    <w:rsid w:val="00357C37"/>
    <w:rsid w:val="00360C80"/>
    <w:rsid w:val="00367E27"/>
    <w:rsid w:val="0037381F"/>
    <w:rsid w:val="00374399"/>
    <w:rsid w:val="00376DF4"/>
    <w:rsid w:val="003827F4"/>
    <w:rsid w:val="00385369"/>
    <w:rsid w:val="0039625B"/>
    <w:rsid w:val="00397FA8"/>
    <w:rsid w:val="003A1453"/>
    <w:rsid w:val="003A6FD8"/>
    <w:rsid w:val="003B0F8A"/>
    <w:rsid w:val="003B3F50"/>
    <w:rsid w:val="003B4E37"/>
    <w:rsid w:val="003C2A6B"/>
    <w:rsid w:val="003C2B44"/>
    <w:rsid w:val="003C30A8"/>
    <w:rsid w:val="003C7FCC"/>
    <w:rsid w:val="003D56E8"/>
    <w:rsid w:val="003D6E5C"/>
    <w:rsid w:val="003E6CEE"/>
    <w:rsid w:val="003F1587"/>
    <w:rsid w:val="003F1C22"/>
    <w:rsid w:val="0040400E"/>
    <w:rsid w:val="004144A3"/>
    <w:rsid w:val="004174FB"/>
    <w:rsid w:val="00420865"/>
    <w:rsid w:val="00433041"/>
    <w:rsid w:val="00436677"/>
    <w:rsid w:val="0044326C"/>
    <w:rsid w:val="00443C9D"/>
    <w:rsid w:val="004457F0"/>
    <w:rsid w:val="00451FD1"/>
    <w:rsid w:val="004560E8"/>
    <w:rsid w:val="0045665F"/>
    <w:rsid w:val="004718AA"/>
    <w:rsid w:val="00474097"/>
    <w:rsid w:val="004913A7"/>
    <w:rsid w:val="00494C7D"/>
    <w:rsid w:val="004B03E0"/>
    <w:rsid w:val="004B1055"/>
    <w:rsid w:val="004B40FD"/>
    <w:rsid w:val="004C1149"/>
    <w:rsid w:val="004C259C"/>
    <w:rsid w:val="004C2B07"/>
    <w:rsid w:val="004D56C5"/>
    <w:rsid w:val="004D5AEC"/>
    <w:rsid w:val="004D6AEA"/>
    <w:rsid w:val="004D7B46"/>
    <w:rsid w:val="004F04D3"/>
    <w:rsid w:val="004F1E70"/>
    <w:rsid w:val="004F2159"/>
    <w:rsid w:val="004F2D20"/>
    <w:rsid w:val="004F4670"/>
    <w:rsid w:val="005009BD"/>
    <w:rsid w:val="00513904"/>
    <w:rsid w:val="0052195D"/>
    <w:rsid w:val="00527F5F"/>
    <w:rsid w:val="00531810"/>
    <w:rsid w:val="00531A87"/>
    <w:rsid w:val="005412BE"/>
    <w:rsid w:val="00542C66"/>
    <w:rsid w:val="00553784"/>
    <w:rsid w:val="005557AC"/>
    <w:rsid w:val="00561060"/>
    <w:rsid w:val="00563BAE"/>
    <w:rsid w:val="0056492B"/>
    <w:rsid w:val="00576546"/>
    <w:rsid w:val="00580F74"/>
    <w:rsid w:val="00584ADD"/>
    <w:rsid w:val="00584B7C"/>
    <w:rsid w:val="0059146D"/>
    <w:rsid w:val="005A1FF2"/>
    <w:rsid w:val="005A3B89"/>
    <w:rsid w:val="005A631A"/>
    <w:rsid w:val="005B54BD"/>
    <w:rsid w:val="005B7E7E"/>
    <w:rsid w:val="005C0E01"/>
    <w:rsid w:val="005C36E1"/>
    <w:rsid w:val="005C4E76"/>
    <w:rsid w:val="005D0FAE"/>
    <w:rsid w:val="005D5D46"/>
    <w:rsid w:val="00606329"/>
    <w:rsid w:val="006156D3"/>
    <w:rsid w:val="00615A13"/>
    <w:rsid w:val="00632021"/>
    <w:rsid w:val="00636ABF"/>
    <w:rsid w:val="006414C0"/>
    <w:rsid w:val="00646942"/>
    <w:rsid w:val="00646D1E"/>
    <w:rsid w:val="00654FF7"/>
    <w:rsid w:val="0065583A"/>
    <w:rsid w:val="0066157C"/>
    <w:rsid w:val="0066554A"/>
    <w:rsid w:val="0067366E"/>
    <w:rsid w:val="00675D0D"/>
    <w:rsid w:val="006810BE"/>
    <w:rsid w:val="0068797C"/>
    <w:rsid w:val="00693CBF"/>
    <w:rsid w:val="0069669C"/>
    <w:rsid w:val="00697AAE"/>
    <w:rsid w:val="006A0507"/>
    <w:rsid w:val="006A32FB"/>
    <w:rsid w:val="006A63F7"/>
    <w:rsid w:val="006B30FA"/>
    <w:rsid w:val="006B41DC"/>
    <w:rsid w:val="006C47FA"/>
    <w:rsid w:val="006C5859"/>
    <w:rsid w:val="006F5BBE"/>
    <w:rsid w:val="007009B1"/>
    <w:rsid w:val="00710713"/>
    <w:rsid w:val="0072389F"/>
    <w:rsid w:val="007263E9"/>
    <w:rsid w:val="00734FB5"/>
    <w:rsid w:val="00745F05"/>
    <w:rsid w:val="0075045C"/>
    <w:rsid w:val="00753E75"/>
    <w:rsid w:val="00757447"/>
    <w:rsid w:val="0075752C"/>
    <w:rsid w:val="00760288"/>
    <w:rsid w:val="0077067B"/>
    <w:rsid w:val="00770A7C"/>
    <w:rsid w:val="0077323E"/>
    <w:rsid w:val="00782607"/>
    <w:rsid w:val="0078770E"/>
    <w:rsid w:val="00790F2A"/>
    <w:rsid w:val="00795616"/>
    <w:rsid w:val="007979BD"/>
    <w:rsid w:val="007A7FE8"/>
    <w:rsid w:val="007B106E"/>
    <w:rsid w:val="007B24F3"/>
    <w:rsid w:val="007B48BF"/>
    <w:rsid w:val="007B642C"/>
    <w:rsid w:val="007D76D3"/>
    <w:rsid w:val="007F07F1"/>
    <w:rsid w:val="007F0C07"/>
    <w:rsid w:val="007F11D1"/>
    <w:rsid w:val="007F2D12"/>
    <w:rsid w:val="00814129"/>
    <w:rsid w:val="00814B1E"/>
    <w:rsid w:val="00816E66"/>
    <w:rsid w:val="008233B5"/>
    <w:rsid w:val="00826853"/>
    <w:rsid w:val="008347E4"/>
    <w:rsid w:val="00835A6A"/>
    <w:rsid w:val="0084231F"/>
    <w:rsid w:val="00845804"/>
    <w:rsid w:val="00853EFD"/>
    <w:rsid w:val="008573D0"/>
    <w:rsid w:val="0086162B"/>
    <w:rsid w:val="00863049"/>
    <w:rsid w:val="00863B67"/>
    <w:rsid w:val="00870818"/>
    <w:rsid w:val="00886276"/>
    <w:rsid w:val="00895F08"/>
    <w:rsid w:val="008A0112"/>
    <w:rsid w:val="008A2D7D"/>
    <w:rsid w:val="008A77C7"/>
    <w:rsid w:val="008A7A21"/>
    <w:rsid w:val="008B12C1"/>
    <w:rsid w:val="008B415D"/>
    <w:rsid w:val="008B4247"/>
    <w:rsid w:val="008D1035"/>
    <w:rsid w:val="008D6761"/>
    <w:rsid w:val="008E6856"/>
    <w:rsid w:val="008E6D04"/>
    <w:rsid w:val="008F24CC"/>
    <w:rsid w:val="008F4EAF"/>
    <w:rsid w:val="00911378"/>
    <w:rsid w:val="00917C09"/>
    <w:rsid w:val="0092130E"/>
    <w:rsid w:val="00923F2A"/>
    <w:rsid w:val="009240D7"/>
    <w:rsid w:val="00926C5B"/>
    <w:rsid w:val="009308EF"/>
    <w:rsid w:val="00932EAC"/>
    <w:rsid w:val="00937B45"/>
    <w:rsid w:val="00941C26"/>
    <w:rsid w:val="009539AF"/>
    <w:rsid w:val="00953A81"/>
    <w:rsid w:val="00961E13"/>
    <w:rsid w:val="00962A4E"/>
    <w:rsid w:val="009630F0"/>
    <w:rsid w:val="00975686"/>
    <w:rsid w:val="00977131"/>
    <w:rsid w:val="00981C80"/>
    <w:rsid w:val="009917F9"/>
    <w:rsid w:val="009979EE"/>
    <w:rsid w:val="00997A3B"/>
    <w:rsid w:val="009A1DBD"/>
    <w:rsid w:val="009B029C"/>
    <w:rsid w:val="009B3D64"/>
    <w:rsid w:val="009D3686"/>
    <w:rsid w:val="009E0712"/>
    <w:rsid w:val="009F10C5"/>
    <w:rsid w:val="009F3D46"/>
    <w:rsid w:val="00A20CF5"/>
    <w:rsid w:val="00A24687"/>
    <w:rsid w:val="00A348D6"/>
    <w:rsid w:val="00A37E56"/>
    <w:rsid w:val="00A547ED"/>
    <w:rsid w:val="00A55F4E"/>
    <w:rsid w:val="00A568A5"/>
    <w:rsid w:val="00A764F3"/>
    <w:rsid w:val="00A76B0F"/>
    <w:rsid w:val="00A77337"/>
    <w:rsid w:val="00A87604"/>
    <w:rsid w:val="00A902C7"/>
    <w:rsid w:val="00A93BDB"/>
    <w:rsid w:val="00AA7480"/>
    <w:rsid w:val="00AA7D21"/>
    <w:rsid w:val="00AB534F"/>
    <w:rsid w:val="00AC5F36"/>
    <w:rsid w:val="00AC6713"/>
    <w:rsid w:val="00AC7169"/>
    <w:rsid w:val="00AE64A6"/>
    <w:rsid w:val="00AF29DF"/>
    <w:rsid w:val="00AF6E01"/>
    <w:rsid w:val="00B00B6E"/>
    <w:rsid w:val="00B02717"/>
    <w:rsid w:val="00B11CA8"/>
    <w:rsid w:val="00B15168"/>
    <w:rsid w:val="00B15E9C"/>
    <w:rsid w:val="00B16C59"/>
    <w:rsid w:val="00B174AF"/>
    <w:rsid w:val="00B224E8"/>
    <w:rsid w:val="00B2596E"/>
    <w:rsid w:val="00B45BA3"/>
    <w:rsid w:val="00B65E9D"/>
    <w:rsid w:val="00B75D10"/>
    <w:rsid w:val="00B846FA"/>
    <w:rsid w:val="00B903DF"/>
    <w:rsid w:val="00B920C6"/>
    <w:rsid w:val="00B9355D"/>
    <w:rsid w:val="00BA136B"/>
    <w:rsid w:val="00BA4453"/>
    <w:rsid w:val="00BB4303"/>
    <w:rsid w:val="00BC0355"/>
    <w:rsid w:val="00BC69F5"/>
    <w:rsid w:val="00BE5733"/>
    <w:rsid w:val="00BE7412"/>
    <w:rsid w:val="00BF5E83"/>
    <w:rsid w:val="00C0474C"/>
    <w:rsid w:val="00C05D84"/>
    <w:rsid w:val="00C10599"/>
    <w:rsid w:val="00C16E5F"/>
    <w:rsid w:val="00C273EA"/>
    <w:rsid w:val="00C27C00"/>
    <w:rsid w:val="00C30CCD"/>
    <w:rsid w:val="00C31FA3"/>
    <w:rsid w:val="00C43EB5"/>
    <w:rsid w:val="00C56A49"/>
    <w:rsid w:val="00C610C2"/>
    <w:rsid w:val="00C63BDF"/>
    <w:rsid w:val="00C90BAB"/>
    <w:rsid w:val="00CA1BB4"/>
    <w:rsid w:val="00CA34E1"/>
    <w:rsid w:val="00CB09D9"/>
    <w:rsid w:val="00CC68F0"/>
    <w:rsid w:val="00CF00DF"/>
    <w:rsid w:val="00CF3F48"/>
    <w:rsid w:val="00CF5574"/>
    <w:rsid w:val="00D0362E"/>
    <w:rsid w:val="00D13EC1"/>
    <w:rsid w:val="00D221B2"/>
    <w:rsid w:val="00D22BA5"/>
    <w:rsid w:val="00D27463"/>
    <w:rsid w:val="00D30D3A"/>
    <w:rsid w:val="00D50461"/>
    <w:rsid w:val="00D52B7F"/>
    <w:rsid w:val="00D5318C"/>
    <w:rsid w:val="00D61144"/>
    <w:rsid w:val="00D63943"/>
    <w:rsid w:val="00D63D0A"/>
    <w:rsid w:val="00D63DBA"/>
    <w:rsid w:val="00D6581C"/>
    <w:rsid w:val="00D7696C"/>
    <w:rsid w:val="00D8002C"/>
    <w:rsid w:val="00D819B5"/>
    <w:rsid w:val="00D82E9C"/>
    <w:rsid w:val="00D937C0"/>
    <w:rsid w:val="00DA6054"/>
    <w:rsid w:val="00DC7802"/>
    <w:rsid w:val="00DD32DE"/>
    <w:rsid w:val="00DE3DCC"/>
    <w:rsid w:val="00DE6D82"/>
    <w:rsid w:val="00DF175D"/>
    <w:rsid w:val="00DF6EA9"/>
    <w:rsid w:val="00E236C6"/>
    <w:rsid w:val="00E25122"/>
    <w:rsid w:val="00E3332A"/>
    <w:rsid w:val="00E34DF1"/>
    <w:rsid w:val="00E4084B"/>
    <w:rsid w:val="00E4251D"/>
    <w:rsid w:val="00E6376F"/>
    <w:rsid w:val="00E6439D"/>
    <w:rsid w:val="00E648F3"/>
    <w:rsid w:val="00E71929"/>
    <w:rsid w:val="00E72073"/>
    <w:rsid w:val="00E72517"/>
    <w:rsid w:val="00E74F5E"/>
    <w:rsid w:val="00E81601"/>
    <w:rsid w:val="00E91D41"/>
    <w:rsid w:val="00E9410A"/>
    <w:rsid w:val="00EA293E"/>
    <w:rsid w:val="00EA446F"/>
    <w:rsid w:val="00EA4CF1"/>
    <w:rsid w:val="00EB17E6"/>
    <w:rsid w:val="00EB374B"/>
    <w:rsid w:val="00EB4DEE"/>
    <w:rsid w:val="00EC1EAC"/>
    <w:rsid w:val="00ED10F8"/>
    <w:rsid w:val="00ED74C7"/>
    <w:rsid w:val="00EE26CD"/>
    <w:rsid w:val="00EF6CC1"/>
    <w:rsid w:val="00EF7D5B"/>
    <w:rsid w:val="00F01629"/>
    <w:rsid w:val="00F02042"/>
    <w:rsid w:val="00F16499"/>
    <w:rsid w:val="00F27C1E"/>
    <w:rsid w:val="00F3362F"/>
    <w:rsid w:val="00F40A65"/>
    <w:rsid w:val="00F4371F"/>
    <w:rsid w:val="00F43886"/>
    <w:rsid w:val="00F47F43"/>
    <w:rsid w:val="00F503CB"/>
    <w:rsid w:val="00F56C31"/>
    <w:rsid w:val="00F60856"/>
    <w:rsid w:val="00F6140F"/>
    <w:rsid w:val="00F72082"/>
    <w:rsid w:val="00F82A58"/>
    <w:rsid w:val="00F842B9"/>
    <w:rsid w:val="00F915C9"/>
    <w:rsid w:val="00F974AA"/>
    <w:rsid w:val="00FA0AAC"/>
    <w:rsid w:val="00FA33BB"/>
    <w:rsid w:val="00FC1095"/>
    <w:rsid w:val="00FC5FB3"/>
    <w:rsid w:val="00FC6632"/>
    <w:rsid w:val="00FE2BAF"/>
    <w:rsid w:val="00FE6B17"/>
    <w:rsid w:val="00FE7049"/>
    <w:rsid w:val="00FF148B"/>
    <w:rsid w:val="01064980"/>
    <w:rsid w:val="01490343"/>
    <w:rsid w:val="01A706DB"/>
    <w:rsid w:val="01C53DDE"/>
    <w:rsid w:val="01F00FF5"/>
    <w:rsid w:val="01FF2048"/>
    <w:rsid w:val="022B651B"/>
    <w:rsid w:val="022E013B"/>
    <w:rsid w:val="02A55A49"/>
    <w:rsid w:val="02FD6BA0"/>
    <w:rsid w:val="033C2933"/>
    <w:rsid w:val="03484775"/>
    <w:rsid w:val="03AF3FEB"/>
    <w:rsid w:val="03C3795C"/>
    <w:rsid w:val="03CA36C4"/>
    <w:rsid w:val="042C2761"/>
    <w:rsid w:val="044C6EA9"/>
    <w:rsid w:val="04597CAA"/>
    <w:rsid w:val="047C104C"/>
    <w:rsid w:val="04886D28"/>
    <w:rsid w:val="04EA5118"/>
    <w:rsid w:val="05116D9C"/>
    <w:rsid w:val="05202D6E"/>
    <w:rsid w:val="052E461B"/>
    <w:rsid w:val="0569334E"/>
    <w:rsid w:val="05704B21"/>
    <w:rsid w:val="058E3513"/>
    <w:rsid w:val="05916ADF"/>
    <w:rsid w:val="05B70EED"/>
    <w:rsid w:val="05C93156"/>
    <w:rsid w:val="05D965AD"/>
    <w:rsid w:val="05FD7D07"/>
    <w:rsid w:val="06043B04"/>
    <w:rsid w:val="061B02B6"/>
    <w:rsid w:val="061D4DA4"/>
    <w:rsid w:val="069868BB"/>
    <w:rsid w:val="069934E9"/>
    <w:rsid w:val="06A235E9"/>
    <w:rsid w:val="06EF690F"/>
    <w:rsid w:val="076E2909"/>
    <w:rsid w:val="0781493F"/>
    <w:rsid w:val="07BC3867"/>
    <w:rsid w:val="07DA7476"/>
    <w:rsid w:val="08093AE4"/>
    <w:rsid w:val="08426786"/>
    <w:rsid w:val="08977AC7"/>
    <w:rsid w:val="08C02B29"/>
    <w:rsid w:val="09001455"/>
    <w:rsid w:val="09011B95"/>
    <w:rsid w:val="09236746"/>
    <w:rsid w:val="0959767A"/>
    <w:rsid w:val="09753BF3"/>
    <w:rsid w:val="09871202"/>
    <w:rsid w:val="098A1469"/>
    <w:rsid w:val="0A747AA0"/>
    <w:rsid w:val="0A837197"/>
    <w:rsid w:val="0ABD425F"/>
    <w:rsid w:val="0AF65E16"/>
    <w:rsid w:val="0B022CDB"/>
    <w:rsid w:val="0B0D3F29"/>
    <w:rsid w:val="0B1022E5"/>
    <w:rsid w:val="0B68019A"/>
    <w:rsid w:val="0B9848E3"/>
    <w:rsid w:val="0BC20056"/>
    <w:rsid w:val="0BDE35F8"/>
    <w:rsid w:val="0C0455A8"/>
    <w:rsid w:val="0C2516F9"/>
    <w:rsid w:val="0CE7604A"/>
    <w:rsid w:val="0CEC3232"/>
    <w:rsid w:val="0CF558D9"/>
    <w:rsid w:val="0CFE4E99"/>
    <w:rsid w:val="0D044F64"/>
    <w:rsid w:val="0D116D55"/>
    <w:rsid w:val="0D1E42BC"/>
    <w:rsid w:val="0D27399F"/>
    <w:rsid w:val="0D4B5E4B"/>
    <w:rsid w:val="0D583B04"/>
    <w:rsid w:val="0DFA1579"/>
    <w:rsid w:val="0DFB4D2A"/>
    <w:rsid w:val="0E05676E"/>
    <w:rsid w:val="0E0E5F6E"/>
    <w:rsid w:val="0E422939"/>
    <w:rsid w:val="0EB36D9E"/>
    <w:rsid w:val="0EB5027C"/>
    <w:rsid w:val="0EE913EF"/>
    <w:rsid w:val="0F416475"/>
    <w:rsid w:val="0FB62C99"/>
    <w:rsid w:val="100C0625"/>
    <w:rsid w:val="10814A16"/>
    <w:rsid w:val="10A67CEF"/>
    <w:rsid w:val="10AC1CA5"/>
    <w:rsid w:val="10CC48C8"/>
    <w:rsid w:val="10D22676"/>
    <w:rsid w:val="10D55378"/>
    <w:rsid w:val="119253C5"/>
    <w:rsid w:val="12112684"/>
    <w:rsid w:val="1214092D"/>
    <w:rsid w:val="125870CE"/>
    <w:rsid w:val="12685A86"/>
    <w:rsid w:val="12A02516"/>
    <w:rsid w:val="12E22391"/>
    <w:rsid w:val="13B41AA8"/>
    <w:rsid w:val="13E8174A"/>
    <w:rsid w:val="14417039"/>
    <w:rsid w:val="15032AD7"/>
    <w:rsid w:val="159A63C2"/>
    <w:rsid w:val="159F481C"/>
    <w:rsid w:val="15AE7B1A"/>
    <w:rsid w:val="15B033EE"/>
    <w:rsid w:val="15B708BB"/>
    <w:rsid w:val="15CC406D"/>
    <w:rsid w:val="15DE0EE9"/>
    <w:rsid w:val="1694695E"/>
    <w:rsid w:val="16AE3467"/>
    <w:rsid w:val="16B668E1"/>
    <w:rsid w:val="16E82E44"/>
    <w:rsid w:val="17234ED1"/>
    <w:rsid w:val="17282C5A"/>
    <w:rsid w:val="18055685"/>
    <w:rsid w:val="1852521F"/>
    <w:rsid w:val="186D5A56"/>
    <w:rsid w:val="18B426EF"/>
    <w:rsid w:val="18F76B4E"/>
    <w:rsid w:val="190D02FB"/>
    <w:rsid w:val="195363AA"/>
    <w:rsid w:val="196B2F69"/>
    <w:rsid w:val="19710BFA"/>
    <w:rsid w:val="19724D0A"/>
    <w:rsid w:val="19B019A9"/>
    <w:rsid w:val="1A896011"/>
    <w:rsid w:val="1AB130FA"/>
    <w:rsid w:val="1ADF63E3"/>
    <w:rsid w:val="1B104E8A"/>
    <w:rsid w:val="1B267120"/>
    <w:rsid w:val="1B3C6855"/>
    <w:rsid w:val="1B3E3F96"/>
    <w:rsid w:val="1B445F43"/>
    <w:rsid w:val="1B5E0E21"/>
    <w:rsid w:val="1B911151"/>
    <w:rsid w:val="1BAC76F4"/>
    <w:rsid w:val="1BB86261"/>
    <w:rsid w:val="1C202F62"/>
    <w:rsid w:val="1C444CD5"/>
    <w:rsid w:val="1C4C1CAD"/>
    <w:rsid w:val="1C775DEF"/>
    <w:rsid w:val="1C9E11A7"/>
    <w:rsid w:val="1CC41A07"/>
    <w:rsid w:val="1DD55517"/>
    <w:rsid w:val="1DF044CA"/>
    <w:rsid w:val="1E5B6B3F"/>
    <w:rsid w:val="1E695493"/>
    <w:rsid w:val="1EE146DD"/>
    <w:rsid w:val="1F1D0E60"/>
    <w:rsid w:val="1F2D7FAC"/>
    <w:rsid w:val="1F417A07"/>
    <w:rsid w:val="1F507986"/>
    <w:rsid w:val="1FDA64F0"/>
    <w:rsid w:val="201E130C"/>
    <w:rsid w:val="20327E5A"/>
    <w:rsid w:val="20420A88"/>
    <w:rsid w:val="2055082C"/>
    <w:rsid w:val="205938B3"/>
    <w:rsid w:val="20845C68"/>
    <w:rsid w:val="20A5712D"/>
    <w:rsid w:val="20CB6B46"/>
    <w:rsid w:val="20D55C19"/>
    <w:rsid w:val="20E97D1C"/>
    <w:rsid w:val="210953AE"/>
    <w:rsid w:val="21DD1B9C"/>
    <w:rsid w:val="21F00370"/>
    <w:rsid w:val="223D027A"/>
    <w:rsid w:val="225824DD"/>
    <w:rsid w:val="228B193B"/>
    <w:rsid w:val="229F2E75"/>
    <w:rsid w:val="22CC34BE"/>
    <w:rsid w:val="232A09E5"/>
    <w:rsid w:val="234875A5"/>
    <w:rsid w:val="239D51EE"/>
    <w:rsid w:val="23AD3E04"/>
    <w:rsid w:val="242312B9"/>
    <w:rsid w:val="24482120"/>
    <w:rsid w:val="24867E4A"/>
    <w:rsid w:val="2488675D"/>
    <w:rsid w:val="24A251B6"/>
    <w:rsid w:val="252B34E2"/>
    <w:rsid w:val="25B3577A"/>
    <w:rsid w:val="25D04D33"/>
    <w:rsid w:val="25DD0553"/>
    <w:rsid w:val="26743D62"/>
    <w:rsid w:val="26AD3F1B"/>
    <w:rsid w:val="26E53033"/>
    <w:rsid w:val="26F12AC8"/>
    <w:rsid w:val="27026D02"/>
    <w:rsid w:val="2734555E"/>
    <w:rsid w:val="274F153B"/>
    <w:rsid w:val="2756626B"/>
    <w:rsid w:val="27644162"/>
    <w:rsid w:val="27922B90"/>
    <w:rsid w:val="27C10A97"/>
    <w:rsid w:val="27CE65D2"/>
    <w:rsid w:val="280E3841"/>
    <w:rsid w:val="2827631F"/>
    <w:rsid w:val="28386244"/>
    <w:rsid w:val="28971B7E"/>
    <w:rsid w:val="28D36538"/>
    <w:rsid w:val="28E70102"/>
    <w:rsid w:val="291125E8"/>
    <w:rsid w:val="291D4ECE"/>
    <w:rsid w:val="29390AE6"/>
    <w:rsid w:val="294073CD"/>
    <w:rsid w:val="294201E0"/>
    <w:rsid w:val="295B2B7D"/>
    <w:rsid w:val="298D4771"/>
    <w:rsid w:val="29F54A4E"/>
    <w:rsid w:val="29F861CB"/>
    <w:rsid w:val="2A024947"/>
    <w:rsid w:val="2A2100EB"/>
    <w:rsid w:val="2A893647"/>
    <w:rsid w:val="2AAB4441"/>
    <w:rsid w:val="2AB8278E"/>
    <w:rsid w:val="2AB87660"/>
    <w:rsid w:val="2ACA0FA9"/>
    <w:rsid w:val="2AD64793"/>
    <w:rsid w:val="2ADE37B7"/>
    <w:rsid w:val="2ADF5B47"/>
    <w:rsid w:val="2AE11ECA"/>
    <w:rsid w:val="2AE75361"/>
    <w:rsid w:val="2B352EDE"/>
    <w:rsid w:val="2B4410CD"/>
    <w:rsid w:val="2B594542"/>
    <w:rsid w:val="2B8E77D8"/>
    <w:rsid w:val="2BB8058B"/>
    <w:rsid w:val="2C067A9A"/>
    <w:rsid w:val="2C256A4B"/>
    <w:rsid w:val="2C627B72"/>
    <w:rsid w:val="2C7C7480"/>
    <w:rsid w:val="2C84506C"/>
    <w:rsid w:val="2C84670C"/>
    <w:rsid w:val="2C9B4149"/>
    <w:rsid w:val="2D260AB5"/>
    <w:rsid w:val="2D5E0841"/>
    <w:rsid w:val="2E946EC3"/>
    <w:rsid w:val="2E977F92"/>
    <w:rsid w:val="2EC36E8A"/>
    <w:rsid w:val="2F222967"/>
    <w:rsid w:val="2F792FA7"/>
    <w:rsid w:val="2FB456C7"/>
    <w:rsid w:val="2FD53783"/>
    <w:rsid w:val="2FF21037"/>
    <w:rsid w:val="2FFB7344"/>
    <w:rsid w:val="3023731A"/>
    <w:rsid w:val="308C106D"/>
    <w:rsid w:val="30900F7C"/>
    <w:rsid w:val="30E825DE"/>
    <w:rsid w:val="3140081B"/>
    <w:rsid w:val="31DE00DA"/>
    <w:rsid w:val="31E562C2"/>
    <w:rsid w:val="31F57C47"/>
    <w:rsid w:val="32124B9A"/>
    <w:rsid w:val="325C0182"/>
    <w:rsid w:val="32DA7061"/>
    <w:rsid w:val="33087834"/>
    <w:rsid w:val="331B4ACA"/>
    <w:rsid w:val="333C783A"/>
    <w:rsid w:val="33514FAF"/>
    <w:rsid w:val="339C4771"/>
    <w:rsid w:val="339D1DAB"/>
    <w:rsid w:val="33C103FD"/>
    <w:rsid w:val="33C53F3E"/>
    <w:rsid w:val="33F1454D"/>
    <w:rsid w:val="340E0FC7"/>
    <w:rsid w:val="34120EC2"/>
    <w:rsid w:val="34167C3B"/>
    <w:rsid w:val="3427600F"/>
    <w:rsid w:val="3438495B"/>
    <w:rsid w:val="34803DDA"/>
    <w:rsid w:val="34A80497"/>
    <w:rsid w:val="34C94806"/>
    <w:rsid w:val="34D201A0"/>
    <w:rsid w:val="34F37789"/>
    <w:rsid w:val="35016C53"/>
    <w:rsid w:val="353B0D29"/>
    <w:rsid w:val="354C1F1C"/>
    <w:rsid w:val="355C5657"/>
    <w:rsid w:val="35744DA3"/>
    <w:rsid w:val="35755515"/>
    <w:rsid w:val="358F6EB7"/>
    <w:rsid w:val="35A95B0A"/>
    <w:rsid w:val="35E03D88"/>
    <w:rsid w:val="36196202"/>
    <w:rsid w:val="362527FB"/>
    <w:rsid w:val="365D2FFF"/>
    <w:rsid w:val="36761646"/>
    <w:rsid w:val="36AD4DAA"/>
    <w:rsid w:val="36B163E0"/>
    <w:rsid w:val="36DA0AA8"/>
    <w:rsid w:val="36ED7F22"/>
    <w:rsid w:val="36F42722"/>
    <w:rsid w:val="370842F7"/>
    <w:rsid w:val="372C72A6"/>
    <w:rsid w:val="374A6593"/>
    <w:rsid w:val="376D4936"/>
    <w:rsid w:val="37783427"/>
    <w:rsid w:val="37ED2F02"/>
    <w:rsid w:val="37FB318E"/>
    <w:rsid w:val="37FC3ADF"/>
    <w:rsid w:val="380A375B"/>
    <w:rsid w:val="383B0DBF"/>
    <w:rsid w:val="384B3B2A"/>
    <w:rsid w:val="3979647A"/>
    <w:rsid w:val="3A310263"/>
    <w:rsid w:val="3A736242"/>
    <w:rsid w:val="3ABB4761"/>
    <w:rsid w:val="3B33162D"/>
    <w:rsid w:val="3B39346E"/>
    <w:rsid w:val="3BB35BE2"/>
    <w:rsid w:val="3BD04CE2"/>
    <w:rsid w:val="3BE0299E"/>
    <w:rsid w:val="3BE6109A"/>
    <w:rsid w:val="3C4179FF"/>
    <w:rsid w:val="3C760461"/>
    <w:rsid w:val="3C970E77"/>
    <w:rsid w:val="3CDF2CF3"/>
    <w:rsid w:val="3D060CCA"/>
    <w:rsid w:val="3D1E7082"/>
    <w:rsid w:val="3D246C8A"/>
    <w:rsid w:val="3D4219BA"/>
    <w:rsid w:val="3D9671FD"/>
    <w:rsid w:val="3DA8009F"/>
    <w:rsid w:val="3DBE2F88"/>
    <w:rsid w:val="3E6D6E5A"/>
    <w:rsid w:val="3EB47237"/>
    <w:rsid w:val="3EFD755B"/>
    <w:rsid w:val="3F1145BE"/>
    <w:rsid w:val="3F2216B0"/>
    <w:rsid w:val="3F337BE6"/>
    <w:rsid w:val="3FB70340"/>
    <w:rsid w:val="3FC27660"/>
    <w:rsid w:val="3FDF65A7"/>
    <w:rsid w:val="3FF278E9"/>
    <w:rsid w:val="404654D8"/>
    <w:rsid w:val="40AE1FE6"/>
    <w:rsid w:val="411C3674"/>
    <w:rsid w:val="412C7367"/>
    <w:rsid w:val="41625BB3"/>
    <w:rsid w:val="41913FF7"/>
    <w:rsid w:val="41E8208E"/>
    <w:rsid w:val="41FC2674"/>
    <w:rsid w:val="42004D60"/>
    <w:rsid w:val="42287FEA"/>
    <w:rsid w:val="42342E28"/>
    <w:rsid w:val="426B4C34"/>
    <w:rsid w:val="431115A5"/>
    <w:rsid w:val="43593E56"/>
    <w:rsid w:val="437C7A5E"/>
    <w:rsid w:val="439B1086"/>
    <w:rsid w:val="43AE7D1E"/>
    <w:rsid w:val="43B43141"/>
    <w:rsid w:val="442461CC"/>
    <w:rsid w:val="445D0F7F"/>
    <w:rsid w:val="44892085"/>
    <w:rsid w:val="44BC603F"/>
    <w:rsid w:val="44E00139"/>
    <w:rsid w:val="44F712CC"/>
    <w:rsid w:val="451D35DB"/>
    <w:rsid w:val="45771790"/>
    <w:rsid w:val="45976C85"/>
    <w:rsid w:val="45BF0538"/>
    <w:rsid w:val="45CA3ADB"/>
    <w:rsid w:val="462A4A25"/>
    <w:rsid w:val="4632444D"/>
    <w:rsid w:val="464376BE"/>
    <w:rsid w:val="464C45F4"/>
    <w:rsid w:val="46CF658C"/>
    <w:rsid w:val="46D07EE6"/>
    <w:rsid w:val="46EF3A6A"/>
    <w:rsid w:val="46F374D8"/>
    <w:rsid w:val="47375BCB"/>
    <w:rsid w:val="473F5302"/>
    <w:rsid w:val="47497262"/>
    <w:rsid w:val="47980176"/>
    <w:rsid w:val="47C753DA"/>
    <w:rsid w:val="47D60E9C"/>
    <w:rsid w:val="47D80866"/>
    <w:rsid w:val="47F215B5"/>
    <w:rsid w:val="486F0E57"/>
    <w:rsid w:val="487A030C"/>
    <w:rsid w:val="490A65DF"/>
    <w:rsid w:val="49416304"/>
    <w:rsid w:val="49ED6C09"/>
    <w:rsid w:val="49FF09AB"/>
    <w:rsid w:val="4A070E22"/>
    <w:rsid w:val="4A0921D6"/>
    <w:rsid w:val="4A681D2C"/>
    <w:rsid w:val="4A85753C"/>
    <w:rsid w:val="4AA67357"/>
    <w:rsid w:val="4AAC03BF"/>
    <w:rsid w:val="4ADA1239"/>
    <w:rsid w:val="4AE717B1"/>
    <w:rsid w:val="4AF67674"/>
    <w:rsid w:val="4AFC3D46"/>
    <w:rsid w:val="4B1C2726"/>
    <w:rsid w:val="4B331FF2"/>
    <w:rsid w:val="4B4C5F15"/>
    <w:rsid w:val="4B987306"/>
    <w:rsid w:val="4C2D6FA2"/>
    <w:rsid w:val="4C714177"/>
    <w:rsid w:val="4C7451EB"/>
    <w:rsid w:val="4C896B0E"/>
    <w:rsid w:val="4CB64A7F"/>
    <w:rsid w:val="4CFE6AE4"/>
    <w:rsid w:val="4D020113"/>
    <w:rsid w:val="4D1332EE"/>
    <w:rsid w:val="4D2227DA"/>
    <w:rsid w:val="4D965EBA"/>
    <w:rsid w:val="4D9E1EAE"/>
    <w:rsid w:val="4DB3694B"/>
    <w:rsid w:val="4DCF37DD"/>
    <w:rsid w:val="4E032808"/>
    <w:rsid w:val="4E2A6B5C"/>
    <w:rsid w:val="4E6F33F3"/>
    <w:rsid w:val="4E73565C"/>
    <w:rsid w:val="4E7A7606"/>
    <w:rsid w:val="4E9E5EB1"/>
    <w:rsid w:val="4EB26E18"/>
    <w:rsid w:val="4ED74CE6"/>
    <w:rsid w:val="4F0C7510"/>
    <w:rsid w:val="4F1C5FF3"/>
    <w:rsid w:val="4F4A41FC"/>
    <w:rsid w:val="4F5D1780"/>
    <w:rsid w:val="4FC16DF2"/>
    <w:rsid w:val="50253D3C"/>
    <w:rsid w:val="505D1AE5"/>
    <w:rsid w:val="507374EF"/>
    <w:rsid w:val="50783DBB"/>
    <w:rsid w:val="509A0407"/>
    <w:rsid w:val="50A6375D"/>
    <w:rsid w:val="50B0344B"/>
    <w:rsid w:val="513B71B5"/>
    <w:rsid w:val="516C2A57"/>
    <w:rsid w:val="518F070B"/>
    <w:rsid w:val="51FA0099"/>
    <w:rsid w:val="52166633"/>
    <w:rsid w:val="523C330A"/>
    <w:rsid w:val="524728D7"/>
    <w:rsid w:val="529E59E5"/>
    <w:rsid w:val="52AF58C2"/>
    <w:rsid w:val="52D85257"/>
    <w:rsid w:val="52DB3C26"/>
    <w:rsid w:val="52FB5A96"/>
    <w:rsid w:val="52FD6FF5"/>
    <w:rsid w:val="530218E0"/>
    <w:rsid w:val="530F2243"/>
    <w:rsid w:val="533D5F4E"/>
    <w:rsid w:val="53462446"/>
    <w:rsid w:val="53654660"/>
    <w:rsid w:val="53732DBE"/>
    <w:rsid w:val="5393577F"/>
    <w:rsid w:val="53EC5D93"/>
    <w:rsid w:val="53F2736F"/>
    <w:rsid w:val="53F53607"/>
    <w:rsid w:val="542C4FF9"/>
    <w:rsid w:val="54612E6D"/>
    <w:rsid w:val="546D4351"/>
    <w:rsid w:val="54720F10"/>
    <w:rsid w:val="549062D4"/>
    <w:rsid w:val="54C076BC"/>
    <w:rsid w:val="54C14C22"/>
    <w:rsid w:val="54E7655D"/>
    <w:rsid w:val="54F06368"/>
    <w:rsid w:val="55120EF7"/>
    <w:rsid w:val="551A1755"/>
    <w:rsid w:val="552919B3"/>
    <w:rsid w:val="553714C4"/>
    <w:rsid w:val="55824283"/>
    <w:rsid w:val="55B8396F"/>
    <w:rsid w:val="55C8033D"/>
    <w:rsid w:val="55CC7EA5"/>
    <w:rsid w:val="55CE0316"/>
    <w:rsid w:val="5644228F"/>
    <w:rsid w:val="56695463"/>
    <w:rsid w:val="566E335D"/>
    <w:rsid w:val="56C943AE"/>
    <w:rsid w:val="56EF7589"/>
    <w:rsid w:val="56F30D30"/>
    <w:rsid w:val="56FC2935"/>
    <w:rsid w:val="5741659F"/>
    <w:rsid w:val="57567C37"/>
    <w:rsid w:val="575900EA"/>
    <w:rsid w:val="57700D60"/>
    <w:rsid w:val="57A967DC"/>
    <w:rsid w:val="57AA2BB4"/>
    <w:rsid w:val="57B06E1C"/>
    <w:rsid w:val="57E2634B"/>
    <w:rsid w:val="586A0436"/>
    <w:rsid w:val="58872969"/>
    <w:rsid w:val="58A060D5"/>
    <w:rsid w:val="58F26895"/>
    <w:rsid w:val="590E27ED"/>
    <w:rsid w:val="591543BE"/>
    <w:rsid w:val="591803A8"/>
    <w:rsid w:val="59230BEE"/>
    <w:rsid w:val="59232C58"/>
    <w:rsid w:val="598C2BE4"/>
    <w:rsid w:val="59B22DB3"/>
    <w:rsid w:val="59C46567"/>
    <w:rsid w:val="59DE32F2"/>
    <w:rsid w:val="5A63696B"/>
    <w:rsid w:val="5AE55763"/>
    <w:rsid w:val="5AEB4626"/>
    <w:rsid w:val="5B6A037C"/>
    <w:rsid w:val="5BA30D14"/>
    <w:rsid w:val="5BB963C0"/>
    <w:rsid w:val="5BDC00BD"/>
    <w:rsid w:val="5BEB1FC3"/>
    <w:rsid w:val="5C4D7D33"/>
    <w:rsid w:val="5C586797"/>
    <w:rsid w:val="5CCB3A87"/>
    <w:rsid w:val="5CDD2751"/>
    <w:rsid w:val="5D0C551F"/>
    <w:rsid w:val="5D18180A"/>
    <w:rsid w:val="5D3C4752"/>
    <w:rsid w:val="5D4F60E0"/>
    <w:rsid w:val="5D8C2D2D"/>
    <w:rsid w:val="5D9566D0"/>
    <w:rsid w:val="5DA86BFD"/>
    <w:rsid w:val="5DFF09F7"/>
    <w:rsid w:val="5E4D4C24"/>
    <w:rsid w:val="5E815CE2"/>
    <w:rsid w:val="5E9C64A0"/>
    <w:rsid w:val="5EE365A5"/>
    <w:rsid w:val="5F024D26"/>
    <w:rsid w:val="5F4A0A10"/>
    <w:rsid w:val="5F525B36"/>
    <w:rsid w:val="5FEA7302"/>
    <w:rsid w:val="604537DF"/>
    <w:rsid w:val="60BB1C1D"/>
    <w:rsid w:val="60D13539"/>
    <w:rsid w:val="60FC6A47"/>
    <w:rsid w:val="613024CC"/>
    <w:rsid w:val="616D1B35"/>
    <w:rsid w:val="61723EFC"/>
    <w:rsid w:val="61D568E9"/>
    <w:rsid w:val="621E1614"/>
    <w:rsid w:val="628D2868"/>
    <w:rsid w:val="62A66127"/>
    <w:rsid w:val="62BA62AF"/>
    <w:rsid w:val="62D40B42"/>
    <w:rsid w:val="635B66AE"/>
    <w:rsid w:val="63AA6781"/>
    <w:rsid w:val="63C73428"/>
    <w:rsid w:val="63F84769"/>
    <w:rsid w:val="64231F7A"/>
    <w:rsid w:val="642C08DD"/>
    <w:rsid w:val="643C5BA7"/>
    <w:rsid w:val="64430C9C"/>
    <w:rsid w:val="645A1B41"/>
    <w:rsid w:val="64602D65"/>
    <w:rsid w:val="646F039B"/>
    <w:rsid w:val="648E73CE"/>
    <w:rsid w:val="6521142D"/>
    <w:rsid w:val="656E4377"/>
    <w:rsid w:val="6579041E"/>
    <w:rsid w:val="65A57F8F"/>
    <w:rsid w:val="65A803D0"/>
    <w:rsid w:val="65BF54B8"/>
    <w:rsid w:val="65C76B6D"/>
    <w:rsid w:val="65CD4052"/>
    <w:rsid w:val="65DA5874"/>
    <w:rsid w:val="660D4E26"/>
    <w:rsid w:val="66740BFD"/>
    <w:rsid w:val="671B4C55"/>
    <w:rsid w:val="67521407"/>
    <w:rsid w:val="677445C5"/>
    <w:rsid w:val="67B00204"/>
    <w:rsid w:val="67BF56CA"/>
    <w:rsid w:val="67ED22E3"/>
    <w:rsid w:val="68202450"/>
    <w:rsid w:val="68214EC2"/>
    <w:rsid w:val="6843793A"/>
    <w:rsid w:val="68A91795"/>
    <w:rsid w:val="69112FDD"/>
    <w:rsid w:val="69216729"/>
    <w:rsid w:val="693A678C"/>
    <w:rsid w:val="69592B9C"/>
    <w:rsid w:val="69A01E10"/>
    <w:rsid w:val="69B54E73"/>
    <w:rsid w:val="69E45682"/>
    <w:rsid w:val="69EC4F32"/>
    <w:rsid w:val="6A173059"/>
    <w:rsid w:val="6A3F6239"/>
    <w:rsid w:val="6A43298B"/>
    <w:rsid w:val="6A6B03FF"/>
    <w:rsid w:val="6A6B4250"/>
    <w:rsid w:val="6AAC143B"/>
    <w:rsid w:val="6ABC5C2E"/>
    <w:rsid w:val="6AD55E4A"/>
    <w:rsid w:val="6B6244C8"/>
    <w:rsid w:val="6BA65E0D"/>
    <w:rsid w:val="6BD56BFC"/>
    <w:rsid w:val="6C1B1E68"/>
    <w:rsid w:val="6C2A578E"/>
    <w:rsid w:val="6C636682"/>
    <w:rsid w:val="6CBD7B34"/>
    <w:rsid w:val="6CDF3DF9"/>
    <w:rsid w:val="6CF8655D"/>
    <w:rsid w:val="6D1E0A2A"/>
    <w:rsid w:val="6D6503F3"/>
    <w:rsid w:val="6D8A6455"/>
    <w:rsid w:val="6DAD0022"/>
    <w:rsid w:val="6DCE6842"/>
    <w:rsid w:val="6DF80AF4"/>
    <w:rsid w:val="6E6B1AB7"/>
    <w:rsid w:val="6E7D0558"/>
    <w:rsid w:val="6E956802"/>
    <w:rsid w:val="6F4E20C9"/>
    <w:rsid w:val="6FD17497"/>
    <w:rsid w:val="6FF07015"/>
    <w:rsid w:val="6FFD27C1"/>
    <w:rsid w:val="700122AE"/>
    <w:rsid w:val="700840A7"/>
    <w:rsid w:val="70232120"/>
    <w:rsid w:val="702D5151"/>
    <w:rsid w:val="704A1A67"/>
    <w:rsid w:val="70542286"/>
    <w:rsid w:val="7076091B"/>
    <w:rsid w:val="7087560C"/>
    <w:rsid w:val="70A62238"/>
    <w:rsid w:val="70B730AF"/>
    <w:rsid w:val="71654D4D"/>
    <w:rsid w:val="71CB1A62"/>
    <w:rsid w:val="72062B0A"/>
    <w:rsid w:val="720F626F"/>
    <w:rsid w:val="724A65A0"/>
    <w:rsid w:val="72535430"/>
    <w:rsid w:val="72EB5A4D"/>
    <w:rsid w:val="72EF5895"/>
    <w:rsid w:val="735D2337"/>
    <w:rsid w:val="738968A8"/>
    <w:rsid w:val="73A30207"/>
    <w:rsid w:val="73C65570"/>
    <w:rsid w:val="73CA38BB"/>
    <w:rsid w:val="74230330"/>
    <w:rsid w:val="745677AB"/>
    <w:rsid w:val="74772B77"/>
    <w:rsid w:val="747C0206"/>
    <w:rsid w:val="74984905"/>
    <w:rsid w:val="74C956C3"/>
    <w:rsid w:val="751257D5"/>
    <w:rsid w:val="7524405B"/>
    <w:rsid w:val="75301EE1"/>
    <w:rsid w:val="75853E63"/>
    <w:rsid w:val="75B34FD5"/>
    <w:rsid w:val="75D36771"/>
    <w:rsid w:val="760E29BC"/>
    <w:rsid w:val="762A0AC3"/>
    <w:rsid w:val="767416CF"/>
    <w:rsid w:val="76D57834"/>
    <w:rsid w:val="76EA7B8B"/>
    <w:rsid w:val="77633B92"/>
    <w:rsid w:val="77790D80"/>
    <w:rsid w:val="77BE04EE"/>
    <w:rsid w:val="77D37987"/>
    <w:rsid w:val="77EA5E84"/>
    <w:rsid w:val="78136346"/>
    <w:rsid w:val="7869739E"/>
    <w:rsid w:val="788A5225"/>
    <w:rsid w:val="788A5D50"/>
    <w:rsid w:val="78A07B3C"/>
    <w:rsid w:val="78B80DC5"/>
    <w:rsid w:val="78EB41B8"/>
    <w:rsid w:val="78EF3265"/>
    <w:rsid w:val="793557D3"/>
    <w:rsid w:val="79386807"/>
    <w:rsid w:val="793D3751"/>
    <w:rsid w:val="79521993"/>
    <w:rsid w:val="7976270F"/>
    <w:rsid w:val="798752F6"/>
    <w:rsid w:val="79FF2F22"/>
    <w:rsid w:val="7A4C4844"/>
    <w:rsid w:val="7A64204B"/>
    <w:rsid w:val="7A7F250B"/>
    <w:rsid w:val="7A834186"/>
    <w:rsid w:val="7A8A4078"/>
    <w:rsid w:val="7A9C371F"/>
    <w:rsid w:val="7ABB13BE"/>
    <w:rsid w:val="7AC70B9B"/>
    <w:rsid w:val="7AD473A0"/>
    <w:rsid w:val="7AD57BA5"/>
    <w:rsid w:val="7ADD0257"/>
    <w:rsid w:val="7B7B73F7"/>
    <w:rsid w:val="7B843FEE"/>
    <w:rsid w:val="7B852AB6"/>
    <w:rsid w:val="7BC73AED"/>
    <w:rsid w:val="7BE07B16"/>
    <w:rsid w:val="7BF0288A"/>
    <w:rsid w:val="7C071440"/>
    <w:rsid w:val="7C33378B"/>
    <w:rsid w:val="7C512C0C"/>
    <w:rsid w:val="7C755EC1"/>
    <w:rsid w:val="7C7A6F56"/>
    <w:rsid w:val="7C9728A9"/>
    <w:rsid w:val="7CA46B15"/>
    <w:rsid w:val="7CC67C50"/>
    <w:rsid w:val="7CCD1DA9"/>
    <w:rsid w:val="7CE25041"/>
    <w:rsid w:val="7D3F2404"/>
    <w:rsid w:val="7D7E2643"/>
    <w:rsid w:val="7DC16D33"/>
    <w:rsid w:val="7E3321E6"/>
    <w:rsid w:val="7E5E44B1"/>
    <w:rsid w:val="7E723FAF"/>
    <w:rsid w:val="7E7B284C"/>
    <w:rsid w:val="7E8C7028"/>
    <w:rsid w:val="7EED2518"/>
    <w:rsid w:val="7EEE40B9"/>
    <w:rsid w:val="7F2B4E01"/>
    <w:rsid w:val="7F343D1C"/>
    <w:rsid w:val="7FB06ABB"/>
    <w:rsid w:val="7FD403D9"/>
    <w:rsid w:val="7FDC2A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nhideWhenUsed="0" w:uiPriority="0" w:semiHidden="0"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iPriority="39" w:semiHidden="0"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outlineLvl w:val="0"/>
    </w:pPr>
    <w:rPr>
      <w:b/>
    </w:rPr>
  </w:style>
  <w:style w:type="paragraph" w:styleId="4">
    <w:name w:val="heading 2"/>
    <w:basedOn w:val="1"/>
    <w:next w:val="5"/>
    <w:link w:val="55"/>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3"/>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ind w:left="437"/>
      <w:outlineLvl w:val="3"/>
    </w:pPr>
    <w:rPr>
      <w:sz w:val="28"/>
      <w:szCs w:val="28"/>
    </w:rPr>
  </w:style>
  <w:style w:type="paragraph" w:styleId="8">
    <w:name w:val="heading 5"/>
    <w:basedOn w:val="1"/>
    <w:next w:val="1"/>
    <w:qFormat/>
    <w:uiPriority w:val="0"/>
    <w:pPr>
      <w:spacing w:line="367" w:lineRule="exact"/>
      <w:ind w:left="682"/>
      <w:outlineLvl w:val="4"/>
    </w:pPr>
    <w:rPr>
      <w:rFonts w:ascii="Microsoft JhengHei" w:hAnsi="Microsoft JhengHei" w:eastAsia="Microsoft JhengHei" w:cs="Microsoft JhengHei"/>
      <w:b/>
      <w:bCs/>
      <w:sz w:val="24"/>
    </w:rPr>
  </w:style>
  <w:style w:type="paragraph" w:styleId="9">
    <w:name w:val="heading 6"/>
    <w:basedOn w:val="1"/>
    <w:next w:val="1"/>
    <w:qFormat/>
    <w:uiPriority w:val="0"/>
    <w:pPr>
      <w:ind w:left="437"/>
      <w:outlineLvl w:val="5"/>
    </w:pPr>
    <w:rPr>
      <w:sz w:val="24"/>
    </w:rPr>
  </w:style>
  <w:style w:type="paragraph" w:styleId="10">
    <w:name w:val="heading 8"/>
    <w:basedOn w:val="1"/>
    <w:next w:val="1"/>
    <w:qFormat/>
    <w:uiPriority w:val="0"/>
    <w:pPr>
      <w:ind w:left="553"/>
      <w:outlineLvl w:val="7"/>
    </w:pPr>
    <w:rPr>
      <w:rFonts w:ascii="Microsoft JhengHei" w:hAnsi="Microsoft JhengHei" w:eastAsia="Microsoft JhengHei" w:cs="Microsoft JhengHei"/>
      <w:b/>
      <w:bCs/>
      <w:szCs w:val="21"/>
    </w:rPr>
  </w:style>
  <w:style w:type="character" w:default="1" w:styleId="34">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toc 8"/>
    <w:basedOn w:val="1"/>
    <w:next w:val="1"/>
    <w:qFormat/>
    <w:uiPriority w:val="0"/>
    <w:pPr>
      <w:ind w:left="2940" w:leftChars="1400"/>
    </w:pPr>
    <w:rPr>
      <w:rFonts w:ascii="Calibri" w:hAnsi="Calibri"/>
      <w:szCs w:val="22"/>
    </w:rPr>
  </w:style>
  <w:style w:type="paragraph" w:customStyle="1" w:styleId="5">
    <w:name w:val="正文缩进1"/>
    <w:basedOn w:val="1"/>
    <w:qFormat/>
    <w:uiPriority w:val="0"/>
    <w:pPr>
      <w:ind w:firstLine="420" w:firstLineChars="200"/>
    </w:pPr>
  </w:style>
  <w:style w:type="paragraph" w:styleId="11">
    <w:name w:val="Normal Indent"/>
    <w:basedOn w:val="1"/>
    <w:qFormat/>
    <w:uiPriority w:val="0"/>
    <w:pPr>
      <w:ind w:firstLine="420"/>
    </w:pPr>
    <w:rPr>
      <w:szCs w:val="20"/>
    </w:rPr>
  </w:style>
  <w:style w:type="paragraph" w:styleId="12">
    <w:name w:val="Document Map"/>
    <w:basedOn w:val="1"/>
    <w:link w:val="68"/>
    <w:semiHidden/>
    <w:qFormat/>
    <w:uiPriority w:val="0"/>
    <w:pPr>
      <w:shd w:val="clear" w:color="auto" w:fill="000080"/>
    </w:pPr>
  </w:style>
  <w:style w:type="paragraph" w:styleId="13">
    <w:name w:val="annotation text"/>
    <w:basedOn w:val="1"/>
    <w:link w:val="61"/>
    <w:semiHidden/>
    <w:qFormat/>
    <w:uiPriority w:val="0"/>
    <w:pPr>
      <w:jc w:val="left"/>
    </w:pPr>
  </w:style>
  <w:style w:type="paragraph" w:styleId="14">
    <w:name w:val="Body Text 3"/>
    <w:basedOn w:val="1"/>
    <w:qFormat/>
    <w:uiPriority w:val="0"/>
    <w:pPr>
      <w:spacing w:line="500" w:lineRule="exact"/>
    </w:pPr>
    <w:rPr>
      <w:b/>
      <w:bCs/>
      <w:kern w:val="0"/>
      <w:sz w:val="24"/>
    </w:rPr>
  </w:style>
  <w:style w:type="paragraph" w:styleId="15">
    <w:name w:val="Body Text"/>
    <w:basedOn w:val="1"/>
    <w:link w:val="74"/>
    <w:unhideWhenUsed/>
    <w:qFormat/>
    <w:uiPriority w:val="99"/>
    <w:pPr>
      <w:spacing w:after="120"/>
    </w:pPr>
  </w:style>
  <w:style w:type="paragraph" w:styleId="16">
    <w:name w:val="Body Text Indent"/>
    <w:basedOn w:val="1"/>
    <w:link w:val="59"/>
    <w:qFormat/>
    <w:uiPriority w:val="0"/>
    <w:pPr>
      <w:spacing w:line="200" w:lineRule="exact"/>
      <w:ind w:firstLine="301"/>
    </w:pPr>
    <w:rPr>
      <w:rFonts w:ascii="宋体" w:hAnsi="Courier New"/>
      <w:spacing w:val="-4"/>
      <w:sz w:val="18"/>
      <w:szCs w:val="20"/>
    </w:rPr>
  </w:style>
  <w:style w:type="paragraph" w:styleId="17">
    <w:name w:val="toc 3"/>
    <w:basedOn w:val="1"/>
    <w:next w:val="1"/>
    <w:unhideWhenUsed/>
    <w:qFormat/>
    <w:uiPriority w:val="39"/>
    <w:pPr>
      <w:ind w:left="840" w:leftChars="400"/>
    </w:pPr>
  </w:style>
  <w:style w:type="paragraph" w:styleId="18">
    <w:name w:val="Plain Text"/>
    <w:basedOn w:val="1"/>
    <w:next w:val="19"/>
    <w:link w:val="57"/>
    <w:qFormat/>
    <w:uiPriority w:val="0"/>
    <w:rPr>
      <w:rFonts w:ascii="宋体" w:hAnsi="Courier New"/>
      <w:szCs w:val="20"/>
    </w:rPr>
  </w:style>
  <w:style w:type="paragraph" w:styleId="19">
    <w:name w:val="Date"/>
    <w:basedOn w:val="1"/>
    <w:next w:val="1"/>
    <w:link w:val="64"/>
    <w:qFormat/>
    <w:uiPriority w:val="0"/>
    <w:pPr>
      <w:ind w:left="100" w:leftChars="2500"/>
    </w:pPr>
  </w:style>
  <w:style w:type="paragraph" w:styleId="20">
    <w:name w:val="Body Text Indent 2"/>
    <w:basedOn w:val="1"/>
    <w:qFormat/>
    <w:uiPriority w:val="0"/>
    <w:pPr>
      <w:ind w:firstLine="480" w:firstLineChars="200"/>
    </w:pPr>
    <w:rPr>
      <w:rFonts w:ascii="仿宋_GB2312" w:eastAsia="仿宋_GB2312"/>
      <w:sz w:val="24"/>
    </w:rPr>
  </w:style>
  <w:style w:type="paragraph" w:styleId="21">
    <w:name w:val="Balloon Text"/>
    <w:basedOn w:val="1"/>
    <w:link w:val="60"/>
    <w:semiHidden/>
    <w:qFormat/>
    <w:uiPriority w:val="0"/>
    <w:rPr>
      <w:sz w:val="18"/>
      <w:szCs w:val="18"/>
    </w:rPr>
  </w:style>
  <w:style w:type="paragraph" w:styleId="22">
    <w:name w:val="footer"/>
    <w:basedOn w:val="1"/>
    <w:link w:val="53"/>
    <w:unhideWhenUsed/>
    <w:qFormat/>
    <w:uiPriority w:val="99"/>
    <w:pPr>
      <w:tabs>
        <w:tab w:val="center" w:pos="4153"/>
        <w:tab w:val="right" w:pos="8306"/>
      </w:tabs>
      <w:snapToGrid w:val="0"/>
      <w:jc w:val="left"/>
    </w:pPr>
    <w:rPr>
      <w:sz w:val="18"/>
      <w:szCs w:val="18"/>
    </w:rPr>
  </w:style>
  <w:style w:type="paragraph" w:styleId="23">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8820"/>
      </w:tabs>
      <w:ind w:left="540"/>
      <w:jc w:val="left"/>
    </w:pPr>
    <w:rPr>
      <w:rFonts w:ascii="宋体" w:hAnsi="宋体"/>
      <w:b/>
      <w:bCs/>
      <w:caps/>
      <w:szCs w:val="21"/>
    </w:rPr>
  </w:style>
  <w:style w:type="paragraph" w:styleId="25">
    <w:name w:val="Body Text Indent 3"/>
    <w:basedOn w:val="1"/>
    <w:link w:val="65"/>
    <w:qFormat/>
    <w:uiPriority w:val="0"/>
    <w:pPr>
      <w:spacing w:after="120"/>
      <w:ind w:left="420" w:leftChars="200"/>
    </w:pPr>
    <w:rPr>
      <w:sz w:val="16"/>
      <w:szCs w:val="16"/>
    </w:rPr>
  </w:style>
  <w:style w:type="paragraph" w:styleId="26">
    <w:name w:val="toc 2"/>
    <w:basedOn w:val="1"/>
    <w:next w:val="1"/>
    <w:semiHidden/>
    <w:qFormat/>
    <w:uiPriority w:val="0"/>
    <w:pPr>
      <w:tabs>
        <w:tab w:val="right" w:leader="dot" w:pos="8280"/>
      </w:tabs>
      <w:spacing w:line="320" w:lineRule="exact"/>
      <w:ind w:left="1080"/>
      <w:jc w:val="left"/>
    </w:pPr>
    <w:rPr>
      <w:rFonts w:ascii="宋体" w:hAnsi="宋体"/>
      <w:smallCaps/>
      <w:sz w:val="20"/>
      <w:szCs w:val="20"/>
    </w:rPr>
  </w:style>
  <w:style w:type="paragraph" w:styleId="27">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8">
    <w:name w:val="HTML Preformatted"/>
    <w:basedOn w:val="1"/>
    <w:link w:val="5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0">
    <w:name w:val="index 1"/>
    <w:basedOn w:val="1"/>
    <w:next w:val="1"/>
    <w:semiHidden/>
    <w:qFormat/>
    <w:uiPriority w:val="0"/>
    <w:pPr>
      <w:spacing w:line="360" w:lineRule="auto"/>
    </w:pPr>
    <w:rPr>
      <w:rFonts w:ascii="宋体" w:hAnsi="宋体"/>
      <w:bCs/>
      <w:szCs w:val="21"/>
    </w:rPr>
  </w:style>
  <w:style w:type="paragraph" w:styleId="31">
    <w:name w:val="annotation subject"/>
    <w:basedOn w:val="13"/>
    <w:next w:val="13"/>
    <w:link w:val="62"/>
    <w:semiHidden/>
    <w:qFormat/>
    <w:uiPriority w:val="0"/>
    <w:rPr>
      <w:b/>
      <w:bCs/>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uiPriority w:val="0"/>
  </w:style>
  <w:style w:type="character" w:styleId="36">
    <w:name w:val="Hyperlink"/>
    <w:basedOn w:val="34"/>
    <w:qFormat/>
    <w:uiPriority w:val="0"/>
    <w:rPr>
      <w:color w:val="0000FF"/>
      <w:u w:val="single"/>
    </w:rPr>
  </w:style>
  <w:style w:type="character" w:styleId="37">
    <w:name w:val="annotation reference"/>
    <w:basedOn w:val="34"/>
    <w:semiHidden/>
    <w:qFormat/>
    <w:uiPriority w:val="0"/>
    <w:rPr>
      <w:sz w:val="21"/>
      <w:szCs w:val="21"/>
    </w:rPr>
  </w:style>
  <w:style w:type="paragraph" w:customStyle="1" w:styleId="38">
    <w:name w:val="Normal Indent1"/>
    <w:basedOn w:val="1"/>
    <w:qFormat/>
    <w:uiPriority w:val="0"/>
    <w:pPr>
      <w:ind w:firstLine="420" w:firstLineChars="200"/>
    </w:pPr>
  </w:style>
  <w:style w:type="paragraph" w:customStyle="1" w:styleId="39">
    <w:name w:val="Char Char Char Char"/>
    <w:basedOn w:val="1"/>
    <w:qFormat/>
    <w:uiPriority w:val="0"/>
    <w:rPr>
      <w:rFonts w:ascii="Tahoma" w:hAnsi="Tahoma"/>
      <w:sz w:val="24"/>
      <w:szCs w:val="20"/>
    </w:rPr>
  </w:style>
  <w:style w:type="paragraph" w:customStyle="1" w:styleId="40">
    <w:name w:val="2"/>
    <w:basedOn w:val="1"/>
    <w:next w:val="18"/>
    <w:qFormat/>
    <w:uiPriority w:val="0"/>
    <w:rPr>
      <w:rFonts w:ascii="宋体" w:hAnsi="Courier New"/>
      <w:szCs w:val="20"/>
    </w:rPr>
  </w:style>
  <w:style w:type="paragraph" w:customStyle="1" w:styleId="41">
    <w:name w:val="样式1"/>
    <w:basedOn w:val="1"/>
    <w:qFormat/>
    <w:uiPriority w:val="0"/>
    <w:pPr>
      <w:tabs>
        <w:tab w:val="left" w:pos="709"/>
      </w:tabs>
      <w:adjustRightInd w:val="0"/>
      <w:ind w:left="709" w:hanging="709"/>
    </w:pPr>
    <w:rPr>
      <w:rFonts w:ascii="宋体" w:hAnsi="宋体"/>
      <w:kern w:val="0"/>
      <w:szCs w:val="21"/>
    </w:rPr>
  </w:style>
  <w:style w:type="paragraph" w:customStyle="1" w:styleId="42">
    <w:name w:val="Char Char"/>
    <w:basedOn w:val="1"/>
    <w:qFormat/>
    <w:uiPriority w:val="0"/>
    <w:rPr>
      <w:rFonts w:ascii="仿宋_GB2312" w:eastAsia="仿宋_GB2312"/>
      <w:b/>
      <w:sz w:val="32"/>
      <w:szCs w:val="32"/>
    </w:rPr>
  </w:style>
  <w:style w:type="paragraph" w:customStyle="1" w:styleId="43">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44">
    <w:name w:val="Char2 Char Char Char"/>
    <w:basedOn w:val="1"/>
    <w:qFormat/>
    <w:uiPriority w:val="0"/>
    <w:rPr>
      <w:rFonts w:ascii="Tahoma" w:hAnsi="Tahoma"/>
      <w:sz w:val="24"/>
      <w:szCs w:val="20"/>
    </w:rPr>
  </w:style>
  <w:style w:type="paragraph" w:customStyle="1" w:styleId="45">
    <w:name w:val="Char Char Char Char1"/>
    <w:basedOn w:val="1"/>
    <w:qFormat/>
    <w:uiPriority w:val="0"/>
    <w:rPr>
      <w:rFonts w:ascii="Tahoma" w:hAnsi="Tahoma"/>
      <w:sz w:val="24"/>
      <w:szCs w:val="20"/>
    </w:rPr>
  </w:style>
  <w:style w:type="paragraph" w:customStyle="1" w:styleId="4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48">
    <w:name w:val="列出段落1"/>
    <w:basedOn w:val="1"/>
    <w:qFormat/>
    <w:uiPriority w:val="0"/>
    <w:pPr>
      <w:spacing w:line="360" w:lineRule="auto"/>
      <w:ind w:firstLine="420" w:firstLineChars="200"/>
    </w:pPr>
    <w:rPr>
      <w:rFonts w:ascii="宋体" w:hAnsi="宋体" w:cs="宋体"/>
      <w:sz w:val="24"/>
    </w:rPr>
  </w:style>
  <w:style w:type="paragraph" w:customStyle="1" w:styleId="49">
    <w:name w:val="_Style 5"/>
    <w:basedOn w:val="1"/>
    <w:qFormat/>
    <w:uiPriority w:val="0"/>
    <w:pPr>
      <w:tabs>
        <w:tab w:val="left" w:pos="360"/>
      </w:tabs>
      <w:spacing w:line="360" w:lineRule="auto"/>
      <w:ind w:left="482" w:firstLine="200" w:firstLineChars="200"/>
    </w:pPr>
  </w:style>
  <w:style w:type="paragraph" w:customStyle="1" w:styleId="50">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5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0"/>
    </w:rPr>
  </w:style>
  <w:style w:type="character" w:customStyle="1" w:styleId="52">
    <w:name w:val="页眉 字符"/>
    <w:basedOn w:val="34"/>
    <w:link w:val="23"/>
    <w:qFormat/>
    <w:uiPriority w:val="99"/>
    <w:rPr>
      <w:sz w:val="18"/>
      <w:szCs w:val="18"/>
    </w:rPr>
  </w:style>
  <w:style w:type="character" w:customStyle="1" w:styleId="53">
    <w:name w:val="页脚 字符"/>
    <w:basedOn w:val="34"/>
    <w:link w:val="22"/>
    <w:qFormat/>
    <w:uiPriority w:val="99"/>
    <w:rPr>
      <w:sz w:val="18"/>
      <w:szCs w:val="18"/>
    </w:rPr>
  </w:style>
  <w:style w:type="character" w:customStyle="1" w:styleId="54">
    <w:name w:val="标题 1 字符"/>
    <w:basedOn w:val="34"/>
    <w:link w:val="3"/>
    <w:qFormat/>
    <w:uiPriority w:val="0"/>
    <w:rPr>
      <w:rFonts w:ascii="Times New Roman" w:hAnsi="Times New Roman" w:eastAsia="宋体" w:cs="Times New Roman"/>
      <w:b/>
      <w:szCs w:val="24"/>
    </w:rPr>
  </w:style>
  <w:style w:type="character" w:customStyle="1" w:styleId="55">
    <w:name w:val="标题 2 字符"/>
    <w:basedOn w:val="34"/>
    <w:link w:val="4"/>
    <w:qFormat/>
    <w:uiPriority w:val="0"/>
    <w:rPr>
      <w:rFonts w:ascii="Arial" w:hAnsi="Arial" w:eastAsia="黑体" w:cs="Times New Roman"/>
      <w:b/>
      <w:bCs/>
      <w:sz w:val="32"/>
      <w:szCs w:val="32"/>
    </w:rPr>
  </w:style>
  <w:style w:type="character" w:customStyle="1" w:styleId="56">
    <w:name w:val="纯文本 Char"/>
    <w:basedOn w:val="34"/>
    <w:qFormat/>
    <w:uiPriority w:val="0"/>
    <w:rPr>
      <w:rFonts w:ascii="宋体" w:hAnsi="Courier New" w:eastAsia="宋体" w:cs="Courier New"/>
      <w:szCs w:val="21"/>
    </w:rPr>
  </w:style>
  <w:style w:type="character" w:customStyle="1" w:styleId="57">
    <w:name w:val="纯文本 字符"/>
    <w:basedOn w:val="34"/>
    <w:link w:val="18"/>
    <w:qFormat/>
    <w:locked/>
    <w:uiPriority w:val="0"/>
    <w:rPr>
      <w:rFonts w:ascii="宋体" w:hAnsi="Courier New" w:eastAsia="宋体" w:cs="Times New Roman"/>
      <w:szCs w:val="20"/>
    </w:rPr>
  </w:style>
  <w:style w:type="character" w:customStyle="1" w:styleId="58">
    <w:name w:val="HTML 预设格式 字符"/>
    <w:basedOn w:val="34"/>
    <w:link w:val="28"/>
    <w:qFormat/>
    <w:uiPriority w:val="0"/>
    <w:rPr>
      <w:rFonts w:ascii="黑体" w:hAnsi="Courier New" w:eastAsia="黑体" w:cs="Courier New"/>
      <w:kern w:val="0"/>
      <w:sz w:val="20"/>
      <w:szCs w:val="20"/>
    </w:rPr>
  </w:style>
  <w:style w:type="character" w:customStyle="1" w:styleId="59">
    <w:name w:val="正文文本缩进 字符"/>
    <w:basedOn w:val="34"/>
    <w:link w:val="16"/>
    <w:qFormat/>
    <w:uiPriority w:val="0"/>
    <w:rPr>
      <w:rFonts w:ascii="宋体" w:hAnsi="Courier New" w:eastAsia="宋体" w:cs="Times New Roman"/>
      <w:spacing w:val="-4"/>
      <w:sz w:val="18"/>
      <w:szCs w:val="20"/>
    </w:rPr>
  </w:style>
  <w:style w:type="character" w:customStyle="1" w:styleId="60">
    <w:name w:val="批注框文本 字符"/>
    <w:basedOn w:val="34"/>
    <w:link w:val="21"/>
    <w:semiHidden/>
    <w:qFormat/>
    <w:uiPriority w:val="0"/>
    <w:rPr>
      <w:rFonts w:ascii="Times New Roman" w:hAnsi="Times New Roman" w:eastAsia="宋体" w:cs="Times New Roman"/>
      <w:sz w:val="18"/>
      <w:szCs w:val="18"/>
    </w:rPr>
  </w:style>
  <w:style w:type="character" w:customStyle="1" w:styleId="61">
    <w:name w:val="批注文字 字符"/>
    <w:basedOn w:val="34"/>
    <w:link w:val="13"/>
    <w:semiHidden/>
    <w:qFormat/>
    <w:uiPriority w:val="0"/>
    <w:rPr>
      <w:rFonts w:ascii="Times New Roman" w:hAnsi="Times New Roman" w:eastAsia="宋体" w:cs="Times New Roman"/>
      <w:szCs w:val="24"/>
    </w:rPr>
  </w:style>
  <w:style w:type="character" w:customStyle="1" w:styleId="62">
    <w:name w:val="批注主题 字符"/>
    <w:basedOn w:val="61"/>
    <w:link w:val="31"/>
    <w:semiHidden/>
    <w:qFormat/>
    <w:uiPriority w:val="0"/>
    <w:rPr>
      <w:rFonts w:ascii="Times New Roman" w:hAnsi="Times New Roman" w:eastAsia="宋体" w:cs="Times New Roman"/>
      <w:b/>
      <w:bCs/>
      <w:szCs w:val="24"/>
    </w:rPr>
  </w:style>
  <w:style w:type="character" w:customStyle="1" w:styleId="63">
    <w:name w:val="正文缩进 Char"/>
    <w:basedOn w:val="34"/>
    <w:qFormat/>
    <w:uiPriority w:val="0"/>
    <w:rPr>
      <w:rFonts w:ascii="Times New Roman" w:hAnsi="Times New Roman" w:eastAsia="宋体" w:cs="Times New Roman"/>
      <w:szCs w:val="20"/>
    </w:rPr>
  </w:style>
  <w:style w:type="character" w:customStyle="1" w:styleId="64">
    <w:name w:val="日期 字符"/>
    <w:basedOn w:val="34"/>
    <w:link w:val="19"/>
    <w:qFormat/>
    <w:uiPriority w:val="0"/>
    <w:rPr>
      <w:rFonts w:ascii="Times New Roman" w:hAnsi="Times New Roman" w:eastAsia="宋体" w:cs="Times New Roman"/>
      <w:szCs w:val="24"/>
    </w:rPr>
  </w:style>
  <w:style w:type="character" w:customStyle="1" w:styleId="65">
    <w:name w:val="正文文本缩进 3 字符"/>
    <w:basedOn w:val="34"/>
    <w:link w:val="25"/>
    <w:qFormat/>
    <w:uiPriority w:val="0"/>
    <w:rPr>
      <w:rFonts w:ascii="Times New Roman" w:hAnsi="Times New Roman" w:eastAsia="宋体" w:cs="Times New Roman"/>
      <w:sz w:val="16"/>
      <w:szCs w:val="16"/>
    </w:rPr>
  </w:style>
  <w:style w:type="character" w:customStyle="1" w:styleId="66">
    <w:name w:val="105v1"/>
    <w:qFormat/>
    <w:uiPriority w:val="0"/>
    <w:rPr>
      <w:rFonts w:hint="default" w:ascii="ˎ̥" w:hAnsi="ˎ̥"/>
      <w:sz w:val="21"/>
      <w:szCs w:val="21"/>
    </w:rPr>
  </w:style>
  <w:style w:type="character" w:customStyle="1" w:styleId="67">
    <w:name w:val="htd0"/>
    <w:basedOn w:val="34"/>
    <w:qFormat/>
    <w:uiPriority w:val="0"/>
  </w:style>
  <w:style w:type="character" w:customStyle="1" w:styleId="68">
    <w:name w:val="文档结构图 字符"/>
    <w:basedOn w:val="34"/>
    <w:link w:val="12"/>
    <w:semiHidden/>
    <w:qFormat/>
    <w:uiPriority w:val="0"/>
    <w:rPr>
      <w:rFonts w:ascii="Times New Roman" w:hAnsi="Times New Roman" w:eastAsia="宋体" w:cs="Times New Roman"/>
      <w:szCs w:val="24"/>
      <w:shd w:val="clear" w:color="auto" w:fill="000080"/>
    </w:rPr>
  </w:style>
  <w:style w:type="character" w:customStyle="1" w:styleId="69">
    <w:name w:val="普通文字 Char Char2"/>
    <w:basedOn w:val="34"/>
    <w:qFormat/>
    <w:uiPriority w:val="0"/>
    <w:rPr>
      <w:rFonts w:ascii="宋体" w:hAnsi="Courier New" w:eastAsia="宋体"/>
      <w:kern w:val="2"/>
      <w:sz w:val="21"/>
      <w:lang w:val="en-US" w:eastAsia="zh-CN" w:bidi="ar-SA"/>
    </w:rPr>
  </w:style>
  <w:style w:type="character" w:customStyle="1" w:styleId="70">
    <w:name w:val="Char Char2"/>
    <w:qFormat/>
    <w:uiPriority w:val="0"/>
    <w:rPr>
      <w:kern w:val="2"/>
      <w:sz w:val="16"/>
    </w:rPr>
  </w:style>
  <w:style w:type="character" w:customStyle="1" w:styleId="71">
    <w:name w:val="apple-converted-space"/>
    <w:basedOn w:val="34"/>
    <w:qFormat/>
    <w:uiPriority w:val="0"/>
  </w:style>
  <w:style w:type="character" w:customStyle="1" w:styleId="72">
    <w:name w:val="grame"/>
    <w:basedOn w:val="34"/>
    <w:qFormat/>
    <w:uiPriority w:val="0"/>
    <w:rPr>
      <w:rFonts w:ascii="Tahoma" w:hAnsi="Tahoma" w:eastAsia="宋体"/>
      <w:kern w:val="2"/>
      <w:sz w:val="24"/>
      <w:szCs w:val="24"/>
      <w:lang w:val="en-US" w:eastAsia="zh-CN" w:bidi="ar-SA"/>
    </w:rPr>
  </w:style>
  <w:style w:type="character" w:customStyle="1" w:styleId="73">
    <w:name w:val="标题 3 字符"/>
    <w:basedOn w:val="34"/>
    <w:link w:val="6"/>
    <w:qFormat/>
    <w:uiPriority w:val="0"/>
    <w:rPr>
      <w:b/>
      <w:bCs/>
      <w:kern w:val="2"/>
      <w:sz w:val="32"/>
      <w:szCs w:val="32"/>
    </w:rPr>
  </w:style>
  <w:style w:type="character" w:customStyle="1" w:styleId="74">
    <w:name w:val="正文文本 字符"/>
    <w:basedOn w:val="34"/>
    <w:link w:val="15"/>
    <w:qFormat/>
    <w:uiPriority w:val="0"/>
    <w:rPr>
      <w:kern w:val="2"/>
      <w:sz w:val="21"/>
      <w:szCs w:val="24"/>
    </w:rPr>
  </w:style>
  <w:style w:type="character" w:customStyle="1" w:styleId="75">
    <w:name w:val="标题 #2_"/>
    <w:link w:val="76"/>
    <w:qFormat/>
    <w:uiPriority w:val="0"/>
    <w:rPr>
      <w:rFonts w:ascii="MingLiU" w:eastAsia="MingLiU"/>
      <w:sz w:val="15"/>
      <w:szCs w:val="15"/>
      <w:shd w:val="clear" w:color="auto" w:fill="FFFFFF"/>
    </w:rPr>
  </w:style>
  <w:style w:type="paragraph" w:customStyle="1" w:styleId="76">
    <w:name w:val="标题 #2"/>
    <w:basedOn w:val="1"/>
    <w:link w:val="75"/>
    <w:qFormat/>
    <w:uiPriority w:val="0"/>
    <w:pPr>
      <w:shd w:val="clear" w:color="auto" w:fill="FFFFFF"/>
      <w:spacing w:line="278" w:lineRule="exact"/>
      <w:ind w:firstLine="320"/>
      <w:jc w:val="distribute"/>
      <w:outlineLvl w:val="1"/>
    </w:pPr>
    <w:rPr>
      <w:rFonts w:ascii="MingLiU" w:eastAsia="MingLiU"/>
      <w:kern w:val="0"/>
      <w:sz w:val="15"/>
      <w:szCs w:val="15"/>
      <w:shd w:val="clear" w:color="auto" w:fill="FFFFFF"/>
    </w:rPr>
  </w:style>
  <w:style w:type="paragraph" w:customStyle="1" w:styleId="77">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78">
    <w:name w:val="Table Paragraph"/>
    <w:basedOn w:val="1"/>
    <w:qFormat/>
    <w:uiPriority w:val="0"/>
  </w:style>
  <w:style w:type="paragraph" w:customStyle="1" w:styleId="79">
    <w:name w:val="列出段落2"/>
    <w:basedOn w:val="1"/>
    <w:qFormat/>
    <w:uiPriority w:val="0"/>
    <w:pPr>
      <w:ind w:left="140" w:hanging="530"/>
    </w:pPr>
  </w:style>
  <w:style w:type="character" w:customStyle="1" w:styleId="80">
    <w:name w:val="NormalCharacter"/>
    <w:qFormat/>
    <w:uiPriority w:val="0"/>
  </w:style>
  <w:style w:type="paragraph" w:customStyle="1" w:styleId="81">
    <w:name w:val="纯文本1"/>
    <w:basedOn w:val="1"/>
    <w:next w:val="82"/>
    <w:qFormat/>
    <w:uiPriority w:val="0"/>
    <w:rPr>
      <w:rFonts w:hAnsi="Courier New"/>
      <w:szCs w:val="20"/>
    </w:rPr>
  </w:style>
  <w:style w:type="paragraph" w:customStyle="1" w:styleId="82">
    <w:name w:val="TOC 标题2"/>
    <w:next w:val="1"/>
    <w:qFormat/>
    <w:uiPriority w:val="0"/>
    <w:pPr>
      <w:wordWrap w:val="0"/>
    </w:pPr>
    <w:rPr>
      <w:rFonts w:ascii="Times New Roman" w:hAnsi="Times New Roman" w:eastAsia="宋体" w:cs="Times New Roman"/>
      <w:sz w:val="32"/>
      <w:szCs w:val="22"/>
      <w:lang w:val="en-US" w:eastAsia="zh-CN" w:bidi="ar-SA"/>
    </w:rPr>
  </w:style>
  <w:style w:type="paragraph" w:customStyle="1" w:styleId="83">
    <w:name w:val="表格文字"/>
    <w:basedOn w:val="1"/>
    <w:qFormat/>
    <w:uiPriority w:val="0"/>
    <w:pPr>
      <w:jc w:val="left"/>
    </w:pPr>
    <w:rPr>
      <w:bCs/>
      <w:spacing w:val="10"/>
      <w:kern w:val="0"/>
      <w:sz w:val="24"/>
      <w:szCs w:val="20"/>
    </w:rPr>
  </w:style>
  <w:style w:type="paragraph" w:customStyle="1" w:styleId="84">
    <w:name w:val="1"/>
    <w:basedOn w:val="1"/>
    <w:next w:val="18"/>
    <w:qFormat/>
    <w:uiPriority w:val="0"/>
    <w:rPr>
      <w:rFonts w:ascii="宋体" w:hAnsi="Courier New" w:cs="宋体"/>
    </w:rPr>
  </w:style>
  <w:style w:type="paragraph" w:customStyle="1" w:styleId="85">
    <w:name w:val="Body text|3"/>
    <w:basedOn w:val="1"/>
    <w:qFormat/>
    <w:uiPriority w:val="0"/>
    <w:pPr>
      <w:spacing w:after="460"/>
      <w:jc w:val="center"/>
    </w:pPr>
    <w:rPr>
      <w:rFonts w:ascii="宋体" w:hAnsi="宋体" w:eastAsiaTheme="minorEastAsia" w:cstheme="minorBidi"/>
      <w:sz w:val="34"/>
      <w:szCs w:val="34"/>
    </w:rPr>
  </w:style>
  <w:style w:type="paragraph" w:customStyle="1" w:styleId="86">
    <w:name w:val="Body text|1"/>
    <w:basedOn w:val="1"/>
    <w:qFormat/>
    <w:uiPriority w:val="0"/>
    <w:pPr>
      <w:spacing w:line="352" w:lineRule="auto"/>
      <w:ind w:firstLine="400"/>
      <w:jc w:val="left"/>
    </w:pPr>
    <w:rPr>
      <w:rFonts w:ascii="宋体" w:hAnsi="宋体" w:eastAsiaTheme="minorEastAsia" w:cstheme="minorBidi"/>
      <w:sz w:val="30"/>
      <w:szCs w:val="30"/>
    </w:rPr>
  </w:style>
  <w:style w:type="character" w:customStyle="1" w:styleId="87">
    <w:name w:val="bookmark-item uuid-1589194982864 code-31006 addword multi-line-text-input-box-cls"/>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CAFCD-8791-4235-B2DD-20DD8ECE537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46</Pages>
  <Words>24784</Words>
  <Characters>26026</Characters>
  <Lines>211</Lines>
  <Paragraphs>59</Paragraphs>
  <TotalTime>31</TotalTime>
  <ScaleCrop>false</ScaleCrop>
  <LinksUpToDate>false</LinksUpToDate>
  <CharactersWithSpaces>28445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2016-05-30T07:35:00Z</dcterms:created>
  <dc:creator>as</dc:creator>
  <cp:lastModifiedBy>naer</cp:lastModifiedBy>
  <cp:lastPrinted>2021-01-25T08:12:00Z</cp:lastPrinted>
  <dcterms:modified xsi:type="dcterms:W3CDTF">2021-10-08T02:06:30Z</dcterms:modified>
  <dc:title>_x0001_</dc:title>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8E2510AEE11242B7B4D2265C8DEE262C</vt:lpwstr>
  </property>
</Properties>
</file>