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56"/>
          <w:szCs w:val="56"/>
        </w:rPr>
      </w:pPr>
    </w:p>
    <w:p>
      <w:pPr>
        <w:jc w:val="center"/>
        <w:rPr>
          <w:rFonts w:ascii="黑体" w:hAnsi="黑体" w:eastAsia="黑体" w:cs="黑体"/>
          <w:b/>
          <w:bCs/>
          <w:sz w:val="56"/>
          <w:szCs w:val="56"/>
        </w:rPr>
      </w:pPr>
      <w:r>
        <w:rPr>
          <w:rFonts w:hint="eastAsia" w:ascii="黑体" w:hAnsi="黑体" w:eastAsia="黑体" w:cs="黑体"/>
          <w:b/>
          <w:bCs/>
          <w:sz w:val="56"/>
          <w:szCs w:val="56"/>
        </w:rPr>
        <w:t>2020年贺州市农用地安全利用项目</w:t>
      </w:r>
    </w:p>
    <w:p>
      <w:pPr>
        <w:jc w:val="center"/>
      </w:pPr>
    </w:p>
    <w:p>
      <w:pPr>
        <w:ind w:left="1737"/>
        <w:rPr>
          <w:rFonts w:ascii="宋体" w:hAnsi="宋体" w:cs="宋体"/>
          <w:b/>
          <w:sz w:val="72"/>
          <w:szCs w:val="52"/>
        </w:rPr>
      </w:pPr>
    </w:p>
    <w:p>
      <w:pPr>
        <w:ind w:left="1737"/>
        <w:rPr>
          <w:rFonts w:ascii="黑体" w:hAnsi="黑体" w:eastAsia="黑体" w:cs="黑体"/>
          <w:b/>
          <w:sz w:val="84"/>
          <w:szCs w:val="84"/>
        </w:rPr>
      </w:pPr>
    </w:p>
    <w:p>
      <w:pPr>
        <w:ind w:left="1737"/>
        <w:rPr>
          <w:rFonts w:ascii="黑体" w:hAnsi="黑体" w:eastAsia="黑体" w:cs="黑体"/>
          <w:b/>
          <w:iCs/>
          <w:sz w:val="52"/>
          <w:szCs w:val="52"/>
        </w:rPr>
      </w:pPr>
      <w:r>
        <w:rPr>
          <w:rFonts w:hint="eastAsia" w:ascii="黑体" w:hAnsi="黑体" w:eastAsia="黑体" w:cs="黑体"/>
          <w:b/>
          <w:sz w:val="84"/>
          <w:szCs w:val="84"/>
        </w:rPr>
        <w:t>竞争性磋商文件</w:t>
      </w:r>
    </w:p>
    <w:p>
      <w:pPr>
        <w:rPr>
          <w:rFonts w:ascii="黑体" w:hAnsi="黑体" w:eastAsia="黑体"/>
          <w:b/>
          <w:sz w:val="48"/>
          <w:szCs w:val="48"/>
        </w:rPr>
      </w:pPr>
    </w:p>
    <w:p>
      <w:pPr>
        <w:rPr>
          <w:rFonts w:ascii="黑体" w:hAnsi="黑体" w:eastAsia="黑体" w:cs="黑体"/>
          <w:bCs/>
          <w:sz w:val="44"/>
          <w:szCs w:val="44"/>
        </w:rPr>
      </w:pPr>
    </w:p>
    <w:p>
      <w:pPr>
        <w:pStyle w:val="11"/>
        <w:spacing w:line="400" w:lineRule="exact"/>
        <w:ind w:firstLine="0"/>
        <w:jc w:val="center"/>
        <w:rPr>
          <w:rFonts w:ascii="黑体" w:eastAsia="黑体"/>
          <w:b/>
          <w:sz w:val="30"/>
          <w:szCs w:val="30"/>
        </w:rPr>
      </w:pPr>
    </w:p>
    <w:p>
      <w:pPr>
        <w:pStyle w:val="11"/>
        <w:spacing w:line="400" w:lineRule="exact"/>
        <w:ind w:firstLine="0"/>
        <w:jc w:val="center"/>
        <w:rPr>
          <w:rFonts w:ascii="黑体" w:eastAsia="黑体"/>
          <w:b/>
          <w:sz w:val="30"/>
          <w:szCs w:val="30"/>
        </w:rPr>
      </w:pPr>
    </w:p>
    <w:p>
      <w:pPr>
        <w:jc w:val="center"/>
        <w:rPr>
          <w:rFonts w:ascii="黑体" w:hAnsi="黑体" w:eastAsia="黑体" w:cs="黑体"/>
          <w:b/>
          <w:sz w:val="36"/>
          <w:szCs w:val="36"/>
          <w:highlight w:val="red"/>
        </w:rPr>
      </w:pPr>
      <w:r>
        <w:rPr>
          <w:rFonts w:hint="eastAsia" w:ascii="黑体" w:hAnsi="黑体" w:eastAsia="黑体" w:cs="黑体"/>
          <w:b/>
          <w:sz w:val="36"/>
          <w:szCs w:val="36"/>
          <w:highlight w:val="none"/>
        </w:rPr>
        <w:t>项目编号：</w:t>
      </w:r>
      <w:r>
        <w:rPr>
          <w:rFonts w:hint="eastAsia" w:ascii="黑体" w:hAnsi="黑体" w:eastAsia="黑体" w:cs="黑体"/>
          <w:b/>
          <w:bCs/>
          <w:color w:val="auto"/>
          <w:sz w:val="36"/>
          <w:szCs w:val="36"/>
        </w:rPr>
        <w:t>HZZC2020-C3-000312-GDZC</w:t>
      </w:r>
    </w:p>
    <w:p>
      <w:pPr>
        <w:spacing w:line="700" w:lineRule="exact"/>
        <w:ind w:left="1680" w:leftChars="800" w:right="1094" w:firstLine="531" w:firstLineChars="147"/>
        <w:rPr>
          <w:b/>
          <w:sz w:val="36"/>
          <w:szCs w:val="36"/>
        </w:rPr>
      </w:pPr>
    </w:p>
    <w:p>
      <w:pPr>
        <w:ind w:left="-2" w:leftChars="-1" w:firstLine="1365" w:firstLineChars="650"/>
      </w:pPr>
    </w:p>
    <w:p>
      <w:pPr>
        <w:ind w:left="-2" w:leftChars="-1" w:firstLine="1365" w:firstLineChars="650"/>
      </w:pPr>
    </w:p>
    <w:p>
      <w:pPr>
        <w:rPr>
          <w:b/>
          <w:sz w:val="24"/>
        </w:rPr>
      </w:pPr>
    </w:p>
    <w:p>
      <w:pPr>
        <w:jc w:val="center"/>
      </w:pPr>
    </w:p>
    <w:p>
      <w:pPr>
        <w:jc w:val="center"/>
      </w:pPr>
    </w:p>
    <w:p>
      <w:pPr>
        <w:ind w:firstLine="344"/>
      </w:pPr>
    </w:p>
    <w:p>
      <w:pPr>
        <w:jc w:val="center"/>
      </w:pPr>
    </w:p>
    <w:p>
      <w:pPr>
        <w:spacing w:before="156" w:beforeLines="50" w:line="480" w:lineRule="auto"/>
        <w:jc w:val="center"/>
        <w:rPr>
          <w:rFonts w:ascii="黑体" w:hAnsi="黑体" w:eastAsia="黑体" w:cs="黑体"/>
          <w:b/>
          <w:sz w:val="32"/>
          <w:szCs w:val="32"/>
        </w:rPr>
      </w:pPr>
      <w:r>
        <w:rPr>
          <w:rFonts w:hint="eastAsia" w:ascii="黑体" w:hAnsi="黑体" w:eastAsia="黑体" w:cs="黑体"/>
          <w:b/>
          <w:sz w:val="32"/>
          <w:szCs w:val="32"/>
        </w:rPr>
        <w:t>采购单位：</w:t>
      </w:r>
      <w:r>
        <w:rPr>
          <w:rFonts w:hint="eastAsia" w:ascii="黑体" w:hAnsi="黑体" w:eastAsia="黑体" w:cs="黑体"/>
          <w:b/>
          <w:bCs/>
          <w:sz w:val="32"/>
          <w:szCs w:val="32"/>
        </w:rPr>
        <w:t>贺州市农业农村局</w:t>
      </w:r>
    </w:p>
    <w:p>
      <w:pPr>
        <w:spacing w:before="156" w:beforeLines="50" w:line="480" w:lineRule="auto"/>
        <w:jc w:val="center"/>
        <w:rPr>
          <w:rFonts w:ascii="黑体" w:hAnsi="黑体" w:eastAsia="黑体" w:cs="黑体"/>
          <w:b/>
          <w:spacing w:val="-8"/>
          <w:sz w:val="32"/>
          <w:szCs w:val="32"/>
        </w:rPr>
      </w:pPr>
      <w:r>
        <w:rPr>
          <w:rFonts w:hint="eastAsia" w:ascii="黑体" w:hAnsi="黑体" w:eastAsia="黑体" w:cs="黑体"/>
          <w:b/>
          <w:sz w:val="32"/>
          <w:szCs w:val="32"/>
        </w:rPr>
        <w:t>采购代理机构：广东展诚工程咨询有限公司</w:t>
      </w:r>
    </w:p>
    <w:p>
      <w:pPr>
        <w:ind w:firstLine="3184" w:firstLineChars="1043"/>
        <w:rPr>
          <w:rFonts w:ascii="黑体" w:hAnsi="黑体" w:eastAsia="黑体" w:cs="黑体"/>
          <w:b/>
          <w:sz w:val="32"/>
          <w:szCs w:val="32"/>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rFonts w:hint="eastAsia" w:ascii="黑体" w:hAnsi="黑体" w:eastAsia="黑体" w:cs="黑体"/>
          <w:b/>
          <w:spacing w:val="-8"/>
          <w:sz w:val="32"/>
          <w:szCs w:val="32"/>
        </w:rPr>
        <w:t>日 期：</w:t>
      </w:r>
      <w:r>
        <w:rPr>
          <w:rFonts w:hint="eastAsia" w:ascii="黑体" w:hAnsi="黑体" w:eastAsia="黑体" w:cs="黑体"/>
          <w:b/>
          <w:sz w:val="32"/>
          <w:szCs w:val="32"/>
        </w:rPr>
        <w:t>2020年</w:t>
      </w:r>
      <w:r>
        <w:rPr>
          <w:rFonts w:hint="eastAsia" w:ascii="黑体" w:hAnsi="黑体" w:eastAsia="黑体" w:cs="黑体"/>
          <w:b/>
          <w:sz w:val="32"/>
          <w:szCs w:val="32"/>
          <w:lang w:val="en-US" w:eastAsia="zh-CN"/>
        </w:rPr>
        <w:t>07</w:t>
      </w:r>
      <w:r>
        <w:rPr>
          <w:rFonts w:hint="eastAsia" w:ascii="黑体" w:hAnsi="黑体" w:eastAsia="黑体" w:cs="黑体"/>
          <w:b/>
          <w:sz w:val="32"/>
          <w:szCs w:val="32"/>
        </w:rPr>
        <w:t>月</w:t>
      </w:r>
    </w:p>
    <w:p>
      <w:pPr>
        <w:pStyle w:val="15"/>
        <w:ind w:left="0"/>
        <w:jc w:val="center"/>
        <w:rPr>
          <w:rFonts w:ascii="黑体" w:eastAsia="黑体"/>
          <w:sz w:val="36"/>
          <w:szCs w:val="36"/>
        </w:rPr>
      </w:pPr>
      <w:r>
        <w:rPr>
          <w:rFonts w:hint="eastAsia" w:ascii="黑体" w:eastAsia="黑体"/>
          <w:sz w:val="36"/>
          <w:szCs w:val="36"/>
        </w:rPr>
        <w:t>目    录</w:t>
      </w:r>
    </w:p>
    <w:p/>
    <w:p/>
    <w:p>
      <w:pPr>
        <w:pStyle w:val="15"/>
        <w:rPr>
          <w:b w:val="0"/>
          <w:bCs w:val="0"/>
          <w:caps w:val="0"/>
          <w:sz w:val="32"/>
          <w:szCs w:val="32"/>
        </w:rPr>
      </w:pPr>
      <w:r>
        <w:rPr>
          <w:sz w:val="32"/>
          <w:szCs w:val="32"/>
        </w:rPr>
        <w:fldChar w:fldCharType="begin"/>
      </w:r>
      <w:r>
        <w:rPr>
          <w:rStyle w:val="27"/>
          <w:color w:val="auto"/>
          <w:sz w:val="32"/>
          <w:szCs w:val="32"/>
        </w:rPr>
        <w:instrText xml:space="preserve"> TOC \o "1-3" \h \z \u </w:instrText>
      </w:r>
      <w:r>
        <w:rPr>
          <w:sz w:val="32"/>
          <w:szCs w:val="32"/>
        </w:rPr>
        <w:fldChar w:fldCharType="separate"/>
      </w:r>
      <w:r>
        <w:fldChar w:fldCharType="begin"/>
      </w:r>
      <w:r>
        <w:instrText xml:space="preserve"> HYPERLINK \l "_Toc489352125" </w:instrText>
      </w:r>
      <w:r>
        <w:fldChar w:fldCharType="separate"/>
      </w:r>
      <w:r>
        <w:rPr>
          <w:rStyle w:val="27"/>
          <w:rFonts w:hint="eastAsia" w:cs="宋体"/>
          <w:color w:val="auto"/>
          <w:sz w:val="32"/>
          <w:szCs w:val="32"/>
        </w:rPr>
        <w:t>竞争性磋商公告</w:t>
      </w:r>
      <w:r>
        <w:rPr>
          <w:sz w:val="32"/>
          <w:szCs w:val="32"/>
        </w:rPr>
        <w:tab/>
      </w:r>
      <w:r>
        <w:rPr>
          <w:rFonts w:hint="eastAsia"/>
          <w:sz w:val="32"/>
          <w:szCs w:val="32"/>
          <w:lang w:val="en-US" w:eastAsia="zh-CN"/>
        </w:rPr>
        <w:t>2</w:t>
      </w:r>
      <w:r>
        <w:rPr>
          <w:rFonts w:hint="eastAsia"/>
          <w:sz w:val="32"/>
          <w:szCs w:val="32"/>
        </w:rPr>
        <w:fldChar w:fldCharType="end"/>
      </w:r>
    </w:p>
    <w:p>
      <w:pPr>
        <w:pStyle w:val="15"/>
        <w:rPr>
          <w:rFonts w:hint="eastAsia" w:eastAsia="宋体"/>
          <w:b w:val="0"/>
          <w:bCs w:val="0"/>
          <w:caps w:val="0"/>
          <w:sz w:val="32"/>
          <w:szCs w:val="32"/>
          <w:lang w:eastAsia="zh-CN"/>
        </w:rPr>
      </w:pPr>
      <w:r>
        <w:fldChar w:fldCharType="begin"/>
      </w:r>
      <w:r>
        <w:instrText xml:space="preserve"> HYPERLINK \l "_Toc489352126" </w:instrText>
      </w:r>
      <w:r>
        <w:fldChar w:fldCharType="separate"/>
      </w:r>
      <w:r>
        <w:rPr>
          <w:rStyle w:val="27"/>
          <w:rFonts w:hint="eastAsia" w:cs="宋体"/>
          <w:color w:val="auto"/>
          <w:sz w:val="32"/>
          <w:szCs w:val="32"/>
        </w:rPr>
        <w:t>第一章</w:t>
      </w:r>
      <w:r>
        <w:rPr>
          <w:rStyle w:val="27"/>
          <w:rFonts w:cs="宋体"/>
          <w:color w:val="auto"/>
          <w:sz w:val="32"/>
          <w:szCs w:val="32"/>
        </w:rPr>
        <w:t xml:space="preserve">   </w:t>
      </w:r>
      <w:r>
        <w:rPr>
          <w:rStyle w:val="27"/>
          <w:rFonts w:hint="eastAsia" w:cs="宋体"/>
          <w:color w:val="auto"/>
          <w:sz w:val="32"/>
          <w:szCs w:val="32"/>
        </w:rPr>
        <w:t>竞标人须知及前附表</w:t>
      </w:r>
      <w:r>
        <w:rPr>
          <w:sz w:val="32"/>
          <w:szCs w:val="32"/>
        </w:rPr>
        <w:tab/>
      </w:r>
      <w:r>
        <w:rPr>
          <w:sz w:val="32"/>
          <w:szCs w:val="32"/>
        </w:rPr>
        <w:fldChar w:fldCharType="end"/>
      </w:r>
      <w:r>
        <w:rPr>
          <w:rFonts w:hint="eastAsia"/>
          <w:sz w:val="32"/>
          <w:szCs w:val="32"/>
          <w:lang w:val="en-US" w:eastAsia="zh-CN"/>
        </w:rPr>
        <w:t>6</w:t>
      </w:r>
    </w:p>
    <w:p>
      <w:pPr>
        <w:pStyle w:val="15"/>
        <w:rPr>
          <w:rFonts w:hint="eastAsia" w:eastAsia="宋体"/>
          <w:b w:val="0"/>
          <w:bCs w:val="0"/>
          <w:caps w:val="0"/>
          <w:sz w:val="32"/>
          <w:szCs w:val="32"/>
          <w:lang w:eastAsia="zh-CN"/>
        </w:rPr>
      </w:pPr>
      <w:r>
        <w:fldChar w:fldCharType="begin"/>
      </w:r>
      <w:r>
        <w:instrText xml:space="preserve"> HYPERLINK \l "_Toc489352168" </w:instrText>
      </w:r>
      <w:r>
        <w:fldChar w:fldCharType="separate"/>
      </w:r>
      <w:r>
        <w:rPr>
          <w:rStyle w:val="27"/>
          <w:rFonts w:hint="eastAsia" w:cs="宋体"/>
          <w:color w:val="auto"/>
          <w:sz w:val="32"/>
          <w:szCs w:val="32"/>
        </w:rPr>
        <w:t>第二章</w:t>
      </w:r>
      <w:r>
        <w:rPr>
          <w:rStyle w:val="27"/>
          <w:rFonts w:cs="宋体"/>
          <w:color w:val="auto"/>
          <w:sz w:val="32"/>
          <w:szCs w:val="32"/>
        </w:rPr>
        <w:t xml:space="preserve">   </w:t>
      </w:r>
      <w:r>
        <w:rPr>
          <w:rFonts w:hint="eastAsia" w:asciiTheme="majorEastAsia" w:hAnsiTheme="majorEastAsia" w:eastAsiaTheme="majorEastAsia" w:cstheme="majorEastAsia"/>
          <w:bCs w:val="0"/>
          <w:sz w:val="32"/>
          <w:szCs w:val="32"/>
        </w:rPr>
        <w:t>采购项目技术参数要求</w:t>
      </w:r>
      <w:r>
        <w:rPr>
          <w:sz w:val="32"/>
          <w:szCs w:val="32"/>
        </w:rPr>
        <w:tab/>
      </w:r>
      <w:r>
        <w:rPr>
          <w:rFonts w:hint="eastAsia"/>
          <w:sz w:val="32"/>
          <w:szCs w:val="32"/>
          <w:lang w:val="en-US" w:eastAsia="zh-CN"/>
        </w:rPr>
        <w:t>2</w:t>
      </w:r>
      <w:r>
        <w:rPr>
          <w:rFonts w:hint="eastAsia"/>
          <w:sz w:val="32"/>
          <w:szCs w:val="32"/>
        </w:rPr>
        <w:fldChar w:fldCharType="end"/>
      </w:r>
      <w:r>
        <w:rPr>
          <w:rFonts w:hint="eastAsia"/>
          <w:sz w:val="32"/>
          <w:szCs w:val="32"/>
          <w:lang w:val="en-US" w:eastAsia="zh-CN"/>
        </w:rPr>
        <w:t>1</w:t>
      </w:r>
    </w:p>
    <w:p>
      <w:pPr>
        <w:pStyle w:val="15"/>
        <w:rPr>
          <w:rFonts w:hint="eastAsia" w:eastAsia="宋体"/>
          <w:b w:val="0"/>
          <w:bCs w:val="0"/>
          <w:caps w:val="0"/>
          <w:sz w:val="32"/>
          <w:szCs w:val="32"/>
          <w:lang w:eastAsia="zh-CN"/>
        </w:rPr>
      </w:pPr>
      <w:r>
        <w:fldChar w:fldCharType="begin"/>
      </w:r>
      <w:r>
        <w:instrText xml:space="preserve"> HYPERLINK \l "_Toc489352169" </w:instrText>
      </w:r>
      <w:r>
        <w:fldChar w:fldCharType="separate"/>
      </w:r>
      <w:r>
        <w:rPr>
          <w:rStyle w:val="27"/>
          <w:rFonts w:hint="eastAsia"/>
          <w:color w:val="auto"/>
          <w:sz w:val="32"/>
          <w:szCs w:val="32"/>
        </w:rPr>
        <w:t>第三章</w:t>
      </w:r>
      <w:r>
        <w:rPr>
          <w:rStyle w:val="27"/>
          <w:color w:val="auto"/>
          <w:sz w:val="32"/>
          <w:szCs w:val="32"/>
        </w:rPr>
        <w:t xml:space="preserve">   </w:t>
      </w:r>
      <w:r>
        <w:rPr>
          <w:rStyle w:val="27"/>
          <w:rFonts w:hint="eastAsia"/>
          <w:color w:val="auto"/>
          <w:sz w:val="32"/>
          <w:szCs w:val="32"/>
        </w:rPr>
        <w:t>政府采购合同（格式）</w:t>
      </w:r>
      <w:r>
        <w:rPr>
          <w:sz w:val="32"/>
          <w:szCs w:val="32"/>
        </w:rPr>
        <w:tab/>
      </w:r>
      <w:r>
        <w:rPr>
          <w:sz w:val="32"/>
          <w:szCs w:val="32"/>
        </w:rPr>
        <w:fldChar w:fldCharType="end"/>
      </w:r>
      <w:r>
        <w:rPr>
          <w:rFonts w:hint="eastAsia"/>
          <w:sz w:val="32"/>
          <w:szCs w:val="32"/>
        </w:rPr>
        <w:t>2</w:t>
      </w:r>
      <w:r>
        <w:rPr>
          <w:rFonts w:hint="eastAsia"/>
          <w:sz w:val="32"/>
          <w:szCs w:val="32"/>
          <w:lang w:val="en-US" w:eastAsia="zh-CN"/>
        </w:rPr>
        <w:t>8</w:t>
      </w:r>
    </w:p>
    <w:p>
      <w:pPr>
        <w:pStyle w:val="15"/>
        <w:rPr>
          <w:rFonts w:hint="eastAsia" w:eastAsia="宋体"/>
          <w:sz w:val="32"/>
          <w:szCs w:val="32"/>
          <w:lang w:eastAsia="zh-CN"/>
        </w:rPr>
      </w:pPr>
      <w:r>
        <w:fldChar w:fldCharType="begin"/>
      </w:r>
      <w:r>
        <w:instrText xml:space="preserve"> HYPERLINK \l "_Toc489352170" </w:instrText>
      </w:r>
      <w:r>
        <w:fldChar w:fldCharType="separate"/>
      </w:r>
      <w:r>
        <w:rPr>
          <w:rStyle w:val="27"/>
          <w:rFonts w:hint="eastAsia" w:cs="宋体"/>
          <w:color w:val="auto"/>
          <w:sz w:val="32"/>
          <w:szCs w:val="32"/>
        </w:rPr>
        <w:t>第四章</w:t>
      </w:r>
      <w:r>
        <w:rPr>
          <w:rStyle w:val="27"/>
          <w:rFonts w:cs="宋体"/>
          <w:color w:val="auto"/>
          <w:sz w:val="32"/>
          <w:szCs w:val="32"/>
        </w:rPr>
        <w:t xml:space="preserve">   </w:t>
      </w:r>
      <w:r>
        <w:rPr>
          <w:rStyle w:val="27"/>
          <w:rFonts w:hint="eastAsia" w:cs="宋体"/>
          <w:color w:val="auto"/>
          <w:sz w:val="32"/>
          <w:szCs w:val="32"/>
        </w:rPr>
        <w:t>评标方法</w:t>
      </w:r>
      <w:r>
        <w:rPr>
          <w:sz w:val="32"/>
          <w:szCs w:val="32"/>
        </w:rPr>
        <w:tab/>
      </w:r>
      <w:r>
        <w:rPr>
          <w:rFonts w:hint="eastAsia"/>
          <w:sz w:val="32"/>
          <w:szCs w:val="32"/>
          <w:lang w:val="en-US" w:eastAsia="zh-CN"/>
        </w:rPr>
        <w:t>3</w:t>
      </w:r>
      <w:r>
        <w:rPr>
          <w:rFonts w:hint="eastAsia"/>
          <w:sz w:val="32"/>
          <w:szCs w:val="32"/>
        </w:rPr>
        <w:fldChar w:fldCharType="end"/>
      </w:r>
      <w:r>
        <w:rPr>
          <w:rFonts w:hint="eastAsia"/>
          <w:sz w:val="32"/>
          <w:szCs w:val="32"/>
          <w:lang w:val="en-US" w:eastAsia="zh-CN"/>
        </w:rPr>
        <w:t>3</w:t>
      </w:r>
    </w:p>
    <w:p>
      <w:pPr>
        <w:pStyle w:val="15"/>
        <w:rPr>
          <w:rFonts w:hint="eastAsia" w:eastAsia="宋体"/>
          <w:b w:val="0"/>
          <w:bCs w:val="0"/>
          <w:caps w:val="0"/>
          <w:sz w:val="32"/>
          <w:szCs w:val="32"/>
          <w:lang w:eastAsia="zh-CN"/>
        </w:rPr>
      </w:pPr>
      <w:r>
        <w:fldChar w:fldCharType="begin"/>
      </w:r>
      <w:r>
        <w:instrText xml:space="preserve"> HYPERLINK \l "_Toc489352172" </w:instrText>
      </w:r>
      <w:r>
        <w:fldChar w:fldCharType="separate"/>
      </w:r>
      <w:r>
        <w:rPr>
          <w:rStyle w:val="27"/>
          <w:rFonts w:hint="eastAsia"/>
          <w:color w:val="auto"/>
          <w:sz w:val="32"/>
          <w:szCs w:val="32"/>
        </w:rPr>
        <w:t>第五章</w:t>
      </w:r>
      <w:r>
        <w:rPr>
          <w:rStyle w:val="27"/>
          <w:color w:val="auto"/>
          <w:sz w:val="32"/>
          <w:szCs w:val="32"/>
        </w:rPr>
        <w:t xml:space="preserve"> </w:t>
      </w:r>
      <w:r>
        <w:rPr>
          <w:rStyle w:val="27"/>
          <w:rFonts w:hint="eastAsia"/>
          <w:color w:val="auto"/>
          <w:sz w:val="32"/>
          <w:szCs w:val="32"/>
        </w:rPr>
        <w:t xml:space="preserve"> </w:t>
      </w:r>
      <w:r>
        <w:rPr>
          <w:rStyle w:val="27"/>
          <w:color w:val="auto"/>
          <w:sz w:val="32"/>
          <w:szCs w:val="32"/>
        </w:rPr>
        <w:t xml:space="preserve"> </w:t>
      </w:r>
      <w:r>
        <w:rPr>
          <w:rStyle w:val="27"/>
          <w:rFonts w:hint="eastAsia"/>
          <w:color w:val="auto"/>
          <w:sz w:val="32"/>
          <w:szCs w:val="32"/>
        </w:rPr>
        <w:t>响应文件（格式）</w:t>
      </w:r>
      <w:r>
        <w:rPr>
          <w:sz w:val="32"/>
          <w:szCs w:val="32"/>
        </w:rPr>
        <w:tab/>
      </w:r>
      <w:r>
        <w:rPr>
          <w:rFonts w:hint="eastAsia"/>
          <w:sz w:val="32"/>
          <w:szCs w:val="32"/>
        </w:rPr>
        <w:t>3</w:t>
      </w:r>
      <w:r>
        <w:rPr>
          <w:rFonts w:hint="eastAsia"/>
          <w:sz w:val="32"/>
          <w:szCs w:val="32"/>
        </w:rPr>
        <w:fldChar w:fldCharType="end"/>
      </w:r>
      <w:r>
        <w:rPr>
          <w:rFonts w:hint="eastAsia"/>
          <w:sz w:val="32"/>
          <w:szCs w:val="32"/>
          <w:lang w:val="en-US" w:eastAsia="zh-CN"/>
        </w:rPr>
        <w:t>7</w:t>
      </w:r>
    </w:p>
    <w:p>
      <w:pPr>
        <w:pStyle w:val="15"/>
        <w:spacing w:line="900" w:lineRule="exact"/>
        <w:ind w:left="0"/>
      </w:pPr>
      <w:r>
        <w:rPr>
          <w:sz w:val="32"/>
          <w:szCs w:val="32"/>
        </w:rPr>
        <w:fldChar w:fldCharType="end"/>
      </w: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rPr>
          <w:rFonts w:ascii="黑体" w:hAnsi="黑体" w:eastAsia="黑体" w:cs="黑体"/>
          <w:b/>
          <w:sz w:val="32"/>
          <w:szCs w:val="32"/>
        </w:rPr>
      </w:pPr>
    </w:p>
    <w:p>
      <w:pPr>
        <w:spacing w:line="600" w:lineRule="exact"/>
        <w:rPr>
          <w:rFonts w:ascii="黑体" w:hAnsi="黑体" w:eastAsia="黑体" w:cs="黑体"/>
          <w:b/>
          <w:sz w:val="35"/>
          <w:szCs w:val="35"/>
        </w:rPr>
      </w:pPr>
    </w:p>
    <w:p>
      <w:pPr>
        <w:ind w:firstLine="687"/>
        <w:rPr>
          <w:rFonts w:ascii="黑体" w:hAnsi="黑体" w:eastAsia="黑体" w:cs="黑体"/>
          <w:b/>
          <w:sz w:val="35"/>
          <w:szCs w:val="35"/>
        </w:rPr>
      </w:pPr>
    </w:p>
    <w:p>
      <w:pPr>
        <w:spacing w:line="600" w:lineRule="exact"/>
        <w:jc w:val="both"/>
        <w:rPr>
          <w:rFonts w:ascii="黑体" w:hAnsi="黑体" w:eastAsia="黑体" w:cs="黑体"/>
          <w:b/>
          <w:sz w:val="35"/>
          <w:szCs w:val="35"/>
        </w:rPr>
      </w:pPr>
    </w:p>
    <w:p>
      <w:pPr>
        <w:pStyle w:val="2"/>
      </w:pPr>
    </w:p>
    <w:p>
      <w:pPr>
        <w:pStyle w:val="4"/>
        <w:tabs>
          <w:tab w:val="left" w:pos="0"/>
        </w:tabs>
        <w:autoSpaceDE w:val="0"/>
        <w:autoSpaceDN w:val="0"/>
        <w:adjustRightInd w:val="0"/>
        <w:spacing w:before="0" w:after="0" w:line="360" w:lineRule="auto"/>
        <w:jc w:val="center"/>
      </w:pPr>
      <w:bookmarkStart w:id="0" w:name="_Toc35393797"/>
      <w:bookmarkStart w:id="1" w:name="_Toc28359011"/>
      <w:r>
        <w:rPr>
          <w:rFonts w:hint="eastAsia"/>
          <w:sz w:val="32"/>
          <w:szCs w:val="32"/>
        </w:rPr>
        <w:t>广东展诚工程咨询有限公司</w:t>
      </w:r>
      <w:r>
        <w:rPr>
          <w:rFonts w:hint="eastAsia"/>
          <w:sz w:val="32"/>
          <w:szCs w:val="32"/>
          <w:lang w:val="en-US" w:eastAsia="zh-CN"/>
        </w:rPr>
        <w:t>关于</w:t>
      </w:r>
      <w:r>
        <w:rPr>
          <w:rFonts w:hint="eastAsia" w:asciiTheme="minorEastAsia" w:hAnsiTheme="minorEastAsia" w:eastAsiaTheme="minorEastAsia" w:cstheme="minorEastAsia"/>
          <w:b/>
          <w:sz w:val="32"/>
          <w:szCs w:val="32"/>
        </w:rPr>
        <w:t>2020年贺州市农用地安全利用项目</w:t>
      </w:r>
      <w:r>
        <w:rPr>
          <w:rFonts w:hint="eastAsia" w:asciiTheme="minorEastAsia" w:hAnsiTheme="minorEastAsia" w:eastAsiaTheme="minorEastAsia" w:cstheme="minorEastAsia"/>
          <w:b/>
          <w:sz w:val="32"/>
          <w:szCs w:val="32"/>
          <w:highlight w:val="none"/>
        </w:rPr>
        <w:t>（项目编号：</w:t>
      </w:r>
      <w:r>
        <w:rPr>
          <w:rFonts w:hint="eastAsia" w:ascii="黑体" w:hAnsi="黑体" w:eastAsia="黑体" w:cs="黑体"/>
          <w:b/>
          <w:bCs/>
          <w:color w:val="auto"/>
          <w:sz w:val="32"/>
          <w:szCs w:val="32"/>
          <w:highlight w:val="none"/>
        </w:rPr>
        <w:t>HZZC2020-C3-000312-GDZC</w:t>
      </w:r>
      <w:r>
        <w:rPr>
          <w:rFonts w:hint="eastAsia" w:asciiTheme="minorEastAsia" w:hAnsiTheme="minorEastAsia" w:eastAsiaTheme="minorEastAsia" w:cstheme="minorEastAsia"/>
          <w:b/>
          <w:sz w:val="32"/>
          <w:szCs w:val="32"/>
          <w:highlight w:val="none"/>
        </w:rPr>
        <w:t>）</w:t>
      </w:r>
      <w:r>
        <w:rPr>
          <w:rFonts w:hint="eastAsia" w:asciiTheme="minorEastAsia" w:hAnsiTheme="minorEastAsia" w:eastAsiaTheme="minorEastAsia" w:cstheme="minorEastAsia"/>
          <w:b/>
          <w:sz w:val="32"/>
          <w:szCs w:val="32"/>
        </w:rPr>
        <w:t>竞争性磋商公告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项目概况</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u w:val="single"/>
        </w:rPr>
        <w:t xml:space="preserve"> </w:t>
      </w:r>
      <w:r>
        <w:rPr>
          <w:rFonts w:hint="eastAsia" w:ascii="宋体" w:hAnsi="宋体" w:cs="宋体"/>
          <w:bCs/>
          <w:sz w:val="21"/>
          <w:szCs w:val="21"/>
          <w:u w:val="single"/>
        </w:rPr>
        <w:t>2020年贺州市农用地安全利用项目</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的潜在供应商应在</w:t>
      </w:r>
      <w:r>
        <w:rPr>
          <w:rFonts w:hint="eastAsia" w:ascii="宋体" w:hAnsi="宋体" w:cs="宋体"/>
          <w:sz w:val="21"/>
          <w:szCs w:val="21"/>
          <w:u w:val="single"/>
        </w:rPr>
        <w:t>贺州市公共资源交易中心服务窗口（贺州市鞍山西路83-1号四楼）</w:t>
      </w:r>
      <w:r>
        <w:rPr>
          <w:rFonts w:hint="eastAsia" w:asciiTheme="minorEastAsia" w:hAnsiTheme="minorEastAsia" w:eastAsiaTheme="minorEastAsia" w:cstheme="minorEastAsia"/>
          <w:sz w:val="21"/>
          <w:szCs w:val="21"/>
        </w:rPr>
        <w:t>获取采购文件，并于</w:t>
      </w:r>
      <w:r>
        <w:rPr>
          <w:rFonts w:hint="eastAsia" w:asciiTheme="minorEastAsia" w:hAnsiTheme="minorEastAsia" w:eastAsiaTheme="minorEastAsia" w:cstheme="minorEastAsia"/>
          <w:sz w:val="21"/>
          <w:szCs w:val="21"/>
          <w:highlight w:val="none"/>
          <w:u w:val="single"/>
          <w:lang w:val="en-US" w:eastAsia="zh-CN"/>
        </w:rPr>
        <w:t>2020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rPr>
        <w:t xml:space="preserve">年 </w:t>
      </w:r>
      <w:r>
        <w:rPr>
          <w:rFonts w:hint="eastAsia" w:asciiTheme="minorEastAsia" w:hAnsiTheme="minorEastAsia" w:eastAsiaTheme="minorEastAsia" w:cstheme="minorEastAsia"/>
          <w:bCs/>
          <w:sz w:val="21"/>
          <w:szCs w:val="21"/>
          <w:highlight w:val="none"/>
          <w:u w:val="single"/>
          <w:lang w:val="en-US" w:eastAsia="zh-CN"/>
        </w:rPr>
        <w:t>07</w:t>
      </w:r>
      <w:r>
        <w:rPr>
          <w:rFonts w:hint="eastAsia" w:asciiTheme="minorEastAsia" w:hAnsiTheme="minorEastAsia" w:eastAsiaTheme="minorEastAsia" w:cstheme="minorEastAsia"/>
          <w:bCs/>
          <w:sz w:val="21"/>
          <w:szCs w:val="21"/>
          <w:highlight w:val="none"/>
          <w:u w:val="single"/>
        </w:rPr>
        <w:t xml:space="preserve"> 月 </w:t>
      </w:r>
      <w:r>
        <w:rPr>
          <w:rFonts w:hint="eastAsia" w:asciiTheme="minorEastAsia" w:hAnsiTheme="minorEastAsia" w:eastAsiaTheme="minorEastAsia" w:cstheme="minorEastAsia"/>
          <w:bCs/>
          <w:sz w:val="21"/>
          <w:szCs w:val="21"/>
          <w:highlight w:val="none"/>
          <w:u w:val="single"/>
          <w:lang w:val="en-US" w:eastAsia="zh-CN"/>
        </w:rPr>
        <w:t>27</w:t>
      </w:r>
      <w:r>
        <w:rPr>
          <w:rFonts w:hint="eastAsia" w:asciiTheme="minorEastAsia" w:hAnsiTheme="minorEastAsia" w:eastAsiaTheme="minorEastAsia" w:cstheme="minorEastAsia"/>
          <w:bCs/>
          <w:sz w:val="21"/>
          <w:szCs w:val="21"/>
          <w:highlight w:val="none"/>
          <w:u w:val="single"/>
        </w:rPr>
        <w:t xml:space="preserve"> 日 </w:t>
      </w:r>
      <w:r>
        <w:rPr>
          <w:rFonts w:hint="eastAsia" w:asciiTheme="minorEastAsia" w:hAnsiTheme="minorEastAsia" w:eastAsiaTheme="minorEastAsia" w:cstheme="minorEastAsia"/>
          <w:bCs/>
          <w:sz w:val="21"/>
          <w:szCs w:val="21"/>
          <w:highlight w:val="none"/>
          <w:u w:val="single"/>
          <w:lang w:val="en-US" w:eastAsia="zh-CN"/>
        </w:rPr>
        <w:t>10</w:t>
      </w:r>
      <w:r>
        <w:rPr>
          <w:rFonts w:hint="eastAsia" w:asciiTheme="minorEastAsia" w:hAnsiTheme="minorEastAsia" w:eastAsiaTheme="minorEastAsia" w:cstheme="minorEastAsia"/>
          <w:bCs/>
          <w:sz w:val="21"/>
          <w:szCs w:val="21"/>
          <w:highlight w:val="none"/>
          <w:u w:val="single"/>
        </w:rPr>
        <w:t xml:space="preserve"> 点 </w:t>
      </w:r>
      <w:r>
        <w:rPr>
          <w:rFonts w:hint="eastAsia" w:asciiTheme="minorEastAsia" w:hAnsiTheme="minorEastAsia" w:eastAsiaTheme="minorEastAsia" w:cstheme="minorEastAsia"/>
          <w:bCs/>
          <w:sz w:val="21"/>
          <w:szCs w:val="21"/>
          <w:highlight w:val="none"/>
          <w:u w:val="single"/>
          <w:lang w:val="en-US" w:eastAsia="zh-CN"/>
        </w:rPr>
        <w:t>30</w:t>
      </w:r>
      <w:r>
        <w:rPr>
          <w:rFonts w:hint="eastAsia" w:asciiTheme="minorEastAsia" w:hAnsiTheme="minorEastAsia" w:eastAsiaTheme="minorEastAsia" w:cstheme="minorEastAsia"/>
          <w:bCs/>
          <w:sz w:val="21"/>
          <w:szCs w:val="21"/>
          <w:highlight w:val="none"/>
          <w:u w:val="single"/>
        </w:rPr>
        <w:t xml:space="preserve"> 分</w:t>
      </w:r>
      <w:r>
        <w:rPr>
          <w:rFonts w:hint="eastAsia" w:asciiTheme="minorEastAsia" w:hAnsiTheme="minorEastAsia" w:eastAsiaTheme="minorEastAsia" w:cstheme="minorEastAsia"/>
          <w:bCs/>
          <w:sz w:val="21"/>
          <w:szCs w:val="21"/>
        </w:rPr>
        <w:t>（北京时间）前提交响应文件</w:t>
      </w:r>
      <w:r>
        <w:rPr>
          <w:rFonts w:hint="eastAsia" w:asciiTheme="minorEastAsia" w:hAnsiTheme="minorEastAsia" w:eastAsiaTheme="minorEastAsia" w:cstheme="minorEastAsia"/>
          <w:sz w:val="21"/>
          <w:szCs w:val="21"/>
        </w:rPr>
        <w:t>。</w:t>
      </w:r>
    </w:p>
    <w:p>
      <w:pPr>
        <w:pStyle w:val="5"/>
        <w:keepNext/>
        <w:keepLines/>
        <w:pageBreakBefore w:val="0"/>
        <w:widowControl w:val="0"/>
        <w:kinsoku/>
        <w:wordWrap/>
        <w:overflowPunct/>
        <w:topLinePunct w:val="0"/>
        <w:autoSpaceDE/>
        <w:autoSpaceDN/>
        <w:bidi w:val="0"/>
        <w:adjustRightInd/>
        <w:snapToGrid/>
        <w:spacing w:before="20" w:after="20" w:line="420" w:lineRule="exact"/>
        <w:textAlignment w:val="auto"/>
        <w:rPr>
          <w:rFonts w:hint="eastAsia" w:asciiTheme="minorEastAsia" w:hAnsiTheme="minorEastAsia" w:eastAsiaTheme="minorEastAsia" w:cstheme="minorEastAsia"/>
          <w:b/>
          <w:bCs w:val="0"/>
          <w:sz w:val="21"/>
          <w:szCs w:val="21"/>
        </w:rPr>
      </w:pPr>
      <w:bookmarkStart w:id="2" w:name="_Toc35393798"/>
      <w:bookmarkStart w:id="3" w:name="_Toc28359012"/>
      <w:bookmarkStart w:id="4" w:name="_Toc35393629"/>
      <w:bookmarkStart w:id="5" w:name="_Toc28359089"/>
      <w:r>
        <w:rPr>
          <w:rFonts w:hint="eastAsia" w:asciiTheme="minorEastAsia" w:hAnsiTheme="minorEastAsia" w:eastAsiaTheme="minorEastAsia" w:cstheme="minorEastAsia"/>
          <w:b/>
          <w:bCs w:val="0"/>
          <w:sz w:val="21"/>
          <w:szCs w:val="21"/>
        </w:rPr>
        <w:t>一、项目基本情况</w:t>
      </w:r>
      <w:bookmarkEnd w:id="2"/>
      <w:bookmarkEnd w:id="3"/>
      <w:bookmarkEnd w:id="4"/>
      <w:bookmarkEnd w:id="5"/>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red"/>
        </w:rPr>
      </w:pPr>
      <w:r>
        <w:rPr>
          <w:rFonts w:hint="eastAsia" w:asciiTheme="minorEastAsia" w:hAnsiTheme="minorEastAsia" w:eastAsiaTheme="minorEastAsia" w:cstheme="minorEastAsia"/>
          <w:sz w:val="21"/>
          <w:szCs w:val="21"/>
          <w:highlight w:val="none"/>
        </w:rPr>
        <w:t>项目编号：</w:t>
      </w:r>
      <w:r>
        <w:rPr>
          <w:rFonts w:hint="eastAsia" w:asciiTheme="minorEastAsia" w:hAnsiTheme="minorEastAsia" w:eastAsiaTheme="minorEastAsia" w:cstheme="minorEastAsia"/>
          <w:b w:val="0"/>
          <w:bCs w:val="0"/>
          <w:color w:val="auto"/>
          <w:sz w:val="21"/>
          <w:szCs w:val="21"/>
          <w:highlight w:val="none"/>
        </w:rPr>
        <w:t>HZZC2020-C3-000312-GDZC</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项目名称：</w:t>
      </w:r>
      <w:r>
        <w:rPr>
          <w:rFonts w:hint="eastAsia" w:ascii="宋体" w:hAnsi="宋体" w:cs="宋体"/>
          <w:bCs/>
          <w:sz w:val="21"/>
          <w:szCs w:val="21"/>
        </w:rPr>
        <w:t>2020年贺州市农用地安全利用项目</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采购方式：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竞争性磋商</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预算金额：</w:t>
      </w:r>
      <w:r>
        <w:rPr>
          <w:rFonts w:hint="eastAsia" w:asciiTheme="minorEastAsia" w:hAnsiTheme="minorEastAsia" w:eastAsiaTheme="minorEastAsia" w:cstheme="minorEastAsia"/>
          <w:color w:val="auto"/>
          <w:sz w:val="21"/>
          <w:szCs w:val="21"/>
          <w:lang w:val="en-US" w:eastAsia="zh-CN"/>
        </w:rPr>
        <w:t>壹佰肆拾陆万元整（￥1460000.00）</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最高限价：</w:t>
      </w:r>
      <w:r>
        <w:rPr>
          <w:rFonts w:hint="eastAsia" w:asciiTheme="minorEastAsia" w:hAnsiTheme="minorEastAsia" w:eastAsiaTheme="minorEastAsia" w:cstheme="minorEastAsia"/>
          <w:color w:val="auto"/>
          <w:sz w:val="21"/>
          <w:szCs w:val="21"/>
          <w:lang w:val="en-US" w:eastAsia="zh-CN"/>
        </w:rPr>
        <w:t>壹佰肆拾陆万元整（￥1460000.00）</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rPr>
        <w:t>采购需求：</w:t>
      </w:r>
      <w:r>
        <w:rPr>
          <w:rFonts w:hint="eastAsia" w:hAnsi="宋体" w:cs="宋体"/>
          <w:bCs/>
          <w:sz w:val="21"/>
          <w:szCs w:val="21"/>
        </w:rPr>
        <w:t>2020年贺州市农用地安全利用项目</w:t>
      </w:r>
      <w:r>
        <w:rPr>
          <w:rFonts w:hint="eastAsia" w:hAnsi="宋体"/>
          <w:color w:val="000000" w:themeColor="text1"/>
          <w:sz w:val="21"/>
          <w:szCs w:val="21"/>
          <w14:textFill>
            <w14:solidFill>
              <w14:schemeClr w14:val="tx1"/>
            </w14:solidFill>
          </w14:textFill>
        </w:rPr>
        <w:t>（具体内容详见竞争性磋商文件</w:t>
      </w:r>
      <w:r>
        <w:rPr>
          <w:rFonts w:hint="eastAsia" w:hAnsi="宋体"/>
          <w:color w:val="000000" w:themeColor="text1"/>
          <w:sz w:val="21"/>
          <w:szCs w:val="21"/>
          <w:lang w:val="en-US" w:eastAsia="zh-CN"/>
          <w14:textFill>
            <w14:solidFill>
              <w14:schemeClr w14:val="tx1"/>
            </w14:solidFill>
          </w14:textFill>
        </w:rPr>
        <w:t>及技术参数</w:t>
      </w:r>
      <w:r>
        <w:rPr>
          <w:rFonts w:hint="eastAsia" w:hAnsi="宋体"/>
          <w:color w:val="000000" w:themeColor="text1"/>
          <w:sz w:val="21"/>
          <w:szCs w:val="21"/>
          <w14:textFill>
            <w14:solidFill>
              <w14:schemeClr w14:val="tx1"/>
            </w14:solidFill>
          </w14:textFill>
        </w:rPr>
        <w:t>要求）</w:t>
      </w:r>
      <w:r>
        <w:rPr>
          <w:rFonts w:hint="eastAsia" w:hAnsi="宋体"/>
          <w:color w:val="000000" w:themeColor="text1"/>
          <w:sz w:val="21"/>
          <w:szCs w:val="21"/>
          <w:lang w:eastAsia="zh-CN"/>
          <w14:textFill>
            <w14:solidFill>
              <w14:schemeClr w14:val="tx1"/>
            </w14:solidFill>
          </w14:textFill>
        </w:rPr>
        <w:t>。</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合同履行期限：</w:t>
      </w:r>
      <w:r>
        <w:rPr>
          <w:rFonts w:hint="eastAsia" w:ascii="宋体" w:hAnsi="宋体" w:cs="宋体"/>
          <w:color w:val="000000"/>
          <w:kern w:val="0"/>
          <w:szCs w:val="21"/>
          <w:highlight w:val="none"/>
          <w:lang w:bidi="ar"/>
        </w:rPr>
        <w:t>签订合同后 2020 年 12 月底前完成成果交付工作。</w:t>
      </w:r>
    </w:p>
    <w:p>
      <w:pPr>
        <w:pStyle w:val="5"/>
        <w:keepNext/>
        <w:keepLines/>
        <w:pageBreakBefore w:val="0"/>
        <w:widowControl w:val="0"/>
        <w:kinsoku/>
        <w:wordWrap/>
        <w:overflowPunct/>
        <w:topLinePunct w:val="0"/>
        <w:autoSpaceDE/>
        <w:autoSpaceDN/>
        <w:bidi w:val="0"/>
        <w:adjustRightInd/>
        <w:snapToGrid/>
        <w:spacing w:before="20" w:after="20" w:line="420" w:lineRule="exact"/>
        <w:ind w:firstLine="420" w:firstLineChars="200"/>
        <w:textAlignment w:val="auto"/>
        <w:rPr>
          <w:rFonts w:hint="eastAsia" w:asciiTheme="minorEastAsia" w:hAnsiTheme="minorEastAsia" w:eastAsiaTheme="minorEastAsia" w:cstheme="minorEastAsia"/>
          <w:b w:val="0"/>
          <w:bCs w:val="0"/>
          <w:color w:val="auto"/>
          <w:sz w:val="21"/>
          <w:szCs w:val="21"/>
          <w:lang w:eastAsia="zh-CN"/>
        </w:rPr>
      </w:pPr>
      <w:bookmarkStart w:id="6" w:name="_Toc28359013"/>
      <w:bookmarkStart w:id="7" w:name="_Toc35393799"/>
      <w:bookmarkStart w:id="8" w:name="_Toc35393630"/>
      <w:bookmarkStart w:id="9" w:name="_Toc28359090"/>
      <w:r>
        <w:rPr>
          <w:rFonts w:hint="eastAsia" w:asciiTheme="minorEastAsia" w:hAnsiTheme="minorEastAsia" w:eastAsiaTheme="minorEastAsia" w:cstheme="minorEastAsia"/>
          <w:b w:val="0"/>
          <w:bCs w:val="0"/>
          <w:color w:val="auto"/>
          <w:sz w:val="21"/>
          <w:szCs w:val="21"/>
        </w:rPr>
        <w:t>本项目接受联合体竞标(不超过</w:t>
      </w: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rPr>
        <w:t>家企业、单位)</w:t>
      </w:r>
      <w:r>
        <w:rPr>
          <w:rFonts w:hint="eastAsia" w:asciiTheme="minorEastAsia" w:hAnsiTheme="minorEastAsia" w:eastAsiaTheme="minorEastAsia" w:cstheme="minorEastAsia"/>
          <w:b w:val="0"/>
          <w:bCs w:val="0"/>
          <w:color w:val="auto"/>
          <w:sz w:val="21"/>
          <w:szCs w:val="21"/>
          <w:lang w:eastAsia="zh-CN"/>
        </w:rPr>
        <w:t>。</w:t>
      </w:r>
    </w:p>
    <w:p>
      <w:pPr>
        <w:pStyle w:val="5"/>
        <w:keepNext/>
        <w:keepLines/>
        <w:pageBreakBefore w:val="0"/>
        <w:widowControl w:val="0"/>
        <w:kinsoku/>
        <w:wordWrap/>
        <w:overflowPunct/>
        <w:topLinePunct w:val="0"/>
        <w:autoSpaceDE/>
        <w:autoSpaceDN/>
        <w:bidi w:val="0"/>
        <w:adjustRightInd/>
        <w:snapToGrid/>
        <w:spacing w:before="20" w:after="20" w:line="420" w:lineRule="exac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二、申请人的资格要求：</w:t>
      </w:r>
      <w:bookmarkEnd w:id="6"/>
      <w:bookmarkEnd w:id="7"/>
      <w:bookmarkEnd w:id="8"/>
      <w:bookmarkEnd w:id="9"/>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1.满足《中华人民共和国政府采购法》第二十二条规定；</w:t>
      </w:r>
    </w:p>
    <w:p>
      <w:pPr>
        <w:pStyle w:val="17"/>
        <w:pageBreakBefore w:val="0"/>
        <w:widowControl/>
        <w:kinsoku/>
        <w:wordWrap/>
        <w:overflowPunct/>
        <w:topLinePunct w:val="0"/>
        <w:autoSpaceDE/>
        <w:autoSpaceDN/>
        <w:bidi w:val="0"/>
        <w:adjustRightInd/>
        <w:snapToGrid/>
        <w:spacing w:line="420" w:lineRule="exact"/>
        <w:ind w:firstLine="420"/>
        <w:textAlignment w:val="auto"/>
        <w:rPr>
          <w:rFonts w:hint="eastAsia" w:asciiTheme="minorEastAsia" w:hAnsiTheme="minorEastAsia" w:eastAsiaTheme="minorEastAsia" w:cstheme="minorEastAsia"/>
          <w:color w:val="auto"/>
          <w:sz w:val="21"/>
          <w:szCs w:val="21"/>
          <w:lang w:val="en-US" w:eastAsia="zh-CN"/>
        </w:rPr>
      </w:pPr>
      <w:bookmarkStart w:id="10" w:name="_Toc28359091"/>
      <w:bookmarkStart w:id="11" w:name="_Toc28359014"/>
      <w:r>
        <w:rPr>
          <w:rFonts w:hint="eastAsia" w:asciiTheme="minorEastAsia" w:hAnsiTheme="minorEastAsia" w:eastAsiaTheme="minorEastAsia" w:cstheme="minorEastAsia"/>
          <w:sz w:val="21"/>
          <w:szCs w:val="21"/>
        </w:rPr>
        <w:t>2.落实政府采购政策需满足的资格要求：</w:t>
      </w:r>
      <w:r>
        <w:rPr>
          <w:rFonts w:hint="eastAsia" w:asciiTheme="minorEastAsia" w:hAnsiTheme="minorEastAsia" w:eastAsiaTheme="minorEastAsia" w:cstheme="minorEastAsia"/>
          <w:color w:val="auto"/>
          <w:sz w:val="21"/>
          <w:szCs w:val="21"/>
          <w:lang w:val="en-US" w:eastAsia="zh-CN"/>
        </w:rPr>
        <w:t>无</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3.本项目的特定资格要求：</w:t>
      </w:r>
    </w:p>
    <w:p>
      <w:pPr>
        <w:pStyle w:val="17"/>
        <w:pageBreakBefore w:val="0"/>
        <w:widowControl/>
        <w:kinsoku/>
        <w:wordWrap/>
        <w:overflowPunct/>
        <w:topLinePunct w:val="0"/>
        <w:autoSpaceDE/>
        <w:autoSpaceDN/>
        <w:bidi w:val="0"/>
        <w:adjustRightInd/>
        <w:snapToGrid/>
        <w:spacing w:line="420" w:lineRule="exact"/>
        <w:ind w:firstLine="630" w:firstLineChars="300"/>
        <w:textAlignment w:val="auto"/>
        <w:rPr>
          <w:rFonts w:ascii="宋体" w:hAnsi="宋体" w:cs="宋体"/>
          <w:color w:val="auto"/>
          <w:sz w:val="21"/>
          <w:szCs w:val="21"/>
        </w:rPr>
      </w:pPr>
      <w:r>
        <w:rPr>
          <w:rFonts w:hint="eastAsia" w:asciiTheme="majorEastAsia" w:hAnsiTheme="majorEastAsia" w:eastAsiaTheme="majorEastAsia" w:cstheme="majorEastAsia"/>
          <w:color w:val="auto"/>
          <w:sz w:val="21"/>
          <w:szCs w:val="21"/>
          <w:lang w:val="en-US" w:eastAsia="zh-CN"/>
        </w:rPr>
        <w:t>3.1</w:t>
      </w:r>
      <w:r>
        <w:rPr>
          <w:rFonts w:hint="eastAsia" w:ascii="宋体" w:hAnsi="宋体" w:cs="宋体"/>
          <w:color w:val="auto"/>
          <w:sz w:val="21"/>
          <w:szCs w:val="21"/>
        </w:rPr>
        <w:t>国内注册（指按国家有关规定要求注册的），具备独立法人资格的供应商；</w:t>
      </w:r>
    </w:p>
    <w:p>
      <w:pPr>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hAnsi="宋体" w:eastAsia="宋体" w:cs="宋体"/>
          <w:color w:val="auto"/>
          <w:kern w:val="0"/>
          <w:sz w:val="21"/>
          <w:szCs w:val="21"/>
          <w:lang w:eastAsia="zh-CN" w:bidi="ar"/>
        </w:rPr>
      </w:pPr>
      <w:r>
        <w:rPr>
          <w:rFonts w:hint="eastAsia" w:asciiTheme="majorEastAsia" w:hAnsiTheme="majorEastAsia" w:eastAsiaTheme="majorEastAsia" w:cstheme="majorEastAsia"/>
          <w:color w:val="auto"/>
          <w:kern w:val="0"/>
          <w:sz w:val="21"/>
          <w:szCs w:val="21"/>
          <w:lang w:val="en-US" w:eastAsia="zh-CN" w:bidi="ar"/>
        </w:rPr>
        <w:t>3.2</w:t>
      </w:r>
      <w:r>
        <w:rPr>
          <w:rFonts w:hint="eastAsia" w:hAnsi="宋体" w:cs="宋体"/>
          <w:color w:val="auto"/>
          <w:kern w:val="0"/>
          <w:sz w:val="21"/>
          <w:szCs w:val="21"/>
          <w:lang w:bidi="ar"/>
        </w:rPr>
        <w:t>项目负责人的资格要求：</w:t>
      </w:r>
      <w:r>
        <w:rPr>
          <w:rFonts w:hint="default" w:ascii="Calibri" w:hAnsi="Calibri" w:cs="Calibri"/>
          <w:color w:val="auto"/>
          <w:kern w:val="0"/>
          <w:sz w:val="21"/>
          <w:szCs w:val="21"/>
          <w:lang w:bidi="ar"/>
        </w:rPr>
        <w:t>①</w:t>
      </w:r>
      <w:r>
        <w:rPr>
          <w:rFonts w:hint="eastAsia" w:hAnsi="宋体" w:cs="宋体"/>
          <w:color w:val="auto"/>
          <w:kern w:val="0"/>
          <w:sz w:val="21"/>
          <w:szCs w:val="21"/>
          <w:lang w:bidi="ar"/>
        </w:rPr>
        <w:t>具备植物营养学或土壤学或栽培学或生态学或环境科学或环境工程相关专业全日制</w:t>
      </w:r>
      <w:r>
        <w:rPr>
          <w:rFonts w:hint="eastAsia" w:hAnsi="宋体" w:cs="宋体"/>
          <w:color w:val="auto"/>
          <w:kern w:val="0"/>
          <w:sz w:val="21"/>
          <w:szCs w:val="21"/>
          <w:lang w:val="en-US" w:eastAsia="zh-CN" w:bidi="ar"/>
        </w:rPr>
        <w:t>学士</w:t>
      </w:r>
      <w:r>
        <w:rPr>
          <w:rFonts w:hint="eastAsia" w:hAnsi="宋体" w:cs="宋体"/>
          <w:color w:val="auto"/>
          <w:kern w:val="0"/>
          <w:sz w:val="21"/>
          <w:szCs w:val="21"/>
          <w:lang w:bidi="ar"/>
        </w:rPr>
        <w:t>学位</w:t>
      </w:r>
      <w:r>
        <w:rPr>
          <w:rFonts w:hint="eastAsia" w:hAnsi="宋体" w:cs="宋体"/>
          <w:color w:val="auto"/>
          <w:kern w:val="0"/>
          <w:sz w:val="21"/>
          <w:szCs w:val="21"/>
          <w:lang w:eastAsia="zh-CN" w:bidi="ar"/>
        </w:rPr>
        <w:t>；</w:t>
      </w:r>
    </w:p>
    <w:p>
      <w:pPr>
        <w:pageBreakBefore w:val="0"/>
        <w:widowControl/>
        <w:kinsoku/>
        <w:wordWrap/>
        <w:overflowPunct/>
        <w:topLinePunct w:val="0"/>
        <w:autoSpaceDE/>
        <w:autoSpaceDN/>
        <w:bidi w:val="0"/>
        <w:adjustRightInd/>
        <w:snapToGrid/>
        <w:spacing w:line="420" w:lineRule="exact"/>
        <w:ind w:firstLine="630" w:firstLineChars="300"/>
        <w:jc w:val="left"/>
        <w:textAlignment w:val="auto"/>
        <w:rPr>
          <w:color w:val="auto"/>
          <w:sz w:val="21"/>
          <w:szCs w:val="21"/>
        </w:rPr>
      </w:pPr>
      <w:r>
        <w:rPr>
          <w:rFonts w:hint="default" w:ascii="Calibri" w:hAnsi="Calibri" w:cs="Calibri"/>
          <w:color w:val="auto"/>
          <w:kern w:val="0"/>
          <w:sz w:val="21"/>
          <w:szCs w:val="21"/>
          <w:lang w:bidi="ar"/>
        </w:rPr>
        <w:t>②</w:t>
      </w:r>
      <w:r>
        <w:rPr>
          <w:rFonts w:hint="eastAsia" w:hAnsi="宋体" w:cs="宋体"/>
          <w:color w:val="auto"/>
          <w:kern w:val="0"/>
          <w:sz w:val="21"/>
          <w:szCs w:val="21"/>
          <w:lang w:bidi="ar"/>
        </w:rPr>
        <w:t>具备植物营养学或土壤学或栽培学或生态学或环境科学或环境工程相关专业</w:t>
      </w:r>
      <w:r>
        <w:rPr>
          <w:rFonts w:hint="eastAsia" w:hAnsi="宋体" w:cs="宋体"/>
          <w:color w:val="auto"/>
          <w:kern w:val="0"/>
          <w:sz w:val="21"/>
          <w:szCs w:val="21"/>
          <w:lang w:val="en-US" w:eastAsia="zh-CN" w:bidi="ar"/>
        </w:rPr>
        <w:t>中</w:t>
      </w:r>
      <w:r>
        <w:rPr>
          <w:rFonts w:hint="eastAsia" w:hAnsi="宋体" w:cs="宋体"/>
          <w:color w:val="auto"/>
          <w:kern w:val="0"/>
          <w:sz w:val="21"/>
          <w:szCs w:val="21"/>
          <w:lang w:bidi="ar"/>
        </w:rPr>
        <w:t>级</w:t>
      </w:r>
      <w:r>
        <w:rPr>
          <w:rFonts w:hint="eastAsia" w:hAnsi="宋体" w:cs="宋体"/>
          <w:color w:val="auto"/>
          <w:kern w:val="0"/>
          <w:sz w:val="21"/>
          <w:szCs w:val="21"/>
          <w:lang w:eastAsia="zh-CN" w:bidi="ar"/>
        </w:rPr>
        <w:t>及</w:t>
      </w:r>
      <w:r>
        <w:rPr>
          <w:rFonts w:hint="eastAsia" w:hAnsi="宋体" w:cs="宋体"/>
          <w:color w:val="auto"/>
          <w:kern w:val="0"/>
          <w:sz w:val="21"/>
          <w:szCs w:val="21"/>
          <w:lang w:bidi="ar"/>
        </w:rPr>
        <w:t>以上职称</w:t>
      </w:r>
      <w:r>
        <w:rPr>
          <w:rFonts w:hint="eastAsia" w:hAnsi="宋体" w:cs="宋体"/>
          <w:color w:val="auto"/>
          <w:kern w:val="0"/>
          <w:sz w:val="21"/>
          <w:szCs w:val="21"/>
          <w:lang w:eastAsia="zh-CN" w:bidi="ar"/>
        </w:rPr>
        <w:t>。</w:t>
      </w:r>
    </w:p>
    <w:p>
      <w:pPr>
        <w:pageBreakBefore w:val="0"/>
        <w:kinsoku/>
        <w:wordWrap/>
        <w:overflowPunct/>
        <w:topLinePunct w:val="0"/>
        <w:autoSpaceDE/>
        <w:autoSpaceDN/>
        <w:bidi w:val="0"/>
        <w:adjustRightInd/>
        <w:snapToGrid/>
        <w:spacing w:line="420" w:lineRule="exact"/>
        <w:ind w:firstLine="630" w:firstLineChars="300"/>
        <w:textAlignment w:val="auto"/>
        <w:rPr>
          <w:rFonts w:ascii="宋体" w:hAnsi="宋体" w:cs="宋体"/>
          <w:bCs/>
          <w:color w:val="auto"/>
          <w:sz w:val="21"/>
          <w:szCs w:val="21"/>
        </w:rPr>
      </w:pPr>
      <w:r>
        <w:rPr>
          <w:rFonts w:hint="eastAsia" w:ascii="宋体" w:hAnsi="宋体" w:cs="宋体"/>
          <w:bCs/>
          <w:color w:val="auto"/>
          <w:sz w:val="21"/>
          <w:szCs w:val="21"/>
          <w:lang w:val="en-US" w:eastAsia="zh-CN"/>
        </w:rPr>
        <w:t>3.3</w:t>
      </w:r>
      <w:r>
        <w:rPr>
          <w:rFonts w:hint="eastAsia" w:ascii="宋体" w:hAnsi="宋体" w:cs="宋体"/>
          <w:bCs/>
          <w:color w:val="auto"/>
          <w:sz w:val="21"/>
          <w:szCs w:val="21"/>
        </w:rPr>
        <w:t>对在“信用中国”网站(www.creditchina.gov.cn)、中国政府采购网(www.ccgp.gov.cn)等渠道列入失信被执行人、重大税收违法案件当事人名单、政府采购严重违法失信行为记录名单的竞标人，不得参与政府采购活动</w:t>
      </w:r>
      <w:r>
        <w:rPr>
          <w:rFonts w:hint="eastAsia" w:ascii="宋体" w:hAnsi="宋体" w:cs="宋体"/>
          <w:color w:val="auto"/>
          <w:sz w:val="21"/>
          <w:szCs w:val="21"/>
        </w:rPr>
        <w:t>（以评标过程中查询结果为准）；</w:t>
      </w:r>
    </w:p>
    <w:p>
      <w:pPr>
        <w:pageBreakBefore w:val="0"/>
        <w:kinsoku/>
        <w:wordWrap/>
        <w:overflowPunct/>
        <w:topLinePunct w:val="0"/>
        <w:autoSpaceDE/>
        <w:autoSpaceDN/>
        <w:bidi w:val="0"/>
        <w:adjustRightInd/>
        <w:snapToGrid/>
        <w:spacing w:line="420" w:lineRule="exact"/>
        <w:ind w:firstLine="630" w:firstLineChars="300"/>
        <w:textAlignment w:val="auto"/>
        <w:rPr>
          <w:rFonts w:ascii="宋体" w:hAnsi="宋体" w:cs="宋体"/>
          <w:color w:val="auto"/>
          <w:sz w:val="21"/>
          <w:szCs w:val="21"/>
        </w:rPr>
      </w:pPr>
      <w:r>
        <w:rPr>
          <w:rFonts w:hint="eastAsia" w:ascii="宋体" w:hAnsi="宋体" w:cs="宋体"/>
          <w:bCs/>
          <w:color w:val="auto"/>
          <w:sz w:val="21"/>
          <w:szCs w:val="21"/>
          <w:lang w:val="en-US" w:eastAsia="zh-CN"/>
        </w:rPr>
        <w:t>3.4</w:t>
      </w:r>
      <w:r>
        <w:rPr>
          <w:rFonts w:hint="eastAsia" w:ascii="宋体" w:hAnsi="宋体" w:cs="宋体"/>
          <w:color w:val="auto"/>
          <w:sz w:val="21"/>
          <w:szCs w:val="21"/>
        </w:rPr>
        <w:t>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630" w:firstLineChars="300"/>
        <w:jc w:val="left"/>
        <w:textAlignment w:val="auto"/>
        <w:rPr>
          <w:rFonts w:hint="eastAsia" w:asciiTheme="minorEastAsia" w:hAnsiTheme="minorEastAsia" w:eastAsiaTheme="minorEastAsia" w:cstheme="minorEastAsia"/>
          <w:color w:val="auto"/>
          <w:kern w:val="0"/>
          <w:sz w:val="21"/>
          <w:szCs w:val="21"/>
          <w:shd w:val="clear" w:fill="auto"/>
          <w:lang w:val="en-US" w:eastAsia="zh-CN" w:bidi="ar"/>
        </w:rPr>
      </w:pPr>
      <w:r>
        <w:rPr>
          <w:rFonts w:hint="eastAsia" w:ascii="宋体" w:hAnsi="宋体" w:cs="宋体"/>
          <w:color w:val="auto"/>
          <w:sz w:val="21"/>
          <w:szCs w:val="21"/>
          <w:lang w:val="en-US" w:eastAsia="zh-CN"/>
        </w:rPr>
        <w:t>3.5</w:t>
      </w:r>
      <w:r>
        <w:rPr>
          <w:rFonts w:hint="eastAsia" w:ascii="宋体" w:hAnsi="宋体" w:cs="宋体"/>
          <w:bCs/>
          <w:color w:val="auto"/>
          <w:sz w:val="21"/>
          <w:szCs w:val="21"/>
        </w:rPr>
        <w:t>本项目接受联合体竞标</w:t>
      </w:r>
      <w:r>
        <w:rPr>
          <w:rFonts w:hint="eastAsia" w:asciiTheme="minorEastAsia" w:hAnsiTheme="minorEastAsia" w:eastAsiaTheme="minorEastAsia" w:cstheme="minorEastAsia"/>
          <w:color w:val="auto"/>
          <w:kern w:val="0"/>
          <w:sz w:val="21"/>
          <w:szCs w:val="21"/>
          <w:lang w:val="en-US" w:eastAsia="zh-CN" w:bidi="ar"/>
        </w:rPr>
        <w:t>（联合体协议书格式见附件）</w:t>
      </w:r>
      <w:r>
        <w:rPr>
          <w:rFonts w:hint="eastAsia" w:ascii="宋体" w:hAnsi="宋体" w:cs="宋体"/>
          <w:bCs/>
          <w:color w:val="auto"/>
          <w:sz w:val="21"/>
          <w:szCs w:val="21"/>
        </w:rPr>
        <w:t>，不接受分包或转包</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shd w:val="clear" w:fill="auto"/>
          <w:lang w:val="en-US" w:eastAsia="zh-CN" w:bidi="ar"/>
        </w:rPr>
        <w:t>联合体竞标的</w:t>
      </w:r>
      <w:r>
        <w:rPr>
          <w:rFonts w:hint="eastAsia" w:asciiTheme="minorEastAsia" w:hAnsiTheme="minorEastAsia" w:eastAsiaTheme="minorEastAsia" w:cstheme="minorEastAsia"/>
          <w:bCs/>
          <w:color w:val="auto"/>
          <w:sz w:val="21"/>
          <w:szCs w:val="21"/>
        </w:rPr>
        <w:t>(不超过</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家企业、单位)</w:t>
      </w:r>
      <w:r>
        <w:rPr>
          <w:rFonts w:hint="eastAsia" w:asciiTheme="minorEastAsia" w:hAnsiTheme="minorEastAsia" w:eastAsiaTheme="minorEastAsia" w:cstheme="minorEastAsia"/>
          <w:color w:val="auto"/>
          <w:kern w:val="0"/>
          <w:sz w:val="21"/>
          <w:szCs w:val="21"/>
          <w:shd w:val="clear" w:fill="auto"/>
          <w:lang w:val="en-US" w:eastAsia="zh-CN" w:bidi="ar"/>
        </w:rPr>
        <w:t>，应满足下列要求：</w:t>
      </w:r>
      <w:bookmarkStart w:id="12" w:name="OLE_LINK23"/>
    </w:p>
    <w:bookmarkEnd w:id="12"/>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u w:val="none"/>
          <w:lang w:val="en-US" w:eastAsia="zh-CN" w:bidi="ar"/>
        </w:rPr>
        <w:t>3.5.1本项目接受由具有独立法人资格且经营范围能清晰反映该单位具有承揽本项目的资格等类别内容</w:t>
      </w:r>
      <w:r>
        <w:rPr>
          <w:rFonts w:hint="eastAsia" w:asciiTheme="minorEastAsia" w:hAnsiTheme="minorEastAsia" w:eastAsiaTheme="minorEastAsia" w:cstheme="minorEastAsia"/>
          <w:color w:val="auto"/>
          <w:kern w:val="0"/>
          <w:sz w:val="21"/>
          <w:szCs w:val="21"/>
          <w:lang w:val="en-US" w:eastAsia="zh-CN" w:bidi="ar"/>
        </w:rPr>
        <w:t>的供应商作为牵头人组成的联合体</w:t>
      </w:r>
      <w:bookmarkStart w:id="13" w:name="OLE_LINK22"/>
      <w:r>
        <w:rPr>
          <w:rFonts w:hint="eastAsia" w:asciiTheme="minorEastAsia" w:hAnsiTheme="minorEastAsia" w:eastAsiaTheme="minorEastAsia" w:cstheme="minorEastAsia"/>
          <w:color w:val="auto"/>
          <w:kern w:val="0"/>
          <w:sz w:val="21"/>
          <w:szCs w:val="21"/>
          <w:u w:val="none"/>
          <w:lang w:val="en-US" w:eastAsia="zh-CN" w:bidi="ar"/>
        </w:rPr>
        <w:t>竞标，联合体</w:t>
      </w:r>
      <w:bookmarkEnd w:id="13"/>
      <w:r>
        <w:rPr>
          <w:rFonts w:hint="eastAsia" w:asciiTheme="minorEastAsia" w:hAnsiTheme="minorEastAsia" w:eastAsiaTheme="minorEastAsia" w:cstheme="minorEastAsia"/>
          <w:color w:val="auto"/>
          <w:kern w:val="0"/>
          <w:sz w:val="21"/>
          <w:szCs w:val="21"/>
          <w:lang w:val="en-US" w:eastAsia="zh-CN" w:bidi="ar"/>
        </w:rPr>
        <w:t>成员单位不超过两个。联合体各方均应符合“具有独立法人资格”、“具有独立承担民事责任的能力”的条件，其中施工单位须具备有效的安全生产许可证。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3.5.2联合体各方应当签订联合体协议书，其中联合体牵头人代表联合体各方成员负责竞标和合同实施阶段的主办、协调工作，但联合体其他成员在竞标、签约与履行合同过程中，仍负有连带的和各自的法律责任。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3.5.3组成联合体进行竞标的供应商不得再以自己的名义单独参与同一标段的竞标，也不得组成新的联合体参与同一标段的竞标。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auto"/>
          <w:kern w:val="0"/>
          <w:sz w:val="21"/>
          <w:szCs w:val="21"/>
          <w:lang w:val="en-US" w:eastAsia="zh-CN" w:bidi="ar"/>
        </w:rPr>
        <w:t>3.5.4联合体各方应分别在人员、设备、资金等方面具有承担本项目联合体协议书分工职责范围内的履约能力。</w:t>
      </w:r>
    </w:p>
    <w:p>
      <w:pPr>
        <w:pStyle w:val="5"/>
        <w:keepNext/>
        <w:keepLines/>
        <w:pageBreakBefore w:val="0"/>
        <w:widowControl w:val="0"/>
        <w:kinsoku/>
        <w:wordWrap/>
        <w:overflowPunct/>
        <w:topLinePunct w:val="0"/>
        <w:autoSpaceDE/>
        <w:autoSpaceDN/>
        <w:bidi w:val="0"/>
        <w:adjustRightInd/>
        <w:snapToGrid/>
        <w:spacing w:before="20" w:after="20" w:line="420" w:lineRule="exact"/>
        <w:textAlignment w:val="auto"/>
        <w:rPr>
          <w:rFonts w:hint="eastAsia" w:asciiTheme="minorEastAsia" w:hAnsiTheme="minorEastAsia" w:eastAsiaTheme="minorEastAsia" w:cstheme="minorEastAsia"/>
          <w:b/>
          <w:bCs w:val="0"/>
          <w:sz w:val="21"/>
          <w:szCs w:val="21"/>
        </w:rPr>
      </w:pPr>
      <w:bookmarkStart w:id="14" w:name="_Toc35393800"/>
      <w:bookmarkStart w:id="15" w:name="_Toc35393631"/>
      <w:r>
        <w:rPr>
          <w:rFonts w:hint="eastAsia" w:asciiTheme="minorEastAsia" w:hAnsiTheme="minorEastAsia" w:eastAsiaTheme="minorEastAsia" w:cstheme="minorEastAsia"/>
          <w:b/>
          <w:bCs w:val="0"/>
          <w:sz w:val="21"/>
          <w:szCs w:val="21"/>
        </w:rPr>
        <w:t>三、获取采购文件</w:t>
      </w:r>
      <w:bookmarkEnd w:id="10"/>
      <w:bookmarkEnd w:id="11"/>
      <w:bookmarkEnd w:id="14"/>
      <w:bookmarkEnd w:id="15"/>
    </w:p>
    <w:p>
      <w:pPr>
        <w:pageBreakBefore w:val="0"/>
        <w:kinsoku/>
        <w:wordWrap/>
        <w:overflowPunct/>
        <w:topLinePunct w:val="0"/>
        <w:autoSpaceDE/>
        <w:autoSpaceDN/>
        <w:bidi w:val="0"/>
        <w:adjustRightInd/>
        <w:snapToGrid/>
        <w:spacing w:line="420" w:lineRule="exact"/>
        <w:ind w:firstLine="540"/>
        <w:textAlignment w:val="auto"/>
        <w:rPr>
          <w:rFonts w:hint="eastAsia" w:ascii="宋体" w:hAnsi="宋体" w:eastAsia="宋体" w:cs="宋体"/>
          <w:sz w:val="21"/>
          <w:szCs w:val="21"/>
          <w:lang w:eastAsia="zh-CN"/>
        </w:rPr>
      </w:pPr>
      <w:r>
        <w:rPr>
          <w:rFonts w:hint="eastAsia" w:asciiTheme="minorEastAsia" w:hAnsiTheme="minorEastAsia" w:eastAsiaTheme="minorEastAsia" w:cstheme="minorEastAsia"/>
          <w:b/>
          <w:bCs/>
          <w:sz w:val="21"/>
          <w:szCs w:val="21"/>
        </w:rPr>
        <w:t>时间：</w:t>
      </w:r>
      <w:r>
        <w:rPr>
          <w:rFonts w:hint="eastAsia" w:ascii="宋体" w:hAnsi="宋体" w:cs="宋体"/>
          <w:sz w:val="21"/>
          <w:szCs w:val="21"/>
          <w:highlight w:val="none"/>
        </w:rPr>
        <w:t xml:space="preserve">2020年 </w:t>
      </w:r>
      <w:r>
        <w:rPr>
          <w:rFonts w:hint="eastAsia" w:ascii="宋体" w:hAnsi="宋体" w:cs="宋体"/>
          <w:sz w:val="21"/>
          <w:szCs w:val="21"/>
          <w:highlight w:val="none"/>
          <w:lang w:val="en-US" w:eastAsia="zh-CN"/>
        </w:rPr>
        <w:t>07</w:t>
      </w:r>
      <w:r>
        <w:rPr>
          <w:rFonts w:hint="eastAsia" w:ascii="宋体" w:hAnsi="宋体" w:cs="宋体"/>
          <w:sz w:val="21"/>
          <w:szCs w:val="21"/>
          <w:highlight w:val="none"/>
        </w:rPr>
        <w:t xml:space="preserve"> 月 </w:t>
      </w:r>
      <w:r>
        <w:rPr>
          <w:rFonts w:hint="eastAsia" w:ascii="宋体" w:hAnsi="宋体" w:cs="宋体"/>
          <w:sz w:val="21"/>
          <w:szCs w:val="21"/>
          <w:highlight w:val="none"/>
          <w:lang w:val="en-US" w:eastAsia="zh-CN"/>
        </w:rPr>
        <w:t>16</w:t>
      </w:r>
      <w:r>
        <w:rPr>
          <w:rFonts w:hint="eastAsia" w:ascii="宋体" w:hAnsi="宋体" w:cs="宋体"/>
          <w:sz w:val="21"/>
          <w:szCs w:val="21"/>
          <w:highlight w:val="none"/>
        </w:rPr>
        <w:t xml:space="preserve"> 日公告发布之时起至 2020年 </w:t>
      </w:r>
      <w:r>
        <w:rPr>
          <w:rFonts w:hint="eastAsia" w:ascii="宋体" w:hAnsi="宋体" w:cs="宋体"/>
          <w:sz w:val="21"/>
          <w:szCs w:val="21"/>
          <w:highlight w:val="none"/>
          <w:lang w:val="en-US" w:eastAsia="zh-CN"/>
        </w:rPr>
        <w:t>07</w:t>
      </w:r>
      <w:r>
        <w:rPr>
          <w:rFonts w:hint="eastAsia" w:ascii="宋体" w:hAnsi="宋体" w:cs="宋体"/>
          <w:sz w:val="21"/>
          <w:szCs w:val="21"/>
          <w:highlight w:val="none"/>
        </w:rPr>
        <w:t xml:space="preserve"> 月 </w:t>
      </w:r>
      <w:r>
        <w:rPr>
          <w:rFonts w:hint="eastAsia" w:ascii="宋体" w:hAnsi="宋体" w:cs="宋体"/>
          <w:sz w:val="21"/>
          <w:szCs w:val="21"/>
          <w:highlight w:val="none"/>
          <w:lang w:val="en-US" w:eastAsia="zh-CN"/>
        </w:rPr>
        <w:t>23</w:t>
      </w:r>
      <w:r>
        <w:rPr>
          <w:rFonts w:hint="eastAsia" w:ascii="宋体" w:hAnsi="宋体" w:cs="宋体"/>
          <w:sz w:val="21"/>
          <w:szCs w:val="21"/>
          <w:highlight w:val="none"/>
        </w:rPr>
        <w:t xml:space="preserve"> 日止</w:t>
      </w:r>
      <w:r>
        <w:rPr>
          <w:rFonts w:hint="eastAsia" w:ascii="宋体" w:hAnsi="宋体" w:cs="宋体"/>
          <w:sz w:val="21"/>
          <w:szCs w:val="21"/>
        </w:rPr>
        <w:t>（法定公休日、法定节假日除外）, 每日上午 8 时00 分至 11 时 30 分，下午 15 时00分至 17时30分（北京时间，下同）</w:t>
      </w:r>
      <w:r>
        <w:rPr>
          <w:rFonts w:hint="eastAsia" w:ascii="宋体" w:hAnsi="宋体" w:cs="宋体"/>
          <w:sz w:val="21"/>
          <w:szCs w:val="21"/>
          <w:lang w:eastAsia="zh-CN"/>
        </w:rPr>
        <w:t>。</w:t>
      </w:r>
    </w:p>
    <w:p>
      <w:pPr>
        <w:pageBreakBefore w:val="0"/>
        <w:kinsoku/>
        <w:wordWrap/>
        <w:overflowPunct/>
        <w:topLinePunct w:val="0"/>
        <w:autoSpaceDE/>
        <w:autoSpaceDN/>
        <w:bidi w:val="0"/>
        <w:adjustRightInd/>
        <w:snapToGrid/>
        <w:spacing w:line="420" w:lineRule="exact"/>
        <w:ind w:firstLine="540"/>
        <w:textAlignment w:val="auto"/>
        <w:rPr>
          <w:rFonts w:hint="eastAsia"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b/>
          <w:bCs/>
          <w:sz w:val="21"/>
          <w:szCs w:val="21"/>
        </w:rPr>
        <w:t>地点：</w:t>
      </w:r>
      <w:r>
        <w:rPr>
          <w:rFonts w:hint="eastAsia" w:ascii="宋体" w:hAnsi="宋体" w:cs="宋体"/>
          <w:sz w:val="21"/>
          <w:szCs w:val="21"/>
        </w:rPr>
        <w:t>贺州市公共资源交易中心服务窗口（贺州市鞍山西路83-1号四楼）电话：0774-5268001</w:t>
      </w:r>
      <w:r>
        <w:rPr>
          <w:rFonts w:hint="eastAsia" w:ascii="宋体" w:hAnsi="宋体" w:cs="宋体"/>
          <w:sz w:val="21"/>
          <w:szCs w:val="21"/>
          <w:lang w:eastAsia="zh-CN"/>
        </w:rPr>
        <w:t>。</w:t>
      </w:r>
    </w:p>
    <w:p>
      <w:pPr>
        <w:keepNext w:val="0"/>
        <w:keepLines w:val="0"/>
        <w:pageBreakBefore w:val="0"/>
        <w:kinsoku/>
        <w:wordWrap/>
        <w:overflowPunct/>
        <w:topLinePunct w:val="0"/>
        <w:autoSpaceDE/>
        <w:autoSpaceDN/>
        <w:bidi w:val="0"/>
        <w:adjustRightInd/>
        <w:snapToGrid/>
        <w:spacing w:line="400" w:lineRule="exact"/>
        <w:ind w:firstLine="540"/>
        <w:textAlignment w:val="auto"/>
        <w:rPr>
          <w:rFonts w:hint="eastAsia" w:ascii="宋体" w:hAnsi="宋体" w:cs="宋体"/>
          <w:sz w:val="21"/>
          <w:szCs w:val="21"/>
          <w:lang w:eastAsia="zh-CN"/>
        </w:rPr>
      </w:pPr>
      <w:r>
        <w:rPr>
          <w:rFonts w:hint="eastAsia" w:asciiTheme="minorEastAsia" w:hAnsiTheme="minorEastAsia" w:eastAsiaTheme="minorEastAsia" w:cstheme="minorEastAsia"/>
          <w:b/>
          <w:bCs/>
          <w:sz w:val="21"/>
          <w:szCs w:val="21"/>
        </w:rPr>
        <w:t>方式：</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eastAsia="zh-CN"/>
        </w:rPr>
        <w:t>）</w:t>
      </w:r>
      <w:r>
        <w:rPr>
          <w:rFonts w:hint="eastAsia" w:ascii="宋体" w:hAnsi="宋体" w:cs="宋体"/>
          <w:sz w:val="21"/>
          <w:szCs w:val="21"/>
        </w:rPr>
        <w:t>报名时须由潜在竞标人的法定代表人（持法人身份证明书原件及本人二代身份证原件）或其委托代理人（持法定代表人授权委托书原件、本人二代身份证原件）携带《营业执照副本》复印件或《事业单位法人证书副本》复印件（须加盖单位公章）报名并获取竞争性磋商文件</w:t>
      </w:r>
      <w:r>
        <w:rPr>
          <w:rFonts w:hint="eastAsia" w:ascii="宋体" w:hAnsi="宋体" w:cs="宋体"/>
          <w:sz w:val="21"/>
          <w:szCs w:val="21"/>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2"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color w:val="auto"/>
          <w:kern w:val="0"/>
          <w:sz w:val="21"/>
          <w:szCs w:val="21"/>
          <w:lang w:val="en-US" w:eastAsia="zh-CN" w:bidi="ar"/>
        </w:rPr>
        <w:t>如为联合体竞标的还须持联合体协议书原件。</w:t>
      </w:r>
    </w:p>
    <w:p>
      <w:pPr>
        <w:pageBreakBefore w:val="0"/>
        <w:kinsoku/>
        <w:wordWrap/>
        <w:overflowPunct/>
        <w:topLinePunct w:val="0"/>
        <w:autoSpaceDE/>
        <w:autoSpaceDN/>
        <w:bidi w:val="0"/>
        <w:adjustRightInd/>
        <w:snapToGrid/>
        <w:spacing w:line="420" w:lineRule="exact"/>
        <w:ind w:firstLine="5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售价：</w:t>
      </w:r>
      <w:r>
        <w:rPr>
          <w:rFonts w:hint="eastAsia" w:ascii="宋体" w:hAnsi="宋体" w:cs="宋体"/>
          <w:sz w:val="21"/>
          <w:szCs w:val="21"/>
        </w:rPr>
        <w:t>竞争性磋商文件工本费每本300元，售后不退。</w:t>
      </w:r>
    </w:p>
    <w:p>
      <w:pPr>
        <w:pStyle w:val="5"/>
        <w:keepNext/>
        <w:keepLines/>
        <w:pageBreakBefore w:val="0"/>
        <w:widowControl w:val="0"/>
        <w:kinsoku/>
        <w:wordWrap/>
        <w:overflowPunct/>
        <w:topLinePunct w:val="0"/>
        <w:autoSpaceDE/>
        <w:autoSpaceDN/>
        <w:bidi w:val="0"/>
        <w:adjustRightInd/>
        <w:snapToGrid/>
        <w:spacing w:before="20" w:after="20" w:line="420" w:lineRule="exact"/>
        <w:textAlignment w:val="auto"/>
        <w:rPr>
          <w:rFonts w:hint="eastAsia" w:asciiTheme="minorEastAsia" w:hAnsiTheme="minorEastAsia" w:eastAsiaTheme="minorEastAsia" w:cstheme="minorEastAsia"/>
          <w:b/>
          <w:bCs w:val="0"/>
          <w:sz w:val="21"/>
          <w:szCs w:val="21"/>
        </w:rPr>
      </w:pPr>
      <w:bookmarkStart w:id="16" w:name="_Toc35393632"/>
      <w:bookmarkStart w:id="17" w:name="_Toc28359015"/>
      <w:bookmarkStart w:id="18" w:name="_Toc35393801"/>
      <w:bookmarkStart w:id="19" w:name="_Toc28359092"/>
      <w:r>
        <w:rPr>
          <w:rFonts w:hint="eastAsia" w:asciiTheme="minorEastAsia" w:hAnsiTheme="minorEastAsia" w:eastAsiaTheme="minorEastAsia" w:cstheme="minorEastAsia"/>
          <w:b/>
          <w:bCs w:val="0"/>
          <w:sz w:val="21"/>
          <w:szCs w:val="21"/>
        </w:rPr>
        <w:t>四、响应文件提交</w:t>
      </w:r>
      <w:bookmarkEnd w:id="16"/>
      <w:bookmarkEnd w:id="17"/>
      <w:bookmarkEnd w:id="18"/>
      <w:bookmarkEnd w:id="19"/>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截止时间：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2020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rPr>
        <w:t xml:space="preserve">年 </w:t>
      </w:r>
      <w:r>
        <w:rPr>
          <w:rFonts w:hint="eastAsia" w:asciiTheme="minorEastAsia" w:hAnsiTheme="minorEastAsia" w:eastAsiaTheme="minorEastAsia" w:cstheme="minorEastAsia"/>
          <w:bCs/>
          <w:sz w:val="21"/>
          <w:szCs w:val="21"/>
          <w:highlight w:val="none"/>
          <w:u w:val="single"/>
          <w:lang w:val="en-US" w:eastAsia="zh-CN"/>
        </w:rPr>
        <w:t>07</w:t>
      </w:r>
      <w:r>
        <w:rPr>
          <w:rFonts w:hint="eastAsia" w:asciiTheme="minorEastAsia" w:hAnsiTheme="minorEastAsia" w:eastAsiaTheme="minorEastAsia" w:cstheme="minorEastAsia"/>
          <w:bCs/>
          <w:sz w:val="21"/>
          <w:szCs w:val="21"/>
          <w:highlight w:val="none"/>
          <w:u w:val="single"/>
        </w:rPr>
        <w:t xml:space="preserve"> 月 </w:t>
      </w:r>
      <w:r>
        <w:rPr>
          <w:rFonts w:hint="eastAsia" w:asciiTheme="minorEastAsia" w:hAnsiTheme="minorEastAsia" w:eastAsiaTheme="minorEastAsia" w:cstheme="minorEastAsia"/>
          <w:bCs/>
          <w:sz w:val="21"/>
          <w:szCs w:val="21"/>
          <w:highlight w:val="none"/>
          <w:u w:val="single"/>
          <w:lang w:val="en-US" w:eastAsia="zh-CN"/>
        </w:rPr>
        <w:t>27</w:t>
      </w:r>
      <w:r>
        <w:rPr>
          <w:rFonts w:hint="eastAsia" w:asciiTheme="minorEastAsia" w:hAnsiTheme="minorEastAsia" w:eastAsiaTheme="minorEastAsia" w:cstheme="minorEastAsia"/>
          <w:bCs/>
          <w:sz w:val="21"/>
          <w:szCs w:val="21"/>
          <w:highlight w:val="none"/>
          <w:u w:val="single"/>
        </w:rPr>
        <w:t xml:space="preserve"> 日  </w:t>
      </w:r>
      <w:r>
        <w:rPr>
          <w:rFonts w:hint="eastAsia" w:asciiTheme="minorEastAsia" w:hAnsiTheme="minorEastAsia" w:eastAsiaTheme="minorEastAsia" w:cstheme="minorEastAsia"/>
          <w:bCs/>
          <w:sz w:val="21"/>
          <w:szCs w:val="21"/>
          <w:highlight w:val="none"/>
          <w:u w:val="single"/>
          <w:lang w:val="en-US" w:eastAsia="zh-CN"/>
        </w:rPr>
        <w:t>10</w:t>
      </w:r>
      <w:r>
        <w:rPr>
          <w:rFonts w:hint="eastAsia" w:asciiTheme="minorEastAsia" w:hAnsiTheme="minorEastAsia" w:eastAsiaTheme="minorEastAsia" w:cstheme="minorEastAsia"/>
          <w:bCs/>
          <w:sz w:val="21"/>
          <w:szCs w:val="21"/>
          <w:highlight w:val="none"/>
          <w:u w:val="single"/>
        </w:rPr>
        <w:t xml:space="preserve">  点  </w:t>
      </w:r>
      <w:r>
        <w:rPr>
          <w:rFonts w:hint="eastAsia" w:asciiTheme="minorEastAsia" w:hAnsiTheme="minorEastAsia" w:eastAsiaTheme="minorEastAsia" w:cstheme="minorEastAsia"/>
          <w:bCs/>
          <w:sz w:val="21"/>
          <w:szCs w:val="21"/>
          <w:highlight w:val="none"/>
          <w:u w:val="single"/>
          <w:lang w:val="en-US" w:eastAsia="zh-CN"/>
        </w:rPr>
        <w:t>30</w:t>
      </w:r>
      <w:r>
        <w:rPr>
          <w:rFonts w:hint="eastAsia" w:asciiTheme="minorEastAsia" w:hAnsiTheme="minorEastAsia" w:eastAsiaTheme="minorEastAsia" w:cstheme="minorEastAsia"/>
          <w:bCs/>
          <w:sz w:val="21"/>
          <w:szCs w:val="21"/>
          <w:highlight w:val="none"/>
          <w:u w:val="single"/>
        </w:rPr>
        <w:t xml:space="preserve">  分</w:t>
      </w:r>
      <w:r>
        <w:rPr>
          <w:rFonts w:hint="eastAsia" w:asciiTheme="minorEastAsia" w:hAnsiTheme="minorEastAsia" w:eastAsiaTheme="minorEastAsia" w:cstheme="minorEastAsia"/>
          <w:bCs/>
          <w:sz w:val="21"/>
          <w:szCs w:val="21"/>
        </w:rPr>
        <w:t>（北京时间）</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地点：</w:t>
      </w:r>
      <w:r>
        <w:rPr>
          <w:rFonts w:hint="eastAsia" w:ascii="宋体" w:hAnsi="宋体" w:cs="宋体"/>
          <w:sz w:val="21"/>
          <w:szCs w:val="21"/>
        </w:rPr>
        <w:t>贺州市公共资源交易中心服务窗口（贺州市鞍山西路83-1号四楼）</w:t>
      </w:r>
      <w:r>
        <w:rPr>
          <w:rFonts w:hint="eastAsia" w:ascii="宋体" w:hAnsi="宋体" w:cs="宋体"/>
          <w:sz w:val="21"/>
          <w:szCs w:val="21"/>
          <w:lang w:eastAsia="zh-CN"/>
        </w:rPr>
        <w:t>，</w:t>
      </w:r>
      <w:r>
        <w:rPr>
          <w:rFonts w:hint="eastAsia" w:ascii="宋体" w:hAnsi="宋体"/>
          <w:sz w:val="21"/>
          <w:szCs w:val="21"/>
        </w:rPr>
        <w:t>具体号数以开标日当天贺州市公共资源交易中心电子显示屏公布大厅号数为准</w:t>
      </w:r>
      <w:r>
        <w:rPr>
          <w:rFonts w:hint="eastAsia" w:ascii="宋体" w:hAnsi="宋体"/>
          <w:sz w:val="21"/>
          <w:szCs w:val="21"/>
          <w:lang w:eastAsia="zh-CN"/>
        </w:rPr>
        <w:t>。</w:t>
      </w:r>
    </w:p>
    <w:p>
      <w:pPr>
        <w:pStyle w:val="5"/>
        <w:keepNext/>
        <w:keepLines/>
        <w:pageBreakBefore w:val="0"/>
        <w:widowControl w:val="0"/>
        <w:kinsoku/>
        <w:wordWrap/>
        <w:overflowPunct/>
        <w:topLinePunct w:val="0"/>
        <w:autoSpaceDE/>
        <w:autoSpaceDN/>
        <w:bidi w:val="0"/>
        <w:adjustRightInd/>
        <w:snapToGrid/>
        <w:spacing w:before="20" w:after="20" w:line="420" w:lineRule="exact"/>
        <w:textAlignment w:val="auto"/>
        <w:rPr>
          <w:rFonts w:hint="eastAsia" w:asciiTheme="minorEastAsia" w:hAnsiTheme="minorEastAsia" w:eastAsiaTheme="minorEastAsia" w:cstheme="minorEastAsia"/>
          <w:b/>
          <w:bCs w:val="0"/>
          <w:sz w:val="21"/>
          <w:szCs w:val="21"/>
        </w:rPr>
      </w:pPr>
      <w:bookmarkStart w:id="20" w:name="_Toc28359016"/>
      <w:bookmarkStart w:id="21" w:name="_Toc35393633"/>
      <w:bookmarkStart w:id="22" w:name="_Toc35393802"/>
      <w:bookmarkStart w:id="23" w:name="_Toc28359093"/>
      <w:r>
        <w:rPr>
          <w:rFonts w:hint="eastAsia" w:asciiTheme="minorEastAsia" w:hAnsiTheme="minorEastAsia" w:eastAsiaTheme="minorEastAsia" w:cstheme="minorEastAsia"/>
          <w:b/>
          <w:bCs w:val="0"/>
          <w:sz w:val="21"/>
          <w:szCs w:val="21"/>
        </w:rPr>
        <w:t>五、开启</w:t>
      </w:r>
      <w:bookmarkEnd w:id="20"/>
      <w:bookmarkEnd w:id="21"/>
      <w:bookmarkEnd w:id="22"/>
      <w:bookmarkEnd w:id="23"/>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2020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rPr>
        <w:t xml:space="preserve">年 </w:t>
      </w:r>
      <w:r>
        <w:rPr>
          <w:rFonts w:hint="eastAsia" w:asciiTheme="minorEastAsia" w:hAnsiTheme="minorEastAsia" w:eastAsiaTheme="minorEastAsia" w:cstheme="minorEastAsia"/>
          <w:bCs/>
          <w:sz w:val="21"/>
          <w:szCs w:val="21"/>
          <w:highlight w:val="none"/>
          <w:u w:val="single"/>
          <w:lang w:val="en-US" w:eastAsia="zh-CN"/>
        </w:rPr>
        <w:t>07</w:t>
      </w:r>
      <w:r>
        <w:rPr>
          <w:rFonts w:hint="eastAsia" w:asciiTheme="minorEastAsia" w:hAnsiTheme="minorEastAsia" w:eastAsiaTheme="minorEastAsia" w:cstheme="minorEastAsia"/>
          <w:bCs/>
          <w:sz w:val="21"/>
          <w:szCs w:val="21"/>
          <w:highlight w:val="none"/>
          <w:u w:val="single"/>
        </w:rPr>
        <w:t xml:space="preserve"> 月 </w:t>
      </w:r>
      <w:r>
        <w:rPr>
          <w:rFonts w:hint="eastAsia" w:asciiTheme="minorEastAsia" w:hAnsiTheme="minorEastAsia" w:eastAsiaTheme="minorEastAsia" w:cstheme="minorEastAsia"/>
          <w:bCs/>
          <w:sz w:val="21"/>
          <w:szCs w:val="21"/>
          <w:highlight w:val="none"/>
          <w:u w:val="single"/>
          <w:lang w:val="en-US" w:eastAsia="zh-CN"/>
        </w:rPr>
        <w:t>27</w:t>
      </w:r>
      <w:r>
        <w:rPr>
          <w:rFonts w:hint="eastAsia" w:asciiTheme="minorEastAsia" w:hAnsiTheme="minorEastAsia" w:eastAsiaTheme="minorEastAsia" w:cstheme="minorEastAsia"/>
          <w:bCs/>
          <w:sz w:val="21"/>
          <w:szCs w:val="21"/>
          <w:highlight w:val="none"/>
          <w:u w:val="single"/>
        </w:rPr>
        <w:t xml:space="preserve"> 日  </w:t>
      </w:r>
      <w:r>
        <w:rPr>
          <w:rFonts w:hint="eastAsia" w:asciiTheme="minorEastAsia" w:hAnsiTheme="minorEastAsia" w:eastAsiaTheme="minorEastAsia" w:cstheme="minorEastAsia"/>
          <w:bCs/>
          <w:sz w:val="21"/>
          <w:szCs w:val="21"/>
          <w:highlight w:val="none"/>
          <w:u w:val="single"/>
          <w:lang w:val="en-US" w:eastAsia="zh-CN"/>
        </w:rPr>
        <w:t>10</w:t>
      </w:r>
      <w:r>
        <w:rPr>
          <w:rFonts w:hint="eastAsia" w:asciiTheme="minorEastAsia" w:hAnsiTheme="minorEastAsia" w:eastAsiaTheme="minorEastAsia" w:cstheme="minorEastAsia"/>
          <w:bCs/>
          <w:sz w:val="21"/>
          <w:szCs w:val="21"/>
          <w:highlight w:val="none"/>
          <w:u w:val="single"/>
        </w:rPr>
        <w:t xml:space="preserve">  点  </w:t>
      </w:r>
      <w:r>
        <w:rPr>
          <w:rFonts w:hint="eastAsia" w:asciiTheme="minorEastAsia" w:hAnsiTheme="minorEastAsia" w:eastAsiaTheme="minorEastAsia" w:cstheme="minorEastAsia"/>
          <w:bCs/>
          <w:sz w:val="21"/>
          <w:szCs w:val="21"/>
          <w:highlight w:val="none"/>
          <w:u w:val="single"/>
          <w:lang w:val="en-US" w:eastAsia="zh-CN"/>
        </w:rPr>
        <w:t>30</w:t>
      </w:r>
      <w:r>
        <w:rPr>
          <w:rFonts w:hint="eastAsia" w:asciiTheme="minorEastAsia" w:hAnsiTheme="minorEastAsia" w:eastAsiaTheme="minorEastAsia" w:cstheme="minorEastAsia"/>
          <w:bCs/>
          <w:sz w:val="21"/>
          <w:szCs w:val="21"/>
          <w:highlight w:val="none"/>
          <w:u w:val="single"/>
        </w:rPr>
        <w:t xml:space="preserve">  分</w:t>
      </w:r>
      <w:r>
        <w:rPr>
          <w:rFonts w:hint="eastAsia" w:asciiTheme="minorEastAsia" w:hAnsiTheme="minorEastAsia" w:eastAsiaTheme="minorEastAsia" w:cstheme="minorEastAsia"/>
          <w:bCs/>
          <w:sz w:val="21"/>
          <w:szCs w:val="21"/>
        </w:rPr>
        <w:t>（北京时间）</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地点：</w:t>
      </w:r>
      <w:r>
        <w:rPr>
          <w:rFonts w:hint="eastAsia" w:ascii="宋体" w:hAnsi="宋体" w:cs="宋体"/>
          <w:sz w:val="21"/>
          <w:szCs w:val="21"/>
        </w:rPr>
        <w:t>贺州市公共资源交易中心服务窗口（贺州市鞍山西路83-1号四楼）</w:t>
      </w:r>
      <w:r>
        <w:rPr>
          <w:rFonts w:hint="eastAsia" w:ascii="宋体" w:hAnsi="宋体" w:cs="宋体"/>
          <w:sz w:val="21"/>
          <w:szCs w:val="21"/>
          <w:lang w:eastAsia="zh-CN"/>
        </w:rPr>
        <w:t>，</w:t>
      </w:r>
      <w:r>
        <w:rPr>
          <w:rFonts w:hint="eastAsia" w:ascii="宋体" w:hAnsi="宋体"/>
          <w:sz w:val="21"/>
          <w:szCs w:val="21"/>
        </w:rPr>
        <w:t>具体号数以开标日当天贺州市公共资源交易中心电子显示屏公布大厅号数为准</w:t>
      </w:r>
      <w:r>
        <w:rPr>
          <w:rFonts w:hint="eastAsia" w:ascii="宋体" w:hAnsi="宋体"/>
          <w:sz w:val="21"/>
          <w:szCs w:val="21"/>
          <w:lang w:eastAsia="zh-CN"/>
        </w:rPr>
        <w:t>。</w:t>
      </w:r>
    </w:p>
    <w:p>
      <w:pPr>
        <w:pStyle w:val="5"/>
        <w:keepNext/>
        <w:keepLines/>
        <w:pageBreakBefore w:val="0"/>
        <w:widowControl w:val="0"/>
        <w:kinsoku/>
        <w:wordWrap/>
        <w:overflowPunct/>
        <w:topLinePunct w:val="0"/>
        <w:autoSpaceDE/>
        <w:autoSpaceDN/>
        <w:bidi w:val="0"/>
        <w:adjustRightInd/>
        <w:snapToGrid/>
        <w:spacing w:before="20" w:after="20" w:line="420" w:lineRule="exact"/>
        <w:textAlignment w:val="auto"/>
        <w:rPr>
          <w:rFonts w:hint="eastAsia" w:asciiTheme="minorEastAsia" w:hAnsiTheme="minorEastAsia" w:eastAsiaTheme="minorEastAsia" w:cstheme="minorEastAsia"/>
          <w:b/>
          <w:bCs w:val="0"/>
          <w:sz w:val="21"/>
          <w:szCs w:val="21"/>
        </w:rPr>
      </w:pPr>
      <w:bookmarkStart w:id="24" w:name="_Toc35393634"/>
      <w:bookmarkStart w:id="25" w:name="_Toc35393803"/>
      <w:bookmarkStart w:id="26" w:name="_Toc28359094"/>
      <w:bookmarkStart w:id="27" w:name="_Toc28359017"/>
      <w:r>
        <w:rPr>
          <w:rFonts w:hint="eastAsia" w:asciiTheme="minorEastAsia" w:hAnsiTheme="minorEastAsia" w:eastAsiaTheme="minorEastAsia" w:cstheme="minorEastAsia"/>
          <w:b/>
          <w:bCs w:val="0"/>
          <w:sz w:val="21"/>
          <w:szCs w:val="21"/>
        </w:rPr>
        <w:t>六、公告期限</w:t>
      </w:r>
      <w:bookmarkEnd w:id="24"/>
      <w:bookmarkEnd w:id="25"/>
      <w:bookmarkEnd w:id="26"/>
      <w:bookmarkEnd w:id="27"/>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自本公告发布之日起</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个工作日。</w:t>
      </w:r>
    </w:p>
    <w:p>
      <w:pPr>
        <w:pStyle w:val="5"/>
        <w:keepNext/>
        <w:keepLines/>
        <w:pageBreakBefore w:val="0"/>
        <w:widowControl w:val="0"/>
        <w:numPr>
          <w:ilvl w:val="0"/>
          <w:numId w:val="1"/>
        </w:numPr>
        <w:kinsoku/>
        <w:wordWrap/>
        <w:overflowPunct/>
        <w:topLinePunct w:val="0"/>
        <w:autoSpaceDE/>
        <w:autoSpaceDN/>
        <w:bidi w:val="0"/>
        <w:adjustRightInd/>
        <w:snapToGrid/>
        <w:spacing w:before="20" w:after="20" w:line="420" w:lineRule="exact"/>
        <w:textAlignment w:val="auto"/>
        <w:rPr>
          <w:rFonts w:hint="eastAsia" w:asciiTheme="minorEastAsia" w:hAnsiTheme="minorEastAsia" w:eastAsiaTheme="minorEastAsia" w:cstheme="minorEastAsia"/>
          <w:b/>
          <w:bCs w:val="0"/>
          <w:sz w:val="21"/>
          <w:szCs w:val="21"/>
        </w:rPr>
      </w:pPr>
      <w:bookmarkStart w:id="28" w:name="_Toc35393635"/>
      <w:bookmarkStart w:id="29" w:name="_Toc35393804"/>
      <w:r>
        <w:rPr>
          <w:rFonts w:hint="eastAsia" w:asciiTheme="minorEastAsia" w:hAnsiTheme="minorEastAsia" w:eastAsiaTheme="minorEastAsia" w:cstheme="minorEastAsia"/>
          <w:b/>
          <w:bCs w:val="0"/>
          <w:sz w:val="21"/>
          <w:szCs w:val="21"/>
        </w:rPr>
        <w:t>其他补充事宜</w:t>
      </w:r>
      <w:bookmarkEnd w:id="28"/>
      <w:bookmarkEnd w:id="29"/>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ascii="宋体" w:hAnsi="宋体" w:cs="宋体"/>
          <w:sz w:val="21"/>
          <w:szCs w:val="21"/>
        </w:rPr>
      </w:pPr>
      <w:r>
        <w:rPr>
          <w:rFonts w:hint="eastAsia" w:ascii="宋体" w:hAnsi="宋体" w:cs="宋体"/>
          <w:b/>
          <w:sz w:val="21"/>
          <w:szCs w:val="21"/>
          <w:lang w:eastAsia="zh-CN"/>
        </w:rPr>
        <w:t>（</w:t>
      </w:r>
      <w:r>
        <w:rPr>
          <w:rFonts w:hint="eastAsia" w:ascii="宋体" w:hAnsi="宋体" w:cs="宋体"/>
          <w:b/>
          <w:sz w:val="21"/>
          <w:szCs w:val="21"/>
          <w:lang w:val="en-US" w:eastAsia="zh-CN"/>
        </w:rPr>
        <w:t>1</w:t>
      </w:r>
      <w:r>
        <w:rPr>
          <w:rFonts w:hint="eastAsia" w:ascii="宋体" w:hAnsi="宋体" w:cs="宋体"/>
          <w:b/>
          <w:sz w:val="21"/>
          <w:szCs w:val="21"/>
          <w:lang w:eastAsia="zh-CN"/>
        </w:rPr>
        <w:t>）</w:t>
      </w:r>
      <w:r>
        <w:rPr>
          <w:rFonts w:hint="eastAsia" w:ascii="宋体" w:hAnsi="宋体" w:cs="宋体"/>
          <w:b/>
          <w:sz w:val="21"/>
          <w:szCs w:val="21"/>
        </w:rPr>
        <w:t>本采购项目需要落实的政府采购政策</w:t>
      </w:r>
      <w:r>
        <w:rPr>
          <w:rFonts w:hint="eastAsia" w:ascii="宋体" w:hAnsi="宋体" w:cs="宋体"/>
          <w:sz w:val="21"/>
          <w:szCs w:val="21"/>
        </w:rPr>
        <w:t>：《中华人民共和国政府采购法》、《中华人民共和国政府采购法实施条例》、《政府采购促进中小企业发展暂行办法》（财库[2011]181号）、</w:t>
      </w:r>
      <w:r>
        <w:rPr>
          <w:rFonts w:hint="eastAsia" w:ascii="宋体" w:hAnsi="宋体" w:cs="宋体"/>
          <w:bCs/>
          <w:sz w:val="21"/>
          <w:szCs w:val="21"/>
        </w:rPr>
        <w:t>《三部门联合发布关于促进残疾人就业政府采购政策的通知》（财库[2017]141号）、</w:t>
      </w:r>
      <w:r>
        <w:rPr>
          <w:rFonts w:hint="eastAsia" w:ascii="宋体" w:hAnsi="宋体" w:cs="宋体"/>
          <w:sz w:val="21"/>
          <w:szCs w:val="21"/>
        </w:rPr>
        <w:t>《</w:t>
      </w:r>
      <w:r>
        <w:rPr>
          <w:rFonts w:hint="eastAsia" w:ascii="宋体" w:hAnsi="宋体" w:cs="宋体"/>
          <w:bCs/>
          <w:sz w:val="21"/>
          <w:szCs w:val="21"/>
        </w:rPr>
        <w:t>财政部、司法部关于政府采购支持监狱企业发展有关问题的通知</w:t>
      </w:r>
      <w:r>
        <w:rPr>
          <w:rFonts w:hint="eastAsia" w:ascii="宋体" w:hAnsi="宋体" w:cs="宋体"/>
          <w:sz w:val="21"/>
          <w:szCs w:val="21"/>
        </w:rPr>
        <w:t>》</w:t>
      </w:r>
      <w:r>
        <w:rPr>
          <w:rFonts w:hint="eastAsia" w:ascii="宋体" w:hAnsi="宋体" w:cs="宋体"/>
          <w:bCs/>
          <w:sz w:val="21"/>
          <w:szCs w:val="21"/>
        </w:rPr>
        <w:t>（财库[2014]68号）</w:t>
      </w:r>
      <w:r>
        <w:rPr>
          <w:rFonts w:hint="eastAsia" w:ascii="宋体" w:hAnsi="宋体" w:cs="宋体"/>
          <w:sz w:val="21"/>
          <w:szCs w:val="21"/>
        </w:rPr>
        <w:t>等相关法律法规。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hAnsi="宋体"/>
          <w:b/>
          <w:sz w:val="21"/>
          <w:szCs w:val="21"/>
        </w:rPr>
        <w:t>磋商保证金(人民币)</w:t>
      </w:r>
      <w:r>
        <w:rPr>
          <w:rFonts w:hint="eastAsia" w:hAnsi="宋体"/>
          <w:sz w:val="21"/>
          <w:szCs w:val="21"/>
        </w:rPr>
        <w:t>：</w:t>
      </w:r>
      <w:r>
        <w:rPr>
          <w:rFonts w:hint="eastAsia" w:hAnsi="宋体"/>
          <w:sz w:val="21"/>
          <w:szCs w:val="21"/>
          <w:u w:val="single"/>
        </w:rPr>
        <w:t>伍仟元整（¥5000.00）</w:t>
      </w:r>
      <w:r>
        <w:rPr>
          <w:rFonts w:hint="eastAsia" w:hAnsi="宋体"/>
          <w:sz w:val="21"/>
          <w:szCs w:val="21"/>
        </w:rPr>
        <w:t>。</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bCs/>
          <w:kern w:val="0"/>
          <w:sz w:val="21"/>
          <w:szCs w:val="21"/>
        </w:rPr>
      </w:pPr>
      <w:r>
        <w:rPr>
          <w:rFonts w:hint="eastAsia" w:ascii="宋体" w:hAnsi="宋体" w:cs="宋体"/>
          <w:bCs/>
          <w:sz w:val="21"/>
          <w:szCs w:val="21"/>
        </w:rPr>
        <w:t>磋商供应商应将磋商保证金以支票、汇票、本票、转账、电汇或者金融机构出具的保函等非现金形式提交至以下账户，并于响应文件提交截止时间前到账，到账时间以银行确认的到账时间为准</w:t>
      </w:r>
      <w:r>
        <w:rPr>
          <w:rFonts w:hint="eastAsia" w:ascii="宋体" w:hAnsi="宋体" w:cs="宋体"/>
          <w:b/>
          <w:sz w:val="21"/>
          <w:szCs w:val="21"/>
        </w:rPr>
        <w:t>(注：若以支票、汇票、本票方式提交的，交款人必须是磋商供应商；若以转账、电汇方式提交的，必须从磋商供应商银行账户转出；若以现金方式交纳或者没有足额交纳的视为无效磋商。办理磋商保证金手续时，需在交纳凭据上注明项目名称或项目编号)。</w:t>
      </w:r>
      <w:r>
        <w:rPr>
          <w:rFonts w:hint="eastAsia" w:ascii="宋体" w:hAnsi="宋体" w:cs="宋体"/>
          <w:color w:val="000000"/>
          <w:sz w:val="21"/>
          <w:szCs w:val="21"/>
        </w:rPr>
        <w:t>贺州市公共资源交易中心财务室电话传真：0774-5268008。</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rPr>
      </w:pPr>
      <w:r>
        <w:rPr>
          <w:rFonts w:hint="eastAsia" w:ascii="宋体" w:hAnsi="宋体" w:cs="宋体"/>
          <w:sz w:val="21"/>
          <w:szCs w:val="21"/>
          <w:lang w:val="en-US" w:eastAsia="zh-CN"/>
        </w:rPr>
        <w:t>磋商</w:t>
      </w:r>
      <w:r>
        <w:rPr>
          <w:rFonts w:hint="eastAsia" w:ascii="宋体" w:hAnsi="宋体" w:cs="宋体"/>
          <w:sz w:val="21"/>
          <w:szCs w:val="21"/>
        </w:rPr>
        <w:t>保证金缴纳账户：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rPr>
      </w:pPr>
      <w:r>
        <w:rPr>
          <w:rFonts w:hint="eastAsia" w:ascii="宋体" w:hAnsi="宋体" w:cs="宋体"/>
          <w:sz w:val="21"/>
          <w:szCs w:val="21"/>
        </w:rPr>
        <w:t>开户名称：贺州市公共资源交易中心</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s="宋体"/>
          <w:sz w:val="21"/>
          <w:szCs w:val="21"/>
        </w:rPr>
      </w:pPr>
      <w:r>
        <w:rPr>
          <w:rFonts w:hint="eastAsia" w:ascii="宋体" w:hAnsi="宋体" w:cs="宋体"/>
          <w:sz w:val="21"/>
          <w:szCs w:val="21"/>
        </w:rPr>
        <w:t>开户银行：邮政储蓄银行贺州市分行营业部</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宋体"/>
          <w:sz w:val="21"/>
          <w:szCs w:val="21"/>
        </w:rPr>
      </w:pPr>
      <w:r>
        <w:rPr>
          <w:rFonts w:hint="eastAsia" w:ascii="宋体" w:hAnsi="宋体" w:cs="宋体"/>
          <w:sz w:val="21"/>
          <w:szCs w:val="21"/>
        </w:rPr>
        <w:t>银行账号：945009010008838888</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 w:val="21"/>
          <w:szCs w:val="21"/>
        </w:rPr>
      </w:pPr>
      <w:r>
        <w:rPr>
          <w:rFonts w:hint="eastAsia" w:ascii="宋体" w:hAnsi="宋体"/>
          <w:sz w:val="21"/>
          <w:szCs w:val="21"/>
          <w:lang w:val="en-US" w:eastAsia="zh-CN"/>
        </w:rPr>
        <w:t>磋商</w:t>
      </w:r>
      <w:r>
        <w:rPr>
          <w:rFonts w:ascii="宋体" w:hAnsi="宋体"/>
          <w:sz w:val="21"/>
          <w:szCs w:val="21"/>
        </w:rPr>
        <w:t>保证金必须以</w:t>
      </w:r>
      <w:r>
        <w:rPr>
          <w:rFonts w:hint="eastAsia" w:ascii="宋体" w:hAnsi="宋体"/>
          <w:sz w:val="21"/>
          <w:szCs w:val="21"/>
          <w:lang w:val="en-US" w:eastAsia="zh-CN"/>
        </w:rPr>
        <w:t>竞标</w:t>
      </w:r>
      <w:r>
        <w:rPr>
          <w:rFonts w:ascii="宋体" w:hAnsi="宋体"/>
          <w:sz w:val="21"/>
          <w:szCs w:val="21"/>
        </w:rPr>
        <w:t>人自身的名义提交，并与</w:t>
      </w:r>
      <w:r>
        <w:rPr>
          <w:rFonts w:hint="eastAsia" w:ascii="宋体" w:hAnsi="宋体"/>
          <w:sz w:val="21"/>
          <w:szCs w:val="21"/>
          <w:lang w:val="en-US" w:eastAsia="zh-CN"/>
        </w:rPr>
        <w:t>磋商</w:t>
      </w:r>
      <w:r>
        <w:rPr>
          <w:rFonts w:ascii="宋体" w:hAnsi="宋体"/>
          <w:sz w:val="21"/>
          <w:szCs w:val="21"/>
        </w:rPr>
        <w:t>报名</w:t>
      </w:r>
      <w:r>
        <w:rPr>
          <w:rFonts w:hint="eastAsia" w:ascii="宋体" w:hAnsi="宋体"/>
          <w:sz w:val="21"/>
          <w:szCs w:val="21"/>
        </w:rPr>
        <w:t>时该</w:t>
      </w:r>
      <w:r>
        <w:rPr>
          <w:rFonts w:hint="eastAsia" w:ascii="宋体" w:hAnsi="宋体"/>
          <w:sz w:val="21"/>
          <w:szCs w:val="21"/>
          <w:lang w:val="en-US" w:eastAsia="zh-CN"/>
        </w:rPr>
        <w:t>竞标</w:t>
      </w:r>
      <w:r>
        <w:rPr>
          <w:rFonts w:hint="eastAsia" w:ascii="宋体" w:hAnsi="宋体"/>
          <w:sz w:val="21"/>
          <w:szCs w:val="21"/>
        </w:rPr>
        <w:t>人的</w:t>
      </w:r>
      <w:r>
        <w:rPr>
          <w:rFonts w:ascii="宋体" w:hAnsi="宋体"/>
          <w:sz w:val="21"/>
          <w:szCs w:val="21"/>
        </w:rPr>
        <w:t>名称一致，不得以分支机构等其他名义提交。</w:t>
      </w:r>
      <w:r>
        <w:rPr>
          <w:rFonts w:hint="eastAsia" w:ascii="宋体" w:hAnsi="宋体"/>
          <w:b/>
          <w:sz w:val="21"/>
          <w:szCs w:val="21"/>
        </w:rPr>
        <w:t>当</w:t>
      </w:r>
      <w:r>
        <w:rPr>
          <w:rFonts w:hint="eastAsia" w:ascii="宋体" w:hAnsi="宋体"/>
          <w:b/>
          <w:sz w:val="21"/>
          <w:szCs w:val="21"/>
          <w:lang w:val="en-US" w:eastAsia="zh-CN"/>
        </w:rPr>
        <w:t>竞标</w:t>
      </w:r>
      <w:r>
        <w:rPr>
          <w:rFonts w:hint="eastAsia" w:ascii="宋体" w:hAnsi="宋体"/>
          <w:b/>
          <w:sz w:val="21"/>
          <w:szCs w:val="21"/>
        </w:rPr>
        <w:t>人为联合体时，可由联合体中的任一方缴纳，并在联合体协议书中明确。</w:t>
      </w:r>
    </w:p>
    <w:p>
      <w:pPr>
        <w:pStyle w:val="5"/>
        <w:keepNext/>
        <w:keepLines/>
        <w:pageBreakBefore w:val="0"/>
        <w:widowControl w:val="0"/>
        <w:kinsoku/>
        <w:wordWrap/>
        <w:overflowPunct/>
        <w:topLinePunct w:val="0"/>
        <w:autoSpaceDE/>
        <w:autoSpaceDN/>
        <w:bidi w:val="0"/>
        <w:adjustRightInd/>
        <w:snapToGrid/>
        <w:spacing w:before="20" w:after="20" w:line="420" w:lineRule="exact"/>
        <w:ind w:firstLine="420" w:firstLineChars="200"/>
        <w:textAlignment w:val="auto"/>
        <w:rPr>
          <w:rFonts w:hint="eastAsia" w:asciiTheme="minorEastAsia" w:hAnsiTheme="minorEastAsia" w:eastAsiaTheme="minorEastAsia" w:cstheme="minorEastAsia"/>
          <w:b w:val="0"/>
          <w:sz w:val="21"/>
          <w:szCs w:val="21"/>
          <w:lang w:eastAsia="zh-CN"/>
        </w:rPr>
      </w:pPr>
      <w:bookmarkStart w:id="30" w:name="_Toc28359018"/>
      <w:bookmarkStart w:id="31" w:name="_Toc35393805"/>
      <w:bookmarkStart w:id="32" w:name="_Toc28359095"/>
      <w:bookmarkStart w:id="33" w:name="_Toc35393636"/>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3</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bCs w:val="0"/>
          <w:sz w:val="21"/>
          <w:szCs w:val="21"/>
        </w:rPr>
        <w:t>发布媒体：中国政府采购网、广西壮族自治区政府采购网、</w:t>
      </w:r>
      <w:r>
        <w:rPr>
          <w:rFonts w:hint="eastAsia" w:asciiTheme="minorEastAsia" w:hAnsiTheme="minorEastAsia" w:eastAsiaTheme="minorEastAsia" w:cstheme="minorEastAsia"/>
          <w:b w:val="0"/>
          <w:bCs w:val="0"/>
          <w:kern w:val="0"/>
          <w:sz w:val="21"/>
          <w:szCs w:val="21"/>
        </w:rPr>
        <w:t>贺州市公共资源交易中心网</w:t>
      </w:r>
      <w:r>
        <w:rPr>
          <w:rFonts w:hint="eastAsia" w:asciiTheme="minorEastAsia" w:hAnsiTheme="minorEastAsia" w:eastAsiaTheme="minorEastAsia" w:cstheme="minorEastAsia"/>
          <w:b w:val="0"/>
          <w:bCs w:val="0"/>
          <w:sz w:val="21"/>
          <w:szCs w:val="21"/>
        </w:rPr>
        <w:t>。</w:t>
      </w:r>
    </w:p>
    <w:p>
      <w:pPr>
        <w:pStyle w:val="5"/>
        <w:keepNext/>
        <w:keepLines/>
        <w:pageBreakBefore w:val="0"/>
        <w:widowControl w:val="0"/>
        <w:kinsoku/>
        <w:wordWrap/>
        <w:overflowPunct/>
        <w:topLinePunct w:val="0"/>
        <w:autoSpaceDE/>
        <w:autoSpaceDN/>
        <w:bidi w:val="0"/>
        <w:adjustRightInd/>
        <w:snapToGrid/>
        <w:spacing w:before="20" w:after="20" w:line="420" w:lineRule="exac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八、凡对本次采购提出询问，请按以下方式联系。</w:t>
      </w:r>
      <w:bookmarkEnd w:id="30"/>
      <w:bookmarkEnd w:id="31"/>
      <w:bookmarkEnd w:id="32"/>
      <w:bookmarkEnd w:id="33"/>
    </w:p>
    <w:p>
      <w:pPr>
        <w:pStyle w:val="5"/>
        <w:keepNext/>
        <w:keepLines/>
        <w:pageBreakBefore w:val="0"/>
        <w:widowControl w:val="0"/>
        <w:kinsoku/>
        <w:wordWrap/>
        <w:overflowPunct/>
        <w:topLinePunct w:val="0"/>
        <w:autoSpaceDE/>
        <w:autoSpaceDN/>
        <w:bidi w:val="0"/>
        <w:adjustRightInd/>
        <w:snapToGrid/>
        <w:spacing w:before="20" w:after="20" w:line="420" w:lineRule="exact"/>
        <w:ind w:firstLine="210" w:firstLineChars="100"/>
        <w:textAlignment w:val="auto"/>
        <w:rPr>
          <w:rFonts w:hint="eastAsia" w:asciiTheme="minorEastAsia" w:hAnsiTheme="minorEastAsia" w:eastAsiaTheme="minorEastAsia" w:cstheme="minorEastAsia"/>
          <w:b w:val="0"/>
          <w:sz w:val="21"/>
          <w:szCs w:val="21"/>
        </w:rPr>
      </w:pPr>
      <w:bookmarkStart w:id="34" w:name="_Toc28359019"/>
      <w:bookmarkStart w:id="35" w:name="_Toc28359096"/>
      <w:bookmarkStart w:id="36" w:name="_Toc35393637"/>
      <w:bookmarkStart w:id="37" w:name="_Toc35393806"/>
      <w:r>
        <w:rPr>
          <w:rFonts w:hint="eastAsia" w:asciiTheme="minorEastAsia" w:hAnsiTheme="minorEastAsia" w:eastAsiaTheme="minorEastAsia" w:cstheme="minorEastAsia"/>
          <w:b w:val="0"/>
          <w:sz w:val="21"/>
          <w:szCs w:val="21"/>
        </w:rPr>
        <w:t>1.采购人信息</w:t>
      </w:r>
      <w:bookmarkEnd w:id="34"/>
      <w:bookmarkEnd w:id="35"/>
      <w:bookmarkEnd w:id="36"/>
      <w:bookmarkEnd w:id="37"/>
    </w:p>
    <w:p>
      <w:pPr>
        <w:pageBreakBefore w:val="0"/>
        <w:widowControl w:val="0"/>
        <w:kinsoku/>
        <w:wordWrap/>
        <w:overflowPunct/>
        <w:topLinePunct w:val="0"/>
        <w:autoSpaceDE/>
        <w:autoSpaceDN/>
        <w:bidi w:val="0"/>
        <w:adjustRightInd/>
        <w:snapToGrid/>
        <w:spacing w:line="420" w:lineRule="exact"/>
        <w:ind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r>
        <w:rPr>
          <w:rFonts w:hint="eastAsia" w:ascii="宋体" w:hAnsi="宋体" w:cs="宋体"/>
          <w:sz w:val="21"/>
          <w:szCs w:val="21"/>
        </w:rPr>
        <w:t>贺州市农业农村局</w:t>
      </w:r>
    </w:p>
    <w:p>
      <w:pPr>
        <w:pageBreakBefore w:val="0"/>
        <w:widowControl w:val="0"/>
        <w:kinsoku/>
        <w:wordWrap/>
        <w:overflowPunct/>
        <w:topLinePunct w:val="0"/>
        <w:autoSpaceDE/>
        <w:autoSpaceDN/>
        <w:bidi w:val="0"/>
        <w:adjustRightInd/>
        <w:snapToGrid/>
        <w:spacing w:line="420" w:lineRule="exact"/>
        <w:ind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r>
        <w:rPr>
          <w:rFonts w:hint="eastAsia"/>
          <w:sz w:val="21"/>
          <w:szCs w:val="21"/>
        </w:rPr>
        <w:t>贺州市八步区平安西路180号</w:t>
      </w:r>
    </w:p>
    <w:p>
      <w:pPr>
        <w:pageBreakBefore w:val="0"/>
        <w:widowControl w:val="0"/>
        <w:kinsoku/>
        <w:wordWrap/>
        <w:overflowPunct/>
        <w:topLinePunct w:val="0"/>
        <w:autoSpaceDE/>
        <w:autoSpaceDN/>
        <w:bidi w:val="0"/>
        <w:adjustRightInd/>
        <w:snapToGrid/>
        <w:spacing w:line="420" w:lineRule="exact"/>
        <w:ind w:firstLine="210" w:firstLineChars="1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r>
        <w:rPr>
          <w:rFonts w:hint="eastAsia"/>
          <w:sz w:val="21"/>
          <w:szCs w:val="21"/>
        </w:rPr>
        <w:t>廖曼玲</w:t>
      </w:r>
      <w:r>
        <w:rPr>
          <w:rFonts w:hint="eastAsia" w:asciiTheme="majorEastAsia" w:hAnsiTheme="majorEastAsia" w:eastAsiaTheme="majorEastAsia" w:cstheme="majorEastAsia"/>
          <w:sz w:val="21"/>
          <w:szCs w:val="21"/>
        </w:rPr>
        <w:t>/0774-5120238</w:t>
      </w:r>
    </w:p>
    <w:p>
      <w:pPr>
        <w:pStyle w:val="5"/>
        <w:keepNext/>
        <w:keepLines/>
        <w:pageBreakBefore w:val="0"/>
        <w:widowControl w:val="0"/>
        <w:kinsoku/>
        <w:wordWrap/>
        <w:overflowPunct/>
        <w:topLinePunct w:val="0"/>
        <w:autoSpaceDE/>
        <w:autoSpaceDN/>
        <w:bidi w:val="0"/>
        <w:adjustRightInd/>
        <w:snapToGrid/>
        <w:spacing w:before="20" w:after="20" w:line="420" w:lineRule="exact"/>
        <w:ind w:firstLine="210" w:firstLineChars="100"/>
        <w:textAlignment w:val="auto"/>
        <w:rPr>
          <w:rFonts w:hint="eastAsia" w:asciiTheme="minorEastAsia" w:hAnsiTheme="minorEastAsia" w:eastAsiaTheme="minorEastAsia" w:cstheme="minorEastAsia"/>
          <w:b w:val="0"/>
          <w:sz w:val="21"/>
          <w:szCs w:val="21"/>
        </w:rPr>
      </w:pPr>
      <w:bookmarkStart w:id="38" w:name="_Toc35393807"/>
      <w:bookmarkStart w:id="39" w:name="_Toc28359020"/>
      <w:bookmarkStart w:id="40" w:name="_Toc35393638"/>
      <w:bookmarkStart w:id="41" w:name="_Toc28359097"/>
      <w:r>
        <w:rPr>
          <w:rFonts w:hint="eastAsia" w:asciiTheme="minorEastAsia" w:hAnsiTheme="minorEastAsia" w:eastAsiaTheme="minorEastAsia" w:cstheme="minorEastAsia"/>
          <w:b w:val="0"/>
          <w:sz w:val="21"/>
          <w:szCs w:val="21"/>
        </w:rPr>
        <w:t>2.采购代理机构信息</w:t>
      </w:r>
      <w:bookmarkEnd w:id="38"/>
      <w:bookmarkEnd w:id="39"/>
      <w:bookmarkEnd w:id="40"/>
      <w:bookmarkEnd w:id="41"/>
    </w:p>
    <w:p>
      <w:pPr>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sz w:val="21"/>
          <w:szCs w:val="21"/>
        </w:rPr>
      </w:pPr>
      <w:r>
        <w:rPr>
          <w:rFonts w:hint="eastAsia" w:asciiTheme="minorEastAsia" w:hAnsiTheme="minorEastAsia" w:eastAsiaTheme="minorEastAsia" w:cstheme="minorEastAsia"/>
          <w:sz w:val="21"/>
          <w:szCs w:val="21"/>
        </w:rPr>
        <w:t>名    称：</w:t>
      </w:r>
      <w:r>
        <w:rPr>
          <w:rFonts w:hint="eastAsia"/>
          <w:sz w:val="21"/>
          <w:szCs w:val="21"/>
        </w:rPr>
        <w:t>广东展诚工程咨询有限公司</w:t>
      </w:r>
    </w:p>
    <w:p>
      <w:pPr>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sz w:val="21"/>
          <w:szCs w:val="21"/>
        </w:rPr>
      </w:pPr>
      <w:r>
        <w:rPr>
          <w:rFonts w:hint="eastAsia" w:asciiTheme="minorEastAsia" w:hAnsiTheme="minorEastAsia" w:eastAsiaTheme="minorEastAsia" w:cstheme="minorEastAsia"/>
          <w:sz w:val="21"/>
          <w:szCs w:val="21"/>
        </w:rPr>
        <w:t>地　　址：</w:t>
      </w:r>
      <w:r>
        <w:rPr>
          <w:rFonts w:hint="eastAsia"/>
          <w:sz w:val="21"/>
          <w:szCs w:val="21"/>
        </w:rPr>
        <w:t>贺州市八步区城东街道灵凤村城东新区太安路B地块128号4楼</w:t>
      </w:r>
    </w:p>
    <w:p>
      <w:pPr>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联系方式：</w:t>
      </w:r>
      <w:r>
        <w:rPr>
          <w:rFonts w:hint="eastAsia" w:asciiTheme="majorEastAsia" w:hAnsiTheme="majorEastAsia" w:eastAsiaTheme="majorEastAsia" w:cstheme="majorEastAsia"/>
          <w:sz w:val="21"/>
          <w:szCs w:val="21"/>
        </w:rPr>
        <w:t>0774-5200517</w:t>
      </w:r>
    </w:p>
    <w:p>
      <w:pPr>
        <w:pStyle w:val="5"/>
        <w:keepNext/>
        <w:keepLines/>
        <w:pageBreakBefore w:val="0"/>
        <w:widowControl w:val="0"/>
        <w:kinsoku/>
        <w:wordWrap/>
        <w:overflowPunct/>
        <w:topLinePunct w:val="0"/>
        <w:autoSpaceDE/>
        <w:autoSpaceDN/>
        <w:bidi w:val="0"/>
        <w:adjustRightInd/>
        <w:snapToGrid/>
        <w:spacing w:before="20" w:after="20" w:line="420" w:lineRule="exact"/>
        <w:ind w:firstLine="210" w:firstLineChars="100"/>
        <w:textAlignment w:val="auto"/>
        <w:rPr>
          <w:rFonts w:hint="eastAsia" w:asciiTheme="minorEastAsia" w:hAnsiTheme="minorEastAsia" w:eastAsiaTheme="minorEastAsia" w:cstheme="minorEastAsia"/>
          <w:b w:val="0"/>
          <w:sz w:val="21"/>
          <w:szCs w:val="21"/>
        </w:rPr>
      </w:pPr>
      <w:bookmarkStart w:id="42" w:name="_Toc28359021"/>
      <w:bookmarkStart w:id="43" w:name="_Toc28359098"/>
      <w:bookmarkStart w:id="44" w:name="_Toc35393639"/>
      <w:bookmarkStart w:id="45" w:name="_Toc35393808"/>
      <w:r>
        <w:rPr>
          <w:rFonts w:hint="eastAsia" w:asciiTheme="minorEastAsia" w:hAnsiTheme="minorEastAsia" w:eastAsiaTheme="minorEastAsia" w:cstheme="minorEastAsia"/>
          <w:b w:val="0"/>
          <w:sz w:val="21"/>
          <w:szCs w:val="21"/>
        </w:rPr>
        <w:t>3.项目联系方式</w:t>
      </w:r>
      <w:bookmarkEnd w:id="42"/>
      <w:bookmarkEnd w:id="43"/>
      <w:bookmarkEnd w:id="44"/>
      <w:bookmarkEnd w:id="45"/>
    </w:p>
    <w:p>
      <w:pPr>
        <w:pStyle w:val="12"/>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项目联系人：</w:t>
      </w:r>
      <w:r>
        <w:rPr>
          <w:rFonts w:hint="eastAsia" w:asciiTheme="minorEastAsia" w:hAnsiTheme="minorEastAsia" w:cstheme="minorEastAsia"/>
          <w:sz w:val="21"/>
          <w:szCs w:val="21"/>
          <w:u w:val="none"/>
          <w:lang w:val="en-US" w:eastAsia="zh-CN"/>
        </w:rPr>
        <w:t>莫辉</w:t>
      </w:r>
    </w:p>
    <w:p>
      <w:pPr>
        <w:pageBreakBefore w:val="0"/>
        <w:widowControl w:val="0"/>
        <w:kinsoku/>
        <w:wordWrap/>
        <w:overflowPunct/>
        <w:topLinePunct w:val="0"/>
        <w:autoSpaceDE/>
        <w:autoSpaceDN/>
        <w:bidi w:val="0"/>
        <w:adjustRightInd/>
        <w:snapToGrid/>
        <w:spacing w:line="420" w:lineRule="exact"/>
        <w:ind w:firstLine="210" w:firstLineChars="100"/>
        <w:textAlignment w:val="auto"/>
        <w:rPr>
          <w:sz w:val="21"/>
          <w:szCs w:val="21"/>
        </w:rPr>
      </w:pPr>
      <w:r>
        <w:rPr>
          <w:rFonts w:hint="eastAsia" w:asciiTheme="minorEastAsia" w:hAnsiTheme="minorEastAsia" w:eastAsiaTheme="minorEastAsia" w:cstheme="minorEastAsia"/>
          <w:sz w:val="21"/>
          <w:szCs w:val="21"/>
        </w:rPr>
        <w:t>电　　 话：</w:t>
      </w:r>
      <w:r>
        <w:rPr>
          <w:rFonts w:hint="eastAsia" w:asciiTheme="majorEastAsia" w:hAnsiTheme="majorEastAsia" w:eastAsiaTheme="majorEastAsia" w:cstheme="majorEastAsia"/>
          <w:sz w:val="21"/>
          <w:szCs w:val="21"/>
        </w:rPr>
        <w:t>0774-5200517</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color w:val="auto"/>
          <w:sz w:val="21"/>
          <w:szCs w:val="21"/>
        </w:rPr>
      </w:pPr>
      <w:r>
        <w:rPr>
          <w:rFonts w:hint="eastAsia" w:ascii="宋体" w:hAnsi="宋体" w:cs="宋体"/>
          <w:color w:val="auto"/>
          <w:sz w:val="21"/>
          <w:szCs w:val="21"/>
        </w:rPr>
        <w:t>采购单位: 贺州市农业农村局</w:t>
      </w:r>
    </w:p>
    <w:p>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hAnsi="宋体"/>
          <w:color w:val="auto"/>
          <w:sz w:val="21"/>
          <w:szCs w:val="21"/>
        </w:rPr>
      </w:pPr>
    </w:p>
    <w:p>
      <w:pPr>
        <w:pStyle w:val="10"/>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hAnsi="宋体"/>
          <w:color w:val="auto"/>
          <w:sz w:val="21"/>
          <w:szCs w:val="21"/>
        </w:rPr>
      </w:pPr>
      <w:r>
        <w:rPr>
          <w:rFonts w:hint="eastAsia" w:hAnsi="宋体"/>
          <w:color w:val="auto"/>
          <w:sz w:val="21"/>
          <w:szCs w:val="21"/>
        </w:rPr>
        <w:t>采购代理机构:广东展诚工程咨询有限公司</w:t>
      </w:r>
    </w:p>
    <w:p>
      <w:pPr>
        <w:pStyle w:val="10"/>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hAnsi="宋体"/>
          <w:color w:val="auto"/>
          <w:sz w:val="21"/>
          <w:szCs w:val="21"/>
        </w:rPr>
      </w:pPr>
      <w:r>
        <w:rPr>
          <w:rFonts w:hint="eastAsia"/>
          <w:color w:val="auto"/>
          <w:sz w:val="21"/>
          <w:szCs w:val="21"/>
        </w:rPr>
        <w:t>日期：</w:t>
      </w:r>
      <w:r>
        <w:rPr>
          <w:rFonts w:hint="eastAsia" w:ascii="宋体" w:hAnsi="宋体" w:cs="宋体"/>
          <w:color w:val="auto"/>
          <w:sz w:val="21"/>
          <w:szCs w:val="21"/>
          <w:highlight w:val="none"/>
        </w:rPr>
        <w:t xml:space="preserve">2020年 </w:t>
      </w:r>
      <w:r>
        <w:rPr>
          <w:rFonts w:hint="eastAsia" w:ascii="宋体" w:hAnsi="宋体" w:cs="宋体"/>
          <w:color w:val="auto"/>
          <w:sz w:val="21"/>
          <w:szCs w:val="21"/>
          <w:highlight w:val="none"/>
          <w:lang w:val="en-US" w:eastAsia="zh-CN"/>
        </w:rPr>
        <w:t>07</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 xml:space="preserve">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27" w:lineRule="atLeast"/>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0"/>
          <w:sz w:val="28"/>
          <w:szCs w:val="28"/>
          <w:lang w:val="en-US" w:eastAsia="zh-CN" w:bidi="ar"/>
        </w:rPr>
        <w:t>附：联合体协议书格式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360" w:lineRule="exact"/>
        <w:jc w:val="center"/>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b/>
          <w:color w:val="auto"/>
          <w:kern w:val="0"/>
          <w:sz w:val="21"/>
          <w:szCs w:val="21"/>
          <w:lang w:val="en-US" w:eastAsia="zh-CN" w:bidi="ar"/>
        </w:rPr>
        <w:t>联合体协议书（联合体磋商时适用）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left="210" w:leftChars="100" w:firstLine="210" w:firstLineChars="100"/>
        <w:jc w:val="left"/>
        <w:textAlignment w:val="auto"/>
        <w:rPr>
          <w:rFonts w:hint="eastAsia" w:asciiTheme="minorEastAsia" w:hAnsiTheme="minorEastAsia" w:eastAsiaTheme="minorEastAsia" w:cstheme="minorEastAsia"/>
          <w:color w:val="auto"/>
          <w:kern w:val="0"/>
          <w:sz w:val="21"/>
          <w:szCs w:val="21"/>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left="210" w:leftChars="100" w:firstLine="210" w:firstLineChars="1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鉴于上述各成员单位经过友好协商，自愿组成</w:t>
      </w:r>
      <w:r>
        <w:rPr>
          <w:rFonts w:hint="eastAsia" w:asciiTheme="minorEastAsia" w:hAnsiTheme="minorEastAsia" w:eastAsiaTheme="minorEastAsia" w:cstheme="minorEastAsia"/>
          <w:color w:val="auto"/>
          <w:kern w:val="0"/>
          <w:sz w:val="21"/>
          <w:szCs w:val="21"/>
          <w:u w:val="single"/>
          <w:lang w:val="en-US" w:eastAsia="zh-CN" w:bidi="ar"/>
        </w:rPr>
        <w:t xml:space="preserve">                  （联合体名称）</w:t>
      </w:r>
      <w:r>
        <w:rPr>
          <w:rFonts w:hint="eastAsia" w:asciiTheme="minorEastAsia" w:hAnsiTheme="minorEastAsia" w:eastAsiaTheme="minorEastAsia" w:cstheme="minorEastAsia"/>
          <w:color w:val="auto"/>
          <w:kern w:val="0"/>
          <w:sz w:val="21"/>
          <w:szCs w:val="21"/>
          <w:lang w:val="en-US" w:eastAsia="zh-CN" w:bidi="ar"/>
        </w:rPr>
        <w:t>联合体，共同参加</w:t>
      </w:r>
      <w:r>
        <w:rPr>
          <w:rFonts w:hint="eastAsia" w:asciiTheme="minorEastAsia" w:hAnsiTheme="minorEastAsia" w:eastAsiaTheme="minorEastAsia" w:cstheme="minorEastAsia"/>
          <w:color w:val="auto"/>
          <w:kern w:val="0"/>
          <w:sz w:val="21"/>
          <w:szCs w:val="21"/>
          <w:u w:val="single"/>
          <w:lang w:val="en-US" w:eastAsia="zh-CN" w:bidi="ar"/>
        </w:rPr>
        <w:t xml:space="preserve">（项目名称）                 </w:t>
      </w:r>
      <w:r>
        <w:rPr>
          <w:rFonts w:hint="eastAsia" w:asciiTheme="minorEastAsia" w:hAnsiTheme="minorEastAsia" w:eastAsiaTheme="minorEastAsia" w:cstheme="minorEastAsia"/>
          <w:color w:val="auto"/>
          <w:kern w:val="0"/>
          <w:sz w:val="21"/>
          <w:szCs w:val="21"/>
          <w:lang w:val="en-US" w:eastAsia="zh-CN" w:bidi="ar"/>
        </w:rPr>
        <w:t>的磋商并争取赢得本项目包合同（以下简称合同）。现就联合体磋商事宜订立如下协议：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w:t>
      </w:r>
      <w:r>
        <w:rPr>
          <w:rFonts w:hint="eastAsia" w:asciiTheme="minorEastAsia" w:hAnsiTheme="minorEastAsia" w:eastAsiaTheme="minorEastAsia" w:cstheme="minorEastAsia"/>
          <w:color w:val="auto"/>
          <w:kern w:val="0"/>
          <w:sz w:val="21"/>
          <w:szCs w:val="21"/>
          <w:u w:val="single"/>
          <w:lang w:val="en-US" w:eastAsia="zh-CN" w:bidi="ar"/>
        </w:rPr>
        <w:t xml:space="preserve">（磋商单位名称）               </w:t>
      </w:r>
      <w:r>
        <w:rPr>
          <w:rFonts w:hint="eastAsia" w:asciiTheme="minorEastAsia" w:hAnsiTheme="minorEastAsia" w:eastAsiaTheme="minorEastAsia" w:cstheme="minorEastAsia"/>
          <w:color w:val="auto"/>
          <w:kern w:val="0"/>
          <w:sz w:val="21"/>
          <w:szCs w:val="21"/>
          <w:lang w:val="en-US" w:eastAsia="zh-CN" w:bidi="ar"/>
        </w:rPr>
        <w:t>为</w:t>
      </w:r>
      <w:r>
        <w:rPr>
          <w:rFonts w:hint="eastAsia" w:asciiTheme="minorEastAsia" w:hAnsiTheme="minorEastAsia" w:eastAsiaTheme="minorEastAsia" w:cstheme="minorEastAsia"/>
          <w:color w:val="auto"/>
          <w:kern w:val="0"/>
          <w:sz w:val="21"/>
          <w:szCs w:val="21"/>
          <w:u w:val="single"/>
          <w:lang w:val="en-US" w:eastAsia="zh-CN" w:bidi="ar"/>
        </w:rPr>
        <w:t xml:space="preserve">（联合体名称）                   </w:t>
      </w:r>
      <w:r>
        <w:rPr>
          <w:rFonts w:hint="eastAsia" w:asciiTheme="minorEastAsia" w:hAnsiTheme="minorEastAsia" w:eastAsiaTheme="minorEastAsia" w:cstheme="minorEastAsia"/>
          <w:color w:val="auto"/>
          <w:kern w:val="0"/>
          <w:sz w:val="21"/>
          <w:szCs w:val="21"/>
          <w:lang w:val="en-US" w:eastAsia="zh-CN" w:bidi="ar"/>
        </w:rPr>
        <w:t>牵头人。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在本项目磋商阶段，联合体牵头人合法代表联合体各成员负责本工程磋商文件编制活动，代表联合体提交和接收相关的资料、信息及指示，并处理与磋商和中标有关的一切事务；联合体中标后，联合体牵头人负责合同订立和合同实施阶段的主办、组织和协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联合体将严格按照招标文件的各项要求，递交磋商文件，履行磋商义务和中标后的合同，共同承担合同规定的一切义务和责任，联合体各成员单位按照内部职责的部分，承担各自所负的责任和风险，并向采购人承担连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4．联合体各成员单位内部的职责分工如下：</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u w:val="none"/>
          <w:lang w:val="en-US" w:eastAsia="zh-CN" w:bidi="ar"/>
        </w:rPr>
        <w:t>，</w:t>
      </w:r>
      <w:r>
        <w:rPr>
          <w:rFonts w:hint="eastAsia" w:ascii="宋体" w:hAnsi="宋体"/>
          <w:szCs w:val="21"/>
        </w:rPr>
        <w:t>且</w:t>
      </w:r>
      <w:r>
        <w:rPr>
          <w:rFonts w:hint="eastAsia" w:ascii="宋体" w:hAnsi="宋体"/>
          <w:szCs w:val="21"/>
          <w:lang w:val="en-US" w:eastAsia="zh-CN"/>
        </w:rPr>
        <w:t>磋商</w:t>
      </w:r>
      <w:r>
        <w:rPr>
          <w:rFonts w:hint="eastAsia" w:ascii="宋体" w:hAnsi="宋体"/>
          <w:szCs w:val="21"/>
        </w:rPr>
        <w:t>保证金由</w:t>
      </w:r>
      <w:r>
        <w:rPr>
          <w:rFonts w:hint="eastAsia" w:ascii="宋体" w:hAnsi="宋体"/>
          <w:szCs w:val="21"/>
          <w:u w:val="single"/>
        </w:rPr>
        <w:t xml:space="preserve">        </w:t>
      </w:r>
      <w:r>
        <w:rPr>
          <w:rFonts w:hint="eastAsia" w:ascii="宋体" w:hAnsi="宋体"/>
          <w:szCs w:val="21"/>
        </w:rPr>
        <w:t>（某成员单位名称）缴纳。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5．磋商工作和联合体在中标后工程实施过程中的有关费用按各自承担的工作量分摊。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6．联合体中标后，本联合体协议是合同的附件，对联合体各成员单位有合同约束力。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7．本协议书自签署之日起生效，联合体未中标或者中标时合同履行完毕后自动失效。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8．本协议书一式</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份，联合体成员和采购人各执</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 xml:space="preserve"> 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牵头人名称：（盖单位章）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法定代表人或或授权委托代理人签字：（签字）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成员名称：（盖单位章）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法定代表人或或授权委托代理人签字：（签字）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ind w:firstLine="630" w:firstLineChars="3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 xml:space="preserve">    </w:t>
      </w:r>
      <w:r>
        <w:rPr>
          <w:rFonts w:hint="eastAsia" w:asciiTheme="minorEastAsia" w:hAnsiTheme="minorEastAsia" w:eastAsiaTheme="minorEastAsia" w:cstheme="minorEastAsia"/>
          <w:b/>
          <w:bCs/>
          <w:color w:val="auto"/>
          <w:kern w:val="0"/>
          <w:sz w:val="21"/>
          <w:szCs w:val="21"/>
          <w:lang w:val="en-US" w:eastAsia="zh-CN" w:bidi="ar"/>
        </w:rPr>
        <w:t>【备注：本协议书由委托代理人签字的，应附法定代表人签字的授权委托书】</w:t>
      </w:r>
    </w:p>
    <w:p>
      <w:pPr>
        <w:pStyle w:val="12"/>
        <w:keepNext w:val="0"/>
        <w:keepLines w:val="0"/>
        <w:pageBreakBefore w:val="0"/>
        <w:kinsoku/>
        <w:wordWrap/>
        <w:overflowPunct/>
        <w:topLinePunct w:val="0"/>
        <w:autoSpaceDE/>
        <w:autoSpaceDN/>
        <w:bidi w:val="0"/>
        <w:adjustRightInd/>
        <w:snapToGrid/>
        <w:spacing w:after="120" w:line="360" w:lineRule="exact"/>
        <w:textAlignment w:val="auto"/>
        <w:outlineLvl w:val="0"/>
        <w:rPr>
          <w:rFonts w:ascii="黑体" w:hAnsi="华文仿宋" w:eastAsia="黑体"/>
          <w:b/>
          <w:sz w:val="32"/>
          <w:szCs w:val="32"/>
        </w:rPr>
      </w:pPr>
    </w:p>
    <w:p>
      <w:pPr>
        <w:pStyle w:val="12"/>
        <w:spacing w:line="400" w:lineRule="exact"/>
        <w:rPr>
          <w:rFonts w:ascii="金山简隶书" w:eastAsia="金山简隶书"/>
          <w:b/>
        </w:rPr>
      </w:pPr>
    </w:p>
    <w:p>
      <w:pPr>
        <w:pStyle w:val="12"/>
        <w:spacing w:line="400" w:lineRule="exact"/>
        <w:rPr>
          <w:rFonts w:ascii="金山简隶书" w:eastAsia="金山简隶书"/>
          <w:b/>
        </w:rPr>
      </w:pPr>
    </w:p>
    <w:p>
      <w:pPr>
        <w:pStyle w:val="12"/>
        <w:spacing w:line="400" w:lineRule="exact"/>
        <w:rPr>
          <w:rFonts w:ascii="金山简隶书" w:eastAsia="金山简隶书"/>
          <w:b/>
        </w:rPr>
      </w:pPr>
    </w:p>
    <w:p>
      <w:pPr>
        <w:pStyle w:val="12"/>
        <w:spacing w:line="400" w:lineRule="exact"/>
        <w:rPr>
          <w:rFonts w:ascii="金山简隶书" w:eastAsia="金山简隶书"/>
          <w:b/>
        </w:rPr>
      </w:pPr>
    </w:p>
    <w:p>
      <w:pPr>
        <w:pStyle w:val="12"/>
        <w:spacing w:line="400" w:lineRule="exact"/>
        <w:rPr>
          <w:rFonts w:ascii="金山简隶书" w:eastAsia="金山简隶书"/>
          <w:b/>
        </w:rPr>
      </w:pPr>
    </w:p>
    <w:p>
      <w:pPr>
        <w:pStyle w:val="4"/>
        <w:spacing w:line="560" w:lineRule="exact"/>
        <w:jc w:val="both"/>
        <w:rPr>
          <w:rFonts w:hint="eastAsia" w:ascii="宋体" w:hAnsi="宋体" w:cs="宋体"/>
          <w:bCs/>
          <w:sz w:val="44"/>
        </w:rPr>
      </w:pPr>
      <w:bookmarkStart w:id="46" w:name="_Toc185702546"/>
      <w:bookmarkStart w:id="47" w:name="_Toc147248396"/>
      <w:bookmarkStart w:id="48" w:name="_Toc185702968"/>
      <w:bookmarkStart w:id="49" w:name="_Toc156106929"/>
      <w:bookmarkStart w:id="50" w:name="_Toc239839860"/>
      <w:bookmarkStart w:id="51" w:name="_Toc489352126"/>
    </w:p>
    <w:p>
      <w:pPr>
        <w:pStyle w:val="4"/>
        <w:spacing w:line="560" w:lineRule="exact"/>
        <w:jc w:val="center"/>
        <w:rPr>
          <w:rFonts w:hint="eastAsia" w:ascii="宋体" w:hAnsi="宋体" w:cs="宋体"/>
          <w:bCs/>
          <w:sz w:val="44"/>
        </w:rPr>
      </w:pPr>
    </w:p>
    <w:p>
      <w:pPr>
        <w:pStyle w:val="4"/>
        <w:spacing w:line="560" w:lineRule="exact"/>
        <w:jc w:val="center"/>
        <w:rPr>
          <w:rFonts w:hint="eastAsia" w:ascii="宋体" w:hAnsi="宋体" w:cs="宋体"/>
          <w:bCs/>
          <w:sz w:val="44"/>
        </w:rPr>
      </w:pPr>
    </w:p>
    <w:p>
      <w:pPr>
        <w:pStyle w:val="4"/>
        <w:spacing w:line="560" w:lineRule="exact"/>
        <w:jc w:val="center"/>
        <w:rPr>
          <w:rFonts w:ascii="宋体" w:hAnsi="宋体" w:cs="宋体"/>
          <w:bCs/>
          <w:sz w:val="44"/>
        </w:rPr>
      </w:pPr>
      <w:r>
        <w:rPr>
          <w:rFonts w:hint="eastAsia" w:ascii="宋体" w:hAnsi="宋体" w:cs="宋体"/>
          <w:bCs/>
          <w:sz w:val="44"/>
        </w:rPr>
        <w:t>第一章   竞标人须知及前附表</w:t>
      </w:r>
      <w:bookmarkEnd w:id="46"/>
      <w:bookmarkEnd w:id="47"/>
      <w:bookmarkEnd w:id="48"/>
      <w:bookmarkEnd w:id="49"/>
      <w:bookmarkEnd w:id="50"/>
      <w:bookmarkEnd w:id="51"/>
    </w:p>
    <w:p>
      <w:pPr>
        <w:pStyle w:val="12"/>
        <w:spacing w:line="400" w:lineRule="exact"/>
        <w:rPr>
          <w:rFonts w:ascii="金山简隶书" w:eastAsia="金山简隶书"/>
          <w:b/>
        </w:rPr>
      </w:pPr>
    </w:p>
    <w:p>
      <w:pPr>
        <w:pStyle w:val="12"/>
        <w:spacing w:line="400" w:lineRule="exact"/>
        <w:rPr>
          <w:rFonts w:ascii="金山简隶书" w:eastAsia="金山简隶书"/>
          <w:b/>
        </w:rPr>
      </w:pPr>
    </w:p>
    <w:p>
      <w:pPr>
        <w:pStyle w:val="12"/>
        <w:spacing w:line="380" w:lineRule="exact"/>
        <w:jc w:val="center"/>
      </w:pPr>
      <w:r>
        <w:t xml:space="preserve"> </w:t>
      </w:r>
    </w:p>
    <w:p>
      <w:pPr>
        <w:pStyle w:val="32"/>
        <w:spacing w:line="140" w:lineRule="exact"/>
        <w:rPr>
          <w:sz w:val="32"/>
        </w:rPr>
      </w:pPr>
      <w:r>
        <w:br w:type="page"/>
      </w:r>
    </w:p>
    <w:p>
      <w:pPr>
        <w:pStyle w:val="4"/>
        <w:spacing w:line="360" w:lineRule="exact"/>
        <w:jc w:val="center"/>
        <w:rPr>
          <w:rFonts w:ascii="宋体" w:hAnsi="宋体"/>
          <w:bCs/>
          <w:sz w:val="32"/>
        </w:rPr>
      </w:pPr>
      <w:bookmarkStart w:id="52" w:name="_Toc239839861"/>
      <w:bookmarkStart w:id="53" w:name="_Toc207770833"/>
      <w:bookmarkStart w:id="54" w:name="_Toc185702547"/>
      <w:bookmarkStart w:id="55" w:name="_Toc444005979"/>
      <w:bookmarkStart w:id="56" w:name="_Toc489352127"/>
      <w:bookmarkStart w:id="57" w:name="_Toc206525680"/>
      <w:bookmarkStart w:id="58" w:name="_Toc230578055"/>
      <w:r>
        <w:rPr>
          <w:rFonts w:hint="eastAsia" w:ascii="宋体" w:hAnsi="宋体"/>
          <w:bCs/>
          <w:sz w:val="32"/>
        </w:rPr>
        <w:t>竞标人须知前附表</w:t>
      </w:r>
      <w:bookmarkEnd w:id="52"/>
      <w:bookmarkEnd w:id="53"/>
      <w:bookmarkEnd w:id="54"/>
      <w:bookmarkEnd w:id="55"/>
      <w:bookmarkEnd w:id="56"/>
      <w:bookmarkEnd w:id="57"/>
      <w:bookmarkEnd w:id="58"/>
    </w:p>
    <w:p>
      <w:pPr>
        <w:pStyle w:val="32"/>
        <w:spacing w:line="140" w:lineRule="exact"/>
        <w:rPr>
          <w:sz w:val="32"/>
        </w:rPr>
      </w:pPr>
    </w:p>
    <w:tbl>
      <w:tblPr>
        <w:tblStyle w:val="1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70"/>
        <w:gridCol w:w="7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536" w:type="dxa"/>
            <w:vAlign w:val="center"/>
          </w:tcPr>
          <w:p>
            <w:pPr>
              <w:pStyle w:val="32"/>
              <w:snapToGrid w:val="0"/>
              <w:ind w:left="-105" w:leftChars="-50" w:right="-105" w:rightChars="-50"/>
              <w:jc w:val="center"/>
              <w:rPr>
                <w:rFonts w:hAnsi="宋体"/>
                <w:sz w:val="21"/>
                <w:szCs w:val="21"/>
              </w:rPr>
            </w:pPr>
            <w:r>
              <w:rPr>
                <w:rFonts w:hint="eastAsia" w:hAnsi="宋体"/>
                <w:sz w:val="21"/>
                <w:szCs w:val="21"/>
              </w:rPr>
              <w:t>序号</w:t>
            </w:r>
          </w:p>
        </w:tc>
        <w:tc>
          <w:tcPr>
            <w:tcW w:w="1070" w:type="dxa"/>
            <w:vAlign w:val="center"/>
          </w:tcPr>
          <w:p>
            <w:pPr>
              <w:pStyle w:val="32"/>
              <w:snapToGrid w:val="0"/>
              <w:ind w:left="-105" w:leftChars="-50" w:right="-105" w:rightChars="-50"/>
              <w:jc w:val="center"/>
              <w:rPr>
                <w:rFonts w:hAnsi="宋体"/>
                <w:sz w:val="21"/>
                <w:szCs w:val="21"/>
              </w:rPr>
            </w:pPr>
            <w:r>
              <w:rPr>
                <w:rFonts w:hint="eastAsia" w:hAnsi="宋体"/>
                <w:sz w:val="21"/>
                <w:szCs w:val="21"/>
              </w:rPr>
              <w:t>条款号</w:t>
            </w:r>
          </w:p>
        </w:tc>
        <w:tc>
          <w:tcPr>
            <w:tcW w:w="7911" w:type="dxa"/>
            <w:vAlign w:val="center"/>
          </w:tcPr>
          <w:p>
            <w:pPr>
              <w:pStyle w:val="32"/>
              <w:snapToGrid w:val="0"/>
              <w:jc w:val="center"/>
              <w:rPr>
                <w:rFonts w:hAnsi="宋体"/>
                <w:sz w:val="21"/>
                <w:szCs w:val="21"/>
              </w:rPr>
            </w:pPr>
            <w:r>
              <w:rPr>
                <w:rFonts w:hint="eastAsia" w:hAnsi="宋体"/>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w:t>
            </w: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1.1</w:t>
            </w:r>
          </w:p>
        </w:tc>
        <w:tc>
          <w:tcPr>
            <w:tcW w:w="7911" w:type="dxa"/>
            <w:vAlign w:val="center"/>
          </w:tcPr>
          <w:p>
            <w:pPr>
              <w:spacing w:line="380" w:lineRule="exact"/>
              <w:rPr>
                <w:rFonts w:ascii="宋体" w:hAnsi="宋体" w:cs="宋体"/>
                <w:bCs/>
                <w:sz w:val="21"/>
                <w:szCs w:val="21"/>
              </w:rPr>
            </w:pPr>
            <w:r>
              <w:rPr>
                <w:rFonts w:hint="eastAsia" w:hAnsi="宋体" w:cs="宋体"/>
                <w:sz w:val="21"/>
                <w:szCs w:val="21"/>
              </w:rPr>
              <w:t>项目名称：</w:t>
            </w:r>
            <w:r>
              <w:rPr>
                <w:rFonts w:hint="eastAsia" w:ascii="宋体" w:hAnsi="宋体" w:cs="宋体"/>
                <w:bCs/>
                <w:sz w:val="21"/>
                <w:szCs w:val="21"/>
              </w:rPr>
              <w:t>2020年贺州市农用地安全利用项目</w:t>
            </w:r>
          </w:p>
          <w:p>
            <w:pPr>
              <w:rPr>
                <w:rFonts w:ascii="宋体" w:hAnsi="宋体" w:cs="宋体"/>
                <w:bCs/>
                <w:sz w:val="21"/>
                <w:szCs w:val="21"/>
              </w:rPr>
            </w:pPr>
            <w:r>
              <w:rPr>
                <w:rFonts w:hint="eastAsia" w:hAnsi="宋体"/>
                <w:sz w:val="21"/>
                <w:szCs w:val="21"/>
              </w:rPr>
              <w:t>项目编号：</w:t>
            </w:r>
            <w:r>
              <w:rPr>
                <w:rFonts w:hint="eastAsia" w:asciiTheme="minorEastAsia" w:hAnsiTheme="minorEastAsia" w:eastAsiaTheme="minorEastAsia" w:cstheme="minorEastAsia"/>
                <w:b w:val="0"/>
                <w:bCs w:val="0"/>
                <w:color w:val="auto"/>
                <w:sz w:val="21"/>
                <w:szCs w:val="21"/>
                <w:highlight w:val="none"/>
              </w:rPr>
              <w:t>HZZC2020-C3-000312-GDZC</w:t>
            </w:r>
          </w:p>
          <w:p>
            <w:pPr>
              <w:pStyle w:val="12"/>
              <w:spacing w:line="380" w:lineRule="exact"/>
              <w:rPr>
                <w:sz w:val="21"/>
                <w:szCs w:val="21"/>
              </w:rPr>
            </w:pPr>
            <w:r>
              <w:rPr>
                <w:rFonts w:hint="eastAsia" w:hAnsi="宋体" w:cs="宋体"/>
                <w:sz w:val="21"/>
                <w:szCs w:val="21"/>
              </w:rPr>
              <w:t>采购</w:t>
            </w:r>
            <w:r>
              <w:rPr>
                <w:rFonts w:hint="eastAsia" w:hAnsi="宋体" w:cs="宋体"/>
                <w:sz w:val="21"/>
                <w:szCs w:val="21"/>
                <w:lang w:val="en-US" w:eastAsia="zh-CN"/>
              </w:rPr>
              <w:t>范围</w:t>
            </w:r>
            <w:r>
              <w:rPr>
                <w:rFonts w:hint="eastAsia" w:hAnsi="宋体" w:cs="宋体"/>
                <w:sz w:val="21"/>
                <w:szCs w:val="21"/>
              </w:rPr>
              <w:t>：</w:t>
            </w:r>
            <w:r>
              <w:rPr>
                <w:rFonts w:hint="eastAsia" w:hAnsi="宋体" w:cs="宋体"/>
                <w:bCs/>
                <w:sz w:val="21"/>
                <w:szCs w:val="21"/>
              </w:rPr>
              <w:t>2020年贺州市农用地安全利用项目</w:t>
            </w:r>
            <w:r>
              <w:rPr>
                <w:rFonts w:hint="eastAsia" w:hAnsi="宋体"/>
                <w:color w:val="000000" w:themeColor="text1"/>
                <w:sz w:val="21"/>
                <w:szCs w:val="21"/>
                <w14:textFill>
                  <w14:solidFill>
                    <w14:schemeClr w14:val="tx1"/>
                  </w14:solidFill>
                </w14:textFill>
              </w:rPr>
              <w:t>（具体内容详见竞争性磋商文件</w:t>
            </w:r>
            <w:r>
              <w:rPr>
                <w:rFonts w:hint="eastAsia" w:hAnsi="宋体"/>
                <w:color w:val="000000" w:themeColor="text1"/>
                <w:sz w:val="21"/>
                <w:szCs w:val="21"/>
                <w:lang w:val="en-US" w:eastAsia="zh-CN"/>
                <w14:textFill>
                  <w14:solidFill>
                    <w14:schemeClr w14:val="tx1"/>
                  </w14:solidFill>
                </w14:textFill>
              </w:rPr>
              <w:t>及技术参数</w:t>
            </w:r>
            <w:r>
              <w:rPr>
                <w:rFonts w:hint="eastAsia" w:hAnsi="宋体"/>
                <w:color w:val="000000" w:themeColor="text1"/>
                <w:sz w:val="21"/>
                <w:szCs w:val="21"/>
                <w14:textFill>
                  <w14:solidFill>
                    <w14:schemeClr w14:val="tx1"/>
                  </w14:solidFill>
                </w14:textFill>
              </w:rPr>
              <w:t>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kern w:val="0"/>
                <w:sz w:val="21"/>
                <w:szCs w:val="21"/>
                <w:highlight w:val="none"/>
                <w:lang w:val="en-US" w:eastAsia="zh-CN" w:bidi="ar"/>
              </w:rPr>
            </w:pPr>
            <w:r>
              <w:rPr>
                <w:rFonts w:hint="eastAsia"/>
                <w:sz w:val="21"/>
                <w:szCs w:val="21"/>
                <w:lang w:val="en-US" w:eastAsia="zh-CN"/>
              </w:rPr>
              <w:t>采购内容：</w:t>
            </w:r>
            <w:r>
              <w:rPr>
                <w:rFonts w:hint="eastAsia" w:asciiTheme="majorEastAsia" w:hAnsiTheme="majorEastAsia" w:eastAsiaTheme="majorEastAsia" w:cstheme="majorEastAsia"/>
                <w:color w:val="000000"/>
                <w:kern w:val="0"/>
                <w:sz w:val="21"/>
                <w:szCs w:val="21"/>
                <w:highlight w:val="none"/>
                <w:lang w:val="en-US" w:eastAsia="zh-CN" w:bidi="ar"/>
              </w:rPr>
              <w:t xml:space="preserve">1. 按照《广西农用地安全利用工作实施方案》（桂政办函（2019）38号）、《自治区生态环境厅 自治区农业农村厅关于下一阶段农用地安全利用等有关目标任务的函》（桂环函〔2019〕2608号）、《贺州市农用地安全利用工作实施方案》（贺政办〔2020〕19号）的要求，完成贺州市农用地安全利用任务135109亩，其中安全利用类101162亩、严格管控任务33857亩，农用地安全利用率达到 85%以上，基本形成全市农用地安全利用工作体制机制。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2.按照《2020年广西农用地安全利用项目实施方案》（桂农厅发〔2020〕50 号）、《贺州市农用地安全利用工作实施方案》（贺政办〔2020〕19号）的要求，完成贺州市农用地安全利用考核目标任务台账整理及上报。 </w:t>
            </w:r>
          </w:p>
          <w:p>
            <w:pPr>
              <w:spacing w:line="400" w:lineRule="exact"/>
              <w:ind w:firstLine="420" w:firstLineChars="200"/>
              <w:rPr>
                <w:rFonts w:hint="eastAsia" w:ascii="宋体" w:hAnsi="宋体"/>
                <w:color w:val="000000" w:themeColor="text1"/>
                <w:sz w:val="21"/>
                <w:szCs w:val="21"/>
                <w:highlight w:val="red"/>
                <w14:textFill>
                  <w14:solidFill>
                    <w14:schemeClr w14:val="tx1"/>
                  </w14:solidFill>
                </w14:textFill>
              </w:rPr>
            </w:pPr>
            <w:r>
              <w:rPr>
                <w:rFonts w:hint="eastAsia" w:asciiTheme="majorEastAsia" w:hAnsiTheme="majorEastAsia" w:eastAsiaTheme="majorEastAsia" w:cstheme="majorEastAsia"/>
                <w:color w:val="000000"/>
                <w:kern w:val="0"/>
                <w:sz w:val="21"/>
                <w:szCs w:val="21"/>
                <w:highlight w:val="none"/>
                <w:lang w:val="en-US" w:eastAsia="zh-CN" w:bidi="ar"/>
              </w:rPr>
              <w:t>3.完成《广西农用地安全利用工作实施方案》（桂政办函（2019）38号）、《贺州市农用地安全利用工作实施方案》（贺政办〔2020〕19号）中规定的培训、项目档案与评估等相关工作。</w:t>
            </w:r>
          </w:p>
          <w:p>
            <w:pPr>
              <w:spacing w:line="400" w:lineRule="exact"/>
              <w:rPr>
                <w:rFonts w:hAnsi="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服务期：</w:t>
            </w:r>
            <w:r>
              <w:rPr>
                <w:rFonts w:hint="eastAsia" w:ascii="宋体" w:hAnsi="宋体" w:cs="宋体"/>
                <w:color w:val="000000"/>
                <w:kern w:val="0"/>
                <w:sz w:val="21"/>
                <w:szCs w:val="21"/>
                <w:highlight w:val="none"/>
                <w:lang w:bidi="ar"/>
              </w:rPr>
              <w:t>签订合同后 2020 年 12 月前完成成果交付工作。</w:t>
            </w:r>
          </w:p>
          <w:p>
            <w:pPr>
              <w:pStyle w:val="12"/>
              <w:spacing w:line="340" w:lineRule="exact"/>
              <w:rPr>
                <w:rFonts w:hAnsi="宋体" w:cs="宋体"/>
                <w:sz w:val="21"/>
                <w:szCs w:val="21"/>
              </w:rPr>
            </w:pPr>
            <w:r>
              <w:rPr>
                <w:rFonts w:hint="eastAsia" w:hAnsi="宋体" w:cs="宋体"/>
                <w:sz w:val="21"/>
                <w:szCs w:val="21"/>
              </w:rPr>
              <w:t>采购预算：</w:t>
            </w:r>
            <w:r>
              <w:rPr>
                <w:rFonts w:hint="eastAsia" w:asciiTheme="minorEastAsia" w:hAnsiTheme="minorEastAsia" w:eastAsiaTheme="minorEastAsia" w:cstheme="minorEastAsia"/>
                <w:b w:val="0"/>
                <w:bCs w:val="0"/>
                <w:color w:val="auto"/>
                <w:sz w:val="21"/>
                <w:szCs w:val="21"/>
                <w:lang w:val="en-US" w:eastAsia="zh-CN"/>
              </w:rPr>
              <w:t>壹佰肆拾陆万元整（￥1460000.00）</w:t>
            </w:r>
          </w:p>
          <w:p>
            <w:pPr>
              <w:pStyle w:val="12"/>
              <w:spacing w:line="380" w:lineRule="exact"/>
              <w:rPr>
                <w:rFonts w:hAnsi="宋体" w:cs="宋体"/>
                <w:sz w:val="21"/>
                <w:szCs w:val="21"/>
              </w:rPr>
            </w:pPr>
            <w:r>
              <w:rPr>
                <w:rFonts w:hint="eastAsia" w:hAnsi="宋体" w:cs="宋体"/>
                <w:sz w:val="21"/>
                <w:szCs w:val="21"/>
              </w:rPr>
              <w:t>采购方式：竞争性磋商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2</w:t>
            </w: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2.1</w:t>
            </w:r>
          </w:p>
        </w:tc>
        <w:tc>
          <w:tcPr>
            <w:tcW w:w="7911" w:type="dxa"/>
            <w:vAlign w:val="center"/>
          </w:tcPr>
          <w:p>
            <w:pPr>
              <w:snapToGrid w:val="0"/>
              <w:spacing w:line="400" w:lineRule="exact"/>
              <w:rPr>
                <w:sz w:val="21"/>
                <w:szCs w:val="21"/>
              </w:rPr>
            </w:pPr>
            <w:r>
              <w:rPr>
                <w:rFonts w:hint="eastAsia"/>
                <w:sz w:val="21"/>
                <w:szCs w:val="21"/>
              </w:rPr>
              <w:t>1、符合《中华人民共和国政府采购法》第二十二条规定；</w:t>
            </w:r>
          </w:p>
          <w:p>
            <w:pPr>
              <w:pStyle w:val="17"/>
              <w:widowControl/>
              <w:spacing w:line="375" w:lineRule="atLeast"/>
              <w:rPr>
                <w:sz w:val="21"/>
                <w:szCs w:val="21"/>
              </w:rPr>
            </w:pPr>
            <w:r>
              <w:rPr>
                <w:rFonts w:hint="eastAsia"/>
                <w:sz w:val="21"/>
                <w:szCs w:val="21"/>
              </w:rPr>
              <w:t>2、国内注册（指按国家有关规定要求注册的），具备独立法人资格的供应商；</w:t>
            </w:r>
          </w:p>
          <w:p>
            <w:pPr>
              <w:pageBreakBefore w:val="0"/>
              <w:widowControl/>
              <w:kinsoku/>
              <w:wordWrap/>
              <w:overflowPunct/>
              <w:topLinePunct w:val="0"/>
              <w:autoSpaceDE/>
              <w:autoSpaceDN/>
              <w:bidi w:val="0"/>
              <w:adjustRightInd/>
              <w:snapToGrid/>
              <w:spacing w:line="420" w:lineRule="exact"/>
              <w:jc w:val="left"/>
              <w:textAlignment w:val="auto"/>
              <w:rPr>
                <w:rFonts w:hint="eastAsia" w:hAnsi="宋体" w:eastAsia="宋体" w:cs="宋体"/>
                <w:color w:val="auto"/>
                <w:kern w:val="0"/>
                <w:sz w:val="21"/>
                <w:szCs w:val="21"/>
                <w:lang w:eastAsia="zh-CN" w:bidi="ar"/>
              </w:rPr>
            </w:pPr>
            <w:r>
              <w:rPr>
                <w:rFonts w:hint="eastAsia"/>
                <w:sz w:val="21"/>
                <w:szCs w:val="21"/>
              </w:rPr>
              <w:t>3、项目负责人的资格要求：</w:t>
            </w:r>
            <w:r>
              <w:rPr>
                <w:rFonts w:hint="default" w:ascii="Calibri" w:hAnsi="Calibri" w:cs="Calibri"/>
                <w:color w:val="auto"/>
                <w:kern w:val="0"/>
                <w:sz w:val="21"/>
                <w:szCs w:val="21"/>
                <w:lang w:bidi="ar"/>
              </w:rPr>
              <w:t>①</w:t>
            </w:r>
            <w:r>
              <w:rPr>
                <w:rFonts w:hint="eastAsia" w:hAnsi="宋体" w:cs="宋体"/>
                <w:color w:val="auto"/>
                <w:kern w:val="0"/>
                <w:sz w:val="21"/>
                <w:szCs w:val="21"/>
                <w:lang w:bidi="ar"/>
              </w:rPr>
              <w:t>具备植物营养学或土壤学或栽培学或生态学或环境科学或环境工程相关专业全日制</w:t>
            </w:r>
            <w:r>
              <w:rPr>
                <w:rFonts w:hint="eastAsia" w:hAnsi="宋体" w:cs="宋体"/>
                <w:color w:val="auto"/>
                <w:kern w:val="0"/>
                <w:sz w:val="21"/>
                <w:szCs w:val="21"/>
                <w:lang w:val="en-US" w:eastAsia="zh-CN" w:bidi="ar"/>
              </w:rPr>
              <w:t>学士</w:t>
            </w:r>
            <w:r>
              <w:rPr>
                <w:rFonts w:hint="eastAsia" w:hAnsi="宋体" w:cs="宋体"/>
                <w:color w:val="auto"/>
                <w:kern w:val="0"/>
                <w:sz w:val="21"/>
                <w:szCs w:val="21"/>
                <w:lang w:bidi="ar"/>
              </w:rPr>
              <w:t>学位</w:t>
            </w:r>
            <w:r>
              <w:rPr>
                <w:rFonts w:hint="eastAsia" w:hAnsi="宋体" w:cs="宋体"/>
                <w:color w:val="auto"/>
                <w:kern w:val="0"/>
                <w:sz w:val="21"/>
                <w:szCs w:val="21"/>
                <w:lang w:eastAsia="zh-CN" w:bidi="ar"/>
              </w:rPr>
              <w:t>；</w:t>
            </w:r>
          </w:p>
          <w:p>
            <w:pPr>
              <w:pageBreakBefore w:val="0"/>
              <w:widowControl/>
              <w:kinsoku/>
              <w:wordWrap/>
              <w:overflowPunct/>
              <w:topLinePunct w:val="0"/>
              <w:autoSpaceDE/>
              <w:autoSpaceDN/>
              <w:bidi w:val="0"/>
              <w:adjustRightInd/>
              <w:snapToGrid/>
              <w:spacing w:line="420" w:lineRule="exact"/>
              <w:ind w:firstLine="630" w:firstLineChars="300"/>
              <w:jc w:val="left"/>
              <w:textAlignment w:val="auto"/>
              <w:rPr>
                <w:sz w:val="21"/>
                <w:szCs w:val="21"/>
              </w:rPr>
            </w:pPr>
            <w:r>
              <w:rPr>
                <w:rFonts w:hint="default" w:ascii="Calibri" w:hAnsi="Calibri" w:cs="Calibri"/>
                <w:color w:val="auto"/>
                <w:kern w:val="0"/>
                <w:sz w:val="21"/>
                <w:szCs w:val="21"/>
                <w:lang w:bidi="ar"/>
              </w:rPr>
              <w:t>②</w:t>
            </w:r>
            <w:r>
              <w:rPr>
                <w:rFonts w:hint="eastAsia" w:hAnsi="宋体" w:cs="宋体"/>
                <w:color w:val="auto"/>
                <w:kern w:val="0"/>
                <w:sz w:val="21"/>
                <w:szCs w:val="21"/>
                <w:lang w:bidi="ar"/>
              </w:rPr>
              <w:t>具备植物营养学或土壤学或栽培学或生态学或环境科学或环境工程相关专业</w:t>
            </w:r>
            <w:r>
              <w:rPr>
                <w:rFonts w:hint="eastAsia" w:hAnsi="宋体" w:cs="宋体"/>
                <w:color w:val="auto"/>
                <w:kern w:val="0"/>
                <w:sz w:val="21"/>
                <w:szCs w:val="21"/>
                <w:lang w:val="en-US" w:eastAsia="zh-CN" w:bidi="ar"/>
              </w:rPr>
              <w:t>中</w:t>
            </w:r>
            <w:r>
              <w:rPr>
                <w:rFonts w:hint="eastAsia" w:hAnsi="宋体" w:cs="宋体"/>
                <w:color w:val="auto"/>
                <w:kern w:val="0"/>
                <w:sz w:val="21"/>
                <w:szCs w:val="21"/>
                <w:lang w:bidi="ar"/>
              </w:rPr>
              <w:t>级</w:t>
            </w:r>
            <w:r>
              <w:rPr>
                <w:rFonts w:hint="eastAsia" w:hAnsi="宋体" w:cs="宋体"/>
                <w:color w:val="auto"/>
                <w:kern w:val="0"/>
                <w:sz w:val="21"/>
                <w:szCs w:val="21"/>
                <w:lang w:eastAsia="zh-CN" w:bidi="ar"/>
              </w:rPr>
              <w:t>及</w:t>
            </w:r>
            <w:r>
              <w:rPr>
                <w:rFonts w:hint="eastAsia" w:hAnsi="宋体" w:cs="宋体"/>
                <w:color w:val="auto"/>
                <w:kern w:val="0"/>
                <w:sz w:val="21"/>
                <w:szCs w:val="21"/>
                <w:lang w:bidi="ar"/>
              </w:rPr>
              <w:t>以上职称</w:t>
            </w:r>
            <w:r>
              <w:rPr>
                <w:rFonts w:hint="eastAsia" w:hAnsi="宋体" w:cs="宋体"/>
                <w:color w:val="auto"/>
                <w:kern w:val="0"/>
                <w:sz w:val="21"/>
                <w:szCs w:val="21"/>
                <w:lang w:eastAsia="zh-CN" w:bidi="ar"/>
              </w:rPr>
              <w:t>。</w:t>
            </w:r>
          </w:p>
          <w:p>
            <w:pPr>
              <w:spacing w:line="400" w:lineRule="exact"/>
              <w:rPr>
                <w:sz w:val="21"/>
                <w:szCs w:val="21"/>
              </w:rPr>
            </w:pPr>
            <w:r>
              <w:rPr>
                <w:sz w:val="21"/>
                <w:szCs w:val="21"/>
              </w:rPr>
              <w:t>4</w:t>
            </w:r>
            <w:r>
              <w:rPr>
                <w:rFonts w:hint="eastAsia"/>
                <w:sz w:val="21"/>
                <w:szCs w:val="21"/>
              </w:rPr>
              <w:t>、对在“信用中国”网站(www.creditchina.gov.cn)、中国政府采购网(www.ccgp.gov.cn)等渠道列入失信被执行人、重大税收违法案件当事人名单、政府采购严重违法失信行为记录名单的竞标人，不得参与政府采购活动（以评标过程中查询结果为准）；</w:t>
            </w:r>
          </w:p>
          <w:p>
            <w:pPr>
              <w:spacing w:line="400" w:lineRule="exact"/>
              <w:rPr>
                <w:sz w:val="21"/>
                <w:szCs w:val="21"/>
              </w:rPr>
            </w:pPr>
            <w:r>
              <w:rPr>
                <w:sz w:val="21"/>
                <w:szCs w:val="21"/>
              </w:rPr>
              <w:t>4</w:t>
            </w:r>
            <w:r>
              <w:rPr>
                <w:rFonts w:hint="eastAsia"/>
                <w:sz w:val="21"/>
                <w:szCs w:val="21"/>
              </w:rPr>
              <w:t>、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spacing w:line="400" w:lineRule="exact"/>
              <w:rPr>
                <w:rFonts w:hint="eastAsia"/>
                <w:sz w:val="21"/>
                <w:szCs w:val="21"/>
              </w:rPr>
            </w:pPr>
            <w:r>
              <w:rPr>
                <w:rFonts w:hint="eastAsia"/>
                <w:sz w:val="21"/>
                <w:szCs w:val="21"/>
              </w:rPr>
              <w:t>6、</w:t>
            </w:r>
            <w:r>
              <w:rPr>
                <w:rFonts w:hint="eastAsia" w:ascii="宋体" w:hAnsi="宋体" w:cs="宋体"/>
                <w:bCs/>
                <w:color w:val="auto"/>
                <w:sz w:val="21"/>
                <w:szCs w:val="21"/>
              </w:rPr>
              <w:t>本项目接受联合体竞标，不接受分包或转包</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shd w:val="clear" w:fill="auto"/>
                <w:lang w:val="en-US" w:eastAsia="zh-CN" w:bidi="ar"/>
              </w:rPr>
              <w:t>联合体竞标的</w:t>
            </w:r>
            <w:r>
              <w:rPr>
                <w:rFonts w:hint="eastAsia" w:asciiTheme="minorEastAsia" w:hAnsiTheme="minorEastAsia" w:eastAsiaTheme="minorEastAsia" w:cstheme="minorEastAsia"/>
                <w:bCs/>
                <w:color w:val="auto"/>
                <w:sz w:val="21"/>
                <w:szCs w:val="21"/>
              </w:rPr>
              <w:t>(不超过</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家企业、单位)</w:t>
            </w:r>
            <w:r>
              <w:rPr>
                <w:rFonts w:hint="eastAsia" w:asciiTheme="minorEastAsia" w:hAnsiTheme="minorEastAsia" w:eastAsiaTheme="minorEastAsia" w:cstheme="minorEastAsia"/>
                <w:color w:val="auto"/>
                <w:kern w:val="0"/>
                <w:sz w:val="21"/>
                <w:szCs w:val="21"/>
                <w:shd w:val="clear" w:fill="auto"/>
                <w:lang w:val="en-US" w:eastAsia="zh-CN" w:bidi="ar"/>
              </w:rPr>
              <w:t>，应满足下列要求：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u w:val="none"/>
                <w:lang w:val="en-US" w:eastAsia="zh-CN" w:bidi="ar"/>
              </w:rPr>
              <w:t>6.1本项目接受由具有独立法人资格且经营范围能清晰反映该单位具有承揽本项目的资格等类别内容</w:t>
            </w:r>
            <w:r>
              <w:rPr>
                <w:rFonts w:hint="eastAsia" w:asciiTheme="minorEastAsia" w:hAnsiTheme="minorEastAsia" w:eastAsiaTheme="minorEastAsia" w:cstheme="minorEastAsia"/>
                <w:color w:val="auto"/>
                <w:kern w:val="0"/>
                <w:sz w:val="21"/>
                <w:szCs w:val="21"/>
                <w:lang w:val="en-US" w:eastAsia="zh-CN" w:bidi="ar"/>
              </w:rPr>
              <w:t>的供应商作为牵头人组成的联合体</w:t>
            </w:r>
            <w:r>
              <w:rPr>
                <w:rFonts w:hint="eastAsia" w:asciiTheme="minorEastAsia" w:hAnsiTheme="minorEastAsia" w:eastAsiaTheme="minorEastAsia" w:cstheme="minorEastAsia"/>
                <w:color w:val="auto"/>
                <w:kern w:val="0"/>
                <w:sz w:val="21"/>
                <w:szCs w:val="21"/>
                <w:u w:val="none"/>
                <w:lang w:val="en-US" w:eastAsia="zh-CN" w:bidi="ar"/>
              </w:rPr>
              <w:t>竞标，联合体</w:t>
            </w:r>
            <w:r>
              <w:rPr>
                <w:rFonts w:hint="eastAsia" w:asciiTheme="minorEastAsia" w:hAnsiTheme="minorEastAsia" w:eastAsiaTheme="minorEastAsia" w:cstheme="minorEastAsia"/>
                <w:color w:val="auto"/>
                <w:kern w:val="0"/>
                <w:sz w:val="21"/>
                <w:szCs w:val="21"/>
                <w:lang w:val="en-US" w:eastAsia="zh-CN" w:bidi="ar"/>
              </w:rPr>
              <w:t>成员单位不超过两个。联合体各方均应符合“具有独立法人资格”、“具有独立承担民事责任的能力”的条件，其中施工单位须具备有效的安全生产许可证。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6.2联合体各方应当签订联合体协议书，其中联合体牵头人代表联合体各方成员负责竞标和合同实施阶段的主办、协调工作，但联合体其他成员在竞标、签约与履行合同过程中，仍负有连带的和各自的法律责任。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6.3组成联合体进行竞标的供应商不得再以自己的名义单独参与同一标段的竞标，也不得组成新的联合体参与同一标段的竞标。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0" w:firstLineChars="200"/>
              <w:jc w:val="left"/>
              <w:textAlignment w:val="auto"/>
              <w:rPr>
                <w:sz w:val="21"/>
                <w:szCs w:val="21"/>
              </w:rPr>
            </w:pPr>
            <w:r>
              <w:rPr>
                <w:rFonts w:hint="eastAsia" w:asciiTheme="minorEastAsia" w:hAnsiTheme="minorEastAsia" w:eastAsiaTheme="minorEastAsia" w:cstheme="minorEastAsia"/>
                <w:color w:val="auto"/>
                <w:kern w:val="0"/>
                <w:sz w:val="21"/>
                <w:szCs w:val="21"/>
                <w:lang w:val="en-US" w:eastAsia="zh-CN" w:bidi="ar"/>
              </w:rPr>
              <w:t>6.4联合体各方应分别在人员、设备、资金等方面具有承担本项目联合体协议书分工职责范围内的履约能力。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3</w:t>
            </w: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10.1</w:t>
            </w:r>
          </w:p>
        </w:tc>
        <w:tc>
          <w:tcPr>
            <w:tcW w:w="7911" w:type="dxa"/>
            <w:vAlign w:val="center"/>
          </w:tcPr>
          <w:p>
            <w:pPr>
              <w:pStyle w:val="12"/>
              <w:numPr>
                <w:ilvl w:val="0"/>
                <w:numId w:val="2"/>
              </w:numPr>
              <w:snapToGrid w:val="0"/>
              <w:spacing w:line="360" w:lineRule="auto"/>
              <w:ind w:left="309" w:hanging="308" w:hangingChars="147"/>
              <w:rPr>
                <w:rFonts w:hAnsi="宋体" w:cs="宋体"/>
                <w:bCs/>
                <w:sz w:val="21"/>
                <w:szCs w:val="21"/>
              </w:rPr>
            </w:pPr>
            <w:r>
              <w:rPr>
                <w:rFonts w:hint="eastAsia" w:hAnsi="宋体" w:cs="宋体"/>
                <w:bCs/>
                <w:sz w:val="21"/>
                <w:szCs w:val="21"/>
              </w:rPr>
              <w:t>磋商报价方式：磋商竞标人</w:t>
            </w:r>
            <w:r>
              <w:rPr>
                <w:rFonts w:hint="eastAsia" w:hAnsi="宋体" w:cs="宋体"/>
                <w:sz w:val="21"/>
                <w:szCs w:val="21"/>
              </w:rPr>
              <w:t>必须就《</w:t>
            </w:r>
            <w:r>
              <w:rPr>
                <w:rFonts w:hint="eastAsia" w:asciiTheme="majorEastAsia" w:hAnsiTheme="majorEastAsia" w:eastAsiaTheme="majorEastAsia" w:cstheme="majorEastAsia"/>
                <w:sz w:val="21"/>
                <w:szCs w:val="21"/>
              </w:rPr>
              <w:t>采购项目技术参数要求</w:t>
            </w:r>
            <w:r>
              <w:rPr>
                <w:rFonts w:hint="eastAsia" w:hAnsi="宋体" w:cs="宋体"/>
                <w:sz w:val="21"/>
                <w:szCs w:val="21"/>
              </w:rPr>
              <w:t>》中的所有服务内容有可能发生的所有费用作唯一完整报价。（本项目只允许提交一个方案的报价，不接受任何有选择性的报价。）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4</w:t>
            </w: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14.1</w:t>
            </w:r>
          </w:p>
        </w:tc>
        <w:tc>
          <w:tcPr>
            <w:tcW w:w="7911" w:type="dxa"/>
            <w:vAlign w:val="center"/>
          </w:tcPr>
          <w:p>
            <w:pPr>
              <w:pStyle w:val="12"/>
              <w:snapToGrid w:val="0"/>
              <w:spacing w:line="360" w:lineRule="auto"/>
              <w:ind w:left="1037" w:hanging="1037" w:hangingChars="494"/>
              <w:rPr>
                <w:rFonts w:hAnsi="宋体" w:cs="宋体"/>
                <w:sz w:val="21"/>
                <w:szCs w:val="21"/>
              </w:rPr>
            </w:pPr>
            <w:r>
              <w:rPr>
                <w:rFonts w:hint="eastAsia" w:hAnsi="宋体" w:cs="宋体"/>
                <w:sz w:val="21"/>
                <w:szCs w:val="21"/>
              </w:rPr>
              <w:t>磋商有效期：提交响应文件截止时间后60天。</w:t>
            </w:r>
          </w:p>
          <w:p>
            <w:pPr>
              <w:pStyle w:val="12"/>
              <w:snapToGrid w:val="0"/>
              <w:spacing w:line="360" w:lineRule="auto"/>
              <w:ind w:left="1037" w:hanging="1037" w:hangingChars="494"/>
              <w:rPr>
                <w:rFonts w:hAnsi="宋体" w:cs="宋体"/>
                <w:sz w:val="21"/>
                <w:szCs w:val="21"/>
              </w:rPr>
            </w:pPr>
            <w:r>
              <w:rPr>
                <w:rFonts w:hint="eastAsia" w:hAnsi="宋体" w:cs="宋体"/>
                <w:sz w:val="21"/>
                <w:szCs w:val="21"/>
              </w:rPr>
              <w:t>[注：磋商保证金</w:t>
            </w:r>
            <w:r>
              <w:rPr>
                <w:rFonts w:hint="eastAsia" w:hAnsi="宋体" w:cs="宋体"/>
                <w:kern w:val="0"/>
                <w:sz w:val="21"/>
                <w:szCs w:val="21"/>
              </w:rPr>
              <w:t>有效期应比磋商有效期延长25日。</w:t>
            </w:r>
            <w:r>
              <w:rPr>
                <w:rFonts w:hint="eastAsia"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5</w:t>
            </w: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15.5</w:t>
            </w:r>
          </w:p>
        </w:tc>
        <w:tc>
          <w:tcPr>
            <w:tcW w:w="7911" w:type="dxa"/>
            <w:vAlign w:val="center"/>
          </w:tcPr>
          <w:p>
            <w:pPr>
              <w:pStyle w:val="12"/>
              <w:snapToGrid w:val="0"/>
              <w:spacing w:line="360" w:lineRule="auto"/>
              <w:ind w:left="1037" w:hanging="1037" w:hangingChars="494"/>
              <w:rPr>
                <w:rFonts w:hAnsi="宋体" w:cs="宋体"/>
                <w:sz w:val="21"/>
                <w:szCs w:val="21"/>
              </w:rPr>
            </w:pPr>
            <w:r>
              <w:rPr>
                <w:rFonts w:hint="eastAsia" w:hAnsi="宋体" w:cs="宋体"/>
                <w:sz w:val="21"/>
                <w:szCs w:val="21"/>
              </w:rPr>
              <w:t>响应文件：壹套正本 肆套副本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6</w:t>
            </w: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16.1</w:t>
            </w:r>
          </w:p>
        </w:tc>
        <w:tc>
          <w:tcPr>
            <w:tcW w:w="7911" w:type="dxa"/>
            <w:vAlign w:val="center"/>
          </w:tcPr>
          <w:p>
            <w:pPr>
              <w:snapToGrid w:val="0"/>
              <w:spacing w:line="400" w:lineRule="exact"/>
              <w:rPr>
                <w:sz w:val="21"/>
                <w:szCs w:val="21"/>
              </w:rPr>
            </w:pPr>
            <w:r>
              <w:rPr>
                <w:rFonts w:hint="eastAsia"/>
                <w:sz w:val="21"/>
                <w:szCs w:val="21"/>
                <w:lang w:val="en-US" w:eastAsia="zh-CN"/>
              </w:rPr>
              <w:t>磋商</w:t>
            </w:r>
            <w:r>
              <w:rPr>
                <w:rFonts w:hint="eastAsia"/>
                <w:sz w:val="21"/>
                <w:szCs w:val="21"/>
              </w:rPr>
              <w:t>保证金：伍仟元整（￥5000.00）。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sz w:val="21"/>
                <w:szCs w:val="21"/>
              </w:rPr>
            </w:pPr>
            <w:r>
              <w:rPr>
                <w:rFonts w:hint="eastAsia"/>
                <w:sz w:val="21"/>
                <w:szCs w:val="21"/>
              </w:rPr>
              <w:t>磋商供应商应将磋商保证金以支票、汇票、本票、转账、电汇或者金融机构出具的保函等非现金形式提交至以下账户，并于响应文件提交截止时间前到账，到账时间以银行确认的到账时间为准(注：若以支票、汇票、本票方式提交的，交款人必须是磋商供应商；若以转账、电汇方式提交的，必须从磋商供应商银行账户转出；若以现金方式交纳或者没有足额交纳的视为无效磋商。办理磋商保证金手续时，需在交纳凭据上注明项目名称或项目编号)。贺州市公共资源交易中心财务室电话传真：0774-5268008。</w:t>
            </w:r>
          </w:p>
          <w:p>
            <w:pPr>
              <w:spacing w:line="440" w:lineRule="exact"/>
              <w:ind w:firstLine="420" w:firstLineChars="200"/>
              <w:rPr>
                <w:sz w:val="21"/>
                <w:szCs w:val="21"/>
              </w:rPr>
            </w:pPr>
            <w:r>
              <w:rPr>
                <w:rFonts w:hint="eastAsia"/>
                <w:sz w:val="21"/>
                <w:szCs w:val="21"/>
                <w:lang w:val="en-US" w:eastAsia="zh-CN"/>
              </w:rPr>
              <w:t>磋商</w:t>
            </w:r>
            <w:r>
              <w:rPr>
                <w:rFonts w:hint="eastAsia"/>
                <w:sz w:val="21"/>
                <w:szCs w:val="21"/>
              </w:rPr>
              <w:t>保证金缴纳账户：</w:t>
            </w:r>
          </w:p>
          <w:p>
            <w:pPr>
              <w:spacing w:line="440" w:lineRule="exact"/>
              <w:ind w:firstLine="420" w:firstLineChars="200"/>
              <w:rPr>
                <w:sz w:val="21"/>
                <w:szCs w:val="21"/>
              </w:rPr>
            </w:pPr>
            <w:r>
              <w:rPr>
                <w:rFonts w:hint="eastAsia"/>
                <w:sz w:val="21"/>
                <w:szCs w:val="21"/>
              </w:rPr>
              <w:t>开户名称：贺州市公共资源交易中心</w:t>
            </w:r>
          </w:p>
          <w:p>
            <w:pPr>
              <w:spacing w:line="440" w:lineRule="exact"/>
              <w:ind w:firstLine="420" w:firstLineChars="200"/>
              <w:rPr>
                <w:sz w:val="21"/>
                <w:szCs w:val="21"/>
              </w:rPr>
            </w:pPr>
            <w:r>
              <w:rPr>
                <w:rFonts w:hint="eastAsia"/>
                <w:sz w:val="21"/>
                <w:szCs w:val="21"/>
              </w:rPr>
              <w:t>开户银行：邮政储蓄银行贺州市分行营业部</w:t>
            </w:r>
          </w:p>
          <w:p>
            <w:pPr>
              <w:spacing w:line="440" w:lineRule="exact"/>
              <w:ind w:firstLine="420"/>
              <w:rPr>
                <w:rFonts w:hint="eastAsia"/>
                <w:sz w:val="21"/>
                <w:szCs w:val="21"/>
              </w:rPr>
            </w:pPr>
            <w:r>
              <w:rPr>
                <w:rFonts w:hint="eastAsia"/>
                <w:sz w:val="21"/>
                <w:szCs w:val="21"/>
              </w:rPr>
              <w:t>银行账号：945009010008838888</w:t>
            </w:r>
          </w:p>
          <w:p>
            <w:pPr>
              <w:pStyle w:val="10"/>
              <w:rPr>
                <w:sz w:val="21"/>
                <w:szCs w:val="21"/>
              </w:rPr>
            </w:pPr>
            <w:r>
              <w:rPr>
                <w:rFonts w:hint="eastAsia" w:ascii="宋体" w:hAnsi="宋体"/>
                <w:sz w:val="21"/>
                <w:szCs w:val="21"/>
                <w:lang w:val="en-US" w:eastAsia="zh-CN"/>
              </w:rPr>
              <w:t>磋商</w:t>
            </w:r>
            <w:r>
              <w:rPr>
                <w:rFonts w:ascii="宋体" w:hAnsi="宋体"/>
                <w:sz w:val="21"/>
                <w:szCs w:val="21"/>
              </w:rPr>
              <w:t>保证金必须以</w:t>
            </w:r>
            <w:r>
              <w:rPr>
                <w:rFonts w:hint="eastAsia" w:ascii="宋体" w:hAnsi="宋体"/>
                <w:sz w:val="21"/>
                <w:szCs w:val="21"/>
                <w:lang w:val="en-US" w:eastAsia="zh-CN"/>
              </w:rPr>
              <w:t>竞标</w:t>
            </w:r>
            <w:r>
              <w:rPr>
                <w:rFonts w:ascii="宋体" w:hAnsi="宋体"/>
                <w:sz w:val="21"/>
                <w:szCs w:val="21"/>
              </w:rPr>
              <w:t>人自身的名义提交，并与</w:t>
            </w:r>
            <w:r>
              <w:rPr>
                <w:rFonts w:hint="eastAsia" w:ascii="宋体" w:hAnsi="宋体"/>
                <w:sz w:val="21"/>
                <w:szCs w:val="21"/>
                <w:lang w:val="en-US" w:eastAsia="zh-CN"/>
              </w:rPr>
              <w:t>磋商</w:t>
            </w:r>
            <w:r>
              <w:rPr>
                <w:rFonts w:ascii="宋体" w:hAnsi="宋体"/>
                <w:sz w:val="21"/>
                <w:szCs w:val="21"/>
              </w:rPr>
              <w:t>报名</w:t>
            </w:r>
            <w:r>
              <w:rPr>
                <w:rFonts w:hint="eastAsia" w:ascii="宋体" w:hAnsi="宋体"/>
                <w:sz w:val="21"/>
                <w:szCs w:val="21"/>
              </w:rPr>
              <w:t>时该</w:t>
            </w:r>
            <w:r>
              <w:rPr>
                <w:rFonts w:hint="eastAsia" w:ascii="宋体" w:hAnsi="宋体"/>
                <w:sz w:val="21"/>
                <w:szCs w:val="21"/>
                <w:lang w:val="en-US" w:eastAsia="zh-CN"/>
              </w:rPr>
              <w:t>竞标</w:t>
            </w:r>
            <w:r>
              <w:rPr>
                <w:rFonts w:hint="eastAsia" w:ascii="宋体" w:hAnsi="宋体"/>
                <w:sz w:val="21"/>
                <w:szCs w:val="21"/>
              </w:rPr>
              <w:t>人的</w:t>
            </w:r>
            <w:r>
              <w:rPr>
                <w:rFonts w:ascii="宋体" w:hAnsi="宋体"/>
                <w:sz w:val="21"/>
                <w:szCs w:val="21"/>
              </w:rPr>
              <w:t>名称一致，不得以分支机构等其他名义提交。</w:t>
            </w:r>
            <w:r>
              <w:rPr>
                <w:rFonts w:hint="eastAsia" w:ascii="宋体" w:hAnsi="宋体"/>
                <w:b/>
                <w:sz w:val="21"/>
                <w:szCs w:val="21"/>
              </w:rPr>
              <w:t>当</w:t>
            </w:r>
            <w:r>
              <w:rPr>
                <w:rFonts w:hint="eastAsia" w:ascii="宋体" w:hAnsi="宋体"/>
                <w:b/>
                <w:sz w:val="21"/>
                <w:szCs w:val="21"/>
                <w:lang w:val="en-US" w:eastAsia="zh-CN"/>
              </w:rPr>
              <w:t>竞标</w:t>
            </w:r>
            <w:r>
              <w:rPr>
                <w:rFonts w:hint="eastAsia" w:ascii="宋体" w:hAnsi="宋体"/>
                <w:b/>
                <w:sz w:val="21"/>
                <w:szCs w:val="21"/>
              </w:rPr>
              <w:t>人为联合体时，可由联合体中的任一方缴纳，并在联合体协议书中明确。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7</w:t>
            </w: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18</w:t>
            </w:r>
          </w:p>
        </w:tc>
        <w:tc>
          <w:tcPr>
            <w:tcW w:w="7911" w:type="dxa"/>
            <w:vAlign w:val="center"/>
          </w:tcPr>
          <w:p>
            <w:pPr>
              <w:autoSpaceDE w:val="0"/>
              <w:autoSpaceDN w:val="0"/>
              <w:snapToGrid w:val="0"/>
              <w:spacing w:line="400" w:lineRule="exact"/>
              <w:textAlignment w:val="bottom"/>
              <w:rPr>
                <w:rFonts w:ascii="宋体" w:hAnsi="宋体" w:cs="宋体"/>
                <w:sz w:val="21"/>
                <w:szCs w:val="21"/>
              </w:rPr>
            </w:pPr>
            <w:r>
              <w:rPr>
                <w:rFonts w:hint="eastAsia" w:ascii="宋体" w:hAnsi="宋体" w:cs="宋体"/>
                <w:sz w:val="21"/>
                <w:szCs w:val="21"/>
              </w:rPr>
              <w:t>竞标保证金退还（不计息）：除招标文件规定不予退还保证金的情形外，成交通知书发布后五个工作日内退还未中标竞标人的竞标保证金，</w:t>
            </w:r>
            <w:r>
              <w:rPr>
                <w:rFonts w:hint="eastAsia" w:ascii="宋体" w:hAnsi="宋体" w:cs="宋体"/>
                <w:b/>
                <w:sz w:val="21"/>
                <w:szCs w:val="21"/>
              </w:rPr>
              <w:t>自政府采购合同签订之日起五个工作日内（合同签订后须送达本公司由本公司工作人员交退保函至交易中心财务室)退还中标竞标人的竞标保证金</w:t>
            </w:r>
            <w:r>
              <w:rPr>
                <w:rFonts w:hint="eastAsia" w:ascii="宋体" w:hAnsi="宋体" w:cs="宋体"/>
                <w:sz w:val="21"/>
                <w:szCs w:val="21"/>
              </w:rPr>
              <w:t>。</w:t>
            </w:r>
            <w:r>
              <w:rPr>
                <w:rFonts w:hint="eastAsia" w:ascii="宋体" w:hAnsi="宋体" w:cs="宋体"/>
                <w:spacing w:val="-12"/>
                <w:sz w:val="21"/>
                <w:szCs w:val="21"/>
              </w:rPr>
              <w:t>贺州市公共资源交易中心将按有关规定</w:t>
            </w:r>
            <w:r>
              <w:rPr>
                <w:rFonts w:hint="eastAsia" w:ascii="宋体" w:hAnsi="宋体" w:cs="宋体"/>
                <w:sz w:val="21"/>
                <w:szCs w:val="21"/>
              </w:rPr>
              <w:t>退还竞标人的竞标保证金。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36" w:type="dxa"/>
            <w:vMerge w:val="restart"/>
            <w:vAlign w:val="center"/>
          </w:tcPr>
          <w:p>
            <w:pPr>
              <w:snapToGrid w:val="0"/>
              <w:spacing w:line="360" w:lineRule="auto"/>
              <w:jc w:val="center"/>
              <w:rPr>
                <w:rFonts w:ascii="宋体" w:hAnsi="宋体" w:cs="宋体"/>
                <w:sz w:val="21"/>
                <w:szCs w:val="21"/>
              </w:rPr>
            </w:pPr>
            <w:r>
              <w:rPr>
                <w:rFonts w:hint="eastAsia" w:ascii="宋体" w:hAnsi="宋体" w:cs="宋体"/>
                <w:sz w:val="21"/>
                <w:szCs w:val="21"/>
              </w:rPr>
              <w:t>8</w:t>
            </w: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21.1</w:t>
            </w:r>
          </w:p>
        </w:tc>
        <w:tc>
          <w:tcPr>
            <w:tcW w:w="7911" w:type="dxa"/>
            <w:vAlign w:val="center"/>
          </w:tcPr>
          <w:p>
            <w:pPr>
              <w:pStyle w:val="32"/>
              <w:snapToGrid w:val="0"/>
              <w:spacing w:line="360" w:lineRule="auto"/>
              <w:rPr>
                <w:rFonts w:hAnsi="宋体" w:cs="宋体"/>
                <w:sz w:val="21"/>
                <w:szCs w:val="21"/>
              </w:rPr>
            </w:pPr>
            <w:r>
              <w:rPr>
                <w:rFonts w:hint="eastAsia" w:hAnsi="宋体" w:cs="宋体"/>
                <w:sz w:val="21"/>
                <w:szCs w:val="21"/>
              </w:rPr>
              <w:t>响应文件开启时间（评审时间）：</w:t>
            </w:r>
            <w:r>
              <w:rPr>
                <w:rFonts w:hint="eastAsia" w:hAnsi="宋体" w:cs="宋体"/>
                <w:sz w:val="21"/>
                <w:szCs w:val="21"/>
                <w:highlight w:val="none"/>
              </w:rPr>
              <w:t>2020年</w:t>
            </w:r>
            <w:r>
              <w:rPr>
                <w:rFonts w:hint="eastAsia" w:hAnsi="宋体" w:cs="宋体"/>
                <w:sz w:val="21"/>
                <w:szCs w:val="21"/>
                <w:highlight w:val="none"/>
                <w:lang w:val="en-US" w:eastAsia="zh-CN"/>
              </w:rPr>
              <w:t>07</w:t>
            </w:r>
            <w:r>
              <w:rPr>
                <w:rFonts w:hint="eastAsia" w:hAnsi="宋体" w:cs="宋体"/>
                <w:sz w:val="21"/>
                <w:szCs w:val="21"/>
                <w:highlight w:val="none"/>
              </w:rPr>
              <w:t xml:space="preserve"> 月 </w:t>
            </w:r>
            <w:r>
              <w:rPr>
                <w:rFonts w:hint="eastAsia" w:hAnsi="宋体" w:cs="宋体"/>
                <w:sz w:val="21"/>
                <w:szCs w:val="21"/>
                <w:highlight w:val="none"/>
                <w:lang w:val="en-US" w:eastAsia="zh-CN"/>
              </w:rPr>
              <w:t>27</w:t>
            </w:r>
            <w:r>
              <w:rPr>
                <w:rFonts w:hint="eastAsia" w:hAnsi="宋体" w:cs="宋体"/>
                <w:sz w:val="21"/>
                <w:szCs w:val="21"/>
                <w:highlight w:val="none"/>
              </w:rPr>
              <w:t xml:space="preserve">  日10时30分</w:t>
            </w:r>
            <w:r>
              <w:rPr>
                <w:rFonts w:hint="eastAsia" w:hAnsi="宋体" w:cs="宋体"/>
                <w:sz w:val="21"/>
                <w:szCs w:val="21"/>
              </w:rPr>
              <w:t>截标后</w:t>
            </w:r>
          </w:p>
          <w:p>
            <w:pPr>
              <w:pStyle w:val="12"/>
              <w:spacing w:line="360" w:lineRule="auto"/>
              <w:rPr>
                <w:rFonts w:hAnsi="宋体" w:cs="宋体"/>
                <w:sz w:val="21"/>
                <w:szCs w:val="21"/>
              </w:rPr>
            </w:pPr>
            <w:r>
              <w:rPr>
                <w:rFonts w:hint="eastAsia" w:hAnsi="宋体" w:cs="宋体"/>
                <w:sz w:val="21"/>
                <w:szCs w:val="21"/>
              </w:rPr>
              <w:t>响应文件开启地点（评审地点）：贺州市鞍山西路83-1号（城投集团）4楼贺州市公共资源交易中心交易大厅（具体安排见当天交易中心电子显示屏）。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36" w:type="dxa"/>
            <w:vMerge w:val="continue"/>
            <w:vAlign w:val="center"/>
          </w:tcPr>
          <w:p>
            <w:pPr>
              <w:snapToGrid w:val="0"/>
              <w:spacing w:line="360" w:lineRule="auto"/>
              <w:jc w:val="center"/>
              <w:rPr>
                <w:rFonts w:ascii="宋体" w:hAnsi="宋体" w:cs="宋体"/>
                <w:sz w:val="21"/>
                <w:szCs w:val="21"/>
              </w:rPr>
            </w:pP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 xml:space="preserve">21.2 </w:t>
            </w:r>
          </w:p>
        </w:tc>
        <w:tc>
          <w:tcPr>
            <w:tcW w:w="7911" w:type="dxa"/>
            <w:vAlign w:val="center"/>
          </w:tcPr>
          <w:p>
            <w:pPr>
              <w:pStyle w:val="32"/>
              <w:snapToGrid w:val="0"/>
              <w:spacing w:line="360" w:lineRule="auto"/>
              <w:rPr>
                <w:rFonts w:hAnsi="宋体" w:cs="宋体"/>
                <w:sz w:val="21"/>
                <w:szCs w:val="21"/>
              </w:rPr>
            </w:pPr>
            <w:r>
              <w:rPr>
                <w:rFonts w:hint="eastAsia" w:hAnsi="宋体" w:cs="宋体"/>
                <w:sz w:val="21"/>
                <w:szCs w:val="21"/>
              </w:rPr>
              <w:t>磋商时间:</w:t>
            </w:r>
            <w:r>
              <w:rPr>
                <w:rFonts w:hint="eastAsia" w:hAnsi="宋体" w:cs="宋体"/>
                <w:sz w:val="21"/>
                <w:szCs w:val="21"/>
                <w:highlight w:val="none"/>
              </w:rPr>
              <w:t>2020年</w:t>
            </w:r>
            <w:r>
              <w:rPr>
                <w:rFonts w:hint="eastAsia" w:hAnsi="宋体" w:cs="宋体"/>
                <w:sz w:val="21"/>
                <w:szCs w:val="21"/>
                <w:highlight w:val="none"/>
                <w:lang w:val="en-US" w:eastAsia="zh-CN"/>
              </w:rPr>
              <w:t>07</w:t>
            </w:r>
            <w:r>
              <w:rPr>
                <w:rFonts w:hint="eastAsia" w:hAnsi="宋体" w:cs="宋体"/>
                <w:sz w:val="21"/>
                <w:szCs w:val="21"/>
                <w:highlight w:val="none"/>
              </w:rPr>
              <w:t xml:space="preserve"> 月 </w:t>
            </w:r>
            <w:r>
              <w:rPr>
                <w:rFonts w:hint="eastAsia" w:hAnsi="宋体" w:cs="宋体"/>
                <w:sz w:val="21"/>
                <w:szCs w:val="21"/>
                <w:highlight w:val="none"/>
                <w:lang w:val="en-US" w:eastAsia="zh-CN"/>
              </w:rPr>
              <w:t>27</w:t>
            </w:r>
            <w:r>
              <w:rPr>
                <w:rFonts w:hint="eastAsia" w:hAnsi="宋体" w:cs="宋体"/>
                <w:sz w:val="21"/>
                <w:szCs w:val="21"/>
                <w:highlight w:val="none"/>
              </w:rPr>
              <w:t xml:space="preserve">  日10时30分</w:t>
            </w:r>
            <w:r>
              <w:rPr>
                <w:rFonts w:hint="eastAsia" w:hAnsi="宋体" w:cs="宋体"/>
                <w:sz w:val="21"/>
                <w:szCs w:val="21"/>
              </w:rPr>
              <w:t>截标后。</w:t>
            </w:r>
          </w:p>
          <w:p>
            <w:pPr>
              <w:pStyle w:val="32"/>
              <w:snapToGrid w:val="0"/>
              <w:spacing w:line="360" w:lineRule="auto"/>
              <w:rPr>
                <w:rFonts w:hAnsi="宋体" w:cs="宋体"/>
                <w:sz w:val="21"/>
                <w:szCs w:val="21"/>
              </w:rPr>
            </w:pPr>
            <w:r>
              <w:rPr>
                <w:rFonts w:hint="eastAsia" w:hAnsi="宋体" w:cs="宋体"/>
                <w:sz w:val="21"/>
                <w:szCs w:val="21"/>
              </w:rPr>
              <w:t>磋商地点：贺州市鞍山西路83-1号（城投集团）4楼贺州市公共资源交易中心交易大厅（具体安排见当天交易中心电子显示屏）。</w:t>
            </w:r>
          </w:p>
          <w:p>
            <w:pPr>
              <w:pStyle w:val="12"/>
              <w:spacing w:line="360" w:lineRule="auto"/>
              <w:rPr>
                <w:rFonts w:hAnsi="宋体" w:cs="宋体"/>
                <w:sz w:val="21"/>
                <w:szCs w:val="21"/>
              </w:rPr>
            </w:pPr>
            <w:r>
              <w:rPr>
                <w:rFonts w:hint="eastAsia" w:hAnsi="宋体" w:cs="宋体"/>
                <w:b/>
                <w:bCs/>
                <w:sz w:val="21"/>
                <w:szCs w:val="21"/>
              </w:rPr>
              <w:t>[注：竞标人代表（即磋商单位的法定代表人或其委托代理人）应按时参加开标会议，在递交响应文件时出示第二代身份证原件及复印件、企业营业执照副本复印件或《事业单位法人证书副本》复印件</w:t>
            </w:r>
            <w:r>
              <w:rPr>
                <w:rFonts w:hint="eastAsia" w:hAnsi="宋体" w:cs="宋体"/>
                <w:b/>
                <w:bCs/>
                <w:sz w:val="21"/>
                <w:szCs w:val="21"/>
                <w:lang w:eastAsia="zh-CN"/>
              </w:rPr>
              <w:t>（</w:t>
            </w:r>
            <w:r>
              <w:rPr>
                <w:rFonts w:hint="eastAsia" w:hAnsi="宋体" w:cs="宋体"/>
                <w:b/>
                <w:bCs/>
                <w:sz w:val="21"/>
                <w:szCs w:val="21"/>
                <w:lang w:val="en-US" w:eastAsia="zh-CN"/>
              </w:rPr>
              <w:t>联合体竞标时联合体各方均需提供</w:t>
            </w:r>
            <w:r>
              <w:rPr>
                <w:rFonts w:hint="eastAsia" w:hAnsi="宋体" w:cs="宋体"/>
                <w:b/>
                <w:bCs/>
                <w:sz w:val="21"/>
                <w:szCs w:val="21"/>
                <w:lang w:eastAsia="zh-CN"/>
              </w:rPr>
              <w:t>）</w:t>
            </w:r>
            <w:r>
              <w:rPr>
                <w:rFonts w:hint="eastAsia" w:hAnsi="宋体" w:cs="宋体"/>
                <w:b/>
                <w:bCs/>
                <w:sz w:val="21"/>
                <w:szCs w:val="21"/>
              </w:rPr>
              <w:t>、竞标</w:t>
            </w:r>
            <w:r>
              <w:rPr>
                <w:rFonts w:hint="eastAsia" w:hAnsi="宋体"/>
                <w:b/>
                <w:bCs/>
                <w:sz w:val="21"/>
                <w:szCs w:val="21"/>
              </w:rPr>
              <w:t>保证金转帐底单复印件</w:t>
            </w:r>
            <w:r>
              <w:rPr>
                <w:rFonts w:hint="eastAsia" w:hAnsi="宋体" w:cs="宋体"/>
                <w:b/>
                <w:bCs/>
                <w:sz w:val="21"/>
                <w:szCs w:val="21"/>
              </w:rPr>
              <w:t>、银行账户开户许可证复印件或加盖单位公章的“基本存款账户信息”凭条</w:t>
            </w:r>
            <w:r>
              <w:rPr>
                <w:rFonts w:hint="eastAsia" w:hAnsi="宋体" w:cs="宋体"/>
                <w:b/>
                <w:bCs/>
                <w:sz w:val="21"/>
                <w:szCs w:val="21"/>
                <w:lang w:eastAsia="zh-CN"/>
              </w:rPr>
              <w:t>（</w:t>
            </w:r>
            <w:r>
              <w:rPr>
                <w:rFonts w:hint="eastAsia" w:hAnsi="宋体" w:cs="宋体"/>
                <w:b/>
                <w:bCs/>
                <w:sz w:val="21"/>
                <w:szCs w:val="21"/>
                <w:lang w:val="en-US" w:eastAsia="zh-CN"/>
              </w:rPr>
              <w:t>联合体竞标时联合体各方均需提供</w:t>
            </w:r>
            <w:r>
              <w:rPr>
                <w:rFonts w:hint="eastAsia" w:hAnsi="宋体" w:cs="宋体"/>
                <w:b/>
                <w:bCs/>
                <w:sz w:val="21"/>
                <w:szCs w:val="21"/>
                <w:lang w:eastAsia="zh-CN"/>
              </w:rPr>
              <w:t>）</w:t>
            </w:r>
            <w:r>
              <w:rPr>
                <w:rFonts w:hint="eastAsia" w:hAnsi="宋体" w:cs="宋体"/>
                <w:b/>
                <w:bCs/>
                <w:sz w:val="21"/>
                <w:szCs w:val="21"/>
              </w:rPr>
              <w:t>、委托代理人还需出示法人授权委托书原件</w:t>
            </w:r>
            <w:r>
              <w:rPr>
                <w:rFonts w:hint="eastAsia" w:hAnsi="宋体" w:cs="宋体"/>
                <w:b/>
                <w:bCs/>
                <w:sz w:val="21"/>
                <w:szCs w:val="21"/>
                <w:lang w:eastAsia="zh-CN"/>
              </w:rPr>
              <w:t>（</w:t>
            </w:r>
            <w:r>
              <w:rPr>
                <w:rFonts w:hint="eastAsia" w:ascii="宋体" w:hAnsi="宋体"/>
                <w:b/>
                <w:bCs/>
                <w:sz w:val="21"/>
                <w:szCs w:val="21"/>
              </w:rPr>
              <w:t>联合体</w:t>
            </w:r>
            <w:r>
              <w:rPr>
                <w:rFonts w:hint="eastAsia" w:ascii="宋体" w:hAnsi="宋体"/>
                <w:b/>
                <w:bCs/>
                <w:sz w:val="21"/>
                <w:szCs w:val="21"/>
                <w:lang w:val="en-US" w:eastAsia="zh-CN"/>
              </w:rPr>
              <w:t>竞</w:t>
            </w:r>
            <w:r>
              <w:rPr>
                <w:rFonts w:hint="eastAsia" w:ascii="宋体" w:hAnsi="宋体"/>
                <w:b/>
                <w:bCs/>
                <w:sz w:val="21"/>
                <w:szCs w:val="21"/>
              </w:rPr>
              <w:t>标的由联合体中双方共同签署授权委托书</w:t>
            </w:r>
            <w:r>
              <w:rPr>
                <w:rFonts w:hint="eastAsia" w:hAnsi="宋体" w:cs="宋体"/>
                <w:b/>
                <w:bCs/>
                <w:sz w:val="21"/>
                <w:szCs w:val="21"/>
                <w:lang w:eastAsia="zh-CN"/>
              </w:rPr>
              <w:t>）</w:t>
            </w:r>
            <w:r>
              <w:rPr>
                <w:rFonts w:hint="eastAsia" w:hAnsi="宋体" w:cs="宋体"/>
                <w:b/>
                <w:bCs/>
                <w:sz w:val="21"/>
                <w:szCs w:val="21"/>
              </w:rPr>
              <w:t>，以上复印件需加盖单位公章。截标时由采购人代表和监督代表共同检查竞标人提交的证件资料，如提交的证件资料不合格或不齐全的，将做无效竞标处理。</w:t>
            </w:r>
            <w:r>
              <w:rPr>
                <w:rFonts w:hint="eastAsia" w:hAnsi="宋体" w:cs="宋体"/>
                <w:b/>
                <w:bCs/>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9</w:t>
            </w: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21.2</w:t>
            </w:r>
          </w:p>
        </w:tc>
        <w:tc>
          <w:tcPr>
            <w:tcW w:w="7911" w:type="dxa"/>
            <w:vAlign w:val="center"/>
          </w:tcPr>
          <w:p>
            <w:pPr>
              <w:pStyle w:val="12"/>
              <w:snapToGrid w:val="0"/>
              <w:spacing w:line="360" w:lineRule="auto"/>
              <w:ind w:left="1037" w:hanging="1037" w:hangingChars="494"/>
              <w:rPr>
                <w:rFonts w:hAnsi="宋体" w:cs="宋体"/>
                <w:sz w:val="21"/>
                <w:szCs w:val="21"/>
              </w:rPr>
            </w:pPr>
            <w:r>
              <w:rPr>
                <w:rFonts w:hint="eastAsia" w:hAnsi="宋体" w:cs="宋体"/>
                <w:sz w:val="21"/>
                <w:szCs w:val="21"/>
              </w:rPr>
              <w:t>评审办法：具体详见第四章评审办法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10</w:t>
            </w: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27.2</w:t>
            </w:r>
          </w:p>
        </w:tc>
        <w:tc>
          <w:tcPr>
            <w:tcW w:w="7911" w:type="dxa"/>
            <w:vAlign w:val="center"/>
          </w:tcPr>
          <w:p>
            <w:pPr>
              <w:rPr>
                <w:rFonts w:hAnsi="宋体" w:cs="宋体"/>
                <w:sz w:val="21"/>
                <w:szCs w:val="21"/>
              </w:rPr>
            </w:pPr>
            <w:r>
              <w:rPr>
                <w:rFonts w:hint="eastAsia"/>
                <w:sz w:val="21"/>
                <w:szCs w:val="21"/>
              </w:rPr>
              <w:t>签订合同：</w:t>
            </w:r>
            <w:bookmarkStart w:id="59" w:name="OLE_LINK1"/>
            <w:r>
              <w:rPr>
                <w:rFonts w:hint="eastAsia"/>
                <w:sz w:val="21"/>
                <w:szCs w:val="21"/>
              </w:rPr>
              <w:t>成交人应自接到本采购代理机构通知之日起5个工作日内缴交成交服务费，自成交通知书发出之日起5个工作日内凭成交通知书与采购人签订政府采购合同，逾期则视为放弃中标。</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11</w:t>
            </w:r>
          </w:p>
        </w:tc>
        <w:tc>
          <w:tcPr>
            <w:tcW w:w="1070" w:type="dxa"/>
            <w:vAlign w:val="center"/>
          </w:tcPr>
          <w:p>
            <w:pPr>
              <w:pStyle w:val="12"/>
              <w:snapToGrid w:val="0"/>
              <w:spacing w:line="360" w:lineRule="auto"/>
              <w:ind w:left="1037" w:hanging="1037" w:hangingChars="494"/>
              <w:jc w:val="center"/>
              <w:rPr>
                <w:rFonts w:hAnsi="宋体" w:cs="宋体"/>
                <w:sz w:val="21"/>
                <w:szCs w:val="21"/>
              </w:rPr>
            </w:pPr>
            <w:r>
              <w:rPr>
                <w:rFonts w:hint="eastAsia" w:hAnsi="宋体" w:cs="宋体"/>
                <w:sz w:val="21"/>
                <w:szCs w:val="21"/>
              </w:rPr>
              <w:t>28</w:t>
            </w:r>
          </w:p>
        </w:tc>
        <w:tc>
          <w:tcPr>
            <w:tcW w:w="7911" w:type="dxa"/>
            <w:vAlign w:val="center"/>
          </w:tcPr>
          <w:p>
            <w:pPr>
              <w:spacing w:line="380" w:lineRule="exact"/>
              <w:rPr>
                <w:rFonts w:ascii="宋体" w:hAnsi="宋体" w:cs="宋体"/>
                <w:bCs/>
                <w:sz w:val="21"/>
                <w:szCs w:val="21"/>
              </w:rPr>
            </w:pPr>
            <w:r>
              <w:rPr>
                <w:rFonts w:hint="eastAsia" w:cs="宋体"/>
                <w:bCs/>
                <w:sz w:val="21"/>
                <w:szCs w:val="21"/>
              </w:rPr>
              <w:t>履约保证金：</w:t>
            </w:r>
            <w:r>
              <w:rPr>
                <w:rFonts w:hint="eastAsia" w:ascii="宋体" w:hAnsi="宋体"/>
                <w:bCs/>
                <w:sz w:val="21"/>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12</w:t>
            </w:r>
          </w:p>
        </w:tc>
        <w:tc>
          <w:tcPr>
            <w:tcW w:w="1070"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29</w:t>
            </w:r>
          </w:p>
        </w:tc>
        <w:tc>
          <w:tcPr>
            <w:tcW w:w="7911" w:type="dxa"/>
            <w:vAlign w:val="center"/>
          </w:tcPr>
          <w:p>
            <w:pPr>
              <w:pStyle w:val="12"/>
              <w:spacing w:line="400" w:lineRule="exact"/>
              <w:rPr>
                <w:sz w:val="21"/>
                <w:szCs w:val="21"/>
              </w:rPr>
            </w:pPr>
            <w:r>
              <w:rPr>
                <w:rFonts w:hint="eastAsia"/>
                <w:sz w:val="21"/>
                <w:szCs w:val="21"/>
              </w:rPr>
              <w:t>成交服务费：</w:t>
            </w:r>
            <w:r>
              <w:rPr>
                <w:rFonts w:hint="eastAsia" w:hAnsi="宋体" w:cs="宋体"/>
                <w:color w:val="000000"/>
                <w:sz w:val="21"/>
                <w:szCs w:val="21"/>
              </w:rPr>
              <w:t>由成交服务商领取成交通知书前，向</w:t>
            </w:r>
            <w:r>
              <w:rPr>
                <w:rFonts w:hint="eastAsia" w:hAnsi="宋体"/>
                <w:color w:val="000000"/>
                <w:sz w:val="21"/>
                <w:szCs w:val="21"/>
              </w:rPr>
              <w:t>广东展诚工程咨询有限公司贺州</w:t>
            </w:r>
            <w:r>
              <w:rPr>
                <w:rFonts w:hint="eastAsia" w:hAnsi="宋体" w:cs="宋体"/>
                <w:color w:val="000000"/>
                <w:sz w:val="21"/>
                <w:szCs w:val="21"/>
              </w:rPr>
              <w:t>分公司一次性付清</w:t>
            </w:r>
            <w:r>
              <w:rPr>
                <w:rFonts w:hint="eastAsia" w:hAnsi="宋体" w:cs="宋体"/>
                <w:color w:val="000000"/>
                <w:sz w:val="21"/>
                <w:szCs w:val="21"/>
                <w:lang w:val="en-US" w:eastAsia="zh-CN"/>
              </w:rPr>
              <w:t>采购</w:t>
            </w:r>
            <w:r>
              <w:rPr>
                <w:rFonts w:hint="eastAsia" w:hAnsi="宋体" w:cs="宋体"/>
                <w:color w:val="000000"/>
                <w:sz w:val="21"/>
                <w:szCs w:val="21"/>
              </w:rPr>
              <w:t>代理服务费，</w:t>
            </w:r>
            <w:r>
              <w:rPr>
                <w:rFonts w:hint="eastAsia" w:hAnsi="宋体" w:cs="宋体"/>
                <w:sz w:val="21"/>
                <w:szCs w:val="21"/>
              </w:rPr>
              <w:t>其金额按国家发展计划委员会计价格〔2002〕1980号《招标代理服务收费管理暂行办法》</w:t>
            </w:r>
            <w:r>
              <w:rPr>
                <w:rFonts w:hint="eastAsia" w:hAnsi="宋体" w:cs="宋体"/>
                <w:bCs/>
                <w:sz w:val="21"/>
                <w:szCs w:val="21"/>
              </w:rPr>
              <w:t>招标收费标准</w:t>
            </w:r>
            <w:r>
              <w:rPr>
                <w:rFonts w:hint="eastAsia" w:hAnsi="宋体" w:cs="宋体"/>
                <w:sz w:val="21"/>
                <w:szCs w:val="21"/>
              </w:rPr>
              <w:t>收取</w:t>
            </w:r>
            <w:r>
              <w:rPr>
                <w:rFonts w:hint="eastAsia" w:hAnsi="宋体"/>
                <w:sz w:val="21"/>
                <w:szCs w:val="21"/>
              </w:rPr>
              <w:t>。否则，采购代理机构将视之为违约，取消该成交决定并没收成交人已提交的全部磋商保证金。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13</w:t>
            </w:r>
          </w:p>
        </w:tc>
        <w:tc>
          <w:tcPr>
            <w:tcW w:w="1070" w:type="dxa"/>
            <w:vAlign w:val="center"/>
          </w:tcPr>
          <w:p>
            <w:pPr>
              <w:snapToGrid w:val="0"/>
              <w:spacing w:line="360" w:lineRule="auto"/>
              <w:jc w:val="center"/>
              <w:rPr>
                <w:rFonts w:ascii="宋体" w:hAnsi="宋体" w:cs="宋体"/>
                <w:sz w:val="21"/>
                <w:szCs w:val="21"/>
              </w:rPr>
            </w:pPr>
          </w:p>
        </w:tc>
        <w:tc>
          <w:tcPr>
            <w:tcW w:w="7911" w:type="dxa"/>
            <w:vAlign w:val="center"/>
          </w:tcPr>
          <w:p>
            <w:pPr>
              <w:pStyle w:val="32"/>
              <w:snapToGrid w:val="0"/>
              <w:spacing w:line="360" w:lineRule="auto"/>
              <w:rPr>
                <w:rFonts w:hAnsi="宋体" w:cs="宋体"/>
                <w:sz w:val="21"/>
                <w:szCs w:val="21"/>
              </w:rPr>
            </w:pPr>
            <w:r>
              <w:rPr>
                <w:rFonts w:hint="eastAsia" w:hAnsi="宋体" w:cs="宋体"/>
                <w:sz w:val="21"/>
                <w:szCs w:val="21"/>
              </w:rPr>
              <w:t>采购人、采购代理机构不再组织竞标人进行现场考察或召开磋商前答疑会。编制单位可自行到现场踏勘，在现场考察过程中，报名单位及其聘用、雇佣人员如果发生意外人身伤亡伤害、财物或其它损失等一切风险均由报名单位自理，采购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14</w:t>
            </w:r>
          </w:p>
        </w:tc>
        <w:tc>
          <w:tcPr>
            <w:tcW w:w="1070" w:type="dxa"/>
            <w:vAlign w:val="center"/>
          </w:tcPr>
          <w:p>
            <w:pPr>
              <w:snapToGrid w:val="0"/>
              <w:spacing w:line="360" w:lineRule="auto"/>
              <w:jc w:val="center"/>
              <w:rPr>
                <w:rFonts w:ascii="宋体" w:hAnsi="宋体" w:cs="宋体"/>
                <w:sz w:val="21"/>
                <w:szCs w:val="21"/>
              </w:rPr>
            </w:pPr>
          </w:p>
        </w:tc>
        <w:tc>
          <w:tcPr>
            <w:tcW w:w="7911" w:type="dxa"/>
            <w:vAlign w:val="center"/>
          </w:tcPr>
          <w:p>
            <w:pPr>
              <w:pStyle w:val="32"/>
              <w:snapToGrid w:val="0"/>
              <w:spacing w:line="360" w:lineRule="auto"/>
              <w:rPr>
                <w:rFonts w:hAnsi="宋体" w:cs="宋体"/>
                <w:sz w:val="21"/>
                <w:szCs w:val="21"/>
              </w:rPr>
            </w:pPr>
            <w:r>
              <w:rPr>
                <w:rFonts w:hint="eastAsia" w:hAnsi="宋体" w:cs="宋体"/>
                <w:sz w:val="21"/>
                <w:szCs w:val="21"/>
              </w:rPr>
              <w:t>竞标人必须对响应文件中所提供的所有文件的真实性、有效性及合法性负责，如果经查实竞标人提供虚假资料的，响应无效，如成交，即取消其成交资格。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15</w:t>
            </w:r>
          </w:p>
        </w:tc>
        <w:tc>
          <w:tcPr>
            <w:tcW w:w="1070" w:type="dxa"/>
            <w:vAlign w:val="center"/>
          </w:tcPr>
          <w:p>
            <w:pPr>
              <w:snapToGrid w:val="0"/>
              <w:spacing w:line="360" w:lineRule="auto"/>
              <w:jc w:val="center"/>
              <w:rPr>
                <w:rFonts w:ascii="宋体" w:hAnsi="宋体" w:cs="宋体"/>
                <w:sz w:val="21"/>
                <w:szCs w:val="21"/>
              </w:rPr>
            </w:pPr>
          </w:p>
        </w:tc>
        <w:tc>
          <w:tcPr>
            <w:tcW w:w="7911" w:type="dxa"/>
            <w:vAlign w:val="center"/>
          </w:tcPr>
          <w:p>
            <w:pPr>
              <w:pStyle w:val="32"/>
              <w:snapToGrid w:val="0"/>
              <w:spacing w:line="360" w:lineRule="auto"/>
              <w:rPr>
                <w:rFonts w:hAnsi="宋体" w:cs="宋体"/>
                <w:sz w:val="21"/>
                <w:szCs w:val="21"/>
              </w:rPr>
            </w:pPr>
            <w:r>
              <w:rPr>
                <w:rFonts w:hint="eastAsia" w:hAnsi="宋体" w:cs="宋体"/>
                <w:sz w:val="21"/>
                <w:szCs w:val="21"/>
              </w:rPr>
              <w:t>本项目不允许转包或分包，如成交人出现转包或分包情形，采购单位有权取消其成交资格，且磋商保证金不予退还。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16</w:t>
            </w:r>
          </w:p>
        </w:tc>
        <w:tc>
          <w:tcPr>
            <w:tcW w:w="1070" w:type="dxa"/>
            <w:vAlign w:val="center"/>
          </w:tcPr>
          <w:p>
            <w:pPr>
              <w:spacing w:line="400" w:lineRule="exact"/>
              <w:jc w:val="center"/>
              <w:rPr>
                <w:rFonts w:ascii="宋体" w:hAnsi="宋体" w:cs="宋体"/>
                <w:sz w:val="21"/>
                <w:szCs w:val="21"/>
              </w:rPr>
            </w:pPr>
            <w:r>
              <w:rPr>
                <w:rFonts w:hint="eastAsia" w:ascii="宋体" w:hAnsi="宋体" w:cs="宋体"/>
                <w:sz w:val="21"/>
                <w:szCs w:val="21"/>
              </w:rPr>
              <w:t>解释权</w:t>
            </w:r>
          </w:p>
        </w:tc>
        <w:tc>
          <w:tcPr>
            <w:tcW w:w="7911" w:type="dxa"/>
          </w:tcPr>
          <w:p>
            <w:pPr>
              <w:spacing w:line="400" w:lineRule="exact"/>
              <w:rPr>
                <w:rFonts w:ascii="宋体" w:hAnsi="宋体" w:cs="宋体"/>
                <w:sz w:val="21"/>
                <w:szCs w:val="21"/>
              </w:rPr>
            </w:pPr>
            <w:r>
              <w:rPr>
                <w:rFonts w:hint="eastAsia" w:ascii="宋体" w:hAnsi="宋体" w:cs="宋体"/>
                <w:sz w:val="21"/>
                <w:szCs w:val="21"/>
              </w:rPr>
              <w:t>本竞争性磋商文件是根据《中华人民共和国政府采购法》、《中华人民共和国政府采购法实施条例》、《政府采购非招标采购方式管理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6" w:type="dxa"/>
            <w:vAlign w:val="center"/>
          </w:tcPr>
          <w:p>
            <w:pPr>
              <w:snapToGrid w:val="0"/>
              <w:spacing w:line="360" w:lineRule="auto"/>
              <w:jc w:val="center"/>
              <w:rPr>
                <w:rFonts w:ascii="宋体" w:hAnsi="宋体" w:cs="宋体"/>
                <w:sz w:val="21"/>
                <w:szCs w:val="21"/>
              </w:rPr>
            </w:pPr>
            <w:r>
              <w:rPr>
                <w:rFonts w:hint="eastAsia" w:ascii="宋体" w:hAnsi="宋体" w:cs="宋体"/>
                <w:sz w:val="21"/>
                <w:szCs w:val="21"/>
              </w:rPr>
              <w:t>17</w:t>
            </w:r>
          </w:p>
        </w:tc>
        <w:tc>
          <w:tcPr>
            <w:tcW w:w="1070" w:type="dxa"/>
            <w:vAlign w:val="center"/>
          </w:tcPr>
          <w:p>
            <w:pPr>
              <w:spacing w:line="400" w:lineRule="exact"/>
              <w:jc w:val="center"/>
              <w:rPr>
                <w:rFonts w:ascii="宋体" w:hAnsi="宋体" w:cs="宋体"/>
                <w:sz w:val="21"/>
                <w:szCs w:val="21"/>
              </w:rPr>
            </w:pPr>
            <w:r>
              <w:rPr>
                <w:rFonts w:hint="eastAsia" w:ascii="宋体" w:hAnsi="宋体" w:cs="宋体"/>
                <w:sz w:val="21"/>
                <w:szCs w:val="21"/>
              </w:rPr>
              <w:t>监督管理机构</w:t>
            </w:r>
          </w:p>
        </w:tc>
        <w:tc>
          <w:tcPr>
            <w:tcW w:w="7911" w:type="dxa"/>
            <w:vAlign w:val="center"/>
          </w:tcPr>
          <w:p>
            <w:pPr>
              <w:spacing w:line="400" w:lineRule="exact"/>
              <w:rPr>
                <w:rFonts w:ascii="宋体" w:hAnsi="宋体" w:cs="宋体"/>
                <w:sz w:val="21"/>
                <w:szCs w:val="21"/>
              </w:rPr>
            </w:pPr>
            <w:r>
              <w:rPr>
                <w:rFonts w:hint="eastAsia" w:ascii="宋体" w:hAnsi="宋体" w:cs="宋体"/>
                <w:sz w:val="21"/>
                <w:szCs w:val="21"/>
              </w:rPr>
              <w:t>贺州市政府采购管理办公室</w:t>
            </w:r>
          </w:p>
        </w:tc>
      </w:tr>
    </w:tbl>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360" w:lineRule="auto"/>
      </w:pPr>
    </w:p>
    <w:p>
      <w:pPr>
        <w:pStyle w:val="12"/>
        <w:spacing w:line="400" w:lineRule="exact"/>
        <w:jc w:val="center"/>
        <w:rPr>
          <w:rFonts w:hAnsi="宋体"/>
          <w:b/>
          <w:sz w:val="32"/>
        </w:rPr>
      </w:pPr>
      <w:r>
        <w:rPr>
          <w:rFonts w:hint="eastAsia" w:hAnsi="宋体"/>
          <w:b/>
          <w:sz w:val="32"/>
        </w:rPr>
        <w:t>竞 标 人 须 知</w:t>
      </w:r>
    </w:p>
    <w:p>
      <w:pPr>
        <w:pStyle w:val="12"/>
        <w:spacing w:line="400" w:lineRule="exact"/>
        <w:jc w:val="center"/>
        <w:rPr>
          <w:rFonts w:hAnsi="宋体"/>
          <w:b/>
          <w:sz w:val="32"/>
        </w:rPr>
      </w:pPr>
    </w:p>
    <w:p>
      <w:pPr>
        <w:pStyle w:val="12"/>
        <w:spacing w:line="400" w:lineRule="exact"/>
        <w:jc w:val="center"/>
        <w:rPr>
          <w:rFonts w:hAnsi="宋体"/>
          <w:b/>
          <w:sz w:val="32"/>
        </w:rPr>
      </w:pPr>
    </w:p>
    <w:p>
      <w:pPr>
        <w:pStyle w:val="4"/>
        <w:spacing w:line="390" w:lineRule="exact"/>
        <w:jc w:val="center"/>
      </w:pPr>
      <w:bookmarkStart w:id="60" w:name="_Toc207770834"/>
      <w:bookmarkStart w:id="61" w:name="_Toc489352128"/>
      <w:bookmarkStart w:id="62" w:name="_Toc206525681"/>
      <w:bookmarkStart w:id="63" w:name="_Toc444005980"/>
      <w:bookmarkStart w:id="64" w:name="_Toc185702548"/>
      <w:bookmarkStart w:id="65" w:name="_Toc239839862"/>
      <w:bookmarkStart w:id="66" w:name="_Toc230578056"/>
      <w:r>
        <w:rPr>
          <w:rFonts w:hint="eastAsia"/>
        </w:rPr>
        <w:t>一   总  则</w:t>
      </w:r>
      <w:bookmarkEnd w:id="60"/>
      <w:bookmarkEnd w:id="61"/>
      <w:bookmarkEnd w:id="62"/>
      <w:bookmarkEnd w:id="63"/>
      <w:bookmarkEnd w:id="64"/>
      <w:bookmarkEnd w:id="65"/>
      <w:bookmarkEnd w:id="66"/>
    </w:p>
    <w:p>
      <w:pPr>
        <w:pStyle w:val="5"/>
        <w:spacing w:before="0" w:after="0" w:line="390" w:lineRule="exact"/>
        <w:rPr>
          <w:rFonts w:ascii="宋体" w:hAnsi="宋体" w:eastAsia="宋体"/>
          <w:sz w:val="21"/>
          <w:szCs w:val="21"/>
        </w:rPr>
      </w:pPr>
      <w:bookmarkStart w:id="67" w:name="_Toc185702549"/>
      <w:bookmarkStart w:id="68" w:name="_Toc239839863"/>
      <w:bookmarkStart w:id="69" w:name="_Toc206525682"/>
      <w:bookmarkStart w:id="70" w:name="_Toc207770835"/>
      <w:bookmarkStart w:id="71" w:name="_Toc230578057"/>
      <w:bookmarkStart w:id="72" w:name="_Toc444005981"/>
      <w:bookmarkStart w:id="73" w:name="_Toc489352129"/>
      <w:r>
        <w:rPr>
          <w:rFonts w:hint="eastAsia" w:ascii="宋体" w:hAnsi="宋体" w:eastAsia="宋体"/>
          <w:sz w:val="21"/>
          <w:szCs w:val="21"/>
        </w:rPr>
        <w:t>1、</w:t>
      </w:r>
      <w:bookmarkEnd w:id="67"/>
      <w:bookmarkEnd w:id="68"/>
      <w:bookmarkEnd w:id="69"/>
      <w:bookmarkEnd w:id="70"/>
      <w:bookmarkEnd w:id="71"/>
      <w:r>
        <w:rPr>
          <w:rFonts w:hint="eastAsia" w:ascii="宋体" w:hAnsi="宋体" w:eastAsia="宋体"/>
          <w:sz w:val="21"/>
          <w:szCs w:val="21"/>
        </w:rPr>
        <w:t>适用范围及定义</w:t>
      </w:r>
      <w:bookmarkEnd w:id="72"/>
      <w:bookmarkEnd w:id="73"/>
    </w:p>
    <w:p>
      <w:pPr>
        <w:spacing w:line="390" w:lineRule="exact"/>
        <w:ind w:firstLine="420"/>
        <w:rPr>
          <w:rFonts w:ascii="宋体" w:hAnsi="宋体"/>
          <w:szCs w:val="21"/>
        </w:rPr>
      </w:pPr>
      <w:bookmarkStart w:id="74" w:name="_Toc206525683"/>
      <w:bookmarkStart w:id="75" w:name="_Toc239839864"/>
      <w:bookmarkStart w:id="76" w:name="_Toc207770836"/>
      <w:bookmarkStart w:id="77" w:name="_Toc230578058"/>
      <w:bookmarkStart w:id="78" w:name="_Toc185702550"/>
      <w:r>
        <w:rPr>
          <w:rFonts w:hint="eastAsia" w:ascii="宋体" w:hAnsi="宋体"/>
          <w:szCs w:val="21"/>
        </w:rPr>
        <w:t>1</w:t>
      </w:r>
      <w:r>
        <w:rPr>
          <w:rFonts w:ascii="宋体" w:hAnsi="宋体"/>
          <w:szCs w:val="21"/>
        </w:rPr>
        <w:t>.1</w:t>
      </w:r>
      <w:r>
        <w:rPr>
          <w:rFonts w:hint="eastAsia" w:ascii="宋体" w:hAnsi="宋体"/>
          <w:szCs w:val="21"/>
        </w:rPr>
        <w:t>适用范围：本竞争性磋商文件仅适用于本次招标中所述项目的货物、服务类政府采购项目。</w:t>
      </w:r>
    </w:p>
    <w:p>
      <w:pPr>
        <w:spacing w:line="390" w:lineRule="exact"/>
        <w:ind w:firstLine="420"/>
        <w:rPr>
          <w:rFonts w:ascii="宋体" w:hAnsi="宋体"/>
          <w:szCs w:val="21"/>
        </w:rPr>
      </w:pPr>
      <w:r>
        <w:rPr>
          <w:rFonts w:hint="eastAsia" w:ascii="宋体" w:hAnsi="宋体"/>
          <w:szCs w:val="21"/>
        </w:rPr>
        <w:t>1.2定义：</w:t>
      </w:r>
    </w:p>
    <w:p>
      <w:pPr>
        <w:spacing w:line="390" w:lineRule="exact"/>
        <w:ind w:firstLine="420"/>
        <w:rPr>
          <w:rFonts w:ascii="宋体" w:hAnsi="宋体"/>
          <w:szCs w:val="21"/>
        </w:rPr>
      </w:pPr>
      <w:r>
        <w:rPr>
          <w:rFonts w:hint="eastAsia" w:ascii="宋体" w:hAnsi="宋体"/>
          <w:szCs w:val="21"/>
        </w:rPr>
        <w:t>1.2.1“采购人”系指本次采购项目的业主方或买方。</w:t>
      </w:r>
    </w:p>
    <w:p>
      <w:pPr>
        <w:spacing w:line="390" w:lineRule="exact"/>
        <w:ind w:firstLine="420"/>
        <w:rPr>
          <w:rFonts w:ascii="宋体" w:hAnsi="宋体"/>
          <w:szCs w:val="21"/>
        </w:rPr>
      </w:pPr>
      <w:r>
        <w:rPr>
          <w:rFonts w:hint="eastAsia" w:ascii="宋体" w:hAnsi="宋体"/>
          <w:szCs w:val="21"/>
        </w:rPr>
        <w:t>1.2.2“采购代理机构” 系指本次采购项目活动组织方</w:t>
      </w:r>
      <w:r>
        <w:rPr>
          <w:rFonts w:hint="eastAsia" w:hAnsi="宋体"/>
        </w:rPr>
        <w:t>广东展诚工程咨询有限公司</w:t>
      </w:r>
      <w:r>
        <w:rPr>
          <w:rFonts w:hint="eastAsia" w:ascii="宋体" w:hAnsi="宋体"/>
          <w:szCs w:val="21"/>
        </w:rPr>
        <w:t>。</w:t>
      </w:r>
    </w:p>
    <w:p>
      <w:pPr>
        <w:spacing w:line="390" w:lineRule="exact"/>
        <w:ind w:firstLine="420"/>
        <w:rPr>
          <w:rFonts w:ascii="宋体" w:hAnsi="宋体"/>
          <w:szCs w:val="21"/>
        </w:rPr>
      </w:pPr>
      <w:r>
        <w:rPr>
          <w:rFonts w:hint="eastAsia" w:ascii="宋体" w:hAnsi="宋体"/>
          <w:szCs w:val="21"/>
        </w:rPr>
        <w:t>1.2.3“竞标人”系指按要求至</w:t>
      </w:r>
      <w:r>
        <w:rPr>
          <w:rFonts w:hint="eastAsia"/>
          <w:szCs w:val="21"/>
        </w:rPr>
        <w:t>采购代理机构进行报名登记并购买</w:t>
      </w:r>
      <w:r>
        <w:rPr>
          <w:rFonts w:hint="eastAsia" w:ascii="宋体" w:hAnsi="宋体"/>
          <w:szCs w:val="21"/>
        </w:rPr>
        <w:t>竞争性磋商文件且提交“响应文件”参加采购活动的竞标人。在竞标阶段称为竞标人；在签订和履行合同阶段称为成交人。</w:t>
      </w:r>
    </w:p>
    <w:p>
      <w:pPr>
        <w:spacing w:line="390" w:lineRule="exact"/>
        <w:ind w:firstLine="420"/>
        <w:rPr>
          <w:rFonts w:ascii="宋体" w:hAnsi="宋体"/>
          <w:szCs w:val="21"/>
        </w:rPr>
      </w:pPr>
      <w:r>
        <w:rPr>
          <w:rFonts w:hint="eastAsia" w:ascii="宋体" w:hAnsi="宋体"/>
          <w:szCs w:val="21"/>
        </w:rPr>
        <w:t>1.2.4“货物”系指卖方按竞争性磋商文件规定向买方提供的一切货物、设备、机械、仪器仪表、备品备件、工具、手册及其它有关技术资料和材料。</w:t>
      </w:r>
    </w:p>
    <w:p>
      <w:pPr>
        <w:spacing w:line="390" w:lineRule="exact"/>
        <w:ind w:firstLine="420"/>
        <w:rPr>
          <w:rFonts w:ascii="宋体" w:hAnsi="宋体"/>
          <w:szCs w:val="21"/>
        </w:rPr>
      </w:pPr>
      <w:r>
        <w:rPr>
          <w:rFonts w:hint="eastAsia" w:ascii="宋体" w:hAnsi="宋体"/>
          <w:szCs w:val="21"/>
        </w:rPr>
        <w:t>1.2.5“服务”系指竞争性磋商文件规定卖方须承担的技术协助、校准、培训以及其他类似的义务。</w:t>
      </w:r>
    </w:p>
    <w:p>
      <w:pPr>
        <w:spacing w:line="390" w:lineRule="exact"/>
        <w:ind w:firstLine="420"/>
        <w:rPr>
          <w:rFonts w:ascii="宋体" w:hAnsi="宋体"/>
          <w:szCs w:val="21"/>
        </w:rPr>
      </w:pPr>
      <w:r>
        <w:rPr>
          <w:rFonts w:hint="eastAsia" w:ascii="宋体" w:hAnsi="宋体"/>
          <w:szCs w:val="21"/>
        </w:rPr>
        <w:t>1.2.6“响应文件”是指：竞标人根据竞争性磋商文件要求，编制包含报价、技术和服务等所有内容的文件。</w:t>
      </w:r>
    </w:p>
    <w:p>
      <w:pPr>
        <w:pStyle w:val="5"/>
        <w:spacing w:before="0" w:after="0" w:line="390" w:lineRule="exact"/>
        <w:rPr>
          <w:rFonts w:ascii="宋体" w:hAnsi="宋体" w:eastAsia="宋体"/>
          <w:sz w:val="21"/>
          <w:szCs w:val="21"/>
        </w:rPr>
      </w:pPr>
      <w:bookmarkStart w:id="79" w:name="_Toc489352130"/>
      <w:bookmarkStart w:id="80" w:name="_Toc444005982"/>
      <w:r>
        <w:rPr>
          <w:rFonts w:hint="eastAsia" w:ascii="宋体" w:hAnsi="宋体" w:eastAsia="宋体"/>
          <w:sz w:val="21"/>
          <w:szCs w:val="21"/>
        </w:rPr>
        <w:t>2、</w:t>
      </w:r>
      <w:bookmarkEnd w:id="74"/>
      <w:bookmarkEnd w:id="75"/>
      <w:bookmarkEnd w:id="76"/>
      <w:bookmarkEnd w:id="77"/>
      <w:bookmarkEnd w:id="78"/>
      <w:r>
        <w:rPr>
          <w:rFonts w:hint="eastAsia" w:ascii="宋体" w:hAnsi="宋体" w:eastAsia="宋体"/>
          <w:sz w:val="21"/>
          <w:szCs w:val="21"/>
        </w:rPr>
        <w:t>合格的</w:t>
      </w:r>
      <w:bookmarkEnd w:id="79"/>
      <w:bookmarkEnd w:id="80"/>
      <w:r>
        <w:rPr>
          <w:rFonts w:hint="eastAsia" w:ascii="宋体" w:hAnsi="宋体" w:eastAsia="宋体"/>
          <w:sz w:val="21"/>
          <w:szCs w:val="21"/>
        </w:rPr>
        <w:t>竞标人</w:t>
      </w:r>
    </w:p>
    <w:p>
      <w:pPr>
        <w:pStyle w:val="12"/>
        <w:spacing w:line="390" w:lineRule="exact"/>
        <w:ind w:firstLine="420"/>
        <w:rPr>
          <w:rFonts w:hAnsi="宋体"/>
        </w:rPr>
      </w:pPr>
      <w:r>
        <w:rPr>
          <w:rFonts w:hint="eastAsia"/>
        </w:rPr>
        <w:t>2.1合格的竞标人应符合竞标人须知前附表所规定的资格要求</w:t>
      </w:r>
      <w:r>
        <w:rPr>
          <w:rFonts w:hint="eastAsia" w:hAnsi="宋体"/>
        </w:rPr>
        <w:t>。</w:t>
      </w:r>
    </w:p>
    <w:p>
      <w:pPr>
        <w:pStyle w:val="12"/>
        <w:spacing w:line="390" w:lineRule="exact"/>
        <w:ind w:firstLine="420"/>
      </w:pPr>
      <w:r>
        <w:rPr>
          <w:rFonts w:hint="eastAsia"/>
        </w:rPr>
        <w:t>2.2符合竞标人资格的竞标人应承担竞标及履约中应承担的全部责任与义务。</w:t>
      </w:r>
    </w:p>
    <w:p>
      <w:pPr>
        <w:pStyle w:val="5"/>
        <w:spacing w:before="0" w:after="0" w:line="390" w:lineRule="exact"/>
        <w:rPr>
          <w:rFonts w:ascii="宋体" w:hAnsi="宋体" w:eastAsia="宋体"/>
          <w:sz w:val="21"/>
          <w:szCs w:val="21"/>
        </w:rPr>
      </w:pPr>
      <w:bookmarkStart w:id="81" w:name="_Toc207770837"/>
      <w:bookmarkStart w:id="82" w:name="_Toc239839865"/>
      <w:bookmarkStart w:id="83" w:name="_Toc444005983"/>
      <w:bookmarkStart w:id="84" w:name="_Toc489352131"/>
      <w:bookmarkStart w:id="85" w:name="_Toc230578059"/>
      <w:bookmarkStart w:id="86" w:name="_Toc206525684"/>
      <w:bookmarkStart w:id="87" w:name="_Toc185702551"/>
      <w:r>
        <w:rPr>
          <w:rFonts w:hint="eastAsia" w:ascii="宋体" w:hAnsi="宋体" w:eastAsia="宋体"/>
          <w:sz w:val="21"/>
          <w:szCs w:val="21"/>
        </w:rPr>
        <w:t>3、竞标费用</w:t>
      </w:r>
      <w:bookmarkEnd w:id="81"/>
      <w:bookmarkEnd w:id="82"/>
      <w:bookmarkEnd w:id="83"/>
      <w:bookmarkEnd w:id="84"/>
      <w:bookmarkEnd w:id="85"/>
      <w:bookmarkEnd w:id="86"/>
      <w:bookmarkEnd w:id="87"/>
    </w:p>
    <w:p>
      <w:pPr>
        <w:pStyle w:val="12"/>
        <w:spacing w:line="390" w:lineRule="exact"/>
        <w:ind w:firstLine="420"/>
      </w:pPr>
      <w:r>
        <w:rPr>
          <w:rFonts w:hint="eastAsia"/>
        </w:rPr>
        <w:t>3.1竞标人应自行承担所有与编写和提交响应文件有关的费用，不论</w:t>
      </w:r>
      <w:r>
        <w:rPr>
          <w:rFonts w:hint="eastAsia" w:hAnsi="宋体"/>
        </w:rPr>
        <w:t>磋商</w:t>
      </w:r>
      <w:r>
        <w:rPr>
          <w:rFonts w:hint="eastAsia"/>
        </w:rPr>
        <w:t>结果如何，采购人（采购代理机构）在任何情况下无义务和责任承担此类费用。</w:t>
      </w:r>
    </w:p>
    <w:p>
      <w:pPr>
        <w:tabs>
          <w:tab w:val="left" w:pos="1635"/>
        </w:tabs>
        <w:spacing w:line="400" w:lineRule="exact"/>
        <w:rPr>
          <w:rFonts w:ascii="宋体" w:hAnsi="宋体" w:cs="宋体"/>
          <w:b/>
          <w:szCs w:val="21"/>
        </w:rPr>
      </w:pPr>
      <w:r>
        <w:rPr>
          <w:rFonts w:hint="eastAsia" w:ascii="宋体" w:hAnsi="宋体" w:cs="宋体"/>
          <w:b/>
          <w:szCs w:val="21"/>
        </w:rPr>
        <w:t>4、联合体要求</w:t>
      </w:r>
    </w:p>
    <w:p>
      <w:pPr>
        <w:spacing w:line="400" w:lineRule="exact"/>
        <w:rPr>
          <w:rFonts w:hint="eastAsia"/>
        </w:rPr>
      </w:pPr>
      <w:r>
        <w:rPr>
          <w:rFonts w:hint="eastAsia" w:ascii="宋体" w:hAnsi="宋体" w:cs="宋体"/>
        </w:rPr>
        <w:t xml:space="preserve">    </w:t>
      </w:r>
      <w:r>
        <w:rPr>
          <w:rFonts w:hint="eastAsia" w:ascii="宋体" w:hAnsi="宋体" w:cs="宋体"/>
          <w:lang w:val="en-US" w:eastAsia="zh-CN"/>
        </w:rPr>
        <w:t>4.1</w:t>
      </w:r>
      <w:r>
        <w:rPr>
          <w:rFonts w:hint="eastAsia" w:ascii="宋体" w:hAnsi="宋体" w:cs="宋体"/>
          <w:bCs/>
          <w:color w:val="auto"/>
          <w:sz w:val="21"/>
          <w:szCs w:val="21"/>
        </w:rPr>
        <w:t>本项目接受联合体竞标，</w:t>
      </w:r>
      <w:r>
        <w:rPr>
          <w:rFonts w:hint="eastAsia" w:asciiTheme="minorEastAsia" w:hAnsiTheme="minorEastAsia" w:eastAsiaTheme="minorEastAsia" w:cstheme="minorEastAsia"/>
          <w:color w:val="auto"/>
          <w:kern w:val="0"/>
          <w:sz w:val="21"/>
          <w:szCs w:val="21"/>
          <w:shd w:val="clear" w:fill="auto"/>
          <w:lang w:val="en-US" w:eastAsia="zh-CN" w:bidi="ar"/>
        </w:rPr>
        <w:t>联合体竞标的</w:t>
      </w:r>
      <w:r>
        <w:rPr>
          <w:rFonts w:hint="eastAsia" w:asciiTheme="minorEastAsia" w:hAnsiTheme="minorEastAsia" w:eastAsiaTheme="minorEastAsia" w:cstheme="minorEastAsia"/>
          <w:bCs/>
          <w:color w:val="auto"/>
          <w:sz w:val="21"/>
          <w:szCs w:val="21"/>
        </w:rPr>
        <w:t>(不超过</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家企业、单位)</w:t>
      </w:r>
      <w:r>
        <w:rPr>
          <w:rFonts w:hint="eastAsia" w:asciiTheme="minorEastAsia" w:hAnsiTheme="minorEastAsia" w:eastAsiaTheme="minorEastAsia" w:cstheme="minorEastAsia"/>
          <w:color w:val="auto"/>
          <w:kern w:val="0"/>
          <w:sz w:val="21"/>
          <w:szCs w:val="21"/>
          <w:shd w:val="clear" w:fill="auto"/>
          <w:lang w:val="en-US" w:eastAsia="zh-CN" w:bidi="ar"/>
        </w:rPr>
        <w:t>，应满足下列要求：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u w:val="none"/>
          <w:lang w:val="en-US" w:eastAsia="zh-CN" w:bidi="ar"/>
        </w:rPr>
        <w:t>4.1.1本项目接受由具有独立法人资格且经营范围能清晰反映该单位具有承揽本项目的资格等类别内容</w:t>
      </w:r>
      <w:r>
        <w:rPr>
          <w:rFonts w:hint="eastAsia" w:asciiTheme="minorEastAsia" w:hAnsiTheme="minorEastAsia" w:eastAsiaTheme="minorEastAsia" w:cstheme="minorEastAsia"/>
          <w:color w:val="auto"/>
          <w:kern w:val="0"/>
          <w:sz w:val="21"/>
          <w:szCs w:val="21"/>
          <w:lang w:val="en-US" w:eastAsia="zh-CN" w:bidi="ar"/>
        </w:rPr>
        <w:t>的供应商作为牵头人组成的联合体</w:t>
      </w:r>
      <w:r>
        <w:rPr>
          <w:rFonts w:hint="eastAsia" w:asciiTheme="minorEastAsia" w:hAnsiTheme="minorEastAsia" w:eastAsiaTheme="minorEastAsia" w:cstheme="minorEastAsia"/>
          <w:color w:val="auto"/>
          <w:kern w:val="0"/>
          <w:sz w:val="21"/>
          <w:szCs w:val="21"/>
          <w:u w:val="none"/>
          <w:lang w:val="en-US" w:eastAsia="zh-CN" w:bidi="ar"/>
        </w:rPr>
        <w:t>竞标，联合体</w:t>
      </w:r>
      <w:r>
        <w:rPr>
          <w:rFonts w:hint="eastAsia" w:asciiTheme="minorEastAsia" w:hAnsiTheme="minorEastAsia" w:eastAsiaTheme="minorEastAsia" w:cstheme="minorEastAsia"/>
          <w:color w:val="auto"/>
          <w:kern w:val="0"/>
          <w:sz w:val="21"/>
          <w:szCs w:val="21"/>
          <w:lang w:val="en-US" w:eastAsia="zh-CN" w:bidi="ar"/>
        </w:rPr>
        <w:t>成员单位不超过两个。联合体各方均应符合“具有独立法人资格”、“具有独立承担民事责任的能力”的条件，其中施工单位须具备有效的安全生产许可证。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4.1.2联合体各方应当签订联合体协议书，其中联合体牵头人代表联合体各方成员负责竞标和合同实施阶段的主办、协调工作，但联合体其他成员在竞标、签约与履行合同过程中，仍负有连带的和各自的法律责任。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60" w:afterAutospacing="0" w:line="400" w:lineRule="exac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4.1.3组成联合体进行竞标的供应商不得再以自己的名义单独参与同一标段的竞标，也不得组成新的联合体参与同一标段的竞标。</w:t>
      </w:r>
    </w:p>
    <w:p>
      <w:pPr>
        <w:tabs>
          <w:tab w:val="left" w:pos="1635"/>
        </w:tabs>
        <w:spacing w:line="400" w:lineRule="exact"/>
        <w:ind w:firstLine="420" w:firstLineChars="200"/>
        <w:rPr>
          <w:rFonts w:ascii="宋体" w:hAnsi="宋体" w:cs="宋体"/>
          <w:b/>
          <w:szCs w:val="21"/>
        </w:rPr>
      </w:pPr>
      <w:r>
        <w:rPr>
          <w:rFonts w:hint="eastAsia" w:asciiTheme="minorEastAsia" w:hAnsiTheme="minorEastAsia" w:eastAsiaTheme="minorEastAsia" w:cstheme="minorEastAsia"/>
          <w:color w:val="auto"/>
          <w:kern w:val="0"/>
          <w:sz w:val="21"/>
          <w:szCs w:val="21"/>
          <w:lang w:val="en-US" w:eastAsia="zh-CN" w:bidi="ar"/>
        </w:rPr>
        <w:t>4.1.4联合体各方应分别在人员、设备、资金等方面具有承担本项目联合体协议书分工职责范围内的履约能力。</w:t>
      </w:r>
    </w:p>
    <w:p>
      <w:pPr>
        <w:tabs>
          <w:tab w:val="left" w:pos="2190"/>
        </w:tabs>
        <w:spacing w:line="400" w:lineRule="exact"/>
        <w:rPr>
          <w:rFonts w:ascii="宋体" w:hAnsi="宋体" w:cs="宋体"/>
          <w:b/>
          <w:szCs w:val="21"/>
        </w:rPr>
      </w:pPr>
      <w:r>
        <w:rPr>
          <w:rFonts w:hint="eastAsia" w:ascii="宋体" w:hAnsi="宋体" w:cs="宋体"/>
          <w:b/>
          <w:szCs w:val="21"/>
        </w:rPr>
        <w:t>5、 质疑和投诉</w:t>
      </w:r>
      <w:r>
        <w:rPr>
          <w:rFonts w:hint="eastAsia" w:ascii="宋体" w:hAnsi="宋体" w:cs="宋体"/>
          <w:b/>
          <w:szCs w:val="21"/>
        </w:rPr>
        <w:tab/>
      </w:r>
    </w:p>
    <w:p>
      <w:pPr>
        <w:tabs>
          <w:tab w:val="left" w:pos="2190"/>
        </w:tabs>
        <w:spacing w:line="400" w:lineRule="exact"/>
        <w:ind w:firstLine="435"/>
        <w:rPr>
          <w:rFonts w:ascii="宋体" w:hAnsi="宋体" w:cs="宋体"/>
          <w:szCs w:val="21"/>
        </w:rPr>
      </w:pPr>
      <w:r>
        <w:rPr>
          <w:rFonts w:hint="eastAsia" w:ascii="宋体" w:hAnsi="宋体" w:cs="宋体"/>
          <w:szCs w:val="21"/>
        </w:rPr>
        <w:t>5.1竞标人认为磋商文件使自己的合法权益受到损害的，应当在竞争性磋商文件购买之日起7个工作日内，以书面形式向采购代理机构提出质疑。</w:t>
      </w:r>
      <w:r>
        <w:rPr>
          <w:rFonts w:hAnsi="宋体"/>
        </w:rPr>
        <w:t>采购文件要求</w:t>
      </w:r>
      <w:r>
        <w:rPr>
          <w:rFonts w:hint="eastAsia" w:hAnsi="宋体"/>
        </w:rPr>
        <w:t>竞标人</w:t>
      </w:r>
      <w:r>
        <w:rPr>
          <w:rFonts w:hAnsi="宋体"/>
        </w:rPr>
        <w:t>在法定质疑期内一次性提出针对同一采购程序环节的质疑。</w:t>
      </w:r>
      <w:r>
        <w:rPr>
          <w:rFonts w:hint="eastAsia" w:ascii="宋体" w:hAnsi="宋体" w:cs="宋体"/>
          <w:szCs w:val="21"/>
        </w:rPr>
        <w:t>竞标人认为采购过程或成交结果使自己的合法权益受到损害的，应当在各采购程序环节结束之日或成交公告期限届满之日起七个工作日内，以书面形式向采购代理机构提出质疑。采购代理机构应认真做好质疑处理工作。</w:t>
      </w:r>
    </w:p>
    <w:p>
      <w:pPr>
        <w:tabs>
          <w:tab w:val="left" w:pos="2190"/>
        </w:tabs>
        <w:spacing w:line="400" w:lineRule="exact"/>
        <w:ind w:firstLine="435"/>
        <w:rPr>
          <w:rFonts w:ascii="宋体" w:hAnsi="宋体" w:cs="宋体"/>
          <w:szCs w:val="21"/>
        </w:rPr>
      </w:pPr>
      <w:r>
        <w:rPr>
          <w:rFonts w:hint="eastAsia" w:ascii="宋体" w:hAnsi="宋体" w:cs="宋体"/>
          <w:szCs w:val="21"/>
        </w:rPr>
        <w:t>5.2竞标人对采购代理机构的质疑答复不满意或者采购代理机构未在规定的时间内作出答复的，可以在答复期满后十五个工作日内向</w:t>
      </w:r>
      <w:r>
        <w:rPr>
          <w:rFonts w:hint="eastAsia"/>
          <w:szCs w:val="21"/>
        </w:rPr>
        <w:t>贺州市政府采购管理办公室</w:t>
      </w:r>
      <w:r>
        <w:rPr>
          <w:rFonts w:hint="eastAsia" w:ascii="宋体" w:hAnsi="宋体" w:cs="宋体"/>
          <w:szCs w:val="21"/>
        </w:rPr>
        <w:t>投诉。</w:t>
      </w:r>
    </w:p>
    <w:p>
      <w:pPr>
        <w:tabs>
          <w:tab w:val="left" w:pos="2190"/>
        </w:tabs>
        <w:spacing w:line="400" w:lineRule="exact"/>
        <w:ind w:firstLine="435"/>
        <w:rPr>
          <w:rFonts w:ascii="宋体" w:hAnsi="宋体" w:cs="宋体"/>
          <w:szCs w:val="21"/>
        </w:rPr>
      </w:pPr>
      <w:r>
        <w:rPr>
          <w:rFonts w:hint="eastAsia" w:ascii="宋体" w:hAnsi="宋体" w:cs="宋体"/>
          <w:szCs w:val="21"/>
        </w:rPr>
        <w:t>5.3质疑、投诉应当采用书面形式，质疑书、投诉书实行实名制，均应明确阐述磋商文件、磋商过程或成交结果中使自己合法权益受到损害的实质性内容，并提供必要的证明材料。</w:t>
      </w:r>
    </w:p>
    <w:p>
      <w:pPr>
        <w:tabs>
          <w:tab w:val="left" w:pos="2190"/>
        </w:tabs>
        <w:spacing w:line="400" w:lineRule="exact"/>
        <w:rPr>
          <w:rFonts w:ascii="宋体" w:hAnsi="宋体" w:cs="宋体"/>
          <w:b/>
          <w:szCs w:val="21"/>
        </w:rPr>
      </w:pPr>
      <w:r>
        <w:rPr>
          <w:rFonts w:hint="eastAsia" w:ascii="宋体" w:hAnsi="宋体" w:cs="宋体"/>
          <w:b/>
          <w:szCs w:val="21"/>
        </w:rPr>
        <w:t>6. 转包与分包</w:t>
      </w:r>
    </w:p>
    <w:p>
      <w:pPr>
        <w:tabs>
          <w:tab w:val="left" w:pos="2190"/>
        </w:tabs>
        <w:spacing w:line="400" w:lineRule="exact"/>
        <w:ind w:firstLine="435"/>
        <w:rPr>
          <w:rFonts w:ascii="宋体" w:hAnsi="宋体" w:cs="宋体"/>
          <w:szCs w:val="21"/>
        </w:rPr>
      </w:pPr>
      <w:r>
        <w:rPr>
          <w:rFonts w:hint="eastAsia" w:ascii="宋体" w:hAnsi="宋体" w:cs="宋体"/>
          <w:szCs w:val="21"/>
        </w:rPr>
        <w:t>6.1 本项目不允许转包。</w:t>
      </w:r>
    </w:p>
    <w:p>
      <w:pPr>
        <w:tabs>
          <w:tab w:val="left" w:pos="2190"/>
        </w:tabs>
        <w:spacing w:line="400" w:lineRule="exact"/>
        <w:ind w:firstLine="435"/>
      </w:pPr>
      <w:r>
        <w:rPr>
          <w:rFonts w:hint="eastAsia" w:ascii="宋体" w:hAnsi="宋体" w:cs="宋体"/>
          <w:szCs w:val="21"/>
        </w:rPr>
        <w:t>6.2 本项目不可以分包。</w:t>
      </w:r>
    </w:p>
    <w:p>
      <w:pPr>
        <w:pStyle w:val="4"/>
        <w:spacing w:line="390" w:lineRule="exact"/>
        <w:jc w:val="center"/>
      </w:pPr>
      <w:bookmarkStart w:id="88" w:name="_Toc239839866"/>
      <w:bookmarkStart w:id="89" w:name="_Toc185702552"/>
      <w:bookmarkStart w:id="90" w:name="_Toc206525685"/>
      <w:bookmarkStart w:id="91" w:name="_Toc230578060"/>
      <w:bookmarkStart w:id="92" w:name="_Toc444005984"/>
      <w:bookmarkStart w:id="93" w:name="_Toc489352132"/>
      <w:bookmarkStart w:id="94" w:name="_Toc207770838"/>
      <w:r>
        <w:rPr>
          <w:rFonts w:hint="eastAsia"/>
        </w:rPr>
        <w:t>二   竞争性磋商文件（简称</w:t>
      </w:r>
      <w:r>
        <w:rPr>
          <w:rFonts w:hint="eastAsia" w:ascii="宋体" w:hAnsi="宋体"/>
        </w:rPr>
        <w:t>磋商</w:t>
      </w:r>
      <w:r>
        <w:rPr>
          <w:rFonts w:hint="eastAsia"/>
        </w:rPr>
        <w:t>文件）</w:t>
      </w:r>
      <w:bookmarkEnd w:id="88"/>
      <w:bookmarkEnd w:id="89"/>
      <w:bookmarkEnd w:id="90"/>
      <w:bookmarkEnd w:id="91"/>
      <w:bookmarkEnd w:id="92"/>
      <w:bookmarkEnd w:id="93"/>
      <w:bookmarkEnd w:id="94"/>
    </w:p>
    <w:p>
      <w:pPr>
        <w:pStyle w:val="5"/>
        <w:spacing w:before="0" w:after="0" w:line="390" w:lineRule="exact"/>
        <w:rPr>
          <w:rFonts w:ascii="宋体" w:hAnsi="宋体" w:eastAsia="宋体"/>
          <w:sz w:val="21"/>
          <w:szCs w:val="21"/>
        </w:rPr>
      </w:pPr>
      <w:bookmarkStart w:id="95" w:name="_Toc239839867"/>
      <w:bookmarkStart w:id="96" w:name="_Toc185702553"/>
      <w:bookmarkStart w:id="97" w:name="_Toc444005985"/>
      <w:bookmarkStart w:id="98" w:name="_Toc489352133"/>
      <w:bookmarkStart w:id="99" w:name="_Toc207770839"/>
      <w:bookmarkStart w:id="100" w:name="_Toc206525686"/>
      <w:bookmarkStart w:id="101" w:name="_Toc230578061"/>
      <w:r>
        <w:rPr>
          <w:rFonts w:hint="eastAsia" w:ascii="宋体" w:hAnsi="宋体" w:eastAsia="宋体"/>
          <w:sz w:val="21"/>
          <w:szCs w:val="21"/>
        </w:rPr>
        <w:t>4、磋商文件的构成</w:t>
      </w:r>
      <w:bookmarkEnd w:id="95"/>
      <w:bookmarkEnd w:id="96"/>
      <w:bookmarkEnd w:id="97"/>
      <w:bookmarkEnd w:id="98"/>
      <w:bookmarkEnd w:id="99"/>
      <w:bookmarkEnd w:id="100"/>
      <w:bookmarkEnd w:id="101"/>
    </w:p>
    <w:p>
      <w:pPr>
        <w:pStyle w:val="12"/>
        <w:spacing w:line="390" w:lineRule="exact"/>
        <w:ind w:firstLine="420"/>
      </w:pPr>
      <w:r>
        <w:rPr>
          <w:rFonts w:hint="eastAsia"/>
        </w:rPr>
        <w:t>4.1</w:t>
      </w:r>
      <w:r>
        <w:rPr>
          <w:rFonts w:hint="eastAsia" w:hAnsi="宋体"/>
        </w:rPr>
        <w:t>磋商</w:t>
      </w:r>
      <w:r>
        <w:rPr>
          <w:rFonts w:hint="eastAsia"/>
        </w:rPr>
        <w:t>文件包括：</w:t>
      </w:r>
    </w:p>
    <w:p>
      <w:pPr>
        <w:pStyle w:val="12"/>
        <w:spacing w:line="390" w:lineRule="exact"/>
        <w:ind w:firstLine="426"/>
        <w:rPr>
          <w:rFonts w:hAnsi="宋体"/>
        </w:rPr>
      </w:pPr>
      <w:r>
        <w:rPr>
          <w:rFonts w:hint="eastAsia"/>
        </w:rPr>
        <w:t>竞争性磋商公告</w:t>
      </w:r>
    </w:p>
    <w:p>
      <w:pPr>
        <w:pStyle w:val="12"/>
        <w:spacing w:line="390" w:lineRule="exact"/>
        <w:ind w:firstLine="426"/>
      </w:pPr>
      <w:r>
        <w:rPr>
          <w:rFonts w:hint="eastAsia"/>
        </w:rPr>
        <w:t>第一章  竞标人须知及前附表</w:t>
      </w:r>
    </w:p>
    <w:p>
      <w:pPr>
        <w:pStyle w:val="12"/>
        <w:spacing w:line="390" w:lineRule="exact"/>
        <w:ind w:firstLine="420"/>
      </w:pPr>
      <w:r>
        <w:rPr>
          <w:rFonts w:hint="eastAsia"/>
        </w:rPr>
        <w:t xml:space="preserve">第二章  </w:t>
      </w:r>
      <w:r>
        <w:rPr>
          <w:rFonts w:hint="eastAsia" w:asciiTheme="majorEastAsia" w:hAnsiTheme="majorEastAsia" w:eastAsiaTheme="majorEastAsia" w:cstheme="majorEastAsia"/>
          <w:bCs/>
          <w:szCs w:val="21"/>
        </w:rPr>
        <w:t>采购项目技术参数要求</w:t>
      </w:r>
    </w:p>
    <w:p>
      <w:pPr>
        <w:pStyle w:val="12"/>
        <w:spacing w:line="390" w:lineRule="exact"/>
        <w:ind w:firstLine="420"/>
      </w:pPr>
      <w:r>
        <w:rPr>
          <w:rFonts w:hint="eastAsia"/>
        </w:rPr>
        <w:t>第三章  合同书及合同基本条款（格式）</w:t>
      </w:r>
    </w:p>
    <w:p>
      <w:pPr>
        <w:pStyle w:val="12"/>
        <w:spacing w:line="390" w:lineRule="exact"/>
        <w:ind w:firstLine="420"/>
      </w:pPr>
      <w:r>
        <w:rPr>
          <w:rFonts w:hint="eastAsia"/>
        </w:rPr>
        <w:t>第四章  评标方法</w:t>
      </w:r>
    </w:p>
    <w:p>
      <w:pPr>
        <w:pStyle w:val="12"/>
        <w:spacing w:line="390" w:lineRule="exact"/>
        <w:ind w:firstLine="420"/>
      </w:pPr>
      <w:r>
        <w:rPr>
          <w:rFonts w:hint="eastAsia"/>
        </w:rPr>
        <w:t>第五章  响应文件（格式）</w:t>
      </w:r>
    </w:p>
    <w:p>
      <w:pPr>
        <w:pStyle w:val="5"/>
        <w:spacing w:before="0" w:after="0" w:line="400" w:lineRule="exact"/>
        <w:rPr>
          <w:rFonts w:ascii="宋体" w:hAnsi="宋体" w:eastAsia="宋体"/>
          <w:sz w:val="21"/>
          <w:szCs w:val="21"/>
        </w:rPr>
      </w:pPr>
      <w:bookmarkStart w:id="102" w:name="_Toc207770840"/>
      <w:bookmarkStart w:id="103" w:name="_Toc444005986"/>
      <w:bookmarkStart w:id="104" w:name="_Toc185702554"/>
      <w:bookmarkStart w:id="105" w:name="_Toc230578062"/>
      <w:bookmarkStart w:id="106" w:name="_Toc489352134"/>
      <w:bookmarkStart w:id="107" w:name="_Toc206525687"/>
      <w:bookmarkStart w:id="108" w:name="_Toc239839868"/>
      <w:r>
        <w:rPr>
          <w:rFonts w:hint="eastAsia" w:ascii="宋体" w:hAnsi="宋体" w:eastAsia="宋体"/>
          <w:sz w:val="21"/>
          <w:szCs w:val="21"/>
        </w:rPr>
        <w:t>5、磋商文件的澄清和修改</w:t>
      </w:r>
      <w:bookmarkEnd w:id="102"/>
      <w:bookmarkEnd w:id="103"/>
      <w:bookmarkEnd w:id="104"/>
      <w:bookmarkEnd w:id="105"/>
      <w:bookmarkEnd w:id="106"/>
      <w:bookmarkEnd w:id="107"/>
      <w:bookmarkEnd w:id="108"/>
    </w:p>
    <w:p>
      <w:pPr>
        <w:pStyle w:val="12"/>
        <w:spacing w:line="400" w:lineRule="exact"/>
        <w:ind w:firstLine="420"/>
      </w:pPr>
      <w:r>
        <w:rPr>
          <w:rFonts w:hint="eastAsia"/>
        </w:rPr>
        <w:t>5.1竞标人应认真查阅磋商文件中的内容和服务要求，如发现内容有误的，竞标人必须在提交响应文件截止时间五日前要求澄清。否则，由此产生的后果由竞标人负责。</w:t>
      </w:r>
    </w:p>
    <w:p>
      <w:pPr>
        <w:pStyle w:val="12"/>
        <w:spacing w:line="400" w:lineRule="exact"/>
        <w:ind w:firstLine="420"/>
      </w:pPr>
      <w:r>
        <w:rPr>
          <w:rFonts w:hint="eastAsia"/>
        </w:rPr>
        <w:t>5.2任何要求澄清文件的竞标人，均应在提交首次响应文件截止时间五日前的正常工作时间以书面形式（内容包括</w:t>
      </w:r>
      <w:r>
        <w:rPr>
          <w:rFonts w:hint="eastAsia" w:hAnsi="宋体"/>
          <w:szCs w:val="21"/>
        </w:rPr>
        <w:t>项目名称及编号、澄清内容、要求澄清的单位名称或姓名、地址、联系电话等，</w:t>
      </w:r>
      <w:r>
        <w:rPr>
          <w:rFonts w:hint="eastAsia"/>
        </w:rPr>
        <w:t>并加盖公章，法定代表人签字</w:t>
      </w:r>
      <w:r>
        <w:rPr>
          <w:rFonts w:hint="eastAsia" w:hAnsi="宋体"/>
          <w:szCs w:val="21"/>
        </w:rPr>
        <w:t>）</w:t>
      </w:r>
      <w:r>
        <w:rPr>
          <w:rFonts w:hint="eastAsia"/>
        </w:rPr>
        <w:t>通知采购代理机构，否则，采购代理机构将不予受理，同时认定其他要求澄清的方式为无效。采购代理机构将在发布竞标公告同一媒介上予以答复。</w:t>
      </w:r>
    </w:p>
    <w:p>
      <w:pPr>
        <w:pStyle w:val="12"/>
        <w:spacing w:line="400" w:lineRule="exact"/>
        <w:ind w:firstLine="420"/>
      </w:pPr>
      <w:r>
        <w:rPr>
          <w:rFonts w:hint="eastAsia"/>
        </w:rPr>
        <w:t>5.3采购代理机构对已发出的磋商文件进行必要澄清或修改的，在磋商文件要求提交首次响应文件截止时间五日前，在发布竞标公告同一媒介上发布更正公告。该澄清或修改的内容为磋商文件的组成部分并对其具有约束力。</w:t>
      </w:r>
    </w:p>
    <w:p>
      <w:pPr>
        <w:pStyle w:val="12"/>
        <w:spacing w:line="400" w:lineRule="exact"/>
        <w:ind w:firstLine="420"/>
      </w:pPr>
      <w:r>
        <w:t>5.</w:t>
      </w:r>
      <w:r>
        <w:rPr>
          <w:rFonts w:hint="eastAsia"/>
        </w:rPr>
        <w:t>4采购代理机构可视具体情况，延长提交响应文件截止时间和开标时间。采购代理机构至少在磋商文件要求提交响应文件截止时间两日前，并在发布竞标公告同一媒介上发布变更公告。</w:t>
      </w:r>
    </w:p>
    <w:p>
      <w:pPr>
        <w:pStyle w:val="12"/>
        <w:spacing w:line="400" w:lineRule="exact"/>
        <w:ind w:firstLine="420"/>
        <w:rPr>
          <w:spacing w:val="-2"/>
        </w:rPr>
      </w:pPr>
      <w:r>
        <w:rPr>
          <w:rFonts w:hint="eastAsia"/>
          <w:spacing w:val="-2"/>
        </w:rPr>
        <w:t>5.5与本项目磋商文件相关的更改通知（或补遗通知等）书面文件，竞标人自行网上查询之日起，即视为竞标人已收到。如有需要，可要求竞标人书面确认收悉。</w:t>
      </w:r>
    </w:p>
    <w:p>
      <w:pPr>
        <w:pStyle w:val="12"/>
        <w:spacing w:line="400" w:lineRule="exact"/>
      </w:pPr>
    </w:p>
    <w:p>
      <w:pPr>
        <w:pStyle w:val="4"/>
        <w:spacing w:line="400" w:lineRule="exact"/>
        <w:jc w:val="center"/>
      </w:pPr>
      <w:bookmarkStart w:id="109" w:name="_Toc444005987"/>
      <w:bookmarkStart w:id="110" w:name="_Toc206525688"/>
      <w:bookmarkStart w:id="111" w:name="_Toc207770841"/>
      <w:bookmarkStart w:id="112" w:name="_Toc489352135"/>
      <w:bookmarkStart w:id="113" w:name="_Toc230578063"/>
      <w:bookmarkStart w:id="114" w:name="_Toc185702555"/>
      <w:bookmarkStart w:id="115" w:name="_Toc239839869"/>
      <w:r>
        <w:rPr>
          <w:rFonts w:hint="eastAsia"/>
        </w:rPr>
        <w:t>三   响应文件的编制</w:t>
      </w:r>
      <w:bookmarkEnd w:id="109"/>
      <w:bookmarkEnd w:id="110"/>
      <w:bookmarkEnd w:id="111"/>
      <w:bookmarkEnd w:id="112"/>
      <w:bookmarkEnd w:id="113"/>
      <w:bookmarkEnd w:id="114"/>
      <w:bookmarkEnd w:id="115"/>
    </w:p>
    <w:p>
      <w:pPr>
        <w:pStyle w:val="5"/>
        <w:spacing w:before="0" w:after="0" w:line="400" w:lineRule="exact"/>
        <w:rPr>
          <w:rFonts w:ascii="宋体" w:hAnsi="宋体" w:eastAsia="宋体"/>
          <w:sz w:val="21"/>
          <w:szCs w:val="21"/>
        </w:rPr>
      </w:pPr>
      <w:bookmarkStart w:id="116" w:name="_Toc489352136"/>
      <w:bookmarkStart w:id="117" w:name="_Toc185702556"/>
      <w:bookmarkStart w:id="118" w:name="_Toc444005988"/>
      <w:bookmarkStart w:id="119" w:name="_Toc239839870"/>
      <w:bookmarkStart w:id="120" w:name="_Toc207770842"/>
      <w:bookmarkStart w:id="121" w:name="_Toc230578064"/>
      <w:bookmarkStart w:id="122" w:name="_Toc206525689"/>
      <w:r>
        <w:rPr>
          <w:rFonts w:hint="eastAsia" w:ascii="宋体" w:hAnsi="宋体" w:eastAsia="宋体"/>
          <w:sz w:val="21"/>
          <w:szCs w:val="21"/>
        </w:rPr>
        <w:t>6、响应文件编写的注意事项</w:t>
      </w:r>
      <w:bookmarkEnd w:id="116"/>
      <w:bookmarkEnd w:id="117"/>
      <w:bookmarkEnd w:id="118"/>
      <w:bookmarkEnd w:id="119"/>
      <w:bookmarkEnd w:id="120"/>
      <w:bookmarkEnd w:id="121"/>
      <w:bookmarkEnd w:id="122"/>
    </w:p>
    <w:p>
      <w:pPr>
        <w:pStyle w:val="12"/>
        <w:spacing w:line="400" w:lineRule="exact"/>
        <w:ind w:firstLine="420"/>
      </w:pPr>
      <w:r>
        <w:rPr>
          <w:rFonts w:hint="eastAsia"/>
        </w:rPr>
        <w:t>6.1竞标人应仔细阅读磋商文件，按磋商文件的要求编制响应文件。如果没有按磋商文件要求提交响应文件，没有对磋商文件提出的实质性要求和条件作出响应，该竞标将被拒绝。</w:t>
      </w:r>
    </w:p>
    <w:p>
      <w:pPr>
        <w:pStyle w:val="12"/>
        <w:spacing w:line="400" w:lineRule="exact"/>
        <w:ind w:firstLine="420"/>
        <w:rPr>
          <w:spacing w:val="-2"/>
          <w:szCs w:val="21"/>
        </w:rPr>
      </w:pPr>
      <w:r>
        <w:rPr>
          <w:rFonts w:hint="eastAsia"/>
          <w:spacing w:val="-2"/>
          <w:szCs w:val="21"/>
        </w:rPr>
        <w:t>6.2对磋商文件提出的实质性要求和条件作出响应是指竞标人必须对磋商文件中涉及竞标项目的价格、技术要求、数量、售后服务及其它要求、合同主要条款等内容作出满足或者优于原要求和条件的承诺。</w:t>
      </w:r>
    </w:p>
    <w:p>
      <w:pPr>
        <w:pStyle w:val="5"/>
        <w:spacing w:before="0" w:after="0" w:line="400" w:lineRule="exact"/>
        <w:rPr>
          <w:rFonts w:ascii="宋体" w:hAnsi="宋体" w:eastAsia="宋体"/>
          <w:sz w:val="21"/>
          <w:szCs w:val="21"/>
        </w:rPr>
      </w:pPr>
      <w:bookmarkStart w:id="123" w:name="_Toc239839871"/>
      <w:bookmarkStart w:id="124" w:name="_Toc207770843"/>
      <w:bookmarkStart w:id="125" w:name="_Toc206525690"/>
      <w:bookmarkStart w:id="126" w:name="_Toc444005989"/>
      <w:bookmarkStart w:id="127" w:name="_Toc230578065"/>
      <w:bookmarkStart w:id="128" w:name="_Toc489352137"/>
      <w:bookmarkStart w:id="129" w:name="_Toc185702557"/>
      <w:r>
        <w:rPr>
          <w:rFonts w:hint="eastAsia" w:ascii="宋体" w:hAnsi="宋体" w:eastAsia="宋体"/>
          <w:sz w:val="21"/>
          <w:szCs w:val="21"/>
        </w:rPr>
        <w:t>7、响应文件的文字及计量单位</w:t>
      </w:r>
      <w:bookmarkEnd w:id="123"/>
      <w:bookmarkEnd w:id="124"/>
      <w:bookmarkEnd w:id="125"/>
      <w:bookmarkEnd w:id="126"/>
      <w:bookmarkEnd w:id="127"/>
      <w:bookmarkEnd w:id="128"/>
      <w:bookmarkEnd w:id="129"/>
    </w:p>
    <w:p>
      <w:pPr>
        <w:pStyle w:val="12"/>
        <w:spacing w:line="400" w:lineRule="exact"/>
        <w:ind w:firstLine="435"/>
        <w:rPr>
          <w:spacing w:val="-4"/>
          <w:szCs w:val="21"/>
        </w:rPr>
      </w:pPr>
      <w:r>
        <w:rPr>
          <w:rFonts w:hint="eastAsia"/>
          <w:spacing w:val="-4"/>
          <w:szCs w:val="21"/>
        </w:rPr>
        <w:t>7.1竞标人的响应文件以及竞标人与采购代理机构的所有来往的函件统一使用中文（另有规定的除外）。</w:t>
      </w:r>
    </w:p>
    <w:p>
      <w:pPr>
        <w:pStyle w:val="12"/>
        <w:spacing w:line="400" w:lineRule="exact"/>
        <w:ind w:firstLine="435"/>
      </w:pPr>
      <w:r>
        <w:rPr>
          <w:rFonts w:hint="eastAsia"/>
        </w:rPr>
        <w:t>7.2响应文件使用的计量单位除磋商文件中有特殊规定外，一律使用法定计量单位。</w:t>
      </w:r>
    </w:p>
    <w:p>
      <w:pPr>
        <w:pStyle w:val="5"/>
        <w:spacing w:before="0" w:after="0" w:line="400" w:lineRule="exact"/>
        <w:rPr>
          <w:rFonts w:ascii="宋体" w:hAnsi="宋体" w:eastAsia="宋体"/>
          <w:sz w:val="21"/>
          <w:szCs w:val="21"/>
        </w:rPr>
      </w:pPr>
      <w:bookmarkStart w:id="130" w:name="_Toc185702558"/>
      <w:bookmarkStart w:id="131" w:name="_Toc206525691"/>
      <w:bookmarkStart w:id="132" w:name="_Toc207770844"/>
      <w:bookmarkStart w:id="133" w:name="_Toc230578066"/>
      <w:bookmarkStart w:id="134" w:name="_Toc239839872"/>
      <w:bookmarkStart w:id="135" w:name="_Toc489352138"/>
      <w:bookmarkStart w:id="136" w:name="_Toc444005990"/>
      <w:r>
        <w:rPr>
          <w:rFonts w:hint="eastAsia" w:ascii="宋体" w:hAnsi="宋体" w:eastAsia="宋体"/>
          <w:sz w:val="21"/>
          <w:szCs w:val="21"/>
        </w:rPr>
        <w:t>8、响应文件的构成</w:t>
      </w:r>
      <w:bookmarkEnd w:id="130"/>
      <w:bookmarkEnd w:id="131"/>
      <w:bookmarkEnd w:id="132"/>
      <w:bookmarkEnd w:id="133"/>
      <w:r>
        <w:rPr>
          <w:rFonts w:hint="eastAsia" w:ascii="宋体" w:hAnsi="宋体" w:eastAsia="宋体"/>
          <w:sz w:val="21"/>
          <w:szCs w:val="21"/>
        </w:rPr>
        <w:t>及装订要求</w:t>
      </w:r>
      <w:bookmarkEnd w:id="134"/>
      <w:bookmarkEnd w:id="135"/>
      <w:bookmarkEnd w:id="136"/>
    </w:p>
    <w:p>
      <w:pPr>
        <w:pStyle w:val="12"/>
        <w:spacing w:line="400" w:lineRule="exact"/>
        <w:ind w:firstLine="420"/>
        <w:rPr>
          <w:spacing w:val="-2"/>
          <w:szCs w:val="21"/>
        </w:rPr>
      </w:pPr>
      <w:r>
        <w:rPr>
          <w:rFonts w:hint="eastAsia"/>
          <w:spacing w:val="-2"/>
          <w:szCs w:val="21"/>
        </w:rPr>
        <w:t>8.1竞标人编写的且在响应文件提交截止时间前提交的响应文件应包括下列内容：（详见第五章要求）</w:t>
      </w:r>
    </w:p>
    <w:p>
      <w:pPr>
        <w:pStyle w:val="12"/>
        <w:spacing w:line="400" w:lineRule="exact"/>
        <w:ind w:firstLine="420"/>
      </w:pPr>
      <w:r>
        <w:rPr>
          <w:rFonts w:hint="eastAsia"/>
        </w:rPr>
        <w:t>以下</w:t>
      </w:r>
      <w:r>
        <w:rPr>
          <w:rFonts w:hint="eastAsia" w:hAnsi="宋体"/>
        </w:rPr>
        <w:t>（1）</w:t>
      </w:r>
      <w:r>
        <w:rPr>
          <w:rFonts w:hint="eastAsia"/>
        </w:rPr>
        <w:t>～</w:t>
      </w:r>
      <w:r>
        <w:rPr>
          <w:rFonts w:hint="eastAsia" w:hAnsi="宋体"/>
        </w:rPr>
        <w:t>（</w:t>
      </w:r>
      <w:r>
        <w:rPr>
          <w:rFonts w:hint="eastAsia" w:hAnsi="宋体"/>
          <w:lang w:val="en-US" w:eastAsia="zh-CN"/>
        </w:rPr>
        <w:t>9</w:t>
      </w:r>
      <w:r>
        <w:rPr>
          <w:rFonts w:hint="eastAsia" w:hAnsi="宋体"/>
        </w:rPr>
        <w:t>）</w:t>
      </w:r>
      <w:r>
        <w:rPr>
          <w:rFonts w:hint="eastAsia"/>
        </w:rPr>
        <w:t>项内容项作为竞标人资格和符合性审查的内容，必须提供，</w:t>
      </w:r>
      <w:r>
        <w:rPr>
          <w:rFonts w:hint="eastAsia"/>
          <w:szCs w:val="21"/>
        </w:rPr>
        <w:t>如提供不全或无效或未按规定加盖单位公章的将被认定为资格审查不合格而取消其竞标资格。</w:t>
      </w:r>
      <w:r>
        <w:rPr>
          <w:rFonts w:hint="eastAsia"/>
        </w:rPr>
        <w:t>其他文件可根据实际情况提供。</w:t>
      </w:r>
    </w:p>
    <w:p>
      <w:pPr>
        <w:pStyle w:val="12"/>
        <w:spacing w:line="400" w:lineRule="exact"/>
        <w:rPr>
          <w:rFonts w:hAnsi="宋体"/>
        </w:rPr>
      </w:pPr>
      <w:bookmarkStart w:id="137" w:name="_Toc185702559"/>
      <w:bookmarkStart w:id="138" w:name="_Toc207770845"/>
      <w:bookmarkStart w:id="139" w:name="_Toc230578067"/>
      <w:bookmarkStart w:id="140" w:name="_Toc206525692"/>
      <w:r>
        <w:rPr>
          <w:rFonts w:hint="eastAsia" w:hAnsi="宋体"/>
        </w:rPr>
        <w:t xml:space="preserve">    （1）响应函（按竞争性磋商文件第五章&lt;响应函&gt;（格式）要求填写）；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80" w:lineRule="exact"/>
        <w:ind w:firstLine="420" w:firstLineChars="200"/>
        <w:jc w:val="left"/>
        <w:textAlignment w:val="auto"/>
        <w:rPr>
          <w:rFonts w:hint="eastAsia" w:hAnsi="宋体"/>
        </w:rPr>
      </w:pPr>
      <w:r>
        <w:rPr>
          <w:rFonts w:hint="eastAsia" w:asciiTheme="minorEastAsia" w:hAnsiTheme="minorEastAsia" w:eastAsiaTheme="minorEastAsia" w:cstheme="minorEastAsia"/>
          <w:b w:val="0"/>
          <w:bCs/>
          <w:color w:val="auto"/>
          <w:kern w:val="0"/>
          <w:sz w:val="21"/>
          <w:szCs w:val="21"/>
          <w:lang w:val="en-US" w:eastAsia="zh-CN" w:bidi="ar"/>
        </w:rPr>
        <w:t>（2）联合体协议书（联合体磋商时适用）</w:t>
      </w:r>
    </w:p>
    <w:p>
      <w:pPr>
        <w:pStyle w:val="12"/>
        <w:spacing w:line="400" w:lineRule="exact"/>
        <w:ind w:firstLine="420" w:firstLineChars="200"/>
        <w:rPr>
          <w:rFonts w:hAnsi="宋体"/>
        </w:rPr>
      </w:pPr>
      <w:r>
        <w:rPr>
          <w:rFonts w:hint="eastAsia" w:hAnsi="宋体"/>
        </w:rPr>
        <w:t>（</w:t>
      </w:r>
      <w:r>
        <w:rPr>
          <w:rFonts w:hint="eastAsia" w:hAnsi="宋体"/>
          <w:lang w:val="en-US" w:eastAsia="zh-CN"/>
        </w:rPr>
        <w:t>3</w:t>
      </w:r>
      <w:r>
        <w:rPr>
          <w:rFonts w:hint="eastAsia" w:hAnsi="宋体"/>
        </w:rPr>
        <w:t>）磋商报价表（按竞争性磋商文件第五章&lt;磋商报价表&gt;格式填写）；</w:t>
      </w:r>
    </w:p>
    <w:p>
      <w:pPr>
        <w:pStyle w:val="12"/>
        <w:spacing w:line="400" w:lineRule="exact"/>
        <w:rPr>
          <w:rFonts w:hAnsi="宋体"/>
        </w:rPr>
      </w:pPr>
      <w:r>
        <w:rPr>
          <w:rFonts w:hint="eastAsia" w:hAnsi="宋体"/>
        </w:rPr>
        <w:t xml:space="preserve">    （</w:t>
      </w:r>
      <w:r>
        <w:rPr>
          <w:rFonts w:hint="eastAsia" w:hAnsi="宋体"/>
          <w:lang w:val="en-US" w:eastAsia="zh-CN"/>
        </w:rPr>
        <w:t>4</w:t>
      </w:r>
      <w:r>
        <w:rPr>
          <w:rFonts w:hint="eastAsia" w:hAnsi="宋体"/>
        </w:rPr>
        <w:t>）参加磋商的其他证明资料（按竞争性磋商文件第五章要求提供）；</w:t>
      </w:r>
    </w:p>
    <w:p>
      <w:pPr>
        <w:pStyle w:val="12"/>
        <w:spacing w:line="400" w:lineRule="exact"/>
        <w:rPr>
          <w:rFonts w:hAnsi="宋体"/>
        </w:rPr>
      </w:pPr>
      <w:r>
        <w:rPr>
          <w:rFonts w:hint="eastAsia" w:hAnsi="宋体"/>
        </w:rPr>
        <w:t xml:space="preserve">    （</w:t>
      </w:r>
      <w:r>
        <w:rPr>
          <w:rFonts w:hint="eastAsia" w:hAnsi="宋体"/>
          <w:lang w:val="en-US" w:eastAsia="zh-CN"/>
        </w:rPr>
        <w:t>5</w:t>
      </w:r>
      <w:r>
        <w:rPr>
          <w:rFonts w:hint="eastAsia" w:hAnsi="宋体"/>
        </w:rPr>
        <w:t>）辅助资料（按竞争性磋商文件第五章要求填写）；</w:t>
      </w:r>
    </w:p>
    <w:p>
      <w:pPr>
        <w:pStyle w:val="12"/>
        <w:spacing w:line="400" w:lineRule="exact"/>
        <w:rPr>
          <w:rFonts w:hAnsi="宋体"/>
        </w:rPr>
      </w:pPr>
      <w:r>
        <w:rPr>
          <w:rFonts w:hint="eastAsia" w:hAnsi="宋体"/>
        </w:rPr>
        <w:t xml:space="preserve">    （</w:t>
      </w:r>
      <w:r>
        <w:rPr>
          <w:rFonts w:hint="eastAsia" w:hAnsi="宋体"/>
          <w:lang w:val="en-US" w:eastAsia="zh-CN"/>
        </w:rPr>
        <w:t>6</w:t>
      </w:r>
      <w:r>
        <w:rPr>
          <w:rFonts w:hint="eastAsia" w:hAnsi="宋体"/>
        </w:rPr>
        <w:t>）技术方案（按竞争性磋商文件第五章要求填写）；</w:t>
      </w:r>
    </w:p>
    <w:p>
      <w:pPr>
        <w:pStyle w:val="12"/>
        <w:spacing w:line="400" w:lineRule="exact"/>
        <w:outlineLvl w:val="2"/>
        <w:rPr>
          <w:rFonts w:hAnsi="宋体"/>
        </w:rPr>
      </w:pPr>
      <w:r>
        <w:rPr>
          <w:rFonts w:hint="eastAsia" w:hAnsi="宋体"/>
        </w:rPr>
        <w:t xml:space="preserve">    </w:t>
      </w:r>
      <w:bookmarkStart w:id="141" w:name="_Toc489352139"/>
      <w:r>
        <w:rPr>
          <w:rFonts w:hint="eastAsia" w:hAnsi="宋体"/>
        </w:rPr>
        <w:t>（</w:t>
      </w:r>
      <w:r>
        <w:rPr>
          <w:rFonts w:hint="eastAsia" w:hAnsi="宋体"/>
          <w:lang w:val="en-US" w:eastAsia="zh-CN"/>
        </w:rPr>
        <w:t>7</w:t>
      </w:r>
      <w:r>
        <w:rPr>
          <w:rFonts w:hint="eastAsia" w:hAnsi="宋体"/>
        </w:rPr>
        <w:t>）项目组织机构和人员配备（按竞争性磋商文件第五章要求填写）；</w:t>
      </w:r>
      <w:bookmarkEnd w:id="141"/>
    </w:p>
    <w:p>
      <w:pPr>
        <w:pStyle w:val="12"/>
        <w:spacing w:line="400" w:lineRule="exact"/>
        <w:outlineLvl w:val="2"/>
        <w:rPr>
          <w:rFonts w:hAnsi="宋体"/>
        </w:rPr>
      </w:pPr>
      <w:r>
        <w:rPr>
          <w:rFonts w:hint="eastAsia" w:hAnsi="宋体"/>
        </w:rPr>
        <w:t xml:space="preserve">    </w:t>
      </w:r>
      <w:bookmarkStart w:id="142" w:name="_Toc489352140"/>
      <w:r>
        <w:rPr>
          <w:rFonts w:hint="eastAsia" w:hAnsi="宋体"/>
        </w:rPr>
        <w:t>（</w:t>
      </w:r>
      <w:r>
        <w:rPr>
          <w:rFonts w:hint="eastAsia" w:hAnsi="宋体"/>
          <w:lang w:val="en-US" w:eastAsia="zh-CN"/>
        </w:rPr>
        <w:t>8</w:t>
      </w:r>
      <w:r>
        <w:rPr>
          <w:rFonts w:hint="eastAsia" w:hAnsi="宋体"/>
        </w:rPr>
        <w:t>）竞标人资格证明文件（按本须知第12条和第13条要求提供）；</w:t>
      </w:r>
      <w:bookmarkEnd w:id="142"/>
    </w:p>
    <w:p>
      <w:pPr>
        <w:pStyle w:val="12"/>
        <w:spacing w:line="400" w:lineRule="exact"/>
        <w:outlineLvl w:val="2"/>
        <w:rPr>
          <w:rFonts w:hAnsi="宋体"/>
          <w:bCs/>
        </w:rPr>
      </w:pPr>
      <w:r>
        <w:rPr>
          <w:rFonts w:hint="eastAsia" w:hAnsi="宋体"/>
        </w:rPr>
        <w:t xml:space="preserve">    </w:t>
      </w:r>
      <w:bookmarkStart w:id="143" w:name="_Toc489352141"/>
      <w:r>
        <w:rPr>
          <w:rFonts w:hint="eastAsia" w:hAnsi="宋体"/>
        </w:rPr>
        <w:t>（</w:t>
      </w:r>
      <w:r>
        <w:rPr>
          <w:rFonts w:hint="eastAsia" w:hAnsi="宋体"/>
          <w:lang w:val="en-US" w:eastAsia="zh-CN"/>
        </w:rPr>
        <w:t>9</w:t>
      </w:r>
      <w:r>
        <w:rPr>
          <w:rFonts w:hint="eastAsia" w:hAnsi="宋体"/>
        </w:rPr>
        <w:t>）</w:t>
      </w:r>
      <w:r>
        <w:rPr>
          <w:rFonts w:hint="eastAsia" w:hAnsi="宋体"/>
          <w:bCs/>
        </w:rPr>
        <w:t>《</w:t>
      </w:r>
      <w:r>
        <w:rPr>
          <w:rFonts w:hint="eastAsia" w:asciiTheme="majorEastAsia" w:hAnsiTheme="majorEastAsia" w:eastAsiaTheme="majorEastAsia" w:cstheme="majorEastAsia"/>
          <w:bCs/>
          <w:szCs w:val="21"/>
        </w:rPr>
        <w:t>采购项目技术参数要求</w:t>
      </w:r>
      <w:r>
        <w:rPr>
          <w:rFonts w:hint="eastAsia" w:hAnsi="宋体"/>
          <w:bCs/>
        </w:rPr>
        <w:t>》要求提供的其它材料（如有，请必须提供）。</w:t>
      </w:r>
      <w:bookmarkEnd w:id="143"/>
    </w:p>
    <w:p>
      <w:pPr>
        <w:pStyle w:val="12"/>
        <w:spacing w:line="400" w:lineRule="exact"/>
        <w:ind w:firstLine="420"/>
      </w:pPr>
      <w:r>
        <w:rPr>
          <w:rFonts w:hint="eastAsia"/>
        </w:rPr>
        <w:t>8.2竞标人必须按磋商文件第五章《响应文件格式》要求顺序自编目录及页码装订成册，响应文件装订位置必须胶装封边，不允许使用活页夹、拉杆夹、夹条等可能导致响应文件散落或脱页的装订方式，否则将视为无效响应文件。</w:t>
      </w:r>
    </w:p>
    <w:p>
      <w:pPr>
        <w:pStyle w:val="5"/>
        <w:spacing w:before="0" w:after="0" w:line="400" w:lineRule="exact"/>
        <w:rPr>
          <w:rFonts w:ascii="宋体" w:hAnsi="宋体" w:eastAsia="宋体"/>
          <w:sz w:val="21"/>
          <w:szCs w:val="21"/>
        </w:rPr>
      </w:pPr>
      <w:bookmarkStart w:id="144" w:name="_Toc489352142"/>
      <w:bookmarkStart w:id="145" w:name="_Toc239839873"/>
      <w:bookmarkStart w:id="146" w:name="_Toc444005991"/>
      <w:r>
        <w:rPr>
          <w:rFonts w:hint="eastAsia" w:ascii="宋体" w:hAnsi="宋体" w:eastAsia="宋体"/>
          <w:sz w:val="21"/>
          <w:szCs w:val="21"/>
        </w:rPr>
        <w:t>9、响应文件格式</w:t>
      </w:r>
      <w:bookmarkEnd w:id="137"/>
      <w:bookmarkEnd w:id="138"/>
      <w:bookmarkEnd w:id="139"/>
      <w:bookmarkEnd w:id="140"/>
      <w:bookmarkEnd w:id="144"/>
      <w:bookmarkEnd w:id="145"/>
      <w:bookmarkEnd w:id="146"/>
    </w:p>
    <w:p>
      <w:pPr>
        <w:pStyle w:val="12"/>
        <w:spacing w:line="400" w:lineRule="exact"/>
        <w:ind w:firstLine="420"/>
        <w:rPr>
          <w:bCs/>
        </w:rPr>
      </w:pPr>
      <w:bookmarkStart w:id="147" w:name="_Toc206525693"/>
      <w:bookmarkStart w:id="148" w:name="_Toc185702560"/>
      <w:bookmarkStart w:id="149" w:name="_Toc239839874"/>
      <w:bookmarkStart w:id="150" w:name="_Toc230578068"/>
      <w:bookmarkStart w:id="151" w:name="_Toc207770846"/>
      <w:r>
        <w:rPr>
          <w:bCs/>
        </w:rPr>
        <w:t>9</w:t>
      </w:r>
      <w:r>
        <w:rPr>
          <w:rFonts w:hint="eastAsia"/>
          <w:bCs/>
        </w:rPr>
        <w:t>.1竞标人应按竞争性磋商文件第五章提供的文件格式详细完整地填写各项内容。</w:t>
      </w:r>
    </w:p>
    <w:p>
      <w:pPr>
        <w:pStyle w:val="12"/>
        <w:spacing w:line="400" w:lineRule="exact"/>
        <w:ind w:firstLine="420"/>
        <w:rPr>
          <w:b/>
        </w:rPr>
      </w:pPr>
      <w:r>
        <w:t>9</w:t>
      </w:r>
      <w:r>
        <w:rPr>
          <w:rFonts w:hint="eastAsia"/>
        </w:rPr>
        <w:t>.2在磋商报价表中，竞标人必须按格式文件完整填写，不能自行修改格式内容。</w:t>
      </w:r>
    </w:p>
    <w:p>
      <w:pPr>
        <w:pStyle w:val="5"/>
        <w:spacing w:before="0" w:after="0" w:line="400" w:lineRule="exact"/>
        <w:rPr>
          <w:rFonts w:ascii="宋体" w:hAnsi="宋体" w:eastAsia="宋体"/>
          <w:sz w:val="21"/>
          <w:szCs w:val="21"/>
        </w:rPr>
      </w:pPr>
      <w:bookmarkStart w:id="152" w:name="_Toc444005992"/>
      <w:bookmarkStart w:id="153" w:name="_Toc489352143"/>
      <w:r>
        <w:rPr>
          <w:rFonts w:hint="eastAsia" w:ascii="宋体" w:hAnsi="宋体" w:eastAsia="宋体"/>
          <w:sz w:val="21"/>
          <w:szCs w:val="21"/>
        </w:rPr>
        <w:t>1</w:t>
      </w:r>
      <w:r>
        <w:rPr>
          <w:rFonts w:ascii="宋体" w:hAnsi="宋体" w:eastAsia="宋体"/>
          <w:sz w:val="21"/>
          <w:szCs w:val="21"/>
        </w:rPr>
        <w:t>0</w:t>
      </w:r>
      <w:r>
        <w:rPr>
          <w:rFonts w:hint="eastAsia" w:ascii="宋体" w:hAnsi="宋体" w:eastAsia="宋体"/>
          <w:sz w:val="21"/>
          <w:szCs w:val="21"/>
        </w:rPr>
        <w:t>、磋商报价</w:t>
      </w:r>
      <w:bookmarkEnd w:id="147"/>
      <w:bookmarkEnd w:id="148"/>
      <w:bookmarkEnd w:id="149"/>
      <w:bookmarkEnd w:id="150"/>
      <w:bookmarkEnd w:id="151"/>
      <w:bookmarkEnd w:id="152"/>
      <w:bookmarkEnd w:id="153"/>
    </w:p>
    <w:p>
      <w:pPr>
        <w:pStyle w:val="12"/>
        <w:spacing w:line="400" w:lineRule="exact"/>
        <w:ind w:firstLine="420" w:firstLineChars="200"/>
        <w:rPr>
          <w:rFonts w:hAnsi="宋体"/>
          <w:szCs w:val="21"/>
        </w:rPr>
      </w:pPr>
      <w:r>
        <w:rPr>
          <w:rFonts w:hint="eastAsia"/>
        </w:rPr>
        <w:t>1</w:t>
      </w:r>
      <w:r>
        <w:t>0</w:t>
      </w:r>
      <w:r>
        <w:rPr>
          <w:rFonts w:hint="eastAsia"/>
        </w:rPr>
        <w:t>.1磋商报价：</w:t>
      </w:r>
      <w:r>
        <w:rPr>
          <w:rFonts w:hint="eastAsia" w:hAnsi="宋体"/>
          <w:bCs/>
        </w:rPr>
        <w:t>竞标人必须就《</w:t>
      </w:r>
      <w:r>
        <w:rPr>
          <w:rFonts w:hint="eastAsia" w:asciiTheme="majorEastAsia" w:hAnsiTheme="majorEastAsia" w:eastAsiaTheme="majorEastAsia" w:cstheme="majorEastAsia"/>
          <w:bCs/>
          <w:szCs w:val="21"/>
        </w:rPr>
        <w:t>采购项目技术参数要求</w:t>
      </w:r>
      <w:r>
        <w:rPr>
          <w:rFonts w:hint="eastAsia" w:hAnsi="宋体"/>
          <w:bCs/>
        </w:rPr>
        <w:t>》中的所有服务内容有可能发生的所有费用作唯一完整报价。（</w:t>
      </w:r>
      <w:r>
        <w:rPr>
          <w:rFonts w:hint="eastAsia"/>
          <w:bCs/>
        </w:rPr>
        <w:t>本项目只允许提交一个方案的报价，不接受任何有选择性的报价。）</w:t>
      </w:r>
    </w:p>
    <w:p>
      <w:pPr>
        <w:pStyle w:val="12"/>
        <w:spacing w:line="400" w:lineRule="exact"/>
        <w:ind w:firstLine="420" w:firstLineChars="200"/>
        <w:rPr>
          <w:rFonts w:hAnsi="宋体"/>
          <w:bCs/>
          <w:szCs w:val="21"/>
        </w:rPr>
      </w:pPr>
      <w:r>
        <w:rPr>
          <w:rFonts w:hint="eastAsia"/>
        </w:rPr>
        <w:t>1</w:t>
      </w:r>
      <w:r>
        <w:t>0</w:t>
      </w:r>
      <w:r>
        <w:rPr>
          <w:rFonts w:hint="eastAsia"/>
        </w:rPr>
        <w:t>.2</w:t>
      </w:r>
      <w:r>
        <w:rPr>
          <w:rFonts w:hint="eastAsia" w:hAnsi="宋体"/>
          <w:bCs/>
          <w:szCs w:val="21"/>
        </w:rPr>
        <w:t>磋商报价</w:t>
      </w:r>
      <w:r>
        <w:rPr>
          <w:rFonts w:hint="eastAsia" w:hAnsi="宋体"/>
          <w:szCs w:val="21"/>
        </w:rPr>
        <w:t>应包含顺利实施和完成服务所发生的各项劳务费、技术服务费、前期调查及资料收集、审查、评审、公示、设备、交通、通讯、办公场地、管理费、税费和利润及通过审批等所有费用和政策性文件规定及合同包含的所有风险、责任等各项应有的费用，除非上述费用在合同中另有说明。合同期内，费用不再调整。</w:t>
      </w:r>
    </w:p>
    <w:p>
      <w:pPr>
        <w:pStyle w:val="12"/>
        <w:spacing w:line="400" w:lineRule="exact"/>
        <w:ind w:firstLine="420"/>
        <w:rPr>
          <w:rFonts w:hAnsi="宋体"/>
        </w:rPr>
      </w:pPr>
      <w:bookmarkStart w:id="154" w:name="_Toc230578069"/>
      <w:bookmarkStart w:id="155" w:name="_Toc207770847"/>
      <w:bookmarkStart w:id="156" w:name="_Toc185702561"/>
      <w:bookmarkStart w:id="157" w:name="_Toc239839875"/>
      <w:bookmarkStart w:id="158" w:name="_Toc206525694"/>
      <w:r>
        <w:rPr>
          <w:rFonts w:hint="eastAsia" w:hAnsi="宋体"/>
        </w:rPr>
        <w:t>10.3竞标人</w:t>
      </w:r>
      <w:r>
        <w:rPr>
          <w:rFonts w:hAnsi="宋体"/>
        </w:rPr>
        <w:t>应在</w:t>
      </w:r>
      <w:r>
        <w:rPr>
          <w:rFonts w:hint="eastAsia" w:hAnsi="宋体"/>
        </w:rPr>
        <w:t>响应文件</w:t>
      </w:r>
      <w:r>
        <w:rPr>
          <w:rFonts w:hAnsi="宋体"/>
        </w:rPr>
        <w:t>中的</w:t>
      </w:r>
      <w:r>
        <w:rPr>
          <w:rFonts w:hint="eastAsia" w:hAnsi="宋体"/>
        </w:rPr>
        <w:t>磋商报价</w:t>
      </w:r>
      <w:r>
        <w:rPr>
          <w:rFonts w:hAnsi="宋体"/>
        </w:rPr>
        <w:t>表上标明，</w:t>
      </w:r>
      <w:r>
        <w:rPr>
          <w:rFonts w:hint="eastAsia" w:hAnsi="宋体"/>
        </w:rPr>
        <w:t>本次竞标拟提供货物的单价金额及竞标总价，经最终磋商后不得更改，竞标人对本项目的报价必须是唯一的。</w:t>
      </w:r>
    </w:p>
    <w:p>
      <w:pPr>
        <w:pStyle w:val="12"/>
        <w:spacing w:line="400" w:lineRule="exact"/>
        <w:ind w:firstLine="420" w:firstLineChars="200"/>
      </w:pPr>
      <w:r>
        <w:rPr>
          <w:rFonts w:hint="eastAsia"/>
        </w:rPr>
        <w:t>1</w:t>
      </w:r>
      <w:r>
        <w:t>0</w:t>
      </w:r>
      <w:r>
        <w:rPr>
          <w:rFonts w:hint="eastAsia"/>
        </w:rPr>
        <w:t>.4竞标人所填报的货物内容如存在有漏项的情况且在评标时被接受，则将被认定为该遗漏项已包含在磋商报价中，成交人在供货时应按响应文件及经澄清后的结果要求完整提供货物及服务，采购人对其漏报的项目不追加任何货款。</w:t>
      </w:r>
    </w:p>
    <w:p>
      <w:pPr>
        <w:pStyle w:val="12"/>
        <w:spacing w:line="400" w:lineRule="exact"/>
        <w:ind w:firstLine="420"/>
        <w:rPr>
          <w:rFonts w:hAnsi="宋体"/>
        </w:rPr>
      </w:pPr>
      <w:r>
        <w:rPr>
          <w:rFonts w:hint="eastAsia" w:hAnsi="宋体"/>
        </w:rPr>
        <w:t>10.5本项目不接受有任何选择的报价，任何有选择的报价或包含价格调整要求的竞标，将被认为是非响应性竞标而作为无效响应文件处理。</w:t>
      </w:r>
    </w:p>
    <w:p>
      <w:pPr>
        <w:pStyle w:val="5"/>
        <w:spacing w:before="0" w:after="0" w:line="400" w:lineRule="exact"/>
        <w:rPr>
          <w:rFonts w:ascii="宋体" w:hAnsi="宋体" w:eastAsia="宋体"/>
          <w:sz w:val="21"/>
          <w:szCs w:val="21"/>
        </w:rPr>
      </w:pPr>
      <w:bookmarkStart w:id="159" w:name="_Toc444005993"/>
      <w:bookmarkStart w:id="160" w:name="_Toc489352144"/>
      <w:r>
        <w:rPr>
          <w:rFonts w:hint="eastAsia" w:ascii="宋体" w:hAnsi="宋体" w:eastAsia="宋体"/>
          <w:sz w:val="21"/>
          <w:szCs w:val="21"/>
        </w:rPr>
        <w:t>11、竞标货币</w:t>
      </w:r>
      <w:bookmarkEnd w:id="154"/>
      <w:bookmarkEnd w:id="155"/>
      <w:bookmarkEnd w:id="156"/>
      <w:bookmarkEnd w:id="157"/>
      <w:bookmarkEnd w:id="158"/>
      <w:bookmarkEnd w:id="159"/>
      <w:bookmarkEnd w:id="160"/>
    </w:p>
    <w:p>
      <w:pPr>
        <w:pStyle w:val="12"/>
        <w:spacing w:line="400" w:lineRule="exact"/>
        <w:ind w:firstLine="420"/>
      </w:pPr>
      <w:r>
        <w:rPr>
          <w:rFonts w:hint="eastAsia"/>
        </w:rPr>
        <w:t>11.1竞标应以人民币报价。</w:t>
      </w:r>
    </w:p>
    <w:p>
      <w:pPr>
        <w:pStyle w:val="5"/>
        <w:spacing w:before="0" w:after="0" w:line="400" w:lineRule="exact"/>
        <w:rPr>
          <w:rFonts w:ascii="宋体" w:hAnsi="宋体" w:eastAsia="宋体"/>
          <w:sz w:val="21"/>
          <w:szCs w:val="21"/>
        </w:rPr>
      </w:pPr>
      <w:bookmarkStart w:id="161" w:name="_Toc444005994"/>
      <w:bookmarkStart w:id="162" w:name="_Toc206525695"/>
      <w:bookmarkStart w:id="163" w:name="_Toc489352145"/>
      <w:bookmarkStart w:id="164" w:name="_Toc239839876"/>
      <w:bookmarkStart w:id="165" w:name="_Toc185702562"/>
      <w:bookmarkStart w:id="166" w:name="_Toc207770848"/>
      <w:bookmarkStart w:id="167" w:name="_Toc230578070"/>
      <w:r>
        <w:rPr>
          <w:rFonts w:hint="eastAsia" w:ascii="宋体" w:hAnsi="宋体" w:eastAsia="宋体"/>
          <w:sz w:val="21"/>
          <w:szCs w:val="21"/>
        </w:rPr>
        <w:t>12、竞标人资格证明文件</w:t>
      </w:r>
      <w:bookmarkEnd w:id="161"/>
      <w:bookmarkEnd w:id="162"/>
      <w:bookmarkEnd w:id="163"/>
      <w:bookmarkEnd w:id="164"/>
      <w:bookmarkEnd w:id="165"/>
      <w:bookmarkEnd w:id="166"/>
      <w:bookmarkEnd w:id="167"/>
    </w:p>
    <w:p>
      <w:pPr>
        <w:pStyle w:val="12"/>
        <w:spacing w:line="400" w:lineRule="exact"/>
        <w:ind w:firstLine="420"/>
        <w:rPr>
          <w:u w:val="single"/>
        </w:rPr>
      </w:pPr>
      <w:r>
        <w:rPr>
          <w:rFonts w:hint="eastAsia"/>
        </w:rPr>
        <w:t>12.1资格证明文件应包含</w:t>
      </w:r>
      <w:r>
        <w:rPr>
          <w:rFonts w:hint="eastAsia"/>
          <w:szCs w:val="21"/>
        </w:rPr>
        <w:t>：</w:t>
      </w:r>
      <w:r>
        <w:rPr>
          <w:rFonts w:hint="eastAsia"/>
        </w:rPr>
        <w:t>[以下所有文件均按要求提供且加盖竞标人单位公章。如提供不全或未按规定加盖单位公章或是无效文件的，将被视为未能通过资格和符合性审查。]</w:t>
      </w:r>
    </w:p>
    <w:p>
      <w:pPr>
        <w:pStyle w:val="12"/>
        <w:spacing w:line="410" w:lineRule="exact"/>
        <w:ind w:firstLine="420" w:firstLineChars="200"/>
        <w:rPr>
          <w:rFonts w:asciiTheme="majorEastAsia" w:hAnsiTheme="majorEastAsia" w:eastAsiaTheme="majorEastAsia" w:cstheme="majorEastAsia"/>
          <w:b/>
          <w:bCs/>
        </w:rPr>
      </w:pPr>
      <w:r>
        <w:rPr>
          <w:rFonts w:hint="eastAsia"/>
          <w:bCs/>
        </w:rPr>
        <w:t>(1)竞标人有效的营业执照或事业单位法人证书副本</w:t>
      </w:r>
      <w:r>
        <w:rPr>
          <w:rFonts w:hint="eastAsia" w:hAnsi="宋体"/>
          <w:bCs/>
        </w:rPr>
        <w:t>复印件</w:t>
      </w:r>
      <w:r>
        <w:rPr>
          <w:rFonts w:hint="eastAsia" w:asciiTheme="majorEastAsia" w:hAnsiTheme="majorEastAsia" w:eastAsiaTheme="majorEastAsia" w:cstheme="majorEastAsia"/>
          <w:b/>
          <w:bCs/>
        </w:rPr>
        <w:t>（必须提供，同时加盖竞标单位公章）；</w:t>
      </w:r>
    </w:p>
    <w:p>
      <w:pPr>
        <w:pStyle w:val="12"/>
        <w:spacing w:line="400" w:lineRule="exact"/>
        <w:ind w:firstLine="420"/>
        <w:rPr>
          <w:rFonts w:asciiTheme="majorEastAsia" w:hAnsiTheme="majorEastAsia" w:eastAsiaTheme="majorEastAsia" w:cstheme="majorEastAsia"/>
          <w:b/>
          <w:bCs/>
        </w:rPr>
      </w:pPr>
      <w:r>
        <w:rPr>
          <w:rFonts w:hint="eastAsia"/>
          <w:bCs/>
        </w:rPr>
        <w:t>(2)拟投入本项目的项目负责人职称证复印件、</w:t>
      </w:r>
      <w:r>
        <w:rPr>
          <w:rFonts w:hint="eastAsia" w:asciiTheme="majorEastAsia" w:hAnsiTheme="majorEastAsia" w:eastAsiaTheme="majorEastAsia" w:cstheme="majorEastAsia"/>
          <w:color w:val="auto"/>
          <w:sz w:val="21"/>
          <w:szCs w:val="21"/>
        </w:rPr>
        <w:t>近半年</w:t>
      </w:r>
      <w:r>
        <w:rPr>
          <w:rFonts w:hint="eastAsia" w:asciiTheme="majorEastAsia" w:hAnsiTheme="majorEastAsia" w:eastAsiaTheme="majorEastAsia" w:cstheme="majorEastAsia"/>
          <w:color w:val="auto"/>
          <w:sz w:val="21"/>
          <w:szCs w:val="21"/>
          <w:lang w:val="en-US" w:eastAsia="zh-CN"/>
        </w:rPr>
        <w:t>内任意</w:t>
      </w:r>
      <w:r>
        <w:rPr>
          <w:rFonts w:hint="eastAsia" w:asciiTheme="majorEastAsia" w:hAnsiTheme="majorEastAsia" w:eastAsiaTheme="majorEastAsia" w:cstheme="majorEastAsia"/>
          <w:color w:val="auto"/>
          <w:sz w:val="21"/>
          <w:szCs w:val="21"/>
        </w:rPr>
        <w:t>三个月社会养老保险金缴纳证明复印件</w:t>
      </w:r>
      <w:r>
        <w:rPr>
          <w:rFonts w:hint="eastAsia" w:hAnsi="宋体" w:cs="宋体"/>
          <w:color w:val="auto"/>
          <w:sz w:val="21"/>
          <w:szCs w:val="21"/>
        </w:rPr>
        <w:t>或事业单位机构编制证</w:t>
      </w:r>
      <w:r>
        <w:rPr>
          <w:rFonts w:hint="eastAsia" w:hAnsi="宋体" w:cs="宋体"/>
          <w:color w:val="auto"/>
          <w:sz w:val="21"/>
          <w:szCs w:val="21"/>
          <w:lang w:val="en-US" w:eastAsia="zh-CN"/>
        </w:rPr>
        <w:t>复印件</w:t>
      </w:r>
      <w:r>
        <w:rPr>
          <w:rFonts w:hint="eastAsia" w:asciiTheme="majorEastAsia" w:hAnsiTheme="majorEastAsia" w:eastAsiaTheme="majorEastAsia" w:cstheme="majorEastAsia"/>
          <w:b/>
          <w:bCs/>
        </w:rPr>
        <w:t>（必须提供，同时加盖竞标单位公章）；</w:t>
      </w:r>
    </w:p>
    <w:p>
      <w:pPr>
        <w:pStyle w:val="12"/>
        <w:spacing w:line="400" w:lineRule="exact"/>
        <w:ind w:firstLine="420"/>
        <w:rPr>
          <w:rFonts w:hAnsi="宋体" w:eastAsiaTheme="majorEastAsia"/>
          <w:bCs/>
        </w:rPr>
      </w:pPr>
      <w:r>
        <w:rPr>
          <w:rFonts w:hint="eastAsia"/>
          <w:bCs/>
        </w:rPr>
        <w:t>(3)竞标人</w:t>
      </w:r>
      <w:r>
        <w:rPr>
          <w:rFonts w:hint="eastAsia" w:hAnsi="宋体" w:cs="宋体"/>
          <w:szCs w:val="21"/>
        </w:rPr>
        <w:t>银行账户开户许可证复印件或加盖单位公章的“基本存款账户信息”凭条</w:t>
      </w:r>
      <w:r>
        <w:rPr>
          <w:rFonts w:hint="eastAsia" w:asciiTheme="majorEastAsia" w:hAnsiTheme="majorEastAsia" w:eastAsiaTheme="majorEastAsia" w:cstheme="majorEastAsia"/>
          <w:b/>
          <w:bCs/>
        </w:rPr>
        <w:t>（必须提供，同时加盖竞标单位公章）；</w:t>
      </w:r>
    </w:p>
    <w:p>
      <w:pPr>
        <w:pStyle w:val="12"/>
        <w:spacing w:line="400" w:lineRule="exact"/>
        <w:ind w:firstLine="420"/>
        <w:rPr>
          <w:rFonts w:hAnsi="宋体" w:eastAsiaTheme="majorEastAsia"/>
          <w:bCs/>
        </w:rPr>
      </w:pPr>
      <w:r>
        <w:rPr>
          <w:rFonts w:hint="eastAsia"/>
          <w:bCs/>
        </w:rPr>
        <w:t>(4)法定代表人第二代身份证</w:t>
      </w:r>
      <w:r>
        <w:rPr>
          <w:rFonts w:hint="eastAsia" w:hAnsi="宋体"/>
          <w:bCs/>
        </w:rPr>
        <w:t>(正、背面复印件）</w:t>
      </w:r>
      <w:r>
        <w:rPr>
          <w:rFonts w:hint="eastAsia" w:asciiTheme="majorEastAsia" w:hAnsiTheme="majorEastAsia" w:eastAsiaTheme="majorEastAsia" w:cstheme="majorEastAsia"/>
          <w:b/>
          <w:bCs/>
        </w:rPr>
        <w:t>（必须提供，同时加盖竞标单位公章）；</w:t>
      </w:r>
    </w:p>
    <w:p>
      <w:pPr>
        <w:pStyle w:val="12"/>
        <w:spacing w:line="400" w:lineRule="exact"/>
        <w:ind w:firstLine="420" w:firstLineChars="200"/>
        <w:rPr>
          <w:rFonts w:hAnsi="宋体" w:eastAsiaTheme="majorEastAsia"/>
          <w:bCs/>
        </w:rPr>
      </w:pPr>
      <w:r>
        <w:rPr>
          <w:rFonts w:hint="eastAsia"/>
          <w:bCs/>
        </w:rPr>
        <w:t>(5)</w:t>
      </w:r>
      <w:r>
        <w:rPr>
          <w:rFonts w:hint="eastAsia" w:hAnsi="宋体"/>
          <w:bCs/>
        </w:rPr>
        <w:t>磋商保证金</w:t>
      </w:r>
      <w:r>
        <w:rPr>
          <w:rFonts w:hint="eastAsia"/>
          <w:bCs/>
        </w:rPr>
        <w:t>缴纳证明复印件</w:t>
      </w:r>
      <w:r>
        <w:rPr>
          <w:rFonts w:hint="eastAsia" w:asciiTheme="majorEastAsia" w:hAnsiTheme="majorEastAsia" w:eastAsiaTheme="majorEastAsia" w:cstheme="majorEastAsia"/>
          <w:b/>
          <w:bCs/>
        </w:rPr>
        <w:t>（必须提供，同时加盖竞标单位公章）；</w:t>
      </w:r>
    </w:p>
    <w:p>
      <w:pPr>
        <w:pStyle w:val="12"/>
        <w:spacing w:line="400" w:lineRule="exact"/>
        <w:ind w:firstLine="420"/>
        <w:rPr>
          <w:rFonts w:hAnsi="宋体"/>
          <w:b/>
        </w:rPr>
      </w:pPr>
      <w:r>
        <w:rPr>
          <w:rFonts w:hint="eastAsia"/>
          <w:bCs/>
        </w:rPr>
        <w:t>(6)法定代表人授权委托书（原件）、委托代理人第二代身份证（正、背面</w:t>
      </w:r>
      <w:r>
        <w:rPr>
          <w:rFonts w:hint="eastAsia" w:hAnsi="宋体"/>
          <w:bCs/>
          <w:szCs w:val="21"/>
        </w:rPr>
        <w:t>复印件</w:t>
      </w:r>
      <w:r>
        <w:rPr>
          <w:rFonts w:hint="eastAsia" w:hAnsi="宋体"/>
          <w:bCs/>
          <w:spacing w:val="-2"/>
          <w:szCs w:val="21"/>
        </w:rPr>
        <w:t>）</w:t>
      </w:r>
      <w:r>
        <w:rPr>
          <w:rFonts w:hint="eastAsia" w:hAnsi="宋体"/>
          <w:b/>
          <w:szCs w:val="21"/>
        </w:rPr>
        <w:t>[</w:t>
      </w:r>
      <w:r>
        <w:rPr>
          <w:rFonts w:hint="eastAsia"/>
          <w:b/>
        </w:rPr>
        <w:t>委托代理人参加竞标时则必须提供</w:t>
      </w:r>
      <w:r>
        <w:rPr>
          <w:rFonts w:hint="eastAsia" w:hAnsi="宋体"/>
          <w:b/>
          <w:szCs w:val="21"/>
        </w:rPr>
        <w:t>]；</w:t>
      </w:r>
    </w:p>
    <w:p>
      <w:pPr>
        <w:pStyle w:val="12"/>
        <w:spacing w:line="400" w:lineRule="exact"/>
        <w:ind w:firstLine="420"/>
      </w:pPr>
      <w:r>
        <w:rPr>
          <w:rFonts w:hint="eastAsia"/>
          <w:bCs/>
        </w:rPr>
        <w:t>(7)</w:t>
      </w:r>
      <w:r>
        <w:rPr>
          <w:rFonts w:hint="eastAsia" w:hAnsi="宋体" w:cs="宋体"/>
          <w:b/>
          <w:color w:val="auto"/>
          <w:szCs w:val="21"/>
          <w:highlight w:val="none"/>
        </w:rPr>
        <w:t>竞标截止之日前一年内竞标人任意三个月的依法缴纳税费或依法免缴税费的证明</w:t>
      </w:r>
      <w:r>
        <w:rPr>
          <w:rFonts w:hint="eastAsia" w:hAnsi="宋体" w:cs="宋体"/>
          <w:b/>
          <w:szCs w:val="21"/>
        </w:rPr>
        <w:t>（格式自拟，复印件，</w:t>
      </w:r>
      <w:r>
        <w:rPr>
          <w:rFonts w:hint="eastAsia" w:hAnsi="宋体" w:cs="宋体"/>
          <w:b/>
          <w:szCs w:val="21"/>
          <w:u w:val="single"/>
        </w:rPr>
        <w:t>必须提供</w:t>
      </w:r>
      <w:r>
        <w:rPr>
          <w:rFonts w:hint="eastAsia" w:hAnsi="宋体" w:cs="宋体"/>
          <w:b/>
          <w:szCs w:val="21"/>
        </w:rPr>
        <w:t>）；</w:t>
      </w:r>
      <w:r>
        <w:rPr>
          <w:rFonts w:hint="eastAsia" w:hAnsi="宋体" w:cs="宋体"/>
          <w:szCs w:val="21"/>
        </w:rPr>
        <w:t>无纳税记录的，应提供由竞标人所在地主管国税或地税部门出具的《依法纳税或依法免税证明》（格式自拟，复印件）。</w:t>
      </w:r>
      <w:r>
        <w:rPr>
          <w:rFonts w:hint="eastAsia" w:hAnsi="宋体"/>
          <w:bCs/>
        </w:rPr>
        <w:t xml:space="preserve">  </w:t>
      </w:r>
    </w:p>
    <w:p>
      <w:pPr>
        <w:pStyle w:val="12"/>
        <w:spacing w:line="400" w:lineRule="exact"/>
        <w:rPr>
          <w:rFonts w:hAnsi="宋体"/>
          <w:b/>
          <w:bCs/>
          <w:szCs w:val="21"/>
        </w:rPr>
      </w:pPr>
      <w:bookmarkStart w:id="168" w:name="_Toc231493224"/>
      <w:bookmarkStart w:id="169" w:name="_Toc239839877"/>
      <w:bookmarkStart w:id="170" w:name="_Toc185702563"/>
      <w:bookmarkStart w:id="171" w:name="_Toc231492909"/>
      <w:bookmarkStart w:id="172" w:name="_Toc205094801"/>
      <w:bookmarkStart w:id="173" w:name="_Toc444005995"/>
      <w:r>
        <w:rPr>
          <w:rFonts w:hint="eastAsia" w:hAnsi="宋体"/>
          <w:b/>
          <w:szCs w:val="21"/>
        </w:rPr>
        <w:t>13</w:t>
      </w:r>
      <w:bookmarkEnd w:id="168"/>
      <w:bookmarkEnd w:id="169"/>
      <w:bookmarkEnd w:id="170"/>
      <w:bookmarkEnd w:id="171"/>
      <w:bookmarkEnd w:id="172"/>
      <w:r>
        <w:rPr>
          <w:rFonts w:hint="eastAsia" w:hAnsi="宋体"/>
          <w:b/>
          <w:szCs w:val="21"/>
        </w:rPr>
        <w:t>、竞标人认为有必要提供的其它资料</w:t>
      </w:r>
      <w:bookmarkEnd w:id="173"/>
    </w:p>
    <w:p>
      <w:pPr>
        <w:pStyle w:val="12"/>
        <w:spacing w:line="400" w:lineRule="exact"/>
        <w:ind w:firstLine="420"/>
        <w:rPr>
          <w:rFonts w:hAnsi="宋体"/>
          <w:bCs/>
          <w:spacing w:val="-4"/>
          <w:szCs w:val="21"/>
        </w:rPr>
      </w:pPr>
      <w:r>
        <w:rPr>
          <w:rFonts w:hint="eastAsia"/>
        </w:rPr>
        <w:t>竞标人在响应文件中自行提供的文件及资料。可以是：声明、证明文件资料，如公司简介，人员情况等，由竞标人根据自己的实际情况自行提供。</w:t>
      </w:r>
    </w:p>
    <w:p>
      <w:pPr>
        <w:pStyle w:val="5"/>
        <w:spacing w:before="0" w:after="0" w:line="400" w:lineRule="exact"/>
        <w:rPr>
          <w:rFonts w:ascii="宋体" w:hAnsi="宋体" w:eastAsia="宋体"/>
          <w:sz w:val="21"/>
          <w:szCs w:val="21"/>
        </w:rPr>
      </w:pPr>
      <w:bookmarkStart w:id="174" w:name="_Toc239839878"/>
      <w:bookmarkStart w:id="175" w:name="_Toc230578072"/>
      <w:bookmarkStart w:id="176" w:name="_Toc185702564"/>
      <w:bookmarkStart w:id="177" w:name="_Toc489352146"/>
      <w:bookmarkStart w:id="178" w:name="_Toc207770850"/>
      <w:bookmarkStart w:id="179" w:name="_Toc444005996"/>
      <w:bookmarkStart w:id="180" w:name="_Toc206525697"/>
      <w:r>
        <w:rPr>
          <w:rFonts w:hint="eastAsia" w:ascii="宋体" w:hAnsi="宋体" w:eastAsia="宋体"/>
          <w:sz w:val="21"/>
          <w:szCs w:val="21"/>
        </w:rPr>
        <w:t>14、</w:t>
      </w:r>
      <w:r>
        <w:rPr>
          <w:rFonts w:hint="eastAsia" w:ascii="宋体" w:hAnsi="宋体" w:eastAsia="宋体"/>
          <w:sz w:val="21"/>
          <w:szCs w:val="21"/>
          <w:lang w:val="en-US" w:eastAsia="zh-CN"/>
        </w:rPr>
        <w:t>磋商</w:t>
      </w:r>
      <w:r>
        <w:rPr>
          <w:rFonts w:hint="eastAsia" w:ascii="宋体" w:hAnsi="宋体" w:eastAsia="宋体"/>
          <w:sz w:val="21"/>
          <w:szCs w:val="21"/>
        </w:rPr>
        <w:t>的有效期</w:t>
      </w:r>
      <w:bookmarkEnd w:id="174"/>
      <w:bookmarkEnd w:id="175"/>
      <w:bookmarkEnd w:id="176"/>
      <w:bookmarkEnd w:id="177"/>
      <w:bookmarkEnd w:id="178"/>
      <w:bookmarkEnd w:id="179"/>
      <w:bookmarkEnd w:id="180"/>
    </w:p>
    <w:p>
      <w:pPr>
        <w:pStyle w:val="12"/>
        <w:spacing w:line="400" w:lineRule="exact"/>
        <w:ind w:firstLine="420"/>
      </w:pPr>
      <w:r>
        <w:rPr>
          <w:rFonts w:hint="eastAsia"/>
        </w:rPr>
        <w:t>14.1磋商有效期：响应文件从提交响应文件截止时间后60天内有效。</w:t>
      </w:r>
    </w:p>
    <w:p>
      <w:pPr>
        <w:pStyle w:val="12"/>
        <w:spacing w:line="400" w:lineRule="exact"/>
        <w:ind w:firstLine="420"/>
      </w:pPr>
      <w:r>
        <w:rPr>
          <w:rFonts w:hint="eastAsia"/>
        </w:rPr>
        <w:t>14.2在特殊情况下，采购代理机构可与竞标人协商延长响应文件的有效期。竞标人可同意或不同意延长磋商有效期，不同意延长磋商有效期的竞标人，其磋商保证金将在原磋商有效期满后5个工作日内予以退还，不付利息；同意延长磋商有效期的竞标人不能要求对原响应文件（经评标委员会确认有效且没有超出响应文件的范围或改变竞标的实质内容的澄清或说明作为响应文件的组成部分）作任何改变，并同意在延长的磋商有效期内遵循本响应文件，在延长的磋商有效期满之前继续具有约束力。</w:t>
      </w:r>
    </w:p>
    <w:p>
      <w:pPr>
        <w:pStyle w:val="5"/>
        <w:spacing w:before="0" w:after="0" w:line="400" w:lineRule="exact"/>
        <w:rPr>
          <w:rFonts w:ascii="宋体" w:hAnsi="宋体" w:eastAsia="宋体"/>
          <w:sz w:val="21"/>
          <w:szCs w:val="21"/>
        </w:rPr>
      </w:pPr>
      <w:bookmarkStart w:id="181" w:name="_Toc230578073"/>
      <w:bookmarkStart w:id="182" w:name="_Toc206525698"/>
      <w:bookmarkStart w:id="183" w:name="_Toc185702565"/>
      <w:bookmarkStart w:id="184" w:name="_Toc489352147"/>
      <w:bookmarkStart w:id="185" w:name="_Toc239839879"/>
      <w:bookmarkStart w:id="186" w:name="_Toc207770851"/>
      <w:bookmarkStart w:id="187" w:name="_Toc444005997"/>
      <w:r>
        <w:rPr>
          <w:rFonts w:hint="eastAsia" w:ascii="宋体" w:hAnsi="宋体" w:eastAsia="宋体"/>
          <w:sz w:val="21"/>
          <w:szCs w:val="21"/>
        </w:rPr>
        <w:t>15、响应文件书写及签名、盖章要求</w:t>
      </w:r>
      <w:bookmarkEnd w:id="181"/>
      <w:bookmarkEnd w:id="182"/>
      <w:bookmarkEnd w:id="183"/>
      <w:bookmarkEnd w:id="184"/>
      <w:bookmarkEnd w:id="185"/>
      <w:bookmarkEnd w:id="186"/>
      <w:bookmarkEnd w:id="187"/>
    </w:p>
    <w:p>
      <w:pPr>
        <w:pStyle w:val="12"/>
        <w:spacing w:line="400" w:lineRule="exact"/>
        <w:ind w:firstLine="420"/>
      </w:pPr>
      <w:r>
        <w:rPr>
          <w:rFonts w:hint="eastAsia"/>
        </w:rPr>
        <w:t>15.1响应文件正本必须用不褪色的墨水工整书写或打印。</w:t>
      </w:r>
    </w:p>
    <w:p>
      <w:pPr>
        <w:pStyle w:val="12"/>
        <w:spacing w:line="400" w:lineRule="exact"/>
        <w:ind w:firstLine="420"/>
      </w:pPr>
      <w:r>
        <w:rPr>
          <w:rFonts w:hint="eastAsia"/>
        </w:rPr>
        <w:t>15.2响应文件的书写应清楚工整，修改处应有由法定代表人或委托代理人签字和加盖单位公章，否则其响应无效。</w:t>
      </w:r>
    </w:p>
    <w:p>
      <w:pPr>
        <w:pStyle w:val="12"/>
        <w:spacing w:line="400" w:lineRule="exact"/>
        <w:ind w:firstLine="420"/>
      </w:pPr>
      <w:r>
        <w:rPr>
          <w:rFonts w:hint="eastAsia"/>
        </w:rPr>
        <w:t>15.3字迹潦草、表达不清或未按要求填写的响应文件可能将被认定为无效的竞标。</w:t>
      </w:r>
    </w:p>
    <w:p>
      <w:pPr>
        <w:pStyle w:val="12"/>
        <w:spacing w:line="400" w:lineRule="exact"/>
        <w:ind w:firstLine="420"/>
        <w:rPr>
          <w:spacing w:val="-4"/>
          <w:szCs w:val="21"/>
        </w:rPr>
      </w:pPr>
      <w:r>
        <w:rPr>
          <w:rFonts w:hint="eastAsia"/>
          <w:spacing w:val="-4"/>
          <w:szCs w:val="21"/>
        </w:rPr>
        <w:t>15.4响应文件应由法定代表人或委托代理人在凡规定签名、签章处逐一签名和盖单位公章，否则其响应无效。</w:t>
      </w:r>
    </w:p>
    <w:p>
      <w:pPr>
        <w:pStyle w:val="12"/>
        <w:spacing w:line="400" w:lineRule="exact"/>
        <w:ind w:firstLine="420"/>
      </w:pPr>
      <w:r>
        <w:rPr>
          <w:rFonts w:hint="eastAsia"/>
          <w:szCs w:val="21"/>
        </w:rPr>
        <w:t>15.5响应文件的份数：</w:t>
      </w:r>
      <w:r>
        <w:rPr>
          <w:rFonts w:hint="eastAsia"/>
          <w:bCs/>
          <w:szCs w:val="21"/>
        </w:rPr>
        <w:t>正本壹份，副本肆份，共伍份</w:t>
      </w:r>
      <w:r>
        <w:rPr>
          <w:rFonts w:hint="eastAsia"/>
          <w:szCs w:val="21"/>
        </w:rPr>
        <w:t>。并在每份文件注明“正本”、“副本”字样，一旦正本和副本不符（副</w:t>
      </w:r>
      <w:r>
        <w:rPr>
          <w:rFonts w:hAnsi="宋体"/>
          <w:szCs w:val="21"/>
        </w:rPr>
        <w:t>本可以是正本的复印件</w:t>
      </w:r>
      <w:r>
        <w:rPr>
          <w:rFonts w:hint="eastAsia"/>
          <w:szCs w:val="21"/>
        </w:rPr>
        <w:t>），以正本为准</w:t>
      </w:r>
      <w:r>
        <w:rPr>
          <w:rFonts w:hint="eastAsia"/>
        </w:rPr>
        <w:t>。</w:t>
      </w:r>
    </w:p>
    <w:p>
      <w:pPr>
        <w:pStyle w:val="5"/>
        <w:spacing w:before="0" w:after="0" w:line="400" w:lineRule="exact"/>
        <w:rPr>
          <w:rFonts w:ascii="宋体" w:hAnsi="宋体" w:eastAsia="宋体"/>
          <w:sz w:val="21"/>
          <w:szCs w:val="21"/>
        </w:rPr>
      </w:pPr>
      <w:bookmarkStart w:id="188" w:name="_Toc444005998"/>
      <w:bookmarkStart w:id="189" w:name="_Toc206525699"/>
      <w:bookmarkStart w:id="190" w:name="_Toc230578074"/>
      <w:bookmarkStart w:id="191" w:name="_Toc239839880"/>
      <w:bookmarkStart w:id="192" w:name="_Toc207770852"/>
      <w:bookmarkStart w:id="193" w:name="_Toc185702566"/>
      <w:bookmarkStart w:id="194" w:name="_Toc489352148"/>
      <w:r>
        <w:rPr>
          <w:rFonts w:hint="eastAsia" w:ascii="宋体" w:hAnsi="宋体" w:eastAsia="宋体"/>
          <w:sz w:val="21"/>
          <w:szCs w:val="21"/>
        </w:rPr>
        <w:t>16、磋商保证金</w:t>
      </w:r>
      <w:bookmarkEnd w:id="188"/>
      <w:bookmarkEnd w:id="189"/>
      <w:bookmarkEnd w:id="190"/>
      <w:bookmarkEnd w:id="191"/>
      <w:bookmarkEnd w:id="192"/>
      <w:bookmarkEnd w:id="193"/>
      <w:bookmarkEnd w:id="194"/>
    </w:p>
    <w:p>
      <w:pPr>
        <w:pStyle w:val="12"/>
        <w:spacing w:line="400" w:lineRule="exact"/>
        <w:ind w:firstLine="420"/>
        <w:rPr>
          <w:spacing w:val="-4"/>
        </w:rPr>
      </w:pPr>
      <w:r>
        <w:rPr>
          <w:rFonts w:hint="eastAsia"/>
          <w:spacing w:val="-4"/>
        </w:rPr>
        <w:t xml:space="preserve">16.1 </w:t>
      </w:r>
      <w:r>
        <w:rPr>
          <w:rFonts w:hint="eastAsia" w:hAnsi="宋体"/>
          <w:szCs w:val="21"/>
        </w:rPr>
        <w:t>磋商保证金的提交：竞标人</w:t>
      </w:r>
      <w:r>
        <w:rPr>
          <w:rFonts w:hint="eastAsia"/>
          <w:spacing w:val="-4"/>
        </w:rPr>
        <w:t>必须按</w:t>
      </w:r>
      <w:r>
        <w:rPr>
          <w:rFonts w:hint="eastAsia" w:hAnsi="宋体"/>
          <w:szCs w:val="21"/>
        </w:rPr>
        <w:t>竞标人</w:t>
      </w:r>
      <w:r>
        <w:rPr>
          <w:rFonts w:hint="eastAsia"/>
          <w:spacing w:val="-4"/>
        </w:rPr>
        <w:t>须知前附表第6项的要求提交</w:t>
      </w:r>
      <w:r>
        <w:rPr>
          <w:rFonts w:hint="eastAsia" w:hAnsi="宋体"/>
          <w:szCs w:val="21"/>
        </w:rPr>
        <w:t>磋商保证金</w:t>
      </w:r>
      <w:r>
        <w:rPr>
          <w:rFonts w:hint="eastAsia"/>
        </w:rPr>
        <w:t>。</w:t>
      </w:r>
    </w:p>
    <w:p>
      <w:pPr>
        <w:pStyle w:val="12"/>
        <w:spacing w:line="400" w:lineRule="exact"/>
        <w:ind w:firstLine="420"/>
        <w:rPr>
          <w:rFonts w:hAnsi="宋体"/>
        </w:rPr>
      </w:pPr>
      <w:r>
        <w:rPr>
          <w:rFonts w:hint="eastAsia"/>
        </w:rPr>
        <w:t>16.2</w:t>
      </w:r>
      <w:r>
        <w:rPr>
          <w:rFonts w:hint="eastAsia" w:hAnsi="宋体"/>
          <w:szCs w:val="21"/>
        </w:rPr>
        <w:t>竞标人</w:t>
      </w:r>
      <w:r>
        <w:rPr>
          <w:rFonts w:hint="eastAsia"/>
        </w:rPr>
        <w:t>必须</w:t>
      </w:r>
      <w:r>
        <w:rPr>
          <w:rFonts w:hint="eastAsia" w:hAnsi="宋体"/>
        </w:rPr>
        <w:t>将</w:t>
      </w:r>
      <w:r>
        <w:rPr>
          <w:rFonts w:hint="eastAsia" w:hAnsi="宋体"/>
          <w:szCs w:val="21"/>
        </w:rPr>
        <w:t>磋商保证金</w:t>
      </w:r>
      <w:r>
        <w:rPr>
          <w:rFonts w:hint="eastAsia" w:hAnsi="宋体"/>
        </w:rPr>
        <w:t>缴纳证明(</w:t>
      </w:r>
      <w:r>
        <w:rPr>
          <w:rFonts w:hint="eastAsia"/>
        </w:rPr>
        <w:t>银行转款单</w:t>
      </w:r>
      <w:r>
        <w:rPr>
          <w:rFonts w:hint="eastAsia" w:hAnsi="宋体"/>
        </w:rPr>
        <w:t>)复印件按要求附在响应文件内。</w:t>
      </w:r>
    </w:p>
    <w:p>
      <w:pPr>
        <w:pStyle w:val="12"/>
        <w:spacing w:line="400" w:lineRule="exact"/>
        <w:ind w:firstLine="420"/>
        <w:rPr>
          <w:rFonts w:hAnsi="宋体"/>
        </w:rPr>
      </w:pPr>
      <w:r>
        <w:rPr>
          <w:rFonts w:hint="eastAsia"/>
        </w:rPr>
        <w:t>16.3对未按竞争性磋商文件要求缴纳磋商保证金的，将视其为不响应竞标条件而予以拒绝。</w:t>
      </w:r>
    </w:p>
    <w:p>
      <w:pPr>
        <w:pStyle w:val="12"/>
        <w:spacing w:line="400" w:lineRule="exact"/>
        <w:ind w:firstLine="420"/>
      </w:pPr>
      <w:r>
        <w:rPr>
          <w:rFonts w:hint="eastAsia"/>
        </w:rPr>
        <w:t>16.4磋商保证金的退还</w:t>
      </w:r>
    </w:p>
    <w:p>
      <w:pPr>
        <w:spacing w:line="440" w:lineRule="exact"/>
        <w:rPr>
          <w:rFonts w:ascii="宋体" w:hAnsi="宋体" w:cs="宋体"/>
        </w:rPr>
      </w:pPr>
      <w:r>
        <w:rPr>
          <w:rFonts w:hint="eastAsia"/>
        </w:rPr>
        <w:t xml:space="preserve">    </w:t>
      </w:r>
      <w:r>
        <w:rPr>
          <w:rFonts w:hint="eastAsia" w:ascii="宋体" w:hAnsi="Courier New"/>
          <w:szCs w:val="20"/>
        </w:rPr>
        <w:t>16.4.1</w:t>
      </w:r>
      <w:r>
        <w:rPr>
          <w:rFonts w:hint="eastAsia" w:ascii="宋体" w:hAnsi="宋体" w:cs="宋体"/>
        </w:rPr>
        <w:t>不是成交人的</w:t>
      </w:r>
      <w:r>
        <w:rPr>
          <w:rFonts w:hint="eastAsia"/>
        </w:rPr>
        <w:t>竞标人</w:t>
      </w:r>
      <w:r>
        <w:rPr>
          <w:rFonts w:hint="eastAsia" w:ascii="宋体" w:hAnsi="宋体" w:cs="宋体"/>
        </w:rPr>
        <w:t>——中标公告发布第二天起，2个工作日内由</w:t>
      </w:r>
      <w:r>
        <w:rPr>
          <w:rFonts w:hint="eastAsia" w:ascii="宋体" w:hAnsi="宋体" w:cs="宋体"/>
          <w:lang w:eastAsia="zh-CN"/>
        </w:rPr>
        <w:t>采购人</w:t>
      </w:r>
      <w:r>
        <w:rPr>
          <w:rFonts w:hint="eastAsia" w:ascii="宋体" w:hAnsi="宋体" w:cs="宋体"/>
        </w:rPr>
        <w:t>或</w:t>
      </w:r>
      <w:r>
        <w:rPr>
          <w:rFonts w:hint="eastAsia" w:ascii="宋体" w:hAnsi="宋体" w:cs="宋体"/>
          <w:lang w:val="en-US" w:eastAsia="zh-CN"/>
        </w:rPr>
        <w:t>采购</w:t>
      </w:r>
      <w:r>
        <w:rPr>
          <w:rFonts w:hint="eastAsia" w:ascii="宋体" w:hAnsi="宋体" w:cs="宋体"/>
        </w:rPr>
        <w:t>代理机构统一出具退款函，送交贺州市公共资源交易中心财务室在5个工作日内原路退付到各竞标人的账户。</w:t>
      </w:r>
    </w:p>
    <w:p>
      <w:pPr>
        <w:spacing w:line="440" w:lineRule="exact"/>
        <w:rPr>
          <w:rFonts w:ascii="宋体" w:hAnsi="宋体" w:cs="宋体"/>
        </w:rPr>
      </w:pPr>
      <w:r>
        <w:rPr>
          <w:rFonts w:hint="eastAsia" w:ascii="宋体" w:hAnsi="Courier New"/>
          <w:szCs w:val="20"/>
        </w:rPr>
        <w:t xml:space="preserve">   16.4.2是</w:t>
      </w:r>
      <w:r>
        <w:rPr>
          <w:rFonts w:hint="eastAsia" w:ascii="宋体" w:hAnsi="宋体" w:cs="宋体"/>
        </w:rPr>
        <w:t>成交人的</w:t>
      </w:r>
      <w:r>
        <w:rPr>
          <w:rFonts w:hint="eastAsia"/>
        </w:rPr>
        <w:t>竞标人</w:t>
      </w:r>
      <w:r>
        <w:rPr>
          <w:rFonts w:hint="eastAsia" w:ascii="宋体" w:hAnsi="宋体" w:cs="宋体"/>
        </w:rPr>
        <w:t>——</w:t>
      </w:r>
      <w:r>
        <w:rPr>
          <w:rFonts w:hint="eastAsia" w:ascii="宋体" w:hAnsi="宋体" w:cs="宋体"/>
          <w:lang w:eastAsia="zh-CN"/>
        </w:rPr>
        <w:t>采购人</w:t>
      </w:r>
      <w:r>
        <w:rPr>
          <w:rFonts w:hint="eastAsia" w:ascii="宋体" w:hAnsi="宋体" w:cs="宋体"/>
        </w:rPr>
        <w:t>或</w:t>
      </w:r>
      <w:r>
        <w:rPr>
          <w:rFonts w:hint="eastAsia" w:ascii="宋体" w:hAnsi="宋体" w:cs="宋体"/>
          <w:lang w:val="en-US" w:eastAsia="zh-CN"/>
        </w:rPr>
        <w:t>采购</w:t>
      </w:r>
      <w:r>
        <w:rPr>
          <w:rFonts w:hint="eastAsia" w:ascii="宋体" w:hAnsi="宋体" w:cs="宋体"/>
        </w:rPr>
        <w:t>代理机构在中标人缴纳履约保证金及签订合同后2个工作日内出具退款函，送交贺州市公共资源交易中心财在5个工作日内原路退付到各竞标人的账户。</w:t>
      </w:r>
    </w:p>
    <w:p>
      <w:pPr>
        <w:pStyle w:val="12"/>
        <w:spacing w:line="410" w:lineRule="exact"/>
        <w:ind w:firstLine="420"/>
      </w:pPr>
      <w:r>
        <w:rPr>
          <w:rFonts w:hint="eastAsia"/>
        </w:rPr>
        <w:t>16.5 涉及质疑和投诉的竞标人，在质疑和投诉调查处理结束前其磋商保证金暂不退还。</w:t>
      </w:r>
    </w:p>
    <w:p>
      <w:pPr>
        <w:pStyle w:val="12"/>
        <w:spacing w:line="400" w:lineRule="exact"/>
        <w:ind w:firstLine="420"/>
      </w:pPr>
      <w:r>
        <w:rPr>
          <w:rFonts w:hint="eastAsia"/>
        </w:rPr>
        <w:t>16.6 有下列情形之一的，磋商保证金不予退还：</w:t>
      </w:r>
    </w:p>
    <w:p>
      <w:pPr>
        <w:pStyle w:val="12"/>
        <w:spacing w:line="400" w:lineRule="exact"/>
        <w:ind w:firstLine="420"/>
      </w:pPr>
      <w:r>
        <w:rPr>
          <w:rFonts w:hint="eastAsia"/>
        </w:rPr>
        <w:t>（1）竞标人在提交响应文件截止时间后或在磋商有效期内撤回其响应文件的；</w:t>
      </w:r>
    </w:p>
    <w:p>
      <w:pPr>
        <w:pStyle w:val="12"/>
        <w:spacing w:line="400" w:lineRule="exact"/>
        <w:ind w:firstLine="420"/>
      </w:pPr>
      <w:r>
        <w:rPr>
          <w:rFonts w:hint="eastAsia"/>
        </w:rPr>
        <w:t>（2）竞标人在响应文件中提供虚假材料的；</w:t>
      </w:r>
    </w:p>
    <w:p>
      <w:pPr>
        <w:pStyle w:val="12"/>
        <w:spacing w:line="400" w:lineRule="exact"/>
        <w:ind w:firstLine="420"/>
      </w:pPr>
      <w:r>
        <w:rPr>
          <w:rFonts w:hint="eastAsia"/>
        </w:rPr>
        <w:t>（3）成交人未按本须知第28条规定缴纳履约保证金的；</w:t>
      </w:r>
    </w:p>
    <w:p>
      <w:pPr>
        <w:pStyle w:val="12"/>
        <w:spacing w:line="400" w:lineRule="exact"/>
        <w:ind w:firstLine="420"/>
      </w:pPr>
      <w:r>
        <w:rPr>
          <w:rFonts w:hint="eastAsia"/>
        </w:rPr>
        <w:t>（4）成交人无正当理由不与采购人按本须知第27条签订合同的；</w:t>
      </w:r>
    </w:p>
    <w:p>
      <w:pPr>
        <w:pStyle w:val="12"/>
        <w:spacing w:line="400" w:lineRule="exact"/>
        <w:ind w:firstLine="420"/>
      </w:pPr>
      <w:r>
        <w:rPr>
          <w:rFonts w:hint="eastAsia"/>
        </w:rPr>
        <w:t>（5）中标后与采购人签订对磋商文件和响应文件作了实质性修改的合同，或与采购人私下订立背离合同实质性内容的协议的；</w:t>
      </w:r>
    </w:p>
    <w:p>
      <w:pPr>
        <w:pStyle w:val="12"/>
        <w:spacing w:line="400" w:lineRule="exact"/>
        <w:ind w:firstLine="420"/>
      </w:pPr>
      <w:r>
        <w:rPr>
          <w:rFonts w:hint="eastAsia"/>
        </w:rPr>
        <w:t>（6）将成交项目转让给他人；或者在响应文件中未说明，且未经采购人同意，将成交项目分包给他人的。</w:t>
      </w:r>
    </w:p>
    <w:p>
      <w:pPr>
        <w:pStyle w:val="4"/>
        <w:spacing w:line="400" w:lineRule="exact"/>
        <w:jc w:val="center"/>
      </w:pPr>
      <w:bookmarkStart w:id="195" w:name="_Toc239839881"/>
      <w:bookmarkStart w:id="196" w:name="_Toc207770853"/>
      <w:bookmarkStart w:id="197" w:name="_Toc185702567"/>
      <w:bookmarkStart w:id="198" w:name="_Toc230578075"/>
      <w:bookmarkStart w:id="199" w:name="_Toc206525700"/>
      <w:bookmarkStart w:id="200" w:name="_Toc444005999"/>
      <w:bookmarkStart w:id="201" w:name="_Toc489352149"/>
      <w:r>
        <w:rPr>
          <w:rFonts w:hint="eastAsia"/>
        </w:rPr>
        <w:t>四   响应文件</w:t>
      </w:r>
      <w:bookmarkEnd w:id="195"/>
      <w:bookmarkEnd w:id="196"/>
      <w:bookmarkEnd w:id="197"/>
      <w:bookmarkEnd w:id="198"/>
      <w:bookmarkEnd w:id="199"/>
      <w:r>
        <w:rPr>
          <w:rFonts w:hint="eastAsia"/>
          <w:spacing w:val="-4"/>
        </w:rPr>
        <w:t>提交</w:t>
      </w:r>
      <w:bookmarkEnd w:id="200"/>
      <w:bookmarkEnd w:id="201"/>
    </w:p>
    <w:p>
      <w:pPr>
        <w:pStyle w:val="5"/>
        <w:spacing w:before="0" w:after="0" w:line="400" w:lineRule="exact"/>
        <w:rPr>
          <w:rFonts w:ascii="宋体" w:hAnsi="宋体" w:eastAsia="宋体"/>
          <w:sz w:val="21"/>
          <w:szCs w:val="21"/>
        </w:rPr>
      </w:pPr>
      <w:bookmarkStart w:id="202" w:name="_Toc230578076"/>
      <w:bookmarkStart w:id="203" w:name="_Toc185702568"/>
      <w:bookmarkStart w:id="204" w:name="_Toc207770854"/>
      <w:bookmarkStart w:id="205" w:name="_Toc444006000"/>
      <w:bookmarkStart w:id="206" w:name="_Toc206525701"/>
      <w:bookmarkStart w:id="207" w:name="_Toc489352150"/>
      <w:bookmarkStart w:id="208" w:name="_Toc239839882"/>
      <w:r>
        <w:rPr>
          <w:rFonts w:hint="eastAsia" w:ascii="宋体" w:hAnsi="宋体" w:eastAsia="宋体"/>
          <w:sz w:val="21"/>
          <w:szCs w:val="21"/>
        </w:rPr>
        <w:t>17、响应文件的密封与标记</w:t>
      </w:r>
      <w:bookmarkEnd w:id="202"/>
      <w:bookmarkEnd w:id="203"/>
      <w:bookmarkEnd w:id="204"/>
      <w:bookmarkEnd w:id="205"/>
      <w:bookmarkEnd w:id="206"/>
      <w:bookmarkEnd w:id="207"/>
      <w:bookmarkEnd w:id="208"/>
    </w:p>
    <w:p>
      <w:pPr>
        <w:pStyle w:val="12"/>
        <w:spacing w:line="400" w:lineRule="exact"/>
        <w:ind w:firstLine="420"/>
        <w:rPr>
          <w:rFonts w:hAnsi="宋体"/>
        </w:rPr>
      </w:pPr>
      <w:r>
        <w:rPr>
          <w:rFonts w:hint="eastAsia"/>
        </w:rPr>
        <w:t>17.1竞标人应按照标段分别编制响应文件，并按标段将响应文件正、副本分别</w:t>
      </w:r>
      <w:r>
        <w:rPr>
          <w:rFonts w:hint="eastAsia" w:ascii="Times New Roman" w:hAnsi="Times New Roman"/>
        </w:rPr>
        <w:t>装订成册，在每个文本封面上标明“响应文件正本（副本）”</w:t>
      </w:r>
      <w:r>
        <w:rPr>
          <w:rFonts w:hint="eastAsia"/>
        </w:rPr>
        <w:t>，</w:t>
      </w:r>
      <w:r>
        <w:rPr>
          <w:rFonts w:hint="eastAsia" w:hAnsi="宋体"/>
        </w:rPr>
        <w:t>以及项目名称、项目编号、竞标人名称等内容。</w:t>
      </w:r>
    </w:p>
    <w:p>
      <w:pPr>
        <w:pStyle w:val="12"/>
        <w:spacing w:line="400" w:lineRule="exact"/>
        <w:ind w:firstLine="412" w:firstLineChars="200"/>
        <w:rPr>
          <w:rFonts w:hAnsi="宋体"/>
          <w:spacing w:val="-2"/>
          <w:szCs w:val="21"/>
        </w:rPr>
      </w:pPr>
      <w:r>
        <w:rPr>
          <w:rFonts w:hint="eastAsia" w:hAnsi="宋体"/>
          <w:spacing w:val="-2"/>
          <w:szCs w:val="21"/>
        </w:rPr>
        <w:t>17.2竞标人应将响应文件（正本壹本，副本肆本）一并装入响应文件袋中加以密封；并在封口处加盖公章。</w:t>
      </w:r>
    </w:p>
    <w:p>
      <w:pPr>
        <w:pStyle w:val="12"/>
        <w:spacing w:line="400" w:lineRule="exact"/>
        <w:ind w:firstLine="420" w:firstLineChars="200"/>
        <w:rPr>
          <w:rFonts w:hAnsi="宋体"/>
        </w:rPr>
      </w:pPr>
      <w:r>
        <w:rPr>
          <w:rFonts w:hint="eastAsia" w:hAnsi="宋体"/>
        </w:rPr>
        <w:t xml:space="preserve">17.3响应文件袋上应写明： </w:t>
      </w:r>
    </w:p>
    <w:p>
      <w:pPr>
        <w:pStyle w:val="12"/>
        <w:spacing w:line="400" w:lineRule="exact"/>
        <w:ind w:firstLine="900"/>
        <w:rPr>
          <w:rFonts w:hAnsi="宋体"/>
          <w:u w:val="single"/>
        </w:rPr>
      </w:pPr>
      <w:r>
        <w:rPr>
          <w:rFonts w:hint="eastAsia" w:hAnsi="宋体"/>
        </w:rPr>
        <w:t>（1）采购代理机构：</w:t>
      </w:r>
      <w:r>
        <w:rPr>
          <w:rFonts w:hint="eastAsia" w:hAnsi="宋体"/>
          <w:u w:val="single"/>
        </w:rPr>
        <w:t xml:space="preserve">                            </w:t>
      </w:r>
    </w:p>
    <w:p>
      <w:pPr>
        <w:pStyle w:val="12"/>
        <w:spacing w:line="400" w:lineRule="exact"/>
        <w:ind w:firstLine="900"/>
        <w:rPr>
          <w:rFonts w:hAnsi="宋体"/>
          <w:u w:val="single"/>
        </w:rPr>
      </w:pPr>
      <w:r>
        <w:rPr>
          <w:rFonts w:hint="eastAsia" w:hAnsi="宋体"/>
        </w:rPr>
        <w:t>（2）项目名称：</w:t>
      </w:r>
      <w:r>
        <w:rPr>
          <w:rFonts w:hint="eastAsia" w:hAnsi="宋体"/>
          <w:u w:val="single"/>
        </w:rPr>
        <w:t xml:space="preserve">                                </w:t>
      </w:r>
    </w:p>
    <w:p>
      <w:pPr>
        <w:pStyle w:val="12"/>
        <w:spacing w:line="400" w:lineRule="exact"/>
        <w:ind w:firstLine="840" w:firstLineChars="400"/>
        <w:rPr>
          <w:rFonts w:hAnsi="宋体"/>
        </w:rPr>
      </w:pPr>
      <w:r>
        <w:rPr>
          <w:rFonts w:hint="eastAsia" w:hAnsi="宋体"/>
        </w:rPr>
        <w:t>（3）</w:t>
      </w:r>
      <w:r>
        <w:rPr>
          <w:rFonts w:hint="eastAsia" w:hAnsi="宋体"/>
          <w:color w:val="000000"/>
        </w:rPr>
        <w:t>项目编号：</w:t>
      </w:r>
      <w:r>
        <w:rPr>
          <w:rFonts w:hint="eastAsia" w:hAnsi="宋体"/>
          <w:color w:val="000000"/>
          <w:u w:val="single"/>
        </w:rPr>
        <w:t xml:space="preserve">                                </w:t>
      </w:r>
    </w:p>
    <w:p>
      <w:pPr>
        <w:pStyle w:val="12"/>
        <w:spacing w:line="400" w:lineRule="exact"/>
        <w:ind w:firstLine="900"/>
        <w:rPr>
          <w:rFonts w:hAnsi="宋体"/>
          <w:u w:val="single"/>
        </w:rPr>
      </w:pPr>
      <w:r>
        <w:rPr>
          <w:rFonts w:hint="eastAsia" w:hAnsi="宋体"/>
        </w:rPr>
        <w:t>（4）项目标段：</w:t>
      </w:r>
      <w:r>
        <w:rPr>
          <w:rFonts w:hint="eastAsia" w:hAnsi="宋体"/>
          <w:u w:val="single"/>
        </w:rPr>
        <w:t xml:space="preserve">                                </w:t>
      </w:r>
    </w:p>
    <w:p>
      <w:pPr>
        <w:pStyle w:val="12"/>
        <w:spacing w:line="400" w:lineRule="exact"/>
        <w:ind w:firstLine="900"/>
        <w:rPr>
          <w:rFonts w:hAnsi="宋体"/>
          <w:u w:val="single"/>
        </w:rPr>
      </w:pPr>
      <w:r>
        <w:rPr>
          <w:rFonts w:hint="eastAsia" w:hAnsi="宋体"/>
        </w:rPr>
        <w:t>（5） 竞标单位</w:t>
      </w:r>
      <w:r>
        <w:rPr>
          <w:rFonts w:hint="eastAsia" w:hAnsi="宋体"/>
          <w:lang w:eastAsia="zh-CN"/>
        </w:rPr>
        <w:t>（</w:t>
      </w:r>
      <w:r>
        <w:rPr>
          <w:rFonts w:hint="eastAsia" w:hAnsi="宋体"/>
          <w:lang w:val="en-US" w:eastAsia="zh-CN"/>
        </w:rPr>
        <w:t>联合体牵头人</w:t>
      </w:r>
      <w:r>
        <w:rPr>
          <w:rFonts w:hint="eastAsia" w:hAnsi="宋体"/>
          <w:lang w:eastAsia="zh-CN"/>
        </w:rPr>
        <w:t>）</w:t>
      </w:r>
      <w:r>
        <w:rPr>
          <w:rFonts w:hint="eastAsia" w:hAnsi="宋体"/>
        </w:rPr>
        <w:t>：</w:t>
      </w:r>
      <w:r>
        <w:rPr>
          <w:rFonts w:hint="eastAsia" w:hAnsi="宋体"/>
          <w:u w:val="single"/>
        </w:rPr>
        <w:t xml:space="preserve">                                </w:t>
      </w:r>
    </w:p>
    <w:p>
      <w:pPr>
        <w:pStyle w:val="12"/>
        <w:spacing w:line="400" w:lineRule="exact"/>
        <w:ind w:firstLine="900"/>
        <w:rPr>
          <w:rFonts w:hAnsi="宋体"/>
        </w:rPr>
      </w:pPr>
      <w:r>
        <w:rPr>
          <w:rFonts w:hint="eastAsia" w:hAnsi="宋体"/>
        </w:rPr>
        <w:t>（6） 注    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r>
        <w:rPr>
          <w:rFonts w:hint="eastAsia" w:hAnsi="宋体"/>
          <w:u w:val="single"/>
        </w:rPr>
        <w:t xml:space="preserve">      </w:t>
      </w:r>
      <w:r>
        <w:rPr>
          <w:rFonts w:hint="eastAsia" w:hAnsi="宋体"/>
        </w:rPr>
        <w:t>时</w:t>
      </w:r>
      <w:r>
        <w:rPr>
          <w:rFonts w:hint="eastAsia" w:hAnsi="宋体"/>
          <w:u w:val="single"/>
        </w:rPr>
        <w:t xml:space="preserve">      </w:t>
      </w:r>
      <w:r>
        <w:rPr>
          <w:rFonts w:hint="eastAsia" w:hAnsi="宋体"/>
        </w:rPr>
        <w:t>分前不得拆封”</w:t>
      </w:r>
    </w:p>
    <w:p>
      <w:pPr>
        <w:pStyle w:val="12"/>
        <w:spacing w:line="400" w:lineRule="exact"/>
        <w:ind w:firstLine="420"/>
      </w:pPr>
      <w:r>
        <w:rPr>
          <w:rFonts w:hint="eastAsia"/>
        </w:rPr>
        <w:t>17.4响应文件的密封以响应文件袋无明显缝隙露出袋内文件且封口处有签字或盖章为合格。</w:t>
      </w:r>
    </w:p>
    <w:p>
      <w:pPr>
        <w:pStyle w:val="12"/>
        <w:spacing w:line="400" w:lineRule="exact"/>
        <w:ind w:firstLine="420"/>
      </w:pPr>
      <w:r>
        <w:rPr>
          <w:rFonts w:hint="eastAsia"/>
        </w:rPr>
        <w:t>17.5竞标人在</w:t>
      </w:r>
      <w:r>
        <w:rPr>
          <w:rFonts w:hint="eastAsia"/>
          <w:spacing w:val="-4"/>
        </w:rPr>
        <w:t>提交</w:t>
      </w:r>
      <w:r>
        <w:rPr>
          <w:rFonts w:hint="eastAsia"/>
        </w:rPr>
        <w:t>响应文件时，未按本须知要求密封、标记的，采购代理机构有权拒收，拒收所产生的后果由竞标人自负。</w:t>
      </w:r>
    </w:p>
    <w:p>
      <w:pPr>
        <w:pStyle w:val="5"/>
        <w:spacing w:before="0" w:after="0" w:line="400" w:lineRule="exact"/>
        <w:rPr>
          <w:rFonts w:ascii="宋体" w:hAnsi="宋体" w:eastAsia="宋体"/>
          <w:sz w:val="21"/>
          <w:szCs w:val="21"/>
        </w:rPr>
      </w:pPr>
      <w:bookmarkStart w:id="209" w:name="_Toc185702569"/>
      <w:bookmarkStart w:id="210" w:name="_Toc206525702"/>
      <w:bookmarkStart w:id="211" w:name="_Toc489352151"/>
      <w:bookmarkStart w:id="212" w:name="_Toc230578077"/>
      <w:bookmarkStart w:id="213" w:name="_Toc207770855"/>
      <w:bookmarkStart w:id="214" w:name="_Toc239839883"/>
      <w:bookmarkStart w:id="215" w:name="_Toc444006001"/>
      <w:r>
        <w:rPr>
          <w:rFonts w:hint="eastAsia" w:ascii="宋体" w:hAnsi="宋体" w:eastAsia="宋体"/>
          <w:sz w:val="21"/>
          <w:szCs w:val="21"/>
        </w:rPr>
        <w:t>18、响应文件提交的截止时间</w:t>
      </w:r>
      <w:bookmarkEnd w:id="209"/>
      <w:r>
        <w:rPr>
          <w:rFonts w:hint="eastAsia" w:ascii="宋体" w:hAnsi="宋体" w:eastAsia="宋体"/>
          <w:sz w:val="21"/>
          <w:szCs w:val="21"/>
        </w:rPr>
        <w:t>、地点</w:t>
      </w:r>
      <w:bookmarkEnd w:id="210"/>
      <w:bookmarkEnd w:id="211"/>
      <w:bookmarkEnd w:id="212"/>
      <w:bookmarkEnd w:id="213"/>
      <w:bookmarkEnd w:id="214"/>
      <w:bookmarkEnd w:id="215"/>
    </w:p>
    <w:p>
      <w:pPr>
        <w:pStyle w:val="12"/>
        <w:tabs>
          <w:tab w:val="left" w:pos="1957"/>
        </w:tabs>
        <w:spacing w:line="400" w:lineRule="exact"/>
        <w:ind w:firstLine="420"/>
        <w:rPr>
          <w:spacing w:val="-4"/>
        </w:rPr>
      </w:pPr>
      <w:r>
        <w:rPr>
          <w:rFonts w:hint="eastAsia"/>
        </w:rPr>
        <w:t>18.1</w:t>
      </w:r>
      <w:r>
        <w:rPr>
          <w:rFonts w:hint="eastAsia"/>
          <w:spacing w:val="-4"/>
        </w:rPr>
        <w:t>响应文件的提交不得迟于本须知前附表第8项指定的截止时间。</w:t>
      </w:r>
      <w:r>
        <w:rPr>
          <w:rFonts w:hint="eastAsia"/>
        </w:rPr>
        <w:t>在截止时间后送达的响应文件为无效文件，采购人、采购代理机构或者磋商小组应当拒收。</w:t>
      </w:r>
    </w:p>
    <w:p>
      <w:pPr>
        <w:pStyle w:val="12"/>
        <w:spacing w:line="400" w:lineRule="exact"/>
        <w:ind w:firstLine="420"/>
      </w:pPr>
      <w:r>
        <w:rPr>
          <w:rFonts w:hint="eastAsia"/>
        </w:rPr>
        <w:t>18.2竞标人必须在规定时间内将响应文件密封送达本须知前附表第8项指定地点</w:t>
      </w:r>
      <w:r>
        <w:rPr>
          <w:rFonts w:hint="eastAsia" w:hAnsi="宋体"/>
        </w:rPr>
        <w:t>。</w:t>
      </w:r>
    </w:p>
    <w:p>
      <w:pPr>
        <w:pStyle w:val="12"/>
        <w:spacing w:line="400" w:lineRule="exact"/>
        <w:ind w:firstLine="420"/>
      </w:pPr>
      <w:r>
        <w:rPr>
          <w:rFonts w:hint="eastAsia"/>
        </w:rPr>
        <w:t>18.3竞标人的法定代表人或其委托代理人必须签到出席截标会并按第8项要求提交相关证明文件接受核查，否则</w:t>
      </w:r>
      <w:r>
        <w:rPr>
          <w:rFonts w:hint="eastAsia"/>
          <w:spacing w:val="-4"/>
          <w:szCs w:val="21"/>
        </w:rPr>
        <w:t>响应</w:t>
      </w:r>
      <w:r>
        <w:rPr>
          <w:rFonts w:hint="eastAsia"/>
        </w:rPr>
        <w:t>无效。</w:t>
      </w:r>
    </w:p>
    <w:p>
      <w:pPr>
        <w:pStyle w:val="5"/>
        <w:spacing w:before="0" w:after="0" w:line="400" w:lineRule="exact"/>
        <w:rPr>
          <w:rFonts w:ascii="宋体" w:hAnsi="宋体" w:eastAsia="宋体"/>
          <w:sz w:val="21"/>
          <w:szCs w:val="21"/>
        </w:rPr>
      </w:pPr>
      <w:bookmarkStart w:id="216" w:name="_Toc444006002"/>
      <w:bookmarkStart w:id="217" w:name="_Toc207770856"/>
      <w:bookmarkStart w:id="218" w:name="_Toc147250378"/>
      <w:bookmarkStart w:id="219" w:name="_Toc185702570"/>
      <w:bookmarkStart w:id="220" w:name="_Toc206525703"/>
      <w:bookmarkStart w:id="221" w:name="_Toc147250332"/>
      <w:bookmarkStart w:id="222" w:name="_Toc239839884"/>
      <w:bookmarkStart w:id="223" w:name="_Toc147250534"/>
      <w:bookmarkStart w:id="224" w:name="_Toc230578078"/>
      <w:bookmarkStart w:id="225" w:name="_Toc489352152"/>
      <w:r>
        <w:rPr>
          <w:rFonts w:hint="eastAsia" w:ascii="宋体" w:hAnsi="宋体" w:eastAsia="宋体"/>
          <w:sz w:val="21"/>
          <w:szCs w:val="21"/>
        </w:rPr>
        <w:t>19、响应文件的修改及撤回</w:t>
      </w:r>
      <w:bookmarkEnd w:id="216"/>
      <w:bookmarkEnd w:id="217"/>
      <w:bookmarkEnd w:id="218"/>
      <w:bookmarkEnd w:id="219"/>
      <w:bookmarkEnd w:id="220"/>
      <w:bookmarkEnd w:id="221"/>
      <w:bookmarkEnd w:id="222"/>
      <w:bookmarkEnd w:id="223"/>
      <w:bookmarkEnd w:id="224"/>
      <w:bookmarkEnd w:id="225"/>
    </w:p>
    <w:p>
      <w:pPr>
        <w:pStyle w:val="12"/>
        <w:spacing w:line="400" w:lineRule="exact"/>
        <w:ind w:firstLine="443" w:firstLineChars="211"/>
      </w:pPr>
      <w:r>
        <w:rPr>
          <w:rFonts w:hint="eastAsia"/>
        </w:rPr>
        <w:t>19.1竞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2"/>
        <w:spacing w:line="400" w:lineRule="exact"/>
        <w:ind w:firstLine="443" w:firstLineChars="211"/>
      </w:pPr>
      <w:r>
        <w:rPr>
          <w:rFonts w:hint="eastAsia"/>
        </w:rPr>
        <w:t>19.2响应文件的修改和撤回通知应按本须知第17条的规定密封、标记和</w:t>
      </w:r>
      <w:r>
        <w:rPr>
          <w:rFonts w:hint="eastAsia"/>
          <w:spacing w:val="-4"/>
        </w:rPr>
        <w:t>提交</w:t>
      </w:r>
      <w:r>
        <w:rPr>
          <w:rFonts w:hint="eastAsia"/>
        </w:rPr>
        <w:t>，并在封面上标明“修改”或“撤回”字样。</w:t>
      </w:r>
    </w:p>
    <w:p>
      <w:pPr>
        <w:pStyle w:val="12"/>
        <w:spacing w:line="400" w:lineRule="exact"/>
        <w:ind w:right="-126" w:rightChars="-60" w:firstLine="360"/>
        <w:rPr>
          <w:spacing w:val="-2"/>
        </w:rPr>
      </w:pPr>
      <w:r>
        <w:rPr>
          <w:rFonts w:hint="eastAsia"/>
          <w:spacing w:val="-2"/>
        </w:rPr>
        <w:t>19.3在</w:t>
      </w:r>
      <w:r>
        <w:rPr>
          <w:rFonts w:hint="eastAsia" w:hAnsi="宋体"/>
          <w:spacing w:val="-2"/>
        </w:rPr>
        <w:t>磋商</w:t>
      </w:r>
      <w:r>
        <w:rPr>
          <w:rFonts w:hint="eastAsia"/>
          <w:spacing w:val="-2"/>
        </w:rPr>
        <w:t>结束后的磋商有效期内，竞标人不得撤回其响应文件，否则其全部磋商保证金将不予退还。</w:t>
      </w:r>
    </w:p>
    <w:p>
      <w:pPr>
        <w:pStyle w:val="12"/>
        <w:spacing w:line="400" w:lineRule="exact"/>
        <w:ind w:firstLine="420"/>
      </w:pPr>
    </w:p>
    <w:p>
      <w:pPr>
        <w:pStyle w:val="4"/>
        <w:spacing w:line="400" w:lineRule="exact"/>
        <w:jc w:val="center"/>
      </w:pPr>
      <w:bookmarkStart w:id="226" w:name="_Toc207770857"/>
      <w:bookmarkStart w:id="227" w:name="_Toc239839885"/>
      <w:bookmarkStart w:id="228" w:name="_Toc185702571"/>
      <w:bookmarkStart w:id="229" w:name="_Toc230578079"/>
      <w:bookmarkStart w:id="230" w:name="_Toc206525704"/>
      <w:bookmarkStart w:id="231" w:name="_Toc444006003"/>
      <w:bookmarkStart w:id="232" w:name="_Toc489352153"/>
      <w:r>
        <w:rPr>
          <w:rFonts w:hint="eastAsia"/>
        </w:rPr>
        <w:t>五   响应文件评</w:t>
      </w:r>
      <w:bookmarkEnd w:id="226"/>
      <w:bookmarkEnd w:id="227"/>
      <w:bookmarkEnd w:id="228"/>
      <w:bookmarkEnd w:id="229"/>
      <w:bookmarkEnd w:id="230"/>
      <w:r>
        <w:rPr>
          <w:rFonts w:hint="eastAsia"/>
        </w:rPr>
        <w:t>审</w:t>
      </w:r>
      <w:bookmarkEnd w:id="231"/>
      <w:bookmarkEnd w:id="232"/>
    </w:p>
    <w:p>
      <w:pPr>
        <w:pStyle w:val="5"/>
        <w:spacing w:before="0" w:after="0" w:line="400" w:lineRule="exact"/>
        <w:rPr>
          <w:rFonts w:ascii="宋体" w:hAnsi="宋体" w:eastAsia="宋体"/>
          <w:sz w:val="21"/>
          <w:szCs w:val="21"/>
        </w:rPr>
      </w:pPr>
      <w:bookmarkStart w:id="233" w:name="_Toc230578080"/>
      <w:bookmarkStart w:id="234" w:name="_Toc206525705"/>
      <w:bookmarkStart w:id="235" w:name="_Toc239839886"/>
      <w:bookmarkStart w:id="236" w:name="_Toc207770858"/>
      <w:bookmarkStart w:id="237" w:name="_Toc185702572"/>
      <w:bookmarkStart w:id="238" w:name="_Toc489352154"/>
      <w:bookmarkStart w:id="239" w:name="_Toc444006004"/>
      <w:r>
        <w:rPr>
          <w:rFonts w:hint="eastAsia" w:ascii="宋体" w:hAnsi="宋体" w:eastAsia="宋体"/>
          <w:sz w:val="21"/>
          <w:szCs w:val="21"/>
        </w:rPr>
        <w:t>20、</w:t>
      </w:r>
      <w:bookmarkEnd w:id="233"/>
      <w:bookmarkEnd w:id="234"/>
      <w:bookmarkEnd w:id="235"/>
      <w:bookmarkEnd w:id="236"/>
      <w:bookmarkEnd w:id="237"/>
      <w:r>
        <w:rPr>
          <w:rFonts w:hint="eastAsia" w:ascii="宋体" w:hAnsi="宋体" w:eastAsia="宋体"/>
          <w:sz w:val="21"/>
          <w:szCs w:val="21"/>
        </w:rPr>
        <w:t>组建磋商小组</w:t>
      </w:r>
      <w:bookmarkEnd w:id="238"/>
      <w:bookmarkEnd w:id="239"/>
    </w:p>
    <w:p>
      <w:pPr>
        <w:pStyle w:val="12"/>
        <w:spacing w:line="400" w:lineRule="exact"/>
        <w:ind w:firstLine="420"/>
        <w:rPr>
          <w:rFonts w:hAnsi="宋体"/>
        </w:rPr>
      </w:pPr>
      <w:r>
        <w:rPr>
          <w:rFonts w:hint="eastAsia" w:hAnsi="宋体"/>
        </w:rPr>
        <w:t>20.1根据要求</w:t>
      </w:r>
      <w:r>
        <w:rPr>
          <w:rFonts w:hAnsi="宋体"/>
        </w:rPr>
        <w:t>组建竞争性磋商小组（以下简称磋商小组）</w:t>
      </w:r>
      <w:r>
        <w:rPr>
          <w:rFonts w:hint="eastAsia" w:hAnsi="宋体"/>
        </w:rPr>
        <w:t>，</w:t>
      </w:r>
      <w:r>
        <w:rPr>
          <w:rFonts w:hAnsi="宋体"/>
        </w:rPr>
        <w:t>磋商小组由采购人代表和评审专家共</w:t>
      </w:r>
      <w:r>
        <w:rPr>
          <w:rFonts w:hint="eastAsia" w:hAnsi="宋体"/>
        </w:rPr>
        <w:t>三</w:t>
      </w:r>
      <w:r>
        <w:rPr>
          <w:rFonts w:hAnsi="宋体"/>
        </w:rPr>
        <w:t>人</w:t>
      </w:r>
      <w:r>
        <w:rPr>
          <w:rFonts w:hint="eastAsia" w:hAnsi="宋体"/>
        </w:rPr>
        <w:t>的</w:t>
      </w:r>
      <w:r>
        <w:rPr>
          <w:rFonts w:hAnsi="宋体"/>
        </w:rPr>
        <w:t>单数组成，其中评审专家人数不少于磋商小组成员总数的2/3。评审专家</w:t>
      </w:r>
      <w:r>
        <w:rPr>
          <w:rFonts w:hint="eastAsia" w:hAnsi="宋体"/>
        </w:rPr>
        <w:t>在</w:t>
      </w:r>
      <w:r>
        <w:rPr>
          <w:rFonts w:hint="eastAsia" w:hAnsi="宋体" w:cs="宋体"/>
          <w:color w:val="000000"/>
          <w:szCs w:val="21"/>
        </w:rPr>
        <w:t>政采云平台广西评审专家库</w:t>
      </w:r>
      <w:r>
        <w:rPr>
          <w:rFonts w:hAnsi="宋体"/>
        </w:rPr>
        <w:t>内相关专业</w:t>
      </w:r>
      <w:r>
        <w:rPr>
          <w:rFonts w:hint="eastAsia" w:hAnsi="宋体"/>
        </w:rPr>
        <w:t>技术、经济等方面</w:t>
      </w:r>
      <w:r>
        <w:rPr>
          <w:rFonts w:hAnsi="宋体"/>
        </w:rPr>
        <w:t>的专家名单中随机抽取。</w:t>
      </w:r>
    </w:p>
    <w:p>
      <w:pPr>
        <w:pStyle w:val="12"/>
        <w:spacing w:line="400" w:lineRule="exact"/>
        <w:ind w:firstLine="420"/>
        <w:rPr>
          <w:rFonts w:hAnsi="宋体"/>
        </w:rPr>
      </w:pPr>
      <w:r>
        <w:rPr>
          <w:rFonts w:hint="eastAsia" w:hAnsi="宋体"/>
        </w:rPr>
        <w:t>20.2</w:t>
      </w:r>
      <w:r>
        <w:rPr>
          <w:rFonts w:hAnsi="宋体"/>
        </w:rPr>
        <w:t>评审专家应当遵守评审工作纪律，不得泄露评审情况和评审中获悉的商业秘密。</w:t>
      </w:r>
    </w:p>
    <w:p>
      <w:pPr>
        <w:pStyle w:val="12"/>
        <w:spacing w:line="400" w:lineRule="exact"/>
        <w:ind w:firstLine="420"/>
        <w:rPr>
          <w:rFonts w:hAnsi="宋体"/>
        </w:rPr>
      </w:pPr>
      <w:r>
        <w:rPr>
          <w:rFonts w:hint="eastAsia" w:hAnsi="宋体"/>
        </w:rPr>
        <w:t>20.3</w:t>
      </w:r>
      <w:r>
        <w:rPr>
          <w:rFonts w:hAnsi="宋体"/>
        </w:rPr>
        <w:t>磋商小组成员应当按照客观、公正、审慎的原则，根据磋商文件规定的评审程序、评审方法和评审标准进行独立评审。</w:t>
      </w:r>
    </w:p>
    <w:p>
      <w:pPr>
        <w:pStyle w:val="5"/>
        <w:spacing w:before="0" w:after="0" w:line="400" w:lineRule="exact"/>
        <w:rPr>
          <w:rFonts w:ascii="宋体" w:hAnsi="宋体" w:eastAsia="宋体"/>
          <w:sz w:val="21"/>
          <w:szCs w:val="21"/>
        </w:rPr>
      </w:pPr>
      <w:bookmarkStart w:id="240" w:name="_Toc206525706"/>
      <w:bookmarkStart w:id="241" w:name="_Toc239839887"/>
      <w:bookmarkStart w:id="242" w:name="_Toc185702573"/>
      <w:bookmarkStart w:id="243" w:name="_Toc230578081"/>
      <w:bookmarkStart w:id="244" w:name="_Toc207770859"/>
      <w:bookmarkStart w:id="245" w:name="_Toc444006005"/>
      <w:bookmarkStart w:id="246" w:name="_Toc489352155"/>
      <w:r>
        <w:rPr>
          <w:rFonts w:hint="eastAsia" w:ascii="宋体" w:hAnsi="宋体" w:eastAsia="宋体"/>
          <w:sz w:val="21"/>
          <w:szCs w:val="21"/>
        </w:rPr>
        <w:t>21、评</w:t>
      </w:r>
      <w:bookmarkEnd w:id="240"/>
      <w:bookmarkEnd w:id="241"/>
      <w:bookmarkEnd w:id="242"/>
      <w:bookmarkEnd w:id="243"/>
      <w:bookmarkEnd w:id="244"/>
      <w:r>
        <w:rPr>
          <w:rFonts w:hint="eastAsia" w:ascii="宋体" w:hAnsi="宋体" w:eastAsia="宋体"/>
          <w:sz w:val="21"/>
          <w:szCs w:val="21"/>
        </w:rPr>
        <w:t>审程序</w:t>
      </w:r>
      <w:bookmarkEnd w:id="245"/>
      <w:bookmarkEnd w:id="246"/>
    </w:p>
    <w:p>
      <w:pPr>
        <w:pStyle w:val="12"/>
        <w:spacing w:line="400" w:lineRule="exact"/>
        <w:ind w:firstLine="420"/>
      </w:pPr>
      <w:r>
        <w:rPr>
          <w:rFonts w:hint="eastAsia"/>
        </w:rPr>
        <w:t>21.1</w:t>
      </w:r>
      <w:r>
        <w:rPr>
          <w:rFonts w:hint="eastAsia" w:hAnsi="宋体"/>
          <w:szCs w:val="21"/>
        </w:rPr>
        <w:t>响应文件开启时间及地点：</w:t>
      </w:r>
      <w:r>
        <w:rPr>
          <w:rFonts w:hint="eastAsia"/>
          <w:spacing w:val="-4"/>
        </w:rPr>
        <w:t>本须知前附表第8项规定的时间和地点</w:t>
      </w:r>
    </w:p>
    <w:p>
      <w:pPr>
        <w:pStyle w:val="12"/>
        <w:spacing w:line="400" w:lineRule="exact"/>
        <w:ind w:firstLine="420"/>
      </w:pPr>
      <w:r>
        <w:rPr>
          <w:rFonts w:hint="eastAsia"/>
        </w:rPr>
        <w:t>21.2磋商小组成员按照客观、公正、审慎的原则，根据磋商文件规定的评审程序、评审方法和评审标准进行独立评审。</w:t>
      </w:r>
    </w:p>
    <w:p>
      <w:pPr>
        <w:pStyle w:val="12"/>
        <w:spacing w:line="400" w:lineRule="exact"/>
        <w:ind w:firstLine="420"/>
        <w:rPr>
          <w:b/>
        </w:rPr>
      </w:pPr>
      <w:r>
        <w:rPr>
          <w:rFonts w:hint="eastAsia"/>
        </w:rPr>
        <w:t>21.2.1响应文件初审。初审分为资格性审查和符合性审查。</w:t>
      </w:r>
    </w:p>
    <w:p>
      <w:pPr>
        <w:pStyle w:val="12"/>
        <w:spacing w:line="400" w:lineRule="exact"/>
        <w:ind w:firstLine="420"/>
      </w:pPr>
      <w:bookmarkStart w:id="247" w:name="_Toc230578082"/>
      <w:bookmarkStart w:id="248" w:name="_Toc185702574"/>
      <w:bookmarkStart w:id="249" w:name="_Toc207770860"/>
      <w:bookmarkStart w:id="250" w:name="_Toc206525707"/>
      <w:r>
        <w:rPr>
          <w:rFonts w:hint="eastAsia"/>
        </w:rPr>
        <w:t>(1)资格性检查。依据法律法规和竞争性磋商文件的规定对响应文件的</w:t>
      </w:r>
      <w:r>
        <w:t>资质证明、</w:t>
      </w:r>
      <w:r>
        <w:rPr>
          <w:rFonts w:hint="eastAsia"/>
        </w:rPr>
        <w:t>磋商保证金</w:t>
      </w:r>
      <w:r>
        <w:t>等进行审查，以确定</w:t>
      </w:r>
      <w:r>
        <w:rPr>
          <w:rFonts w:hint="eastAsia"/>
        </w:rPr>
        <w:t>竞标人</w:t>
      </w:r>
      <w:r>
        <w:t>是否具备</w:t>
      </w:r>
      <w:r>
        <w:rPr>
          <w:rFonts w:hint="eastAsia"/>
        </w:rPr>
        <w:t>竞</w:t>
      </w:r>
      <w:r>
        <w:t>标资格。它所涉及到的主要文件和内容</w:t>
      </w:r>
      <w:r>
        <w:rPr>
          <w:rFonts w:hint="eastAsia"/>
        </w:rPr>
        <w:t>为竞标人须知第12条所述的资格证明文件内容。如果竞标人不具备竞标资格，不满足磋商文件所规定的资格标准或提供资格证明文件不全的，其竞标将被拒绝。</w:t>
      </w:r>
    </w:p>
    <w:p>
      <w:pPr>
        <w:pStyle w:val="12"/>
        <w:spacing w:line="400" w:lineRule="exact"/>
        <w:ind w:firstLine="420"/>
      </w:pPr>
      <w:r>
        <w:rPr>
          <w:rFonts w:hint="eastAsia"/>
        </w:rPr>
        <w:t>(2)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竞标人的竞争地位。对没有实质性响应的响应文件将不进行评审，其竞标将被拒绝。</w:t>
      </w:r>
    </w:p>
    <w:p>
      <w:pPr>
        <w:pStyle w:val="12"/>
        <w:spacing w:line="400" w:lineRule="exact"/>
        <w:ind w:firstLine="420"/>
      </w:pPr>
      <w:r>
        <w:rPr>
          <w:rFonts w:hint="eastAsia"/>
        </w:rPr>
        <w:t>(3) 出现下列情况之一的，视为</w:t>
      </w:r>
      <w:r>
        <w:rPr>
          <w:rFonts w:hint="eastAsia" w:hAnsi="宋体"/>
          <w:szCs w:val="21"/>
        </w:rPr>
        <w:t>未实质性响应磋商文件的响应文件，按无效响应处理</w:t>
      </w:r>
      <w:r>
        <w:rPr>
          <w:rFonts w:hint="eastAsia"/>
        </w:rPr>
        <w:t>。</w:t>
      </w:r>
    </w:p>
    <w:p>
      <w:pPr>
        <w:pStyle w:val="12"/>
        <w:spacing w:line="400" w:lineRule="exact"/>
        <w:ind w:left="900" w:hanging="300"/>
      </w:pPr>
      <w:r>
        <w:rPr>
          <w:rFonts w:hint="eastAsia"/>
        </w:rPr>
        <w:t>① 响应文件未按本须知第8条、第17条规定进行编制、签署、盖章、装订、密封的；</w:t>
      </w:r>
    </w:p>
    <w:p>
      <w:pPr>
        <w:pStyle w:val="12"/>
        <w:spacing w:line="400" w:lineRule="exact"/>
        <w:ind w:left="900" w:hanging="300"/>
      </w:pPr>
      <w:r>
        <w:rPr>
          <w:rFonts w:hint="eastAsia"/>
        </w:rPr>
        <w:t>② 未按本须知第12条、第13条规定提交必须提供且有效的证明文件的；</w:t>
      </w:r>
    </w:p>
    <w:p>
      <w:pPr>
        <w:pStyle w:val="12"/>
        <w:spacing w:line="400" w:lineRule="exact"/>
        <w:ind w:left="900" w:hanging="300"/>
      </w:pPr>
      <w:r>
        <w:rPr>
          <w:rFonts w:hint="eastAsia"/>
        </w:rPr>
        <w:t>③ 未按本须知第12.1款、第15条规定应由法定代表人或委托代理人在凡规定签名、盖章处逐一签名和加盖公章的；或签字人未经法定代表人有效授权委托的；</w:t>
      </w:r>
    </w:p>
    <w:p>
      <w:pPr>
        <w:pStyle w:val="12"/>
        <w:spacing w:line="400" w:lineRule="exact"/>
        <w:ind w:left="900" w:hanging="300"/>
      </w:pPr>
      <w:r>
        <w:rPr>
          <w:rFonts w:hint="eastAsia"/>
        </w:rPr>
        <w:t>④ 未按有关要求提交或足额提交磋商保证金的；</w:t>
      </w:r>
    </w:p>
    <w:p>
      <w:pPr>
        <w:pStyle w:val="12"/>
        <w:spacing w:line="400" w:lineRule="exact"/>
        <w:ind w:left="900" w:hanging="300"/>
      </w:pPr>
      <w:r>
        <w:rPr>
          <w:rFonts w:hint="eastAsia"/>
        </w:rPr>
        <w:t>⑤ 磋商有效期不满足磋商文件要求的；</w:t>
      </w:r>
    </w:p>
    <w:p>
      <w:pPr>
        <w:pStyle w:val="12"/>
        <w:spacing w:line="400" w:lineRule="exact"/>
        <w:ind w:left="900" w:hanging="300"/>
      </w:pPr>
      <w:r>
        <w:rPr>
          <w:rFonts w:hint="eastAsia"/>
        </w:rPr>
        <w:t>⑥ 响应文件的关键内容字迹模糊、无法辨认的；</w:t>
      </w:r>
    </w:p>
    <w:p>
      <w:pPr>
        <w:pStyle w:val="12"/>
        <w:spacing w:line="400" w:lineRule="exact"/>
        <w:ind w:left="900" w:hanging="300"/>
      </w:pPr>
      <w:r>
        <w:rPr>
          <w:rFonts w:hint="eastAsia"/>
        </w:rPr>
        <w:t>⑦ 竞标人提交的是可选择的报价的，或最后报价超过采购预算价的；</w:t>
      </w:r>
    </w:p>
    <w:p>
      <w:pPr>
        <w:pStyle w:val="12"/>
        <w:spacing w:line="400" w:lineRule="exact"/>
        <w:ind w:left="900" w:hanging="300"/>
        <w:rPr>
          <w:spacing w:val="-6"/>
          <w:szCs w:val="21"/>
        </w:rPr>
      </w:pPr>
      <w:r>
        <w:rPr>
          <w:rFonts w:hint="eastAsia"/>
          <w:spacing w:val="-6"/>
          <w:szCs w:val="21"/>
        </w:rPr>
        <w:t>⑧ 竞标内容与采购内容及要求存在重大偏离或保留的（如严重背离采购需求、合同协议要求、等）；</w:t>
      </w:r>
    </w:p>
    <w:p>
      <w:pPr>
        <w:pStyle w:val="12"/>
        <w:spacing w:line="400" w:lineRule="exact"/>
        <w:ind w:left="900" w:hanging="300"/>
      </w:pPr>
      <w:r>
        <w:rPr>
          <w:rFonts w:hint="eastAsia"/>
        </w:rPr>
        <w:t xml:space="preserve">⑨ </w:t>
      </w:r>
      <w:r>
        <w:t>通过对</w:t>
      </w:r>
      <w:r>
        <w:rPr>
          <w:rFonts w:hint="eastAsia"/>
        </w:rPr>
        <w:t>“</w:t>
      </w:r>
      <w:r>
        <w:rPr>
          <w:rFonts w:hint="eastAsia" w:asciiTheme="majorEastAsia" w:hAnsiTheme="majorEastAsia" w:eastAsiaTheme="majorEastAsia" w:cstheme="majorEastAsia"/>
          <w:bCs/>
          <w:szCs w:val="21"/>
        </w:rPr>
        <w:t>采购项目技术参数要求</w:t>
      </w:r>
      <w:r>
        <w:rPr>
          <w:rFonts w:hint="eastAsia"/>
        </w:rPr>
        <w:t>”</w:t>
      </w:r>
      <w:r>
        <w:t>内容的修改以达到</w:t>
      </w:r>
      <w:r>
        <w:rPr>
          <w:rFonts w:hint="eastAsia"/>
        </w:rPr>
        <w:t>满足</w:t>
      </w:r>
      <w:r>
        <w:t>技术要求的</w:t>
      </w:r>
      <w:r>
        <w:rPr>
          <w:rFonts w:hint="eastAsia"/>
        </w:rPr>
        <w:t>；响应文件商务条款偏离表没有按要求表述的或与项目要求表述不一致却没有提供相关依据说明的；</w:t>
      </w:r>
    </w:p>
    <w:p>
      <w:pPr>
        <w:pStyle w:val="12"/>
        <w:spacing w:line="400" w:lineRule="exact"/>
        <w:ind w:left="900" w:hanging="300"/>
      </w:pPr>
      <w:r>
        <w:rPr>
          <w:rFonts w:hint="eastAsia"/>
        </w:rPr>
        <w:t>⑩ 响应文件中提供虚假或失实资料的；</w:t>
      </w:r>
    </w:p>
    <w:p>
      <w:pPr>
        <w:pStyle w:val="12"/>
        <w:spacing w:line="400" w:lineRule="exact"/>
        <w:ind w:left="900" w:hanging="300"/>
      </w:pPr>
      <w:r>
        <w:rPr>
          <w:rFonts w:hint="eastAsia"/>
        </w:rPr>
        <w:t>⑪不符合有关法律、法规和磋商文件中规定的其他实质性条款。</w:t>
      </w:r>
    </w:p>
    <w:p>
      <w:pPr>
        <w:pStyle w:val="12"/>
        <w:spacing w:line="400" w:lineRule="exact"/>
        <w:ind w:firstLine="420"/>
      </w:pPr>
      <w:r>
        <w:rPr>
          <w:rFonts w:hint="eastAsia"/>
        </w:rPr>
        <w:t>21.2.2澄清有关问题。</w:t>
      </w:r>
    </w:p>
    <w:p>
      <w:pPr>
        <w:pStyle w:val="12"/>
        <w:spacing w:line="400" w:lineRule="exact"/>
        <w:ind w:firstLine="420"/>
      </w:pPr>
      <w:r>
        <w:rPr>
          <w:rFonts w:hint="eastAsia"/>
        </w:rPr>
        <w:t>(1)</w:t>
      </w:r>
      <w:r>
        <w:t xml:space="preserve"> 磋商小组在对响应文件的有效性、完整性和响应程度进行审查时，可以要求</w:t>
      </w:r>
      <w:r>
        <w:rPr>
          <w:rFonts w:hint="eastAsia"/>
        </w:rPr>
        <w:t>竞标人</w:t>
      </w:r>
      <w:r>
        <w:t>对响应文件中含义不明确、同类问题表述不一致或者有明显文字和计算错误的内容等作出必要的澄清、说明或者更正。</w:t>
      </w:r>
      <w:r>
        <w:rPr>
          <w:rFonts w:hint="eastAsia"/>
        </w:rPr>
        <w:t>竞标人</w:t>
      </w:r>
      <w:r>
        <w:t>的澄清、说明或者更正不得超出响应文件的范围或者改变响应文件的实质性内容。</w:t>
      </w:r>
    </w:p>
    <w:p>
      <w:pPr>
        <w:pStyle w:val="12"/>
        <w:spacing w:line="400" w:lineRule="exact"/>
        <w:ind w:firstLine="420"/>
      </w:pPr>
      <w:r>
        <w:rPr>
          <w:rFonts w:hint="eastAsia"/>
        </w:rPr>
        <w:t>(2)</w:t>
      </w:r>
      <w:r>
        <w:t>磋商小组要求</w:t>
      </w:r>
      <w:r>
        <w:rPr>
          <w:rFonts w:hint="eastAsia"/>
        </w:rPr>
        <w:t>竞标人</w:t>
      </w:r>
      <w:r>
        <w:t>澄清、说明或者更正响应文件应当以书面形式作出。</w:t>
      </w:r>
      <w:r>
        <w:rPr>
          <w:rFonts w:hint="eastAsia"/>
        </w:rPr>
        <w:t>竞标人</w:t>
      </w:r>
      <w:r>
        <w:t>的澄清、说明或者更正应当由法定代表人或其授权代表签字或者加盖公章。由授权代表签字的，应当附法定代表人授权书。</w:t>
      </w:r>
    </w:p>
    <w:p>
      <w:pPr>
        <w:pStyle w:val="12"/>
        <w:spacing w:line="400" w:lineRule="exact"/>
        <w:ind w:firstLine="420"/>
      </w:pPr>
      <w:r>
        <w:rPr>
          <w:rFonts w:hint="eastAsia"/>
        </w:rPr>
        <w:t>(3)响应文件如果出现计算或表达上的错误，修正错误的原则如下：</w:t>
      </w:r>
    </w:p>
    <w:p>
      <w:pPr>
        <w:pStyle w:val="12"/>
        <w:spacing w:line="400" w:lineRule="exact"/>
        <w:ind w:firstLine="420"/>
      </w:pPr>
      <w:r>
        <w:rPr>
          <w:rFonts w:hint="eastAsia"/>
        </w:rPr>
        <w:t>① 响应文件中《磋商报价表》与《</w:t>
      </w:r>
      <w:r>
        <w:rPr>
          <w:rFonts w:hint="eastAsia" w:hAnsi="宋体"/>
        </w:rPr>
        <w:t>响应函</w:t>
      </w:r>
      <w:r>
        <w:rPr>
          <w:rFonts w:hint="eastAsia"/>
        </w:rPr>
        <w:t>》内容不一致的，以《</w:t>
      </w:r>
      <w:r>
        <w:rPr>
          <w:rFonts w:hint="eastAsia" w:hAnsi="宋体"/>
        </w:rPr>
        <w:t>响应函</w:t>
      </w:r>
      <w:r>
        <w:rPr>
          <w:rFonts w:hint="eastAsia"/>
        </w:rPr>
        <w:t>》为准。</w:t>
      </w:r>
    </w:p>
    <w:p>
      <w:pPr>
        <w:pStyle w:val="12"/>
        <w:spacing w:line="400" w:lineRule="exact"/>
        <w:ind w:firstLine="420"/>
      </w:pPr>
      <w:r>
        <w:rPr>
          <w:rFonts w:hint="eastAsia"/>
        </w:rPr>
        <w:t>② 响应文件的大写金额和小写金额不一致的，以大写金额为准；</w:t>
      </w:r>
    </w:p>
    <w:p>
      <w:pPr>
        <w:pStyle w:val="12"/>
        <w:spacing w:line="400" w:lineRule="exact"/>
        <w:ind w:firstLine="420"/>
      </w:pPr>
      <w:r>
        <w:rPr>
          <w:rFonts w:hint="eastAsia"/>
        </w:rPr>
        <w:t>③ 总价金额与按单价汇总金额不一致的，以单价金额计算结果为准；</w:t>
      </w:r>
    </w:p>
    <w:p>
      <w:pPr>
        <w:pStyle w:val="12"/>
        <w:spacing w:line="400" w:lineRule="exact"/>
        <w:ind w:firstLine="420"/>
      </w:pPr>
      <w:r>
        <w:rPr>
          <w:rFonts w:hint="eastAsia"/>
        </w:rPr>
        <w:t>④ 单价金额小数点有明显错位的，应以总价为准，并修改单价；</w:t>
      </w:r>
    </w:p>
    <w:p>
      <w:pPr>
        <w:pStyle w:val="12"/>
        <w:spacing w:line="400" w:lineRule="exact"/>
        <w:ind w:firstLine="420"/>
      </w:pPr>
      <w:r>
        <w:rPr>
          <w:rFonts w:hint="eastAsia"/>
        </w:rPr>
        <w:t>⑤ 对不同文字文本响应文件的解释发生异议的，以中文文本为准。</w:t>
      </w:r>
    </w:p>
    <w:p>
      <w:pPr>
        <w:pStyle w:val="12"/>
        <w:spacing w:line="400" w:lineRule="exact"/>
        <w:ind w:firstLine="420"/>
        <w:rPr>
          <w:szCs w:val="21"/>
        </w:rPr>
      </w:pPr>
      <w:r>
        <w:rPr>
          <w:rFonts w:hint="eastAsia"/>
          <w:szCs w:val="21"/>
        </w:rPr>
        <w:t>⑥ 按上述修正错误的原则及方法调整或修正响应文件的磋商报价，在竞标人确认后，调整后的磋商报价对竞标人起约束作用。如果竞标人拒绝确认，不接受修正后的价格或报价，则其响应文件将不予评审，其竞标将被拒绝，采购人有权没收其磋商保证金。</w:t>
      </w:r>
    </w:p>
    <w:p>
      <w:pPr>
        <w:pStyle w:val="12"/>
        <w:spacing w:line="400" w:lineRule="exact"/>
        <w:ind w:firstLine="420"/>
        <w:rPr>
          <w:szCs w:val="21"/>
        </w:rPr>
      </w:pPr>
      <w:r>
        <w:rPr>
          <w:rFonts w:hint="eastAsia"/>
          <w:szCs w:val="21"/>
        </w:rPr>
        <w:t>21.2.3磋商。时间及地点：</w:t>
      </w:r>
      <w:r>
        <w:rPr>
          <w:rFonts w:hint="eastAsia"/>
          <w:spacing w:val="-4"/>
          <w:szCs w:val="21"/>
        </w:rPr>
        <w:t>本须知前附表第8项规定的时间和地点</w:t>
      </w:r>
    </w:p>
    <w:p>
      <w:pPr>
        <w:pStyle w:val="12"/>
        <w:spacing w:line="400" w:lineRule="exact"/>
        <w:ind w:firstLine="420"/>
        <w:rPr>
          <w:rFonts w:hAnsi="宋体"/>
          <w:szCs w:val="21"/>
        </w:rPr>
      </w:pPr>
      <w:r>
        <w:rPr>
          <w:rFonts w:hint="eastAsia" w:hAnsi="宋体"/>
          <w:szCs w:val="21"/>
        </w:rPr>
        <w:t>(1)</w:t>
      </w:r>
      <w:r>
        <w:rPr>
          <w:rFonts w:hAnsi="宋体"/>
          <w:szCs w:val="21"/>
        </w:rPr>
        <w:t>磋商小组所有成员集中与单一</w:t>
      </w:r>
      <w:r>
        <w:rPr>
          <w:rFonts w:hint="eastAsia" w:hAnsi="宋体"/>
          <w:szCs w:val="21"/>
        </w:rPr>
        <w:t>竞标人</w:t>
      </w:r>
      <w:r>
        <w:rPr>
          <w:rFonts w:hAnsi="宋体"/>
          <w:szCs w:val="21"/>
        </w:rPr>
        <w:t>分别进行磋商</w:t>
      </w:r>
      <w:r>
        <w:rPr>
          <w:rFonts w:hint="eastAsia" w:hAnsi="宋体"/>
          <w:szCs w:val="21"/>
        </w:rPr>
        <w:t>（最多三轮）</w:t>
      </w:r>
      <w:r>
        <w:rPr>
          <w:rFonts w:hAnsi="宋体"/>
          <w:szCs w:val="21"/>
        </w:rPr>
        <w:t>，</w:t>
      </w:r>
      <w:r>
        <w:rPr>
          <w:rFonts w:hint="eastAsia" w:hAnsi="宋体"/>
          <w:szCs w:val="21"/>
        </w:rPr>
        <w:t>磋商的内容包括技术条件、商务性条件及磋商小组认为需要磋商的内容。</w:t>
      </w:r>
    </w:p>
    <w:p>
      <w:pPr>
        <w:pStyle w:val="12"/>
        <w:spacing w:line="400" w:lineRule="exact"/>
        <w:ind w:firstLine="420"/>
        <w:rPr>
          <w:rFonts w:hAnsi="宋体"/>
          <w:szCs w:val="21"/>
        </w:rPr>
      </w:pPr>
      <w:r>
        <w:rPr>
          <w:rFonts w:hint="eastAsia" w:hAnsi="宋体"/>
          <w:szCs w:val="21"/>
        </w:rPr>
        <w:t>(2)</w:t>
      </w:r>
      <w:r>
        <w:rPr>
          <w:rFonts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pStyle w:val="12"/>
        <w:spacing w:line="400" w:lineRule="exact"/>
        <w:ind w:firstLine="420"/>
        <w:rPr>
          <w:rFonts w:hAnsi="宋体"/>
          <w:szCs w:val="21"/>
        </w:rPr>
      </w:pPr>
      <w:r>
        <w:rPr>
          <w:rFonts w:hint="eastAsia" w:hAnsi="宋体"/>
          <w:szCs w:val="21"/>
        </w:rPr>
        <w:t>(3)</w:t>
      </w:r>
      <w:r>
        <w:rPr>
          <w:rFonts w:hAnsi="宋体"/>
          <w:szCs w:val="21"/>
        </w:rPr>
        <w:t>对磋商文件作出的实质性变动是磋商文件的有效组成部分，磋商小组应当及时以书面形式同时通知所有参加磋商的</w:t>
      </w:r>
      <w:r>
        <w:rPr>
          <w:rFonts w:hint="eastAsia" w:hAnsi="宋体"/>
          <w:szCs w:val="21"/>
        </w:rPr>
        <w:t>竞标人</w:t>
      </w:r>
      <w:r>
        <w:rPr>
          <w:rFonts w:hAnsi="宋体"/>
          <w:szCs w:val="21"/>
        </w:rPr>
        <w:t>。</w:t>
      </w:r>
    </w:p>
    <w:p>
      <w:pPr>
        <w:pStyle w:val="12"/>
        <w:spacing w:line="400" w:lineRule="exact"/>
        <w:ind w:firstLine="420"/>
        <w:rPr>
          <w:rFonts w:hAnsi="宋体"/>
          <w:szCs w:val="21"/>
        </w:rPr>
      </w:pPr>
      <w:r>
        <w:rPr>
          <w:rFonts w:hint="eastAsia" w:hAnsi="宋体"/>
          <w:szCs w:val="21"/>
        </w:rPr>
        <w:t>(4)竞标人</w:t>
      </w:r>
      <w:r>
        <w:rPr>
          <w:rFonts w:hAnsi="宋体"/>
          <w:szCs w:val="21"/>
        </w:rPr>
        <w:t>应当按照磋商文件的变动情况和磋商小组的要求重新提交响应文件，并由其法定代表人或授权代表签字或者加盖公章。由授权代表签字的，应当附法定代表人授权书。</w:t>
      </w:r>
    </w:p>
    <w:p>
      <w:pPr>
        <w:pStyle w:val="12"/>
        <w:spacing w:line="400" w:lineRule="exact"/>
        <w:ind w:firstLine="420"/>
        <w:rPr>
          <w:rFonts w:hAnsi="宋体"/>
          <w:szCs w:val="21"/>
        </w:rPr>
      </w:pPr>
      <w:r>
        <w:rPr>
          <w:rFonts w:hint="eastAsia" w:hAnsi="宋体"/>
          <w:szCs w:val="21"/>
        </w:rPr>
        <w:t>(5)最终磋商结束后，磋商小组不得再与竞标人进行任何形式的商谈。磋商的任何一方不得透露与磋商有关的其他竞标人的技术资料、价格和其他信息。</w:t>
      </w:r>
    </w:p>
    <w:p>
      <w:pPr>
        <w:pStyle w:val="12"/>
        <w:spacing w:line="400" w:lineRule="exact"/>
        <w:ind w:firstLine="420"/>
        <w:rPr>
          <w:szCs w:val="21"/>
        </w:rPr>
      </w:pPr>
      <w:r>
        <w:rPr>
          <w:rFonts w:hint="eastAsia"/>
          <w:szCs w:val="21"/>
        </w:rPr>
        <w:t>21.2.4比较与评价。</w:t>
      </w:r>
      <w:r>
        <w:rPr>
          <w:rFonts w:ascii="Arial" w:hAnsi="Arial" w:cs="Arial"/>
          <w:kern w:val="0"/>
          <w:szCs w:val="21"/>
        </w:rPr>
        <w:t>经磋商确定最终采购需求和提交最后报价的</w:t>
      </w:r>
      <w:r>
        <w:rPr>
          <w:rFonts w:hint="eastAsia" w:ascii="Arial" w:hAnsi="Arial" w:cs="Arial"/>
          <w:kern w:val="0"/>
          <w:szCs w:val="21"/>
        </w:rPr>
        <w:t>竞标人</w:t>
      </w:r>
      <w:r>
        <w:rPr>
          <w:rFonts w:ascii="Arial" w:hAnsi="Arial" w:cs="Arial"/>
          <w:kern w:val="0"/>
          <w:szCs w:val="21"/>
        </w:rPr>
        <w:t>后，由磋商小组采用</w:t>
      </w:r>
      <w:r>
        <w:rPr>
          <w:rFonts w:ascii="Arial" w:hAnsi="Arial" w:cs="Arial"/>
          <w:b/>
          <w:kern w:val="0"/>
          <w:szCs w:val="21"/>
          <w:u w:val="single"/>
        </w:rPr>
        <w:t>综合评分法</w:t>
      </w:r>
      <w:r>
        <w:rPr>
          <w:rFonts w:hint="eastAsia"/>
          <w:szCs w:val="21"/>
        </w:rPr>
        <w:t>（详见第四章）</w:t>
      </w:r>
      <w:r>
        <w:rPr>
          <w:rFonts w:ascii="Arial" w:hAnsi="Arial" w:cs="Arial"/>
          <w:kern w:val="0"/>
          <w:szCs w:val="21"/>
        </w:rPr>
        <w:t>对提交最后报价的</w:t>
      </w:r>
      <w:r>
        <w:rPr>
          <w:rFonts w:hint="eastAsia" w:ascii="Arial" w:hAnsi="Arial" w:cs="Arial"/>
          <w:kern w:val="0"/>
          <w:szCs w:val="21"/>
        </w:rPr>
        <w:t>竞标人</w:t>
      </w:r>
      <w:r>
        <w:rPr>
          <w:rFonts w:ascii="Arial" w:hAnsi="Arial" w:cs="Arial"/>
          <w:kern w:val="0"/>
          <w:szCs w:val="21"/>
        </w:rPr>
        <w:t>的响应文件和最后报价进行综合评分。</w:t>
      </w:r>
    </w:p>
    <w:p>
      <w:pPr>
        <w:pStyle w:val="12"/>
        <w:spacing w:line="400" w:lineRule="exact"/>
        <w:ind w:firstLine="420"/>
        <w:rPr>
          <w:szCs w:val="21"/>
        </w:rPr>
      </w:pPr>
      <w:r>
        <w:rPr>
          <w:rFonts w:hint="eastAsia"/>
          <w:szCs w:val="21"/>
        </w:rPr>
        <w:t>21.2.5推荐成交候选人名单及编写评审报告。</w:t>
      </w:r>
      <w:r>
        <w:rPr>
          <w:rFonts w:ascii="Arial" w:hAnsi="Arial" w:cs="Arial"/>
          <w:kern w:val="0"/>
          <w:szCs w:val="21"/>
        </w:rPr>
        <w:t>磋商小组</w:t>
      </w:r>
      <w:r>
        <w:rPr>
          <w:rFonts w:hint="eastAsia" w:ascii="Arial" w:hAnsi="Arial" w:cs="Arial"/>
          <w:kern w:val="0"/>
          <w:szCs w:val="21"/>
        </w:rPr>
        <w:t>根</w:t>
      </w:r>
      <w:r>
        <w:rPr>
          <w:rFonts w:ascii="Arial" w:hAnsi="Arial" w:cs="Arial"/>
          <w:kern w:val="0"/>
          <w:szCs w:val="21"/>
        </w:rPr>
        <w:t>据综合评分情况，按照</w:t>
      </w:r>
      <w:r>
        <w:rPr>
          <w:rFonts w:hint="eastAsia"/>
          <w:spacing w:val="-2"/>
          <w:szCs w:val="21"/>
        </w:rPr>
        <w:t>评分办法的成交标准及成交候选人推荐原则依次推荐成交候选人名单</w:t>
      </w:r>
      <w:r>
        <w:rPr>
          <w:rFonts w:hint="eastAsia" w:ascii="Arial" w:hAnsi="Arial" w:cs="Arial"/>
          <w:kern w:val="0"/>
          <w:szCs w:val="21"/>
        </w:rPr>
        <w:t>，</w:t>
      </w:r>
      <w:r>
        <w:rPr>
          <w:rFonts w:ascii="Arial" w:hAnsi="Arial" w:cs="Arial"/>
          <w:kern w:val="0"/>
          <w:szCs w:val="21"/>
        </w:rPr>
        <w:t>并</w:t>
      </w:r>
      <w:r>
        <w:rPr>
          <w:rFonts w:hint="eastAsia" w:ascii="Arial" w:hAnsi="Arial" w:cs="Arial"/>
          <w:kern w:val="0"/>
          <w:szCs w:val="21"/>
        </w:rPr>
        <w:t>根据磋商过程和结果</w:t>
      </w:r>
      <w:r>
        <w:rPr>
          <w:rFonts w:ascii="Arial" w:hAnsi="Arial" w:cs="Arial"/>
          <w:kern w:val="0"/>
          <w:szCs w:val="21"/>
        </w:rPr>
        <w:t>编写评审报告。</w:t>
      </w:r>
    </w:p>
    <w:p>
      <w:pPr>
        <w:pStyle w:val="12"/>
        <w:spacing w:line="400" w:lineRule="exact"/>
        <w:ind w:right="-187" w:rightChars="-89" w:firstLine="420"/>
        <w:rPr>
          <w:spacing w:val="-2"/>
          <w:szCs w:val="21"/>
        </w:rPr>
      </w:pPr>
      <w:r>
        <w:rPr>
          <w:rFonts w:hint="eastAsia"/>
          <w:spacing w:val="-2"/>
          <w:szCs w:val="21"/>
        </w:rPr>
        <w:t>21.3评标会纪律</w:t>
      </w:r>
    </w:p>
    <w:p>
      <w:pPr>
        <w:pStyle w:val="12"/>
        <w:spacing w:line="400" w:lineRule="exact"/>
        <w:ind w:firstLine="420"/>
        <w:rPr>
          <w:szCs w:val="21"/>
        </w:rPr>
      </w:pPr>
      <w:r>
        <w:rPr>
          <w:rFonts w:hint="eastAsia"/>
          <w:szCs w:val="21"/>
        </w:rPr>
        <w:t>21.3.1评标过程的保密性。磋商小组成员、有关工作人员及其他知情人不得透露对响应文件评审、比较、成交候选人的推荐情况以及与评标有关的其他情况。</w:t>
      </w:r>
    </w:p>
    <w:p>
      <w:pPr>
        <w:pStyle w:val="12"/>
        <w:spacing w:line="400" w:lineRule="exact"/>
        <w:ind w:right="-187" w:rightChars="-89" w:firstLine="420"/>
        <w:rPr>
          <w:szCs w:val="21"/>
        </w:rPr>
      </w:pPr>
      <w:r>
        <w:rPr>
          <w:rFonts w:hint="eastAsia"/>
          <w:szCs w:val="21"/>
        </w:rPr>
        <w:t>21.3.2在磋商评审期间，竞标人试图影响采购人和磋商小组的任何活动，将导致其报价被拒绝，并承担相应的法律责任。</w:t>
      </w:r>
    </w:p>
    <w:p>
      <w:pPr>
        <w:pStyle w:val="5"/>
        <w:spacing w:before="0" w:after="0" w:line="400" w:lineRule="exact"/>
        <w:rPr>
          <w:rFonts w:ascii="宋体" w:hAnsi="宋体" w:eastAsia="宋体"/>
          <w:sz w:val="21"/>
          <w:szCs w:val="21"/>
        </w:rPr>
      </w:pPr>
      <w:bookmarkStart w:id="251" w:name="_Toc444006006"/>
      <w:bookmarkStart w:id="252" w:name="_Toc489352156"/>
      <w:bookmarkStart w:id="253" w:name="_Toc239839888"/>
      <w:r>
        <w:rPr>
          <w:rFonts w:hint="eastAsia" w:ascii="宋体" w:hAnsi="宋体" w:eastAsia="宋体"/>
          <w:sz w:val="21"/>
          <w:szCs w:val="21"/>
        </w:rPr>
        <w:t>22、无效的响应文件</w:t>
      </w:r>
      <w:bookmarkEnd w:id="247"/>
      <w:bookmarkEnd w:id="248"/>
      <w:bookmarkEnd w:id="249"/>
      <w:bookmarkEnd w:id="250"/>
      <w:bookmarkEnd w:id="251"/>
      <w:bookmarkEnd w:id="252"/>
      <w:bookmarkEnd w:id="253"/>
    </w:p>
    <w:p>
      <w:pPr>
        <w:pStyle w:val="12"/>
        <w:spacing w:line="400" w:lineRule="exact"/>
        <w:ind w:firstLine="420"/>
      </w:pPr>
      <w:r>
        <w:rPr>
          <w:rFonts w:hint="eastAsia"/>
        </w:rPr>
        <w:t>22.1竞标人或响应文件出现下列情况之一的，视为</w:t>
      </w:r>
      <w:r>
        <w:rPr>
          <w:rFonts w:hint="eastAsia" w:hAnsi="宋体"/>
          <w:szCs w:val="21"/>
        </w:rPr>
        <w:t>未实质性响应磋商文件的响应文件，按无效响应处理：</w:t>
      </w:r>
    </w:p>
    <w:p>
      <w:pPr>
        <w:pStyle w:val="12"/>
        <w:spacing w:line="400" w:lineRule="exact"/>
        <w:ind w:left="728" w:leftChars="200" w:hanging="308" w:hangingChars="147"/>
      </w:pPr>
      <w:r>
        <w:rPr>
          <w:rFonts w:hint="eastAsia"/>
        </w:rPr>
        <w:t>(1)未按照竞标人须知前附表第7项要求在截标会现场提交相关证明文件核查的或提交的文件与响应文件内容不相符的；</w:t>
      </w:r>
    </w:p>
    <w:p>
      <w:pPr>
        <w:pStyle w:val="12"/>
        <w:spacing w:line="400" w:lineRule="exact"/>
        <w:ind w:left="420"/>
      </w:pPr>
      <w:r>
        <w:rPr>
          <w:rFonts w:hint="eastAsia"/>
        </w:rPr>
        <w:t>(2)未按照竞争性磋商文件要求提供资格证明文件或其它必须提供的文件的；</w:t>
      </w:r>
    </w:p>
    <w:p>
      <w:pPr>
        <w:pStyle w:val="12"/>
        <w:spacing w:line="400" w:lineRule="exact"/>
        <w:ind w:left="420"/>
      </w:pPr>
      <w:r>
        <w:rPr>
          <w:rFonts w:hint="eastAsia"/>
          <w:bCs/>
        </w:rPr>
        <w:t>(3)</w:t>
      </w:r>
      <w:r>
        <w:rPr>
          <w:rFonts w:hint="eastAsia"/>
        </w:rPr>
        <w:t>应交未交磋商保证金的；</w:t>
      </w:r>
    </w:p>
    <w:p>
      <w:pPr>
        <w:pStyle w:val="12"/>
        <w:spacing w:line="400" w:lineRule="exact"/>
        <w:ind w:left="420"/>
      </w:pPr>
      <w:r>
        <w:rPr>
          <w:rFonts w:hint="eastAsia"/>
          <w:bCs/>
        </w:rPr>
        <w:t>(4)</w:t>
      </w:r>
      <w:r>
        <w:rPr>
          <w:rFonts w:hint="eastAsia"/>
        </w:rPr>
        <w:t>未按照磋商文件规定要求密封、签署、盖章的；</w:t>
      </w:r>
    </w:p>
    <w:p>
      <w:pPr>
        <w:pStyle w:val="12"/>
        <w:spacing w:line="400" w:lineRule="exact"/>
        <w:ind w:left="420"/>
      </w:pPr>
      <w:r>
        <w:rPr>
          <w:rFonts w:hint="eastAsia"/>
          <w:bCs/>
        </w:rPr>
        <w:t>(5)</w:t>
      </w:r>
      <w:r>
        <w:rPr>
          <w:rFonts w:hint="eastAsia"/>
        </w:rPr>
        <w:t>不具备磋商文件中规定资格要求的；</w:t>
      </w:r>
    </w:p>
    <w:p>
      <w:pPr>
        <w:pStyle w:val="12"/>
        <w:spacing w:line="400" w:lineRule="exact"/>
        <w:ind w:left="420"/>
      </w:pPr>
      <w:r>
        <w:rPr>
          <w:rFonts w:hint="eastAsia"/>
        </w:rPr>
        <w:t>(6)不符合法律、法规和磋商文件中规定的其它实质性要求的。</w:t>
      </w:r>
    </w:p>
    <w:p>
      <w:pPr>
        <w:pStyle w:val="5"/>
        <w:spacing w:before="0" w:after="0" w:line="400" w:lineRule="exact"/>
        <w:rPr>
          <w:rFonts w:ascii="宋体" w:hAnsi="宋体" w:eastAsia="宋体"/>
          <w:sz w:val="21"/>
          <w:szCs w:val="21"/>
        </w:rPr>
      </w:pPr>
      <w:bookmarkStart w:id="254" w:name="_Toc207770861"/>
      <w:bookmarkStart w:id="255" w:name="_Toc230578083"/>
      <w:bookmarkStart w:id="256" w:name="_Toc239839889"/>
      <w:bookmarkStart w:id="257" w:name="_Toc444006007"/>
      <w:bookmarkStart w:id="258" w:name="_Toc206525708"/>
      <w:bookmarkStart w:id="259" w:name="_Toc489352157"/>
      <w:bookmarkStart w:id="260" w:name="_Toc185702575"/>
      <w:r>
        <w:rPr>
          <w:rFonts w:hint="eastAsia" w:ascii="宋体" w:hAnsi="宋体" w:eastAsia="宋体"/>
          <w:sz w:val="21"/>
          <w:szCs w:val="21"/>
        </w:rPr>
        <w:t>23、废标</w:t>
      </w:r>
      <w:bookmarkEnd w:id="254"/>
      <w:bookmarkEnd w:id="255"/>
      <w:bookmarkEnd w:id="256"/>
      <w:bookmarkEnd w:id="257"/>
      <w:bookmarkEnd w:id="258"/>
      <w:bookmarkEnd w:id="259"/>
      <w:bookmarkEnd w:id="260"/>
    </w:p>
    <w:p>
      <w:pPr>
        <w:pStyle w:val="12"/>
        <w:spacing w:line="400" w:lineRule="exact"/>
        <w:ind w:firstLine="435"/>
        <w:rPr>
          <w:bCs/>
        </w:rPr>
      </w:pPr>
      <w:r>
        <w:rPr>
          <w:rFonts w:hint="eastAsia"/>
          <w:bCs/>
        </w:rPr>
        <w:t>23.1磋商采购项目出现下列情形之一的，将予以废标；</w:t>
      </w:r>
    </w:p>
    <w:p>
      <w:pPr>
        <w:pStyle w:val="12"/>
        <w:spacing w:line="400" w:lineRule="exact"/>
        <w:ind w:left="420"/>
        <w:rPr>
          <w:bCs/>
        </w:rPr>
      </w:pPr>
      <w:r>
        <w:rPr>
          <w:rFonts w:hint="eastAsia"/>
          <w:bCs/>
        </w:rPr>
        <w:t>(1)出现影响采购公正的违法、违规行为的；</w:t>
      </w:r>
    </w:p>
    <w:p>
      <w:pPr>
        <w:pStyle w:val="12"/>
        <w:spacing w:line="400" w:lineRule="exact"/>
        <w:ind w:left="420"/>
        <w:rPr>
          <w:bCs/>
        </w:rPr>
      </w:pPr>
      <w:r>
        <w:rPr>
          <w:rFonts w:hint="eastAsia"/>
          <w:bCs/>
        </w:rPr>
        <w:t>(2)所有竞标人的报价均超过了采购预算，采购人不能支付的；</w:t>
      </w:r>
    </w:p>
    <w:p>
      <w:pPr>
        <w:pStyle w:val="12"/>
        <w:spacing w:line="400" w:lineRule="exact"/>
        <w:ind w:left="420"/>
        <w:rPr>
          <w:bCs/>
        </w:rPr>
      </w:pPr>
      <w:r>
        <w:rPr>
          <w:rFonts w:hint="eastAsia"/>
          <w:bCs/>
        </w:rPr>
        <w:t>(3)因重大变故，采购任务取消的；</w:t>
      </w:r>
    </w:p>
    <w:p>
      <w:pPr>
        <w:pStyle w:val="12"/>
        <w:spacing w:line="400" w:lineRule="exact"/>
        <w:ind w:left="420"/>
        <w:rPr>
          <w:bCs/>
        </w:rPr>
      </w:pPr>
      <w:r>
        <w:rPr>
          <w:rFonts w:hint="eastAsia"/>
          <w:bCs/>
        </w:rPr>
        <w:t>(4)磋商文件存在不合理条款的，竞争性磋商公告时间及程序不符合规定的；</w:t>
      </w:r>
    </w:p>
    <w:p>
      <w:pPr>
        <w:pStyle w:val="12"/>
        <w:spacing w:line="400" w:lineRule="exact"/>
        <w:ind w:left="435"/>
        <w:rPr>
          <w:bCs/>
          <w:szCs w:val="21"/>
        </w:rPr>
      </w:pPr>
      <w:r>
        <w:rPr>
          <w:rFonts w:hint="eastAsia"/>
          <w:bCs/>
          <w:szCs w:val="21"/>
        </w:rPr>
        <w:t>23.2废标后，</w:t>
      </w:r>
      <w:r>
        <w:rPr>
          <w:rFonts w:hint="eastAsia"/>
          <w:szCs w:val="21"/>
        </w:rPr>
        <w:t>采购代理机构</w:t>
      </w:r>
      <w:r>
        <w:rPr>
          <w:rFonts w:hint="eastAsia"/>
          <w:bCs/>
          <w:szCs w:val="21"/>
        </w:rPr>
        <w:t>将把废标理由通知所有竞标人。</w:t>
      </w:r>
    </w:p>
    <w:p>
      <w:pPr>
        <w:pStyle w:val="12"/>
        <w:spacing w:line="400" w:lineRule="exact"/>
        <w:ind w:left="435"/>
        <w:rPr>
          <w:b/>
          <w:bCs/>
        </w:rPr>
      </w:pPr>
    </w:p>
    <w:p>
      <w:pPr>
        <w:pStyle w:val="4"/>
        <w:spacing w:line="400" w:lineRule="exact"/>
        <w:jc w:val="center"/>
      </w:pPr>
      <w:bookmarkStart w:id="261" w:name="_Toc206525709"/>
      <w:bookmarkStart w:id="262" w:name="_Toc239839890"/>
      <w:bookmarkStart w:id="263" w:name="_Toc185702576"/>
      <w:bookmarkStart w:id="264" w:name="_Toc444006008"/>
      <w:bookmarkStart w:id="265" w:name="_Toc230578084"/>
      <w:bookmarkStart w:id="266" w:name="_Toc207770862"/>
      <w:bookmarkStart w:id="267" w:name="_Toc489352158"/>
      <w:r>
        <w:rPr>
          <w:rFonts w:hint="eastAsia"/>
        </w:rPr>
        <w:t>六   签订合同</w:t>
      </w:r>
      <w:bookmarkEnd w:id="261"/>
      <w:bookmarkEnd w:id="262"/>
      <w:bookmarkEnd w:id="263"/>
      <w:bookmarkEnd w:id="264"/>
      <w:bookmarkEnd w:id="265"/>
      <w:bookmarkEnd w:id="266"/>
      <w:bookmarkEnd w:id="267"/>
    </w:p>
    <w:p>
      <w:pPr>
        <w:pStyle w:val="5"/>
        <w:spacing w:before="0" w:after="0" w:line="400" w:lineRule="exact"/>
      </w:pPr>
      <w:bookmarkStart w:id="268" w:name="_Toc207770863"/>
      <w:bookmarkStart w:id="269" w:name="_Toc230578085"/>
      <w:bookmarkStart w:id="270" w:name="_Toc206525710"/>
      <w:bookmarkStart w:id="271" w:name="_Toc185702577"/>
      <w:bookmarkStart w:id="272" w:name="_Toc239839891"/>
      <w:bookmarkStart w:id="273" w:name="_Toc489352159"/>
      <w:bookmarkStart w:id="274" w:name="_Toc444006009"/>
      <w:r>
        <w:rPr>
          <w:rFonts w:hint="eastAsia" w:ascii="宋体" w:hAnsi="宋体" w:eastAsia="宋体"/>
          <w:sz w:val="21"/>
          <w:szCs w:val="21"/>
        </w:rPr>
        <w:t>24、成交</w:t>
      </w:r>
      <w:bookmarkEnd w:id="268"/>
      <w:bookmarkEnd w:id="269"/>
      <w:bookmarkEnd w:id="270"/>
      <w:bookmarkEnd w:id="271"/>
      <w:r>
        <w:rPr>
          <w:rFonts w:hint="eastAsia" w:ascii="宋体" w:hAnsi="宋体" w:eastAsia="宋体"/>
          <w:sz w:val="21"/>
          <w:szCs w:val="21"/>
        </w:rPr>
        <w:t>结果</w:t>
      </w:r>
      <w:bookmarkEnd w:id="272"/>
      <w:r>
        <w:rPr>
          <w:rFonts w:hint="eastAsia" w:ascii="宋体" w:hAnsi="宋体" w:eastAsia="宋体"/>
          <w:sz w:val="21"/>
          <w:szCs w:val="21"/>
        </w:rPr>
        <w:t>公告</w:t>
      </w:r>
      <w:bookmarkEnd w:id="273"/>
      <w:bookmarkEnd w:id="274"/>
    </w:p>
    <w:p>
      <w:pPr>
        <w:pStyle w:val="12"/>
        <w:spacing w:line="400" w:lineRule="exact"/>
        <w:ind w:firstLine="420"/>
        <w:rPr>
          <w:szCs w:val="21"/>
        </w:rPr>
      </w:pPr>
      <w:r>
        <w:rPr>
          <w:rFonts w:hint="eastAsia"/>
          <w:szCs w:val="21"/>
        </w:rPr>
        <w:t>24.1本项目评审工作结束后，采购代理机构将在</w:t>
      </w:r>
      <w:r>
        <w:rPr>
          <w:rFonts w:hint="eastAsia"/>
        </w:rPr>
        <w:t>发布竞标公告同一媒介上</w:t>
      </w:r>
      <w:r>
        <w:rPr>
          <w:rFonts w:hint="eastAsia"/>
          <w:szCs w:val="21"/>
        </w:rPr>
        <w:t>公布成交结果。</w:t>
      </w:r>
    </w:p>
    <w:p>
      <w:pPr>
        <w:pStyle w:val="12"/>
        <w:spacing w:line="400" w:lineRule="exact"/>
        <w:ind w:firstLine="420"/>
        <w:rPr>
          <w:szCs w:val="21"/>
        </w:rPr>
      </w:pPr>
      <w:r>
        <w:rPr>
          <w:rFonts w:hint="eastAsia"/>
          <w:szCs w:val="21"/>
        </w:rPr>
        <w:t>24.2竞标人如对成交公告有异议，可以在成交公告发布后七个工作日内以书面形式向采购代理机构提出质疑。采购代理机构将在收到竞标人的书面形式质疑后七个工作日内做出答复,但答复的内容不得涉及商业秘密。</w:t>
      </w:r>
    </w:p>
    <w:p>
      <w:pPr>
        <w:pStyle w:val="12"/>
        <w:spacing w:line="400" w:lineRule="exact"/>
        <w:ind w:firstLine="420"/>
      </w:pPr>
      <w:r>
        <w:rPr>
          <w:rFonts w:hint="eastAsia"/>
          <w:szCs w:val="21"/>
        </w:rPr>
        <w:t>24.3质疑竞标人必须首先经过质疑程序，在对采购代理机构的答复不满意或者采购代理机构未在规定的时间内做出答复的，可以在答复期满后十五个工作日内书面向同级政府采购监督管理部门投诉</w:t>
      </w:r>
      <w:r>
        <w:rPr>
          <w:rFonts w:hint="eastAsia"/>
        </w:rPr>
        <w:t>。</w:t>
      </w:r>
    </w:p>
    <w:p>
      <w:pPr>
        <w:pStyle w:val="5"/>
        <w:spacing w:before="0" w:after="0" w:line="400" w:lineRule="exact"/>
        <w:rPr>
          <w:rFonts w:ascii="宋体" w:hAnsi="宋体" w:eastAsia="宋体"/>
          <w:sz w:val="21"/>
          <w:szCs w:val="21"/>
        </w:rPr>
      </w:pPr>
      <w:bookmarkStart w:id="275" w:name="_Toc207770864"/>
      <w:bookmarkStart w:id="276" w:name="_Toc230578086"/>
      <w:bookmarkStart w:id="277" w:name="_Toc239839892"/>
      <w:bookmarkStart w:id="278" w:name="_Toc185702578"/>
      <w:bookmarkStart w:id="279" w:name="_Toc444006010"/>
      <w:bookmarkStart w:id="280" w:name="_Toc206525711"/>
      <w:bookmarkStart w:id="281" w:name="_Toc489352160"/>
      <w:r>
        <w:rPr>
          <w:rFonts w:hint="eastAsia" w:ascii="宋体" w:hAnsi="宋体" w:eastAsia="宋体"/>
          <w:sz w:val="21"/>
          <w:szCs w:val="21"/>
        </w:rPr>
        <w:t>25、成交通知</w:t>
      </w:r>
      <w:bookmarkEnd w:id="275"/>
      <w:bookmarkEnd w:id="276"/>
      <w:bookmarkEnd w:id="277"/>
      <w:bookmarkEnd w:id="278"/>
      <w:bookmarkEnd w:id="279"/>
      <w:bookmarkEnd w:id="280"/>
      <w:bookmarkEnd w:id="281"/>
    </w:p>
    <w:p>
      <w:pPr>
        <w:pStyle w:val="12"/>
        <w:spacing w:line="400" w:lineRule="exact"/>
        <w:ind w:firstLine="404" w:firstLineChars="200"/>
        <w:rPr>
          <w:spacing w:val="-4"/>
          <w:szCs w:val="21"/>
        </w:rPr>
      </w:pPr>
      <w:r>
        <w:rPr>
          <w:rFonts w:hint="eastAsia"/>
          <w:spacing w:val="-4"/>
          <w:szCs w:val="21"/>
        </w:rPr>
        <w:t>25.1成交结果公示期间无竞标人提出质疑，采购代理机构将在公示期后向成交人发出成交通知书。</w:t>
      </w:r>
    </w:p>
    <w:p>
      <w:pPr>
        <w:pStyle w:val="12"/>
        <w:spacing w:line="400" w:lineRule="exact"/>
        <w:ind w:firstLine="420" w:firstLineChars="200"/>
        <w:rPr>
          <w:rFonts w:hAnsi="宋体"/>
          <w:b/>
          <w:szCs w:val="21"/>
        </w:rPr>
      </w:pPr>
      <w:r>
        <w:rPr>
          <w:rFonts w:hint="eastAsia"/>
        </w:rPr>
        <w:t>25.2</w:t>
      </w:r>
      <w:r>
        <w:rPr>
          <w:rFonts w:hint="eastAsia" w:hAnsi="宋体"/>
          <w:szCs w:val="21"/>
        </w:rPr>
        <w:t>成交通知书对采购人和成交人具有法律效力。成交通知书发出后，成交人放弃成交项目的，应当依法承担法律责任。</w:t>
      </w:r>
      <w:r>
        <w:rPr>
          <w:rFonts w:hint="eastAsia" w:hAnsi="宋体"/>
          <w:kern w:val="0"/>
          <w:szCs w:val="21"/>
        </w:rPr>
        <w:t>在成交通知书发出到合同签署这段时间里，</w:t>
      </w:r>
      <w:r>
        <w:rPr>
          <w:rFonts w:hint="eastAsia" w:hAnsi="宋体"/>
          <w:szCs w:val="21"/>
        </w:rPr>
        <w:t>磋商文件和响应文件没有涉及的内容可以进行磋商，</w:t>
      </w:r>
      <w:r>
        <w:rPr>
          <w:rFonts w:hint="eastAsia" w:hAnsi="宋体"/>
          <w:kern w:val="0"/>
          <w:szCs w:val="21"/>
        </w:rPr>
        <w:t>采购人和成交人均不得采取有碍合同生效或履行的行动。</w:t>
      </w:r>
    </w:p>
    <w:p>
      <w:pPr>
        <w:pStyle w:val="12"/>
        <w:spacing w:line="400" w:lineRule="exact"/>
        <w:ind w:firstLine="420" w:firstLineChars="200"/>
      </w:pPr>
      <w:r>
        <w:rPr>
          <w:rFonts w:hint="eastAsia" w:hAnsi="宋体"/>
          <w:szCs w:val="21"/>
        </w:rPr>
        <w:t>25.3</w:t>
      </w:r>
      <w:r>
        <w:rPr>
          <w:rFonts w:hint="eastAsia"/>
        </w:rPr>
        <w:t>采购代理机构无义务向落标的竞标人解释落标原因和退还响应文件。</w:t>
      </w:r>
    </w:p>
    <w:p>
      <w:pPr>
        <w:pStyle w:val="5"/>
        <w:spacing w:before="0" w:after="0" w:line="400" w:lineRule="exact"/>
        <w:rPr>
          <w:rFonts w:ascii="宋体" w:hAnsi="宋体" w:eastAsia="宋体"/>
          <w:sz w:val="21"/>
          <w:szCs w:val="21"/>
        </w:rPr>
      </w:pPr>
      <w:bookmarkStart w:id="282" w:name="_Toc230578087"/>
      <w:bookmarkStart w:id="283" w:name="_Toc185702579"/>
      <w:bookmarkStart w:id="284" w:name="_Toc206525712"/>
      <w:bookmarkStart w:id="285" w:name="_Toc207770865"/>
      <w:bookmarkStart w:id="286" w:name="_Toc489352161"/>
      <w:bookmarkStart w:id="287" w:name="_Toc147250388"/>
      <w:bookmarkStart w:id="288" w:name="_Toc239839893"/>
      <w:bookmarkStart w:id="289" w:name="_Toc147250544"/>
      <w:bookmarkStart w:id="290" w:name="_Toc444006011"/>
      <w:bookmarkStart w:id="291" w:name="_Toc147250342"/>
      <w:r>
        <w:rPr>
          <w:rFonts w:hint="eastAsia" w:ascii="宋体" w:hAnsi="宋体" w:eastAsia="宋体"/>
          <w:sz w:val="21"/>
          <w:szCs w:val="21"/>
        </w:rPr>
        <w:t>26、合同授予标准</w:t>
      </w:r>
      <w:bookmarkEnd w:id="282"/>
      <w:bookmarkEnd w:id="283"/>
      <w:bookmarkEnd w:id="284"/>
      <w:bookmarkEnd w:id="285"/>
      <w:bookmarkEnd w:id="286"/>
      <w:bookmarkEnd w:id="287"/>
      <w:bookmarkEnd w:id="288"/>
      <w:bookmarkEnd w:id="289"/>
      <w:bookmarkEnd w:id="290"/>
      <w:bookmarkEnd w:id="291"/>
    </w:p>
    <w:p>
      <w:pPr>
        <w:pStyle w:val="12"/>
        <w:spacing w:line="400" w:lineRule="exact"/>
        <w:ind w:firstLine="435"/>
        <w:rPr>
          <w:bCs/>
        </w:rPr>
      </w:pPr>
      <w:r>
        <w:rPr>
          <w:rFonts w:hint="eastAsia"/>
          <w:bCs/>
        </w:rPr>
        <w:t>26.1合同授予被确定为实质上响应磋商文件要求，评标认为具备履行合同能力，</w:t>
      </w:r>
      <w:r>
        <w:rPr>
          <w:rFonts w:hint="eastAsia" w:hAnsi="宋体"/>
        </w:rPr>
        <w:t>采购结果报告中推荐名次排名第一的成交候选人为成交人。</w:t>
      </w:r>
    </w:p>
    <w:p>
      <w:pPr>
        <w:pStyle w:val="12"/>
        <w:spacing w:line="400" w:lineRule="exact"/>
        <w:ind w:firstLine="420" w:firstLineChars="200"/>
        <w:rPr>
          <w:bCs/>
        </w:rPr>
      </w:pPr>
      <w:r>
        <w:rPr>
          <w:rFonts w:hint="eastAsia"/>
          <w:bCs/>
        </w:rPr>
        <w:t>26.2采购人应按照评标报告中推荐的成交候选人顺序确定成交人，也可以事先授权磋商小组直接确定成交人。</w:t>
      </w:r>
    </w:p>
    <w:p>
      <w:pPr>
        <w:pStyle w:val="12"/>
        <w:spacing w:line="400" w:lineRule="exact"/>
        <w:ind w:firstLine="420" w:firstLineChars="200"/>
        <w:rPr>
          <w:bCs/>
        </w:rPr>
      </w:pPr>
      <w:r>
        <w:rPr>
          <w:rFonts w:hint="eastAsia"/>
          <w:bCs/>
        </w:rPr>
        <w:t>26.3若排名第一的成交候选人自愿放弃成交人资格或不能履行合同，则排名第二的成交候选人为成交人，依次类推。</w:t>
      </w:r>
    </w:p>
    <w:p>
      <w:pPr>
        <w:pStyle w:val="5"/>
        <w:spacing w:before="0" w:after="0" w:line="400" w:lineRule="exact"/>
        <w:rPr>
          <w:rFonts w:ascii="宋体" w:hAnsi="宋体" w:eastAsia="宋体"/>
          <w:sz w:val="21"/>
          <w:szCs w:val="21"/>
        </w:rPr>
      </w:pPr>
      <w:bookmarkStart w:id="292" w:name="_Toc206525713"/>
      <w:bookmarkStart w:id="293" w:name="_Toc207770866"/>
      <w:bookmarkStart w:id="294" w:name="_Toc489352162"/>
      <w:bookmarkStart w:id="295" w:name="_Toc444006012"/>
      <w:bookmarkStart w:id="296" w:name="_Toc239839894"/>
      <w:bookmarkStart w:id="297" w:name="_Toc185702580"/>
      <w:bookmarkStart w:id="298" w:name="_Toc230578088"/>
      <w:r>
        <w:rPr>
          <w:rFonts w:hint="eastAsia" w:ascii="宋体" w:hAnsi="宋体" w:eastAsia="宋体"/>
          <w:sz w:val="21"/>
          <w:szCs w:val="21"/>
        </w:rPr>
        <w:t>27、签订合同</w:t>
      </w:r>
      <w:bookmarkEnd w:id="292"/>
      <w:bookmarkEnd w:id="293"/>
      <w:bookmarkEnd w:id="294"/>
      <w:bookmarkEnd w:id="295"/>
      <w:bookmarkEnd w:id="296"/>
      <w:bookmarkEnd w:id="297"/>
      <w:bookmarkEnd w:id="298"/>
    </w:p>
    <w:p>
      <w:pPr>
        <w:pStyle w:val="12"/>
        <w:spacing w:line="400" w:lineRule="exact"/>
        <w:ind w:firstLine="420"/>
      </w:pPr>
      <w:bookmarkStart w:id="299" w:name="_Toc185702581"/>
      <w:r>
        <w:rPr>
          <w:rFonts w:hint="eastAsia"/>
        </w:rPr>
        <w:t>27.1合同将授予被确定为成交的竞标人。</w:t>
      </w:r>
    </w:p>
    <w:p>
      <w:pPr>
        <w:pStyle w:val="12"/>
        <w:spacing w:line="400" w:lineRule="exact"/>
        <w:ind w:firstLine="420"/>
      </w:pPr>
      <w:r>
        <w:rPr>
          <w:rFonts w:hint="eastAsia"/>
        </w:rPr>
        <w:t>27.2成交竞标人须凭成交通知书原件按告知函中规定的时间、地点与采购单位签订合同。成交竞标人不得再与采购人签署订立背离合同实质性内容的其它协议或声明。</w:t>
      </w:r>
    </w:p>
    <w:p>
      <w:pPr>
        <w:pStyle w:val="12"/>
        <w:spacing w:line="400" w:lineRule="exact"/>
        <w:ind w:firstLine="420"/>
      </w:pPr>
      <w:r>
        <w:rPr>
          <w:rFonts w:hint="eastAsia"/>
        </w:rPr>
        <w:t>27.3如成交人不按成交通知书的规定签订合同，则按成交人违约处理，对成交人所</w:t>
      </w:r>
      <w:r>
        <w:rPr>
          <w:rFonts w:hint="eastAsia"/>
          <w:spacing w:val="-4"/>
        </w:rPr>
        <w:t>提交</w:t>
      </w:r>
      <w:r>
        <w:rPr>
          <w:rFonts w:hint="eastAsia"/>
        </w:rPr>
        <w:t>的全部磋商保证金将不予退还。</w:t>
      </w:r>
    </w:p>
    <w:p>
      <w:pPr>
        <w:pStyle w:val="12"/>
        <w:spacing w:line="400" w:lineRule="exact"/>
        <w:ind w:firstLine="420" w:firstLineChars="200"/>
        <w:rPr>
          <w:rFonts w:hAnsi="宋体"/>
          <w:bCs/>
          <w:szCs w:val="21"/>
        </w:rPr>
      </w:pPr>
      <w:r>
        <w:rPr>
          <w:rFonts w:hint="eastAsia" w:hAnsi="宋体"/>
          <w:bCs/>
          <w:szCs w:val="21"/>
        </w:rPr>
        <w:t>27.4</w:t>
      </w:r>
      <w:r>
        <w:rPr>
          <w:rFonts w:hAnsi="宋体" w:cs="Arial"/>
          <w:kern w:val="0"/>
          <w:szCs w:val="21"/>
        </w:rPr>
        <w:t>成交</w:t>
      </w:r>
      <w:r>
        <w:rPr>
          <w:rFonts w:hint="eastAsia" w:hAnsi="宋体" w:cs="Arial"/>
          <w:kern w:val="0"/>
          <w:szCs w:val="21"/>
        </w:rPr>
        <w:t>竞标人</w:t>
      </w:r>
      <w:r>
        <w:rPr>
          <w:rFonts w:hAnsi="宋体" w:cs="Arial"/>
          <w:kern w:val="0"/>
          <w:szCs w:val="21"/>
        </w:rPr>
        <w:t>拒绝签订政府采购合同的，采购人可以按照</w:t>
      </w:r>
      <w:r>
        <w:rPr>
          <w:rFonts w:hint="eastAsia" w:hAnsi="宋体" w:cs="Arial"/>
          <w:kern w:val="0"/>
          <w:szCs w:val="21"/>
        </w:rPr>
        <w:t>评审报告中的推荐的候选人顺序</w:t>
      </w:r>
      <w:r>
        <w:rPr>
          <w:rFonts w:hAnsi="宋体" w:cs="Arial"/>
          <w:kern w:val="0"/>
          <w:szCs w:val="21"/>
        </w:rPr>
        <w:t>确定其他</w:t>
      </w:r>
      <w:r>
        <w:rPr>
          <w:rFonts w:hint="eastAsia" w:hAnsi="宋体" w:cs="Arial"/>
          <w:kern w:val="0"/>
          <w:szCs w:val="21"/>
        </w:rPr>
        <w:t>竞标人</w:t>
      </w:r>
      <w:r>
        <w:rPr>
          <w:rFonts w:hAnsi="宋体" w:cs="Arial"/>
          <w:kern w:val="0"/>
          <w:szCs w:val="21"/>
        </w:rPr>
        <w:t>作为成交</w:t>
      </w:r>
      <w:r>
        <w:rPr>
          <w:rFonts w:hint="eastAsia" w:hAnsi="宋体" w:cs="Arial"/>
          <w:kern w:val="0"/>
          <w:szCs w:val="21"/>
        </w:rPr>
        <w:t>竞标人</w:t>
      </w:r>
      <w:r>
        <w:rPr>
          <w:rFonts w:hAnsi="宋体" w:cs="Arial"/>
          <w:kern w:val="0"/>
          <w:szCs w:val="21"/>
        </w:rPr>
        <w:t>并签订政府采购合同，也可以重新开展采购活动。拒绝签订政府采购合同的成交</w:t>
      </w:r>
      <w:r>
        <w:rPr>
          <w:rFonts w:hint="eastAsia" w:hAnsi="宋体" w:cs="Arial"/>
          <w:kern w:val="0"/>
          <w:szCs w:val="21"/>
        </w:rPr>
        <w:t>竞标人</w:t>
      </w:r>
      <w:r>
        <w:rPr>
          <w:rFonts w:hAnsi="宋体" w:cs="Arial"/>
          <w:kern w:val="0"/>
          <w:szCs w:val="21"/>
        </w:rPr>
        <w:t>不得参加对该项目重新开展的采购活动。</w:t>
      </w:r>
    </w:p>
    <w:p>
      <w:pPr>
        <w:pStyle w:val="12"/>
        <w:spacing w:line="400" w:lineRule="exact"/>
        <w:ind w:firstLine="420"/>
      </w:pPr>
      <w:r>
        <w:rPr>
          <w:rFonts w:hint="eastAsia"/>
        </w:rPr>
        <w:t>27.5由于成交人放弃成交或未按规定签订合同，造成本项目的合同成交价提高（指采购人选择第二成交候选人导致成交金额高于违约人的成交价），所超出违约人的成交价部分由违约人承担赔偿责任。</w:t>
      </w:r>
    </w:p>
    <w:p>
      <w:pPr>
        <w:pStyle w:val="5"/>
        <w:spacing w:before="0" w:after="0" w:line="400" w:lineRule="exact"/>
        <w:rPr>
          <w:rFonts w:ascii="宋体" w:hAnsi="宋体" w:eastAsia="宋体"/>
          <w:sz w:val="21"/>
          <w:szCs w:val="21"/>
        </w:rPr>
      </w:pPr>
      <w:bookmarkStart w:id="300" w:name="_Toc444006013"/>
      <w:bookmarkStart w:id="301" w:name="_Toc230578089"/>
      <w:bookmarkStart w:id="302" w:name="_Toc206525714"/>
      <w:bookmarkStart w:id="303" w:name="_Toc207770867"/>
      <w:bookmarkStart w:id="304" w:name="_Toc239839895"/>
      <w:bookmarkStart w:id="305" w:name="_Toc489352163"/>
      <w:r>
        <w:rPr>
          <w:rFonts w:hint="eastAsia" w:ascii="宋体" w:hAnsi="宋体" w:eastAsia="宋体"/>
          <w:sz w:val="21"/>
          <w:szCs w:val="21"/>
        </w:rPr>
        <w:t>28、履约保证金</w:t>
      </w:r>
      <w:bookmarkEnd w:id="299"/>
      <w:bookmarkEnd w:id="300"/>
      <w:bookmarkEnd w:id="301"/>
      <w:bookmarkEnd w:id="302"/>
      <w:bookmarkEnd w:id="303"/>
      <w:bookmarkEnd w:id="304"/>
      <w:bookmarkEnd w:id="305"/>
    </w:p>
    <w:p>
      <w:pPr>
        <w:pStyle w:val="12"/>
        <w:spacing w:line="400" w:lineRule="exact"/>
        <w:ind w:firstLine="519" w:firstLineChars="257"/>
        <w:rPr>
          <w:spacing w:val="-4"/>
        </w:rPr>
      </w:pPr>
      <w:r>
        <w:rPr>
          <w:rFonts w:hint="eastAsia"/>
          <w:spacing w:val="-4"/>
        </w:rPr>
        <w:t xml:space="preserve">28.1 </w:t>
      </w:r>
      <w:r>
        <w:rPr>
          <w:rFonts w:hint="eastAsia" w:hAnsi="宋体"/>
          <w:szCs w:val="21"/>
        </w:rPr>
        <w:t>履约保证金的</w:t>
      </w:r>
      <w:r>
        <w:rPr>
          <w:rFonts w:hint="eastAsia"/>
          <w:spacing w:val="-4"/>
        </w:rPr>
        <w:t>提交</w:t>
      </w:r>
      <w:r>
        <w:rPr>
          <w:rFonts w:hint="eastAsia" w:hAnsi="宋体"/>
          <w:szCs w:val="21"/>
        </w:rPr>
        <w:t>：不采用</w:t>
      </w:r>
      <w:r>
        <w:rPr>
          <w:rFonts w:hint="eastAsia"/>
        </w:rPr>
        <w:t>。</w:t>
      </w:r>
    </w:p>
    <w:p>
      <w:pPr>
        <w:pStyle w:val="12"/>
        <w:spacing w:line="400" w:lineRule="exact"/>
        <w:ind w:firstLine="420"/>
      </w:pPr>
    </w:p>
    <w:p>
      <w:pPr>
        <w:pStyle w:val="4"/>
        <w:spacing w:line="400" w:lineRule="exact"/>
        <w:jc w:val="center"/>
      </w:pPr>
      <w:bookmarkStart w:id="306" w:name="_Toc207770868"/>
      <w:bookmarkStart w:id="307" w:name="_Toc489352164"/>
      <w:bookmarkStart w:id="308" w:name="_Toc230578090"/>
      <w:bookmarkStart w:id="309" w:name="_Toc444006014"/>
      <w:bookmarkStart w:id="310" w:name="_Toc206525715"/>
      <w:bookmarkStart w:id="311" w:name="_Toc185702582"/>
      <w:bookmarkStart w:id="312" w:name="_Toc239839896"/>
      <w:r>
        <w:rPr>
          <w:rFonts w:hint="eastAsia"/>
        </w:rPr>
        <w:t>七   其他事项</w:t>
      </w:r>
      <w:bookmarkEnd w:id="306"/>
      <w:bookmarkEnd w:id="307"/>
      <w:bookmarkEnd w:id="308"/>
      <w:bookmarkEnd w:id="309"/>
      <w:bookmarkEnd w:id="310"/>
      <w:bookmarkEnd w:id="311"/>
      <w:bookmarkEnd w:id="312"/>
    </w:p>
    <w:p>
      <w:pPr>
        <w:pStyle w:val="5"/>
        <w:spacing w:before="0" w:after="0" w:line="400" w:lineRule="exact"/>
        <w:rPr>
          <w:rFonts w:ascii="宋体" w:hAnsi="宋体" w:eastAsia="宋体"/>
          <w:sz w:val="21"/>
          <w:szCs w:val="21"/>
        </w:rPr>
      </w:pPr>
      <w:bookmarkStart w:id="313" w:name="_Toc239839897"/>
      <w:bookmarkStart w:id="314" w:name="_Toc444006015"/>
      <w:bookmarkStart w:id="315" w:name="_Toc206525716"/>
      <w:bookmarkStart w:id="316" w:name="_Toc185702583"/>
      <w:bookmarkStart w:id="317" w:name="_Toc230578091"/>
      <w:bookmarkStart w:id="318" w:name="_Toc207770869"/>
      <w:bookmarkStart w:id="319" w:name="_Toc489352165"/>
      <w:r>
        <w:rPr>
          <w:rFonts w:hint="eastAsia" w:ascii="宋体" w:hAnsi="宋体" w:eastAsia="宋体"/>
          <w:sz w:val="21"/>
          <w:szCs w:val="21"/>
        </w:rPr>
        <w:t>29、成交服务费</w:t>
      </w:r>
      <w:bookmarkEnd w:id="313"/>
      <w:bookmarkEnd w:id="314"/>
      <w:bookmarkEnd w:id="315"/>
      <w:bookmarkEnd w:id="316"/>
      <w:bookmarkEnd w:id="317"/>
      <w:bookmarkEnd w:id="318"/>
      <w:bookmarkEnd w:id="319"/>
    </w:p>
    <w:p>
      <w:pPr>
        <w:pStyle w:val="12"/>
        <w:spacing w:line="400" w:lineRule="exact"/>
        <w:ind w:firstLine="411" w:firstLineChars="196"/>
        <w:rPr>
          <w:bCs/>
        </w:rPr>
      </w:pPr>
      <w:r>
        <w:rPr>
          <w:rFonts w:hint="eastAsia"/>
          <w:bCs/>
        </w:rPr>
        <w:t>29.1</w:t>
      </w:r>
      <w:r>
        <w:rPr>
          <w:rFonts w:hint="eastAsia" w:hAnsi="宋体"/>
        </w:rPr>
        <w:t>成交服务费：</w:t>
      </w:r>
      <w:r>
        <w:rPr>
          <w:rFonts w:hint="eastAsia" w:hAnsi="宋体" w:cs="宋体"/>
          <w:color w:val="000000"/>
          <w:szCs w:val="21"/>
        </w:rPr>
        <w:t>由成交服务商领取成交通知书前，向</w:t>
      </w:r>
      <w:r>
        <w:rPr>
          <w:rFonts w:hint="eastAsia" w:hAnsi="宋体"/>
          <w:color w:val="000000"/>
        </w:rPr>
        <w:t>广东展诚工程咨询有限公司贺州</w:t>
      </w:r>
      <w:r>
        <w:rPr>
          <w:rFonts w:hint="eastAsia" w:hAnsi="宋体" w:cs="宋体"/>
          <w:color w:val="000000"/>
          <w:szCs w:val="21"/>
        </w:rPr>
        <w:t>分公司一次性付清招</w:t>
      </w:r>
      <w:r>
        <w:rPr>
          <w:rFonts w:hint="eastAsia" w:hAnsi="宋体" w:cs="宋体"/>
          <w:color w:val="000000"/>
          <w:szCs w:val="21"/>
          <w:lang w:val="en-US" w:eastAsia="zh-CN"/>
        </w:rPr>
        <w:t>采购</w:t>
      </w:r>
      <w:r>
        <w:rPr>
          <w:rFonts w:hint="eastAsia" w:hAnsi="宋体" w:cs="宋体"/>
          <w:color w:val="000000"/>
          <w:szCs w:val="21"/>
        </w:rPr>
        <w:t>理服务费，</w:t>
      </w:r>
      <w:r>
        <w:rPr>
          <w:rFonts w:hint="eastAsia" w:hAnsi="宋体" w:cs="宋体"/>
          <w:szCs w:val="21"/>
        </w:rPr>
        <w:t>其金额按国家发展计划委员会计价格〔2002〕1980号《招标代理服务收费管理暂行办法》</w:t>
      </w:r>
      <w:r>
        <w:rPr>
          <w:rFonts w:hint="eastAsia" w:hAnsi="宋体" w:cs="宋体"/>
          <w:bCs/>
          <w:szCs w:val="21"/>
        </w:rPr>
        <w:t>招标收费标准</w:t>
      </w:r>
      <w:r>
        <w:rPr>
          <w:rFonts w:hint="eastAsia" w:hAnsi="宋体" w:cs="宋体"/>
          <w:szCs w:val="21"/>
        </w:rPr>
        <w:t>收取</w:t>
      </w:r>
      <w:r>
        <w:rPr>
          <w:rFonts w:hint="eastAsia" w:hAnsi="宋体"/>
        </w:rPr>
        <w:t>。否则，采购代理机构将视之为违约，取消该成交决定并没收成交人已提交的全部磋商保证金。</w:t>
      </w:r>
    </w:p>
    <w:p>
      <w:pPr>
        <w:pStyle w:val="5"/>
        <w:spacing w:before="0" w:after="0" w:line="400" w:lineRule="exact"/>
        <w:rPr>
          <w:rFonts w:ascii="宋体" w:hAnsi="宋体" w:eastAsia="宋体"/>
          <w:sz w:val="21"/>
          <w:szCs w:val="21"/>
        </w:rPr>
      </w:pPr>
      <w:bookmarkStart w:id="320" w:name="_Toc206525717"/>
      <w:bookmarkStart w:id="321" w:name="_Toc230578092"/>
      <w:bookmarkStart w:id="322" w:name="_Toc239839898"/>
      <w:bookmarkStart w:id="323" w:name="_Toc185702584"/>
      <w:bookmarkStart w:id="324" w:name="_Toc489352166"/>
      <w:bookmarkStart w:id="325" w:name="_Toc207770870"/>
      <w:bookmarkStart w:id="326" w:name="_Toc444006016"/>
      <w:r>
        <w:rPr>
          <w:rFonts w:hint="eastAsia" w:ascii="宋体" w:hAnsi="宋体" w:eastAsia="宋体"/>
          <w:sz w:val="21"/>
          <w:szCs w:val="21"/>
        </w:rPr>
        <w:t>30、解释权</w:t>
      </w:r>
      <w:bookmarkEnd w:id="320"/>
      <w:bookmarkEnd w:id="321"/>
      <w:bookmarkEnd w:id="322"/>
      <w:bookmarkEnd w:id="323"/>
      <w:bookmarkEnd w:id="324"/>
      <w:bookmarkEnd w:id="325"/>
      <w:bookmarkEnd w:id="326"/>
    </w:p>
    <w:p>
      <w:pPr>
        <w:pStyle w:val="12"/>
        <w:spacing w:line="400" w:lineRule="exact"/>
        <w:ind w:firstLine="420"/>
      </w:pPr>
      <w:r>
        <w:rPr>
          <w:rFonts w:hint="eastAsia"/>
        </w:rPr>
        <w:t>30.1本磋商文件是根据国家有关法律、法规以及政府采购管理有关规定和参照国际惯例编制，解释权属本采购代理机构。</w:t>
      </w:r>
    </w:p>
    <w:p>
      <w:pPr>
        <w:pStyle w:val="12"/>
        <w:spacing w:line="380" w:lineRule="exact"/>
      </w:pPr>
    </w:p>
    <w:p>
      <w:pPr>
        <w:pStyle w:val="12"/>
        <w:spacing w:line="380" w:lineRule="exact"/>
      </w:pPr>
    </w:p>
    <w:p>
      <w:pPr>
        <w:pStyle w:val="12"/>
        <w:spacing w:line="380" w:lineRule="exact"/>
      </w:pPr>
    </w:p>
    <w:p>
      <w:pPr>
        <w:pStyle w:val="12"/>
        <w:spacing w:line="380" w:lineRule="exact"/>
      </w:pPr>
    </w:p>
    <w:p>
      <w:pPr>
        <w:pStyle w:val="12"/>
        <w:spacing w:line="380" w:lineRule="exact"/>
      </w:pPr>
    </w:p>
    <w:p>
      <w:pPr>
        <w:pStyle w:val="12"/>
        <w:spacing w:line="380" w:lineRule="exact"/>
      </w:pPr>
    </w:p>
    <w:p>
      <w:pPr>
        <w:pStyle w:val="12"/>
        <w:spacing w:line="380" w:lineRule="exact"/>
      </w:pPr>
    </w:p>
    <w:p>
      <w:pPr>
        <w:pStyle w:val="12"/>
        <w:spacing w:line="380" w:lineRule="exact"/>
      </w:pPr>
    </w:p>
    <w:p>
      <w:pPr>
        <w:pStyle w:val="12"/>
        <w:spacing w:line="380" w:lineRule="exact"/>
      </w:pPr>
    </w:p>
    <w:p>
      <w:pPr>
        <w:pStyle w:val="4"/>
        <w:spacing w:line="560" w:lineRule="exact"/>
        <w:rPr>
          <w:rFonts w:asciiTheme="majorEastAsia" w:hAnsiTheme="majorEastAsia" w:eastAsiaTheme="majorEastAsia" w:cstheme="majorEastAsia"/>
          <w:sz w:val="44"/>
          <w:szCs w:val="44"/>
        </w:rPr>
      </w:pPr>
    </w:p>
    <w:p/>
    <w:p>
      <w:pPr>
        <w:spacing w:line="48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b/>
          <w:sz w:val="44"/>
          <w:szCs w:val="44"/>
        </w:rPr>
        <w:t>第二章  采购项目技术参数要求</w:t>
      </w:r>
    </w:p>
    <w:p>
      <w:pPr>
        <w:spacing w:line="360" w:lineRule="exact"/>
        <w:rPr>
          <w:rFonts w:eastAsia="仿宋_GB2312"/>
          <w:szCs w:val="21"/>
        </w:rPr>
      </w:pP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bookmarkStart w:id="327" w:name="_Toc305850725"/>
      <w:r>
        <w:rPr>
          <w:rFonts w:hint="eastAsia" w:asciiTheme="majorEastAsia" w:hAnsiTheme="majorEastAsia" w:eastAsiaTheme="majorEastAsia" w:cstheme="majorEastAsia"/>
          <w:b/>
          <w:color w:val="000000"/>
          <w:kern w:val="0"/>
          <w:sz w:val="24"/>
          <w:lang w:bidi="ar"/>
        </w:rPr>
        <w:t>一、项目概况</w:t>
      </w:r>
      <w:r>
        <w:rPr>
          <w:rFonts w:hint="eastAsia" w:asciiTheme="majorEastAsia" w:hAnsiTheme="majorEastAsia" w:eastAsiaTheme="majorEastAsia" w:cstheme="majorEastAsia"/>
          <w:b/>
          <w:color w:val="000000"/>
          <w:kern w:val="0"/>
          <w:szCs w:val="21"/>
          <w:lang w:bidi="ar"/>
        </w:rPr>
        <w:t xml:space="preserve">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2020年，贺州市围绕自治区下达我市农用地安全利用的考核目标任务，因地制宜，分类施策。以水稻种植区域为重点开展贺州市农用地安全利用类集中推进示范区、联合技术攻关示范区工作，全面推广示范安全利用技术，并开展多种技术集成等相关技术规范试验小区验证，为集中推进区与集中推进示范区提供符合当地需要、参数明确及经济适用的配套技术，以保障粮食质量安全，确保如期完成考核任务。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b/>
          <w:color w:val="000000"/>
          <w:kern w:val="0"/>
          <w:sz w:val="24"/>
          <w:lang w:bidi="ar"/>
        </w:rPr>
        <w:t>二、技术和服务要求</w:t>
      </w:r>
      <w:r>
        <w:rPr>
          <w:rFonts w:hint="eastAsia" w:asciiTheme="majorEastAsia" w:hAnsiTheme="majorEastAsia" w:eastAsiaTheme="majorEastAsia" w:cstheme="majorEastAsia"/>
          <w:b/>
          <w:color w:val="000000"/>
          <w:kern w:val="0"/>
          <w:szCs w:val="21"/>
          <w:lang w:bidi="ar"/>
        </w:rPr>
        <w:t xml:space="preserve">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color w:val="000000"/>
          <w:kern w:val="0"/>
          <w:sz w:val="24"/>
          <w:lang w:bidi="ar"/>
        </w:rPr>
        <w:t xml:space="preserve">（一）总体要求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 xml:space="preserve">1. 按照《广西农用地安全利用工作实施方案》（桂政办函（2019）38号）、《自治区生态环境厅 自治区农业农村厅关于下一阶段农用地安全利用等有关目标任务的函》（桂环函〔2019〕2608号）、《贺州市农用地安全利用工作实施方案》（贺政办〔2020〕19号）的要求，完成贺州市农用地安全利用任务135109亩，其中安全利用类101162亩、严格管控任务33857亩，农用地安全利用率达到 85%以上，基本形成全市农用地安全利用工作体制机制。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2.按照《2020年广西农用地安全利用项目实施方案》（桂农厅发〔2020〕50 号）、《贺州市农用地安全利用工作实施方案》（贺政办〔2020〕19号）的要求，完成贺州市农用地安全利用考核目标任务台账整理及上报。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3.完成《广西农用地安全利用工作实施方案》（桂政办函（2019）38号）、《贺州市农用地安全利用工作实施方案》（贺政办〔2020〕19号）中规定的培训、项目档案与评估等相关工作。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b/>
          <w:color w:val="000000"/>
          <w:kern w:val="0"/>
          <w:sz w:val="24"/>
          <w:lang w:bidi="ar"/>
        </w:rPr>
        <w:t>（二）具体实施内容及地点</w:t>
      </w:r>
      <w:r>
        <w:rPr>
          <w:rFonts w:hint="eastAsia" w:asciiTheme="majorEastAsia" w:hAnsiTheme="majorEastAsia" w:eastAsiaTheme="majorEastAsia" w:cstheme="majorEastAsia"/>
          <w:b/>
          <w:color w:val="000000"/>
          <w:kern w:val="0"/>
          <w:szCs w:val="21"/>
          <w:lang w:bidi="ar"/>
        </w:rPr>
        <w:t xml:space="preserve"> </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600" w:lineRule="exact"/>
        <w:ind w:leftChars="0" w:firstLine="422" w:firstLineChars="200"/>
        <w:textAlignment w:val="auto"/>
        <w:rPr>
          <w:rFonts w:hint="eastAsia" w:asciiTheme="minorEastAsia" w:hAnsiTheme="minorEastAsia" w:eastAsiaTheme="minorEastAsia" w:cstheme="minorEastAsia"/>
          <w:b/>
          <w:color w:val="000000"/>
          <w:sz w:val="21"/>
          <w:szCs w:val="21"/>
        </w:rPr>
      </w:pPr>
      <w:bookmarkStart w:id="328" w:name="_Toc14836"/>
      <w:bookmarkStart w:id="329" w:name="_Toc11096"/>
      <w:bookmarkStart w:id="330" w:name="_Toc7300"/>
      <w:r>
        <w:rPr>
          <w:rFonts w:hint="eastAsia" w:asciiTheme="minorEastAsia" w:hAnsiTheme="minorEastAsia" w:eastAsiaTheme="minorEastAsia" w:cstheme="minorEastAsia"/>
          <w:b/>
          <w:color w:val="000000"/>
          <w:sz w:val="21"/>
          <w:szCs w:val="21"/>
          <w:lang w:val="en-US" w:eastAsia="zh-CN"/>
        </w:rPr>
        <w:t>1.</w:t>
      </w:r>
      <w:r>
        <w:rPr>
          <w:rFonts w:hint="eastAsia" w:asciiTheme="minorEastAsia" w:hAnsiTheme="minorEastAsia" w:eastAsiaTheme="minorEastAsia" w:cstheme="minorEastAsia"/>
          <w:b/>
          <w:color w:val="000000"/>
          <w:sz w:val="21"/>
          <w:szCs w:val="21"/>
        </w:rPr>
        <w:t>联合攻关区：</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600" w:lineRule="exact"/>
        <w:ind w:leftChars="0"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农用地安全利用技术主要有低积累品种替代种植、水分调控、pH调节和叶面阻控等。为柳江县农用地安全利用项目的顺利实施，需要在柳江县当地进行低积累品种替代种植、水分调控、pH调节和叶面阻控等4种安全利用技术的适用性和安全性验证试验，初步筛选出适合当地的低积累品种，适宜的叶面阻隔剂种类、土壤调理剂种类及石灰用量，并根据当地重金属污染程度和土壤环境特征，集成4种安全利用技术并进行适用性和安全性验证试验，为后续大面积的推广应用提供参考。</w:t>
      </w:r>
    </w:p>
    <w:p>
      <w:pPr>
        <w:keepNext w:val="0"/>
        <w:keepLines w:val="0"/>
        <w:pageBreakBefore w:val="0"/>
        <w:kinsoku/>
        <w:wordWrap/>
        <w:overflowPunct/>
        <w:topLinePunct w:val="0"/>
        <w:autoSpaceDE/>
        <w:autoSpaceDN/>
        <w:bidi w:val="0"/>
        <w:snapToGrid w:val="0"/>
        <w:spacing w:beforeAutospacing="0" w:afterAutospacing="0" w:line="60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在500亩范围内，划出土壤理化性质相对均一、地型平整、水利设施条件好的地块（15-20亩）做为小试试验区，其余480-485亩作为中试试验区。</w:t>
      </w:r>
    </w:p>
    <w:p>
      <w:pPr>
        <w:pStyle w:val="112"/>
        <w:keepNext w:val="0"/>
        <w:keepLines w:val="0"/>
        <w:pageBreakBefore w:val="0"/>
        <w:numPr>
          <w:ilvl w:val="0"/>
          <w:numId w:val="0"/>
        </w:numPr>
        <w:kinsoku/>
        <w:wordWrap/>
        <w:overflowPunct/>
        <w:topLinePunct w:val="0"/>
        <w:autoSpaceDE/>
        <w:autoSpaceDN/>
        <w:bidi w:val="0"/>
        <w:snapToGrid w:val="0"/>
        <w:spacing w:beforeAutospacing="0" w:afterAutospacing="0" w:line="600" w:lineRule="exact"/>
        <w:ind w:leftChars="0" w:firstLine="422" w:firstLineChars="200"/>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(1)</w:t>
      </w:r>
      <w:r>
        <w:rPr>
          <w:rFonts w:hint="eastAsia" w:asciiTheme="minorEastAsia" w:hAnsiTheme="minorEastAsia" w:eastAsiaTheme="minorEastAsia" w:cstheme="minorEastAsia"/>
          <w:b/>
          <w:bCs/>
          <w:color w:val="000000"/>
          <w:sz w:val="21"/>
          <w:szCs w:val="21"/>
        </w:rPr>
        <w:t>小试试验区方案设计：</w:t>
      </w:r>
    </w:p>
    <w:p>
      <w:pPr>
        <w:keepNext w:val="0"/>
        <w:keepLines w:val="0"/>
        <w:pageBreakBefore w:val="0"/>
        <w:kinsoku/>
        <w:wordWrap/>
        <w:overflowPunct/>
        <w:topLinePunct w:val="0"/>
        <w:autoSpaceDE/>
        <w:autoSpaceDN/>
        <w:bidi w:val="0"/>
        <w:snapToGrid w:val="0"/>
        <w:spacing w:beforeAutospacing="0" w:afterAutospacing="0" w:line="60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小试试验区主要用于比较4种安全利用技术在当地的试用效果差异。主要包括但不限于：15种低积累水稻品种（区生态总站推荐品种5种以及当地或其他部门推荐的水稻品种10种）的应用效果比较；3-5种土壤调理剂的应用效果比较；3-5叶面阻隔剂的应用效果比较；积累水稻品种（</w:t>
      </w:r>
      <w:r>
        <w:rPr>
          <w:rFonts w:hint="eastAsia" w:asciiTheme="minorEastAsia" w:hAnsiTheme="minorEastAsia" w:eastAsiaTheme="minorEastAsia" w:cstheme="minorEastAsia"/>
          <w:color w:val="000000"/>
          <w:sz w:val="21"/>
          <w:szCs w:val="21"/>
          <w:lang w:eastAsia="zh-CN"/>
        </w:rPr>
        <w:t>根据实际情况</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水分调控</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石灰</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叶面阻隔剂</w:t>
      </w:r>
      <w:r>
        <w:rPr>
          <w:rFonts w:hint="eastAsia" w:asciiTheme="minorEastAsia" w:hAnsiTheme="minorEastAsia" w:eastAsiaTheme="minorEastAsia" w:cstheme="minorEastAsia"/>
          <w:color w:val="000000"/>
          <w:sz w:val="21"/>
          <w:szCs w:val="21"/>
          <w:lang w:eastAsia="zh-CN"/>
        </w:rPr>
        <w:t>等</w:t>
      </w:r>
      <w:r>
        <w:rPr>
          <w:rFonts w:hint="eastAsia" w:asciiTheme="minorEastAsia" w:hAnsiTheme="minorEastAsia" w:eastAsiaTheme="minorEastAsia" w:cstheme="minorEastAsia"/>
          <w:color w:val="000000"/>
          <w:sz w:val="21"/>
          <w:szCs w:val="21"/>
        </w:rPr>
        <w:t>技术</w:t>
      </w:r>
      <w:r>
        <w:rPr>
          <w:rFonts w:hint="eastAsia" w:asciiTheme="minorEastAsia" w:hAnsiTheme="minorEastAsia" w:eastAsiaTheme="minorEastAsia" w:cstheme="minorEastAsia"/>
          <w:color w:val="000000"/>
          <w:sz w:val="21"/>
          <w:szCs w:val="21"/>
          <w:lang w:eastAsia="zh-CN"/>
        </w:rPr>
        <w:t>的</w:t>
      </w:r>
      <w:r>
        <w:rPr>
          <w:rFonts w:hint="eastAsia" w:asciiTheme="minorEastAsia" w:hAnsiTheme="minorEastAsia" w:eastAsiaTheme="minorEastAsia" w:cstheme="minorEastAsia"/>
          <w:color w:val="000000"/>
          <w:sz w:val="21"/>
          <w:szCs w:val="21"/>
        </w:rPr>
        <w:t>集成应用效果比较。工作区可根据实际情况内部调整试验方案，如pH中性或偏碱性的工作区可不用进行石灰调节试验。</w:t>
      </w:r>
    </w:p>
    <w:p>
      <w:pPr>
        <w:keepNext w:val="0"/>
        <w:keepLines w:val="0"/>
        <w:pageBreakBefore w:val="0"/>
        <w:kinsoku/>
        <w:wordWrap/>
        <w:overflowPunct/>
        <w:topLinePunct w:val="0"/>
        <w:autoSpaceDE/>
        <w:autoSpaceDN/>
        <w:bidi w:val="0"/>
        <w:snapToGrid w:val="0"/>
        <w:spacing w:beforeAutospacing="0" w:afterAutospacing="0" w:line="60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为保证试验效果，需根据试验设计要求对小区进行隔离，控制进排水不能相互影响。试验小区面积不得少于20 m</w:t>
      </w:r>
      <w:r>
        <w:rPr>
          <w:rFonts w:hint="eastAsia" w:asciiTheme="minorEastAsia" w:hAnsiTheme="minorEastAsia" w:eastAsiaTheme="minorEastAsia" w:cstheme="minorEastAsia"/>
          <w:color w:val="000000"/>
          <w:sz w:val="21"/>
          <w:szCs w:val="21"/>
          <w:vertAlign w:val="superscript"/>
        </w:rPr>
        <w:t>2</w:t>
      </w:r>
      <w:r>
        <w:rPr>
          <w:rFonts w:hint="eastAsia" w:asciiTheme="minorEastAsia" w:hAnsiTheme="minorEastAsia" w:eastAsiaTheme="minorEastAsia" w:cstheme="minorEastAsia"/>
          <w:color w:val="000000"/>
          <w:sz w:val="21"/>
          <w:szCs w:val="21"/>
        </w:rPr>
        <w:t>。重复数是进行统计分析的一个重要因素，因此每个试验处理不得低于4次重复。每试验应配有统一说明牌和编号牌。试验需有详细实验说明及进度记录本存档，在关键实验环节应有照片记录。</w:t>
      </w:r>
    </w:p>
    <w:p>
      <w:pPr>
        <w:pStyle w:val="112"/>
        <w:keepNext w:val="0"/>
        <w:keepLines w:val="0"/>
        <w:pageBreakBefore w:val="0"/>
        <w:numPr>
          <w:ilvl w:val="0"/>
          <w:numId w:val="0"/>
        </w:numPr>
        <w:kinsoku/>
        <w:wordWrap/>
        <w:overflowPunct/>
        <w:topLinePunct w:val="0"/>
        <w:autoSpaceDE/>
        <w:autoSpaceDN/>
        <w:bidi w:val="0"/>
        <w:snapToGrid w:val="0"/>
        <w:spacing w:beforeAutospacing="0" w:afterAutospacing="0" w:line="600" w:lineRule="exact"/>
        <w:ind w:leftChars="0" w:firstLine="422" w:firstLineChars="200"/>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(2)</w:t>
      </w:r>
      <w:r>
        <w:rPr>
          <w:rFonts w:hint="eastAsia" w:asciiTheme="minorEastAsia" w:hAnsiTheme="minorEastAsia" w:eastAsiaTheme="minorEastAsia" w:cstheme="minorEastAsia"/>
          <w:b/>
          <w:bCs/>
          <w:color w:val="000000"/>
          <w:sz w:val="21"/>
          <w:szCs w:val="21"/>
        </w:rPr>
        <w:t>中试实验区方案设计：</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论上中试实验方案应在小试实验结果的基础上进行优化，但由于本项目时间安排的原因，只能选择国内或区内目前已验证有效的技术和产品。根据每个技术的适用土壤类型和污染水平，pH值、有机质含量及稻米超标情况，选择合适的技术组合，结合当地水肥管理条件，选取</w:t>
      </w:r>
      <w:r>
        <w:rPr>
          <w:rFonts w:hint="eastAsia" w:asciiTheme="minorEastAsia" w:hAnsiTheme="minorEastAsia" w:eastAsiaTheme="minorEastAsia" w:cstheme="minorEastAsia"/>
          <w:color w:val="000000"/>
          <w:sz w:val="21"/>
          <w:szCs w:val="21"/>
          <w:lang w:val="en-US" w:eastAsia="zh-CN"/>
        </w:rPr>
        <w:t>4-5</w:t>
      </w:r>
      <w:r>
        <w:rPr>
          <w:rFonts w:hint="eastAsia" w:asciiTheme="minorEastAsia" w:hAnsiTheme="minorEastAsia" w:eastAsiaTheme="minorEastAsia" w:cstheme="minorEastAsia"/>
          <w:color w:val="000000"/>
          <w:sz w:val="21"/>
          <w:szCs w:val="21"/>
        </w:rPr>
        <w:t>种技术进行在三个示范区统一进行中试试验，进一步验证各技术的应用效果。这</w:t>
      </w:r>
      <w:r>
        <w:rPr>
          <w:rFonts w:hint="eastAsia" w:asciiTheme="minorEastAsia" w:hAnsiTheme="minorEastAsia" w:eastAsiaTheme="minorEastAsia" w:cstheme="minorEastAsia"/>
          <w:color w:val="000000"/>
          <w:sz w:val="21"/>
          <w:szCs w:val="21"/>
          <w:lang w:val="en-US" w:eastAsia="zh-CN"/>
        </w:rPr>
        <w:t>4-5</w:t>
      </w:r>
      <w:r>
        <w:rPr>
          <w:rFonts w:hint="eastAsia" w:asciiTheme="minorEastAsia" w:hAnsiTheme="minorEastAsia" w:eastAsiaTheme="minorEastAsia" w:cstheme="minorEastAsia"/>
          <w:color w:val="000000"/>
          <w:sz w:val="21"/>
          <w:szCs w:val="21"/>
        </w:rPr>
        <w:t>种技术应主要为低积累品种、石灰调节、水分调控、叶面阻控等4种安全利用技术的单项及复合技术。每个试验共4次重复，每小区20亩，约80亩，</w:t>
      </w:r>
      <w:r>
        <w:rPr>
          <w:rFonts w:hint="eastAsia" w:asciiTheme="minorEastAsia" w:hAnsiTheme="minorEastAsia" w:eastAsiaTheme="minorEastAsia" w:cstheme="minorEastAsia"/>
          <w:color w:val="000000"/>
          <w:sz w:val="21"/>
          <w:szCs w:val="21"/>
          <w:lang w:val="en-US" w:eastAsia="zh-CN"/>
        </w:rPr>
        <w:t>4-5</w:t>
      </w:r>
      <w:r>
        <w:rPr>
          <w:rFonts w:hint="eastAsia" w:asciiTheme="minorEastAsia" w:hAnsiTheme="minorEastAsia" w:eastAsiaTheme="minorEastAsia" w:cstheme="minorEastAsia"/>
          <w:color w:val="000000"/>
          <w:sz w:val="21"/>
          <w:szCs w:val="21"/>
        </w:rPr>
        <w:t>个试验共计约400~480亩。进入中试的土壤调理剂必须获得农业部土壤调理剂登记证，对于土壤调理剂的中试试验需要慎重考虑调理剂可能造成土壤理化性质改变或二次污染引起稻谷减产或绝收的风险。</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要求：联合公关区的实施农田土壤和各小区农产品的镉含量，试验过程要做好详细记录，形成规范的台账资料。</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2" w:firstLineChars="200"/>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val="en-US" w:eastAsia="zh-CN"/>
        </w:rPr>
        <w:t>2.</w:t>
      </w:r>
      <w:r>
        <w:rPr>
          <w:rFonts w:hint="eastAsia" w:asciiTheme="minorEastAsia" w:hAnsiTheme="minorEastAsia" w:eastAsiaTheme="minorEastAsia" w:cstheme="minorEastAsia"/>
          <w:b/>
          <w:color w:val="000000"/>
          <w:sz w:val="21"/>
          <w:szCs w:val="21"/>
        </w:rPr>
        <w:t>安全利用类集中推进示范区安全利用技术方案</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在每个集中推进示范区，根据土壤状况、理化性质、镉污染水平，评估稻米超标风险，选用1种安全利用技术，进行示范推广。推荐安全利用技术有（以下推荐技术需根据各区实际情况进行选择）：</w:t>
      </w:r>
    </w:p>
    <w:p>
      <w:pPr>
        <w:keepNext w:val="0"/>
        <w:keepLines w:val="0"/>
        <w:pageBreakBefore w:val="0"/>
        <w:numPr>
          <w:ilvl w:val="0"/>
          <w:numId w:val="3"/>
        </w:numPr>
        <w:kinsoku/>
        <w:wordWrap/>
        <w:overflowPunct/>
        <w:topLinePunct w:val="0"/>
        <w:autoSpaceDE/>
        <w:autoSpaceDN/>
        <w:bidi w:val="0"/>
        <w:adjustRightInd/>
        <w:snapToGrid w:val="0"/>
        <w:spacing w:beforeAutospacing="0" w:afterAutospacing="0" w:line="600" w:lineRule="exact"/>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低积累品种（或当地主栽品种）+石灰调节</w:t>
      </w:r>
    </w:p>
    <w:p>
      <w:pPr>
        <w:keepNext w:val="0"/>
        <w:keepLines w:val="0"/>
        <w:pageBreakBefore w:val="0"/>
        <w:numPr>
          <w:ilvl w:val="0"/>
          <w:numId w:val="3"/>
        </w:numPr>
        <w:kinsoku/>
        <w:wordWrap/>
        <w:overflowPunct/>
        <w:topLinePunct w:val="0"/>
        <w:autoSpaceDE/>
        <w:autoSpaceDN/>
        <w:bidi w:val="0"/>
        <w:snapToGrid w:val="0"/>
        <w:spacing w:beforeAutospacing="0" w:afterAutospacing="0" w:line="600" w:lineRule="exact"/>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低积累品种（或当地主栽品种）+</w:t>
      </w:r>
      <w:r>
        <w:rPr>
          <w:rFonts w:hint="eastAsia" w:asciiTheme="minorEastAsia" w:hAnsiTheme="minorEastAsia" w:eastAsiaTheme="minorEastAsia" w:cstheme="minorEastAsia"/>
          <w:b w:val="0"/>
          <w:bCs w:val="0"/>
          <w:color w:val="000000"/>
          <w:sz w:val="21"/>
          <w:szCs w:val="21"/>
          <w:lang w:eastAsia="zh-CN"/>
        </w:rPr>
        <w:t>叶面调控</w:t>
      </w:r>
    </w:p>
    <w:p>
      <w:pPr>
        <w:keepNext w:val="0"/>
        <w:keepLines w:val="0"/>
        <w:pageBreakBefore w:val="0"/>
        <w:numPr>
          <w:ilvl w:val="0"/>
          <w:numId w:val="3"/>
        </w:numPr>
        <w:kinsoku/>
        <w:wordWrap/>
        <w:overflowPunct/>
        <w:topLinePunct w:val="0"/>
        <w:autoSpaceDE/>
        <w:autoSpaceDN/>
        <w:bidi w:val="0"/>
        <w:snapToGrid w:val="0"/>
        <w:spacing w:beforeAutospacing="0" w:afterAutospacing="0" w:line="600" w:lineRule="exact"/>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低积累品种（或当地主栽品种）+水分调控</w:t>
      </w:r>
    </w:p>
    <w:p>
      <w:pPr>
        <w:keepNext w:val="0"/>
        <w:keepLines w:val="0"/>
        <w:pageBreakBefore w:val="0"/>
        <w:numPr>
          <w:ilvl w:val="0"/>
          <w:numId w:val="3"/>
        </w:numPr>
        <w:kinsoku/>
        <w:wordWrap/>
        <w:overflowPunct/>
        <w:topLinePunct w:val="0"/>
        <w:autoSpaceDE/>
        <w:autoSpaceDN/>
        <w:bidi w:val="0"/>
        <w:snapToGrid w:val="0"/>
        <w:spacing w:beforeAutospacing="0" w:afterAutospacing="0" w:line="600" w:lineRule="exact"/>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低积累品种（或当地主栽品种）+石灰调节+叶面阻控,</w:t>
      </w:r>
    </w:p>
    <w:p>
      <w:pPr>
        <w:keepNext w:val="0"/>
        <w:keepLines w:val="0"/>
        <w:pageBreakBefore w:val="0"/>
        <w:numPr>
          <w:ilvl w:val="0"/>
          <w:numId w:val="3"/>
        </w:numPr>
        <w:kinsoku/>
        <w:wordWrap/>
        <w:overflowPunct/>
        <w:topLinePunct w:val="0"/>
        <w:autoSpaceDE/>
        <w:autoSpaceDN/>
        <w:bidi w:val="0"/>
        <w:snapToGrid w:val="0"/>
        <w:spacing w:beforeAutospacing="0" w:afterAutospacing="0" w:line="600" w:lineRule="exact"/>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低累积品种（或当地主栽品种）+石灰调节+水分调控</w:t>
      </w:r>
    </w:p>
    <w:p>
      <w:pPr>
        <w:keepNext w:val="0"/>
        <w:keepLines w:val="0"/>
        <w:pageBreakBefore w:val="0"/>
        <w:numPr>
          <w:ilvl w:val="0"/>
          <w:numId w:val="3"/>
        </w:numPr>
        <w:kinsoku/>
        <w:wordWrap/>
        <w:overflowPunct/>
        <w:topLinePunct w:val="0"/>
        <w:autoSpaceDE/>
        <w:autoSpaceDN/>
        <w:bidi w:val="0"/>
        <w:snapToGrid w:val="0"/>
        <w:spacing w:beforeAutospacing="0" w:afterAutospacing="0" w:line="600" w:lineRule="exact"/>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 xml:space="preserve">深耕+低累积品种（或当地主栽品种）+水分调控+叶面阻控+石灰调节; </w:t>
      </w:r>
    </w:p>
    <w:p>
      <w:pPr>
        <w:keepNext w:val="0"/>
        <w:keepLines w:val="0"/>
        <w:pageBreakBefore w:val="0"/>
        <w:numPr>
          <w:ilvl w:val="0"/>
          <w:numId w:val="3"/>
        </w:numPr>
        <w:kinsoku/>
        <w:wordWrap/>
        <w:overflowPunct/>
        <w:topLinePunct w:val="0"/>
        <w:autoSpaceDE/>
        <w:autoSpaceDN/>
        <w:bidi w:val="0"/>
        <w:snapToGrid w:val="0"/>
        <w:spacing w:beforeAutospacing="0" w:afterAutospacing="0" w:line="600" w:lineRule="exact"/>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低累积品种（或当地主栽品种）+水分调控+叶面阻控+石灰调节+土壤调理剂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选择低积累水稻品种，根据其栽培特点和生育期适时育秧和移栽。整地耙田时适当深耕（30</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40cm），以不破坏犁底层为宜。土壤调理剂和石灰在插秧前施用，耙田过程中与基肥一同施用。从插秧开始直到收获，全生育期淹水3-5cm，其余常规管理，注意病虫害防治和倒伏。叶面阻控剂需选择可用无人机或飞机喷撒的商品化药剂。</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rPr>
      </w:pPr>
      <w:r>
        <w:rPr>
          <w:rFonts w:hint="eastAsia" w:asciiTheme="minorEastAsia" w:hAnsiTheme="minorEastAsia" w:eastAsiaTheme="minorEastAsia" w:cstheme="minorEastAsia"/>
          <w:sz w:val="21"/>
          <w:szCs w:val="21"/>
          <w:lang w:val="en-US" w:eastAsia="zh-CN"/>
        </w:rPr>
        <w:t>各实施农田土壤和各小区农产品的镉含量，试验过程要做好详细记录，形成规范的台账资料。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水稻品种建议：</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outlineLvl w:val="9"/>
        <w:rPr>
          <w:rFonts w:hint="eastAsia"/>
        </w:rPr>
      </w:pPr>
      <w:r>
        <w:rPr>
          <w:rFonts w:hint="eastAsia" w:asciiTheme="minorEastAsia" w:hAnsiTheme="minorEastAsia" w:eastAsiaTheme="minorEastAsia" w:cstheme="minorEastAsia"/>
          <w:sz w:val="21"/>
          <w:szCs w:val="21"/>
        </w:rPr>
        <w:t>推荐：桂育12、桂香18、桂香99、金针香、桂育15、桂育17、桂育18等7个品种。其他品种在当地正在使用的水稻品种中，在属如下系列的水稻品种中选用：野香优莉丝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又香优龙丝苗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广8优香丝苗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丰田优553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隆晶优212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Y两优系列（以Y58S为母本的）。对照品种选用当地目前在广泛使用的非上面品种。</w:t>
      </w: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440" w:lineRule="exact"/>
        <w:ind w:firstLine="422" w:firstLineChars="200"/>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 严格管控类联合攻关示范区建设</w:t>
      </w:r>
      <w:bookmarkEnd w:id="328"/>
      <w:bookmarkEnd w:id="329"/>
      <w:bookmarkEnd w:id="330"/>
    </w:p>
    <w:p>
      <w:pPr>
        <w:pStyle w:val="10"/>
        <w:pageBreakBefore w:val="0"/>
        <w:kinsoku/>
        <w:wordWrap/>
        <w:overflowPunct/>
        <w:topLinePunct w:val="0"/>
        <w:autoSpaceDE/>
        <w:autoSpaceDN/>
        <w:bidi w:val="0"/>
        <w:adjustRightInd/>
        <w:snapToGrid/>
        <w:spacing w:beforeAutospacing="0" w:after="0" w:afterAutospacing="0" w:line="440" w:lineRule="exact"/>
        <w:ind w:firstLine="420"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此区域实施种植业结构调整，实施面积502亩。</w:t>
      </w:r>
    </w:p>
    <w:p>
      <w:pPr>
        <w:pStyle w:val="10"/>
        <w:pageBreakBefore w:val="0"/>
        <w:kinsoku/>
        <w:wordWrap/>
        <w:overflowPunct/>
        <w:topLinePunct w:val="0"/>
        <w:autoSpaceDE/>
        <w:autoSpaceDN/>
        <w:bidi w:val="0"/>
        <w:adjustRightInd/>
        <w:snapToGrid/>
        <w:spacing w:beforeAutospacing="0" w:after="0" w:afterAutospacing="0" w:line="440" w:lineRule="exact"/>
        <w:ind w:firstLine="420" w:firstLineChars="200"/>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要求：</w:t>
      </w:r>
      <w:r>
        <w:rPr>
          <w:rFonts w:hint="eastAsia" w:asciiTheme="minorEastAsia" w:hAnsiTheme="minorEastAsia" w:eastAsiaTheme="minorEastAsia" w:cstheme="minorEastAsia"/>
          <w:lang w:val="en-US" w:eastAsia="zh-CN"/>
        </w:rPr>
        <w:t>样品采集与检测。采集的样品包括土样、农产品样品。按每15亩采集土壤（1kg）和农产品（500g）样品各一个。农产品样品检测其重金属镉含量，土壤样品检测土壤重金属镉全量、重金属镉有效态含量、pH值、有机质。</w:t>
      </w:r>
    </w:p>
    <w:p>
      <w:pPr>
        <w:pStyle w:val="6"/>
        <w:keepNext/>
        <w:keepLines/>
        <w:pageBreakBefore w:val="0"/>
        <w:widowControl w:val="0"/>
        <w:kinsoku/>
        <w:wordWrap/>
        <w:overflowPunct/>
        <w:topLinePunct w:val="0"/>
        <w:autoSpaceDE/>
        <w:autoSpaceDN/>
        <w:bidi w:val="0"/>
        <w:adjustRightInd/>
        <w:snapToGrid/>
        <w:spacing w:before="0" w:beforeAutospacing="0" w:after="0" w:afterAutospacing="0" w:line="440" w:lineRule="exact"/>
        <w:ind w:firstLine="422" w:firstLineChars="200"/>
        <w:textAlignment w:val="auto"/>
        <w:rPr>
          <w:rFonts w:asciiTheme="majorEastAsia" w:hAnsiTheme="majorEastAsia" w:eastAsiaTheme="majorEastAsia" w:cstheme="majorEastAsia"/>
          <w:sz w:val="21"/>
          <w:szCs w:val="21"/>
        </w:rPr>
      </w:pPr>
      <w:bookmarkStart w:id="331" w:name="_Toc13081"/>
      <w:bookmarkStart w:id="332" w:name="_Toc18003"/>
      <w:bookmarkStart w:id="333" w:name="_Toc29159"/>
      <w:r>
        <w:rPr>
          <w:rFonts w:hint="eastAsia" w:asciiTheme="majorEastAsia" w:hAnsiTheme="majorEastAsia" w:eastAsiaTheme="majorEastAsia" w:cstheme="majorEastAsia"/>
          <w:sz w:val="21"/>
          <w:szCs w:val="21"/>
        </w:rPr>
        <w:t>1.3 集中推进示范区建设</w:t>
      </w:r>
      <w:bookmarkEnd w:id="331"/>
      <w:bookmarkEnd w:id="332"/>
      <w:bookmarkEnd w:id="333"/>
    </w:p>
    <w:p>
      <w:pPr>
        <w:pStyle w:val="6"/>
        <w:keepLines/>
        <w:pageBreakBefore w:val="0"/>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计划建设集中推进示范区9个（地点由业主指定），其中安全利用类示范区5个，面积1066亩，严格管控类集中推进区4个，面积875亩。推进示范区的要求中标方出方案，按检测农产品是否达标来计算项目完成情况，样品采集按每15亩采集一个农产品和土壤样品，检测5个指标。</w:t>
      </w:r>
    </w:p>
    <w:p>
      <w:pPr>
        <w:pStyle w:val="6"/>
        <w:keepNext w:val="0"/>
        <w:keepLines/>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asciiTheme="minorEastAsia" w:hAnsiTheme="minorEastAsia"/>
          <w:szCs w:val="28"/>
        </w:rPr>
      </w:pPr>
      <w:r>
        <w:rPr>
          <w:rFonts w:hint="eastAsia" w:asciiTheme="minorEastAsia" w:hAnsiTheme="minorEastAsia" w:eastAsiaTheme="minorEastAsia" w:cstheme="minorEastAsia"/>
          <w:color w:val="000000"/>
          <w:sz w:val="24"/>
          <w:szCs w:val="24"/>
          <w:lang w:bidi="ar"/>
        </w:rPr>
        <w:t>3、进度安排</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Cs/>
          <w:szCs w:val="28"/>
        </w:rPr>
      </w:pPr>
      <w:r>
        <w:rPr>
          <w:rFonts w:hint="eastAsia" w:asciiTheme="minorEastAsia" w:hAnsiTheme="minorEastAsia"/>
          <w:bCs/>
          <w:szCs w:val="28"/>
        </w:rPr>
        <w:t>2020年6月下旬-7月：完成联合攻关区技术措施落实工作；初步建立治理实施过程台账（实施关键步骤与各水稻生育期进行拍照记录）等。</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Cs/>
          <w:szCs w:val="28"/>
        </w:rPr>
      </w:pPr>
      <w:r>
        <w:rPr>
          <w:rFonts w:hint="eastAsia" w:asciiTheme="minorEastAsia" w:hAnsiTheme="minorEastAsia"/>
          <w:bCs/>
          <w:szCs w:val="28"/>
        </w:rPr>
        <w:t>2020年8-10月底：田间管理与跟踪监测、安全利用率自评。</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bCs/>
          <w:szCs w:val="28"/>
        </w:rPr>
      </w:pPr>
      <w:r>
        <w:rPr>
          <w:rFonts w:hint="eastAsia" w:asciiTheme="minorEastAsia" w:hAnsiTheme="minorEastAsia"/>
          <w:bCs/>
          <w:szCs w:val="28"/>
        </w:rPr>
        <w:t>2020年11-12月：编制2020年实施工作总结；整理与完善工作台账。</w:t>
      </w:r>
    </w:p>
    <w:p>
      <w:pPr>
        <w:pStyle w:val="10"/>
        <w:pageBreakBefore w:val="0"/>
        <w:kinsoku/>
        <w:wordWrap/>
        <w:overflowPunct/>
        <w:topLinePunct w:val="0"/>
        <w:autoSpaceDE/>
        <w:autoSpaceDN/>
        <w:bidi w:val="0"/>
        <w:adjustRightInd/>
        <w:snapToGrid/>
        <w:spacing w:line="440" w:lineRule="exact"/>
        <w:ind w:firstLine="420" w:firstLineChars="200"/>
        <w:textAlignment w:val="auto"/>
      </w:pPr>
      <w:r>
        <w:rPr>
          <w:rFonts w:asciiTheme="minorEastAsia" w:hAnsiTheme="minorEastAsia"/>
          <w:bCs/>
          <w:szCs w:val="28"/>
        </w:rPr>
        <w:t>2020年12月10日前，开展农用地安全利用工作2020年总体自评估和成果集成。</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color w:val="000000"/>
          <w:kern w:val="0"/>
          <w:sz w:val="24"/>
          <w:lang w:bidi="ar"/>
        </w:rPr>
        <w:t xml:space="preserve">（三）实施要求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color w:val="000000"/>
          <w:kern w:val="0"/>
          <w:szCs w:val="21"/>
          <w:lang w:bidi="ar"/>
        </w:rPr>
      </w:pPr>
      <w:r>
        <w:rPr>
          <w:rFonts w:hint="eastAsia" w:asciiTheme="majorEastAsia" w:hAnsiTheme="majorEastAsia" w:eastAsiaTheme="majorEastAsia" w:cstheme="majorEastAsia"/>
          <w:color w:val="000000"/>
          <w:kern w:val="0"/>
          <w:szCs w:val="21"/>
          <w:lang w:bidi="ar"/>
        </w:rPr>
        <w:t>1、品种：低积累水稻品种的推荐：桂育 12、桂香 18、桂香 99 等桂育系品种。当地主栽品种属</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如下系列的水稻品种亦可选用：野香优莉丝、又香优龙丝苗、广 8 优香丝苗、丰田优 553、隆晶优 212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等。（以上品种酌情选用非必须选用。）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2、水份调控：在水稻生长生育期内，采用晒田（10 天左右）+淹水(除晒田外保持 3-5 cm 水层)的方法进行调控。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3、叶面调理剂：主要选用可溶性硅、可溶性锌、可溶性硒等原料，通过叶面喷施硅、硒、锌等有益元素，提高作物抗逆性，抑制作物根系向可食部位转运重金属，降低可食部位重金属含量。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4、土壤调理剂（或钝化剂）：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主要采用两种方式：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第一、以钙质钝化剂联合有机物料：钙质调理剂包含石灰石粉、白云石粉、牡蛎壳粉、熟石灰、壳灰等。</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第二、商品化的钝化剂(调理剂)：明确商品化钝化剂(调理剂)具有更好的土壤重金属钝化效果，且其中不含有任何对土壤有危害作用的物质后，可以酌情选用。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5、农业投入品要求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szCs w:val="21"/>
        </w:rPr>
      </w:pPr>
      <w:r>
        <w:rPr>
          <w:rFonts w:hint="eastAsia" w:ascii="宋体" w:hAnsi="宋体" w:cs="宋体"/>
          <w:color w:val="000000"/>
          <w:kern w:val="0"/>
          <w:szCs w:val="21"/>
          <w:lang w:bidi="ar"/>
        </w:rPr>
        <w:t xml:space="preserve">质量要求：示范区安全利用措施施用的有机肥、土壤调理剂等投入品中镉、汞、砷、铅、铬 5 种 </w:t>
      </w:r>
    </w:p>
    <w:p>
      <w:pPr>
        <w:pageBreakBefore w:val="0"/>
        <w:widowControl/>
        <w:kinsoku/>
        <w:wordWrap/>
        <w:overflowPunct/>
        <w:topLinePunct w:val="0"/>
        <w:autoSpaceDE/>
        <w:autoSpaceDN/>
        <w:bidi w:val="0"/>
        <w:adjustRightInd/>
        <w:snapToGrid/>
        <w:spacing w:line="440" w:lineRule="exact"/>
        <w:jc w:val="left"/>
        <w:textAlignment w:val="auto"/>
        <w:rPr>
          <w:szCs w:val="21"/>
        </w:rPr>
      </w:pPr>
      <w:r>
        <w:rPr>
          <w:rFonts w:hint="eastAsia" w:ascii="宋体" w:hAnsi="宋体" w:cs="宋体"/>
          <w:color w:val="000000"/>
          <w:kern w:val="0"/>
          <w:szCs w:val="21"/>
          <w:lang w:bidi="ar"/>
        </w:rPr>
        <w:t xml:space="preserve">重金属含量，不能超过《农用地土壤污染风险管控标准（试行）》（GB15618-2018）规定的筛选值、 </w:t>
      </w:r>
    </w:p>
    <w:p>
      <w:pPr>
        <w:pageBreakBefore w:val="0"/>
        <w:widowControl/>
        <w:kinsoku/>
        <w:wordWrap/>
        <w:overflowPunct/>
        <w:topLinePunct w:val="0"/>
        <w:autoSpaceDE/>
        <w:autoSpaceDN/>
        <w:bidi w:val="0"/>
        <w:adjustRightInd/>
        <w:snapToGrid/>
        <w:spacing w:line="440" w:lineRule="exact"/>
        <w:jc w:val="left"/>
        <w:textAlignment w:val="auto"/>
        <w:rPr>
          <w:szCs w:val="21"/>
        </w:rPr>
      </w:pPr>
      <w:r>
        <w:rPr>
          <w:rFonts w:hint="eastAsia" w:ascii="宋体" w:hAnsi="宋体" w:cs="宋体"/>
          <w:color w:val="000000"/>
          <w:kern w:val="0"/>
          <w:szCs w:val="21"/>
          <w:lang w:bidi="ar"/>
        </w:rPr>
        <w:t xml:space="preserve">或者治理区域耕地土壤种对应元素的含量。 施用剂量：无机土壤调理剂，一年最大用量≤300kg/亩； </w:t>
      </w:r>
    </w:p>
    <w:p>
      <w:pPr>
        <w:pageBreakBefore w:val="0"/>
        <w:widowControl/>
        <w:kinsoku/>
        <w:wordWrap/>
        <w:overflowPunct/>
        <w:topLinePunct w:val="0"/>
        <w:autoSpaceDE/>
        <w:autoSpaceDN/>
        <w:bidi w:val="0"/>
        <w:adjustRightInd/>
        <w:snapToGrid/>
        <w:spacing w:line="440" w:lineRule="exact"/>
        <w:jc w:val="left"/>
        <w:textAlignment w:val="auto"/>
        <w:rPr>
          <w:szCs w:val="21"/>
        </w:rPr>
      </w:pPr>
      <w:r>
        <w:rPr>
          <w:rFonts w:hint="eastAsia" w:ascii="宋体" w:hAnsi="宋体" w:cs="宋体"/>
          <w:color w:val="000000"/>
          <w:kern w:val="0"/>
          <w:szCs w:val="21"/>
          <w:lang w:bidi="ar"/>
        </w:rPr>
        <w:t xml:space="preserve">有机土壤调理剂，一年最大用量≤500kg/亩； 叶面肥：在水稻一个生长周期最多不能超过 3 次，每 </w:t>
      </w:r>
    </w:p>
    <w:p>
      <w:pPr>
        <w:pageBreakBefore w:val="0"/>
        <w:widowControl/>
        <w:kinsoku/>
        <w:wordWrap/>
        <w:overflowPunct/>
        <w:topLinePunct w:val="0"/>
        <w:autoSpaceDE/>
        <w:autoSpaceDN/>
        <w:bidi w:val="0"/>
        <w:adjustRightInd/>
        <w:snapToGrid/>
        <w:spacing w:line="440" w:lineRule="exact"/>
        <w:jc w:val="left"/>
        <w:textAlignment w:val="auto"/>
        <w:rPr>
          <w:szCs w:val="21"/>
        </w:rPr>
      </w:pPr>
      <w:r>
        <w:rPr>
          <w:rFonts w:hint="eastAsia" w:ascii="宋体" w:hAnsi="宋体" w:cs="宋体"/>
          <w:color w:val="000000"/>
          <w:kern w:val="0"/>
          <w:szCs w:val="21"/>
          <w:lang w:bidi="ar"/>
        </w:rPr>
        <w:t>次施用以不烧苗为准</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6、项目实施工程管理要求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在项目实施过程中，中标方要加强过程管理，做好农业投入品的登记。包括：定期监测灌溉水，种子（水稻）、</w:t>
      </w:r>
      <w:r>
        <w:rPr>
          <w:rFonts w:hint="eastAsia" w:asciiTheme="majorEastAsia" w:hAnsiTheme="majorEastAsia" w:eastAsiaTheme="majorEastAsia" w:cstheme="majorEastAsia"/>
          <w:color w:val="000000"/>
          <w:kern w:val="0"/>
          <w:szCs w:val="21"/>
          <w:lang w:eastAsia="zh-CN" w:bidi="ar"/>
        </w:rPr>
        <w:t>种植时间、收割时间、</w:t>
      </w:r>
      <w:r>
        <w:rPr>
          <w:rFonts w:hint="eastAsia" w:asciiTheme="majorEastAsia" w:hAnsiTheme="majorEastAsia" w:eastAsiaTheme="majorEastAsia" w:cstheme="majorEastAsia"/>
          <w:color w:val="000000"/>
          <w:kern w:val="0"/>
          <w:szCs w:val="21"/>
          <w:lang w:bidi="ar"/>
        </w:rPr>
        <w:t xml:space="preserve">农药、化肥、有机肥等投入品的登记。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7、技术培训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在实施过程中，实施单位完成《贺州市农用地安全利用项目技术实施方案》中规定的培训、项目档案与评估等相关工作。</w:t>
      </w:r>
      <w:r>
        <w:rPr>
          <w:rFonts w:hint="eastAsia" w:asciiTheme="majorEastAsia" w:hAnsiTheme="majorEastAsia" w:eastAsiaTheme="majorEastAsia" w:cstheme="majorEastAsia"/>
          <w:color w:val="000000"/>
          <w:kern w:val="0"/>
          <w:szCs w:val="21"/>
          <w:lang w:eastAsia="zh-CN" w:bidi="ar"/>
        </w:rPr>
        <w:t>每县（区）</w:t>
      </w:r>
      <w:r>
        <w:rPr>
          <w:rFonts w:hint="eastAsia" w:asciiTheme="majorEastAsia" w:hAnsiTheme="majorEastAsia" w:eastAsiaTheme="majorEastAsia" w:cstheme="majorEastAsia"/>
          <w:color w:val="000000"/>
          <w:kern w:val="0"/>
          <w:szCs w:val="21"/>
          <w:lang w:bidi="ar"/>
        </w:rPr>
        <w:t xml:space="preserve">举办不少于 2 期的培训班，向当地基层干部、农技人员、种植专业户等普及耕地安全利用方面的知识。培训对象、培训时间和培训内容应与业主单位协商决定。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8、质量要求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符合国家相关标准和规范，确保成果资料完整、真实准确、清晰有据，并通过行政主管部门审批。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9、项目验收总结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成交人根据效果评价情况，编写项目总结报告及相关验证试验报告，并向采购人申请项目验收。 </w:t>
      </w:r>
    </w:p>
    <w:p>
      <w:pPr>
        <w:pageBreakBefore w:val="0"/>
        <w:widowControl/>
        <w:tabs>
          <w:tab w:val="left" w:pos="356"/>
        </w:tabs>
        <w:kinsoku/>
        <w:wordWrap/>
        <w:overflowPunct/>
        <w:topLinePunct w:val="0"/>
        <w:autoSpaceDE/>
        <w:autoSpaceDN/>
        <w:bidi w:val="0"/>
        <w:adjustRightInd/>
        <w:snapToGrid/>
        <w:spacing w:line="440" w:lineRule="exact"/>
        <w:ind w:firstLine="482" w:firstLineChars="200"/>
        <w:jc w:val="left"/>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color w:val="000000"/>
          <w:kern w:val="0"/>
          <w:sz w:val="24"/>
          <w:lang w:bidi="ar"/>
        </w:rPr>
        <w:t xml:space="preserve">（四）其他内容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按照《2020年广西农用地安全利用项目实施方案》（桂农厅发</w:t>
      </w:r>
      <w:r>
        <w:rPr>
          <w:rFonts w:hint="eastAsia" w:ascii="仿宋_GB2312" w:hAnsi="仿宋_GB2312" w:eastAsia="仿宋_GB2312" w:cs="仿宋_GB2312"/>
          <w:color w:val="000000"/>
          <w:kern w:val="0"/>
          <w:szCs w:val="21"/>
          <w:lang w:bidi="ar"/>
        </w:rPr>
        <w:t>〔</w:t>
      </w:r>
      <w:r>
        <w:rPr>
          <w:rFonts w:hint="eastAsia" w:asciiTheme="majorEastAsia" w:hAnsiTheme="majorEastAsia" w:eastAsiaTheme="majorEastAsia" w:cstheme="majorEastAsia"/>
          <w:color w:val="000000"/>
          <w:kern w:val="0"/>
          <w:szCs w:val="21"/>
          <w:lang w:bidi="ar"/>
        </w:rPr>
        <w:t>2020</w:t>
      </w:r>
      <w:r>
        <w:rPr>
          <w:rFonts w:hint="eastAsia" w:ascii="仿宋_GB2312" w:hAnsi="仿宋_GB2312" w:eastAsia="仿宋_GB2312" w:cs="仿宋_GB2312"/>
          <w:color w:val="000000"/>
          <w:kern w:val="0"/>
          <w:szCs w:val="21"/>
          <w:lang w:bidi="ar"/>
        </w:rPr>
        <w:t>〕</w:t>
      </w:r>
      <w:r>
        <w:rPr>
          <w:rFonts w:hint="eastAsia" w:asciiTheme="majorEastAsia" w:hAnsiTheme="majorEastAsia" w:eastAsiaTheme="majorEastAsia" w:cstheme="majorEastAsia"/>
          <w:color w:val="000000"/>
          <w:kern w:val="0"/>
          <w:szCs w:val="21"/>
          <w:lang w:bidi="ar"/>
        </w:rPr>
        <w:t xml:space="preserve">50 号）的要求，完成贺州市农用地安全利用考核目标任务台账整理及上报。相关的台账建立有：地块台账和工作台账。工作台账包括 :工作记录、项目实施情况表、文件、工作方案、合同、经费使用资料及实施统计表等所有与工作相关的书面材料。关键措施采用拍照、视频方式记录。并按要求每月上报各种工作材料及项目实施进度。 </w:t>
      </w:r>
    </w:p>
    <w:p>
      <w:pPr>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color w:val="000000"/>
          <w:kern w:val="0"/>
          <w:sz w:val="24"/>
          <w:lang w:bidi="ar"/>
        </w:rPr>
        <w:t xml:space="preserve">（五）验收标准及资金支付办法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1、验收标准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按照《受污染耕地治理与修复导则》（NY/T3499-2019）、《耕地污染治理效果评价准则》（NY/T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3343-2018）进行农用地完全利用效果评估。要求在示范区内，布点 366 个（15 亩/点），每个点采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集农产品 1 个，检测农产品中镉的含量，按照要求进行效果评价。如果农产品中重金属的超标率符合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要求，则视为实施效果合格。实施单位要准备一份验收报告，效果评估单位要提供效果评估报告。由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业主组织一次专家验收会议，验收会应对项目是否合格提出明确意见。若验收不合格，实施单位负责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无条件整改至符合验收标准。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2、资金支付办法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磋商第三方以项目实施面积和产出稻谷质量验收结果情况计算支付。项目资金为购买服务，其中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30%成交款额，经业主与成交人合同签订后，支付成交人作为项目启动资金；剩余 70%成交款额，由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自治区组织通过磋商确认的提供检测服务第三方完成稻谷抽样检测，结合项目监理情况，计算效果之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后按不同情况进行支付。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项目额总款=核验确认面积 × 每亩成交单价，项目款余额=项目额总款-已经预付的款额。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（1）样品合格率：大于 85%，支付余下全部项目款余额；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（2）样品合格率：60%（含）-85%（含），按核验确认面积×稻谷样品合格率×每亩成交单价，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折算项目额总款及项目款余额，支付折算后的项目款余额； </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 xml:space="preserve">（3）样品合格率：小于 60%，除已经支付的 30%预付款，其余不再支付项目款（除抽样检测和监 </w:t>
      </w:r>
    </w:p>
    <w:p>
      <w:pPr>
        <w:pageBreakBefore w:val="0"/>
        <w:widowControl/>
        <w:kinsoku/>
        <w:wordWrap/>
        <w:overflowPunct/>
        <w:topLinePunct w:val="0"/>
        <w:autoSpaceDE/>
        <w:autoSpaceDN/>
        <w:bidi w:val="0"/>
        <w:adjustRightInd/>
        <w:snapToGrid/>
        <w:spacing w:line="44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lang w:bidi="ar"/>
        </w:rPr>
        <w:t>理费）。</w:t>
      </w:r>
    </w:p>
    <w:p>
      <w:pPr>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ajorEastAsia" w:hAnsiTheme="majorEastAsia" w:eastAsiaTheme="majorEastAsia" w:cstheme="majorEastAsia"/>
          <w:b/>
          <w:color w:val="000000"/>
          <w:kern w:val="0"/>
          <w:sz w:val="24"/>
          <w:lang w:bidi="ar"/>
        </w:rPr>
      </w:pPr>
      <w:r>
        <w:rPr>
          <w:rFonts w:hint="eastAsia" w:asciiTheme="majorEastAsia" w:hAnsiTheme="majorEastAsia" w:eastAsiaTheme="majorEastAsia" w:cstheme="majorEastAsia"/>
          <w:color w:val="000000"/>
          <w:kern w:val="0"/>
          <w:szCs w:val="21"/>
          <w:lang w:bidi="ar"/>
        </w:rPr>
        <w:t xml:space="preserve">项目实施过程中与农民矛盾纠纷等方面处理妥当与否也作为最终付全款的条件。 </w:t>
      </w:r>
    </w:p>
    <w:p>
      <w:pPr>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color w:val="000000"/>
          <w:kern w:val="0"/>
          <w:sz w:val="24"/>
          <w:lang w:bidi="ar"/>
        </w:rPr>
        <w:t xml:space="preserve">（六）服务期及地点 </w:t>
      </w:r>
    </w:p>
    <w:p>
      <w:pPr>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color w:val="000000"/>
          <w:kern w:val="0"/>
          <w:sz w:val="24"/>
          <w:lang w:bidi="ar"/>
        </w:rPr>
        <w:t xml:space="preserve">服务期： </w:t>
      </w:r>
      <w:r>
        <w:rPr>
          <w:rFonts w:hint="eastAsia" w:ascii="宋体" w:hAnsi="宋体" w:cs="宋体"/>
          <w:color w:val="000000"/>
          <w:kern w:val="0"/>
          <w:szCs w:val="21"/>
          <w:lang w:bidi="ar"/>
        </w:rPr>
        <w:t>签订合同后 2020 年 12 月底前完成成果交付工作。</w:t>
      </w:r>
      <w:r>
        <w:rPr>
          <w:rFonts w:hint="eastAsia" w:asciiTheme="majorEastAsia" w:hAnsiTheme="majorEastAsia" w:eastAsiaTheme="majorEastAsia" w:cstheme="majorEastAsia"/>
          <w:b/>
          <w:color w:val="000000"/>
          <w:kern w:val="0"/>
          <w:sz w:val="24"/>
          <w:lang w:bidi="ar"/>
        </w:rPr>
        <w:t xml:space="preserve">    </w:t>
      </w:r>
    </w:p>
    <w:p>
      <w:pPr>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color w:val="000000"/>
          <w:kern w:val="0"/>
          <w:sz w:val="24"/>
          <w:lang w:bidi="ar"/>
        </w:rPr>
        <w:t>交付地点：</w:t>
      </w:r>
      <w:r>
        <w:rPr>
          <w:rFonts w:hint="eastAsia" w:asciiTheme="majorEastAsia" w:hAnsiTheme="majorEastAsia" w:eastAsiaTheme="majorEastAsia" w:cstheme="majorEastAsia"/>
          <w:color w:val="000000"/>
          <w:kern w:val="0"/>
          <w:sz w:val="24"/>
          <w:lang w:bidi="ar"/>
        </w:rPr>
        <w:t xml:space="preserve">采购人指定地点贺州市内。 </w:t>
      </w:r>
    </w:p>
    <w:p>
      <w:pPr>
        <w:pageBreakBefore w:val="0"/>
        <w:numPr>
          <w:ilvl w:val="0"/>
          <w:numId w:val="4"/>
        </w:numPr>
        <w:kinsoku/>
        <w:wordWrap/>
        <w:overflowPunct/>
        <w:topLinePunct w:val="0"/>
        <w:autoSpaceDE/>
        <w:autoSpaceDN/>
        <w:bidi w:val="0"/>
        <w:adjustRightInd/>
        <w:snapToGrid/>
        <w:spacing w:line="440" w:lineRule="exact"/>
        <w:ind w:firstLine="482" w:firstLineChars="200"/>
        <w:jc w:val="center"/>
        <w:textAlignment w:val="auto"/>
        <w:rPr>
          <w:rFonts w:hint="eastAsia" w:asciiTheme="majorEastAsia" w:hAnsiTheme="majorEastAsia" w:eastAsiaTheme="majorEastAsia" w:cstheme="majorEastAsia"/>
          <w:b/>
          <w:color w:val="000000"/>
          <w:kern w:val="0"/>
          <w:sz w:val="24"/>
          <w:lang w:bidi="ar"/>
        </w:rPr>
      </w:pPr>
      <w:r>
        <w:rPr>
          <w:rFonts w:hint="eastAsia" w:asciiTheme="majorEastAsia" w:hAnsiTheme="majorEastAsia" w:eastAsiaTheme="majorEastAsia" w:cstheme="majorEastAsia"/>
          <w:b/>
          <w:color w:val="000000"/>
          <w:kern w:val="0"/>
          <w:sz w:val="24"/>
          <w:lang w:bidi="ar"/>
        </w:rPr>
        <w:t>其他要求：成交单位在签订合同前必须与采购人签订关于本项目的保密协议书。</w:t>
      </w:r>
    </w:p>
    <w:p>
      <w:pPr>
        <w:numPr>
          <w:ilvl w:val="0"/>
          <w:numId w:val="0"/>
        </w:numPr>
        <w:spacing w:line="500" w:lineRule="exact"/>
        <w:jc w:val="both"/>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hint="eastAsia" w:ascii="黑体" w:hAnsi="宋体" w:eastAsia="黑体"/>
          <w:b/>
          <w:sz w:val="44"/>
          <w:szCs w:val="44"/>
        </w:rPr>
      </w:pPr>
    </w:p>
    <w:p>
      <w:pPr>
        <w:numPr>
          <w:ilvl w:val="0"/>
          <w:numId w:val="0"/>
        </w:numPr>
        <w:spacing w:line="500" w:lineRule="exact"/>
        <w:jc w:val="center"/>
        <w:rPr>
          <w:rFonts w:ascii="黑体" w:hAnsi="宋体" w:eastAsia="黑体"/>
          <w:b/>
          <w:sz w:val="32"/>
          <w:szCs w:val="32"/>
        </w:rPr>
      </w:pPr>
      <w:bookmarkStart w:id="362" w:name="_GoBack"/>
      <w:bookmarkEnd w:id="362"/>
      <w:r>
        <w:rPr>
          <w:rFonts w:hint="eastAsia" w:ascii="黑体" w:hAnsi="宋体" w:eastAsia="黑体"/>
          <w:b/>
          <w:sz w:val="44"/>
          <w:szCs w:val="44"/>
        </w:rPr>
        <w:t>第三章  合同书（格式）</w:t>
      </w:r>
      <w:bookmarkEnd w:id="327"/>
    </w:p>
    <w:p>
      <w:pPr>
        <w:spacing w:line="400" w:lineRule="exact"/>
        <w:jc w:val="center"/>
        <w:rPr>
          <w:rFonts w:ascii="宋体" w:hAnsi="宋体"/>
          <w:b/>
          <w:bCs/>
          <w:szCs w:val="21"/>
        </w:rPr>
      </w:pPr>
    </w:p>
    <w:p>
      <w:pPr>
        <w:ind w:firstLine="344"/>
      </w:pPr>
    </w:p>
    <w:p>
      <w:pPr>
        <w:pStyle w:val="12"/>
        <w:spacing w:line="480" w:lineRule="auto"/>
        <w:jc w:val="center"/>
        <w:rPr>
          <w:rFonts w:ascii="Times New Roman" w:hAnsi="Times New Roman" w:eastAsia="仿宋_GB2312"/>
          <w:b/>
          <w:sz w:val="84"/>
          <w:szCs w:val="84"/>
        </w:rPr>
      </w:pPr>
    </w:p>
    <w:p>
      <w:pPr>
        <w:pStyle w:val="12"/>
        <w:spacing w:line="480" w:lineRule="auto"/>
        <w:jc w:val="center"/>
        <w:rPr>
          <w:rFonts w:ascii="Times New Roman" w:hAnsi="Times New Roman" w:eastAsia="仿宋_GB2312"/>
          <w:b/>
          <w:sz w:val="84"/>
          <w:szCs w:val="84"/>
        </w:rPr>
      </w:pPr>
      <w:r>
        <w:rPr>
          <w:rFonts w:hint="eastAsia" w:ascii="Times New Roman" w:hAnsi="Times New Roman" w:eastAsia="仿宋_GB2312"/>
          <w:b/>
          <w:sz w:val="84"/>
          <w:szCs w:val="84"/>
        </w:rPr>
        <w:t>政府采购合同书</w:t>
      </w:r>
    </w:p>
    <w:p>
      <w:pPr>
        <w:pStyle w:val="12"/>
        <w:spacing w:line="480" w:lineRule="auto"/>
        <w:jc w:val="center"/>
        <w:rPr>
          <w:rFonts w:ascii="Times New Roman" w:hAnsi="Times New Roman" w:eastAsia="仿宋_GB2312"/>
          <w:b/>
          <w:sz w:val="32"/>
        </w:rPr>
      </w:pPr>
    </w:p>
    <w:p>
      <w:pPr>
        <w:pStyle w:val="12"/>
        <w:spacing w:line="400" w:lineRule="exact"/>
        <w:jc w:val="center"/>
        <w:rPr>
          <w:rFonts w:ascii="Times New Roman" w:hAnsi="Times New Roman" w:eastAsia="仿宋_GB2312"/>
          <w:b/>
          <w:sz w:val="32"/>
        </w:rPr>
      </w:pPr>
    </w:p>
    <w:p>
      <w:pPr>
        <w:pStyle w:val="12"/>
        <w:spacing w:line="400" w:lineRule="exact"/>
        <w:jc w:val="center"/>
        <w:rPr>
          <w:rFonts w:ascii="Times New Roman" w:hAnsi="Times New Roman" w:eastAsia="仿宋_GB2312"/>
          <w:b/>
          <w:sz w:val="32"/>
        </w:rPr>
      </w:pPr>
    </w:p>
    <w:p>
      <w:pPr>
        <w:pStyle w:val="12"/>
        <w:spacing w:line="400" w:lineRule="exact"/>
        <w:jc w:val="center"/>
        <w:rPr>
          <w:rFonts w:ascii="Times New Roman" w:hAnsi="Times New Roman" w:eastAsia="仿宋_GB2312"/>
          <w:b/>
          <w:sz w:val="32"/>
        </w:rPr>
      </w:pPr>
    </w:p>
    <w:p>
      <w:pPr>
        <w:pStyle w:val="12"/>
        <w:spacing w:line="400" w:lineRule="exact"/>
        <w:jc w:val="center"/>
        <w:rPr>
          <w:rFonts w:ascii="Times New Roman" w:hAnsi="Times New Roman" w:eastAsia="仿宋_GB2312"/>
          <w:b/>
          <w:sz w:val="32"/>
        </w:rPr>
      </w:pPr>
    </w:p>
    <w:p>
      <w:pPr>
        <w:pStyle w:val="12"/>
        <w:spacing w:line="400" w:lineRule="exact"/>
        <w:jc w:val="center"/>
        <w:rPr>
          <w:rFonts w:ascii="Times New Roman" w:hAnsi="Times New Roman" w:eastAsia="仿宋_GB2312"/>
          <w:b/>
          <w:sz w:val="32"/>
        </w:rPr>
      </w:pPr>
    </w:p>
    <w:p>
      <w:pPr>
        <w:pStyle w:val="12"/>
        <w:spacing w:line="400" w:lineRule="exact"/>
        <w:jc w:val="center"/>
        <w:rPr>
          <w:rFonts w:ascii="Times New Roman" w:hAnsi="Times New Roman" w:eastAsia="仿宋_GB2312"/>
          <w:b/>
          <w:sz w:val="32"/>
        </w:rPr>
      </w:pPr>
      <w:r>
        <w:rPr>
          <w:rFonts w:hint="eastAsia" w:ascii="Times New Roman" w:hAnsi="Times New Roman" w:eastAsia="仿宋_GB2312"/>
          <w:b/>
          <w:sz w:val="32"/>
        </w:rPr>
        <w:t>合同名称：</w:t>
      </w:r>
      <w:r>
        <w:rPr>
          <w:rFonts w:hint="eastAsia" w:ascii="Times New Roman" w:hAnsi="Times New Roman" w:eastAsia="仿宋_GB2312"/>
          <w:b/>
          <w:sz w:val="32"/>
          <w:u w:val="single"/>
        </w:rPr>
        <w:t xml:space="preserve">　　　　　　　　    </w:t>
      </w:r>
    </w:p>
    <w:p>
      <w:pPr>
        <w:pStyle w:val="12"/>
        <w:spacing w:line="400" w:lineRule="exact"/>
        <w:jc w:val="center"/>
        <w:rPr>
          <w:rFonts w:ascii="Times New Roman" w:hAnsi="Times New Roman" w:eastAsia="仿宋_GB2312"/>
          <w:b/>
          <w:sz w:val="32"/>
        </w:rPr>
      </w:pPr>
      <w:r>
        <w:rPr>
          <w:rFonts w:hint="eastAsia" w:ascii="Times New Roman" w:hAnsi="Times New Roman" w:eastAsia="仿宋_GB2312"/>
          <w:b/>
          <w:sz w:val="32"/>
        </w:rPr>
        <w:t>项目编号：</w:t>
      </w:r>
      <w:r>
        <w:rPr>
          <w:rFonts w:hint="eastAsia" w:ascii="Times New Roman" w:hAnsi="Times New Roman" w:eastAsia="仿宋_GB2312"/>
          <w:b/>
          <w:sz w:val="32"/>
          <w:u w:val="single"/>
        </w:rPr>
        <w:t xml:space="preserve">　　　　　　　      </w:t>
      </w:r>
    </w:p>
    <w:p>
      <w:pPr>
        <w:pStyle w:val="12"/>
        <w:spacing w:line="400" w:lineRule="exact"/>
        <w:jc w:val="center"/>
        <w:rPr>
          <w:rFonts w:ascii="Times New Roman" w:hAnsi="Times New Roman" w:eastAsia="仿宋_GB2312"/>
          <w:b/>
          <w:sz w:val="32"/>
        </w:rPr>
      </w:pPr>
    </w:p>
    <w:p>
      <w:pPr>
        <w:pStyle w:val="12"/>
        <w:spacing w:line="400" w:lineRule="exact"/>
        <w:jc w:val="center"/>
        <w:rPr>
          <w:rFonts w:ascii="Times New Roman" w:hAnsi="Times New Roman" w:eastAsia="仿宋_GB2312"/>
          <w:b/>
          <w:sz w:val="32"/>
        </w:rPr>
      </w:pPr>
    </w:p>
    <w:p>
      <w:pPr>
        <w:pStyle w:val="12"/>
        <w:spacing w:line="400" w:lineRule="exact"/>
        <w:jc w:val="center"/>
        <w:rPr>
          <w:rFonts w:ascii="Times New Roman" w:hAnsi="Times New Roman" w:eastAsia="仿宋_GB2312"/>
          <w:b/>
          <w:sz w:val="32"/>
        </w:rPr>
      </w:pPr>
    </w:p>
    <w:p>
      <w:pPr>
        <w:pStyle w:val="12"/>
        <w:spacing w:line="400" w:lineRule="exact"/>
        <w:jc w:val="center"/>
        <w:rPr>
          <w:rFonts w:ascii="Times New Roman" w:hAnsi="Times New Roman" w:eastAsia="仿宋_GB2312"/>
          <w:b/>
          <w:sz w:val="32"/>
        </w:rPr>
      </w:pPr>
      <w:r>
        <w:rPr>
          <w:rFonts w:hint="eastAsia" w:ascii="Times New Roman" w:hAnsi="Times New Roman" w:eastAsia="仿宋_GB2312"/>
          <w:b/>
          <w:sz w:val="32"/>
        </w:rPr>
        <w:t>签订合同地点：</w:t>
      </w:r>
      <w:r>
        <w:rPr>
          <w:rFonts w:hint="eastAsia" w:ascii="Times New Roman" w:hAnsi="Times New Roman" w:eastAsia="仿宋_GB2312"/>
          <w:b/>
          <w:sz w:val="32"/>
          <w:u w:val="single"/>
        </w:rPr>
        <w:t>　　　　　　　　　</w:t>
      </w:r>
    </w:p>
    <w:p>
      <w:pPr>
        <w:pStyle w:val="12"/>
        <w:spacing w:line="400" w:lineRule="exact"/>
        <w:jc w:val="center"/>
        <w:rPr>
          <w:rFonts w:ascii="Times New Roman" w:hAnsi="Times New Roman" w:eastAsia="仿宋_GB2312"/>
          <w:b/>
          <w:sz w:val="32"/>
        </w:rPr>
      </w:pPr>
      <w:r>
        <w:rPr>
          <w:rFonts w:hint="eastAsia" w:ascii="Times New Roman" w:hAnsi="Times New Roman" w:eastAsia="仿宋_GB2312"/>
          <w:b/>
          <w:sz w:val="32"/>
        </w:rPr>
        <w:t>签订合同时间：</w:t>
      </w:r>
      <w:r>
        <w:rPr>
          <w:rFonts w:hint="eastAsia" w:ascii="Times New Roman" w:hAnsi="Times New Roman" w:eastAsia="仿宋_GB2312"/>
          <w:b/>
          <w:sz w:val="32"/>
          <w:u w:val="single"/>
        </w:rPr>
        <w:t>　　　　　　　　　</w:t>
      </w:r>
    </w:p>
    <w:p>
      <w:pPr>
        <w:pStyle w:val="12"/>
        <w:spacing w:line="400" w:lineRule="exact"/>
        <w:jc w:val="center"/>
        <w:rPr>
          <w:rFonts w:ascii="Times New Roman" w:hAnsi="Times New Roman" w:eastAsia="仿宋_GB2312"/>
          <w:b/>
          <w:sz w:val="32"/>
        </w:rPr>
      </w:pPr>
    </w:p>
    <w:p>
      <w:pPr>
        <w:pStyle w:val="12"/>
        <w:spacing w:line="400" w:lineRule="exact"/>
        <w:jc w:val="center"/>
        <w:rPr>
          <w:rFonts w:ascii="Times New Roman" w:hAnsi="Times New Roman" w:eastAsia="仿宋_GB2312"/>
          <w:b/>
          <w:sz w:val="32"/>
        </w:rPr>
      </w:pPr>
    </w:p>
    <w:p>
      <w:pPr>
        <w:pStyle w:val="12"/>
        <w:spacing w:line="400" w:lineRule="exact"/>
        <w:jc w:val="center"/>
        <w:rPr>
          <w:rFonts w:ascii="Times New Roman" w:hAnsi="Times New Roman" w:eastAsia="仿宋_GB2312"/>
          <w:b/>
          <w:sz w:val="32"/>
        </w:rPr>
      </w:pPr>
    </w:p>
    <w:p>
      <w:pPr>
        <w:widowControl/>
        <w:spacing w:line="400" w:lineRule="exact"/>
        <w:rPr>
          <w:rFonts w:eastAsia="仿宋_GB2312" w:cs="宋体"/>
          <w:szCs w:val="21"/>
        </w:rPr>
      </w:pPr>
    </w:p>
    <w:p>
      <w:pPr>
        <w:spacing w:line="360" w:lineRule="auto"/>
        <w:jc w:val="center"/>
        <w:rPr>
          <w:rFonts w:eastAsia="仿宋_GB2312" w:cs="宋体"/>
          <w:szCs w:val="21"/>
        </w:rPr>
      </w:pPr>
      <w:r>
        <w:rPr>
          <w:rFonts w:eastAsia="仿宋_GB2312" w:cs="宋体"/>
          <w:szCs w:val="21"/>
        </w:rPr>
        <w:br w:type="page"/>
      </w:r>
    </w:p>
    <w:p>
      <w:pPr>
        <w:spacing w:line="360" w:lineRule="auto"/>
        <w:jc w:val="center"/>
        <w:rPr>
          <w:rFonts w:ascii="宋体" w:hAnsi="宋体"/>
          <w:b/>
          <w:bCs/>
          <w:sz w:val="30"/>
          <w:szCs w:val="30"/>
        </w:rPr>
      </w:pPr>
      <w:r>
        <w:rPr>
          <w:rFonts w:hint="eastAsia" w:ascii="仿宋_GB2312" w:hAnsi="宋体" w:eastAsia="仿宋_GB2312"/>
          <w:b/>
          <w:bCs/>
          <w:sz w:val="32"/>
          <w:szCs w:val="32"/>
        </w:rPr>
        <w:t xml:space="preserve">     </w:t>
      </w:r>
      <w:r>
        <w:rPr>
          <w:rFonts w:hint="eastAsia"/>
          <w:b/>
          <w:sz w:val="30"/>
          <w:szCs w:val="30"/>
        </w:rPr>
        <w:t>政府采购合同书</w:t>
      </w:r>
    </w:p>
    <w:p>
      <w:pPr>
        <w:pStyle w:val="12"/>
        <w:spacing w:line="360" w:lineRule="auto"/>
        <w:rPr>
          <w:rFonts w:hAnsi="宋体"/>
        </w:rPr>
      </w:pPr>
    </w:p>
    <w:p>
      <w:pPr>
        <w:pStyle w:val="12"/>
        <w:spacing w:line="360" w:lineRule="auto"/>
        <w:rPr>
          <w:rFonts w:hAnsi="宋体"/>
        </w:rPr>
      </w:pPr>
      <w:r>
        <w:rPr>
          <w:rFonts w:hint="eastAsia" w:hAnsi="宋体"/>
        </w:rPr>
        <w:t>项目名称：</w:t>
      </w:r>
      <w:r>
        <w:rPr>
          <w:rFonts w:hint="eastAsia" w:hAnsi="宋体"/>
          <w:u w:val="single"/>
        </w:rPr>
        <w:t xml:space="preserve">                                        </w:t>
      </w:r>
    </w:p>
    <w:p>
      <w:pPr>
        <w:pStyle w:val="12"/>
        <w:spacing w:line="360" w:lineRule="auto"/>
        <w:rPr>
          <w:rFonts w:hAnsi="宋体"/>
        </w:rPr>
      </w:pPr>
      <w:r>
        <w:rPr>
          <w:rFonts w:hint="eastAsia" w:hAnsi="宋体"/>
        </w:rPr>
        <w:t>项目编号：</w:t>
      </w:r>
      <w:r>
        <w:rPr>
          <w:rFonts w:hint="eastAsia" w:hAnsi="宋体"/>
          <w:u w:val="single"/>
        </w:rPr>
        <w:t xml:space="preserve">                                          </w:t>
      </w:r>
    </w:p>
    <w:p>
      <w:pPr>
        <w:pStyle w:val="12"/>
        <w:spacing w:line="360" w:lineRule="auto"/>
        <w:rPr>
          <w:rFonts w:hAnsi="宋体"/>
        </w:rPr>
      </w:pPr>
    </w:p>
    <w:p>
      <w:pPr>
        <w:pStyle w:val="12"/>
        <w:spacing w:line="360" w:lineRule="auto"/>
        <w:rPr>
          <w:rFonts w:hAnsi="宋体"/>
        </w:rPr>
      </w:pPr>
      <w:r>
        <w:rPr>
          <w:rFonts w:hint="eastAsia" w:hAnsi="宋体"/>
        </w:rPr>
        <w:t>甲方：</w:t>
      </w:r>
      <w:r>
        <w:rPr>
          <w:rFonts w:hint="eastAsia" w:hAnsi="宋体"/>
          <w:u w:val="single"/>
        </w:rPr>
        <w:t xml:space="preserve">                                     </w:t>
      </w:r>
    </w:p>
    <w:p>
      <w:pPr>
        <w:pStyle w:val="12"/>
        <w:spacing w:line="360" w:lineRule="auto"/>
        <w:rPr>
          <w:rFonts w:hAnsi="宋体"/>
        </w:rPr>
      </w:pPr>
      <w:r>
        <w:rPr>
          <w:rFonts w:hint="eastAsia" w:hAnsi="宋体"/>
        </w:rPr>
        <w:t>乙方：</w:t>
      </w:r>
      <w:r>
        <w:rPr>
          <w:rFonts w:hint="eastAsia" w:hAnsi="宋体"/>
          <w:u w:val="single"/>
        </w:rPr>
        <w:t xml:space="preserve">                                     </w:t>
      </w:r>
    </w:p>
    <w:p>
      <w:pPr>
        <w:pStyle w:val="12"/>
        <w:spacing w:line="360" w:lineRule="auto"/>
        <w:rPr>
          <w:rFonts w:hAnsi="宋体"/>
          <w:b/>
        </w:rPr>
      </w:pPr>
      <w:r>
        <w:rPr>
          <w:rFonts w:hint="eastAsia" w:hAnsi="宋体"/>
          <w:b/>
        </w:rPr>
        <w:t xml:space="preserve">    </w:t>
      </w:r>
    </w:p>
    <w:p>
      <w:pPr>
        <w:pStyle w:val="12"/>
        <w:spacing w:line="360" w:lineRule="auto"/>
        <w:ind w:firstLine="420" w:firstLineChars="200"/>
        <w:rPr>
          <w:rFonts w:hAnsi="宋体"/>
          <w:b/>
        </w:rPr>
      </w:pPr>
      <w:r>
        <w:rPr>
          <w:rFonts w:hint="eastAsia" w:hAnsi="宋体"/>
        </w:rPr>
        <w:t>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r>
        <w:rPr>
          <w:rFonts w:hint="eastAsia" w:hAnsi="宋体"/>
          <w:u w:val="single"/>
        </w:rPr>
        <w:t xml:space="preserve">              </w:t>
      </w:r>
      <w:r>
        <w:rPr>
          <w:rFonts w:hint="eastAsia" w:hAnsi="宋体"/>
        </w:rPr>
        <w:t>项目的采购结果，甲方接受乙方对本项目的磋商，甲、乙双方同意签署本合同（以下简称合同）。</w:t>
      </w:r>
    </w:p>
    <w:p>
      <w:pPr>
        <w:pStyle w:val="12"/>
        <w:spacing w:line="360" w:lineRule="auto"/>
        <w:rPr>
          <w:rFonts w:hAnsi="宋体"/>
          <w:b/>
        </w:rPr>
      </w:pPr>
    </w:p>
    <w:p>
      <w:pPr>
        <w:pStyle w:val="12"/>
        <w:spacing w:line="360" w:lineRule="auto"/>
        <w:rPr>
          <w:rFonts w:hAnsi="宋体"/>
          <w:b/>
          <w:bCs/>
          <w:sz w:val="24"/>
        </w:rPr>
      </w:pPr>
      <w:r>
        <w:rPr>
          <w:rFonts w:hint="eastAsia" w:hAnsi="宋体"/>
          <w:b/>
          <w:bCs/>
          <w:sz w:val="24"/>
        </w:rPr>
        <w:t>1.  采购内容</w:t>
      </w:r>
    </w:p>
    <w:p>
      <w:pPr>
        <w:pStyle w:val="12"/>
        <w:tabs>
          <w:tab w:val="left" w:pos="5220"/>
        </w:tabs>
        <w:spacing w:line="360" w:lineRule="auto"/>
        <w:ind w:firstLine="420" w:firstLineChars="200"/>
        <w:rPr>
          <w:rFonts w:hAnsi="宋体"/>
          <w:u w:val="single"/>
        </w:rPr>
      </w:pPr>
      <w:r>
        <w:rPr>
          <w:rFonts w:hint="eastAsia" w:hAnsi="宋体"/>
        </w:rPr>
        <w:t>1.1 服务名称：</w:t>
      </w:r>
      <w:r>
        <w:rPr>
          <w:rFonts w:hint="eastAsia" w:hAnsi="宋体"/>
          <w:u w:val="single"/>
        </w:rPr>
        <w:t xml:space="preserve">                        </w:t>
      </w:r>
    </w:p>
    <w:p>
      <w:pPr>
        <w:pStyle w:val="12"/>
        <w:tabs>
          <w:tab w:val="left" w:pos="5220"/>
        </w:tabs>
        <w:spacing w:line="360" w:lineRule="auto"/>
        <w:ind w:firstLine="420" w:firstLineChars="200"/>
        <w:rPr>
          <w:rFonts w:hAnsi="宋体"/>
        </w:rPr>
      </w:pPr>
      <w:r>
        <w:rPr>
          <w:rFonts w:hint="eastAsia" w:hAnsi="宋体"/>
        </w:rPr>
        <w:t>1.2 数量：</w:t>
      </w:r>
      <w:r>
        <w:rPr>
          <w:rFonts w:hint="eastAsia" w:hAnsi="宋体"/>
          <w:u w:val="single"/>
        </w:rPr>
        <w:t xml:space="preserve">                             </w:t>
      </w:r>
    </w:p>
    <w:p>
      <w:pPr>
        <w:pStyle w:val="12"/>
        <w:tabs>
          <w:tab w:val="left" w:pos="5220"/>
        </w:tabs>
        <w:spacing w:line="360" w:lineRule="auto"/>
        <w:ind w:firstLine="420" w:firstLineChars="200"/>
        <w:rPr>
          <w:rFonts w:hAnsi="宋体"/>
        </w:rPr>
      </w:pPr>
      <w:r>
        <w:rPr>
          <w:rFonts w:hint="eastAsia" w:hAnsi="宋体"/>
        </w:rPr>
        <w:t xml:space="preserve">1.2 </w:t>
      </w:r>
      <w:r>
        <w:rPr>
          <w:rFonts w:hint="eastAsia" w:ascii="Times New Roman" w:hAnsi="Times New Roman"/>
        </w:rPr>
        <w:t>技术参数：</w:t>
      </w:r>
      <w:r>
        <w:rPr>
          <w:rFonts w:hint="eastAsia" w:hAnsi="宋体"/>
          <w:u w:val="single"/>
        </w:rPr>
        <w:t xml:space="preserve">                             </w:t>
      </w:r>
    </w:p>
    <w:p>
      <w:pPr>
        <w:pStyle w:val="12"/>
        <w:tabs>
          <w:tab w:val="left" w:pos="5145"/>
        </w:tabs>
        <w:spacing w:line="360" w:lineRule="auto"/>
        <w:rPr>
          <w:rFonts w:hAnsi="宋体"/>
          <w:b/>
          <w:bCs/>
          <w:sz w:val="24"/>
        </w:rPr>
      </w:pPr>
      <w:r>
        <w:rPr>
          <w:rFonts w:hint="eastAsia" w:hAnsi="宋体"/>
          <w:b/>
          <w:bCs/>
          <w:sz w:val="24"/>
        </w:rPr>
        <w:t>2.  合同金额</w:t>
      </w:r>
    </w:p>
    <w:p>
      <w:pPr>
        <w:pStyle w:val="12"/>
        <w:spacing w:line="360" w:lineRule="auto"/>
        <w:ind w:firstLine="411" w:firstLineChars="196"/>
        <w:rPr>
          <w:rFonts w:hAnsi="宋体"/>
          <w:b/>
          <w:bCs/>
          <w:sz w:val="24"/>
        </w:rPr>
      </w:pPr>
      <w:r>
        <w:rPr>
          <w:rFonts w:hint="eastAsia" w:hAnsi="宋体"/>
        </w:rPr>
        <w:t>2.1 本合同金额为（大写）人民币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w:t>
      </w:r>
    </w:p>
    <w:p>
      <w:pPr>
        <w:pStyle w:val="12"/>
        <w:tabs>
          <w:tab w:val="left" w:pos="5940"/>
        </w:tabs>
        <w:spacing w:line="360" w:lineRule="auto"/>
        <w:rPr>
          <w:rFonts w:hAnsi="宋体"/>
          <w:b/>
          <w:bCs/>
          <w:sz w:val="24"/>
        </w:rPr>
      </w:pPr>
      <w:r>
        <w:rPr>
          <w:rFonts w:hint="eastAsia" w:hAnsi="宋体"/>
          <w:b/>
          <w:bCs/>
          <w:sz w:val="24"/>
        </w:rPr>
        <w:t>3.  提交服务成果时间和地点</w:t>
      </w:r>
    </w:p>
    <w:p>
      <w:pPr>
        <w:pStyle w:val="12"/>
        <w:tabs>
          <w:tab w:val="left" w:pos="5250"/>
          <w:tab w:val="left" w:pos="5940"/>
        </w:tabs>
        <w:spacing w:line="360" w:lineRule="auto"/>
        <w:ind w:firstLine="411" w:firstLineChars="196"/>
        <w:rPr>
          <w:rFonts w:hAnsi="宋体"/>
          <w:b/>
          <w:bCs/>
          <w:sz w:val="24"/>
        </w:rPr>
      </w:pPr>
      <w:r>
        <w:rPr>
          <w:rFonts w:hint="eastAsia" w:hAnsi="宋体"/>
          <w:bCs/>
        </w:rPr>
        <w:t xml:space="preserve">3.1 </w:t>
      </w:r>
      <w:r>
        <w:rPr>
          <w:rFonts w:hint="eastAsia"/>
          <w:bCs/>
        </w:rPr>
        <w:t>提交服务成果时间</w:t>
      </w:r>
      <w:r>
        <w:rPr>
          <w:rFonts w:hint="eastAsia" w:hAnsi="宋体"/>
          <w:bCs/>
        </w:rPr>
        <w:t>：</w:t>
      </w:r>
      <w:r>
        <w:rPr>
          <w:rFonts w:hint="eastAsia" w:hAnsi="宋体"/>
          <w:u w:val="single"/>
        </w:rPr>
        <w:t xml:space="preserve">                       </w:t>
      </w:r>
    </w:p>
    <w:p>
      <w:pPr>
        <w:pStyle w:val="12"/>
        <w:tabs>
          <w:tab w:val="left" w:pos="5940"/>
        </w:tabs>
        <w:spacing w:line="360" w:lineRule="auto"/>
        <w:ind w:firstLine="411" w:firstLineChars="196"/>
        <w:rPr>
          <w:rFonts w:hAnsi="宋体"/>
          <w:b/>
          <w:bCs/>
          <w:sz w:val="24"/>
        </w:rPr>
      </w:pPr>
      <w:r>
        <w:rPr>
          <w:rFonts w:hint="eastAsia" w:hAnsi="宋体"/>
          <w:bCs/>
        </w:rPr>
        <w:t xml:space="preserve">3.2 </w:t>
      </w:r>
      <w:r>
        <w:rPr>
          <w:rFonts w:hint="eastAsia"/>
          <w:bCs/>
        </w:rPr>
        <w:t>提交服务成果</w:t>
      </w:r>
      <w:r>
        <w:rPr>
          <w:rFonts w:hint="eastAsia" w:hAnsi="宋体"/>
          <w:bCs/>
        </w:rPr>
        <w:t>地点：</w:t>
      </w:r>
      <w:r>
        <w:rPr>
          <w:rFonts w:hint="eastAsia" w:hAnsi="宋体"/>
          <w:u w:val="single"/>
        </w:rPr>
        <w:t xml:space="preserve">  广西壮族自治区贺州市  </w:t>
      </w:r>
    </w:p>
    <w:p>
      <w:pPr>
        <w:pStyle w:val="12"/>
        <w:tabs>
          <w:tab w:val="left" w:pos="5940"/>
        </w:tabs>
        <w:spacing w:line="360" w:lineRule="auto"/>
        <w:ind w:firstLine="411" w:firstLineChars="196"/>
        <w:rPr>
          <w:rFonts w:hAnsi="宋体"/>
          <w:b/>
          <w:bCs/>
          <w:sz w:val="24"/>
        </w:rPr>
      </w:pPr>
      <w:r>
        <w:rPr>
          <w:rFonts w:hint="eastAsia" w:hAnsi="宋体"/>
          <w:bCs/>
        </w:rPr>
        <w:t xml:space="preserve">3.3 </w:t>
      </w:r>
      <w:r>
        <w:rPr>
          <w:rFonts w:hint="eastAsia" w:hAnsi="宋体"/>
        </w:rPr>
        <w:t>乙方必须按响应文件承诺的服务响应条款向甲方提供服务。</w:t>
      </w:r>
    </w:p>
    <w:p>
      <w:pPr>
        <w:pStyle w:val="12"/>
        <w:spacing w:line="360" w:lineRule="auto"/>
        <w:ind w:left="410" w:hanging="410" w:hangingChars="170"/>
        <w:rPr>
          <w:rFonts w:hAnsi="宋体"/>
          <w:b/>
        </w:rPr>
      </w:pPr>
      <w:r>
        <w:rPr>
          <w:rFonts w:hint="eastAsia" w:hAnsi="宋体"/>
          <w:b/>
          <w:bCs/>
          <w:sz w:val="24"/>
        </w:rPr>
        <w:t>4.  履约保证金</w:t>
      </w:r>
    </w:p>
    <w:p>
      <w:pPr>
        <w:pStyle w:val="12"/>
        <w:tabs>
          <w:tab w:val="left" w:pos="5145"/>
        </w:tabs>
        <w:spacing w:line="360" w:lineRule="auto"/>
        <w:ind w:firstLine="420" w:firstLineChars="200"/>
        <w:rPr>
          <w:rFonts w:hAnsi="宋体"/>
          <w:b/>
        </w:rPr>
      </w:pPr>
      <w:r>
        <w:rPr>
          <w:rFonts w:hint="eastAsia" w:hAnsi="宋体"/>
        </w:rPr>
        <w:t>4.1 乙方交纳（大写）人民币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元）作为本合同的履约保证金。</w:t>
      </w:r>
    </w:p>
    <w:p>
      <w:pPr>
        <w:pStyle w:val="12"/>
        <w:spacing w:line="360" w:lineRule="auto"/>
        <w:ind w:firstLine="420" w:firstLineChars="200"/>
        <w:rPr>
          <w:rFonts w:hAnsi="宋体"/>
        </w:rPr>
      </w:pPr>
      <w:r>
        <w:rPr>
          <w:rFonts w:hint="eastAsia" w:hAnsi="宋体"/>
        </w:rPr>
        <w:t>4.2 履约保证金作为违约金的一部分用于补偿甲方因乙方不能完成其合同义务而蒙受的损失。</w:t>
      </w:r>
    </w:p>
    <w:p>
      <w:pPr>
        <w:pStyle w:val="12"/>
        <w:spacing w:line="360" w:lineRule="auto"/>
        <w:ind w:left="412" w:hanging="412" w:hangingChars="171"/>
        <w:rPr>
          <w:rFonts w:hAnsi="宋体"/>
          <w:b/>
        </w:rPr>
      </w:pPr>
      <w:r>
        <w:rPr>
          <w:rFonts w:hint="eastAsia" w:hAnsi="宋体"/>
          <w:b/>
          <w:bCs/>
          <w:sz w:val="24"/>
        </w:rPr>
        <w:t>5.  产权</w:t>
      </w:r>
    </w:p>
    <w:p>
      <w:pPr>
        <w:pStyle w:val="12"/>
        <w:spacing w:line="360" w:lineRule="auto"/>
        <w:ind w:firstLine="420" w:firstLineChars="200"/>
        <w:rPr>
          <w:rFonts w:hAnsi="宋体"/>
          <w:b/>
        </w:rPr>
      </w:pPr>
      <w:r>
        <w:rPr>
          <w:rFonts w:hint="eastAsia" w:hAnsi="宋体"/>
        </w:rPr>
        <w:t xml:space="preserve">5.1 </w:t>
      </w:r>
      <w:r>
        <w:rPr>
          <w:rFonts w:hint="eastAsia" w:ascii="Times New Roman" w:hAnsi="Times New Roman"/>
        </w:rPr>
        <w:t>乙方应保证所提供的服务或其任何一部分均不会侵犯任何第三方的专利权、商标权或著作权</w:t>
      </w:r>
      <w:r>
        <w:rPr>
          <w:rFonts w:hint="eastAsia" w:hAnsi="宋体"/>
          <w:bCs/>
        </w:rPr>
        <w:t>。</w:t>
      </w:r>
    </w:p>
    <w:p>
      <w:pPr>
        <w:pStyle w:val="12"/>
        <w:spacing w:line="360" w:lineRule="auto"/>
        <w:ind w:firstLine="420" w:firstLineChars="200"/>
        <w:rPr>
          <w:rFonts w:hAnsi="宋体"/>
          <w:b/>
        </w:rPr>
      </w:pPr>
      <w:r>
        <w:rPr>
          <w:rFonts w:hint="eastAsia" w:hAnsi="宋体"/>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2"/>
        <w:spacing w:line="360" w:lineRule="auto"/>
        <w:rPr>
          <w:rFonts w:hAnsi="宋体"/>
          <w:b/>
        </w:rPr>
      </w:pPr>
      <w:r>
        <w:rPr>
          <w:rFonts w:hint="eastAsia" w:hAnsi="宋体"/>
          <w:b/>
          <w:bCs/>
          <w:sz w:val="24"/>
        </w:rPr>
        <w:t>6.  技术资料</w:t>
      </w:r>
    </w:p>
    <w:p>
      <w:pPr>
        <w:pStyle w:val="12"/>
        <w:tabs>
          <w:tab w:val="left" w:pos="0"/>
        </w:tabs>
        <w:spacing w:line="360" w:lineRule="auto"/>
        <w:ind w:firstLine="420" w:firstLineChars="200"/>
        <w:rPr>
          <w:rFonts w:hAnsi="宋体"/>
        </w:rPr>
      </w:pPr>
      <w:r>
        <w:rPr>
          <w:rFonts w:hint="eastAsia" w:hAnsi="宋体"/>
        </w:rPr>
        <w:t>6.1 甲方应向乙方提供提交服务成果所必需的有关数据、资料等。</w:t>
      </w:r>
    </w:p>
    <w:p>
      <w:pPr>
        <w:pStyle w:val="12"/>
        <w:tabs>
          <w:tab w:val="left" w:pos="0"/>
        </w:tabs>
        <w:spacing w:line="360" w:lineRule="auto"/>
        <w:ind w:firstLine="420" w:firstLineChars="200"/>
        <w:rPr>
          <w:rFonts w:hAnsi="宋体"/>
        </w:rPr>
      </w:pPr>
      <w:r>
        <w:rPr>
          <w:rFonts w:hint="eastAsia" w:hAnsi="宋体"/>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pacing w:line="360" w:lineRule="auto"/>
        <w:rPr>
          <w:rFonts w:hAnsi="宋体"/>
          <w:b/>
          <w:bCs/>
          <w:sz w:val="24"/>
        </w:rPr>
      </w:pPr>
      <w:r>
        <w:rPr>
          <w:rFonts w:hint="eastAsia" w:hAnsi="宋体"/>
          <w:b/>
          <w:bCs/>
          <w:sz w:val="24"/>
        </w:rPr>
        <w:t>7.  验收</w:t>
      </w:r>
    </w:p>
    <w:p>
      <w:pPr>
        <w:pStyle w:val="12"/>
        <w:tabs>
          <w:tab w:val="left" w:pos="0"/>
        </w:tabs>
        <w:spacing w:line="360" w:lineRule="auto"/>
        <w:ind w:firstLine="420" w:firstLineChars="200"/>
        <w:rPr>
          <w:rFonts w:hAnsi="宋体"/>
        </w:rPr>
      </w:pPr>
      <w:r>
        <w:rPr>
          <w:rFonts w:hint="eastAsia" w:hAnsi="宋体"/>
        </w:rPr>
        <w:t>7.1 乙方应对提交的服务成果作出全面检查和整理，并列出清单，作为甲方验收和使用的技术条件依据，清单应随提交的服务成果交给甲方。</w:t>
      </w:r>
    </w:p>
    <w:p>
      <w:pPr>
        <w:pStyle w:val="12"/>
        <w:tabs>
          <w:tab w:val="left" w:pos="0"/>
        </w:tabs>
        <w:spacing w:line="360" w:lineRule="auto"/>
        <w:ind w:firstLine="420" w:firstLineChars="200"/>
        <w:rPr>
          <w:rFonts w:hAnsi="宋体"/>
        </w:rPr>
      </w:pPr>
      <w:r>
        <w:rPr>
          <w:rFonts w:hint="eastAsia" w:hAnsi="宋体"/>
        </w:rPr>
        <w:t>7.2 乙方在指定地点提交服务成果后，甲方应在五个工作日内依据竞争性磋商采购文件、乙方的响应文件等组织验收，验收完毕后作出书面验收报告。验收时乙方必须在现场。</w:t>
      </w:r>
    </w:p>
    <w:p>
      <w:pPr>
        <w:pStyle w:val="12"/>
        <w:tabs>
          <w:tab w:val="left" w:pos="0"/>
        </w:tabs>
        <w:spacing w:line="360" w:lineRule="auto"/>
        <w:ind w:firstLine="420" w:firstLineChars="200"/>
        <w:rPr>
          <w:rFonts w:hAnsi="宋体"/>
        </w:rPr>
      </w:pPr>
      <w:r>
        <w:rPr>
          <w:rFonts w:hint="eastAsia" w:hAnsi="宋体"/>
        </w:rPr>
        <w:t>7.3 对复杂的服务，甲方可请国家认可的专业机构参与验收，并由其出具验收报告，相关费用由甲方承担。</w:t>
      </w:r>
    </w:p>
    <w:p>
      <w:pPr>
        <w:pStyle w:val="12"/>
        <w:spacing w:line="360" w:lineRule="auto"/>
        <w:rPr>
          <w:rFonts w:hAnsi="宋体"/>
          <w:b/>
          <w:bCs/>
          <w:sz w:val="24"/>
        </w:rPr>
      </w:pPr>
      <w:r>
        <w:rPr>
          <w:rFonts w:hint="eastAsia" w:hAnsi="宋体"/>
          <w:b/>
          <w:bCs/>
          <w:sz w:val="24"/>
        </w:rPr>
        <w:t>8.  合同款支付</w:t>
      </w:r>
    </w:p>
    <w:p>
      <w:pPr>
        <w:pStyle w:val="12"/>
        <w:snapToGrid w:val="0"/>
        <w:spacing w:line="480" w:lineRule="exact"/>
        <w:ind w:firstLine="420" w:firstLineChars="200"/>
        <w:rPr>
          <w:rFonts w:hAnsi="宋体"/>
          <w:bCs/>
        </w:rPr>
      </w:pPr>
      <w:r>
        <w:rPr>
          <w:rFonts w:hint="eastAsia" w:hAnsi="宋体"/>
          <w:bCs/>
        </w:rPr>
        <w:t>8.1 付款方式：</w:t>
      </w:r>
    </w:p>
    <w:p>
      <w:pPr>
        <w:pStyle w:val="12"/>
        <w:tabs>
          <w:tab w:val="left" w:pos="0"/>
        </w:tabs>
        <w:spacing w:line="360" w:lineRule="auto"/>
        <w:ind w:firstLine="420" w:firstLineChars="200"/>
        <w:rPr>
          <w:rFonts w:hAnsi="宋体"/>
        </w:rPr>
      </w:pPr>
      <w:r>
        <w:rPr>
          <w:rFonts w:hint="eastAsia" w:hAnsi="宋体" w:cs="宋体"/>
          <w:kern w:val="0"/>
        </w:rPr>
        <w:t>项目完毕并验收合格后15个工作日内一次性付清全部合同价款（无息）。</w:t>
      </w:r>
    </w:p>
    <w:p>
      <w:pPr>
        <w:pStyle w:val="12"/>
        <w:tabs>
          <w:tab w:val="left" w:pos="0"/>
        </w:tabs>
        <w:spacing w:line="360" w:lineRule="auto"/>
        <w:ind w:firstLine="420" w:firstLineChars="200"/>
        <w:rPr>
          <w:rFonts w:hAnsi="宋体"/>
        </w:rPr>
      </w:pPr>
      <w:r>
        <w:rPr>
          <w:rFonts w:hint="eastAsia" w:hAnsi="宋体"/>
        </w:rPr>
        <w:t>8.2 支付合同款时，由甲方按照合同约定向贺州市财政局提交《贺州市政府采购履约验收证明和资金支付申请表》等完整且合格的支付申请材料；贺州市财政局按财政国库直接支付程序将款项直接支付给供应商。</w:t>
      </w:r>
    </w:p>
    <w:p>
      <w:pPr>
        <w:pStyle w:val="12"/>
        <w:tabs>
          <w:tab w:val="left" w:pos="5145"/>
          <w:tab w:val="left" w:pos="5355"/>
          <w:tab w:val="left" w:pos="6195"/>
        </w:tabs>
        <w:spacing w:line="360" w:lineRule="auto"/>
        <w:ind w:firstLine="420" w:firstLineChars="200"/>
        <w:rPr>
          <w:rFonts w:hAnsi="宋体"/>
          <w:bCs/>
          <w:u w:val="single"/>
        </w:rPr>
      </w:pPr>
      <w:r>
        <w:rPr>
          <w:rFonts w:hint="eastAsia" w:hAnsi="宋体"/>
        </w:rPr>
        <w:t>8.3 政府采购监督管理部门在处理投诉事项期间，可以视具体情况书面通知采购人暂停采购活动</w:t>
      </w:r>
      <w:r>
        <w:rPr>
          <w:rFonts w:hint="eastAsia" w:hAnsi="宋体"/>
          <w:bCs/>
        </w:rPr>
        <w:t>，并延期支付合同款。</w:t>
      </w:r>
    </w:p>
    <w:p>
      <w:pPr>
        <w:pStyle w:val="12"/>
        <w:spacing w:line="360" w:lineRule="auto"/>
        <w:rPr>
          <w:rFonts w:hAnsi="宋体"/>
          <w:b/>
          <w:bCs/>
          <w:sz w:val="24"/>
        </w:rPr>
      </w:pPr>
      <w:r>
        <w:rPr>
          <w:rFonts w:hint="eastAsia" w:hAnsi="宋体"/>
          <w:b/>
          <w:bCs/>
          <w:sz w:val="24"/>
        </w:rPr>
        <w:t>9.  售后服务要求</w:t>
      </w:r>
    </w:p>
    <w:p>
      <w:pPr>
        <w:pStyle w:val="12"/>
        <w:spacing w:line="360" w:lineRule="auto"/>
        <w:ind w:firstLine="420" w:firstLineChars="200"/>
        <w:rPr>
          <w:rFonts w:hAnsi="宋体"/>
        </w:rPr>
      </w:pPr>
      <w:r>
        <w:rPr>
          <w:rFonts w:hint="eastAsia" w:hAnsi="宋体"/>
        </w:rPr>
        <w:t>9.1 乙方提供服务的质量保证期为：</w:t>
      </w:r>
      <w:r>
        <w:rPr>
          <w:rFonts w:hint="eastAsia" w:hAnsi="宋体"/>
          <w:u w:val="single"/>
        </w:rPr>
        <w:t xml:space="preserve">　　　　　　   </w:t>
      </w:r>
      <w:r>
        <w:rPr>
          <w:rFonts w:hint="eastAsia" w:hAnsi="宋体"/>
        </w:rPr>
        <w:t>（自提交服务验收合格之日起计）</w:t>
      </w:r>
    </w:p>
    <w:p>
      <w:pPr>
        <w:pStyle w:val="12"/>
        <w:spacing w:line="360" w:lineRule="auto"/>
        <w:ind w:firstLine="420" w:firstLineChars="200"/>
        <w:rPr>
          <w:rFonts w:hAnsi="宋体"/>
        </w:rPr>
      </w:pPr>
      <w:r>
        <w:rPr>
          <w:rFonts w:hint="eastAsia" w:hAnsi="宋体"/>
        </w:rPr>
        <w:t>9.2 质量保证金为（大写）人民币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元）。（履约保证金在成交供应商按合同约定所提交的服务验收合格后自行转为质保金。）</w:t>
      </w:r>
    </w:p>
    <w:p>
      <w:pPr>
        <w:pStyle w:val="12"/>
        <w:spacing w:line="360" w:lineRule="auto"/>
        <w:ind w:firstLine="420" w:firstLineChars="200"/>
        <w:rPr>
          <w:rFonts w:hAnsi="宋体"/>
        </w:rPr>
      </w:pPr>
      <w:r>
        <w:rPr>
          <w:rFonts w:hint="eastAsia" w:hAnsi="宋体"/>
        </w:rPr>
        <w:t>9.3 在本合同第9.1项约定的质量保证期内，乙方提供的服务符合合同约定的，待质保期满后由甲方申请将质量保证金无息退还给乙方。</w:t>
      </w:r>
    </w:p>
    <w:p>
      <w:pPr>
        <w:pStyle w:val="12"/>
        <w:spacing w:line="360" w:lineRule="auto"/>
        <w:ind w:firstLine="420" w:firstLineChars="200"/>
        <w:rPr>
          <w:rFonts w:hAnsi="宋体"/>
        </w:rPr>
      </w:pPr>
      <w:r>
        <w:rPr>
          <w:rFonts w:hint="eastAsia" w:hAnsi="宋体"/>
        </w:rPr>
        <w:t>9.4 在本合同第9.1项约定的质量保证期内，乙方应对服务出现的问题负责处理解决并承担一切费用。</w:t>
      </w:r>
    </w:p>
    <w:p>
      <w:pPr>
        <w:pStyle w:val="12"/>
        <w:tabs>
          <w:tab w:val="left" w:pos="5250"/>
        </w:tabs>
        <w:spacing w:line="360" w:lineRule="auto"/>
        <w:ind w:firstLine="420" w:firstLineChars="200"/>
        <w:rPr>
          <w:rFonts w:hAnsi="宋体"/>
          <w:u w:val="single"/>
        </w:rPr>
      </w:pPr>
      <w:r>
        <w:rPr>
          <w:rFonts w:hint="eastAsia" w:hAnsi="宋体"/>
        </w:rPr>
        <w:t>9.5 其他售后服务要求：</w:t>
      </w:r>
      <w:r>
        <w:rPr>
          <w:rFonts w:hint="eastAsia" w:hAnsi="宋体"/>
          <w:u w:val="single"/>
        </w:rPr>
        <w:t xml:space="preserve">                    。</w:t>
      </w:r>
    </w:p>
    <w:p>
      <w:pPr>
        <w:pStyle w:val="12"/>
        <w:spacing w:line="360" w:lineRule="auto"/>
        <w:rPr>
          <w:rFonts w:hAnsi="宋体"/>
          <w:b/>
          <w:bCs/>
          <w:sz w:val="24"/>
        </w:rPr>
      </w:pPr>
      <w:r>
        <w:rPr>
          <w:rFonts w:hint="eastAsia" w:hAnsi="宋体"/>
          <w:b/>
          <w:bCs/>
          <w:sz w:val="24"/>
        </w:rPr>
        <w:t>10.  违约责任</w:t>
      </w:r>
    </w:p>
    <w:p>
      <w:pPr>
        <w:pStyle w:val="12"/>
        <w:spacing w:line="360" w:lineRule="auto"/>
        <w:ind w:firstLine="420" w:firstLineChars="200"/>
        <w:rPr>
          <w:rFonts w:hAnsi="宋体"/>
        </w:rPr>
      </w:pPr>
      <w:r>
        <w:rPr>
          <w:rFonts w:hint="eastAsia" w:hAnsi="宋体"/>
        </w:rPr>
        <w:t>10.1 甲方无正当理由拒收服务的，甲方向乙方偿付拒收服务费总值的百分之五违约金。</w:t>
      </w:r>
    </w:p>
    <w:p>
      <w:pPr>
        <w:pStyle w:val="12"/>
        <w:spacing w:line="360" w:lineRule="auto"/>
        <w:ind w:firstLine="420" w:firstLineChars="200"/>
        <w:rPr>
          <w:rFonts w:hAnsi="宋体"/>
        </w:rPr>
      </w:pPr>
      <w:r>
        <w:rPr>
          <w:rFonts w:hint="eastAsia" w:hAnsi="宋体"/>
        </w:rPr>
        <w:t>10.2 甲方无故逾期验收或办理合同款支付手续的，甲方应按逾期付款总额每日万分之五向乙方支付违约金。</w:t>
      </w:r>
    </w:p>
    <w:p>
      <w:pPr>
        <w:pStyle w:val="12"/>
        <w:spacing w:line="360" w:lineRule="auto"/>
        <w:ind w:firstLine="420" w:firstLineChars="200"/>
        <w:rPr>
          <w:rFonts w:hAnsi="宋体"/>
        </w:rPr>
      </w:pPr>
      <w:r>
        <w:rPr>
          <w:rFonts w:hint="eastAsia" w:hAnsi="宋体"/>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2"/>
        <w:spacing w:line="360" w:lineRule="auto"/>
        <w:rPr>
          <w:rFonts w:hAnsi="宋体"/>
          <w:b/>
          <w:bCs/>
          <w:sz w:val="24"/>
        </w:rPr>
      </w:pPr>
      <w:r>
        <w:rPr>
          <w:rFonts w:hint="eastAsia" w:hAnsi="宋体"/>
          <w:b/>
          <w:bCs/>
          <w:sz w:val="24"/>
        </w:rPr>
        <w:t>11.  不可抗力事件处理</w:t>
      </w:r>
    </w:p>
    <w:p>
      <w:pPr>
        <w:pStyle w:val="12"/>
        <w:spacing w:line="360" w:lineRule="auto"/>
        <w:ind w:firstLine="420" w:firstLineChars="200"/>
        <w:rPr>
          <w:rFonts w:hAnsi="宋体"/>
        </w:rPr>
      </w:pPr>
      <w:r>
        <w:rPr>
          <w:rFonts w:hint="eastAsia" w:hAnsi="宋体"/>
        </w:rPr>
        <w:t>11.1 在合同有效期内，任何一方因不可抗力事件导致不能履行合同，则合同履行期可延长，其延长期与不可抗力影响期相同。</w:t>
      </w:r>
    </w:p>
    <w:p>
      <w:pPr>
        <w:pStyle w:val="12"/>
        <w:spacing w:line="360" w:lineRule="auto"/>
        <w:ind w:firstLine="420" w:firstLineChars="200"/>
        <w:rPr>
          <w:rFonts w:hAnsi="宋体"/>
        </w:rPr>
      </w:pPr>
      <w:r>
        <w:rPr>
          <w:rFonts w:hint="eastAsia" w:hAnsi="宋体"/>
        </w:rPr>
        <w:t>11.2 不可抗力事件发生后，应立即通知对方，并寄送有关权威机构出具的证明。</w:t>
      </w:r>
    </w:p>
    <w:p>
      <w:pPr>
        <w:pStyle w:val="12"/>
        <w:spacing w:line="360" w:lineRule="auto"/>
        <w:ind w:firstLine="420" w:firstLineChars="200"/>
        <w:rPr>
          <w:rFonts w:hAnsi="宋体"/>
        </w:rPr>
      </w:pPr>
      <w:r>
        <w:rPr>
          <w:rFonts w:hint="eastAsia" w:hAnsi="宋体"/>
        </w:rPr>
        <w:t>11.3 不可抗力事件延续120天以上，双方应通过友好协商，确定是否继续履行合同。</w:t>
      </w:r>
    </w:p>
    <w:p>
      <w:pPr>
        <w:pStyle w:val="12"/>
        <w:spacing w:line="360" w:lineRule="auto"/>
        <w:rPr>
          <w:rFonts w:hAnsi="宋体"/>
          <w:b/>
          <w:bCs/>
          <w:sz w:val="24"/>
        </w:rPr>
      </w:pPr>
      <w:r>
        <w:rPr>
          <w:rFonts w:hint="eastAsia" w:hAnsi="宋体"/>
          <w:b/>
          <w:bCs/>
          <w:sz w:val="24"/>
        </w:rPr>
        <w:t>12.  诉讼</w:t>
      </w:r>
    </w:p>
    <w:p>
      <w:pPr>
        <w:pStyle w:val="12"/>
        <w:tabs>
          <w:tab w:val="left" w:pos="0"/>
        </w:tabs>
        <w:spacing w:line="360" w:lineRule="auto"/>
        <w:ind w:firstLine="420" w:firstLineChars="200"/>
        <w:rPr>
          <w:rFonts w:hAnsi="宋体"/>
        </w:rPr>
      </w:pPr>
      <w:r>
        <w:rPr>
          <w:rFonts w:hint="eastAsia" w:hAnsi="宋体"/>
        </w:rPr>
        <w:t>12.1 双方在执行合同中所发生的一切争议，应通过协商解决。如协商不成，可向合同签订地法院起诉，合同签订地在此约定为广西贺州市。</w:t>
      </w:r>
    </w:p>
    <w:p>
      <w:pPr>
        <w:pStyle w:val="12"/>
        <w:spacing w:line="360" w:lineRule="auto"/>
        <w:rPr>
          <w:rFonts w:hAnsi="宋体"/>
          <w:b/>
          <w:bCs/>
          <w:sz w:val="24"/>
        </w:rPr>
      </w:pPr>
      <w:r>
        <w:rPr>
          <w:rFonts w:hint="eastAsia" w:hAnsi="宋体"/>
          <w:b/>
          <w:bCs/>
          <w:sz w:val="24"/>
        </w:rPr>
        <w:t>13.  合同生效及其它</w:t>
      </w:r>
    </w:p>
    <w:p>
      <w:pPr>
        <w:pStyle w:val="12"/>
        <w:spacing w:line="360" w:lineRule="auto"/>
        <w:ind w:firstLine="420" w:firstLineChars="200"/>
        <w:rPr>
          <w:rFonts w:hAnsi="宋体"/>
        </w:rPr>
      </w:pPr>
      <w:r>
        <w:rPr>
          <w:rFonts w:hint="eastAsia" w:hAnsi="宋体"/>
        </w:rPr>
        <w:t>13.1 合同经双方法定代表人或授权委托代理人签字并加盖单位公章后生效。</w:t>
      </w:r>
    </w:p>
    <w:p>
      <w:pPr>
        <w:pStyle w:val="12"/>
        <w:spacing w:line="360" w:lineRule="auto"/>
        <w:ind w:firstLine="420" w:firstLineChars="200"/>
        <w:rPr>
          <w:rFonts w:hAnsi="宋体"/>
        </w:rPr>
      </w:pPr>
      <w:r>
        <w:rPr>
          <w:rFonts w:hint="eastAsia" w:hAnsi="宋体"/>
        </w:rPr>
        <w:t>13.2 合同执行中涉及采购资金和采购内容修改或补充的，须经市财政部门审批，并签书面补充协议报贺州市财政局政府采购监督管理科备案，方可作为主合同不可分割的一部分。</w:t>
      </w:r>
    </w:p>
    <w:p>
      <w:pPr>
        <w:pStyle w:val="12"/>
        <w:spacing w:line="360" w:lineRule="auto"/>
        <w:ind w:firstLine="420" w:firstLineChars="200"/>
        <w:rPr>
          <w:rFonts w:hAnsi="宋体"/>
        </w:rPr>
      </w:pPr>
      <w:r>
        <w:rPr>
          <w:rFonts w:hint="eastAsia" w:hAnsi="宋体"/>
        </w:rPr>
        <w:t>13.3 下述合同附件为本合同不可分割的部分并与本合同具有同等效力：</w:t>
      </w:r>
    </w:p>
    <w:p>
      <w:pPr>
        <w:pStyle w:val="12"/>
        <w:spacing w:line="360" w:lineRule="auto"/>
        <w:ind w:firstLine="420" w:firstLineChars="200"/>
        <w:rPr>
          <w:rFonts w:hAnsi="宋体"/>
        </w:rPr>
      </w:pPr>
      <w:r>
        <w:rPr>
          <w:rFonts w:hint="eastAsia" w:hAnsi="宋体"/>
        </w:rPr>
        <w:t>（1）成交通知书；</w:t>
      </w:r>
    </w:p>
    <w:p>
      <w:pPr>
        <w:pStyle w:val="12"/>
        <w:spacing w:line="360" w:lineRule="auto"/>
        <w:ind w:firstLine="420" w:firstLineChars="200"/>
        <w:rPr>
          <w:rFonts w:hAnsi="宋体"/>
        </w:rPr>
      </w:pPr>
      <w:r>
        <w:rPr>
          <w:rFonts w:hint="eastAsia" w:hAnsi="宋体"/>
        </w:rPr>
        <w:t>（2）履约保证金交纳证明；</w:t>
      </w:r>
    </w:p>
    <w:p>
      <w:pPr>
        <w:pStyle w:val="12"/>
        <w:spacing w:line="360" w:lineRule="auto"/>
        <w:ind w:firstLine="420" w:firstLineChars="200"/>
        <w:rPr>
          <w:rFonts w:hAnsi="宋体"/>
        </w:rPr>
      </w:pPr>
      <w:r>
        <w:rPr>
          <w:rFonts w:hint="eastAsia" w:hAnsi="宋体"/>
        </w:rPr>
        <w:t>（3）竞争性磋商采购文件服务需求一览表；</w:t>
      </w:r>
    </w:p>
    <w:p>
      <w:pPr>
        <w:pStyle w:val="12"/>
        <w:spacing w:line="360" w:lineRule="auto"/>
        <w:ind w:firstLine="420" w:firstLineChars="200"/>
        <w:rPr>
          <w:rFonts w:hAnsi="宋体"/>
        </w:rPr>
      </w:pPr>
      <w:r>
        <w:rPr>
          <w:rFonts w:hint="eastAsia" w:hAnsi="宋体"/>
        </w:rPr>
        <w:t>（4）竞争性磋商采购文件的澄清和修改；</w:t>
      </w:r>
    </w:p>
    <w:p>
      <w:pPr>
        <w:pStyle w:val="12"/>
        <w:spacing w:line="360" w:lineRule="auto"/>
        <w:ind w:firstLine="420" w:firstLineChars="200"/>
        <w:rPr>
          <w:rFonts w:hAnsi="宋体"/>
        </w:rPr>
      </w:pPr>
      <w:r>
        <w:rPr>
          <w:rFonts w:hint="eastAsia" w:hAnsi="宋体"/>
        </w:rPr>
        <w:t>（5）响应函、磋商报价表；</w:t>
      </w:r>
    </w:p>
    <w:p>
      <w:pPr>
        <w:pStyle w:val="12"/>
        <w:spacing w:line="360" w:lineRule="auto"/>
        <w:ind w:firstLine="420" w:firstLineChars="200"/>
        <w:rPr>
          <w:rFonts w:hAnsi="宋体"/>
        </w:rPr>
      </w:pPr>
      <w:r>
        <w:rPr>
          <w:rFonts w:hint="eastAsia" w:hAnsi="宋体"/>
        </w:rPr>
        <w:t>（6）磋商服务技术资料表；</w:t>
      </w:r>
    </w:p>
    <w:p>
      <w:pPr>
        <w:pStyle w:val="12"/>
        <w:spacing w:line="360" w:lineRule="auto"/>
        <w:ind w:firstLine="420" w:firstLineChars="200"/>
        <w:rPr>
          <w:rFonts w:hAnsi="宋体"/>
        </w:rPr>
      </w:pPr>
      <w:r>
        <w:rPr>
          <w:rFonts w:hint="eastAsia" w:hAnsi="宋体"/>
        </w:rPr>
        <w:t>（7）成交供应商澄清函。</w:t>
      </w:r>
    </w:p>
    <w:p>
      <w:pPr>
        <w:pStyle w:val="12"/>
        <w:spacing w:line="360" w:lineRule="auto"/>
        <w:ind w:firstLine="420" w:firstLineChars="200"/>
        <w:rPr>
          <w:rFonts w:hAnsi="宋体"/>
        </w:rPr>
      </w:pPr>
      <w:r>
        <w:rPr>
          <w:rFonts w:hint="eastAsia" w:hAnsi="宋体"/>
        </w:rPr>
        <w:t>13.4 本合同未尽事宜，遵照《中华人民共和国合同法》有关条文执行。</w:t>
      </w:r>
    </w:p>
    <w:p>
      <w:pPr>
        <w:pStyle w:val="12"/>
        <w:spacing w:line="360" w:lineRule="auto"/>
        <w:ind w:firstLine="420" w:firstLineChars="200"/>
        <w:rPr>
          <w:rFonts w:hAnsi="宋体"/>
        </w:rPr>
      </w:pPr>
      <w:r>
        <w:rPr>
          <w:rFonts w:hint="eastAsia" w:hAnsi="宋体"/>
        </w:rPr>
        <w:t xml:space="preserve">13.5 </w:t>
      </w:r>
      <w:r>
        <w:rPr>
          <w:rFonts w:hint="eastAsia" w:hAnsi="宋体"/>
          <w:color w:val="000000"/>
          <w:szCs w:val="21"/>
        </w:rPr>
        <w:t>本合同一式</w:t>
      </w:r>
      <w:r>
        <w:rPr>
          <w:rFonts w:hint="eastAsia" w:hAnsi="宋体"/>
          <w:color w:val="000000"/>
          <w:szCs w:val="21"/>
          <w:u w:val="single"/>
        </w:rPr>
        <w:t>柒</w:t>
      </w:r>
      <w:r>
        <w:rPr>
          <w:rFonts w:hint="eastAsia" w:hAnsi="宋体"/>
          <w:color w:val="000000"/>
          <w:szCs w:val="21"/>
        </w:rPr>
        <w:t>份，甲乙双方各执</w:t>
      </w:r>
      <w:r>
        <w:rPr>
          <w:rFonts w:hint="eastAsia" w:hAnsi="宋体"/>
          <w:color w:val="000000"/>
          <w:szCs w:val="21"/>
          <w:u w:val="single"/>
        </w:rPr>
        <w:t>叁</w:t>
      </w:r>
      <w:r>
        <w:rPr>
          <w:rFonts w:hint="eastAsia" w:hAnsi="宋体"/>
          <w:color w:val="000000"/>
          <w:szCs w:val="21"/>
        </w:rPr>
        <w:t>份，</w:t>
      </w:r>
      <w:r>
        <w:rPr>
          <w:rFonts w:hint="eastAsia" w:hAnsi="宋体"/>
          <w:color w:val="000000"/>
          <w:szCs w:val="21"/>
          <w:u w:val="single"/>
        </w:rPr>
        <w:t>壹</w:t>
      </w:r>
      <w:r>
        <w:rPr>
          <w:rFonts w:hint="eastAsia" w:hAnsi="宋体"/>
          <w:color w:val="000000"/>
          <w:szCs w:val="21"/>
        </w:rPr>
        <w:t>份报同级政府采购招投标监督管理部门备案并存档。</w:t>
      </w:r>
    </w:p>
    <w:p>
      <w:pPr>
        <w:pStyle w:val="11"/>
        <w:spacing w:line="500" w:lineRule="exact"/>
        <w:ind w:firstLine="490" w:firstLineChars="243"/>
        <w:rPr>
          <w:rFonts w:hAnsi="宋体"/>
          <w:color w:val="000000"/>
          <w:szCs w:val="21"/>
        </w:rPr>
      </w:pPr>
      <w:r>
        <w:rPr>
          <w:rFonts w:hint="eastAsia" w:hAnsi="宋体"/>
          <w:color w:val="000000"/>
          <w:sz w:val="21"/>
          <w:szCs w:val="21"/>
        </w:rPr>
        <w:t>13.6本合同自双方签字盖章之日起生效。</w:t>
      </w:r>
    </w:p>
    <w:p>
      <w:pPr>
        <w:pStyle w:val="12"/>
        <w:spacing w:line="360" w:lineRule="auto"/>
        <w:ind w:firstLine="360"/>
        <w:rPr>
          <w:rFonts w:hAnsi="宋体"/>
        </w:rPr>
      </w:pPr>
    </w:p>
    <w:p>
      <w:pPr>
        <w:pStyle w:val="12"/>
        <w:spacing w:line="360" w:lineRule="auto"/>
        <w:ind w:firstLine="360"/>
        <w:rPr>
          <w:rFonts w:hAnsi="宋体"/>
        </w:rPr>
      </w:pPr>
    </w:p>
    <w:p>
      <w:pPr>
        <w:pStyle w:val="12"/>
        <w:spacing w:line="360" w:lineRule="auto"/>
        <w:rPr>
          <w:rFonts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ab/>
      </w:r>
      <w:r>
        <w:rPr>
          <w:rFonts w:hint="eastAsia" w:hAnsi="宋体"/>
          <w:u w:val="single"/>
        </w:rPr>
        <w:tab/>
      </w:r>
      <w:r>
        <w:rPr>
          <w:rFonts w:hint="eastAsia" w:hAnsi="宋体"/>
          <w:u w:val="single"/>
        </w:rPr>
        <w:t xml:space="preserve">                           </w:t>
      </w:r>
      <w:r>
        <w:rPr>
          <w:rFonts w:hint="eastAsia" w:hAnsi="宋体"/>
          <w:u w:val="single"/>
        </w:rPr>
        <w:tab/>
      </w:r>
    </w:p>
    <w:p>
      <w:pPr>
        <w:pStyle w:val="12"/>
        <w:spacing w:line="360" w:lineRule="auto"/>
        <w:rPr>
          <w:rFonts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ab/>
      </w:r>
      <w:r>
        <w:rPr>
          <w:rFonts w:hint="eastAsia" w:hAnsi="宋体"/>
          <w:u w:val="single"/>
        </w:rPr>
        <w:tab/>
      </w:r>
      <w:r>
        <w:rPr>
          <w:rFonts w:hint="eastAsia" w:hAnsi="宋体"/>
          <w:u w:val="single"/>
        </w:rPr>
        <w:t xml:space="preserve">                           </w:t>
      </w:r>
      <w:r>
        <w:rPr>
          <w:rFonts w:hint="eastAsia" w:hAnsi="宋体"/>
          <w:u w:val="single"/>
        </w:rPr>
        <w:tab/>
      </w:r>
    </w:p>
    <w:p>
      <w:pPr>
        <w:pStyle w:val="12"/>
        <w:spacing w:line="360" w:lineRule="auto"/>
        <w:rPr>
          <w:rFonts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ab/>
      </w:r>
      <w:r>
        <w:rPr>
          <w:rFonts w:hint="eastAsia" w:hAnsi="宋体"/>
          <w:u w:val="single"/>
        </w:rPr>
        <w:t xml:space="preserve">                         </w:t>
      </w:r>
      <w:r>
        <w:rPr>
          <w:rFonts w:hint="eastAsia" w:hAnsi="宋体"/>
          <w:u w:val="single"/>
        </w:rPr>
        <w:tab/>
      </w:r>
      <w:r>
        <w:rPr>
          <w:rFonts w:hint="eastAsia" w:hAnsi="宋体"/>
        </w:rPr>
        <w:t xml:space="preserve">                        </w:t>
      </w:r>
      <w:r>
        <w:rPr>
          <w:rFonts w:hint="eastAsia" w:hAnsi="宋体"/>
          <w:u w:val="single"/>
        </w:rPr>
        <w:t xml:space="preserve">                                 </w:t>
      </w:r>
    </w:p>
    <w:p>
      <w:pPr>
        <w:pStyle w:val="12"/>
        <w:spacing w:line="360" w:lineRule="auto"/>
        <w:rPr>
          <w:rFonts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ab/>
      </w:r>
      <w:r>
        <w:rPr>
          <w:rFonts w:hint="eastAsia" w:hAnsi="宋体"/>
          <w:u w:val="single"/>
        </w:rPr>
        <w:t xml:space="preserve">                         </w:t>
      </w:r>
      <w:r>
        <w:rPr>
          <w:rFonts w:hint="eastAsia" w:hAnsi="宋体"/>
          <w:u w:val="single"/>
        </w:rPr>
        <w:tab/>
      </w:r>
    </w:p>
    <w:p>
      <w:pPr>
        <w:pStyle w:val="12"/>
        <w:spacing w:line="360" w:lineRule="auto"/>
        <w:rPr>
          <w:rFonts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ab/>
      </w:r>
      <w:r>
        <w:rPr>
          <w:rFonts w:hint="eastAsia" w:hAnsi="宋体"/>
          <w:u w:val="single"/>
        </w:rPr>
        <w:t xml:space="preserve">                              </w:t>
      </w:r>
      <w:r>
        <w:rPr>
          <w:rFonts w:hint="eastAsia" w:hAnsi="宋体"/>
          <w:u w:val="single"/>
        </w:rPr>
        <w:tab/>
      </w:r>
      <w:r>
        <w:rPr>
          <w:rFonts w:hint="eastAsia" w:hAnsi="宋体"/>
        </w:rPr>
        <w:t xml:space="preserve">    </w:t>
      </w:r>
    </w:p>
    <w:p>
      <w:pPr>
        <w:pStyle w:val="12"/>
        <w:spacing w:line="360" w:lineRule="auto"/>
        <w:rPr>
          <w:rFonts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ab/>
      </w:r>
      <w:r>
        <w:rPr>
          <w:rFonts w:hint="eastAsia" w:hAnsi="宋体"/>
          <w:u w:val="single"/>
        </w:rPr>
        <w:t xml:space="preserve">                             </w:t>
      </w:r>
      <w:r>
        <w:rPr>
          <w:rFonts w:hint="eastAsia" w:hAnsi="宋体"/>
          <w:u w:val="single"/>
        </w:rPr>
        <w:tab/>
      </w:r>
      <w:r>
        <w:rPr>
          <w:rFonts w:hint="eastAsia" w:hAnsi="宋体"/>
        </w:rPr>
        <w:t xml:space="preserve"> </w:t>
      </w:r>
    </w:p>
    <w:p>
      <w:pPr>
        <w:pStyle w:val="12"/>
        <w:spacing w:line="360" w:lineRule="auto"/>
        <w:rPr>
          <w:rFonts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ab/>
      </w:r>
      <w:r>
        <w:rPr>
          <w:rFonts w:hint="eastAsia" w:hAnsi="宋体"/>
          <w:u w:val="single"/>
        </w:rPr>
        <w:t xml:space="preserve">                         </w:t>
      </w:r>
      <w:r>
        <w:rPr>
          <w:rFonts w:hint="eastAsia" w:hAnsi="宋体"/>
          <w:u w:val="single"/>
        </w:rPr>
        <w:tab/>
      </w:r>
    </w:p>
    <w:p>
      <w:pPr>
        <w:pStyle w:val="12"/>
        <w:spacing w:line="360" w:lineRule="auto"/>
        <w:rPr>
          <w:rFonts w:hAnsi="宋体"/>
          <w:u w:val="single"/>
        </w:rPr>
      </w:pPr>
      <w:r>
        <w:rPr>
          <w:rFonts w:hint="eastAsia" w:hAnsi="宋体"/>
        </w:rPr>
        <w:t xml:space="preserve">                                              开户银行：</w:t>
      </w:r>
      <w:r>
        <w:rPr>
          <w:rFonts w:hint="eastAsia" w:hAnsi="宋体"/>
          <w:u w:val="single"/>
        </w:rPr>
        <w:tab/>
      </w:r>
      <w:r>
        <w:rPr>
          <w:rFonts w:hint="eastAsia" w:hAnsi="宋体"/>
          <w:u w:val="single"/>
        </w:rPr>
        <w:t xml:space="preserve">                           </w:t>
      </w:r>
      <w:r>
        <w:rPr>
          <w:rFonts w:hint="eastAsia" w:hAnsi="宋体"/>
          <w:u w:val="single"/>
        </w:rPr>
        <w:tab/>
      </w:r>
    </w:p>
    <w:p>
      <w:pPr>
        <w:pStyle w:val="12"/>
        <w:spacing w:line="360" w:lineRule="auto"/>
        <w:rPr>
          <w:rFonts w:hAnsi="宋体"/>
          <w:u w:val="single"/>
        </w:rPr>
      </w:pPr>
      <w:r>
        <w:rPr>
          <w:rFonts w:hint="eastAsia" w:hAnsi="宋体"/>
        </w:rPr>
        <w:t xml:space="preserve">                                              开户名称：</w:t>
      </w:r>
      <w:r>
        <w:rPr>
          <w:rFonts w:hint="eastAsia" w:hAnsi="宋体"/>
          <w:u w:val="single"/>
        </w:rPr>
        <w:tab/>
      </w:r>
      <w:r>
        <w:rPr>
          <w:rFonts w:hint="eastAsia" w:hAnsi="宋体"/>
          <w:u w:val="single"/>
        </w:rPr>
        <w:t xml:space="preserve">                         </w:t>
      </w:r>
      <w:r>
        <w:rPr>
          <w:rFonts w:hint="eastAsia" w:hAnsi="宋体"/>
          <w:u w:val="single"/>
        </w:rPr>
        <w:tab/>
      </w:r>
      <w:r>
        <w:rPr>
          <w:rFonts w:hint="eastAsia" w:hAnsi="宋体"/>
          <w:u w:val="single"/>
        </w:rPr>
        <w:t xml:space="preserve"> </w:t>
      </w:r>
    </w:p>
    <w:p>
      <w:pPr>
        <w:pStyle w:val="12"/>
        <w:spacing w:line="360" w:lineRule="auto"/>
        <w:rPr>
          <w:rFonts w:hAnsi="宋体"/>
          <w:u w:val="single"/>
        </w:rPr>
      </w:pPr>
      <w:r>
        <w:rPr>
          <w:rFonts w:hint="eastAsia" w:hAnsi="宋体"/>
        </w:rPr>
        <w:t xml:space="preserve">                                              银行账号：</w:t>
      </w:r>
      <w:r>
        <w:rPr>
          <w:rFonts w:hint="eastAsia" w:hAnsi="宋体"/>
          <w:u w:val="single"/>
        </w:rPr>
        <w:tab/>
      </w:r>
      <w:r>
        <w:rPr>
          <w:rFonts w:hint="eastAsia" w:hAnsi="宋体"/>
          <w:u w:val="single"/>
        </w:rPr>
        <w:tab/>
      </w:r>
      <w:r>
        <w:rPr>
          <w:rFonts w:hint="eastAsia" w:hAnsi="宋体"/>
          <w:u w:val="single"/>
        </w:rPr>
        <w:tab/>
      </w:r>
      <w:r>
        <w:rPr>
          <w:rFonts w:hint="eastAsia" w:hAnsi="宋体"/>
          <w:u w:val="single"/>
        </w:rPr>
        <w:tab/>
      </w:r>
      <w:r>
        <w:rPr>
          <w:rFonts w:hint="eastAsia" w:hAnsi="宋体"/>
          <w:u w:val="single"/>
        </w:rPr>
        <w:tab/>
      </w:r>
      <w:r>
        <w:rPr>
          <w:rFonts w:hint="eastAsia" w:hAnsi="宋体"/>
          <w:u w:val="single"/>
        </w:rPr>
        <w:tab/>
      </w:r>
      <w:r>
        <w:rPr>
          <w:rFonts w:hint="eastAsia" w:hAnsi="宋体"/>
          <w:u w:val="single"/>
        </w:rPr>
        <w:tab/>
      </w:r>
      <w:r>
        <w:rPr>
          <w:rFonts w:hint="eastAsia" w:hAnsi="宋体"/>
          <w:u w:val="single"/>
        </w:rPr>
        <w:tab/>
      </w:r>
      <w:r>
        <w:rPr>
          <w:rFonts w:hint="eastAsia" w:hAnsi="宋体"/>
          <w:u w:val="single"/>
        </w:rPr>
        <w:t xml:space="preserve">                             </w:t>
      </w:r>
    </w:p>
    <w:p>
      <w:pPr>
        <w:pStyle w:val="12"/>
        <w:spacing w:line="360" w:lineRule="auto"/>
        <w:ind w:left="178" w:leftChars="85"/>
        <w:rPr>
          <w:rFonts w:hAnsi="宋体"/>
        </w:rPr>
      </w:pPr>
    </w:p>
    <w:p>
      <w:pPr>
        <w:pStyle w:val="12"/>
        <w:spacing w:line="360" w:lineRule="auto"/>
        <w:ind w:left="178" w:leftChars="85"/>
        <w:rPr>
          <w:rFonts w:hAnsi="宋体"/>
        </w:rPr>
      </w:pPr>
    </w:p>
    <w:p>
      <w:pPr>
        <w:pStyle w:val="12"/>
        <w:spacing w:line="360" w:lineRule="auto"/>
        <w:rPr>
          <w:rFonts w:hAnsi="宋体"/>
        </w:rPr>
      </w:pPr>
      <w:r>
        <w:rPr>
          <w:rFonts w:hint="eastAsia" w:hAnsi="宋体"/>
        </w:rPr>
        <w:t xml:space="preserve">合同签订地点： </w:t>
      </w:r>
    </w:p>
    <w:p>
      <w:pPr>
        <w:pStyle w:val="12"/>
        <w:spacing w:line="360" w:lineRule="auto"/>
        <w:rPr>
          <w:rFonts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16"/>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br w:type="page"/>
      </w:r>
    </w:p>
    <w:p>
      <w:pPr>
        <w:pStyle w:val="4"/>
        <w:spacing w:line="560" w:lineRule="exact"/>
        <w:jc w:val="center"/>
        <w:rPr>
          <w:rFonts w:ascii="宋体" w:hAnsi="宋体" w:cs="宋体"/>
          <w:bCs/>
          <w:sz w:val="44"/>
        </w:rPr>
      </w:pPr>
      <w:bookmarkStart w:id="334" w:name="_Toc147248436"/>
      <w:bookmarkStart w:id="335" w:name="_Toc156106971"/>
      <w:bookmarkStart w:id="336" w:name="_Toc239839917"/>
      <w:bookmarkStart w:id="337" w:name="_Toc489352170"/>
      <w:bookmarkStart w:id="338" w:name="_Toc185703010"/>
      <w:bookmarkStart w:id="339" w:name="_Toc185702588"/>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p>
    <w:p>
      <w:pPr>
        <w:pStyle w:val="4"/>
        <w:spacing w:line="560" w:lineRule="exact"/>
        <w:jc w:val="center"/>
        <w:rPr>
          <w:rFonts w:ascii="宋体" w:hAnsi="宋体" w:cs="宋体"/>
          <w:bCs/>
          <w:sz w:val="44"/>
        </w:rPr>
      </w:pPr>
      <w:r>
        <w:rPr>
          <w:rFonts w:hint="eastAsia" w:ascii="宋体" w:hAnsi="宋体" w:cs="宋体"/>
          <w:bCs/>
          <w:sz w:val="44"/>
        </w:rPr>
        <w:t>第四章   评标</w:t>
      </w:r>
      <w:bookmarkEnd w:id="334"/>
      <w:bookmarkEnd w:id="335"/>
      <w:r>
        <w:rPr>
          <w:rFonts w:hint="eastAsia" w:ascii="宋体" w:hAnsi="宋体" w:cs="宋体"/>
          <w:bCs/>
          <w:sz w:val="44"/>
        </w:rPr>
        <w:t>方法</w:t>
      </w:r>
      <w:bookmarkEnd w:id="336"/>
      <w:bookmarkEnd w:id="337"/>
      <w:bookmarkEnd w:id="338"/>
      <w:bookmarkEnd w:id="339"/>
    </w:p>
    <w:p>
      <w:pPr>
        <w:spacing w:line="360" w:lineRule="exact"/>
        <w:ind w:left="630" w:hanging="630" w:hangingChars="300"/>
      </w:pPr>
      <w: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sz w:val="28"/>
        </w:rPr>
      </w:pPr>
      <w:r>
        <w:rPr>
          <w:rFonts w:hint="eastAsia" w:ascii="宋体" w:hAnsi="宋体"/>
          <w:b/>
          <w:sz w:val="28"/>
        </w:rPr>
        <w:t>评标原则和中标标准</w:t>
      </w:r>
    </w:p>
    <w:p>
      <w:pPr>
        <w:pStyle w:val="12"/>
        <w:spacing w:line="400" w:lineRule="exact"/>
        <w:rPr>
          <w:b/>
          <w:bCs/>
        </w:rPr>
      </w:pPr>
      <w:r>
        <w:rPr>
          <w:rFonts w:hint="eastAsia"/>
          <w:b/>
          <w:bCs/>
        </w:rPr>
        <w:t>一、评审程序</w:t>
      </w:r>
    </w:p>
    <w:p>
      <w:pPr>
        <w:pStyle w:val="12"/>
        <w:keepNext w:val="0"/>
        <w:keepLines w:val="0"/>
        <w:pageBreakBefore w:val="0"/>
        <w:widowControl w:val="0"/>
        <w:kinsoku/>
        <w:wordWrap/>
        <w:overflowPunct/>
        <w:topLinePunct w:val="0"/>
        <w:autoSpaceDE/>
        <w:autoSpaceDN/>
        <w:bidi w:val="0"/>
        <w:adjustRightInd/>
        <w:snapToGrid/>
        <w:spacing w:line="380" w:lineRule="exact"/>
        <w:ind w:firstLine="430"/>
        <w:textAlignment w:val="auto"/>
        <w:rPr>
          <w:bCs/>
        </w:rPr>
      </w:pPr>
      <w:r>
        <w:rPr>
          <w:rFonts w:hint="eastAsia"/>
          <w:bCs/>
        </w:rPr>
        <w:t>1、对响应文件的资格审查、商务性和技术性文件进行审查评议和澄清。</w:t>
      </w:r>
    </w:p>
    <w:p>
      <w:pPr>
        <w:pStyle w:val="12"/>
        <w:keepNext w:val="0"/>
        <w:keepLines w:val="0"/>
        <w:pageBreakBefore w:val="0"/>
        <w:widowControl w:val="0"/>
        <w:kinsoku/>
        <w:wordWrap/>
        <w:overflowPunct/>
        <w:topLinePunct w:val="0"/>
        <w:autoSpaceDE/>
        <w:autoSpaceDN/>
        <w:bidi w:val="0"/>
        <w:adjustRightInd/>
        <w:snapToGrid/>
        <w:spacing w:line="380" w:lineRule="exact"/>
        <w:ind w:firstLine="420"/>
        <w:textAlignment w:val="auto"/>
      </w:pPr>
      <w:r>
        <w:rPr>
          <w:rFonts w:hint="eastAsia"/>
          <w:bCs/>
        </w:rPr>
        <w:t>2、对通过初步评</w:t>
      </w:r>
      <w:r>
        <w:rPr>
          <w:rFonts w:hint="eastAsia"/>
        </w:rPr>
        <w:t>审且完成算术性修正之后的</w:t>
      </w:r>
      <w:r>
        <w:rPr>
          <w:rFonts w:hint="eastAsia" w:hAnsi="宋体"/>
          <w:bCs/>
          <w:szCs w:val="21"/>
        </w:rPr>
        <w:t>磋商竞标人</w:t>
      </w:r>
      <w:r>
        <w:rPr>
          <w:rFonts w:hint="eastAsia"/>
        </w:rPr>
        <w:t>进行商务和技术评估，综合比较与评价。对</w:t>
      </w:r>
      <w:r>
        <w:rPr>
          <w:rFonts w:hint="eastAsia" w:hAnsi="宋体"/>
          <w:bCs/>
          <w:szCs w:val="21"/>
        </w:rPr>
        <w:t>磋商竞标人</w:t>
      </w:r>
      <w:r>
        <w:rPr>
          <w:rFonts w:hint="eastAsia"/>
        </w:rPr>
        <w:t>的评分以其价格与服务、实力相结合，以综合评价为主，服务质量优先、价格合理。</w:t>
      </w:r>
    </w:p>
    <w:p>
      <w:pPr>
        <w:pStyle w:val="12"/>
        <w:keepNext w:val="0"/>
        <w:keepLines w:val="0"/>
        <w:pageBreakBefore w:val="0"/>
        <w:widowControl w:val="0"/>
        <w:kinsoku/>
        <w:wordWrap/>
        <w:overflowPunct/>
        <w:topLinePunct w:val="0"/>
        <w:autoSpaceDE/>
        <w:autoSpaceDN/>
        <w:bidi w:val="0"/>
        <w:adjustRightInd/>
        <w:snapToGrid/>
        <w:spacing w:line="380" w:lineRule="exact"/>
        <w:ind w:firstLine="430"/>
        <w:textAlignment w:val="auto"/>
        <w:rPr>
          <w:bCs/>
        </w:rPr>
      </w:pPr>
      <w:r>
        <w:rPr>
          <w:rFonts w:hint="eastAsia"/>
          <w:bCs/>
        </w:rPr>
        <w:t>3、对评审过程进行复核，计算并汇总得分。</w:t>
      </w:r>
    </w:p>
    <w:p>
      <w:pPr>
        <w:pStyle w:val="12"/>
        <w:keepNext w:val="0"/>
        <w:keepLines w:val="0"/>
        <w:pageBreakBefore w:val="0"/>
        <w:widowControl w:val="0"/>
        <w:kinsoku/>
        <w:wordWrap/>
        <w:overflowPunct/>
        <w:topLinePunct w:val="0"/>
        <w:autoSpaceDE/>
        <w:autoSpaceDN/>
        <w:bidi w:val="0"/>
        <w:adjustRightInd/>
        <w:snapToGrid/>
        <w:spacing w:line="380" w:lineRule="exact"/>
        <w:ind w:firstLine="430"/>
        <w:textAlignment w:val="auto"/>
        <w:rPr>
          <w:bCs/>
        </w:rPr>
      </w:pPr>
      <w:r>
        <w:rPr>
          <w:rFonts w:hint="eastAsia"/>
          <w:bCs/>
        </w:rPr>
        <w:t>4、推荐成交候选人和编写评审报告</w:t>
      </w:r>
    </w:p>
    <w:p>
      <w:pPr>
        <w:pStyle w:val="12"/>
        <w:spacing w:line="400" w:lineRule="exact"/>
        <w:rPr>
          <w:b/>
          <w:bCs/>
        </w:rPr>
      </w:pPr>
      <w:r>
        <w:rPr>
          <w:rFonts w:hint="eastAsia"/>
          <w:b/>
          <w:bCs/>
        </w:rPr>
        <w:t>二、评审方法和标准</w:t>
      </w:r>
    </w:p>
    <w:p>
      <w:pPr>
        <w:pStyle w:val="12"/>
        <w:keepNext w:val="0"/>
        <w:keepLines w:val="0"/>
        <w:pageBreakBefore w:val="0"/>
        <w:widowControl w:val="0"/>
        <w:kinsoku/>
        <w:wordWrap/>
        <w:overflowPunct/>
        <w:topLinePunct w:val="0"/>
        <w:autoSpaceDE/>
        <w:autoSpaceDN/>
        <w:bidi w:val="0"/>
        <w:adjustRightInd/>
        <w:snapToGrid/>
        <w:spacing w:line="380" w:lineRule="exact"/>
        <w:ind w:firstLine="431"/>
        <w:textAlignment w:val="auto"/>
        <w:rPr>
          <w:bCs/>
        </w:rPr>
      </w:pPr>
      <w:r>
        <w:rPr>
          <w:rFonts w:hint="eastAsia"/>
          <w:bCs/>
        </w:rPr>
        <w:t>（一）评审方法：本项目采用综合评分法，响应文件满足磋商文件全部实质性要求且按评审因素的量化指标评审得分最高的竞标人为成交候选人。</w:t>
      </w:r>
    </w:p>
    <w:p>
      <w:pPr>
        <w:pStyle w:val="12"/>
        <w:keepNext w:val="0"/>
        <w:keepLines w:val="0"/>
        <w:pageBreakBefore w:val="0"/>
        <w:widowControl w:val="0"/>
        <w:kinsoku/>
        <w:wordWrap/>
        <w:overflowPunct/>
        <w:topLinePunct w:val="0"/>
        <w:autoSpaceDE/>
        <w:autoSpaceDN/>
        <w:bidi w:val="0"/>
        <w:adjustRightInd/>
        <w:snapToGrid/>
        <w:spacing w:line="380" w:lineRule="exact"/>
        <w:ind w:firstLine="431"/>
        <w:textAlignment w:val="auto"/>
        <w:rPr>
          <w:bCs/>
        </w:rPr>
      </w:pPr>
      <w:r>
        <w:rPr>
          <w:rFonts w:hint="eastAsia"/>
          <w:bCs/>
        </w:rPr>
        <w:t>（二）评审标准（按四舍五入取至百分位两位小数）</w:t>
      </w:r>
    </w:p>
    <w:p>
      <w:pPr>
        <w:pStyle w:val="12"/>
        <w:spacing w:line="400" w:lineRule="exact"/>
        <w:ind w:right="92" w:rightChars="44"/>
        <w:rPr>
          <w:rFonts w:hAnsi="宋体"/>
          <w:b/>
        </w:rPr>
      </w:pPr>
      <w:bookmarkStart w:id="340" w:name="_Toc395066558"/>
      <w:bookmarkStart w:id="341" w:name="_Toc405943016"/>
      <w:bookmarkStart w:id="342" w:name="_Toc444006021"/>
      <w:bookmarkStart w:id="343" w:name="_Toc489352172"/>
      <w:r>
        <w:rPr>
          <w:rFonts w:hint="eastAsia" w:hAnsi="宋体"/>
          <w:b/>
        </w:rPr>
        <w:t xml:space="preserve">1、报价得分…………………………………………………………………………………………20分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bCs/>
          <w:szCs w:val="21"/>
        </w:rPr>
      </w:pPr>
      <w:r>
        <w:rPr>
          <w:rFonts w:hint="eastAsia" w:ascii="宋体" w:hAnsi="宋体"/>
          <w:bCs/>
          <w:szCs w:val="21"/>
        </w:rPr>
        <w:t>以通过初步评审的竞标人的</w:t>
      </w:r>
      <w:r>
        <w:rPr>
          <w:rFonts w:hint="eastAsia" w:ascii="宋体" w:hAnsi="宋体" w:cs="宋体"/>
          <w:szCs w:val="21"/>
        </w:rPr>
        <w:t>最低有效报价</w:t>
      </w:r>
      <w:r>
        <w:rPr>
          <w:rFonts w:hint="eastAsia" w:ascii="宋体" w:hAnsi="宋体"/>
          <w:bCs/>
          <w:szCs w:val="21"/>
        </w:rPr>
        <w:t>作为评标基准价</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bCs/>
          <w:szCs w:val="21"/>
        </w:rPr>
      </w:pPr>
      <w:r>
        <w:rPr>
          <w:rFonts w:hint="eastAsia" w:ascii="宋体" w:hAnsi="宋体"/>
          <w:bCs/>
          <w:szCs w:val="21"/>
        </w:rPr>
        <w:t>◆某竞标人价格分=（</w:t>
      </w:r>
      <w:r>
        <w:rPr>
          <w:rFonts w:hint="eastAsia" w:ascii="宋体" w:hAnsi="宋体" w:cs="宋体"/>
          <w:szCs w:val="21"/>
        </w:rPr>
        <w:t>最低有效报价</w:t>
      </w:r>
      <w:r>
        <w:rPr>
          <w:rFonts w:hint="eastAsia" w:ascii="宋体" w:hAnsi="宋体"/>
          <w:bCs/>
          <w:szCs w:val="21"/>
        </w:rPr>
        <w:t>÷</w:t>
      </w:r>
      <w:r>
        <w:rPr>
          <w:rFonts w:hint="eastAsia" w:ascii="宋体" w:hAnsi="宋体" w:cs="宋体"/>
          <w:szCs w:val="21"/>
        </w:rPr>
        <w:t>某竞标人有效报价</w:t>
      </w:r>
      <w:r>
        <w:rPr>
          <w:rFonts w:hint="eastAsia" w:ascii="宋体" w:hAnsi="宋体"/>
          <w:bCs/>
          <w:szCs w:val="21"/>
        </w:rPr>
        <w:t>）×20</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cs="宋体"/>
          <w:szCs w:val="21"/>
        </w:rPr>
      </w:pPr>
      <w:r>
        <w:rPr>
          <w:rFonts w:hint="eastAsia" w:ascii="宋体" w:hAnsi="宋体"/>
          <w:bCs/>
          <w:szCs w:val="21"/>
        </w:rPr>
        <w:t>◆</w:t>
      </w:r>
      <w:r>
        <w:rPr>
          <w:rFonts w:hint="eastAsia" w:ascii="宋体" w:hAnsi="宋体" w:cs="宋体"/>
          <w:szCs w:val="21"/>
        </w:rPr>
        <w:t>根据《政府采购促进中小企业发展暂行办法》的通知（财库〔2011〕181号）和《财政部</w:t>
      </w:r>
      <w:r>
        <w:rPr>
          <w:rFonts w:ascii="宋体" w:hAnsi="宋体" w:cs="宋体"/>
          <w:szCs w:val="21"/>
        </w:rPr>
        <w:t xml:space="preserve"> </w:t>
      </w:r>
      <w:r>
        <w:rPr>
          <w:rFonts w:hint="eastAsia" w:ascii="宋体" w:hAnsi="宋体" w:cs="宋体"/>
          <w:szCs w:val="21"/>
        </w:rPr>
        <w:t>民政部</w:t>
      </w:r>
      <w:r>
        <w:rPr>
          <w:rFonts w:ascii="宋体" w:hAnsi="宋体" w:cs="宋体"/>
          <w:szCs w:val="21"/>
        </w:rPr>
        <w:t xml:space="preserve"> </w:t>
      </w:r>
      <w:r>
        <w:rPr>
          <w:rFonts w:hint="eastAsia" w:ascii="宋体" w:hAnsi="宋体" w:cs="宋体"/>
          <w:szCs w:val="21"/>
        </w:rPr>
        <w:t>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号）文件指导精神：</w:t>
      </w:r>
      <w:r>
        <w:rPr>
          <w:rFonts w:ascii="宋体" w:hAnsi="宋体" w:cs="宋体"/>
          <w:szCs w:val="21"/>
        </w:rPr>
        <w:t>对小型和微型企业</w:t>
      </w:r>
      <w:r>
        <w:rPr>
          <w:rFonts w:hint="eastAsia" w:ascii="宋体" w:hAnsi="宋体" w:cs="宋体"/>
          <w:szCs w:val="21"/>
        </w:rPr>
        <w:t>（监狱企业（提供由省级以上监狱管理局、戒毒管理局（含新疆生产建设兵团）出具的属于监狱企业的证明文件）、残疾人福利性单位均视为</w:t>
      </w:r>
      <w:r>
        <w:rPr>
          <w:rFonts w:ascii="宋体" w:hAnsi="宋体" w:cs="宋体"/>
          <w:szCs w:val="21"/>
        </w:rPr>
        <w:t>小型和微型企业</w:t>
      </w:r>
      <w:r>
        <w:rPr>
          <w:rFonts w:hint="eastAsia" w:ascii="宋体" w:hAnsi="宋体" w:cs="宋体"/>
          <w:szCs w:val="21"/>
        </w:rPr>
        <w:t>）竞标</w:t>
      </w:r>
      <w:r>
        <w:rPr>
          <w:rFonts w:ascii="宋体" w:hAnsi="宋体" w:cs="宋体"/>
          <w:szCs w:val="21"/>
        </w:rPr>
        <w:t>价格给予</w:t>
      </w:r>
      <w:r>
        <w:rPr>
          <w:rFonts w:hint="eastAsia" w:ascii="宋体" w:hAnsi="宋体"/>
          <w:bCs/>
          <w:szCs w:val="21"/>
        </w:rPr>
        <w:t>6%</w:t>
      </w:r>
      <w:r>
        <w:rPr>
          <w:rFonts w:ascii="宋体" w:hAnsi="宋体" w:cs="宋体"/>
          <w:szCs w:val="21"/>
        </w:rPr>
        <w:t>的扣除，用扣除后的价格参与评审。</w:t>
      </w:r>
      <w:r>
        <w:rPr>
          <w:rFonts w:hint="eastAsia" w:ascii="宋体" w:hAnsi="宋体" w:cs="宋体"/>
          <w:szCs w:val="21"/>
        </w:rPr>
        <w:t>即评标价</w:t>
      </w:r>
      <w:r>
        <w:rPr>
          <w:rFonts w:ascii="宋体" w:hAnsi="宋体" w:cs="宋体"/>
          <w:szCs w:val="21"/>
        </w:rPr>
        <w:t>=</w:t>
      </w:r>
      <w:r>
        <w:rPr>
          <w:rFonts w:hint="eastAsia" w:ascii="宋体" w:hAnsi="宋体" w:cs="宋体"/>
          <w:szCs w:val="21"/>
        </w:rPr>
        <w:t>竞标价×（</w:t>
      </w:r>
      <w:r>
        <w:rPr>
          <w:rFonts w:ascii="宋体" w:hAnsi="宋体" w:cs="宋体"/>
          <w:szCs w:val="21"/>
        </w:rPr>
        <w:t>1-</w:t>
      </w:r>
      <w:r>
        <w:rPr>
          <w:rFonts w:hint="eastAsia" w:ascii="宋体" w:hAnsi="宋体"/>
          <w:bCs/>
          <w:szCs w:val="21"/>
        </w:rPr>
        <w:t>6%</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bCs/>
          <w:szCs w:val="21"/>
        </w:rPr>
      </w:pPr>
      <w:r>
        <w:rPr>
          <w:rFonts w:hint="eastAsia" w:ascii="宋体" w:hAnsi="宋体"/>
          <w:bCs/>
          <w:szCs w:val="21"/>
        </w:rPr>
        <w:t>◆在评标过程中，评标委员会发现竞标人的竞标报价明显低于其他竞标人的竞标报价或者明显低于上限控制价（与上限控制价相比较让利幅度＞10%）的，有理由怀疑其竞标报价可能低于其成本价，应当要求该竞标标人做出书面说明并提供相关证明材料。竞标人不能合理说明或者不能提供相关证明材料的，视作该竞标人以低于成本报价竞标，报价分做0分处理。</w:t>
      </w:r>
    </w:p>
    <w:p>
      <w:pPr>
        <w:pStyle w:val="12"/>
        <w:spacing w:line="400" w:lineRule="exact"/>
        <w:ind w:right="92" w:rightChars="44"/>
        <w:rPr>
          <w:rFonts w:hAnsi="宋体"/>
        </w:rPr>
      </w:pPr>
      <w:r>
        <w:rPr>
          <w:rFonts w:hint="eastAsia" w:hAnsi="宋体"/>
          <w:b/>
        </w:rPr>
        <w:t>2、技术分……………………………………………………………………………………………</w:t>
      </w:r>
      <w:r>
        <w:rPr>
          <w:rFonts w:hAnsi="宋体"/>
          <w:b/>
        </w:rPr>
        <w:t>36</w:t>
      </w:r>
      <w:r>
        <w:rPr>
          <w:rFonts w:hint="eastAsia" w:hAnsi="宋体"/>
          <w:b/>
        </w:rPr>
        <w:t xml:space="preserve">分     </w:t>
      </w:r>
    </w:p>
    <w:p>
      <w:pPr>
        <w:pStyle w:val="10"/>
        <w:rPr>
          <w:rFonts w:ascii="宋体" w:hAnsi="宋体"/>
          <w:szCs w:val="21"/>
          <w:lang w:bidi="ar"/>
        </w:rPr>
      </w:pPr>
      <w:r>
        <w:rPr>
          <w:rFonts w:hint="eastAsia" w:ascii="宋体" w:hAnsi="宋体"/>
          <w:b/>
          <w:szCs w:val="21"/>
        </w:rPr>
        <w:t>（1）</w:t>
      </w:r>
      <w:r>
        <w:rPr>
          <w:rFonts w:hint="eastAsia" w:ascii="宋体" w:hAnsi="宋体" w:cs="宋体"/>
          <w:b/>
          <w:spacing w:val="4"/>
          <w:kern w:val="0"/>
          <w:szCs w:val="21"/>
        </w:rPr>
        <w:t>项目总体情况熟悉情况</w:t>
      </w:r>
      <w:r>
        <w:rPr>
          <w:rFonts w:hint="eastAsia" w:ascii="宋体" w:hAnsi="宋体"/>
          <w:b/>
          <w:szCs w:val="21"/>
        </w:rPr>
        <w:t>（满分</w:t>
      </w:r>
      <w:r>
        <w:rPr>
          <w:rFonts w:ascii="宋体" w:hAnsi="宋体"/>
          <w:b/>
          <w:szCs w:val="21"/>
        </w:rPr>
        <w:t>8</w:t>
      </w:r>
      <w:r>
        <w:rPr>
          <w:rFonts w:hint="eastAsia" w:ascii="宋体" w:hAnsi="宋体"/>
          <w:b/>
          <w:szCs w:val="21"/>
        </w:rPr>
        <w:t>分）</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szCs w:val="21"/>
        </w:rPr>
      </w:pPr>
      <w:r>
        <w:rPr>
          <w:rFonts w:hint="eastAsia" w:ascii="宋体" w:hAnsi="宋体" w:cs="宋体"/>
          <w:kern w:val="0"/>
          <w:szCs w:val="21"/>
          <w:lang w:bidi="ar"/>
        </w:rPr>
        <w:t>一档（</w:t>
      </w:r>
      <w:r>
        <w:rPr>
          <w:rFonts w:ascii="宋体" w:hAnsi="宋体" w:cs="宋体"/>
          <w:kern w:val="0"/>
          <w:szCs w:val="21"/>
          <w:lang w:bidi="ar"/>
        </w:rPr>
        <w:t>2</w:t>
      </w:r>
      <w:r>
        <w:rPr>
          <w:rFonts w:hint="eastAsia" w:ascii="宋体" w:hAnsi="宋体" w:cs="宋体"/>
          <w:kern w:val="0"/>
          <w:szCs w:val="21"/>
          <w:lang w:bidi="ar"/>
        </w:rPr>
        <w:t xml:space="preserve">分）：对本项目安全利用治理的特点、项目内容、治理的目标等不熟悉；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szCs w:val="21"/>
        </w:rPr>
      </w:pPr>
      <w:r>
        <w:rPr>
          <w:rFonts w:hint="eastAsia" w:ascii="宋体" w:hAnsi="宋体" w:cs="宋体"/>
          <w:kern w:val="0"/>
          <w:szCs w:val="21"/>
          <w:lang w:bidi="ar"/>
        </w:rPr>
        <w:t>二档（</w:t>
      </w:r>
      <w:r>
        <w:rPr>
          <w:rFonts w:ascii="宋体" w:hAnsi="宋体" w:cs="宋体"/>
          <w:kern w:val="0"/>
          <w:szCs w:val="21"/>
          <w:lang w:bidi="ar"/>
        </w:rPr>
        <w:t>4</w:t>
      </w:r>
      <w:r>
        <w:rPr>
          <w:rFonts w:hint="eastAsia" w:ascii="宋体" w:hAnsi="宋体" w:cs="宋体"/>
          <w:kern w:val="0"/>
          <w:szCs w:val="21"/>
          <w:lang w:bidi="ar"/>
        </w:rPr>
        <w:t xml:space="preserve">分）：对本项目安全利用治理的特点、项目内容、治理的目标等一般熟悉；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ascii="宋体" w:hAnsi="宋体" w:cs="宋体"/>
          <w:kern w:val="0"/>
          <w:szCs w:val="21"/>
          <w:lang w:bidi="ar"/>
        </w:rPr>
      </w:pPr>
      <w:r>
        <w:rPr>
          <w:rFonts w:hint="eastAsia" w:ascii="宋体" w:hAnsi="宋体" w:cs="宋体"/>
          <w:kern w:val="0"/>
          <w:szCs w:val="21"/>
          <w:lang w:bidi="ar"/>
        </w:rPr>
        <w:t>三档（</w:t>
      </w:r>
      <w:r>
        <w:rPr>
          <w:rFonts w:ascii="宋体" w:hAnsi="宋体" w:cs="宋体"/>
          <w:kern w:val="0"/>
          <w:szCs w:val="21"/>
          <w:lang w:bidi="ar"/>
        </w:rPr>
        <w:t>6</w:t>
      </w:r>
      <w:r>
        <w:rPr>
          <w:rFonts w:hint="eastAsia" w:ascii="宋体" w:hAnsi="宋体" w:cs="宋体"/>
          <w:kern w:val="0"/>
          <w:szCs w:val="21"/>
          <w:lang w:bidi="ar"/>
        </w:rPr>
        <w:t>分）：对本项目安全利用治理的特点、项目内容、治理的目标等熟悉；</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lang w:bidi="ar"/>
        </w:rPr>
      </w:pPr>
      <w:r>
        <w:rPr>
          <w:rFonts w:hint="eastAsia" w:ascii="宋体" w:hAnsi="宋体" w:cs="宋体"/>
          <w:kern w:val="0"/>
          <w:szCs w:val="21"/>
          <w:lang w:bidi="ar"/>
        </w:rPr>
        <w:t>四档（</w:t>
      </w:r>
      <w:r>
        <w:rPr>
          <w:rFonts w:ascii="宋体" w:hAnsi="宋体" w:cs="宋体"/>
          <w:kern w:val="0"/>
          <w:szCs w:val="21"/>
          <w:lang w:bidi="ar"/>
        </w:rPr>
        <w:t>8</w:t>
      </w:r>
      <w:r>
        <w:rPr>
          <w:rFonts w:hint="eastAsia" w:ascii="宋体" w:hAnsi="宋体" w:cs="宋体"/>
          <w:kern w:val="0"/>
          <w:szCs w:val="21"/>
          <w:lang w:bidi="ar"/>
        </w:rPr>
        <w:t>分）：对本项目安全利用治理的特点、项目内容、治理的目标非常熟悉。</w:t>
      </w:r>
    </w:p>
    <w:p>
      <w:pPr>
        <w:widowControl/>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w:t>
      </w:r>
      <w:r>
        <w:rPr>
          <w:rFonts w:hint="eastAsia" w:cs="宋体" w:asciiTheme="minorEastAsia" w:hAnsiTheme="minorEastAsia" w:eastAsiaTheme="minorEastAsia"/>
          <w:b/>
          <w:spacing w:val="4"/>
          <w:kern w:val="0"/>
          <w:szCs w:val="21"/>
        </w:rPr>
        <w:t>项目实施效果的技术措施</w:t>
      </w:r>
      <w:r>
        <w:rPr>
          <w:rFonts w:hint="eastAsia" w:cs="宋体" w:asciiTheme="minorEastAsia" w:hAnsiTheme="minorEastAsia" w:eastAsiaTheme="minorEastAsia"/>
          <w:b/>
          <w:szCs w:val="21"/>
        </w:rPr>
        <w:t>（满分</w:t>
      </w:r>
      <w:r>
        <w:rPr>
          <w:rFonts w:cs="宋体" w:asciiTheme="minorEastAsia" w:hAnsiTheme="minorEastAsia" w:eastAsiaTheme="minorEastAsia"/>
          <w:b/>
          <w:szCs w:val="21"/>
        </w:rPr>
        <w:t>8</w:t>
      </w:r>
      <w:r>
        <w:rPr>
          <w:rFonts w:hint="eastAsia" w:cs="宋体" w:asciiTheme="minorEastAsia" w:hAnsiTheme="minorEastAsia" w:eastAsiaTheme="minorEastAsia"/>
          <w:b/>
          <w:szCs w:val="21"/>
        </w:rPr>
        <w:t>分）</w:t>
      </w:r>
    </w:p>
    <w:p>
      <w:pPr>
        <w:widowControl/>
        <w:spacing w:line="400" w:lineRule="exact"/>
        <w:ind w:firstLine="420" w:firstLineChars="200"/>
        <w:jc w:val="left"/>
        <w:rPr>
          <w:rFonts w:ascii="宋体" w:hAnsi="宋体" w:cs="宋体"/>
          <w:kern w:val="0"/>
          <w:szCs w:val="21"/>
          <w:lang w:bidi="ar"/>
        </w:rPr>
      </w:pPr>
      <w:r>
        <w:rPr>
          <w:rFonts w:hint="eastAsia" w:ascii="宋体" w:hAnsi="宋体" w:cs="宋体"/>
          <w:kern w:val="0"/>
          <w:szCs w:val="21"/>
          <w:lang w:bidi="ar"/>
        </w:rPr>
        <w:t>一档（</w:t>
      </w:r>
      <w:r>
        <w:rPr>
          <w:rFonts w:ascii="宋体" w:hAnsi="宋体" w:cs="宋体"/>
          <w:kern w:val="0"/>
          <w:szCs w:val="21"/>
          <w:lang w:bidi="ar"/>
        </w:rPr>
        <w:t>2</w:t>
      </w:r>
      <w:r>
        <w:rPr>
          <w:rFonts w:hint="eastAsia" w:ascii="宋体" w:hAnsi="宋体" w:cs="宋体"/>
          <w:kern w:val="0"/>
          <w:szCs w:val="21"/>
          <w:lang w:bidi="ar"/>
        </w:rPr>
        <w:t xml:space="preserve">分）：针对项目实际提出的先进、可行的具体技术保证措施，不满足受污染耕地安全利用目标的要求，对农作物稳产有一定的帮助，预期效果差。； </w:t>
      </w:r>
    </w:p>
    <w:p>
      <w:pPr>
        <w:widowControl/>
        <w:spacing w:line="400" w:lineRule="exact"/>
        <w:ind w:firstLine="420" w:firstLineChars="200"/>
        <w:jc w:val="left"/>
        <w:rPr>
          <w:rFonts w:ascii="宋体" w:hAnsi="宋体" w:cs="宋体"/>
          <w:kern w:val="0"/>
          <w:szCs w:val="21"/>
          <w:lang w:bidi="ar"/>
        </w:rPr>
      </w:pPr>
      <w:r>
        <w:rPr>
          <w:rFonts w:hint="eastAsia" w:ascii="宋体" w:hAnsi="宋体" w:cs="宋体"/>
          <w:kern w:val="0"/>
          <w:szCs w:val="21"/>
          <w:lang w:bidi="ar"/>
        </w:rPr>
        <w:t>二档（</w:t>
      </w:r>
      <w:r>
        <w:rPr>
          <w:rFonts w:ascii="宋体" w:hAnsi="宋体" w:cs="宋体"/>
          <w:kern w:val="0"/>
          <w:szCs w:val="21"/>
          <w:lang w:bidi="ar"/>
        </w:rPr>
        <w:t>4</w:t>
      </w:r>
      <w:r>
        <w:rPr>
          <w:rFonts w:hint="eastAsia" w:ascii="宋体" w:hAnsi="宋体" w:cs="宋体"/>
          <w:kern w:val="0"/>
          <w:szCs w:val="21"/>
          <w:lang w:bidi="ar"/>
        </w:rPr>
        <w:t xml:space="preserve">分）：针对项目实际提出的先进、可行的具体技术保证措施，满足受污染耕地安全利用目标的要求，对农作物稳产帮助一般，预期效果一般； </w:t>
      </w:r>
    </w:p>
    <w:p>
      <w:pPr>
        <w:widowControl/>
        <w:spacing w:line="400" w:lineRule="exact"/>
        <w:ind w:firstLine="420" w:firstLineChars="200"/>
        <w:jc w:val="left"/>
        <w:rPr>
          <w:rFonts w:ascii="宋体" w:hAnsi="宋体" w:cs="宋体"/>
          <w:kern w:val="0"/>
          <w:szCs w:val="21"/>
          <w:lang w:bidi="ar"/>
        </w:rPr>
      </w:pPr>
      <w:r>
        <w:rPr>
          <w:rFonts w:hint="eastAsia" w:ascii="宋体" w:hAnsi="宋体" w:cs="宋体"/>
          <w:kern w:val="0"/>
          <w:szCs w:val="21"/>
          <w:lang w:bidi="ar"/>
        </w:rPr>
        <w:t>三档（</w:t>
      </w:r>
      <w:r>
        <w:rPr>
          <w:rFonts w:ascii="宋体" w:hAnsi="宋体" w:cs="宋体"/>
          <w:kern w:val="0"/>
          <w:szCs w:val="21"/>
          <w:lang w:bidi="ar"/>
        </w:rPr>
        <w:t>6</w:t>
      </w:r>
      <w:r>
        <w:rPr>
          <w:rFonts w:hint="eastAsia" w:ascii="宋体" w:hAnsi="宋体" w:cs="宋体"/>
          <w:kern w:val="0"/>
          <w:szCs w:val="21"/>
          <w:lang w:bidi="ar"/>
        </w:rPr>
        <w:t xml:space="preserve">分）：针对项目实际提出的先进、可行的具体技术保证措施，满足受污染耕地安全利用目标的要求，对农作物稳产有帮助，预期效果好； </w:t>
      </w:r>
    </w:p>
    <w:p>
      <w:pPr>
        <w:widowControl/>
        <w:spacing w:line="400" w:lineRule="exact"/>
        <w:ind w:firstLine="420" w:firstLineChars="200"/>
        <w:jc w:val="left"/>
        <w:rPr>
          <w:rFonts w:ascii="宋体" w:hAnsi="宋体" w:cs="宋体"/>
          <w:kern w:val="0"/>
          <w:szCs w:val="21"/>
          <w:lang w:bidi="ar"/>
        </w:rPr>
      </w:pPr>
      <w:r>
        <w:rPr>
          <w:rFonts w:hint="eastAsia" w:ascii="宋体" w:hAnsi="宋体" w:cs="宋体"/>
          <w:kern w:val="0"/>
          <w:szCs w:val="21"/>
          <w:lang w:bidi="ar"/>
        </w:rPr>
        <w:t>四档（</w:t>
      </w:r>
      <w:r>
        <w:rPr>
          <w:rFonts w:ascii="宋体" w:hAnsi="宋体" w:cs="宋体"/>
          <w:kern w:val="0"/>
          <w:szCs w:val="21"/>
          <w:lang w:bidi="ar"/>
        </w:rPr>
        <w:t>8</w:t>
      </w:r>
      <w:r>
        <w:rPr>
          <w:rFonts w:hint="eastAsia" w:ascii="宋体" w:hAnsi="宋体" w:cs="宋体"/>
          <w:kern w:val="0"/>
          <w:szCs w:val="21"/>
          <w:lang w:bidi="ar"/>
        </w:rPr>
        <w:t>分）：针对项目实际提出的先进、可行的具体技术保证措施，完全满足受污染耕地安全利用目标的要求，对农作物稳产有很大的帮助，预期效果较好。</w:t>
      </w:r>
    </w:p>
    <w:p>
      <w:pPr>
        <w:pStyle w:val="12"/>
        <w:spacing w:line="400" w:lineRule="exact"/>
        <w:rPr>
          <w:rFonts w:hAnsi="宋体"/>
          <w:b/>
          <w:bCs/>
        </w:rPr>
      </w:pPr>
      <w:r>
        <w:rPr>
          <w:rFonts w:hint="eastAsia" w:hAnsi="宋体" w:cs="宋体"/>
          <w:b/>
        </w:rPr>
        <w:t>（3）服务承诺分</w:t>
      </w:r>
      <w:r>
        <w:rPr>
          <w:rFonts w:hint="eastAsia" w:hAnsi="宋体"/>
          <w:b/>
          <w:bCs/>
        </w:rPr>
        <w:t>(满分</w:t>
      </w:r>
      <w:r>
        <w:rPr>
          <w:rFonts w:hAnsi="宋体"/>
          <w:b/>
          <w:bCs/>
        </w:rPr>
        <w:t>4</w:t>
      </w:r>
      <w:r>
        <w:rPr>
          <w:rFonts w:hint="eastAsia" w:hAnsi="宋体"/>
          <w:b/>
          <w:bCs/>
        </w:rPr>
        <w:t>分)</w:t>
      </w:r>
    </w:p>
    <w:p>
      <w:pPr>
        <w:spacing w:line="400" w:lineRule="exact"/>
        <w:ind w:left="565" w:leftChars="269"/>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szCs w:val="21"/>
        </w:rPr>
        <w:t>一档（</w:t>
      </w:r>
      <w:r>
        <w:rPr>
          <w:rFonts w:asciiTheme="majorEastAsia" w:hAnsiTheme="majorEastAsia" w:eastAsiaTheme="majorEastAsia" w:cstheme="majorEastAsia"/>
          <w:szCs w:val="21"/>
        </w:rPr>
        <w:t>1</w:t>
      </w:r>
      <w:r>
        <w:rPr>
          <w:rFonts w:hint="eastAsia" w:asciiTheme="majorEastAsia" w:hAnsiTheme="majorEastAsia" w:eastAsiaTheme="majorEastAsia" w:cstheme="majorEastAsia"/>
          <w:szCs w:val="21"/>
        </w:rPr>
        <w:t>分）：服务承诺不完整</w:t>
      </w:r>
      <w:r>
        <w:rPr>
          <w:rFonts w:hint="eastAsia" w:asciiTheme="majorEastAsia" w:hAnsiTheme="majorEastAsia" w:eastAsiaTheme="majorEastAsia" w:cstheme="majorEastAsia"/>
          <w:bCs/>
          <w:kern w:val="0"/>
          <w:szCs w:val="21"/>
        </w:rPr>
        <w:t>，不能满足项目需求；</w:t>
      </w:r>
    </w:p>
    <w:p>
      <w:pPr>
        <w:spacing w:line="400" w:lineRule="exact"/>
        <w:ind w:firstLine="630" w:firstLineChars="3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二档（</w:t>
      </w:r>
      <w:r>
        <w:rPr>
          <w:rFonts w:asciiTheme="majorEastAsia" w:hAnsiTheme="majorEastAsia" w:eastAsiaTheme="majorEastAsia" w:cstheme="majorEastAsia"/>
          <w:sz w:val="21"/>
          <w:szCs w:val="21"/>
        </w:rPr>
        <w:t>2</w:t>
      </w:r>
      <w:r>
        <w:rPr>
          <w:rFonts w:hint="eastAsia" w:asciiTheme="majorEastAsia" w:hAnsiTheme="majorEastAsia" w:eastAsiaTheme="majorEastAsia" w:cstheme="majorEastAsia"/>
          <w:sz w:val="21"/>
          <w:szCs w:val="21"/>
        </w:rPr>
        <w:t>分）：服务承诺一般，</w:t>
      </w:r>
      <w:r>
        <w:rPr>
          <w:rFonts w:hint="eastAsia" w:asciiTheme="majorEastAsia" w:hAnsiTheme="majorEastAsia" w:eastAsiaTheme="majorEastAsia" w:cstheme="majorEastAsia"/>
          <w:bCs/>
          <w:kern w:val="0"/>
          <w:sz w:val="21"/>
          <w:szCs w:val="21"/>
        </w:rPr>
        <w:t>基本满足项目需求；</w:t>
      </w:r>
    </w:p>
    <w:p>
      <w:pPr>
        <w:spacing w:line="400" w:lineRule="exact"/>
        <w:ind w:left="565" w:leftChars="269"/>
        <w:jc w:val="left"/>
        <w:rPr>
          <w:rFonts w:asciiTheme="majorEastAsia" w:hAnsiTheme="majorEastAsia" w:eastAsiaTheme="majorEastAsia" w:cstheme="majorEastAsia"/>
          <w:bCs/>
          <w:kern w:val="0"/>
          <w:szCs w:val="21"/>
        </w:rPr>
      </w:pPr>
      <w:r>
        <w:rPr>
          <w:rFonts w:hint="eastAsia" w:asciiTheme="majorEastAsia" w:hAnsiTheme="majorEastAsia" w:eastAsiaTheme="majorEastAsia" w:cstheme="majorEastAsia"/>
          <w:szCs w:val="21"/>
        </w:rPr>
        <w:t>三档（</w:t>
      </w:r>
      <w:r>
        <w:rPr>
          <w:rFonts w:asciiTheme="majorEastAsia" w:hAnsiTheme="majorEastAsia" w:eastAsiaTheme="majorEastAsia" w:cstheme="majorEastAsia"/>
          <w:szCs w:val="21"/>
        </w:rPr>
        <w:t>3</w:t>
      </w:r>
      <w:r>
        <w:rPr>
          <w:rFonts w:hint="eastAsia" w:asciiTheme="majorEastAsia" w:hAnsiTheme="majorEastAsia" w:eastAsiaTheme="majorEastAsia" w:cstheme="majorEastAsia"/>
          <w:szCs w:val="21"/>
        </w:rPr>
        <w:t>分）：服务承诺良好，后续服务承诺合理，</w:t>
      </w:r>
      <w:r>
        <w:rPr>
          <w:rFonts w:hint="eastAsia" w:asciiTheme="majorEastAsia" w:hAnsiTheme="majorEastAsia" w:eastAsiaTheme="majorEastAsia" w:cstheme="majorEastAsia"/>
          <w:bCs/>
          <w:kern w:val="0"/>
          <w:szCs w:val="21"/>
        </w:rPr>
        <w:t>能满足项目需求；；</w:t>
      </w:r>
    </w:p>
    <w:p>
      <w:pPr>
        <w:spacing w:line="400" w:lineRule="exact"/>
        <w:ind w:left="565" w:leftChars="269"/>
        <w:jc w:val="left"/>
        <w:rPr>
          <w:rFonts w:hAnsi="宋体"/>
          <w:bCs/>
          <w:kern w:val="0"/>
          <w:szCs w:val="21"/>
        </w:rPr>
      </w:pPr>
      <w:r>
        <w:rPr>
          <w:rFonts w:hint="eastAsia" w:asciiTheme="majorEastAsia" w:hAnsiTheme="majorEastAsia" w:eastAsiaTheme="majorEastAsia" w:cstheme="majorEastAsia"/>
          <w:szCs w:val="21"/>
        </w:rPr>
        <w:t>四档（</w:t>
      </w:r>
      <w:r>
        <w:rPr>
          <w:rFonts w:asciiTheme="majorEastAsia" w:hAnsiTheme="majorEastAsia" w:eastAsiaTheme="majorEastAsia" w:cstheme="majorEastAsia"/>
          <w:szCs w:val="21"/>
        </w:rPr>
        <w:t>4</w:t>
      </w:r>
      <w:r>
        <w:rPr>
          <w:rFonts w:hint="eastAsia" w:asciiTheme="majorEastAsia" w:hAnsiTheme="majorEastAsia" w:eastAsiaTheme="majorEastAsia" w:cstheme="majorEastAsia"/>
          <w:szCs w:val="21"/>
        </w:rPr>
        <w:t>分）：服务承诺优秀，后续服务承诺全面、周到，</w:t>
      </w:r>
      <w:r>
        <w:rPr>
          <w:rFonts w:hint="eastAsia" w:asciiTheme="majorEastAsia" w:hAnsiTheme="majorEastAsia" w:eastAsiaTheme="majorEastAsia" w:cstheme="majorEastAsia"/>
          <w:bCs/>
          <w:kern w:val="0"/>
          <w:szCs w:val="21"/>
        </w:rPr>
        <w:t>完全满足或优于需求；</w:t>
      </w:r>
      <w:r>
        <w:rPr>
          <w:rFonts w:hint="eastAsia" w:hAnsi="宋体"/>
          <w:bCs/>
          <w:kern w:val="0"/>
          <w:szCs w:val="21"/>
        </w:rPr>
        <w:t xml:space="preserve"> </w:t>
      </w:r>
    </w:p>
    <w:p>
      <w:pPr>
        <w:spacing w:line="400" w:lineRule="exact"/>
        <w:jc w:val="left"/>
        <w:rPr>
          <w:rFonts w:ascii="宋体" w:hAnsi="宋体"/>
          <w:szCs w:val="21"/>
        </w:rPr>
      </w:pPr>
      <w:r>
        <w:rPr>
          <w:rFonts w:hint="eastAsia" w:ascii="宋体" w:hAnsi="宋体"/>
          <w:bCs/>
          <w:kern w:val="0"/>
          <w:szCs w:val="21"/>
        </w:rPr>
        <w:t>（4）</w:t>
      </w:r>
      <w:r>
        <w:rPr>
          <w:rFonts w:hint="eastAsia" w:ascii="宋体" w:hAnsi="宋体" w:cs="宋体"/>
          <w:b/>
          <w:kern w:val="0"/>
          <w:szCs w:val="21"/>
          <w:lang w:bidi="ar"/>
        </w:rPr>
        <w:t>质量保证措施（满分</w:t>
      </w:r>
      <w:r>
        <w:rPr>
          <w:rFonts w:ascii="宋体" w:hAnsi="宋体" w:cs="宋体"/>
          <w:b/>
          <w:kern w:val="0"/>
          <w:szCs w:val="21"/>
          <w:lang w:bidi="ar"/>
        </w:rPr>
        <w:t>8</w:t>
      </w:r>
      <w:r>
        <w:rPr>
          <w:rFonts w:hint="eastAsia" w:ascii="宋体" w:hAnsi="宋体" w:cs="宋体"/>
          <w:b/>
          <w:kern w:val="0"/>
          <w:szCs w:val="21"/>
          <w:lang w:bidi="ar"/>
        </w:rPr>
        <w:t xml:space="preserve">分） </w:t>
      </w:r>
    </w:p>
    <w:p>
      <w:pPr>
        <w:widowControl/>
        <w:spacing w:line="400" w:lineRule="exact"/>
        <w:ind w:firstLine="630" w:firstLineChars="300"/>
        <w:jc w:val="left"/>
        <w:rPr>
          <w:rFonts w:ascii="宋体" w:hAnsi="宋体" w:cs="宋体"/>
          <w:kern w:val="0"/>
          <w:szCs w:val="21"/>
          <w:lang w:bidi="ar"/>
        </w:rPr>
      </w:pPr>
      <w:bookmarkStart w:id="344" w:name="_Hlk44606080"/>
      <w:r>
        <w:rPr>
          <w:rFonts w:hint="eastAsia" w:ascii="宋体" w:hAnsi="宋体" w:cs="宋体"/>
          <w:kern w:val="0"/>
          <w:szCs w:val="21"/>
          <w:lang w:bidi="ar"/>
        </w:rPr>
        <w:t>一档（</w:t>
      </w:r>
      <w:r>
        <w:rPr>
          <w:rFonts w:ascii="宋体" w:hAnsi="宋体" w:cs="宋体"/>
          <w:kern w:val="0"/>
          <w:szCs w:val="21"/>
          <w:lang w:bidi="ar"/>
        </w:rPr>
        <w:t>2</w:t>
      </w:r>
      <w:r>
        <w:rPr>
          <w:rFonts w:hint="eastAsia" w:ascii="宋体" w:hAnsi="宋体" w:cs="宋体"/>
          <w:kern w:val="0"/>
          <w:szCs w:val="21"/>
          <w:lang w:bidi="ar"/>
        </w:rPr>
        <w:t>分）：质量管理体系,质量保证和质量控制措施差，完全不满足项目需求；</w:t>
      </w:r>
    </w:p>
    <w:p>
      <w:pPr>
        <w:widowControl/>
        <w:spacing w:line="400" w:lineRule="exact"/>
        <w:ind w:firstLine="630" w:firstLineChars="300"/>
        <w:jc w:val="left"/>
        <w:rPr>
          <w:rFonts w:ascii="宋体" w:hAnsi="宋体" w:cs="宋体"/>
          <w:kern w:val="0"/>
          <w:szCs w:val="21"/>
          <w:lang w:bidi="ar"/>
        </w:rPr>
      </w:pPr>
      <w:r>
        <w:rPr>
          <w:rFonts w:hint="eastAsia" w:ascii="宋体" w:hAnsi="宋体" w:cs="宋体"/>
          <w:kern w:val="0"/>
          <w:szCs w:val="21"/>
          <w:lang w:bidi="ar"/>
        </w:rPr>
        <w:t>二档（</w:t>
      </w:r>
      <w:r>
        <w:rPr>
          <w:rFonts w:ascii="宋体" w:hAnsi="宋体" w:cs="宋体"/>
          <w:kern w:val="0"/>
          <w:szCs w:val="21"/>
          <w:lang w:bidi="ar"/>
        </w:rPr>
        <w:t>4</w:t>
      </w:r>
      <w:r>
        <w:rPr>
          <w:rFonts w:hint="eastAsia" w:ascii="宋体" w:hAnsi="宋体" w:cs="宋体"/>
          <w:kern w:val="0"/>
          <w:szCs w:val="21"/>
          <w:lang w:bidi="ar"/>
        </w:rPr>
        <w:t>分）：质量管理体系,质量保证和质量控制措施一般，不满足项目需求；</w:t>
      </w:r>
    </w:p>
    <w:p>
      <w:pPr>
        <w:widowControl/>
        <w:spacing w:line="400" w:lineRule="exact"/>
        <w:ind w:firstLine="630" w:firstLineChars="300"/>
        <w:jc w:val="left"/>
        <w:rPr>
          <w:rFonts w:ascii="宋体" w:hAnsi="宋体" w:cs="宋体"/>
          <w:kern w:val="0"/>
          <w:szCs w:val="21"/>
          <w:lang w:bidi="ar"/>
        </w:rPr>
      </w:pPr>
      <w:r>
        <w:rPr>
          <w:rFonts w:hint="eastAsia" w:ascii="宋体" w:hAnsi="宋体" w:cs="宋体"/>
          <w:kern w:val="0"/>
          <w:szCs w:val="21"/>
          <w:lang w:bidi="ar"/>
        </w:rPr>
        <w:t>三档（</w:t>
      </w:r>
      <w:r>
        <w:rPr>
          <w:rFonts w:ascii="宋体" w:hAnsi="宋体" w:cs="宋体"/>
          <w:kern w:val="0"/>
          <w:szCs w:val="21"/>
          <w:lang w:bidi="ar"/>
        </w:rPr>
        <w:t>6</w:t>
      </w:r>
      <w:r>
        <w:rPr>
          <w:rFonts w:hint="eastAsia" w:ascii="宋体" w:hAnsi="宋体" w:cs="宋体"/>
          <w:kern w:val="0"/>
          <w:szCs w:val="21"/>
          <w:lang w:bidi="ar"/>
        </w:rPr>
        <w:t>分）：质量管理体系,质量保证和质量控制措施一般，满足项目需求；</w:t>
      </w:r>
    </w:p>
    <w:p>
      <w:pPr>
        <w:widowControl/>
        <w:spacing w:line="400" w:lineRule="exact"/>
        <w:ind w:firstLine="630" w:firstLineChars="300"/>
        <w:jc w:val="left"/>
        <w:rPr>
          <w:rFonts w:ascii="宋体" w:hAnsi="宋体" w:cs="宋体"/>
          <w:kern w:val="0"/>
          <w:szCs w:val="21"/>
          <w:lang w:bidi="ar"/>
        </w:rPr>
      </w:pPr>
      <w:r>
        <w:rPr>
          <w:rFonts w:hint="eastAsia" w:ascii="宋体" w:hAnsi="宋体" w:cs="宋体"/>
          <w:kern w:val="0"/>
          <w:szCs w:val="21"/>
          <w:lang w:bidi="ar"/>
        </w:rPr>
        <w:t>四档（</w:t>
      </w:r>
      <w:r>
        <w:rPr>
          <w:rFonts w:ascii="宋体" w:hAnsi="宋体" w:cs="宋体"/>
          <w:kern w:val="0"/>
          <w:szCs w:val="21"/>
          <w:lang w:bidi="ar"/>
        </w:rPr>
        <w:t>8</w:t>
      </w:r>
      <w:r>
        <w:rPr>
          <w:rFonts w:hint="eastAsia" w:ascii="宋体" w:hAnsi="宋体" w:cs="宋体"/>
          <w:kern w:val="0"/>
          <w:szCs w:val="21"/>
          <w:lang w:bidi="ar"/>
        </w:rPr>
        <w:t>分）：</w:t>
      </w:r>
      <w:bookmarkStart w:id="345" w:name="_Hlk44605856"/>
      <w:r>
        <w:rPr>
          <w:rFonts w:hint="eastAsia" w:ascii="宋体" w:hAnsi="宋体" w:cs="宋体"/>
          <w:kern w:val="0"/>
          <w:szCs w:val="21"/>
          <w:lang w:bidi="ar"/>
        </w:rPr>
        <w:t>质量管理体系,质量保证和质量控制措施全面，完全满足项目需求。</w:t>
      </w:r>
    </w:p>
    <w:bookmarkEnd w:id="344"/>
    <w:bookmarkEnd w:id="345"/>
    <w:p>
      <w:pPr>
        <w:widowControl/>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（5）安全、文明施工、二次污染防范措施（满分</w:t>
      </w:r>
      <w:r>
        <w:rPr>
          <w:rFonts w:asciiTheme="minorEastAsia" w:hAnsiTheme="minorEastAsia" w:eastAsiaTheme="minorEastAsia"/>
          <w:b/>
          <w:kern w:val="0"/>
          <w:szCs w:val="21"/>
        </w:rPr>
        <w:t>8</w:t>
      </w:r>
      <w:r>
        <w:rPr>
          <w:rFonts w:hint="eastAsia" w:asciiTheme="minorEastAsia" w:hAnsiTheme="minorEastAsia" w:eastAsiaTheme="minorEastAsia"/>
          <w:b/>
          <w:kern w:val="0"/>
          <w:szCs w:val="21"/>
        </w:rPr>
        <w:t>分）</w:t>
      </w:r>
    </w:p>
    <w:p>
      <w:pPr>
        <w:widowControl/>
        <w:spacing w:line="400" w:lineRule="exact"/>
        <w:ind w:firstLine="630" w:firstLineChars="300"/>
        <w:jc w:val="left"/>
        <w:rPr>
          <w:rFonts w:ascii="宋体" w:hAnsi="宋体" w:cs="宋体"/>
          <w:kern w:val="0"/>
          <w:szCs w:val="21"/>
          <w:lang w:bidi="ar"/>
        </w:rPr>
      </w:pPr>
      <w:r>
        <w:rPr>
          <w:rFonts w:hint="eastAsia" w:ascii="宋体" w:hAnsi="宋体" w:cs="宋体"/>
          <w:kern w:val="0"/>
          <w:szCs w:val="21"/>
          <w:lang w:bidi="ar"/>
        </w:rPr>
        <w:t>一档（</w:t>
      </w:r>
      <w:r>
        <w:rPr>
          <w:rFonts w:ascii="宋体" w:hAnsi="宋体" w:cs="宋体"/>
          <w:kern w:val="0"/>
          <w:szCs w:val="21"/>
          <w:lang w:bidi="ar"/>
        </w:rPr>
        <w:t>2</w:t>
      </w:r>
      <w:r>
        <w:rPr>
          <w:rFonts w:hint="eastAsia" w:ascii="宋体" w:hAnsi="宋体" w:cs="宋体"/>
          <w:kern w:val="0"/>
          <w:szCs w:val="21"/>
          <w:lang w:bidi="ar"/>
        </w:rPr>
        <w:t>分）：安全管理人员、安全管理制度，安全措施和应急救援预案较差，不满足有关安全技术标准要求；现场文明施工保证体系及保证措施、环境保护体系及保证措施较差，不满足项目需求；</w:t>
      </w:r>
    </w:p>
    <w:p>
      <w:pPr>
        <w:widowControl/>
        <w:spacing w:line="400" w:lineRule="exact"/>
        <w:ind w:firstLine="630" w:firstLineChars="300"/>
        <w:jc w:val="left"/>
        <w:rPr>
          <w:rFonts w:ascii="宋体" w:hAnsi="宋体" w:cs="宋体"/>
          <w:kern w:val="0"/>
          <w:szCs w:val="21"/>
          <w:lang w:bidi="ar"/>
        </w:rPr>
      </w:pPr>
      <w:r>
        <w:rPr>
          <w:rFonts w:hint="eastAsia" w:ascii="宋体" w:hAnsi="宋体" w:cs="宋体"/>
          <w:kern w:val="0"/>
          <w:szCs w:val="21"/>
          <w:lang w:bidi="ar"/>
        </w:rPr>
        <w:t>二档（</w:t>
      </w:r>
      <w:r>
        <w:rPr>
          <w:rFonts w:ascii="宋体" w:hAnsi="宋体" w:cs="宋体"/>
          <w:kern w:val="0"/>
          <w:szCs w:val="21"/>
          <w:lang w:bidi="ar"/>
        </w:rPr>
        <w:t>4</w:t>
      </w:r>
      <w:r>
        <w:rPr>
          <w:rFonts w:hint="eastAsia" w:ascii="宋体" w:hAnsi="宋体" w:cs="宋体"/>
          <w:kern w:val="0"/>
          <w:szCs w:val="21"/>
          <w:lang w:bidi="ar"/>
        </w:rPr>
        <w:t>分）：安全管理人员、安全管理制度，安全措施和应急救援预案一般，满足有关安全技术标准要求；现场文明施工保证体系及保证措施、环境保护体系及保证措施一般，满足项目需求；</w:t>
      </w:r>
    </w:p>
    <w:p>
      <w:pPr>
        <w:widowControl/>
        <w:spacing w:line="400" w:lineRule="exact"/>
        <w:ind w:firstLine="630" w:firstLineChars="300"/>
        <w:jc w:val="left"/>
        <w:rPr>
          <w:rFonts w:ascii="宋体" w:hAnsi="宋体" w:cs="宋体"/>
          <w:kern w:val="0"/>
          <w:szCs w:val="21"/>
          <w:lang w:bidi="ar"/>
        </w:rPr>
      </w:pPr>
      <w:r>
        <w:rPr>
          <w:rFonts w:hint="eastAsia" w:ascii="宋体" w:hAnsi="宋体" w:cs="宋体"/>
          <w:kern w:val="0"/>
          <w:szCs w:val="21"/>
          <w:lang w:bidi="ar"/>
        </w:rPr>
        <w:t>三档（</w:t>
      </w:r>
      <w:r>
        <w:rPr>
          <w:rFonts w:ascii="宋体" w:hAnsi="宋体" w:cs="宋体"/>
          <w:kern w:val="0"/>
          <w:szCs w:val="21"/>
          <w:lang w:bidi="ar"/>
        </w:rPr>
        <w:t>6</w:t>
      </w:r>
      <w:r>
        <w:rPr>
          <w:rFonts w:hint="eastAsia" w:ascii="宋体" w:hAnsi="宋体" w:cs="宋体"/>
          <w:kern w:val="0"/>
          <w:szCs w:val="21"/>
          <w:lang w:bidi="ar"/>
        </w:rPr>
        <w:t>分）：安全管理人员、安全管理制度，安全措施和应急救援预案较好，满足有关安全技术标准要求；现场文明施工保证体系及保证措施、环境保护体系及保证措施较好，满足项目需求；</w:t>
      </w:r>
    </w:p>
    <w:p>
      <w:pPr>
        <w:widowControl/>
        <w:spacing w:line="400" w:lineRule="exact"/>
        <w:ind w:firstLine="630" w:firstLineChars="300"/>
        <w:jc w:val="left"/>
        <w:rPr>
          <w:rFonts w:ascii="宋体" w:hAnsi="宋体" w:cs="宋体"/>
          <w:kern w:val="0"/>
          <w:szCs w:val="21"/>
          <w:lang w:bidi="ar"/>
        </w:rPr>
      </w:pPr>
      <w:r>
        <w:rPr>
          <w:rFonts w:hint="eastAsia" w:ascii="宋体" w:hAnsi="宋体" w:cs="宋体"/>
          <w:kern w:val="0"/>
          <w:szCs w:val="21"/>
          <w:lang w:bidi="ar"/>
        </w:rPr>
        <w:t>四档（</w:t>
      </w:r>
      <w:r>
        <w:rPr>
          <w:rFonts w:ascii="宋体" w:hAnsi="宋体" w:cs="宋体"/>
          <w:kern w:val="0"/>
          <w:szCs w:val="21"/>
          <w:lang w:bidi="ar"/>
        </w:rPr>
        <w:t>8</w:t>
      </w:r>
      <w:r>
        <w:rPr>
          <w:rFonts w:hint="eastAsia" w:ascii="宋体" w:hAnsi="宋体" w:cs="宋体"/>
          <w:kern w:val="0"/>
          <w:szCs w:val="21"/>
          <w:lang w:bidi="ar"/>
        </w:rPr>
        <w:t>分）：</w:t>
      </w:r>
      <w:bookmarkStart w:id="346" w:name="_Hlk44606332"/>
      <w:r>
        <w:rPr>
          <w:rFonts w:hint="eastAsia" w:ascii="宋体" w:hAnsi="宋体" w:cs="宋体"/>
          <w:kern w:val="0"/>
          <w:szCs w:val="21"/>
          <w:lang w:bidi="ar"/>
        </w:rPr>
        <w:t>安全管理人员、安全管理制度，安全措施和应急救援预案优秀，完全满足有关安全技术标准要求；现场文明施工保证体系及保证措施、环境保护体系及保证措施具体完整，完全满足项目需求。</w:t>
      </w:r>
      <w:bookmarkEnd w:id="346"/>
      <w:bookmarkStart w:id="347" w:name="_Hlk44606226"/>
    </w:p>
    <w:bookmarkEnd w:id="347"/>
    <w:p>
      <w:pPr>
        <w:pStyle w:val="12"/>
        <w:spacing w:line="400" w:lineRule="exact"/>
        <w:rPr>
          <w:rFonts w:hAnsi="宋体" w:cs="宋体"/>
          <w:b/>
          <w:color w:val="auto"/>
        </w:rPr>
      </w:pPr>
      <w:r>
        <w:rPr>
          <w:rFonts w:hint="eastAsia" w:hAnsi="宋体"/>
          <w:b/>
          <w:color w:val="auto"/>
        </w:rPr>
        <w:t>3、</w:t>
      </w:r>
      <w:r>
        <w:rPr>
          <w:rFonts w:hint="eastAsia" w:hAnsi="宋体" w:cs="宋体"/>
          <w:b/>
          <w:bCs/>
          <w:color w:val="auto"/>
        </w:rPr>
        <w:t>项目</w:t>
      </w:r>
      <w:r>
        <w:rPr>
          <w:rFonts w:hint="eastAsia" w:hAnsi="宋体" w:cs="宋体"/>
          <w:b/>
          <w:bCs/>
          <w:color w:val="auto"/>
          <w:lang w:eastAsia="zh-CN"/>
        </w:rPr>
        <w:t>负责人条件</w:t>
      </w:r>
      <w:r>
        <w:rPr>
          <w:rFonts w:hint="eastAsia" w:hAnsi="宋体"/>
          <w:b/>
          <w:color w:val="auto"/>
        </w:rPr>
        <w:t>………………………………………………………………………………………</w:t>
      </w:r>
      <w:r>
        <w:rPr>
          <w:rFonts w:hint="eastAsia" w:hAnsi="宋体"/>
          <w:b/>
          <w:color w:val="auto"/>
          <w:lang w:val="en-US" w:eastAsia="zh-CN"/>
        </w:rPr>
        <w:t>5</w:t>
      </w:r>
      <w:r>
        <w:rPr>
          <w:rFonts w:hint="eastAsia" w:hAnsi="宋体"/>
          <w:b/>
          <w:color w:val="auto"/>
        </w:rPr>
        <w:t xml:space="preserve">分   </w:t>
      </w:r>
    </w:p>
    <w:p>
      <w:pPr>
        <w:widowControl/>
        <w:spacing w:line="400" w:lineRule="exact"/>
        <w:ind w:firstLine="420" w:firstLineChars="200"/>
        <w:jc w:val="left"/>
        <w:rPr>
          <w:rFonts w:hint="default" w:ascii="宋体" w:hAnsi="宋体" w:eastAsia="宋体" w:cs="宋体"/>
          <w:color w:val="auto"/>
          <w:szCs w:val="21"/>
          <w:lang w:val="en-US" w:eastAsia="zh-CN"/>
        </w:rPr>
      </w:pPr>
      <w:r>
        <w:rPr>
          <w:rFonts w:ascii="宋体" w:hAnsi="宋体" w:cs="宋体"/>
          <w:color w:val="auto"/>
          <w:szCs w:val="21"/>
        </w:rPr>
        <w:t xml:space="preserve"> </w:t>
      </w:r>
      <w:r>
        <w:rPr>
          <w:rFonts w:hint="eastAsia" w:ascii="宋体" w:hAnsi="宋体" w:cs="宋体"/>
          <w:color w:val="auto"/>
          <w:szCs w:val="21"/>
        </w:rPr>
        <w:t>项目负责人具有植物营养学</w:t>
      </w:r>
      <w:r>
        <w:rPr>
          <w:rFonts w:hint="eastAsia" w:ascii="宋体" w:hAnsi="宋体" w:cs="宋体"/>
          <w:color w:val="auto"/>
          <w:szCs w:val="21"/>
          <w:lang w:val="en-US" w:eastAsia="zh-CN"/>
        </w:rPr>
        <w:t>或</w:t>
      </w:r>
      <w:r>
        <w:rPr>
          <w:rFonts w:hint="eastAsia" w:ascii="宋体" w:hAnsi="宋体" w:cs="宋体"/>
          <w:color w:val="auto"/>
          <w:szCs w:val="21"/>
        </w:rPr>
        <w:t>土壤学</w:t>
      </w:r>
      <w:r>
        <w:rPr>
          <w:rFonts w:hint="eastAsia" w:ascii="宋体" w:hAnsi="宋体" w:cs="宋体"/>
          <w:color w:val="auto"/>
          <w:szCs w:val="21"/>
          <w:lang w:val="en-US" w:eastAsia="zh-CN"/>
        </w:rPr>
        <w:t>或</w:t>
      </w:r>
      <w:r>
        <w:rPr>
          <w:rFonts w:hint="eastAsia" w:ascii="宋体" w:hAnsi="宋体" w:cs="宋体"/>
          <w:color w:val="auto"/>
          <w:szCs w:val="21"/>
        </w:rPr>
        <w:t>栽培学</w:t>
      </w:r>
      <w:r>
        <w:rPr>
          <w:rFonts w:hint="eastAsia" w:ascii="宋体" w:hAnsi="宋体" w:cs="宋体"/>
          <w:color w:val="auto"/>
          <w:szCs w:val="21"/>
          <w:lang w:val="en-US" w:eastAsia="zh-CN"/>
        </w:rPr>
        <w:t>或</w:t>
      </w:r>
      <w:r>
        <w:rPr>
          <w:rFonts w:hint="eastAsia" w:ascii="宋体" w:hAnsi="宋体" w:cs="宋体"/>
          <w:color w:val="auto"/>
          <w:szCs w:val="21"/>
        </w:rPr>
        <w:t>生态学</w:t>
      </w:r>
      <w:r>
        <w:rPr>
          <w:rFonts w:hint="eastAsia" w:ascii="宋体" w:hAnsi="宋体" w:cs="宋体"/>
          <w:color w:val="auto"/>
          <w:szCs w:val="21"/>
          <w:lang w:val="en-US" w:eastAsia="zh-CN"/>
        </w:rPr>
        <w:t>或</w:t>
      </w:r>
      <w:r>
        <w:rPr>
          <w:rFonts w:hint="eastAsia" w:ascii="宋体" w:hAnsi="宋体" w:cs="宋体"/>
          <w:color w:val="auto"/>
          <w:szCs w:val="21"/>
        </w:rPr>
        <w:t>环境科学</w:t>
      </w:r>
      <w:r>
        <w:rPr>
          <w:rFonts w:hint="eastAsia" w:ascii="宋体" w:hAnsi="宋体" w:cs="宋体"/>
          <w:color w:val="auto"/>
          <w:szCs w:val="21"/>
          <w:lang w:val="en-US" w:eastAsia="zh-CN"/>
        </w:rPr>
        <w:t>或</w:t>
      </w:r>
      <w:r>
        <w:rPr>
          <w:rFonts w:hint="eastAsia" w:ascii="宋体" w:hAnsi="宋体" w:cs="宋体"/>
          <w:color w:val="auto"/>
          <w:szCs w:val="21"/>
        </w:rPr>
        <w:t>环境工程相关专业全日制</w:t>
      </w:r>
      <w:r>
        <w:rPr>
          <w:rFonts w:hint="eastAsia" w:ascii="宋体" w:hAnsi="宋体" w:cs="宋体"/>
          <w:color w:val="auto"/>
          <w:szCs w:val="21"/>
          <w:lang w:val="en-US" w:eastAsia="zh-CN"/>
        </w:rPr>
        <w:t>学士</w:t>
      </w:r>
      <w:r>
        <w:rPr>
          <w:rFonts w:hint="eastAsia" w:ascii="宋体" w:hAnsi="宋体" w:cs="宋体"/>
          <w:color w:val="auto"/>
          <w:szCs w:val="21"/>
        </w:rPr>
        <w:t>学位</w:t>
      </w:r>
      <w:r>
        <w:rPr>
          <w:rFonts w:hint="eastAsia" w:ascii="宋体" w:hAnsi="宋体" w:cs="宋体"/>
          <w:color w:val="auto"/>
          <w:szCs w:val="21"/>
          <w:lang w:val="en-US" w:eastAsia="zh-CN"/>
        </w:rPr>
        <w:t>且</w:t>
      </w:r>
      <w:r>
        <w:rPr>
          <w:rFonts w:hint="eastAsia" w:ascii="宋体" w:hAnsi="宋体" w:cs="宋体"/>
          <w:color w:val="auto"/>
          <w:szCs w:val="21"/>
        </w:rPr>
        <w:t>具</w:t>
      </w:r>
      <w:r>
        <w:rPr>
          <w:rFonts w:hint="eastAsia" w:ascii="宋体" w:hAnsi="宋体" w:cs="宋体"/>
          <w:color w:val="auto"/>
          <w:szCs w:val="21"/>
          <w:lang w:val="en-US" w:eastAsia="zh-CN"/>
        </w:rPr>
        <w:t>备</w:t>
      </w:r>
      <w:r>
        <w:rPr>
          <w:rFonts w:hint="eastAsia" w:ascii="宋体" w:hAnsi="宋体" w:cs="宋体"/>
          <w:color w:val="auto"/>
          <w:szCs w:val="21"/>
        </w:rPr>
        <w:t>植物营养学</w:t>
      </w:r>
      <w:r>
        <w:rPr>
          <w:rFonts w:hint="eastAsia" w:ascii="宋体" w:hAnsi="宋体" w:cs="宋体"/>
          <w:color w:val="auto"/>
          <w:szCs w:val="21"/>
          <w:lang w:val="en-US" w:eastAsia="zh-CN"/>
        </w:rPr>
        <w:t>或</w:t>
      </w:r>
      <w:r>
        <w:rPr>
          <w:rFonts w:hint="eastAsia" w:ascii="宋体" w:hAnsi="宋体" w:cs="宋体"/>
          <w:color w:val="auto"/>
          <w:szCs w:val="21"/>
        </w:rPr>
        <w:t>土壤学</w:t>
      </w:r>
      <w:r>
        <w:rPr>
          <w:rFonts w:hint="eastAsia" w:ascii="宋体" w:hAnsi="宋体" w:cs="宋体"/>
          <w:color w:val="auto"/>
          <w:szCs w:val="21"/>
          <w:lang w:val="en-US" w:eastAsia="zh-CN"/>
        </w:rPr>
        <w:t>或</w:t>
      </w:r>
      <w:r>
        <w:rPr>
          <w:rFonts w:hint="eastAsia" w:ascii="宋体" w:hAnsi="宋体" w:cs="宋体"/>
          <w:color w:val="auto"/>
          <w:szCs w:val="21"/>
        </w:rPr>
        <w:t>栽培学</w:t>
      </w:r>
      <w:r>
        <w:rPr>
          <w:rFonts w:hint="eastAsia" w:ascii="宋体" w:hAnsi="宋体" w:cs="宋体"/>
          <w:color w:val="auto"/>
          <w:szCs w:val="21"/>
          <w:lang w:val="en-US" w:eastAsia="zh-CN"/>
        </w:rPr>
        <w:t>或</w:t>
      </w:r>
      <w:r>
        <w:rPr>
          <w:rFonts w:hint="eastAsia" w:ascii="宋体" w:hAnsi="宋体" w:cs="宋体"/>
          <w:color w:val="auto"/>
          <w:szCs w:val="21"/>
        </w:rPr>
        <w:t>生态学</w:t>
      </w:r>
      <w:r>
        <w:rPr>
          <w:rFonts w:hint="eastAsia" w:ascii="宋体" w:hAnsi="宋体" w:cs="宋体"/>
          <w:color w:val="auto"/>
          <w:szCs w:val="21"/>
          <w:lang w:val="en-US" w:eastAsia="zh-CN"/>
        </w:rPr>
        <w:t>或</w:t>
      </w:r>
      <w:r>
        <w:rPr>
          <w:rFonts w:hint="eastAsia" w:ascii="宋体" w:hAnsi="宋体" w:cs="宋体"/>
          <w:color w:val="auto"/>
          <w:szCs w:val="21"/>
        </w:rPr>
        <w:t>环境科学</w:t>
      </w:r>
      <w:r>
        <w:rPr>
          <w:rFonts w:hint="eastAsia" w:ascii="宋体" w:hAnsi="宋体" w:cs="宋体"/>
          <w:color w:val="auto"/>
          <w:szCs w:val="21"/>
          <w:lang w:val="en-US" w:eastAsia="zh-CN"/>
        </w:rPr>
        <w:t>或</w:t>
      </w:r>
      <w:r>
        <w:rPr>
          <w:rFonts w:hint="eastAsia" w:ascii="宋体" w:hAnsi="宋体" w:cs="宋体"/>
          <w:color w:val="auto"/>
          <w:szCs w:val="21"/>
        </w:rPr>
        <w:t>环境工程相关专业</w:t>
      </w:r>
      <w:r>
        <w:rPr>
          <w:rFonts w:hint="eastAsia" w:ascii="宋体" w:hAnsi="宋体" w:cs="宋体"/>
          <w:color w:val="auto"/>
          <w:szCs w:val="21"/>
          <w:lang w:eastAsia="zh-CN"/>
        </w:rPr>
        <w:t>高级职称的</w:t>
      </w:r>
      <w:r>
        <w:rPr>
          <w:rFonts w:hint="eastAsia" w:ascii="宋体" w:hAnsi="宋体" w:cs="宋体"/>
          <w:color w:val="auto"/>
          <w:szCs w:val="21"/>
        </w:rPr>
        <w:t>得</w:t>
      </w:r>
      <w:r>
        <w:rPr>
          <w:rFonts w:hint="eastAsia" w:ascii="宋体" w:hAnsi="宋体" w:cs="宋体"/>
          <w:color w:val="auto"/>
          <w:szCs w:val="21"/>
          <w:lang w:val="en-US" w:eastAsia="zh-CN"/>
        </w:rPr>
        <w:t>2</w:t>
      </w:r>
      <w:r>
        <w:rPr>
          <w:rFonts w:hint="eastAsia" w:ascii="宋体" w:hAnsi="宋体" w:cs="宋体"/>
          <w:color w:val="auto"/>
          <w:szCs w:val="21"/>
        </w:rPr>
        <w:t>分</w:t>
      </w:r>
      <w:r>
        <w:rPr>
          <w:rFonts w:hint="eastAsia" w:ascii="宋体" w:hAnsi="宋体" w:cs="宋体"/>
          <w:color w:val="auto"/>
          <w:szCs w:val="21"/>
          <w:lang w:eastAsia="zh-CN"/>
        </w:rPr>
        <w:t>；以上专业全日制</w:t>
      </w:r>
      <w:r>
        <w:rPr>
          <w:rFonts w:hint="eastAsia" w:ascii="宋体" w:hAnsi="宋体" w:cs="宋体"/>
          <w:color w:val="auto"/>
          <w:szCs w:val="21"/>
          <w:lang w:val="en-US" w:eastAsia="zh-CN"/>
        </w:rPr>
        <w:t>硕士</w:t>
      </w:r>
      <w:r>
        <w:rPr>
          <w:rFonts w:hint="eastAsia" w:ascii="宋体" w:hAnsi="宋体" w:cs="宋体"/>
          <w:color w:val="auto"/>
          <w:szCs w:val="21"/>
          <w:lang w:eastAsia="zh-CN"/>
        </w:rPr>
        <w:t>学位且</w:t>
      </w:r>
      <w:r>
        <w:rPr>
          <w:rFonts w:hint="eastAsia" w:ascii="宋体" w:hAnsi="宋体" w:cs="宋体"/>
          <w:color w:val="auto"/>
          <w:szCs w:val="21"/>
          <w:lang w:val="en-US" w:eastAsia="zh-CN"/>
        </w:rPr>
        <w:t>具</w:t>
      </w:r>
      <w:r>
        <w:rPr>
          <w:rFonts w:hint="eastAsia" w:ascii="宋体" w:hAnsi="宋体" w:cs="宋体"/>
          <w:color w:val="auto"/>
          <w:szCs w:val="21"/>
          <w:lang w:eastAsia="zh-CN"/>
        </w:rPr>
        <w:t>有</w:t>
      </w:r>
      <w:r>
        <w:rPr>
          <w:rFonts w:hint="eastAsia" w:ascii="宋体" w:hAnsi="宋体" w:cs="宋体"/>
          <w:color w:val="auto"/>
          <w:szCs w:val="21"/>
          <w:lang w:val="en-US" w:eastAsia="zh-CN"/>
        </w:rPr>
        <w:t>以上专业</w:t>
      </w:r>
      <w:r>
        <w:rPr>
          <w:rFonts w:hint="eastAsia" w:ascii="宋体" w:hAnsi="宋体" w:cs="宋体"/>
          <w:color w:val="auto"/>
          <w:szCs w:val="21"/>
          <w:lang w:eastAsia="zh-CN"/>
        </w:rPr>
        <w:t>高级职称的</w:t>
      </w:r>
      <w:r>
        <w:rPr>
          <w:rFonts w:hint="eastAsia" w:ascii="宋体" w:hAnsi="宋体" w:cs="宋体"/>
          <w:color w:val="auto"/>
          <w:szCs w:val="21"/>
          <w:lang w:val="en-US" w:eastAsia="zh-CN"/>
        </w:rPr>
        <w:t>得3分；以上专业全日制博士研究生</w:t>
      </w:r>
      <w:r>
        <w:rPr>
          <w:rFonts w:hint="eastAsia" w:ascii="宋体" w:hAnsi="宋体" w:cs="宋体"/>
          <w:color w:val="auto"/>
          <w:szCs w:val="21"/>
          <w:lang w:eastAsia="zh-CN"/>
        </w:rPr>
        <w:t>且</w:t>
      </w:r>
      <w:r>
        <w:rPr>
          <w:rFonts w:hint="eastAsia" w:ascii="宋体" w:hAnsi="宋体" w:cs="宋体"/>
          <w:color w:val="auto"/>
          <w:szCs w:val="21"/>
          <w:lang w:val="en-US" w:eastAsia="zh-CN"/>
        </w:rPr>
        <w:t>具</w:t>
      </w:r>
      <w:r>
        <w:rPr>
          <w:rFonts w:hint="eastAsia" w:ascii="宋体" w:hAnsi="宋体" w:cs="宋体"/>
          <w:color w:val="auto"/>
          <w:szCs w:val="21"/>
          <w:lang w:eastAsia="zh-CN"/>
        </w:rPr>
        <w:t>有</w:t>
      </w:r>
      <w:r>
        <w:rPr>
          <w:rFonts w:hint="eastAsia" w:ascii="宋体" w:hAnsi="宋体" w:cs="宋体"/>
          <w:color w:val="auto"/>
          <w:szCs w:val="21"/>
          <w:lang w:val="en-US" w:eastAsia="zh-CN"/>
        </w:rPr>
        <w:t>以上专业</w:t>
      </w:r>
      <w:r>
        <w:rPr>
          <w:rFonts w:hint="eastAsia" w:ascii="宋体" w:hAnsi="宋体" w:cs="宋体"/>
          <w:color w:val="auto"/>
          <w:szCs w:val="21"/>
          <w:lang w:eastAsia="zh-CN"/>
        </w:rPr>
        <w:t>高级职称</w:t>
      </w:r>
      <w:r>
        <w:rPr>
          <w:rFonts w:hint="eastAsia" w:ascii="宋体" w:hAnsi="宋体" w:cs="宋体"/>
          <w:color w:val="auto"/>
          <w:szCs w:val="21"/>
        </w:rPr>
        <w:t>及以上得</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本项满分5。</w:t>
      </w:r>
    </w:p>
    <w:p>
      <w:pPr>
        <w:pStyle w:val="12"/>
        <w:spacing w:line="400" w:lineRule="exact"/>
        <w:rPr>
          <w:rFonts w:hAnsi="宋体" w:cs="宋体"/>
          <w:b/>
          <w:color w:val="auto"/>
        </w:rPr>
      </w:pPr>
      <w:r>
        <w:rPr>
          <w:rFonts w:hint="eastAsia" w:hAnsi="宋体"/>
          <w:b/>
          <w:color w:val="auto"/>
          <w:lang w:val="en-US" w:eastAsia="zh-CN"/>
        </w:rPr>
        <w:t>4</w:t>
      </w:r>
      <w:r>
        <w:rPr>
          <w:rFonts w:hint="eastAsia" w:hAnsi="宋体"/>
          <w:b/>
          <w:color w:val="auto"/>
        </w:rPr>
        <w:t>、</w:t>
      </w:r>
      <w:r>
        <w:rPr>
          <w:rFonts w:hint="eastAsia" w:hAnsi="宋体" w:cs="宋体"/>
          <w:b/>
          <w:bCs/>
          <w:color w:val="auto"/>
        </w:rPr>
        <w:t>项目管理机构及人员配备</w:t>
      </w:r>
      <w:r>
        <w:rPr>
          <w:rFonts w:hint="eastAsia" w:hAnsi="宋体"/>
          <w:b/>
          <w:color w:val="auto"/>
        </w:rPr>
        <w:t>……………………………………………………………………………</w:t>
      </w:r>
      <w:r>
        <w:rPr>
          <w:rFonts w:hint="eastAsia" w:hAnsi="宋体"/>
          <w:b/>
          <w:color w:val="auto"/>
          <w:lang w:val="en-US" w:eastAsia="zh-CN"/>
        </w:rPr>
        <w:t>5</w:t>
      </w:r>
      <w:r>
        <w:rPr>
          <w:rFonts w:hint="eastAsia" w:hAnsi="宋体"/>
          <w:b/>
          <w:color w:val="auto"/>
        </w:rPr>
        <w:t xml:space="preserve">分    </w:t>
      </w:r>
    </w:p>
    <w:p>
      <w:pPr>
        <w:widowControl/>
        <w:spacing w:line="400" w:lineRule="exact"/>
        <w:ind w:firstLine="420" w:firstLineChars="200"/>
        <w:jc w:val="left"/>
        <w:rPr>
          <w:rFonts w:hint="default" w:ascii="宋体" w:hAnsi="宋体" w:cs="宋体"/>
          <w:color w:val="auto"/>
          <w:szCs w:val="21"/>
          <w:lang w:val="en-US"/>
        </w:rPr>
      </w:pPr>
      <w:r>
        <w:rPr>
          <w:rFonts w:hint="eastAsia" w:ascii="宋体" w:hAnsi="宋体" w:cs="宋体"/>
          <w:color w:val="auto"/>
          <w:szCs w:val="21"/>
        </w:rPr>
        <w:t>项目实施团队(除负责人外)具有植物营养学</w:t>
      </w:r>
      <w:r>
        <w:rPr>
          <w:rFonts w:hint="eastAsia" w:ascii="宋体" w:hAnsi="宋体" w:cs="宋体"/>
          <w:color w:val="auto"/>
          <w:szCs w:val="21"/>
          <w:lang w:val="en-US" w:eastAsia="zh-CN"/>
        </w:rPr>
        <w:t>或</w:t>
      </w:r>
      <w:r>
        <w:rPr>
          <w:rFonts w:hint="eastAsia" w:ascii="宋体" w:hAnsi="宋体" w:cs="宋体"/>
          <w:color w:val="auto"/>
          <w:szCs w:val="21"/>
        </w:rPr>
        <w:t>土壤学</w:t>
      </w:r>
      <w:r>
        <w:rPr>
          <w:rFonts w:hint="eastAsia" w:ascii="宋体" w:hAnsi="宋体" w:cs="宋体"/>
          <w:color w:val="auto"/>
          <w:szCs w:val="21"/>
          <w:lang w:val="en-US" w:eastAsia="zh-CN"/>
        </w:rPr>
        <w:t>或</w:t>
      </w:r>
      <w:r>
        <w:rPr>
          <w:rFonts w:hint="eastAsia" w:ascii="宋体" w:hAnsi="宋体" w:cs="宋体"/>
          <w:color w:val="auto"/>
          <w:szCs w:val="21"/>
        </w:rPr>
        <w:t>栽培学</w:t>
      </w:r>
      <w:r>
        <w:rPr>
          <w:rFonts w:hint="eastAsia" w:ascii="宋体" w:hAnsi="宋体" w:cs="宋体"/>
          <w:color w:val="auto"/>
          <w:szCs w:val="21"/>
          <w:lang w:val="en-US" w:eastAsia="zh-CN"/>
        </w:rPr>
        <w:t>或</w:t>
      </w:r>
      <w:r>
        <w:rPr>
          <w:rFonts w:hint="eastAsia" w:ascii="宋体" w:hAnsi="宋体" w:cs="宋体"/>
          <w:color w:val="auto"/>
          <w:szCs w:val="21"/>
        </w:rPr>
        <w:t>生态学</w:t>
      </w:r>
      <w:r>
        <w:rPr>
          <w:rFonts w:hint="eastAsia" w:ascii="宋体" w:hAnsi="宋体" w:cs="宋体"/>
          <w:color w:val="auto"/>
          <w:szCs w:val="21"/>
          <w:lang w:val="en-US" w:eastAsia="zh-CN"/>
        </w:rPr>
        <w:t>或</w:t>
      </w:r>
      <w:r>
        <w:rPr>
          <w:rFonts w:hint="eastAsia" w:ascii="宋体" w:hAnsi="宋体" w:cs="宋体"/>
          <w:color w:val="auto"/>
          <w:szCs w:val="21"/>
        </w:rPr>
        <w:t>环境科学</w:t>
      </w:r>
      <w:r>
        <w:rPr>
          <w:rFonts w:hint="eastAsia" w:ascii="宋体" w:hAnsi="宋体" w:cs="宋体"/>
          <w:color w:val="auto"/>
          <w:szCs w:val="21"/>
          <w:lang w:val="en-US" w:eastAsia="zh-CN"/>
        </w:rPr>
        <w:t>或</w:t>
      </w:r>
      <w:r>
        <w:rPr>
          <w:rFonts w:hint="eastAsia" w:ascii="宋体" w:hAnsi="宋体" w:cs="宋体"/>
          <w:color w:val="auto"/>
          <w:szCs w:val="21"/>
        </w:rPr>
        <w:t>环境工程</w:t>
      </w:r>
      <w:r>
        <w:rPr>
          <w:rFonts w:hint="eastAsia" w:ascii="宋体" w:hAnsi="宋体" w:cs="宋体"/>
          <w:color w:val="auto"/>
          <w:szCs w:val="21"/>
          <w:lang w:val="en-US" w:eastAsia="zh-CN"/>
        </w:rPr>
        <w:t>或</w:t>
      </w:r>
      <w:r>
        <w:rPr>
          <w:rFonts w:hint="eastAsia" w:ascii="宋体" w:hAnsi="宋体" w:cs="宋体"/>
          <w:color w:val="auto"/>
          <w:szCs w:val="21"/>
        </w:rPr>
        <w:t>化学工程与技术</w:t>
      </w:r>
      <w:r>
        <w:rPr>
          <w:rFonts w:hint="eastAsia" w:ascii="宋体" w:hAnsi="宋体" w:cs="宋体"/>
          <w:color w:val="auto"/>
          <w:szCs w:val="21"/>
          <w:lang w:val="en-US" w:eastAsia="zh-CN"/>
        </w:rPr>
        <w:t>或</w:t>
      </w:r>
      <w:r>
        <w:rPr>
          <w:rFonts w:hint="eastAsia" w:ascii="宋体" w:hAnsi="宋体" w:cs="宋体"/>
          <w:color w:val="auto"/>
          <w:szCs w:val="21"/>
        </w:rPr>
        <w:t>生物技术</w:t>
      </w:r>
      <w:r>
        <w:rPr>
          <w:rFonts w:hint="eastAsia" w:ascii="宋体" w:hAnsi="宋体" w:cs="宋体"/>
          <w:color w:val="auto"/>
          <w:szCs w:val="21"/>
          <w:lang w:val="en-US" w:eastAsia="zh-CN"/>
        </w:rPr>
        <w:t>或</w:t>
      </w:r>
      <w:r>
        <w:rPr>
          <w:rFonts w:hint="eastAsia" w:ascii="宋体" w:hAnsi="宋体" w:cs="宋体"/>
          <w:color w:val="auto"/>
          <w:szCs w:val="21"/>
        </w:rPr>
        <w:t>农林业相关专业</w:t>
      </w:r>
      <w:r>
        <w:rPr>
          <w:rFonts w:hint="eastAsia" w:ascii="宋体" w:hAnsi="宋体" w:cs="宋体"/>
          <w:color w:val="auto"/>
          <w:szCs w:val="21"/>
          <w:lang w:eastAsia="zh-CN"/>
        </w:rPr>
        <w:t>全日制</w:t>
      </w:r>
      <w:r>
        <w:rPr>
          <w:rFonts w:hint="eastAsia" w:ascii="宋体" w:hAnsi="宋体" w:cs="宋体"/>
          <w:color w:val="auto"/>
          <w:szCs w:val="21"/>
          <w:lang w:val="en-US" w:eastAsia="zh-CN"/>
        </w:rPr>
        <w:t>学士</w:t>
      </w:r>
      <w:r>
        <w:rPr>
          <w:rFonts w:hint="eastAsia" w:ascii="宋体" w:hAnsi="宋体" w:cs="宋体"/>
          <w:color w:val="auto"/>
          <w:szCs w:val="21"/>
          <w:lang w:eastAsia="zh-CN"/>
        </w:rPr>
        <w:t>学位</w:t>
      </w:r>
      <w:r>
        <w:rPr>
          <w:rFonts w:hint="eastAsia" w:ascii="宋体" w:hAnsi="宋体" w:cs="宋体"/>
          <w:color w:val="auto"/>
          <w:szCs w:val="21"/>
          <w:lang w:val="en-US" w:eastAsia="zh-CN"/>
        </w:rPr>
        <w:t>5名（含5名）以上</w:t>
      </w:r>
      <w:r>
        <w:rPr>
          <w:rFonts w:hint="eastAsia" w:ascii="宋体" w:hAnsi="宋体" w:cs="宋体"/>
          <w:color w:val="auto"/>
          <w:szCs w:val="21"/>
          <w:lang w:eastAsia="zh-CN"/>
        </w:rPr>
        <w:t>且具有</w:t>
      </w:r>
      <w:r>
        <w:rPr>
          <w:rFonts w:hint="eastAsia" w:ascii="宋体" w:hAnsi="宋体" w:cs="宋体"/>
          <w:color w:val="auto"/>
          <w:szCs w:val="21"/>
        </w:rPr>
        <w:t>植物营养学</w:t>
      </w:r>
      <w:r>
        <w:rPr>
          <w:rFonts w:hint="eastAsia" w:ascii="宋体" w:hAnsi="宋体" w:cs="宋体"/>
          <w:color w:val="auto"/>
          <w:szCs w:val="21"/>
          <w:lang w:val="en-US" w:eastAsia="zh-CN"/>
        </w:rPr>
        <w:t>或</w:t>
      </w:r>
      <w:r>
        <w:rPr>
          <w:rFonts w:hint="eastAsia" w:ascii="宋体" w:hAnsi="宋体" w:cs="宋体"/>
          <w:color w:val="auto"/>
          <w:szCs w:val="21"/>
        </w:rPr>
        <w:t>土壤学</w:t>
      </w:r>
      <w:r>
        <w:rPr>
          <w:rFonts w:hint="eastAsia" w:ascii="宋体" w:hAnsi="宋体" w:cs="宋体"/>
          <w:color w:val="auto"/>
          <w:szCs w:val="21"/>
          <w:lang w:val="en-US" w:eastAsia="zh-CN"/>
        </w:rPr>
        <w:t>或</w:t>
      </w:r>
      <w:r>
        <w:rPr>
          <w:rFonts w:hint="eastAsia" w:ascii="宋体" w:hAnsi="宋体" w:cs="宋体"/>
          <w:color w:val="auto"/>
          <w:szCs w:val="21"/>
        </w:rPr>
        <w:t>栽培学</w:t>
      </w:r>
      <w:r>
        <w:rPr>
          <w:rFonts w:hint="eastAsia" w:ascii="宋体" w:hAnsi="宋体" w:cs="宋体"/>
          <w:color w:val="auto"/>
          <w:szCs w:val="21"/>
          <w:lang w:val="en-US" w:eastAsia="zh-CN"/>
        </w:rPr>
        <w:t>或</w:t>
      </w:r>
      <w:r>
        <w:rPr>
          <w:rFonts w:hint="eastAsia" w:ascii="宋体" w:hAnsi="宋体" w:cs="宋体"/>
          <w:color w:val="auto"/>
          <w:szCs w:val="21"/>
        </w:rPr>
        <w:t>生态学</w:t>
      </w:r>
      <w:r>
        <w:rPr>
          <w:rFonts w:hint="eastAsia" w:ascii="宋体" w:hAnsi="宋体" w:cs="宋体"/>
          <w:color w:val="auto"/>
          <w:szCs w:val="21"/>
          <w:lang w:val="en-US" w:eastAsia="zh-CN"/>
        </w:rPr>
        <w:t>或</w:t>
      </w:r>
      <w:r>
        <w:rPr>
          <w:rFonts w:hint="eastAsia" w:ascii="宋体" w:hAnsi="宋体" w:cs="宋体"/>
          <w:color w:val="auto"/>
          <w:szCs w:val="21"/>
        </w:rPr>
        <w:t>环境科学</w:t>
      </w:r>
      <w:r>
        <w:rPr>
          <w:rFonts w:hint="eastAsia" w:ascii="宋体" w:hAnsi="宋体" w:cs="宋体"/>
          <w:color w:val="auto"/>
          <w:szCs w:val="21"/>
          <w:lang w:val="en-US" w:eastAsia="zh-CN"/>
        </w:rPr>
        <w:t>或</w:t>
      </w:r>
      <w:r>
        <w:rPr>
          <w:rFonts w:hint="eastAsia" w:ascii="宋体" w:hAnsi="宋体" w:cs="宋体"/>
          <w:color w:val="auto"/>
          <w:szCs w:val="21"/>
        </w:rPr>
        <w:t>环境工程</w:t>
      </w:r>
      <w:r>
        <w:rPr>
          <w:rFonts w:hint="eastAsia" w:ascii="宋体" w:hAnsi="宋体" w:cs="宋体"/>
          <w:color w:val="auto"/>
          <w:szCs w:val="21"/>
          <w:lang w:val="en-US" w:eastAsia="zh-CN"/>
        </w:rPr>
        <w:t>或</w:t>
      </w:r>
      <w:r>
        <w:rPr>
          <w:rFonts w:hint="eastAsia" w:ascii="宋体" w:hAnsi="宋体" w:cs="宋体"/>
          <w:color w:val="auto"/>
          <w:szCs w:val="21"/>
        </w:rPr>
        <w:t>化学工程与技术</w:t>
      </w:r>
      <w:r>
        <w:rPr>
          <w:rFonts w:hint="eastAsia" w:ascii="宋体" w:hAnsi="宋体" w:cs="宋体"/>
          <w:color w:val="auto"/>
          <w:szCs w:val="21"/>
          <w:lang w:val="en-US" w:eastAsia="zh-CN"/>
        </w:rPr>
        <w:t>或</w:t>
      </w:r>
      <w:r>
        <w:rPr>
          <w:rFonts w:hint="eastAsia" w:ascii="宋体" w:hAnsi="宋体" w:cs="宋体"/>
          <w:color w:val="auto"/>
          <w:szCs w:val="21"/>
        </w:rPr>
        <w:t>生物技术</w:t>
      </w:r>
      <w:r>
        <w:rPr>
          <w:rFonts w:hint="eastAsia" w:ascii="宋体" w:hAnsi="宋体" w:cs="宋体"/>
          <w:color w:val="auto"/>
          <w:szCs w:val="21"/>
          <w:lang w:val="en-US" w:eastAsia="zh-CN"/>
        </w:rPr>
        <w:t>或</w:t>
      </w:r>
      <w:r>
        <w:rPr>
          <w:rFonts w:hint="eastAsia" w:ascii="宋体" w:hAnsi="宋体" w:cs="宋体"/>
          <w:color w:val="auto"/>
          <w:szCs w:val="21"/>
        </w:rPr>
        <w:t>农林业相关专业高级职称</w:t>
      </w:r>
      <w:r>
        <w:rPr>
          <w:rFonts w:hint="eastAsia" w:ascii="宋体" w:hAnsi="宋体" w:cs="宋体"/>
          <w:color w:val="auto"/>
          <w:szCs w:val="21"/>
          <w:lang w:eastAsia="zh-CN"/>
        </w:rPr>
        <w:t>（</w:t>
      </w:r>
      <w:r>
        <w:rPr>
          <w:rFonts w:hint="eastAsia" w:ascii="宋体" w:hAnsi="宋体" w:cs="宋体"/>
          <w:color w:val="auto"/>
          <w:szCs w:val="21"/>
          <w:lang w:val="en-US" w:eastAsia="zh-CN"/>
        </w:rPr>
        <w:t>2名以上</w:t>
      </w:r>
      <w:r>
        <w:rPr>
          <w:rFonts w:hint="eastAsia" w:ascii="宋体" w:hAnsi="宋体" w:cs="宋体"/>
          <w:color w:val="auto"/>
          <w:szCs w:val="21"/>
          <w:lang w:eastAsia="zh-CN"/>
        </w:rPr>
        <w:t>）</w:t>
      </w:r>
      <w:r>
        <w:rPr>
          <w:rFonts w:hint="eastAsia" w:ascii="宋体" w:hAnsi="宋体" w:cs="宋体"/>
          <w:color w:val="auto"/>
          <w:szCs w:val="21"/>
        </w:rPr>
        <w:t>的</w:t>
      </w:r>
      <w:r>
        <w:rPr>
          <w:rFonts w:hint="eastAsia" w:ascii="宋体" w:hAnsi="宋体" w:cs="宋体"/>
          <w:color w:val="auto"/>
          <w:szCs w:val="21"/>
          <w:lang w:eastAsia="zh-CN"/>
        </w:rPr>
        <w:t>得</w:t>
      </w:r>
      <w:r>
        <w:rPr>
          <w:rFonts w:hint="eastAsia" w:ascii="宋体" w:hAnsi="宋体" w:cs="宋体"/>
          <w:color w:val="auto"/>
          <w:szCs w:val="21"/>
          <w:lang w:val="en-US" w:eastAsia="zh-CN"/>
        </w:rPr>
        <w:t>2分；具有以上专业全日制硕士学位3名以上（含3名）且具有以上高级职称（1名以上）的得3分；具有以上专业全日制博士学位1名以上（含1名）且具有以上高级职称的得5分；具有</w:t>
      </w:r>
      <w:r>
        <w:rPr>
          <w:rFonts w:hint="eastAsia" w:ascii="宋体" w:hAnsi="宋体" w:cs="宋体"/>
          <w:color w:val="auto"/>
          <w:szCs w:val="21"/>
        </w:rPr>
        <w:t>10 年以上同类工作经验，每有1 名</w:t>
      </w:r>
      <w:r>
        <w:rPr>
          <w:rFonts w:hint="eastAsia" w:ascii="宋体" w:hAnsi="宋体" w:cs="宋体"/>
          <w:color w:val="auto"/>
          <w:szCs w:val="21"/>
          <w:lang w:eastAsia="zh-CN"/>
        </w:rPr>
        <w:t>加</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val="en-US" w:eastAsia="zh-CN"/>
        </w:rPr>
        <w:t>2</w:t>
      </w:r>
      <w:r>
        <w:rPr>
          <w:rFonts w:hint="eastAsia" w:ascii="宋体" w:hAnsi="宋体" w:cs="宋体"/>
          <w:color w:val="auto"/>
          <w:szCs w:val="21"/>
        </w:rPr>
        <w:t>名(含</w:t>
      </w:r>
      <w:r>
        <w:rPr>
          <w:rFonts w:hint="eastAsia" w:ascii="宋体" w:hAnsi="宋体" w:cs="宋体"/>
          <w:color w:val="auto"/>
          <w:szCs w:val="21"/>
          <w:lang w:val="en-US" w:eastAsia="zh-CN"/>
        </w:rPr>
        <w:t>2</w:t>
      </w:r>
      <w:r>
        <w:rPr>
          <w:rFonts w:hint="eastAsia" w:ascii="宋体" w:hAnsi="宋体" w:cs="宋体"/>
          <w:color w:val="auto"/>
          <w:szCs w:val="21"/>
        </w:rPr>
        <w:t>名</w:t>
      </w:r>
      <w:r>
        <w:rPr>
          <w:rFonts w:ascii="宋体" w:hAnsi="宋体" w:cs="宋体"/>
          <w:color w:val="auto"/>
          <w:szCs w:val="21"/>
        </w:rPr>
        <w:t>)</w:t>
      </w:r>
      <w:r>
        <w:rPr>
          <w:rFonts w:hint="eastAsia" w:ascii="宋体" w:hAnsi="宋体" w:cs="宋体"/>
          <w:color w:val="auto"/>
          <w:szCs w:val="21"/>
          <w:lang w:eastAsia="zh-CN"/>
        </w:rPr>
        <w:t>另加</w:t>
      </w:r>
      <w:r>
        <w:rPr>
          <w:rFonts w:hint="eastAsia" w:ascii="宋体" w:hAnsi="宋体" w:cs="宋体"/>
          <w:color w:val="auto"/>
          <w:szCs w:val="21"/>
          <w:lang w:val="en-US" w:eastAsia="zh-CN"/>
        </w:rPr>
        <w:t>2分，本项满分5分。</w:t>
      </w:r>
    </w:p>
    <w:p>
      <w:pPr>
        <w:widowControl/>
        <w:spacing w:line="400" w:lineRule="exact"/>
        <w:jc w:val="left"/>
        <w:rPr>
          <w:rFonts w:hAnsi="宋体"/>
          <w:b/>
          <w:bCs/>
          <w:color w:val="auto"/>
        </w:rPr>
      </w:pPr>
      <w:r>
        <w:rPr>
          <w:rFonts w:hint="eastAsia" w:hAnsi="宋体"/>
          <w:b/>
          <w:bCs/>
          <w:color w:val="auto"/>
          <w:lang w:val="en-US" w:eastAsia="zh-CN"/>
        </w:rPr>
        <w:t>5</w:t>
      </w:r>
      <w:r>
        <w:rPr>
          <w:rFonts w:hint="eastAsia" w:hAnsi="宋体"/>
          <w:b/>
          <w:bCs/>
          <w:color w:val="auto"/>
        </w:rPr>
        <w:t>、供应商综合实力与业绩分………………………………</w:t>
      </w:r>
      <w:r>
        <w:rPr>
          <w:rFonts w:hAnsi="宋体"/>
          <w:b/>
          <w:bCs/>
          <w:color w:val="auto"/>
        </w:rPr>
        <w:t>34</w:t>
      </w:r>
      <w:r>
        <w:rPr>
          <w:rFonts w:hint="eastAsia" w:hAnsi="宋体"/>
          <w:b/>
          <w:bCs/>
          <w:color w:val="auto"/>
        </w:rPr>
        <w:t>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（1）综合实力（2</w:t>
      </w:r>
      <w:r>
        <w:rPr>
          <w:rFonts w:ascii="宋体" w:hAnsi="宋体" w:cs="宋体"/>
          <w:color w:val="auto"/>
          <w:szCs w:val="21"/>
        </w:rPr>
        <w:t>0</w:t>
      </w:r>
      <w:r>
        <w:rPr>
          <w:rFonts w:hint="eastAsia" w:ascii="宋体" w:hAnsi="宋体" w:cs="宋体"/>
          <w:color w:val="auto"/>
          <w:szCs w:val="21"/>
        </w:rPr>
        <w:t>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①竞标人拥有农业环境与农产品安全、农田土壤污染修复、农田污染防控、农业环保等领域的重点实验室（或工程中心、或工程实验室、或企业技术中心）等，省级及以上的得5 分，省级以下不得分。最多计1个，最高5 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②竞标人在农田重金属污染土壤治理修复、土壤施肥与地力维持修复、农林业领域的成果获得过政府科技奖的：省部级及以上奖励，得</w:t>
      </w:r>
      <w:r>
        <w:rPr>
          <w:rFonts w:ascii="宋体" w:hAnsi="宋体" w:cs="宋体"/>
          <w:color w:val="auto"/>
          <w:szCs w:val="21"/>
        </w:rPr>
        <w:t>5</w:t>
      </w:r>
      <w:r>
        <w:rPr>
          <w:rFonts w:hint="eastAsia" w:ascii="宋体" w:hAnsi="宋体" w:cs="宋体"/>
          <w:color w:val="auto"/>
          <w:szCs w:val="21"/>
        </w:rPr>
        <w:t xml:space="preserve"> 分，市厅级奖励得2 分，非政府类科技奖不得分。最多按1 项计，最高</w:t>
      </w:r>
      <w:r>
        <w:rPr>
          <w:rFonts w:ascii="宋体" w:hAnsi="宋体" w:cs="宋体"/>
          <w:color w:val="auto"/>
          <w:szCs w:val="21"/>
        </w:rPr>
        <w:t>5</w:t>
      </w:r>
      <w:r>
        <w:rPr>
          <w:rFonts w:hint="eastAsia" w:ascii="宋体" w:hAnsi="宋体" w:cs="宋体"/>
          <w:color w:val="auto"/>
          <w:szCs w:val="21"/>
        </w:rPr>
        <w:t xml:space="preserve"> 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③ 竞标人在农业环境与农产品安全、农田土壤污染修复、农田污染防控、农业环保、土壤施肥与地力维持修复、农林业等领域拥有丰富具有自主知识产权的技术成果，荣获国家知识产权示范企业荣誉的，得3 分；省级知识产权示范企业荣誉的，得1 分，未获知识产权示范企业荣誉的，不得分。本项最高3 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④ 竞标人在农业环境与农产品安全、农田土壤污染修复、农田污染防控、农业环保、土壤施肥与地力维持修复、农林业等领域拥有自主知识产权，每有1 项发明专利得1 分。本项最高2 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⑤ 竞标人在农业环境与农产品安全、农田土壤污染修复、农田污染防控、农业环保、土壤施肥与地力维持修复、农林业等领域承担国家级科技项目课题的，得3 分，省级科技项目课题的，得2 分，市厅级课题的，得1 分，未承担有关课题，不得分。本项最高3 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仿宋" w:hAnsi="仿宋" w:eastAsia="仿宋" w:cs="宋体"/>
          <w:b/>
          <w:color w:val="auto"/>
          <w:spacing w:val="4"/>
          <w:kern w:val="0"/>
          <w:sz w:val="24"/>
        </w:rPr>
      </w:pPr>
      <w:r>
        <w:rPr>
          <w:rFonts w:hint="eastAsia" w:ascii="宋体" w:hAnsi="宋体" w:cs="宋体"/>
          <w:color w:val="auto"/>
          <w:szCs w:val="21"/>
        </w:rPr>
        <w:t>⑥ 竞标人获得省级及以上农业或相关主管部门认定的“农业龙头企业”的得2 分，市级认定的得1 分，无认定的不得分。本项最高2 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评审依据：提供国务院部门、省级政府部门、市级政府部门颁发奖项证书或政府网站公告截图，</w:t>
      </w:r>
      <w:r>
        <w:rPr>
          <w:rFonts w:hint="eastAsia" w:ascii="宋体" w:hAnsi="宋体" w:cs="宋体"/>
          <w:b w:val="0"/>
          <w:bCs w:val="0"/>
          <w:color w:val="auto"/>
          <w:szCs w:val="21"/>
          <w:lang w:val="en-US" w:eastAsia="zh-CN"/>
        </w:rPr>
        <w:t>联合体竞标的任意成员提供均可</w:t>
      </w:r>
      <w:r>
        <w:rPr>
          <w:rFonts w:hint="eastAsia" w:ascii="宋体" w:hAnsi="宋体" w:cs="宋体"/>
          <w:color w:val="auto"/>
          <w:szCs w:val="21"/>
        </w:rPr>
        <w:t>，加盖单位公章为准。</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cs="宋体"/>
          <w:color w:val="auto"/>
          <w:szCs w:val="21"/>
        </w:rPr>
      </w:pPr>
      <w:r>
        <w:rPr>
          <w:rFonts w:hint="eastAsia" w:ascii="宋体" w:hAnsi="宋体" w:cs="宋体"/>
          <w:color w:val="auto"/>
          <w:szCs w:val="21"/>
        </w:rPr>
        <w:t>（2）业绩（1</w:t>
      </w:r>
      <w:r>
        <w:rPr>
          <w:rFonts w:ascii="宋体" w:hAnsi="宋体" w:cs="宋体"/>
          <w:color w:val="auto"/>
          <w:szCs w:val="21"/>
        </w:rPr>
        <w:t>4</w:t>
      </w:r>
      <w:r>
        <w:rPr>
          <w:rFonts w:hint="eastAsia" w:ascii="宋体" w:hAnsi="宋体" w:cs="宋体"/>
          <w:color w:val="auto"/>
          <w:szCs w:val="21"/>
        </w:rPr>
        <w:t>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①方案编制业绩：竞标人受政府部门委托，承担过编制受污染耕地安全利用实施方案的，每个计3分，最高计6分；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②施工业绩：竞标人承担过政府部门委托的耕地(农田、农用地类)土壤重金属污染修复与治理类的工程项目的，每个计</w:t>
      </w:r>
      <w:r>
        <w:rPr>
          <w:rFonts w:ascii="宋体" w:hAnsi="宋体" w:cs="宋体"/>
          <w:color w:val="auto"/>
          <w:szCs w:val="21"/>
        </w:rPr>
        <w:t>2</w:t>
      </w:r>
      <w:r>
        <w:rPr>
          <w:rFonts w:hint="eastAsia" w:ascii="宋体" w:hAnsi="宋体" w:cs="宋体"/>
          <w:color w:val="auto"/>
          <w:szCs w:val="21"/>
        </w:rPr>
        <w:t>分，最高计8分；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评审依据：要求提供中标通知书或相关业绩合同或协议书证明材料</w:t>
      </w:r>
      <w:r>
        <w:rPr>
          <w:rFonts w:hint="eastAsia" w:ascii="宋体" w:hAnsi="宋体" w:cs="宋体"/>
          <w:color w:val="auto"/>
          <w:szCs w:val="21"/>
        </w:rPr>
        <w:t>，</w:t>
      </w:r>
      <w:r>
        <w:rPr>
          <w:rFonts w:hint="eastAsia" w:ascii="宋体" w:hAnsi="宋体" w:cs="宋体"/>
          <w:b w:val="0"/>
          <w:bCs w:val="0"/>
          <w:color w:val="auto"/>
          <w:szCs w:val="21"/>
          <w:lang w:val="en-US" w:eastAsia="zh-CN"/>
        </w:rPr>
        <w:t>联合体竞标的任意成员提供均可，</w:t>
      </w:r>
      <w:r>
        <w:rPr>
          <w:rFonts w:hint="eastAsia" w:ascii="宋体" w:hAnsi="宋体" w:cs="宋体"/>
          <w:szCs w:val="21"/>
        </w:rPr>
        <w:t>加盖单位公章为准</w:t>
      </w:r>
      <w:r>
        <w:rPr>
          <w:rFonts w:hint="eastAsia" w:ascii="宋体" w:hAnsi="宋体" w:cs="宋体"/>
          <w:szCs w:val="21"/>
          <w:lang w:eastAsia="zh-CN"/>
        </w:rPr>
        <w:t>。</w:t>
      </w:r>
    </w:p>
    <w:p>
      <w:pPr>
        <w:pStyle w:val="12"/>
        <w:spacing w:line="400" w:lineRule="exact"/>
        <w:ind w:right="92" w:rightChars="44"/>
        <w:rPr>
          <w:rFonts w:hint="default" w:hAnsi="宋体" w:eastAsia="宋体"/>
          <w:b/>
          <w:lang w:val="en-US" w:eastAsia="zh-CN"/>
        </w:rPr>
      </w:pPr>
      <w:r>
        <w:rPr>
          <w:rFonts w:hint="eastAsia" w:hAnsi="宋体"/>
          <w:b/>
          <w:lang w:val="en-US" w:eastAsia="zh-CN"/>
        </w:rPr>
        <w:t>6</w:t>
      </w:r>
      <w:r>
        <w:rPr>
          <w:rFonts w:hint="eastAsia" w:hAnsi="宋体"/>
          <w:b/>
        </w:rPr>
        <w:t xml:space="preserve">、总得分 =1 + 2 + 3 + 4 </w:t>
      </w:r>
      <w:r>
        <w:rPr>
          <w:rFonts w:hint="eastAsia" w:hAnsi="宋体"/>
          <w:b/>
          <w:lang w:val="en-US" w:eastAsia="zh-CN"/>
        </w:rPr>
        <w:t>+5</w:t>
      </w:r>
    </w:p>
    <w:p>
      <w:pPr>
        <w:pStyle w:val="12"/>
        <w:spacing w:line="400" w:lineRule="exact"/>
        <w:ind w:right="92" w:rightChars="44"/>
        <w:rPr>
          <w:rFonts w:hAnsi="宋体"/>
          <w:b/>
        </w:rPr>
      </w:pPr>
      <w:r>
        <w:rPr>
          <w:rFonts w:hint="eastAsia" w:hAnsi="宋体"/>
          <w:b/>
        </w:rPr>
        <w:t>备注：以上各项均由评委独立评定，将评委的分数进行平均，计算出各竞标人的得分。</w:t>
      </w:r>
    </w:p>
    <w:p>
      <w:pPr>
        <w:pStyle w:val="12"/>
        <w:tabs>
          <w:tab w:val="left" w:leader="dot" w:pos="8640"/>
        </w:tabs>
        <w:spacing w:before="120" w:line="400" w:lineRule="exact"/>
        <w:outlineLvl w:val="0"/>
        <w:rPr>
          <w:rFonts w:hAnsi="宋体"/>
        </w:rPr>
      </w:pPr>
      <w:r>
        <w:rPr>
          <w:rFonts w:hint="eastAsia" w:hAnsi="宋体"/>
          <w:b/>
        </w:rPr>
        <w:t>三、推荐成交候选人</w:t>
      </w:r>
      <w:bookmarkEnd w:id="340"/>
      <w:bookmarkEnd w:id="341"/>
      <w:bookmarkEnd w:id="342"/>
    </w:p>
    <w:p>
      <w:pPr>
        <w:pStyle w:val="12"/>
        <w:spacing w:line="400" w:lineRule="exact"/>
        <w:ind w:firstLine="420" w:firstLineChars="200"/>
        <w:outlineLvl w:val="0"/>
      </w:pPr>
      <w:bookmarkStart w:id="348" w:name="_Toc444006022"/>
      <w:bookmarkStart w:id="349" w:name="_Toc342262219"/>
      <w:bookmarkStart w:id="350" w:name="_Toc342918055"/>
      <w:bookmarkStart w:id="351" w:name="_Toc395066559"/>
      <w:bookmarkStart w:id="352" w:name="_Toc405943017"/>
      <w:r>
        <w:rPr>
          <w:rFonts w:hint="eastAsia"/>
        </w:rPr>
        <w:t>1、</w:t>
      </w:r>
      <w:r>
        <w:t>磋商小组根据综合评分情况，按照评审得分由高到低顺序推荐成交候选</w:t>
      </w:r>
      <w:r>
        <w:rPr>
          <w:rFonts w:hint="eastAsia"/>
        </w:rPr>
        <w:t>人</w:t>
      </w:r>
      <w:r>
        <w:t>。评审得分相同的，按照最后报价由低到高的顺序推荐。评审得分且最后报价相同的，按照技术指标优劣顺序推荐。</w:t>
      </w:r>
      <w:bookmarkEnd w:id="348"/>
    </w:p>
    <w:p>
      <w:pPr>
        <w:pStyle w:val="12"/>
        <w:spacing w:line="400" w:lineRule="exact"/>
        <w:ind w:firstLine="420" w:firstLineChars="200"/>
        <w:outlineLvl w:val="0"/>
      </w:pPr>
      <w:bookmarkStart w:id="353" w:name="_Toc444006023"/>
      <w:r>
        <w:rPr>
          <w:rFonts w:hint="eastAsia"/>
        </w:rPr>
        <w:t>2、磋商小组认为，某竞标人的有效最后报价或者某些分项明显不合理或者低于成本，有可能影响商品质量和不能诚信履约的，应要求其在规定的期限内提供书面文件予以解释说明，并提交相关证明材料，否则，磋商小组可以取消该竞标人的成交候选资格，按顺序由排在后面的成交候选人递补，以此类推。</w:t>
      </w:r>
      <w:bookmarkEnd w:id="353"/>
    </w:p>
    <w:bookmarkEnd w:id="349"/>
    <w:bookmarkEnd w:id="350"/>
    <w:bookmarkEnd w:id="351"/>
    <w:bookmarkEnd w:id="352"/>
    <w:p>
      <w:pPr>
        <w:pStyle w:val="12"/>
        <w:jc w:val="center"/>
        <w:outlineLvl w:val="0"/>
        <w:rPr>
          <w:rFonts w:hAnsi="宋体"/>
          <w:sz w:val="44"/>
        </w:rPr>
      </w:pPr>
    </w:p>
    <w:p>
      <w:pPr>
        <w:pStyle w:val="12"/>
        <w:jc w:val="center"/>
        <w:outlineLvl w:val="0"/>
        <w:rPr>
          <w:rFonts w:hAnsi="宋体"/>
          <w:sz w:val="44"/>
        </w:rPr>
      </w:pPr>
    </w:p>
    <w:p>
      <w:pPr>
        <w:pStyle w:val="12"/>
        <w:jc w:val="center"/>
        <w:outlineLvl w:val="0"/>
        <w:rPr>
          <w:rFonts w:hAnsi="宋体"/>
          <w:sz w:val="44"/>
        </w:rPr>
      </w:pPr>
    </w:p>
    <w:p>
      <w:pPr>
        <w:pStyle w:val="12"/>
        <w:jc w:val="center"/>
        <w:outlineLvl w:val="0"/>
        <w:rPr>
          <w:rFonts w:hAnsi="宋体"/>
          <w:sz w:val="44"/>
        </w:rPr>
      </w:pPr>
    </w:p>
    <w:p>
      <w:pPr>
        <w:pStyle w:val="12"/>
        <w:jc w:val="center"/>
        <w:outlineLvl w:val="0"/>
        <w:rPr>
          <w:rFonts w:hAnsi="宋体"/>
          <w:sz w:val="44"/>
        </w:rPr>
      </w:pPr>
    </w:p>
    <w:p>
      <w:pPr>
        <w:pStyle w:val="12"/>
        <w:outlineLvl w:val="0"/>
        <w:rPr>
          <w:rFonts w:hAnsi="宋体"/>
          <w:sz w:val="44"/>
        </w:rPr>
      </w:pPr>
    </w:p>
    <w:p>
      <w:pPr>
        <w:pStyle w:val="12"/>
        <w:jc w:val="center"/>
        <w:outlineLvl w:val="0"/>
        <w:rPr>
          <w:rFonts w:hAnsi="宋体"/>
          <w:b/>
          <w:bCs/>
          <w:sz w:val="44"/>
        </w:rPr>
      </w:pPr>
      <w:r>
        <w:rPr>
          <w:rFonts w:hint="eastAsia" w:hAnsi="宋体"/>
          <w:b/>
          <w:bCs/>
          <w:sz w:val="44"/>
        </w:rPr>
        <w:t>第五章   响应文件（格式）</w:t>
      </w:r>
      <w:bookmarkEnd w:id="343"/>
    </w:p>
    <w:p>
      <w:pPr>
        <w:pStyle w:val="12"/>
        <w:jc w:val="center"/>
        <w:rPr>
          <w:rFonts w:hAnsi="宋体"/>
          <w:sz w:val="36"/>
          <w:szCs w:val="36"/>
        </w:rPr>
      </w:pPr>
      <w:r>
        <w:rPr>
          <w:rFonts w:hint="eastAsia" w:hAnsi="宋体"/>
          <w:sz w:val="44"/>
        </w:rPr>
        <w:br w:type="page"/>
      </w:r>
      <w:r>
        <w:rPr>
          <w:rFonts w:hint="eastAsia" w:hAnsi="宋体"/>
          <w:sz w:val="36"/>
          <w:szCs w:val="36"/>
        </w:rPr>
        <w:t>（封面格式）</w:t>
      </w:r>
    </w:p>
    <w:p>
      <w:pPr>
        <w:pStyle w:val="12"/>
        <w:ind w:right="477" w:rightChars="227"/>
        <w:jc w:val="right"/>
        <w:rPr>
          <w:rFonts w:hAnsi="宋体"/>
          <w:sz w:val="36"/>
          <w:szCs w:val="36"/>
        </w:rPr>
      </w:pPr>
      <w:r>
        <w:rPr>
          <w:rFonts w:hint="eastAsia" w:hAnsi="宋体"/>
          <w:sz w:val="36"/>
          <w:szCs w:val="36"/>
        </w:rPr>
        <w:t xml:space="preserve">                            </w:t>
      </w:r>
      <w:r>
        <w:rPr>
          <w:rFonts w:hint="eastAsia" w:hAnsi="宋体"/>
          <w:sz w:val="36"/>
          <w:szCs w:val="36"/>
          <w:u w:val="single"/>
        </w:rPr>
        <w:t xml:space="preserve"> 正/副 </w:t>
      </w:r>
      <w:r>
        <w:rPr>
          <w:rFonts w:hint="eastAsia" w:hAnsi="宋体"/>
          <w:sz w:val="36"/>
          <w:szCs w:val="36"/>
        </w:rPr>
        <w:t>本</w:t>
      </w:r>
    </w:p>
    <w:p>
      <w:pPr>
        <w:pStyle w:val="12"/>
        <w:ind w:firstLine="1280" w:firstLineChars="400"/>
        <w:jc w:val="left"/>
        <w:rPr>
          <w:rFonts w:hAnsi="宋体"/>
          <w:sz w:val="36"/>
          <w:szCs w:val="36"/>
        </w:rPr>
      </w:pPr>
      <w:r>
        <w:rPr>
          <w:rFonts w:hint="eastAsia" w:hAnsi="宋体"/>
          <w:sz w:val="32"/>
          <w:szCs w:val="32"/>
          <w:u w:val="single"/>
        </w:rPr>
        <w:t xml:space="preserve">                           （项目名称）</w:t>
      </w:r>
    </w:p>
    <w:p>
      <w:pPr>
        <w:pStyle w:val="12"/>
        <w:jc w:val="center"/>
        <w:rPr>
          <w:rFonts w:hAnsi="宋体"/>
          <w:sz w:val="36"/>
          <w:szCs w:val="36"/>
        </w:rPr>
      </w:pPr>
    </w:p>
    <w:p>
      <w:pPr>
        <w:pStyle w:val="12"/>
        <w:jc w:val="center"/>
        <w:rPr>
          <w:rFonts w:hAnsi="宋体"/>
          <w:sz w:val="36"/>
          <w:szCs w:val="36"/>
        </w:rPr>
      </w:pPr>
    </w:p>
    <w:p>
      <w:pPr>
        <w:pStyle w:val="12"/>
        <w:jc w:val="center"/>
        <w:rPr>
          <w:rFonts w:hAnsi="宋体"/>
          <w:sz w:val="72"/>
          <w:szCs w:val="72"/>
        </w:rPr>
      </w:pPr>
      <w:r>
        <w:rPr>
          <w:rFonts w:hint="eastAsia" w:hAnsi="宋体"/>
          <w:sz w:val="72"/>
          <w:szCs w:val="72"/>
        </w:rPr>
        <w:t>响 应 文 件</w:t>
      </w:r>
    </w:p>
    <w:p>
      <w:pPr>
        <w:pStyle w:val="12"/>
        <w:jc w:val="center"/>
        <w:rPr>
          <w:rFonts w:hAnsi="宋体"/>
          <w:sz w:val="36"/>
          <w:szCs w:val="36"/>
        </w:rPr>
      </w:pPr>
    </w:p>
    <w:p>
      <w:pPr>
        <w:spacing w:line="400" w:lineRule="exact"/>
        <w:jc w:val="left"/>
        <w:rPr>
          <w:rFonts w:ascii="黑体" w:eastAsia="黑体"/>
          <w:sz w:val="28"/>
          <w:szCs w:val="28"/>
        </w:rPr>
      </w:pPr>
    </w:p>
    <w:p>
      <w:pPr>
        <w:spacing w:line="400" w:lineRule="exact"/>
        <w:ind w:firstLine="2520" w:firstLineChars="900"/>
        <w:jc w:val="left"/>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u w:val="single"/>
        </w:rPr>
        <w:t xml:space="preserve">                      </w:t>
      </w:r>
    </w:p>
    <w:p>
      <w:pPr>
        <w:pStyle w:val="12"/>
        <w:ind w:firstLine="2560" w:firstLineChars="800"/>
        <w:rPr>
          <w:rFonts w:hAnsi="宋体"/>
          <w:sz w:val="32"/>
          <w:szCs w:val="32"/>
          <w:u w:val="single"/>
        </w:rPr>
      </w:pPr>
    </w:p>
    <w:p>
      <w:pPr>
        <w:pStyle w:val="12"/>
        <w:ind w:firstLine="2560" w:firstLineChars="800"/>
        <w:rPr>
          <w:rFonts w:hAnsi="宋体"/>
          <w:sz w:val="32"/>
          <w:szCs w:val="32"/>
          <w:u w:val="single"/>
        </w:rPr>
      </w:pPr>
    </w:p>
    <w:p>
      <w:pPr>
        <w:pStyle w:val="12"/>
        <w:ind w:firstLine="2560" w:firstLineChars="800"/>
        <w:rPr>
          <w:rFonts w:hAnsi="宋体"/>
          <w:sz w:val="32"/>
          <w:szCs w:val="32"/>
          <w:u w:val="single"/>
        </w:rPr>
      </w:pPr>
    </w:p>
    <w:p>
      <w:pPr>
        <w:pStyle w:val="12"/>
        <w:ind w:firstLine="2560" w:firstLineChars="800"/>
        <w:rPr>
          <w:rFonts w:hAnsi="宋体"/>
          <w:sz w:val="32"/>
          <w:szCs w:val="32"/>
          <w:u w:val="single"/>
        </w:rPr>
      </w:pPr>
    </w:p>
    <w:p>
      <w:pPr>
        <w:pStyle w:val="12"/>
        <w:ind w:firstLine="480" w:firstLineChars="150"/>
        <w:rPr>
          <w:rFonts w:hAnsi="宋体"/>
          <w:sz w:val="32"/>
          <w:szCs w:val="32"/>
          <w:u w:val="single"/>
        </w:rPr>
      </w:pPr>
      <w:r>
        <w:rPr>
          <w:rFonts w:hint="eastAsia" w:hAnsi="宋体"/>
          <w:sz w:val="32"/>
          <w:szCs w:val="32"/>
        </w:rPr>
        <w:t>竞标人</w:t>
      </w:r>
      <w:r>
        <w:rPr>
          <w:rFonts w:hint="eastAsia" w:hAnsi="宋体"/>
          <w:sz w:val="32"/>
          <w:szCs w:val="32"/>
          <w:lang w:eastAsia="zh-CN"/>
        </w:rPr>
        <w:t>（</w:t>
      </w:r>
      <w:r>
        <w:rPr>
          <w:rFonts w:hint="eastAsia" w:hAnsi="宋体"/>
          <w:sz w:val="32"/>
          <w:szCs w:val="32"/>
          <w:lang w:val="en-US" w:eastAsia="zh-CN"/>
        </w:rPr>
        <w:t>联合体牵头人</w:t>
      </w:r>
      <w:r>
        <w:rPr>
          <w:rFonts w:hint="eastAsia" w:hAnsi="宋体"/>
          <w:sz w:val="32"/>
          <w:szCs w:val="32"/>
          <w:lang w:eastAsia="zh-CN"/>
        </w:rPr>
        <w:t>）</w:t>
      </w:r>
      <w:r>
        <w:rPr>
          <w:rFonts w:hint="eastAsia" w:hAnsi="宋体"/>
          <w:sz w:val="32"/>
          <w:szCs w:val="32"/>
        </w:rPr>
        <w:t>：</w:t>
      </w:r>
      <w:r>
        <w:rPr>
          <w:rFonts w:hint="eastAsia" w:hAnsi="宋体"/>
          <w:sz w:val="32"/>
          <w:szCs w:val="32"/>
          <w:u w:val="single"/>
        </w:rPr>
        <w:t xml:space="preserve">                    （盖单位公章）</w:t>
      </w:r>
    </w:p>
    <w:p>
      <w:pPr>
        <w:pStyle w:val="12"/>
        <w:ind w:firstLine="480" w:firstLineChars="150"/>
        <w:rPr>
          <w:rFonts w:hAnsi="宋体"/>
          <w:sz w:val="32"/>
          <w:szCs w:val="32"/>
        </w:rPr>
      </w:pPr>
      <w:r>
        <w:rPr>
          <w:rFonts w:hint="eastAsia" w:hAnsi="宋体"/>
          <w:sz w:val="32"/>
          <w:szCs w:val="32"/>
        </w:rPr>
        <w:t>法定代表人或其委托代理人：</w:t>
      </w:r>
      <w:r>
        <w:rPr>
          <w:rFonts w:hint="eastAsia" w:hAnsi="宋体"/>
          <w:sz w:val="32"/>
          <w:szCs w:val="32"/>
          <w:u w:val="single"/>
        </w:rPr>
        <w:t xml:space="preserve">             （签名）</w:t>
      </w:r>
    </w:p>
    <w:p>
      <w:pPr>
        <w:pStyle w:val="12"/>
        <w:ind w:firstLine="480" w:firstLineChars="150"/>
        <w:rPr>
          <w:rFonts w:hAnsi="宋体"/>
          <w:sz w:val="32"/>
          <w:szCs w:val="32"/>
        </w:rPr>
      </w:pPr>
    </w:p>
    <w:p>
      <w:pPr>
        <w:pStyle w:val="12"/>
        <w:ind w:firstLine="1760" w:firstLineChars="550"/>
        <w:rPr>
          <w:rFonts w:hAnsi="宋体"/>
          <w:sz w:val="32"/>
          <w:szCs w:val="32"/>
        </w:rPr>
      </w:pPr>
      <w:r>
        <w:rPr>
          <w:rFonts w:hint="eastAsia" w:hAnsi="宋体"/>
          <w:sz w:val="32"/>
          <w:szCs w:val="32"/>
        </w:rPr>
        <w:t>日期：</w:t>
      </w:r>
      <w:r>
        <w:rPr>
          <w:rFonts w:hint="eastAsia" w:hAnsi="宋体"/>
          <w:sz w:val="32"/>
          <w:szCs w:val="32"/>
          <w:u w:val="single"/>
        </w:rPr>
        <w:t xml:space="preserve">         </w:t>
      </w:r>
      <w:r>
        <w:rPr>
          <w:rFonts w:hint="eastAsia" w:hAnsi="宋体"/>
          <w:sz w:val="32"/>
          <w:szCs w:val="32"/>
        </w:rPr>
        <w:t>年</w:t>
      </w:r>
      <w:r>
        <w:rPr>
          <w:rFonts w:hint="eastAsia" w:hAnsi="宋体"/>
          <w:sz w:val="32"/>
          <w:szCs w:val="32"/>
          <w:u w:val="single"/>
        </w:rPr>
        <w:t xml:space="preserve">    </w:t>
      </w:r>
      <w:r>
        <w:rPr>
          <w:rFonts w:hint="eastAsia" w:hAnsi="宋体"/>
          <w:sz w:val="32"/>
          <w:szCs w:val="32"/>
        </w:rPr>
        <w:t>月</w:t>
      </w:r>
      <w:r>
        <w:rPr>
          <w:rFonts w:hint="eastAsia" w:hAnsi="宋体"/>
          <w:sz w:val="32"/>
          <w:szCs w:val="32"/>
          <w:u w:val="single"/>
        </w:rPr>
        <w:t xml:space="preserve">    </w:t>
      </w:r>
      <w:r>
        <w:rPr>
          <w:rFonts w:hint="eastAsia" w:hAnsi="宋体"/>
          <w:sz w:val="32"/>
          <w:szCs w:val="32"/>
        </w:rPr>
        <w:t>日</w:t>
      </w:r>
    </w:p>
    <w:p>
      <w:pPr>
        <w:pStyle w:val="12"/>
        <w:spacing w:line="580" w:lineRule="exact"/>
        <w:jc w:val="center"/>
        <w:rPr>
          <w:rFonts w:hAnsi="宋体"/>
          <w:sz w:val="32"/>
          <w:szCs w:val="32"/>
        </w:rPr>
      </w:pPr>
      <w:r>
        <w:rPr>
          <w:rFonts w:hint="eastAsia" w:hAnsi="宋体"/>
          <w:sz w:val="32"/>
          <w:szCs w:val="32"/>
        </w:rPr>
        <w:br w:type="page"/>
      </w:r>
    </w:p>
    <w:p>
      <w:pPr>
        <w:pStyle w:val="12"/>
        <w:spacing w:line="580" w:lineRule="exact"/>
        <w:jc w:val="center"/>
        <w:rPr>
          <w:rFonts w:hAnsi="宋体"/>
          <w:sz w:val="32"/>
          <w:szCs w:val="32"/>
        </w:rPr>
      </w:pPr>
    </w:p>
    <w:p>
      <w:pPr>
        <w:pStyle w:val="12"/>
        <w:spacing w:line="580" w:lineRule="exact"/>
        <w:jc w:val="center"/>
        <w:rPr>
          <w:rFonts w:hAnsi="宋体"/>
          <w:sz w:val="28"/>
          <w:szCs w:val="28"/>
        </w:rPr>
      </w:pPr>
      <w:r>
        <w:rPr>
          <w:rFonts w:hint="eastAsia" w:hAnsi="宋体"/>
          <w:sz w:val="44"/>
          <w:szCs w:val="44"/>
        </w:rPr>
        <w:t>目   录</w:t>
      </w:r>
      <w:r>
        <w:rPr>
          <w:rFonts w:hint="eastAsia" w:hAnsi="宋体"/>
          <w:sz w:val="28"/>
          <w:szCs w:val="28"/>
        </w:rPr>
        <w:t>（格式）</w:t>
      </w:r>
    </w:p>
    <w:p>
      <w:pPr>
        <w:pStyle w:val="12"/>
        <w:spacing w:line="416" w:lineRule="exact"/>
        <w:rPr>
          <w:rFonts w:hAnsi="宋体"/>
          <w:sz w:val="28"/>
          <w:szCs w:val="28"/>
        </w:rPr>
      </w:pPr>
    </w:p>
    <w:p>
      <w:pPr>
        <w:pStyle w:val="12"/>
        <w:keepNext w:val="0"/>
        <w:keepLines w:val="0"/>
        <w:pageBreakBefore w:val="0"/>
        <w:kinsoku/>
        <w:wordWrap/>
        <w:overflowPunct/>
        <w:topLinePunct w:val="0"/>
        <w:autoSpaceDE/>
        <w:autoSpaceDN/>
        <w:bidi w:val="0"/>
        <w:adjustRightInd/>
        <w:snapToGrid/>
        <w:spacing w:line="480" w:lineRule="exact"/>
        <w:textAlignment w:val="auto"/>
        <w:rPr>
          <w:rFonts w:hAnsi="宋体"/>
          <w:sz w:val="28"/>
          <w:szCs w:val="28"/>
        </w:rPr>
      </w:pPr>
      <w:r>
        <w:rPr>
          <w:rFonts w:hint="eastAsia" w:hAnsi="宋体"/>
          <w:sz w:val="28"/>
          <w:szCs w:val="28"/>
        </w:rPr>
        <w:t xml:space="preserve">    （1）响应函；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80" w:lineRule="exact"/>
        <w:ind w:firstLine="560" w:firstLineChars="200"/>
        <w:jc w:val="left"/>
        <w:textAlignment w:val="auto"/>
        <w:rPr>
          <w:rFonts w:hint="eastAsia" w:hAnsi="宋体"/>
          <w:sz w:val="28"/>
          <w:szCs w:val="28"/>
        </w:rPr>
      </w:pPr>
      <w:r>
        <w:rPr>
          <w:rFonts w:hint="eastAsia" w:asciiTheme="minorEastAsia" w:hAnsiTheme="minorEastAsia" w:eastAsiaTheme="minorEastAsia" w:cstheme="minorEastAsia"/>
          <w:b w:val="0"/>
          <w:bCs/>
          <w:color w:val="auto"/>
          <w:kern w:val="0"/>
          <w:sz w:val="28"/>
          <w:szCs w:val="28"/>
          <w:lang w:val="en-US" w:eastAsia="zh-CN" w:bidi="ar"/>
        </w:rPr>
        <w:t>（2）联合体协议书（联合体磋商时适用）</w:t>
      </w:r>
    </w:p>
    <w:p>
      <w:pPr>
        <w:pStyle w:val="12"/>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Ansi="宋体"/>
          <w:sz w:val="28"/>
          <w:szCs w:val="28"/>
        </w:rPr>
      </w:pPr>
      <w:r>
        <w:rPr>
          <w:rFonts w:hint="eastAsia" w:hAnsi="宋体"/>
          <w:sz w:val="28"/>
          <w:szCs w:val="28"/>
        </w:rPr>
        <w:t>（</w:t>
      </w:r>
      <w:r>
        <w:rPr>
          <w:rFonts w:hint="eastAsia" w:hAnsi="宋体"/>
          <w:sz w:val="28"/>
          <w:szCs w:val="28"/>
          <w:lang w:val="en-US" w:eastAsia="zh-CN"/>
        </w:rPr>
        <w:t>3</w:t>
      </w:r>
      <w:r>
        <w:rPr>
          <w:rFonts w:hint="eastAsia" w:hAnsi="宋体"/>
          <w:sz w:val="28"/>
          <w:szCs w:val="28"/>
        </w:rPr>
        <w:t>）磋商报价表；</w:t>
      </w:r>
    </w:p>
    <w:p>
      <w:pPr>
        <w:pStyle w:val="12"/>
        <w:keepNext w:val="0"/>
        <w:keepLines w:val="0"/>
        <w:pageBreakBefore w:val="0"/>
        <w:kinsoku/>
        <w:wordWrap/>
        <w:overflowPunct/>
        <w:topLinePunct w:val="0"/>
        <w:autoSpaceDE/>
        <w:autoSpaceDN/>
        <w:bidi w:val="0"/>
        <w:adjustRightInd/>
        <w:snapToGrid/>
        <w:spacing w:line="480" w:lineRule="exact"/>
        <w:textAlignment w:val="auto"/>
        <w:rPr>
          <w:rFonts w:hAnsi="宋体"/>
          <w:sz w:val="28"/>
          <w:szCs w:val="28"/>
        </w:rPr>
      </w:pPr>
      <w:r>
        <w:rPr>
          <w:rFonts w:hint="eastAsia" w:hAnsi="宋体"/>
          <w:sz w:val="28"/>
          <w:szCs w:val="28"/>
        </w:rPr>
        <w:t xml:space="preserve">    （</w:t>
      </w:r>
      <w:r>
        <w:rPr>
          <w:rFonts w:hint="eastAsia" w:hAnsi="宋体"/>
          <w:sz w:val="28"/>
          <w:szCs w:val="28"/>
          <w:lang w:val="en-US" w:eastAsia="zh-CN"/>
        </w:rPr>
        <w:t>4</w:t>
      </w:r>
      <w:r>
        <w:rPr>
          <w:rFonts w:hint="eastAsia" w:hAnsi="宋体"/>
          <w:sz w:val="28"/>
          <w:szCs w:val="28"/>
        </w:rPr>
        <w:t>）参加磋商的其他证明资料；</w:t>
      </w:r>
    </w:p>
    <w:p>
      <w:pPr>
        <w:pStyle w:val="12"/>
        <w:keepNext w:val="0"/>
        <w:keepLines w:val="0"/>
        <w:pageBreakBefore w:val="0"/>
        <w:kinsoku/>
        <w:wordWrap/>
        <w:overflowPunct/>
        <w:topLinePunct w:val="0"/>
        <w:autoSpaceDE/>
        <w:autoSpaceDN/>
        <w:bidi w:val="0"/>
        <w:adjustRightInd/>
        <w:snapToGrid/>
        <w:spacing w:line="480" w:lineRule="exact"/>
        <w:ind w:firstLine="560"/>
        <w:textAlignment w:val="auto"/>
        <w:rPr>
          <w:rFonts w:hAnsi="宋体"/>
          <w:sz w:val="28"/>
          <w:szCs w:val="28"/>
        </w:rPr>
      </w:pPr>
      <w:r>
        <w:rPr>
          <w:rFonts w:hint="eastAsia" w:hAnsi="宋体"/>
          <w:sz w:val="28"/>
          <w:szCs w:val="28"/>
        </w:rPr>
        <w:t>（</w:t>
      </w:r>
      <w:r>
        <w:rPr>
          <w:rFonts w:hint="eastAsia" w:hAnsi="宋体"/>
          <w:sz w:val="28"/>
          <w:szCs w:val="28"/>
          <w:lang w:val="en-US" w:eastAsia="zh-CN"/>
        </w:rPr>
        <w:t>5</w:t>
      </w:r>
      <w:r>
        <w:rPr>
          <w:rFonts w:hint="eastAsia" w:hAnsi="宋体"/>
          <w:sz w:val="28"/>
          <w:szCs w:val="28"/>
        </w:rPr>
        <w:t>）辅助资料；</w:t>
      </w:r>
    </w:p>
    <w:p>
      <w:pPr>
        <w:pStyle w:val="12"/>
        <w:keepNext w:val="0"/>
        <w:keepLines w:val="0"/>
        <w:pageBreakBefore w:val="0"/>
        <w:kinsoku/>
        <w:wordWrap/>
        <w:overflowPunct/>
        <w:topLinePunct w:val="0"/>
        <w:autoSpaceDE/>
        <w:autoSpaceDN/>
        <w:bidi w:val="0"/>
        <w:adjustRightInd/>
        <w:snapToGrid/>
        <w:spacing w:line="480" w:lineRule="exact"/>
        <w:ind w:firstLine="560"/>
        <w:textAlignment w:val="auto"/>
        <w:rPr>
          <w:rFonts w:hAnsi="宋体"/>
          <w:sz w:val="28"/>
          <w:szCs w:val="28"/>
        </w:rPr>
      </w:pPr>
      <w:r>
        <w:rPr>
          <w:rFonts w:hint="eastAsia" w:hAnsi="宋体"/>
          <w:sz w:val="28"/>
          <w:szCs w:val="28"/>
        </w:rPr>
        <w:t>（</w:t>
      </w:r>
      <w:r>
        <w:rPr>
          <w:rFonts w:hint="eastAsia" w:hAnsi="宋体"/>
          <w:sz w:val="28"/>
          <w:szCs w:val="28"/>
          <w:lang w:val="en-US" w:eastAsia="zh-CN"/>
        </w:rPr>
        <w:t>6</w:t>
      </w:r>
      <w:r>
        <w:rPr>
          <w:rFonts w:hint="eastAsia" w:hAnsi="宋体"/>
          <w:sz w:val="28"/>
          <w:szCs w:val="28"/>
        </w:rPr>
        <w:t>）技术方案；</w:t>
      </w:r>
    </w:p>
    <w:p>
      <w:pPr>
        <w:pStyle w:val="12"/>
        <w:keepNext w:val="0"/>
        <w:keepLines w:val="0"/>
        <w:pageBreakBefore w:val="0"/>
        <w:kinsoku/>
        <w:wordWrap/>
        <w:overflowPunct/>
        <w:topLinePunct w:val="0"/>
        <w:autoSpaceDE/>
        <w:autoSpaceDN/>
        <w:bidi w:val="0"/>
        <w:adjustRightInd/>
        <w:snapToGrid/>
        <w:spacing w:line="480" w:lineRule="exact"/>
        <w:textAlignment w:val="auto"/>
        <w:rPr>
          <w:rFonts w:hAnsi="宋体"/>
          <w:sz w:val="28"/>
          <w:szCs w:val="28"/>
        </w:rPr>
      </w:pPr>
      <w:r>
        <w:rPr>
          <w:rFonts w:hint="eastAsia" w:hAnsi="宋体"/>
          <w:sz w:val="28"/>
          <w:szCs w:val="28"/>
        </w:rPr>
        <w:t xml:space="preserve">    （</w:t>
      </w:r>
      <w:r>
        <w:rPr>
          <w:rFonts w:hint="eastAsia" w:hAnsi="宋体"/>
          <w:sz w:val="28"/>
          <w:szCs w:val="28"/>
          <w:lang w:val="en-US" w:eastAsia="zh-CN"/>
        </w:rPr>
        <w:t>7</w:t>
      </w:r>
      <w:r>
        <w:rPr>
          <w:rFonts w:hint="eastAsia" w:hAnsi="宋体"/>
          <w:sz w:val="28"/>
          <w:szCs w:val="28"/>
        </w:rPr>
        <w:t>）项目组织机构和人员配备；</w:t>
      </w:r>
    </w:p>
    <w:p>
      <w:pPr>
        <w:pStyle w:val="12"/>
        <w:keepNext w:val="0"/>
        <w:keepLines w:val="0"/>
        <w:pageBreakBefore w:val="0"/>
        <w:kinsoku/>
        <w:wordWrap/>
        <w:overflowPunct/>
        <w:topLinePunct w:val="0"/>
        <w:autoSpaceDE/>
        <w:autoSpaceDN/>
        <w:bidi w:val="0"/>
        <w:adjustRightInd/>
        <w:snapToGrid/>
        <w:spacing w:line="480" w:lineRule="exact"/>
        <w:ind w:firstLine="560"/>
        <w:textAlignment w:val="auto"/>
        <w:rPr>
          <w:rFonts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）竞标人资格证明文件；</w:t>
      </w:r>
    </w:p>
    <w:p>
      <w:pPr>
        <w:pStyle w:val="12"/>
        <w:keepNext w:val="0"/>
        <w:keepLines w:val="0"/>
        <w:pageBreakBefore w:val="0"/>
        <w:kinsoku/>
        <w:wordWrap/>
        <w:overflowPunct/>
        <w:topLinePunct w:val="0"/>
        <w:autoSpaceDE/>
        <w:autoSpaceDN/>
        <w:bidi w:val="0"/>
        <w:adjustRightInd/>
        <w:snapToGrid/>
        <w:spacing w:line="480" w:lineRule="exact"/>
        <w:textAlignment w:val="auto"/>
        <w:rPr>
          <w:rFonts w:hAnsi="宋体"/>
          <w:sz w:val="28"/>
          <w:szCs w:val="28"/>
        </w:rPr>
      </w:pPr>
      <w:r>
        <w:rPr>
          <w:rFonts w:hint="eastAsia" w:hAnsi="宋体"/>
          <w:sz w:val="28"/>
          <w:szCs w:val="28"/>
        </w:rPr>
        <w:t xml:space="preserve">    （</w:t>
      </w:r>
      <w:r>
        <w:rPr>
          <w:rFonts w:hint="eastAsia" w:hAnsi="宋体"/>
          <w:sz w:val="28"/>
          <w:szCs w:val="28"/>
          <w:lang w:val="en-US" w:eastAsia="zh-CN"/>
        </w:rPr>
        <w:t>9</w:t>
      </w:r>
      <w:r>
        <w:rPr>
          <w:rFonts w:hint="eastAsia" w:hAnsi="宋体"/>
          <w:sz w:val="28"/>
          <w:szCs w:val="28"/>
        </w:rPr>
        <w:t>）竞标人认为需要提供的其他资料；（如有）</w:t>
      </w: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rPr>
          <w:rFonts w:hint="eastAsia" w:hAnsi="宋体"/>
          <w:b/>
          <w:sz w:val="32"/>
        </w:rPr>
      </w:pPr>
    </w:p>
    <w:p>
      <w:pPr>
        <w:jc w:val="center"/>
        <w:rPr>
          <w:rFonts w:hAnsi="宋体"/>
          <w:b/>
          <w:sz w:val="32"/>
        </w:rPr>
      </w:pPr>
      <w:r>
        <w:rPr>
          <w:rFonts w:hint="eastAsia" w:hAnsi="宋体"/>
          <w:b/>
          <w:sz w:val="32"/>
        </w:rPr>
        <w:t>（1）响应函（格式）</w:t>
      </w:r>
    </w:p>
    <w:p>
      <w:pPr>
        <w:pStyle w:val="12"/>
        <w:spacing w:line="42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w:t>
      </w:r>
      <w:r>
        <w:rPr>
          <w:rFonts w:hint="eastAsia" w:asciiTheme="majorEastAsia" w:hAnsiTheme="majorEastAsia" w:eastAsiaTheme="majorEastAsia" w:cstheme="majorEastAsia"/>
          <w:sz w:val="24"/>
          <w:szCs w:val="24"/>
          <w:u w:val="single"/>
        </w:rPr>
        <w:t>贺州市农业农村局</w:t>
      </w:r>
    </w:p>
    <w:p>
      <w:pPr>
        <w:pStyle w:val="12"/>
        <w:spacing w:line="42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根据贵方</w:t>
      </w:r>
      <w:r>
        <w:rPr>
          <w:rFonts w:hint="eastAsia" w:asciiTheme="majorEastAsia" w:hAnsiTheme="majorEastAsia" w:eastAsiaTheme="majorEastAsia" w:cstheme="majorEastAsia"/>
          <w:sz w:val="24"/>
          <w:szCs w:val="24"/>
          <w:u w:val="single"/>
        </w:rPr>
        <w:t xml:space="preserve">      （项目名称）      </w:t>
      </w:r>
      <w:r>
        <w:rPr>
          <w:rFonts w:hint="eastAsia" w:asciiTheme="majorEastAsia" w:hAnsiTheme="majorEastAsia" w:eastAsiaTheme="majorEastAsia" w:cstheme="majorEastAsia"/>
          <w:sz w:val="24"/>
          <w:szCs w:val="24"/>
        </w:rPr>
        <w:t>竞争性磋商文件，项目编号</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，正式授权下述签字人</w:t>
      </w:r>
      <w:r>
        <w:rPr>
          <w:rFonts w:hint="eastAsia" w:asciiTheme="majorEastAsia" w:hAnsiTheme="majorEastAsia" w:eastAsiaTheme="majorEastAsia" w:cstheme="majorEastAsia"/>
          <w:sz w:val="24"/>
          <w:szCs w:val="24"/>
          <w:u w:val="single"/>
        </w:rPr>
        <w:t>（姓名和职务）</w:t>
      </w:r>
      <w:r>
        <w:rPr>
          <w:rFonts w:hint="eastAsia" w:asciiTheme="majorEastAsia" w:hAnsiTheme="majorEastAsia" w:eastAsiaTheme="majorEastAsia" w:cstheme="majorEastAsia"/>
          <w:sz w:val="24"/>
          <w:szCs w:val="24"/>
        </w:rPr>
        <w:t>代表竞标人</w:t>
      </w:r>
      <w:r>
        <w:rPr>
          <w:rFonts w:hint="eastAsia" w:asciiTheme="majorEastAsia" w:hAnsiTheme="majorEastAsia" w:eastAsiaTheme="majorEastAsia" w:cstheme="majorEastAsia"/>
          <w:sz w:val="24"/>
          <w:szCs w:val="24"/>
          <w:u w:val="single"/>
        </w:rPr>
        <w:t xml:space="preserve">            （竞标人单位名称）       </w:t>
      </w:r>
      <w:r>
        <w:rPr>
          <w:rFonts w:hint="eastAsia" w:asciiTheme="majorEastAsia" w:hAnsiTheme="majorEastAsia" w:eastAsiaTheme="majorEastAsia" w:cstheme="majorEastAsia"/>
          <w:sz w:val="24"/>
          <w:szCs w:val="24"/>
        </w:rPr>
        <w:t>，提交下述文件正本一份，副本四份。</w:t>
      </w:r>
    </w:p>
    <w:p>
      <w:pPr>
        <w:pStyle w:val="12"/>
        <w:spacing w:line="420" w:lineRule="exact"/>
        <w:rPr>
          <w:rFonts w:hAnsi="宋体"/>
          <w:sz w:val="24"/>
          <w:szCs w:val="24"/>
        </w:rPr>
      </w:pPr>
      <w:r>
        <w:rPr>
          <w:rFonts w:hint="eastAsia" w:hAnsi="宋体"/>
          <w:sz w:val="24"/>
          <w:szCs w:val="24"/>
        </w:rPr>
        <w:t xml:space="preserve">    一、磋商报价表</w:t>
      </w:r>
    </w:p>
    <w:p>
      <w:pPr>
        <w:pStyle w:val="12"/>
        <w:spacing w:line="420" w:lineRule="exact"/>
        <w:rPr>
          <w:rFonts w:hAnsi="宋体"/>
          <w:sz w:val="24"/>
          <w:szCs w:val="24"/>
        </w:rPr>
      </w:pPr>
      <w:r>
        <w:rPr>
          <w:rFonts w:hint="eastAsia" w:hAnsi="宋体"/>
          <w:sz w:val="24"/>
          <w:szCs w:val="24"/>
        </w:rPr>
        <w:t xml:space="preserve">    二、服务承诺书</w:t>
      </w:r>
    </w:p>
    <w:p>
      <w:pPr>
        <w:pStyle w:val="12"/>
        <w:spacing w:line="420" w:lineRule="exact"/>
        <w:rPr>
          <w:rFonts w:hAnsi="宋体"/>
          <w:sz w:val="24"/>
          <w:szCs w:val="24"/>
        </w:rPr>
      </w:pPr>
      <w:r>
        <w:rPr>
          <w:rFonts w:hint="eastAsia" w:hAnsi="宋体"/>
          <w:sz w:val="24"/>
          <w:szCs w:val="24"/>
        </w:rPr>
        <w:t xml:space="preserve">    三、资格证明文件和竞标人须知第12条和第13条要求竞标人提交的全部文件。</w:t>
      </w:r>
    </w:p>
    <w:p>
      <w:pPr>
        <w:pStyle w:val="12"/>
        <w:spacing w:line="420" w:lineRule="exact"/>
        <w:rPr>
          <w:rFonts w:hAnsi="宋体"/>
          <w:sz w:val="24"/>
          <w:szCs w:val="24"/>
        </w:rPr>
      </w:pPr>
      <w:r>
        <w:rPr>
          <w:rFonts w:hint="eastAsia" w:hAnsi="宋体"/>
          <w:sz w:val="24"/>
          <w:szCs w:val="24"/>
        </w:rPr>
        <w:t xml:space="preserve">    据此函，签字人兹宣布同意如下：</w:t>
      </w:r>
    </w:p>
    <w:p>
      <w:pPr>
        <w:pStyle w:val="12"/>
        <w:spacing w:line="440" w:lineRule="exact"/>
        <w:ind w:firstLine="480" w:firstLineChars="200"/>
        <w:jc w:val="left"/>
        <w:rPr>
          <w:rFonts w:hAnsi="宋体"/>
          <w:sz w:val="24"/>
          <w:szCs w:val="24"/>
        </w:rPr>
      </w:pPr>
      <w:r>
        <w:rPr>
          <w:rFonts w:hint="eastAsia" w:hAnsi="宋体"/>
          <w:sz w:val="24"/>
          <w:szCs w:val="24"/>
        </w:rPr>
        <w:t>1、根据本项目竞争性磋商文件的采购项目技术参数要求，经考察现场和研究决定，我公司对该项目的磋商报价为：</w:t>
      </w:r>
      <w:r>
        <w:rPr>
          <w:rFonts w:hint="eastAsia" w:hAnsi="宋体" w:cs="宋体"/>
        </w:rPr>
        <w:t>人民币（大写）</w:t>
      </w:r>
      <w:r>
        <w:rPr>
          <w:rFonts w:hint="eastAsia" w:hAnsi="宋体" w:cs="宋体"/>
          <w:u w:val="single"/>
        </w:rPr>
        <w:t xml:space="preserve">                （￥         </w:t>
      </w:r>
      <w:r>
        <w:rPr>
          <w:rFonts w:hint="eastAsia" w:hAnsi="宋体" w:cs="宋体"/>
        </w:rPr>
        <w:t>元）</w:t>
      </w:r>
      <w:r>
        <w:rPr>
          <w:rFonts w:hint="eastAsia" w:hAnsi="宋体"/>
          <w:sz w:val="24"/>
          <w:szCs w:val="24"/>
        </w:rPr>
        <w:t>；服务期为：</w:t>
      </w:r>
      <w:r>
        <w:rPr>
          <w:rFonts w:hint="eastAsia" w:hAnsi="宋体"/>
          <w:sz w:val="24"/>
          <w:szCs w:val="24"/>
          <w:u w:val="single"/>
        </w:rPr>
        <w:t xml:space="preserve">         </w:t>
      </w:r>
      <w:r>
        <w:rPr>
          <w:rFonts w:hint="eastAsia" w:hAnsi="宋体"/>
          <w:sz w:val="24"/>
          <w:szCs w:val="24"/>
        </w:rPr>
        <w:t>。</w:t>
      </w:r>
    </w:p>
    <w:p>
      <w:pPr>
        <w:pStyle w:val="12"/>
        <w:spacing w:line="420" w:lineRule="exact"/>
        <w:rPr>
          <w:rFonts w:hAnsi="宋体"/>
          <w:sz w:val="24"/>
          <w:szCs w:val="24"/>
        </w:rPr>
      </w:pPr>
      <w:r>
        <w:rPr>
          <w:rFonts w:hint="eastAsia" w:hAnsi="宋体"/>
          <w:sz w:val="24"/>
          <w:szCs w:val="24"/>
        </w:rPr>
        <w:t xml:space="preserve">    2、我方同意在竞标人须知规定的截标日期起遵循本竞争性磋商文件，在磋商须知第14条规定的竞标有效期满之前均具有约束力，并有可能中标。</w:t>
      </w:r>
    </w:p>
    <w:p>
      <w:pPr>
        <w:pStyle w:val="12"/>
        <w:spacing w:line="420" w:lineRule="exact"/>
        <w:rPr>
          <w:rFonts w:hAnsi="宋体"/>
          <w:sz w:val="24"/>
          <w:szCs w:val="24"/>
        </w:rPr>
      </w:pPr>
      <w:r>
        <w:rPr>
          <w:rFonts w:hint="eastAsia" w:hAnsi="宋体"/>
          <w:sz w:val="24"/>
          <w:szCs w:val="24"/>
        </w:rPr>
        <w:t xml:space="preserve">    3、我方承诺已经具备《中华人民共和国政府采购法》中规定的参加政府采购活动的竞标人应当具备的条件：</w:t>
      </w:r>
    </w:p>
    <w:p>
      <w:pPr>
        <w:pStyle w:val="12"/>
        <w:spacing w:line="420" w:lineRule="exact"/>
        <w:ind w:firstLine="480" w:firstLineChars="200"/>
        <w:rPr>
          <w:rFonts w:hAnsi="宋体"/>
          <w:sz w:val="24"/>
          <w:szCs w:val="24"/>
        </w:rPr>
      </w:pPr>
      <w:r>
        <w:rPr>
          <w:rFonts w:hint="eastAsia" w:hAnsi="宋体"/>
          <w:sz w:val="24"/>
          <w:szCs w:val="24"/>
        </w:rPr>
        <w:t>（1）具有独立承担民事责任的能力；</w:t>
      </w:r>
    </w:p>
    <w:p>
      <w:pPr>
        <w:pStyle w:val="12"/>
        <w:spacing w:line="420" w:lineRule="exact"/>
        <w:ind w:firstLine="480" w:firstLineChars="200"/>
        <w:rPr>
          <w:rFonts w:hAnsi="宋体"/>
          <w:sz w:val="24"/>
          <w:szCs w:val="24"/>
        </w:rPr>
      </w:pPr>
      <w:r>
        <w:rPr>
          <w:rFonts w:hint="eastAsia" w:hAnsi="宋体"/>
          <w:sz w:val="24"/>
          <w:szCs w:val="24"/>
        </w:rPr>
        <w:t>（2）具有良好的商业信誉和健全的财务会计制度；</w:t>
      </w:r>
    </w:p>
    <w:p>
      <w:pPr>
        <w:pStyle w:val="12"/>
        <w:spacing w:line="420" w:lineRule="exact"/>
        <w:ind w:firstLine="480" w:firstLineChars="200"/>
        <w:rPr>
          <w:rFonts w:hAnsi="宋体"/>
          <w:sz w:val="24"/>
          <w:szCs w:val="24"/>
        </w:rPr>
      </w:pPr>
      <w:r>
        <w:rPr>
          <w:rFonts w:hint="eastAsia" w:hAnsi="宋体"/>
          <w:sz w:val="24"/>
          <w:szCs w:val="24"/>
        </w:rPr>
        <w:t>（3）具有履行合同所必需的设备和专业技术能力；</w:t>
      </w:r>
    </w:p>
    <w:p>
      <w:pPr>
        <w:pStyle w:val="12"/>
        <w:spacing w:line="420" w:lineRule="exact"/>
        <w:ind w:firstLine="480" w:firstLineChars="200"/>
        <w:rPr>
          <w:rFonts w:hAnsi="宋体"/>
          <w:sz w:val="24"/>
          <w:szCs w:val="24"/>
        </w:rPr>
      </w:pPr>
      <w:r>
        <w:rPr>
          <w:rFonts w:hint="eastAsia" w:hAnsi="宋体"/>
          <w:sz w:val="24"/>
          <w:szCs w:val="24"/>
        </w:rPr>
        <w:t>（4）有依法缴纳税收和社会保障资金的良好记录；</w:t>
      </w:r>
    </w:p>
    <w:p>
      <w:pPr>
        <w:pStyle w:val="12"/>
        <w:spacing w:line="420" w:lineRule="exact"/>
        <w:ind w:firstLine="480" w:firstLineChars="200"/>
        <w:rPr>
          <w:rFonts w:hAnsi="宋体"/>
          <w:sz w:val="24"/>
          <w:szCs w:val="24"/>
        </w:rPr>
      </w:pPr>
      <w:r>
        <w:rPr>
          <w:rFonts w:hint="eastAsia" w:hAnsi="宋体"/>
          <w:sz w:val="24"/>
          <w:szCs w:val="24"/>
        </w:rPr>
        <w:t>（5）参加此项采购活动前三年内，在经营活动中没有重大违法记录。</w:t>
      </w:r>
    </w:p>
    <w:p>
      <w:pPr>
        <w:pStyle w:val="12"/>
        <w:spacing w:line="420" w:lineRule="exact"/>
        <w:ind w:firstLine="480" w:firstLineChars="200"/>
        <w:rPr>
          <w:rFonts w:hAnsi="宋体"/>
          <w:sz w:val="24"/>
          <w:szCs w:val="24"/>
        </w:rPr>
      </w:pPr>
      <w:r>
        <w:rPr>
          <w:rFonts w:hint="eastAsia" w:hAnsi="宋体"/>
          <w:sz w:val="24"/>
          <w:szCs w:val="24"/>
        </w:rPr>
        <w:t>4、我方根据竞争性磋商文件的规定，承担完成合同的责任和义务。</w:t>
      </w:r>
    </w:p>
    <w:p>
      <w:pPr>
        <w:pStyle w:val="12"/>
        <w:spacing w:line="420" w:lineRule="exact"/>
        <w:ind w:firstLine="480" w:firstLineChars="200"/>
        <w:rPr>
          <w:rFonts w:hAnsi="宋体"/>
          <w:sz w:val="24"/>
          <w:szCs w:val="24"/>
        </w:rPr>
      </w:pPr>
      <w:r>
        <w:rPr>
          <w:rFonts w:hint="eastAsia" w:hAnsi="宋体"/>
          <w:sz w:val="24"/>
          <w:szCs w:val="24"/>
        </w:rPr>
        <w:t>5、我方已详细审核竞争性磋商文件，我方知道必须放弃提出含糊不清或误解问题的权利。</w:t>
      </w:r>
    </w:p>
    <w:p>
      <w:pPr>
        <w:pStyle w:val="12"/>
        <w:spacing w:line="420" w:lineRule="exact"/>
        <w:ind w:firstLine="480" w:firstLineChars="200"/>
        <w:rPr>
          <w:rFonts w:hAnsi="宋体"/>
          <w:sz w:val="24"/>
          <w:szCs w:val="24"/>
        </w:rPr>
      </w:pPr>
      <w:r>
        <w:rPr>
          <w:rFonts w:hint="eastAsia" w:hAnsi="宋体"/>
          <w:sz w:val="24"/>
          <w:szCs w:val="24"/>
        </w:rPr>
        <w:t>6、如果在</w:t>
      </w:r>
      <w:r>
        <w:rPr>
          <w:rFonts w:hint="eastAsia" w:hAnsi="宋体" w:cs="宋体"/>
          <w:sz w:val="24"/>
          <w:szCs w:val="24"/>
        </w:rPr>
        <w:t>截标时间</w:t>
      </w:r>
      <w:r>
        <w:rPr>
          <w:rFonts w:hint="eastAsia" w:hAnsi="宋体"/>
          <w:sz w:val="24"/>
          <w:szCs w:val="24"/>
        </w:rPr>
        <w:t>后的</w:t>
      </w:r>
      <w:r>
        <w:rPr>
          <w:rFonts w:hint="eastAsia" w:hAnsi="宋体" w:cs="宋体"/>
          <w:sz w:val="24"/>
          <w:szCs w:val="24"/>
        </w:rPr>
        <w:t>磋商有效期</w:t>
      </w:r>
      <w:r>
        <w:rPr>
          <w:rFonts w:hint="eastAsia" w:hAnsi="宋体"/>
          <w:sz w:val="24"/>
          <w:szCs w:val="24"/>
        </w:rPr>
        <w:t>内撤回竞标或者有其他违约行为，我方的竞标保证金可被贵方全部没收。</w:t>
      </w:r>
    </w:p>
    <w:p>
      <w:pPr>
        <w:pStyle w:val="12"/>
        <w:spacing w:line="420" w:lineRule="exact"/>
        <w:ind w:firstLine="480" w:firstLineChars="200"/>
        <w:rPr>
          <w:rFonts w:hAnsi="宋体"/>
          <w:sz w:val="24"/>
          <w:szCs w:val="24"/>
        </w:rPr>
      </w:pPr>
      <w:r>
        <w:rPr>
          <w:rFonts w:hint="eastAsia" w:hAnsi="宋体"/>
          <w:sz w:val="24"/>
          <w:szCs w:val="24"/>
        </w:rPr>
        <w:t>7、同意向贵方提供贵方可能要求的与本磋商有关的任何数据或资料。</w:t>
      </w:r>
    </w:p>
    <w:p>
      <w:pPr>
        <w:pStyle w:val="12"/>
        <w:spacing w:line="420" w:lineRule="exact"/>
        <w:ind w:firstLine="480" w:firstLineChars="200"/>
        <w:rPr>
          <w:rFonts w:hAnsi="宋体"/>
          <w:sz w:val="24"/>
          <w:szCs w:val="24"/>
        </w:rPr>
      </w:pPr>
      <w:r>
        <w:rPr>
          <w:rFonts w:hint="eastAsia" w:hAnsi="宋体"/>
          <w:sz w:val="24"/>
          <w:szCs w:val="24"/>
        </w:rPr>
        <w:t>8、我方完全理解贵方不一定要接受最低报价的竞标人为成交（中标）人。</w:t>
      </w:r>
    </w:p>
    <w:p>
      <w:pPr>
        <w:pStyle w:val="12"/>
        <w:spacing w:line="420" w:lineRule="exact"/>
        <w:ind w:firstLine="480" w:firstLineChars="200"/>
        <w:rPr>
          <w:rFonts w:hAnsi="宋体"/>
          <w:sz w:val="24"/>
          <w:szCs w:val="24"/>
        </w:rPr>
      </w:pPr>
      <w:r>
        <w:rPr>
          <w:rFonts w:hint="eastAsia" w:hAnsi="宋体"/>
          <w:sz w:val="24"/>
          <w:szCs w:val="24"/>
        </w:rPr>
        <w:t>9、若贵方需要，我方愿意提供我方作出的一切承诺的证明材料。</w:t>
      </w:r>
    </w:p>
    <w:p>
      <w:pPr>
        <w:pStyle w:val="12"/>
        <w:spacing w:line="420" w:lineRule="exact"/>
        <w:ind w:firstLine="480" w:firstLineChars="200"/>
        <w:rPr>
          <w:rFonts w:hAnsi="宋体"/>
          <w:sz w:val="24"/>
          <w:szCs w:val="24"/>
        </w:rPr>
      </w:pPr>
      <w:r>
        <w:rPr>
          <w:rFonts w:hint="eastAsia" w:hAnsi="宋体"/>
          <w:sz w:val="24"/>
          <w:szCs w:val="24"/>
        </w:rPr>
        <w:t>10、我方将严格遵守《中华人民共和国政府采购法》第七十七条规定，竞标人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12"/>
        <w:spacing w:line="420" w:lineRule="exact"/>
        <w:ind w:firstLine="480" w:firstLineChars="200"/>
        <w:rPr>
          <w:rFonts w:hAnsi="宋体"/>
          <w:sz w:val="24"/>
          <w:szCs w:val="24"/>
        </w:rPr>
      </w:pPr>
      <w:r>
        <w:rPr>
          <w:rFonts w:hint="eastAsia" w:hAnsi="宋体"/>
          <w:sz w:val="24"/>
          <w:szCs w:val="24"/>
        </w:rPr>
        <w:t>（1）提供虚假材料谋取中标的；</w:t>
      </w:r>
    </w:p>
    <w:p>
      <w:pPr>
        <w:pStyle w:val="12"/>
        <w:spacing w:line="420" w:lineRule="exact"/>
        <w:ind w:firstLine="480" w:firstLineChars="200"/>
        <w:rPr>
          <w:rFonts w:hAnsi="宋体"/>
          <w:sz w:val="24"/>
          <w:szCs w:val="24"/>
        </w:rPr>
      </w:pPr>
      <w:r>
        <w:rPr>
          <w:rFonts w:hint="eastAsia" w:hAnsi="宋体"/>
          <w:sz w:val="24"/>
          <w:szCs w:val="24"/>
        </w:rPr>
        <w:t>（2）采取不正当手段诋毁、排挤其他竞标人的；</w:t>
      </w:r>
    </w:p>
    <w:p>
      <w:pPr>
        <w:pStyle w:val="12"/>
        <w:spacing w:line="420" w:lineRule="exact"/>
        <w:ind w:firstLine="480" w:firstLineChars="200"/>
        <w:rPr>
          <w:rFonts w:hAnsi="宋体"/>
          <w:sz w:val="24"/>
          <w:szCs w:val="24"/>
        </w:rPr>
      </w:pPr>
      <w:r>
        <w:rPr>
          <w:rFonts w:hint="eastAsia" w:hAnsi="宋体"/>
          <w:sz w:val="24"/>
          <w:szCs w:val="24"/>
        </w:rPr>
        <w:t>（3）与采购人、其他竞标人或者招标代理机构恶意串通的；</w:t>
      </w:r>
    </w:p>
    <w:p>
      <w:pPr>
        <w:pStyle w:val="12"/>
        <w:spacing w:line="420" w:lineRule="exact"/>
        <w:ind w:firstLine="480" w:firstLineChars="200"/>
        <w:rPr>
          <w:rFonts w:hAnsi="宋体"/>
          <w:sz w:val="24"/>
          <w:szCs w:val="24"/>
        </w:rPr>
      </w:pPr>
      <w:r>
        <w:rPr>
          <w:rFonts w:hint="eastAsia" w:hAnsi="宋体"/>
          <w:sz w:val="24"/>
          <w:szCs w:val="24"/>
        </w:rPr>
        <w:t>（4）向采购人、招标代理机构行贿或者提供其他不正当利益的；</w:t>
      </w:r>
    </w:p>
    <w:p>
      <w:pPr>
        <w:pStyle w:val="12"/>
        <w:spacing w:line="420" w:lineRule="exact"/>
        <w:ind w:firstLine="480" w:firstLineChars="200"/>
        <w:rPr>
          <w:rFonts w:hAnsi="宋体"/>
          <w:sz w:val="24"/>
          <w:szCs w:val="24"/>
        </w:rPr>
      </w:pPr>
      <w:r>
        <w:rPr>
          <w:rFonts w:hint="eastAsia" w:hAnsi="宋体"/>
          <w:sz w:val="24"/>
          <w:szCs w:val="24"/>
        </w:rPr>
        <w:t>（5）在采购过程中与采购人进行协商谈判的；</w:t>
      </w:r>
    </w:p>
    <w:p>
      <w:pPr>
        <w:pStyle w:val="12"/>
        <w:spacing w:line="420" w:lineRule="exact"/>
        <w:ind w:firstLine="480" w:firstLineChars="200"/>
        <w:rPr>
          <w:rFonts w:hAnsi="宋体"/>
          <w:sz w:val="24"/>
          <w:szCs w:val="24"/>
        </w:rPr>
      </w:pPr>
      <w:r>
        <w:rPr>
          <w:rFonts w:hint="eastAsia" w:hAnsi="宋体"/>
          <w:sz w:val="24"/>
          <w:szCs w:val="24"/>
        </w:rPr>
        <w:t>（6）拒绝有关部门监督检查或提供虚假情况的。</w:t>
      </w:r>
    </w:p>
    <w:p>
      <w:pPr>
        <w:pStyle w:val="12"/>
        <w:spacing w:line="420" w:lineRule="exact"/>
        <w:ind w:left="101" w:leftChars="48" w:firstLine="595" w:firstLineChars="248"/>
        <w:rPr>
          <w:rFonts w:hAnsi="宋体"/>
          <w:sz w:val="24"/>
          <w:szCs w:val="24"/>
        </w:rPr>
      </w:pPr>
      <w:r>
        <w:rPr>
          <w:rFonts w:hint="eastAsia" w:hAnsi="宋体"/>
          <w:sz w:val="24"/>
          <w:szCs w:val="24"/>
        </w:rPr>
        <w:t>与本竞标有关的正式通讯地址为：</w:t>
      </w:r>
    </w:p>
    <w:p>
      <w:pPr>
        <w:pStyle w:val="12"/>
        <w:spacing w:line="420" w:lineRule="exact"/>
        <w:ind w:left="101" w:leftChars="48" w:firstLine="595" w:firstLineChars="248"/>
        <w:rPr>
          <w:rFonts w:hAnsi="宋体"/>
          <w:sz w:val="24"/>
          <w:szCs w:val="24"/>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 xml:space="preserve"> 邮政编码：</w:t>
      </w:r>
      <w:r>
        <w:rPr>
          <w:rFonts w:hint="eastAsia" w:hAnsi="宋体"/>
          <w:sz w:val="24"/>
          <w:szCs w:val="24"/>
          <w:u w:val="single"/>
        </w:rPr>
        <w:t xml:space="preserve">             </w:t>
      </w:r>
    </w:p>
    <w:p>
      <w:pPr>
        <w:pStyle w:val="12"/>
        <w:spacing w:line="400" w:lineRule="exact"/>
        <w:ind w:firstLine="720" w:firstLineChars="300"/>
        <w:rPr>
          <w:rFonts w:hAnsi="宋体"/>
          <w:sz w:val="24"/>
          <w:szCs w:val="24"/>
          <w:u w:val="single"/>
        </w:rPr>
      </w:pPr>
      <w:r>
        <w:rPr>
          <w:rFonts w:hint="eastAsia" w:hAnsi="宋体"/>
          <w:sz w:val="24"/>
          <w:szCs w:val="24"/>
        </w:rPr>
        <w:t>电话、传真或电传：</w:t>
      </w:r>
      <w:r>
        <w:rPr>
          <w:rFonts w:hint="eastAsia" w:hAnsi="宋体"/>
          <w:sz w:val="24"/>
          <w:szCs w:val="24"/>
          <w:u w:val="single"/>
        </w:rPr>
        <w:t xml:space="preserve">                                      </w:t>
      </w:r>
    </w:p>
    <w:p>
      <w:pPr>
        <w:pStyle w:val="12"/>
        <w:spacing w:line="400" w:lineRule="exact"/>
        <w:ind w:firstLine="720" w:firstLineChars="300"/>
        <w:rPr>
          <w:rFonts w:hAnsi="宋体"/>
          <w:sz w:val="24"/>
          <w:szCs w:val="24"/>
        </w:rPr>
      </w:pPr>
      <w:r>
        <w:rPr>
          <w:rFonts w:hint="eastAsia" w:hAnsi="宋体"/>
          <w:sz w:val="24"/>
          <w:szCs w:val="24"/>
        </w:rPr>
        <w:t>开户名称：</w:t>
      </w:r>
      <w:r>
        <w:rPr>
          <w:rFonts w:hint="eastAsia" w:hAnsi="宋体"/>
          <w:sz w:val="24"/>
          <w:szCs w:val="24"/>
          <w:u w:val="single"/>
        </w:rPr>
        <w:t xml:space="preserve">                                      </w:t>
      </w:r>
    </w:p>
    <w:p>
      <w:pPr>
        <w:pStyle w:val="12"/>
        <w:spacing w:line="400" w:lineRule="exact"/>
        <w:ind w:firstLine="720" w:firstLineChars="300"/>
        <w:rPr>
          <w:rFonts w:hAnsi="宋体"/>
          <w:sz w:val="24"/>
          <w:szCs w:val="24"/>
        </w:rPr>
      </w:pPr>
      <w:r>
        <w:rPr>
          <w:rFonts w:hint="eastAsia" w:hAnsi="宋体"/>
          <w:sz w:val="24"/>
          <w:szCs w:val="24"/>
        </w:rPr>
        <w:t>开户银行：</w:t>
      </w:r>
      <w:r>
        <w:rPr>
          <w:rFonts w:hint="eastAsia" w:hAnsi="宋体"/>
          <w:sz w:val="24"/>
          <w:szCs w:val="24"/>
          <w:u w:val="single"/>
        </w:rPr>
        <w:t xml:space="preserve">                                      </w:t>
      </w:r>
    </w:p>
    <w:p>
      <w:pPr>
        <w:pStyle w:val="12"/>
        <w:spacing w:line="400" w:lineRule="exact"/>
        <w:ind w:firstLine="720" w:firstLineChars="300"/>
        <w:rPr>
          <w:rFonts w:hAnsi="宋体"/>
          <w:sz w:val="24"/>
          <w:szCs w:val="24"/>
        </w:rPr>
      </w:pPr>
      <w:r>
        <w:rPr>
          <w:rFonts w:hint="eastAsia" w:hAnsi="宋体"/>
          <w:sz w:val="24"/>
          <w:szCs w:val="24"/>
        </w:rPr>
        <w:t>帐号：</w:t>
      </w:r>
      <w:r>
        <w:rPr>
          <w:rFonts w:hint="eastAsia" w:hAnsi="宋体"/>
          <w:sz w:val="24"/>
          <w:szCs w:val="24"/>
          <w:u w:val="single"/>
        </w:rPr>
        <w:t xml:space="preserve">                                      </w:t>
      </w:r>
    </w:p>
    <w:p>
      <w:pPr>
        <w:pStyle w:val="12"/>
        <w:spacing w:line="420" w:lineRule="exact"/>
        <w:ind w:left="101" w:leftChars="48" w:firstLine="595" w:firstLineChars="248"/>
        <w:rPr>
          <w:rFonts w:hAnsi="宋体"/>
          <w:sz w:val="24"/>
          <w:szCs w:val="24"/>
        </w:rPr>
      </w:pPr>
      <w:r>
        <w:rPr>
          <w:rFonts w:hint="eastAsia" w:hAnsi="宋体"/>
          <w:sz w:val="24"/>
          <w:szCs w:val="24"/>
        </w:rPr>
        <w:t>法定代表人或委托代理人签名：</w:t>
      </w:r>
      <w:r>
        <w:rPr>
          <w:rFonts w:hint="eastAsia" w:hAnsi="宋体"/>
          <w:sz w:val="24"/>
          <w:szCs w:val="24"/>
          <w:u w:val="single"/>
        </w:rPr>
        <w:t xml:space="preserve">                                  </w:t>
      </w:r>
    </w:p>
    <w:p>
      <w:pPr>
        <w:pStyle w:val="12"/>
        <w:spacing w:line="420" w:lineRule="exact"/>
        <w:ind w:left="101" w:leftChars="48" w:firstLine="595" w:firstLineChars="248"/>
        <w:rPr>
          <w:rFonts w:hAnsi="宋体"/>
          <w:sz w:val="24"/>
          <w:szCs w:val="24"/>
        </w:rPr>
      </w:pPr>
      <w:r>
        <w:rPr>
          <w:rFonts w:hint="eastAsia" w:hAnsi="宋体"/>
          <w:sz w:val="24"/>
          <w:szCs w:val="24"/>
        </w:rPr>
        <w:t>竞标人（盖单位公章）：</w:t>
      </w:r>
      <w:r>
        <w:rPr>
          <w:rFonts w:hint="eastAsia" w:hAnsi="宋体"/>
          <w:sz w:val="24"/>
          <w:szCs w:val="24"/>
          <w:u w:val="single"/>
        </w:rPr>
        <w:t xml:space="preserve">                                         </w:t>
      </w:r>
    </w:p>
    <w:p>
      <w:pPr>
        <w:pStyle w:val="12"/>
        <w:spacing w:line="420" w:lineRule="exact"/>
        <w:ind w:left="101" w:leftChars="48" w:firstLine="595" w:firstLineChars="248"/>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12"/>
        <w:spacing w:line="420" w:lineRule="exact"/>
        <w:ind w:left="101" w:leftChars="48" w:firstLine="545" w:firstLineChars="248"/>
        <w:rPr>
          <w:rFonts w:hAnsi="宋体"/>
          <w:sz w:val="22"/>
          <w:szCs w:val="22"/>
        </w:rPr>
      </w:pPr>
    </w:p>
    <w:p>
      <w:pPr>
        <w:pStyle w:val="12"/>
        <w:spacing w:line="420" w:lineRule="exact"/>
        <w:ind w:left="101" w:leftChars="48" w:firstLine="545" w:firstLineChars="248"/>
        <w:rPr>
          <w:rFonts w:hAnsi="宋体"/>
          <w:sz w:val="22"/>
          <w:szCs w:val="22"/>
        </w:rPr>
      </w:pPr>
    </w:p>
    <w:p>
      <w:pPr>
        <w:pStyle w:val="12"/>
        <w:spacing w:line="420" w:lineRule="exact"/>
        <w:rPr>
          <w:rFonts w:hAnsi="宋体"/>
          <w:sz w:val="22"/>
          <w:szCs w:val="22"/>
        </w:rPr>
      </w:pPr>
      <w:r>
        <w:rPr>
          <w:rFonts w:hint="eastAsia" w:hAnsi="宋体"/>
          <w:b/>
          <w:sz w:val="22"/>
          <w:szCs w:val="22"/>
        </w:rPr>
        <w:t>注：未按照本响应函要求填报的响应函将被视为非实质性响应竞标，从而导致该竞标被拒绝。</w:t>
      </w:r>
    </w:p>
    <w:p>
      <w:pPr>
        <w:pStyle w:val="12"/>
        <w:spacing w:line="420" w:lineRule="exact"/>
        <w:ind w:left="101" w:leftChars="48" w:firstLine="520" w:firstLineChars="248"/>
        <w:rPr>
          <w:rFonts w:hAnsi="宋体"/>
        </w:rPr>
      </w:pPr>
    </w:p>
    <w:p>
      <w:pPr>
        <w:pStyle w:val="12"/>
        <w:spacing w:line="420" w:lineRule="exact"/>
        <w:ind w:left="101" w:leftChars="48" w:firstLine="520" w:firstLineChars="248"/>
        <w:rPr>
          <w:rFonts w:hAnsi="宋体"/>
        </w:rPr>
      </w:pPr>
    </w:p>
    <w:p>
      <w:pPr>
        <w:pStyle w:val="12"/>
        <w:spacing w:line="420" w:lineRule="exact"/>
        <w:ind w:left="101" w:leftChars="48" w:firstLine="520" w:firstLineChars="248"/>
        <w:rPr>
          <w:rFonts w:hAnsi="宋体"/>
        </w:rPr>
      </w:pPr>
    </w:p>
    <w:p>
      <w:pPr>
        <w:pStyle w:val="12"/>
        <w:spacing w:line="420" w:lineRule="exact"/>
        <w:ind w:left="101" w:leftChars="48" w:firstLine="520" w:firstLineChars="248"/>
        <w:rPr>
          <w:rFonts w:hAnsi="宋体"/>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r>
        <w:rPr>
          <w:rFonts w:hint="eastAsia" w:hAnsi="宋体"/>
          <w:b/>
          <w:sz w:val="32"/>
        </w:rPr>
        <w:t>（1）响应函（</w:t>
      </w:r>
      <w:r>
        <w:rPr>
          <w:rFonts w:hint="eastAsia"/>
          <w:b/>
          <w:sz w:val="28"/>
          <w:szCs w:val="28"/>
        </w:rPr>
        <w:t>联</w:t>
      </w:r>
      <w:r>
        <w:rPr>
          <w:rFonts w:hint="eastAsia"/>
          <w:b/>
          <w:sz w:val="32"/>
          <w:szCs w:val="32"/>
        </w:rPr>
        <w:t>合体</w:t>
      </w:r>
      <w:r>
        <w:rPr>
          <w:rFonts w:hint="eastAsia"/>
          <w:b/>
          <w:sz w:val="32"/>
          <w:szCs w:val="32"/>
          <w:lang w:val="en-US" w:eastAsia="zh-CN"/>
        </w:rPr>
        <w:t>竞</w:t>
      </w:r>
      <w:r>
        <w:rPr>
          <w:rFonts w:hint="eastAsia"/>
          <w:b/>
          <w:sz w:val="32"/>
          <w:szCs w:val="32"/>
        </w:rPr>
        <w:t>标</w:t>
      </w:r>
      <w:r>
        <w:rPr>
          <w:rFonts w:hint="eastAsia" w:hAnsi="宋体"/>
          <w:b/>
          <w:sz w:val="32"/>
        </w:rPr>
        <w:t>格式）</w:t>
      </w:r>
    </w:p>
    <w:p>
      <w:pPr>
        <w:pStyle w:val="12"/>
        <w:spacing w:line="42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w:t>
      </w:r>
      <w:r>
        <w:rPr>
          <w:rFonts w:hint="eastAsia" w:asciiTheme="majorEastAsia" w:hAnsiTheme="majorEastAsia" w:eastAsiaTheme="majorEastAsia" w:cstheme="majorEastAsia"/>
          <w:sz w:val="24"/>
          <w:szCs w:val="24"/>
          <w:u w:val="single"/>
        </w:rPr>
        <w:t>贺州市农业农村局</w:t>
      </w:r>
    </w:p>
    <w:p>
      <w:pPr>
        <w:pStyle w:val="12"/>
        <w:spacing w:line="42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根据贵方</w:t>
      </w:r>
      <w:r>
        <w:rPr>
          <w:rFonts w:hint="eastAsia" w:asciiTheme="majorEastAsia" w:hAnsiTheme="majorEastAsia" w:eastAsiaTheme="majorEastAsia" w:cstheme="majorEastAsia"/>
          <w:sz w:val="24"/>
          <w:szCs w:val="24"/>
          <w:u w:val="single"/>
        </w:rPr>
        <w:t xml:space="preserve">      （项目名称）      </w:t>
      </w:r>
      <w:r>
        <w:rPr>
          <w:rFonts w:hint="eastAsia" w:asciiTheme="majorEastAsia" w:hAnsiTheme="majorEastAsia" w:eastAsiaTheme="majorEastAsia" w:cstheme="majorEastAsia"/>
          <w:sz w:val="24"/>
          <w:szCs w:val="24"/>
        </w:rPr>
        <w:t>竞争性磋商文件，项目编号</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，正式授权下述签字人</w:t>
      </w:r>
      <w:r>
        <w:rPr>
          <w:rFonts w:hint="eastAsia" w:asciiTheme="majorEastAsia" w:hAnsiTheme="majorEastAsia" w:eastAsiaTheme="majorEastAsia" w:cstheme="majorEastAsia"/>
          <w:sz w:val="24"/>
          <w:szCs w:val="24"/>
          <w:u w:val="single"/>
        </w:rPr>
        <w:t>（姓名和职务）</w:t>
      </w:r>
      <w:r>
        <w:rPr>
          <w:rFonts w:hint="eastAsia" w:asciiTheme="majorEastAsia" w:hAnsiTheme="majorEastAsia" w:eastAsiaTheme="majorEastAsia" w:cstheme="majorEastAsia"/>
          <w:sz w:val="24"/>
          <w:szCs w:val="24"/>
        </w:rPr>
        <w:t>代表竞标人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联合体</w:t>
      </w:r>
      <w:r>
        <w:rPr>
          <w:rFonts w:hint="eastAsia" w:asciiTheme="majorEastAsia" w:hAnsiTheme="majorEastAsia" w:eastAsiaTheme="majorEastAsia" w:cstheme="majorEastAsia"/>
          <w:sz w:val="24"/>
          <w:szCs w:val="24"/>
          <w:u w:val="single"/>
        </w:rPr>
        <w:t xml:space="preserve">名称）  </w:t>
      </w:r>
      <w:r>
        <w:rPr>
          <w:rFonts w:hint="eastAsia" w:asciiTheme="majorEastAsia" w:hAnsiTheme="majorEastAsia" w:eastAsiaTheme="majorEastAsia" w:cstheme="majorEastAsia"/>
          <w:sz w:val="24"/>
          <w:szCs w:val="24"/>
        </w:rPr>
        <w:t>，提交下述文件正本一份，副本四份。</w:t>
      </w:r>
    </w:p>
    <w:p>
      <w:pPr>
        <w:pStyle w:val="12"/>
        <w:spacing w:line="420" w:lineRule="exact"/>
        <w:rPr>
          <w:rFonts w:hAnsi="宋体"/>
          <w:sz w:val="24"/>
          <w:szCs w:val="24"/>
        </w:rPr>
      </w:pPr>
      <w:r>
        <w:rPr>
          <w:rFonts w:hint="eastAsia" w:hAnsi="宋体"/>
          <w:sz w:val="24"/>
          <w:szCs w:val="24"/>
        </w:rPr>
        <w:t xml:space="preserve">    一、磋商报价表</w:t>
      </w:r>
    </w:p>
    <w:p>
      <w:pPr>
        <w:pStyle w:val="12"/>
        <w:spacing w:line="420" w:lineRule="exact"/>
        <w:rPr>
          <w:rFonts w:hAnsi="宋体"/>
          <w:sz w:val="24"/>
          <w:szCs w:val="24"/>
        </w:rPr>
      </w:pPr>
      <w:r>
        <w:rPr>
          <w:rFonts w:hint="eastAsia" w:hAnsi="宋体"/>
          <w:sz w:val="24"/>
          <w:szCs w:val="24"/>
        </w:rPr>
        <w:t xml:space="preserve">    二、服务承诺书</w:t>
      </w:r>
    </w:p>
    <w:p>
      <w:pPr>
        <w:pStyle w:val="12"/>
        <w:spacing w:line="420" w:lineRule="exact"/>
        <w:rPr>
          <w:rFonts w:hAnsi="宋体"/>
          <w:sz w:val="24"/>
          <w:szCs w:val="24"/>
        </w:rPr>
      </w:pPr>
      <w:r>
        <w:rPr>
          <w:rFonts w:hint="eastAsia" w:hAnsi="宋体"/>
          <w:sz w:val="24"/>
          <w:szCs w:val="24"/>
        </w:rPr>
        <w:t xml:space="preserve">    三、资格证明文件和竞标人须知第12条和第13条要求竞标人提交的全部文件。</w:t>
      </w:r>
    </w:p>
    <w:p>
      <w:pPr>
        <w:pStyle w:val="12"/>
        <w:spacing w:line="420" w:lineRule="exact"/>
        <w:rPr>
          <w:rFonts w:hAnsi="宋体"/>
          <w:sz w:val="24"/>
          <w:szCs w:val="24"/>
        </w:rPr>
      </w:pPr>
      <w:r>
        <w:rPr>
          <w:rFonts w:hint="eastAsia" w:hAnsi="宋体"/>
          <w:sz w:val="24"/>
          <w:szCs w:val="24"/>
        </w:rPr>
        <w:t xml:space="preserve">    据此函，签字人兹宣布同意如下：</w:t>
      </w:r>
    </w:p>
    <w:p>
      <w:pPr>
        <w:pStyle w:val="12"/>
        <w:spacing w:line="440" w:lineRule="exact"/>
        <w:ind w:firstLine="480" w:firstLineChars="200"/>
        <w:jc w:val="left"/>
        <w:rPr>
          <w:rFonts w:hAnsi="宋体"/>
          <w:sz w:val="24"/>
          <w:szCs w:val="24"/>
        </w:rPr>
      </w:pPr>
      <w:r>
        <w:rPr>
          <w:rFonts w:hint="eastAsia" w:hAnsi="宋体"/>
          <w:sz w:val="24"/>
          <w:szCs w:val="24"/>
        </w:rPr>
        <w:t>1、根据本项目竞争性磋商文件的采购项目技术参数要求，经考察现场和研究决定，我公司对该项目的磋商报价为：</w:t>
      </w:r>
      <w:r>
        <w:rPr>
          <w:rFonts w:hint="eastAsia" w:hAnsi="宋体" w:cs="宋体"/>
        </w:rPr>
        <w:t>人民币（大写）</w:t>
      </w:r>
      <w:r>
        <w:rPr>
          <w:rFonts w:hint="eastAsia" w:hAnsi="宋体" w:cs="宋体"/>
          <w:u w:val="single"/>
        </w:rPr>
        <w:t xml:space="preserve">                （￥         </w:t>
      </w:r>
      <w:r>
        <w:rPr>
          <w:rFonts w:hint="eastAsia" w:hAnsi="宋体" w:cs="宋体"/>
        </w:rPr>
        <w:t>元）</w:t>
      </w:r>
      <w:r>
        <w:rPr>
          <w:rFonts w:hint="eastAsia" w:hAnsi="宋体"/>
          <w:sz w:val="24"/>
          <w:szCs w:val="24"/>
        </w:rPr>
        <w:t>；服务期为：</w:t>
      </w:r>
      <w:r>
        <w:rPr>
          <w:rFonts w:hint="eastAsia" w:hAnsi="宋体"/>
          <w:sz w:val="24"/>
          <w:szCs w:val="24"/>
          <w:u w:val="single"/>
        </w:rPr>
        <w:t xml:space="preserve">         </w:t>
      </w:r>
      <w:r>
        <w:rPr>
          <w:rFonts w:hint="eastAsia" w:hAnsi="宋体"/>
          <w:sz w:val="24"/>
          <w:szCs w:val="24"/>
        </w:rPr>
        <w:t>。</w:t>
      </w:r>
    </w:p>
    <w:p>
      <w:pPr>
        <w:pStyle w:val="12"/>
        <w:spacing w:line="420" w:lineRule="exact"/>
        <w:rPr>
          <w:rFonts w:hAnsi="宋体"/>
          <w:sz w:val="24"/>
          <w:szCs w:val="24"/>
        </w:rPr>
      </w:pPr>
      <w:r>
        <w:rPr>
          <w:rFonts w:hint="eastAsia" w:hAnsi="宋体"/>
          <w:sz w:val="24"/>
          <w:szCs w:val="24"/>
        </w:rPr>
        <w:t xml:space="preserve">    2、我方同意在竞标人须知规定的截标日期起遵循本竞争性磋商文件，在磋商须知第14条规定的竞标有效期满之前均具有约束力，并有可能中标。</w:t>
      </w:r>
    </w:p>
    <w:p>
      <w:pPr>
        <w:pStyle w:val="12"/>
        <w:spacing w:line="420" w:lineRule="exact"/>
        <w:rPr>
          <w:rFonts w:hAnsi="宋体"/>
          <w:sz w:val="24"/>
          <w:szCs w:val="24"/>
        </w:rPr>
      </w:pPr>
      <w:r>
        <w:rPr>
          <w:rFonts w:hint="eastAsia" w:hAnsi="宋体"/>
          <w:sz w:val="24"/>
          <w:szCs w:val="24"/>
        </w:rPr>
        <w:t xml:space="preserve">    3、我方承诺已经具备《中华人民共和国政府采购法》中规定的参加政府采购活动的竞标人应当具备的条件：</w:t>
      </w:r>
    </w:p>
    <w:p>
      <w:pPr>
        <w:pStyle w:val="12"/>
        <w:spacing w:line="420" w:lineRule="exact"/>
        <w:ind w:firstLine="480" w:firstLineChars="200"/>
        <w:rPr>
          <w:rFonts w:hAnsi="宋体"/>
          <w:sz w:val="24"/>
          <w:szCs w:val="24"/>
        </w:rPr>
      </w:pPr>
      <w:r>
        <w:rPr>
          <w:rFonts w:hint="eastAsia" w:hAnsi="宋体"/>
          <w:sz w:val="24"/>
          <w:szCs w:val="24"/>
        </w:rPr>
        <w:t>（1）具有独立承担民事责任的能力；</w:t>
      </w:r>
    </w:p>
    <w:p>
      <w:pPr>
        <w:pStyle w:val="12"/>
        <w:spacing w:line="420" w:lineRule="exact"/>
        <w:ind w:firstLine="480" w:firstLineChars="200"/>
        <w:rPr>
          <w:rFonts w:hAnsi="宋体"/>
          <w:sz w:val="24"/>
          <w:szCs w:val="24"/>
        </w:rPr>
      </w:pPr>
      <w:r>
        <w:rPr>
          <w:rFonts w:hint="eastAsia" w:hAnsi="宋体"/>
          <w:sz w:val="24"/>
          <w:szCs w:val="24"/>
        </w:rPr>
        <w:t>（2）具有良好的商业信誉和健全的财务会计制度；</w:t>
      </w:r>
    </w:p>
    <w:p>
      <w:pPr>
        <w:pStyle w:val="12"/>
        <w:spacing w:line="420" w:lineRule="exact"/>
        <w:ind w:firstLine="480" w:firstLineChars="200"/>
        <w:rPr>
          <w:rFonts w:hAnsi="宋体"/>
          <w:sz w:val="24"/>
          <w:szCs w:val="24"/>
        </w:rPr>
      </w:pPr>
      <w:r>
        <w:rPr>
          <w:rFonts w:hint="eastAsia" w:hAnsi="宋体"/>
          <w:sz w:val="24"/>
          <w:szCs w:val="24"/>
        </w:rPr>
        <w:t>（3）具有履行合同所必需的设备和专业技术能力；</w:t>
      </w:r>
    </w:p>
    <w:p>
      <w:pPr>
        <w:pStyle w:val="12"/>
        <w:spacing w:line="420" w:lineRule="exact"/>
        <w:ind w:firstLine="480" w:firstLineChars="200"/>
        <w:rPr>
          <w:rFonts w:hAnsi="宋体"/>
          <w:sz w:val="24"/>
          <w:szCs w:val="24"/>
        </w:rPr>
      </w:pPr>
      <w:r>
        <w:rPr>
          <w:rFonts w:hint="eastAsia" w:hAnsi="宋体"/>
          <w:sz w:val="24"/>
          <w:szCs w:val="24"/>
        </w:rPr>
        <w:t>（4）有依法缴纳税收和社会保障资金的良好记录；</w:t>
      </w:r>
    </w:p>
    <w:p>
      <w:pPr>
        <w:pStyle w:val="12"/>
        <w:spacing w:line="420" w:lineRule="exact"/>
        <w:ind w:firstLine="480" w:firstLineChars="200"/>
        <w:rPr>
          <w:rFonts w:hAnsi="宋体"/>
          <w:sz w:val="24"/>
          <w:szCs w:val="24"/>
        </w:rPr>
      </w:pPr>
      <w:r>
        <w:rPr>
          <w:rFonts w:hint="eastAsia" w:hAnsi="宋体"/>
          <w:sz w:val="24"/>
          <w:szCs w:val="24"/>
        </w:rPr>
        <w:t>（5）参加此项采购活动前三年内，在经营活动中没有重大违法记录。</w:t>
      </w:r>
    </w:p>
    <w:p>
      <w:pPr>
        <w:pStyle w:val="12"/>
        <w:spacing w:line="420" w:lineRule="exact"/>
        <w:ind w:firstLine="480" w:firstLineChars="200"/>
        <w:rPr>
          <w:rFonts w:hAnsi="宋体"/>
          <w:sz w:val="24"/>
          <w:szCs w:val="24"/>
        </w:rPr>
      </w:pPr>
      <w:r>
        <w:rPr>
          <w:rFonts w:hint="eastAsia" w:hAnsi="宋体"/>
          <w:sz w:val="24"/>
          <w:szCs w:val="24"/>
        </w:rPr>
        <w:t>4、我方根据竞争性磋商文件的规定，承担完成合同的责任和义务。</w:t>
      </w:r>
    </w:p>
    <w:p>
      <w:pPr>
        <w:pStyle w:val="12"/>
        <w:spacing w:line="420" w:lineRule="exact"/>
        <w:ind w:firstLine="480" w:firstLineChars="200"/>
        <w:rPr>
          <w:rFonts w:hAnsi="宋体"/>
          <w:sz w:val="24"/>
          <w:szCs w:val="24"/>
        </w:rPr>
      </w:pPr>
      <w:r>
        <w:rPr>
          <w:rFonts w:hint="eastAsia" w:hAnsi="宋体"/>
          <w:sz w:val="24"/>
          <w:szCs w:val="24"/>
        </w:rPr>
        <w:t>5、我方已详细审核竞争性磋商文件，我方知道必须放弃提出含糊不清或误解问题的权利。</w:t>
      </w:r>
    </w:p>
    <w:p>
      <w:pPr>
        <w:pStyle w:val="12"/>
        <w:spacing w:line="420" w:lineRule="exact"/>
        <w:ind w:firstLine="480" w:firstLineChars="200"/>
        <w:rPr>
          <w:rFonts w:hAnsi="宋体"/>
          <w:sz w:val="24"/>
          <w:szCs w:val="24"/>
        </w:rPr>
      </w:pPr>
      <w:r>
        <w:rPr>
          <w:rFonts w:hint="eastAsia" w:hAnsi="宋体"/>
          <w:sz w:val="24"/>
          <w:szCs w:val="24"/>
        </w:rPr>
        <w:t>6、如果在</w:t>
      </w:r>
      <w:r>
        <w:rPr>
          <w:rFonts w:hint="eastAsia" w:hAnsi="宋体" w:cs="宋体"/>
          <w:sz w:val="24"/>
          <w:szCs w:val="24"/>
        </w:rPr>
        <w:t>截标时间</w:t>
      </w:r>
      <w:r>
        <w:rPr>
          <w:rFonts w:hint="eastAsia" w:hAnsi="宋体"/>
          <w:sz w:val="24"/>
          <w:szCs w:val="24"/>
        </w:rPr>
        <w:t>后的</w:t>
      </w:r>
      <w:r>
        <w:rPr>
          <w:rFonts w:hint="eastAsia" w:hAnsi="宋体" w:cs="宋体"/>
          <w:sz w:val="24"/>
          <w:szCs w:val="24"/>
        </w:rPr>
        <w:t>磋商有效期</w:t>
      </w:r>
      <w:r>
        <w:rPr>
          <w:rFonts w:hint="eastAsia" w:hAnsi="宋体"/>
          <w:sz w:val="24"/>
          <w:szCs w:val="24"/>
        </w:rPr>
        <w:t>内撤回竞标或者有其他违约行为，我方的竞标保证金可被贵方全部没收。</w:t>
      </w:r>
    </w:p>
    <w:p>
      <w:pPr>
        <w:pStyle w:val="12"/>
        <w:spacing w:line="420" w:lineRule="exact"/>
        <w:ind w:firstLine="480" w:firstLineChars="200"/>
        <w:rPr>
          <w:rFonts w:hAnsi="宋体"/>
          <w:sz w:val="24"/>
          <w:szCs w:val="24"/>
        </w:rPr>
      </w:pPr>
      <w:r>
        <w:rPr>
          <w:rFonts w:hint="eastAsia" w:hAnsi="宋体"/>
          <w:sz w:val="24"/>
          <w:szCs w:val="24"/>
        </w:rPr>
        <w:t>7、同意向贵方提供贵方可能要求的与本磋商有关的任何数据或资料。</w:t>
      </w:r>
    </w:p>
    <w:p>
      <w:pPr>
        <w:pStyle w:val="12"/>
        <w:spacing w:line="420" w:lineRule="exact"/>
        <w:ind w:firstLine="480" w:firstLineChars="200"/>
        <w:rPr>
          <w:rFonts w:hAnsi="宋体"/>
          <w:sz w:val="24"/>
          <w:szCs w:val="24"/>
        </w:rPr>
      </w:pPr>
      <w:r>
        <w:rPr>
          <w:rFonts w:hint="eastAsia" w:hAnsi="宋体"/>
          <w:sz w:val="24"/>
          <w:szCs w:val="24"/>
        </w:rPr>
        <w:t>8、我方完全理解贵方不一定要接受最低报价的竞标人为成交（中标）人。</w:t>
      </w:r>
    </w:p>
    <w:p>
      <w:pPr>
        <w:pStyle w:val="12"/>
        <w:spacing w:line="420" w:lineRule="exact"/>
        <w:ind w:firstLine="480" w:firstLineChars="200"/>
        <w:rPr>
          <w:rFonts w:hAnsi="宋体"/>
          <w:sz w:val="24"/>
          <w:szCs w:val="24"/>
        </w:rPr>
      </w:pPr>
      <w:r>
        <w:rPr>
          <w:rFonts w:hint="eastAsia" w:hAnsi="宋体"/>
          <w:sz w:val="24"/>
          <w:szCs w:val="24"/>
        </w:rPr>
        <w:t>9、若贵方需要，我方愿意提供我方作出的一切承诺的证明材料。</w:t>
      </w:r>
    </w:p>
    <w:p>
      <w:pPr>
        <w:pStyle w:val="12"/>
        <w:spacing w:line="420" w:lineRule="exact"/>
        <w:ind w:firstLine="480" w:firstLineChars="200"/>
        <w:rPr>
          <w:rFonts w:hAnsi="宋体"/>
          <w:sz w:val="24"/>
          <w:szCs w:val="24"/>
        </w:rPr>
      </w:pPr>
      <w:r>
        <w:rPr>
          <w:rFonts w:hint="eastAsia" w:hAnsi="宋体"/>
          <w:sz w:val="24"/>
          <w:szCs w:val="24"/>
        </w:rPr>
        <w:t>10、我方将严格遵守《中华人民共和国政府采购法》第七十七条规定，竞标人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12"/>
        <w:spacing w:line="420" w:lineRule="exact"/>
        <w:ind w:firstLine="480" w:firstLineChars="200"/>
        <w:rPr>
          <w:rFonts w:hAnsi="宋体"/>
          <w:sz w:val="24"/>
          <w:szCs w:val="24"/>
        </w:rPr>
      </w:pPr>
      <w:r>
        <w:rPr>
          <w:rFonts w:hint="eastAsia" w:hAnsi="宋体"/>
          <w:sz w:val="24"/>
          <w:szCs w:val="24"/>
        </w:rPr>
        <w:t>（1）提供虚假材料谋取中标的；</w:t>
      </w:r>
    </w:p>
    <w:p>
      <w:pPr>
        <w:pStyle w:val="12"/>
        <w:spacing w:line="420" w:lineRule="exact"/>
        <w:ind w:firstLine="480" w:firstLineChars="200"/>
        <w:rPr>
          <w:rFonts w:hAnsi="宋体"/>
          <w:sz w:val="24"/>
          <w:szCs w:val="24"/>
        </w:rPr>
      </w:pPr>
      <w:r>
        <w:rPr>
          <w:rFonts w:hint="eastAsia" w:hAnsi="宋体"/>
          <w:sz w:val="24"/>
          <w:szCs w:val="24"/>
        </w:rPr>
        <w:t>（2）采取不正当手段诋毁、排挤其他竞标人的；</w:t>
      </w:r>
    </w:p>
    <w:p>
      <w:pPr>
        <w:pStyle w:val="12"/>
        <w:spacing w:line="420" w:lineRule="exact"/>
        <w:ind w:firstLine="480" w:firstLineChars="200"/>
        <w:rPr>
          <w:rFonts w:hAnsi="宋体"/>
          <w:sz w:val="24"/>
          <w:szCs w:val="24"/>
        </w:rPr>
      </w:pPr>
      <w:r>
        <w:rPr>
          <w:rFonts w:hint="eastAsia" w:hAnsi="宋体"/>
          <w:sz w:val="24"/>
          <w:szCs w:val="24"/>
        </w:rPr>
        <w:t>（3）与采购人、其他竞标人或者招标代理机构恶意串通的；</w:t>
      </w:r>
    </w:p>
    <w:p>
      <w:pPr>
        <w:pStyle w:val="12"/>
        <w:spacing w:line="420" w:lineRule="exact"/>
        <w:ind w:firstLine="480" w:firstLineChars="200"/>
        <w:rPr>
          <w:rFonts w:hAnsi="宋体"/>
          <w:sz w:val="24"/>
          <w:szCs w:val="24"/>
        </w:rPr>
      </w:pPr>
      <w:r>
        <w:rPr>
          <w:rFonts w:hint="eastAsia" w:hAnsi="宋体"/>
          <w:sz w:val="24"/>
          <w:szCs w:val="24"/>
        </w:rPr>
        <w:t>（4）向采购人、招标代理机构行贿或者提供其他不正当利益的；</w:t>
      </w:r>
    </w:p>
    <w:p>
      <w:pPr>
        <w:pStyle w:val="12"/>
        <w:spacing w:line="420" w:lineRule="exact"/>
        <w:ind w:firstLine="480" w:firstLineChars="200"/>
        <w:rPr>
          <w:rFonts w:hAnsi="宋体"/>
          <w:sz w:val="24"/>
          <w:szCs w:val="24"/>
        </w:rPr>
      </w:pPr>
      <w:r>
        <w:rPr>
          <w:rFonts w:hint="eastAsia" w:hAnsi="宋体"/>
          <w:sz w:val="24"/>
          <w:szCs w:val="24"/>
        </w:rPr>
        <w:t>（5）在采购过程中与采购人进行协商谈判的；</w:t>
      </w:r>
    </w:p>
    <w:p>
      <w:pPr>
        <w:pStyle w:val="12"/>
        <w:spacing w:line="420" w:lineRule="exact"/>
        <w:ind w:firstLine="480" w:firstLineChars="200"/>
        <w:rPr>
          <w:rFonts w:hAnsi="宋体"/>
          <w:sz w:val="24"/>
          <w:szCs w:val="24"/>
        </w:rPr>
      </w:pPr>
      <w:r>
        <w:rPr>
          <w:rFonts w:hint="eastAsia" w:hAnsi="宋体"/>
          <w:sz w:val="24"/>
          <w:szCs w:val="24"/>
        </w:rPr>
        <w:t>（6）拒绝有关部门监督检查或提供虚假情况的。</w:t>
      </w:r>
    </w:p>
    <w:p>
      <w:pPr>
        <w:pStyle w:val="12"/>
        <w:spacing w:line="420" w:lineRule="exact"/>
        <w:ind w:left="101" w:leftChars="48" w:firstLine="595" w:firstLineChars="248"/>
        <w:rPr>
          <w:rFonts w:hint="eastAsia" w:hAnsi="宋体"/>
          <w:sz w:val="24"/>
          <w:szCs w:val="24"/>
        </w:rPr>
      </w:pPr>
      <w:r>
        <w:rPr>
          <w:rFonts w:hint="eastAsia" w:hAnsi="宋体"/>
          <w:sz w:val="24"/>
          <w:szCs w:val="24"/>
        </w:rPr>
        <w:t>与本竞标有关的正式通讯地址为：</w:t>
      </w:r>
    </w:p>
    <w:p>
      <w:pPr>
        <w:pStyle w:val="12"/>
        <w:spacing w:line="420" w:lineRule="exact"/>
        <w:ind w:left="101" w:leftChars="48" w:firstLine="595" w:firstLineChars="248"/>
        <w:rPr>
          <w:rFonts w:hAnsi="宋体"/>
          <w:sz w:val="24"/>
          <w:szCs w:val="24"/>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 xml:space="preserve"> 邮政编码：</w:t>
      </w:r>
      <w:r>
        <w:rPr>
          <w:rFonts w:hint="eastAsia" w:hAnsi="宋体"/>
          <w:sz w:val="24"/>
          <w:szCs w:val="24"/>
          <w:u w:val="single"/>
        </w:rPr>
        <w:t xml:space="preserve">             </w:t>
      </w:r>
    </w:p>
    <w:p>
      <w:pPr>
        <w:pStyle w:val="12"/>
        <w:spacing w:line="400" w:lineRule="exact"/>
        <w:ind w:firstLine="720" w:firstLineChars="300"/>
        <w:rPr>
          <w:rFonts w:hAnsi="宋体"/>
          <w:sz w:val="24"/>
          <w:szCs w:val="24"/>
          <w:u w:val="single"/>
        </w:rPr>
      </w:pPr>
      <w:r>
        <w:rPr>
          <w:rFonts w:hint="eastAsia" w:hAnsi="宋体"/>
          <w:sz w:val="24"/>
          <w:szCs w:val="24"/>
        </w:rPr>
        <w:t>电话、传真或电传：</w:t>
      </w:r>
      <w:r>
        <w:rPr>
          <w:rFonts w:hint="eastAsia" w:hAnsi="宋体"/>
          <w:sz w:val="24"/>
          <w:szCs w:val="24"/>
          <w:u w:val="single"/>
        </w:rPr>
        <w:t xml:space="preserve">                                      </w:t>
      </w:r>
    </w:p>
    <w:p>
      <w:pPr>
        <w:pStyle w:val="12"/>
        <w:spacing w:line="400" w:lineRule="exact"/>
        <w:ind w:firstLine="720" w:firstLineChars="300"/>
        <w:rPr>
          <w:rFonts w:hAnsi="宋体"/>
          <w:sz w:val="24"/>
          <w:szCs w:val="24"/>
        </w:rPr>
      </w:pPr>
      <w:r>
        <w:rPr>
          <w:rFonts w:hint="eastAsia" w:hAnsi="宋体"/>
          <w:sz w:val="24"/>
          <w:szCs w:val="24"/>
        </w:rPr>
        <w:t>开户名称：</w:t>
      </w:r>
      <w:r>
        <w:rPr>
          <w:rFonts w:hint="eastAsia" w:hAnsi="宋体"/>
          <w:sz w:val="24"/>
          <w:szCs w:val="24"/>
          <w:u w:val="single"/>
        </w:rPr>
        <w:t xml:space="preserve">                                      </w:t>
      </w:r>
    </w:p>
    <w:p>
      <w:pPr>
        <w:pStyle w:val="12"/>
        <w:spacing w:line="400" w:lineRule="exact"/>
        <w:ind w:firstLine="720" w:firstLineChars="300"/>
        <w:rPr>
          <w:rFonts w:hAnsi="宋体"/>
          <w:sz w:val="24"/>
          <w:szCs w:val="24"/>
        </w:rPr>
      </w:pPr>
      <w:r>
        <w:rPr>
          <w:rFonts w:hint="eastAsia" w:hAnsi="宋体"/>
          <w:sz w:val="24"/>
          <w:szCs w:val="24"/>
        </w:rPr>
        <w:t>开户银行：</w:t>
      </w:r>
      <w:r>
        <w:rPr>
          <w:rFonts w:hint="eastAsia" w:hAnsi="宋体"/>
          <w:sz w:val="24"/>
          <w:szCs w:val="24"/>
          <w:u w:val="single"/>
        </w:rPr>
        <w:t xml:space="preserve">                                      </w:t>
      </w:r>
    </w:p>
    <w:p>
      <w:pPr>
        <w:pStyle w:val="12"/>
        <w:spacing w:line="400" w:lineRule="exact"/>
        <w:ind w:firstLine="720" w:firstLineChars="300"/>
        <w:rPr>
          <w:rFonts w:hAnsi="宋体"/>
          <w:sz w:val="24"/>
          <w:szCs w:val="24"/>
        </w:rPr>
      </w:pPr>
      <w:r>
        <w:rPr>
          <w:rFonts w:hint="eastAsia" w:hAnsi="宋体"/>
          <w:sz w:val="24"/>
          <w:szCs w:val="24"/>
        </w:rPr>
        <w:t>帐号：</w:t>
      </w:r>
      <w:r>
        <w:rPr>
          <w:rFonts w:hint="eastAsia" w:hAnsi="宋体"/>
          <w:sz w:val="24"/>
          <w:szCs w:val="24"/>
          <w:u w:val="single"/>
        </w:rPr>
        <w:t xml:space="preserve">                                      </w:t>
      </w:r>
    </w:p>
    <w:p>
      <w:pPr>
        <w:pStyle w:val="12"/>
        <w:spacing w:line="420" w:lineRule="exact"/>
        <w:ind w:left="101" w:leftChars="48" w:firstLine="595" w:firstLineChars="248"/>
        <w:rPr>
          <w:rFonts w:hAnsi="宋体"/>
          <w:sz w:val="24"/>
          <w:szCs w:val="24"/>
        </w:rPr>
      </w:pPr>
      <w:r>
        <w:rPr>
          <w:rFonts w:hint="eastAsia" w:hAnsi="宋体"/>
          <w:sz w:val="24"/>
          <w:szCs w:val="24"/>
        </w:rPr>
        <w:t>法定代表人或委托代理人签名：</w:t>
      </w:r>
      <w:r>
        <w:rPr>
          <w:rFonts w:hint="eastAsia" w:hAnsi="宋体"/>
          <w:sz w:val="24"/>
          <w:szCs w:val="24"/>
          <w:u w:val="single"/>
        </w:rPr>
        <w:t xml:space="preserve">                                  </w:t>
      </w:r>
    </w:p>
    <w:p>
      <w:pPr>
        <w:pStyle w:val="12"/>
        <w:spacing w:line="420" w:lineRule="exact"/>
        <w:ind w:left="101" w:leftChars="48" w:firstLine="595" w:firstLineChars="248"/>
        <w:rPr>
          <w:rFonts w:hAnsi="宋体"/>
          <w:sz w:val="24"/>
          <w:szCs w:val="24"/>
        </w:rPr>
      </w:pPr>
      <w:r>
        <w:rPr>
          <w:rFonts w:hint="eastAsia" w:hAnsi="宋体"/>
          <w:sz w:val="24"/>
          <w:szCs w:val="24"/>
        </w:rPr>
        <w:t>竞标人（</w:t>
      </w:r>
      <w:r>
        <w:rPr>
          <w:rFonts w:hint="eastAsia" w:hAnsi="宋体"/>
          <w:sz w:val="24"/>
          <w:szCs w:val="24"/>
          <w:lang w:val="en-US" w:eastAsia="zh-CN"/>
        </w:rPr>
        <w:t>牵头人</w:t>
      </w:r>
      <w:r>
        <w:rPr>
          <w:rFonts w:hint="eastAsia" w:hAnsi="宋体"/>
          <w:sz w:val="24"/>
          <w:szCs w:val="24"/>
        </w:rPr>
        <w:t>）：</w:t>
      </w:r>
      <w:r>
        <w:rPr>
          <w:rFonts w:hint="eastAsia" w:hAnsi="宋体"/>
          <w:sz w:val="24"/>
          <w:szCs w:val="24"/>
          <w:u w:val="single"/>
        </w:rPr>
        <w:t xml:space="preserve">                                   </w:t>
      </w:r>
      <w:r>
        <w:rPr>
          <w:rFonts w:hint="eastAsia" w:hAnsi="宋体"/>
          <w:sz w:val="24"/>
          <w:szCs w:val="24"/>
        </w:rPr>
        <w:t>（盖单位公章）</w:t>
      </w:r>
    </w:p>
    <w:p>
      <w:pPr>
        <w:pStyle w:val="12"/>
        <w:spacing w:line="420" w:lineRule="exact"/>
        <w:ind w:left="101" w:leftChars="48" w:firstLine="595" w:firstLineChars="248"/>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12"/>
        <w:spacing w:line="420" w:lineRule="exact"/>
        <w:ind w:left="101" w:leftChars="48" w:firstLine="595" w:firstLineChars="248"/>
        <w:rPr>
          <w:rFonts w:hint="eastAsia" w:hAnsi="宋体"/>
          <w:sz w:val="24"/>
          <w:szCs w:val="24"/>
        </w:rPr>
      </w:pPr>
    </w:p>
    <w:p>
      <w:pPr>
        <w:pStyle w:val="12"/>
        <w:spacing w:line="420" w:lineRule="exact"/>
        <w:ind w:left="101" w:leftChars="48" w:firstLine="595" w:firstLineChars="248"/>
        <w:rPr>
          <w:rFonts w:hAnsi="宋体"/>
          <w:sz w:val="24"/>
          <w:szCs w:val="24"/>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 xml:space="preserve"> 邮政编码：</w:t>
      </w:r>
      <w:r>
        <w:rPr>
          <w:rFonts w:hint="eastAsia" w:hAnsi="宋体"/>
          <w:sz w:val="24"/>
          <w:szCs w:val="24"/>
          <w:u w:val="single"/>
        </w:rPr>
        <w:t xml:space="preserve">             </w:t>
      </w:r>
    </w:p>
    <w:p>
      <w:pPr>
        <w:pStyle w:val="12"/>
        <w:spacing w:line="400" w:lineRule="exact"/>
        <w:ind w:firstLine="720" w:firstLineChars="300"/>
        <w:rPr>
          <w:rFonts w:hAnsi="宋体"/>
          <w:sz w:val="24"/>
          <w:szCs w:val="24"/>
          <w:u w:val="single"/>
        </w:rPr>
      </w:pPr>
      <w:r>
        <w:rPr>
          <w:rFonts w:hint="eastAsia" w:hAnsi="宋体"/>
          <w:sz w:val="24"/>
          <w:szCs w:val="24"/>
        </w:rPr>
        <w:t>电话、传真或电传：</w:t>
      </w:r>
      <w:r>
        <w:rPr>
          <w:rFonts w:hint="eastAsia" w:hAnsi="宋体"/>
          <w:sz w:val="24"/>
          <w:szCs w:val="24"/>
          <w:u w:val="single"/>
        </w:rPr>
        <w:t xml:space="preserve">                                      </w:t>
      </w:r>
    </w:p>
    <w:p>
      <w:pPr>
        <w:pStyle w:val="12"/>
        <w:spacing w:line="400" w:lineRule="exact"/>
        <w:ind w:firstLine="720" w:firstLineChars="300"/>
        <w:rPr>
          <w:rFonts w:hAnsi="宋体"/>
          <w:sz w:val="24"/>
          <w:szCs w:val="24"/>
        </w:rPr>
      </w:pPr>
      <w:r>
        <w:rPr>
          <w:rFonts w:hint="eastAsia" w:hAnsi="宋体"/>
          <w:sz w:val="24"/>
          <w:szCs w:val="24"/>
        </w:rPr>
        <w:t>开户名称：</w:t>
      </w:r>
      <w:r>
        <w:rPr>
          <w:rFonts w:hint="eastAsia" w:hAnsi="宋体"/>
          <w:sz w:val="24"/>
          <w:szCs w:val="24"/>
          <w:u w:val="single"/>
        </w:rPr>
        <w:t xml:space="preserve">                                      </w:t>
      </w:r>
    </w:p>
    <w:p>
      <w:pPr>
        <w:pStyle w:val="12"/>
        <w:spacing w:line="400" w:lineRule="exact"/>
        <w:ind w:firstLine="720" w:firstLineChars="300"/>
        <w:rPr>
          <w:rFonts w:hAnsi="宋体"/>
          <w:sz w:val="24"/>
          <w:szCs w:val="24"/>
        </w:rPr>
      </w:pPr>
      <w:r>
        <w:rPr>
          <w:rFonts w:hint="eastAsia" w:hAnsi="宋体"/>
          <w:sz w:val="24"/>
          <w:szCs w:val="24"/>
        </w:rPr>
        <w:t>开户银行：</w:t>
      </w:r>
      <w:r>
        <w:rPr>
          <w:rFonts w:hint="eastAsia" w:hAnsi="宋体"/>
          <w:sz w:val="24"/>
          <w:szCs w:val="24"/>
          <w:u w:val="single"/>
        </w:rPr>
        <w:t xml:space="preserve">                                      </w:t>
      </w:r>
    </w:p>
    <w:p>
      <w:pPr>
        <w:pStyle w:val="12"/>
        <w:spacing w:line="400" w:lineRule="exact"/>
        <w:ind w:firstLine="720" w:firstLineChars="300"/>
        <w:rPr>
          <w:rFonts w:hAnsi="宋体"/>
          <w:sz w:val="24"/>
          <w:szCs w:val="24"/>
        </w:rPr>
      </w:pPr>
      <w:r>
        <w:rPr>
          <w:rFonts w:hint="eastAsia" w:hAnsi="宋体"/>
          <w:sz w:val="24"/>
          <w:szCs w:val="24"/>
        </w:rPr>
        <w:t>帐号：</w:t>
      </w:r>
      <w:r>
        <w:rPr>
          <w:rFonts w:hint="eastAsia" w:hAnsi="宋体"/>
          <w:sz w:val="24"/>
          <w:szCs w:val="24"/>
          <w:u w:val="single"/>
        </w:rPr>
        <w:t xml:space="preserve">                                      </w:t>
      </w:r>
    </w:p>
    <w:p>
      <w:pPr>
        <w:pStyle w:val="12"/>
        <w:spacing w:line="420" w:lineRule="exact"/>
        <w:ind w:left="101" w:leftChars="48" w:firstLine="595" w:firstLineChars="248"/>
        <w:rPr>
          <w:rFonts w:hAnsi="宋体"/>
          <w:sz w:val="24"/>
          <w:szCs w:val="24"/>
        </w:rPr>
      </w:pPr>
      <w:r>
        <w:rPr>
          <w:rFonts w:hint="eastAsia" w:hAnsi="宋体"/>
          <w:sz w:val="24"/>
          <w:szCs w:val="24"/>
        </w:rPr>
        <w:t>法定代表人或委托代理人签名：</w:t>
      </w:r>
      <w:r>
        <w:rPr>
          <w:rFonts w:hint="eastAsia" w:hAnsi="宋体"/>
          <w:sz w:val="24"/>
          <w:szCs w:val="24"/>
          <w:u w:val="single"/>
        </w:rPr>
        <w:t xml:space="preserve">                                  </w:t>
      </w:r>
    </w:p>
    <w:p>
      <w:pPr>
        <w:pStyle w:val="12"/>
        <w:spacing w:line="420" w:lineRule="exact"/>
        <w:ind w:left="101" w:leftChars="48" w:firstLine="595" w:firstLineChars="248"/>
        <w:rPr>
          <w:rFonts w:hAnsi="宋体"/>
          <w:sz w:val="24"/>
          <w:szCs w:val="24"/>
        </w:rPr>
      </w:pPr>
      <w:r>
        <w:rPr>
          <w:rFonts w:hint="eastAsia" w:hAnsi="宋体"/>
          <w:sz w:val="24"/>
          <w:szCs w:val="24"/>
        </w:rPr>
        <w:t>竞标人（</w:t>
      </w:r>
      <w:r>
        <w:rPr>
          <w:rFonts w:hint="eastAsia" w:hAnsi="宋体"/>
          <w:sz w:val="24"/>
          <w:szCs w:val="24"/>
          <w:lang w:val="en-US" w:eastAsia="zh-CN"/>
        </w:rPr>
        <w:t>联合体成员</w:t>
      </w:r>
      <w:r>
        <w:rPr>
          <w:rFonts w:hint="eastAsia" w:hAnsi="宋体"/>
          <w:sz w:val="24"/>
          <w:szCs w:val="24"/>
        </w:rPr>
        <w:t>）：</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r>
        <w:rPr>
          <w:rFonts w:hint="eastAsia" w:hAnsi="宋体"/>
          <w:sz w:val="24"/>
          <w:szCs w:val="24"/>
        </w:rPr>
        <w:t>（盖单位公章）</w:t>
      </w:r>
    </w:p>
    <w:p>
      <w:pPr>
        <w:pStyle w:val="12"/>
        <w:spacing w:line="420" w:lineRule="exact"/>
        <w:ind w:left="101" w:leftChars="48" w:firstLine="595" w:firstLineChars="248"/>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12"/>
        <w:spacing w:line="420" w:lineRule="exact"/>
        <w:ind w:left="101" w:leftChars="48" w:firstLine="545" w:firstLineChars="248"/>
        <w:rPr>
          <w:rFonts w:hAnsi="宋体"/>
          <w:sz w:val="22"/>
          <w:szCs w:val="22"/>
        </w:rPr>
      </w:pPr>
    </w:p>
    <w:p>
      <w:pPr>
        <w:pStyle w:val="12"/>
        <w:spacing w:line="420" w:lineRule="exact"/>
        <w:ind w:left="101" w:leftChars="48" w:firstLine="545" w:firstLineChars="248"/>
        <w:rPr>
          <w:rFonts w:hAnsi="宋体"/>
          <w:sz w:val="22"/>
          <w:szCs w:val="22"/>
        </w:rPr>
      </w:pPr>
    </w:p>
    <w:p>
      <w:pPr>
        <w:pStyle w:val="12"/>
        <w:spacing w:line="420" w:lineRule="exact"/>
        <w:ind w:left="101" w:leftChars="48" w:firstLine="545" w:firstLineChars="248"/>
        <w:rPr>
          <w:rFonts w:hAnsi="宋体"/>
          <w:sz w:val="22"/>
          <w:szCs w:val="22"/>
        </w:rPr>
      </w:pPr>
    </w:p>
    <w:p>
      <w:pPr>
        <w:pStyle w:val="12"/>
        <w:spacing w:line="420" w:lineRule="exact"/>
        <w:ind w:left="101" w:leftChars="48" w:firstLine="545" w:firstLineChars="248"/>
        <w:rPr>
          <w:rFonts w:hAnsi="宋体"/>
          <w:sz w:val="22"/>
          <w:szCs w:val="22"/>
        </w:rPr>
      </w:pPr>
    </w:p>
    <w:p>
      <w:pPr>
        <w:pStyle w:val="12"/>
        <w:spacing w:line="420" w:lineRule="exact"/>
        <w:ind w:left="101" w:leftChars="48" w:firstLine="545" w:firstLineChars="248"/>
        <w:rPr>
          <w:rFonts w:hAnsi="宋体"/>
          <w:sz w:val="22"/>
          <w:szCs w:val="22"/>
        </w:rPr>
      </w:pPr>
    </w:p>
    <w:p>
      <w:pPr>
        <w:pStyle w:val="12"/>
        <w:spacing w:line="420" w:lineRule="exact"/>
        <w:rPr>
          <w:rFonts w:hAnsi="宋体"/>
          <w:sz w:val="22"/>
          <w:szCs w:val="22"/>
        </w:rPr>
      </w:pPr>
      <w:r>
        <w:rPr>
          <w:rFonts w:hint="eastAsia" w:hAnsi="宋体"/>
          <w:b/>
          <w:sz w:val="22"/>
          <w:szCs w:val="22"/>
        </w:rPr>
        <w:t>注：未按照本响应函要求填报的响应函将被视为非实质性响应竞标，从而导致该竞标被拒绝。</w:t>
      </w:r>
    </w:p>
    <w:p>
      <w:pPr>
        <w:pStyle w:val="12"/>
        <w:jc w:val="center"/>
        <w:rPr>
          <w:rFonts w:hint="eastAsia" w:hAnsi="宋体" w:cs="宋体"/>
          <w:b/>
          <w:sz w:val="32"/>
          <w:szCs w:val="32"/>
        </w:rPr>
      </w:pPr>
    </w:p>
    <w:p>
      <w:pPr>
        <w:pStyle w:val="12"/>
        <w:jc w:val="center"/>
        <w:rPr>
          <w:rFonts w:hint="eastAsia" w:hAnsi="宋体" w:cs="宋体"/>
          <w:b/>
          <w:sz w:val="32"/>
          <w:szCs w:val="32"/>
        </w:rPr>
      </w:pPr>
    </w:p>
    <w:p>
      <w:pPr>
        <w:pStyle w:val="12"/>
        <w:jc w:val="both"/>
        <w:rPr>
          <w:rFonts w:hint="eastAsia" w:hAnsi="宋体" w:cs="宋体"/>
          <w:b/>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360" w:lineRule="exact"/>
        <w:jc w:val="center"/>
        <w:textAlignment w:val="auto"/>
        <w:rPr>
          <w:rFonts w:hint="eastAsia" w:asciiTheme="minorEastAsia" w:hAnsiTheme="minorEastAsia" w:eastAsiaTheme="minorEastAsia" w:cstheme="minorEastAsia"/>
          <w:color w:val="auto"/>
          <w:kern w:val="0"/>
          <w:sz w:val="32"/>
          <w:szCs w:val="32"/>
          <w:lang w:val="en-US" w:eastAsia="zh-CN" w:bidi="ar"/>
        </w:rPr>
      </w:pPr>
      <w:r>
        <w:rPr>
          <w:rFonts w:hint="eastAsia" w:asciiTheme="minorEastAsia" w:hAnsiTheme="minorEastAsia" w:eastAsiaTheme="minorEastAsia" w:cstheme="minorEastAsia"/>
          <w:b/>
          <w:color w:val="auto"/>
          <w:kern w:val="0"/>
          <w:sz w:val="32"/>
          <w:szCs w:val="32"/>
          <w:lang w:val="en-US" w:eastAsia="zh-CN" w:bidi="ar"/>
        </w:rPr>
        <w:t>（2）联合体协议书（联合体磋商时适用）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left="210" w:leftChars="100" w:firstLine="210" w:firstLineChars="100"/>
        <w:jc w:val="left"/>
        <w:textAlignment w:val="auto"/>
        <w:rPr>
          <w:rFonts w:hint="eastAsia" w:asciiTheme="minorEastAsia" w:hAnsiTheme="minorEastAsia" w:eastAsiaTheme="minorEastAsia" w:cstheme="minorEastAsia"/>
          <w:color w:val="auto"/>
          <w:kern w:val="0"/>
          <w:sz w:val="21"/>
          <w:szCs w:val="21"/>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left="210" w:leftChars="100" w:firstLine="240" w:firstLineChars="1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鉴于上述各成员单位经过友好协商，自愿组成</w:t>
      </w:r>
      <w:r>
        <w:rPr>
          <w:rFonts w:hint="eastAsia" w:asciiTheme="minorEastAsia" w:hAnsiTheme="minorEastAsia" w:eastAsiaTheme="minorEastAsia" w:cstheme="minorEastAsia"/>
          <w:color w:val="auto"/>
          <w:kern w:val="0"/>
          <w:sz w:val="24"/>
          <w:szCs w:val="24"/>
          <w:u w:val="single"/>
          <w:lang w:val="en-US" w:eastAsia="zh-CN" w:bidi="ar"/>
        </w:rPr>
        <w:t xml:space="preserve">                  （联合体名称）</w:t>
      </w:r>
      <w:r>
        <w:rPr>
          <w:rFonts w:hint="eastAsia" w:asciiTheme="minorEastAsia" w:hAnsiTheme="minorEastAsia" w:eastAsiaTheme="minorEastAsia" w:cstheme="minorEastAsia"/>
          <w:color w:val="auto"/>
          <w:kern w:val="0"/>
          <w:sz w:val="24"/>
          <w:szCs w:val="24"/>
          <w:lang w:val="en-US" w:eastAsia="zh-CN" w:bidi="ar"/>
        </w:rPr>
        <w:t>联合体，共同参加</w:t>
      </w:r>
      <w:r>
        <w:rPr>
          <w:rFonts w:hint="eastAsia" w:asciiTheme="minorEastAsia" w:hAnsiTheme="minorEastAsia" w:eastAsiaTheme="minorEastAsia" w:cstheme="minorEastAsia"/>
          <w:color w:val="auto"/>
          <w:kern w:val="0"/>
          <w:sz w:val="24"/>
          <w:szCs w:val="24"/>
          <w:u w:val="single"/>
          <w:lang w:val="en-US" w:eastAsia="zh-CN" w:bidi="ar"/>
        </w:rPr>
        <w:t xml:space="preserve">（项目名称）                 </w:t>
      </w:r>
      <w:r>
        <w:rPr>
          <w:rFonts w:hint="eastAsia" w:asciiTheme="minorEastAsia" w:hAnsiTheme="minorEastAsia" w:eastAsiaTheme="minorEastAsia" w:cstheme="minorEastAsia"/>
          <w:color w:val="auto"/>
          <w:kern w:val="0"/>
          <w:sz w:val="24"/>
          <w:szCs w:val="24"/>
          <w:lang w:val="en-US" w:eastAsia="zh-CN" w:bidi="ar"/>
        </w:rPr>
        <w:t>的磋商并争取赢得本项目包合同（以下简称合同）。现就联合体磋商事宜订立如下协议：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w:t>
      </w:r>
      <w:r>
        <w:rPr>
          <w:rFonts w:hint="eastAsia" w:asciiTheme="minorEastAsia" w:hAnsiTheme="minorEastAsia" w:eastAsiaTheme="minorEastAsia" w:cstheme="minorEastAsia"/>
          <w:color w:val="auto"/>
          <w:kern w:val="0"/>
          <w:sz w:val="24"/>
          <w:szCs w:val="24"/>
          <w:u w:val="single"/>
          <w:lang w:val="en-US" w:eastAsia="zh-CN" w:bidi="ar"/>
        </w:rPr>
        <w:t xml:space="preserve">（磋商单位名称）               </w:t>
      </w:r>
      <w:r>
        <w:rPr>
          <w:rFonts w:hint="eastAsia" w:asciiTheme="minorEastAsia" w:hAnsiTheme="minorEastAsia" w:eastAsiaTheme="minorEastAsia" w:cstheme="minorEastAsia"/>
          <w:color w:val="auto"/>
          <w:kern w:val="0"/>
          <w:sz w:val="24"/>
          <w:szCs w:val="24"/>
          <w:lang w:val="en-US" w:eastAsia="zh-CN" w:bidi="ar"/>
        </w:rPr>
        <w:t>为</w:t>
      </w:r>
      <w:r>
        <w:rPr>
          <w:rFonts w:hint="eastAsia" w:asciiTheme="minorEastAsia" w:hAnsiTheme="minorEastAsia" w:eastAsiaTheme="minorEastAsia" w:cstheme="minorEastAsia"/>
          <w:color w:val="auto"/>
          <w:kern w:val="0"/>
          <w:sz w:val="24"/>
          <w:szCs w:val="24"/>
          <w:u w:val="single"/>
          <w:lang w:val="en-US" w:eastAsia="zh-CN" w:bidi="ar"/>
        </w:rPr>
        <w:t xml:space="preserve">（联合体名称）                   </w:t>
      </w:r>
      <w:r>
        <w:rPr>
          <w:rFonts w:hint="eastAsia" w:asciiTheme="minorEastAsia" w:hAnsiTheme="minorEastAsia" w:eastAsiaTheme="minorEastAsia" w:cstheme="minorEastAsia"/>
          <w:color w:val="auto"/>
          <w:kern w:val="0"/>
          <w:sz w:val="24"/>
          <w:szCs w:val="24"/>
          <w:lang w:val="en-US" w:eastAsia="zh-CN" w:bidi="ar"/>
        </w:rPr>
        <w:t>牵头人。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在本项目磋商阶段，联合体牵头人合法代表联合体各成员负责本工程磋商文件编制活动，代表联合体提交和接收相关的资料、信息及指示，并处理与磋商和中标有关的一切事务；联合体中标后，联合体牵头人负责合同订立和合同实施阶段的主办、组织和协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联合体将严格按照招标文件的各项要求，递交磋商文件，履行磋商义务和中标后的合同，共同承担合同规定的一切义务和责任，联合体各成员单位按照内部职责的部分，承担各自所负的责任和风险，并向采购人承担连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4．联合体各成员单位内部的职责分工如下：</w:t>
      </w:r>
      <w:r>
        <w:rPr>
          <w:rFonts w:hint="eastAsia" w:asciiTheme="minorEastAsia" w:hAnsiTheme="minorEastAsia" w:eastAsiaTheme="minorEastAsia" w:cstheme="minorEastAsia"/>
          <w:color w:val="auto"/>
          <w:kern w:val="0"/>
          <w:sz w:val="24"/>
          <w:szCs w:val="24"/>
          <w:u w:val="single"/>
          <w:lang w:val="en-US" w:eastAsia="zh-CN" w:bidi="ar"/>
        </w:rPr>
        <w:t xml:space="preserve">                 </w:t>
      </w:r>
      <w:r>
        <w:rPr>
          <w:rFonts w:hint="eastAsia" w:asciiTheme="minorEastAsia" w:hAnsiTheme="minorEastAsia" w:eastAsiaTheme="minorEastAsia" w:cstheme="minorEastAsia"/>
          <w:color w:val="auto"/>
          <w:kern w:val="0"/>
          <w:sz w:val="24"/>
          <w:szCs w:val="24"/>
          <w:u w:val="none"/>
          <w:lang w:val="en-US" w:eastAsia="zh-CN" w:bidi="ar"/>
        </w:rPr>
        <w:t>，</w:t>
      </w:r>
      <w:r>
        <w:rPr>
          <w:rFonts w:hint="eastAsia" w:ascii="宋体" w:hAnsi="宋体"/>
          <w:sz w:val="24"/>
          <w:szCs w:val="24"/>
        </w:rPr>
        <w:t>且</w:t>
      </w:r>
      <w:r>
        <w:rPr>
          <w:rFonts w:hint="eastAsia" w:ascii="宋体" w:hAnsi="宋体"/>
          <w:sz w:val="24"/>
          <w:szCs w:val="24"/>
          <w:lang w:val="en-US" w:eastAsia="zh-CN"/>
        </w:rPr>
        <w:t>磋商</w:t>
      </w:r>
      <w:r>
        <w:rPr>
          <w:rFonts w:hint="eastAsia" w:ascii="宋体" w:hAnsi="宋体"/>
          <w:sz w:val="24"/>
          <w:szCs w:val="24"/>
        </w:rPr>
        <w:t>保证金由</w:t>
      </w:r>
      <w:r>
        <w:rPr>
          <w:rFonts w:hint="eastAsia" w:ascii="宋体" w:hAnsi="宋体"/>
          <w:sz w:val="24"/>
          <w:szCs w:val="24"/>
          <w:u w:val="single"/>
        </w:rPr>
        <w:t xml:space="preserve">        </w:t>
      </w:r>
      <w:r>
        <w:rPr>
          <w:rFonts w:hint="eastAsia" w:ascii="宋体" w:hAnsi="宋体"/>
          <w:sz w:val="24"/>
          <w:szCs w:val="24"/>
        </w:rPr>
        <w:t>（某成员单位名称）缴纳。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5．磋商工作和联合体在中标后工程实施过程中的有关费用按各自承担的工作量分摊。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6．联合体中标后，本联合体协议是合同的附件，对联合体各成员单位有合同约束力。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7．本协议书自签署之日起生效，联合体未中标或者中标时合同履行完毕后自动失效。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44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8．本协议书一式</w:t>
      </w:r>
      <w:r>
        <w:rPr>
          <w:rFonts w:hint="eastAsia" w:asciiTheme="minorEastAsia" w:hAnsiTheme="minorEastAsia" w:eastAsiaTheme="minorEastAsia" w:cstheme="minorEastAsia"/>
          <w:color w:val="auto"/>
          <w:kern w:val="0"/>
          <w:sz w:val="24"/>
          <w:szCs w:val="24"/>
          <w:u w:val="single"/>
          <w:lang w:val="en-US" w:eastAsia="zh-CN" w:bidi="ar"/>
        </w:rPr>
        <w:t xml:space="preserve">     </w:t>
      </w:r>
      <w:r>
        <w:rPr>
          <w:rFonts w:hint="eastAsia" w:asciiTheme="minorEastAsia" w:hAnsiTheme="minorEastAsia" w:eastAsiaTheme="minorEastAsia" w:cstheme="minorEastAsia"/>
          <w:color w:val="auto"/>
          <w:kern w:val="0"/>
          <w:sz w:val="24"/>
          <w:szCs w:val="24"/>
          <w:lang w:val="en-US" w:eastAsia="zh-CN" w:bidi="ar"/>
        </w:rPr>
        <w:t>份，联合体成员和采购人各执</w:t>
      </w:r>
      <w:r>
        <w:rPr>
          <w:rFonts w:hint="eastAsia" w:asciiTheme="minorEastAsia" w:hAnsiTheme="minorEastAsia" w:eastAsiaTheme="minorEastAsia" w:cstheme="minorEastAsia"/>
          <w:color w:val="auto"/>
          <w:kern w:val="0"/>
          <w:sz w:val="24"/>
          <w:szCs w:val="24"/>
          <w:u w:val="single"/>
          <w:lang w:val="en-US" w:eastAsia="zh-CN" w:bidi="ar"/>
        </w:rPr>
        <w:t xml:space="preserve">      </w:t>
      </w:r>
      <w:r>
        <w:rPr>
          <w:rFonts w:hint="eastAsia" w:asciiTheme="minorEastAsia" w:hAnsiTheme="minorEastAsia" w:eastAsiaTheme="minorEastAsia" w:cstheme="minorEastAsia"/>
          <w:color w:val="auto"/>
          <w:kern w:val="0"/>
          <w:sz w:val="24"/>
          <w:szCs w:val="24"/>
          <w:lang w:val="en-US" w:eastAsia="zh-CN" w:bidi="ar"/>
        </w:rPr>
        <w:t xml:space="preserve"> 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牵头人名称：（盖单位章）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法定代表人或或授权委托代理人签字：（签字）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成员名称：（盖单位章）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法定代表人或或授权委托代理人签字：（签字）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ind w:firstLine="720" w:firstLineChars="3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120" w:afterAutospacing="0" w:line="27" w:lineRule="atLeast"/>
        <w:jc w:val="lef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    </w:t>
      </w:r>
      <w:r>
        <w:rPr>
          <w:rFonts w:hint="eastAsia" w:asciiTheme="minorEastAsia" w:hAnsiTheme="minorEastAsia" w:eastAsiaTheme="minorEastAsia" w:cstheme="minorEastAsia"/>
          <w:b/>
          <w:bCs/>
          <w:color w:val="auto"/>
          <w:kern w:val="0"/>
          <w:sz w:val="21"/>
          <w:szCs w:val="21"/>
          <w:lang w:val="en-US" w:eastAsia="zh-CN" w:bidi="ar"/>
        </w:rPr>
        <w:t>【备注：本协议书由委托代理人签字的，应附法定代表人签字的授权委托书】</w:t>
      </w:r>
    </w:p>
    <w:p>
      <w:pPr>
        <w:pStyle w:val="12"/>
        <w:jc w:val="both"/>
        <w:rPr>
          <w:rFonts w:hint="eastAsia" w:hAnsi="宋体" w:cs="宋体"/>
          <w:b/>
          <w:sz w:val="32"/>
          <w:szCs w:val="32"/>
        </w:rPr>
      </w:pPr>
    </w:p>
    <w:p>
      <w:pPr>
        <w:pStyle w:val="12"/>
        <w:jc w:val="center"/>
        <w:rPr>
          <w:rFonts w:hAnsi="宋体" w:cs="宋体"/>
          <w:b/>
          <w:szCs w:val="21"/>
        </w:rPr>
      </w:pPr>
      <w:r>
        <w:rPr>
          <w:rFonts w:hint="eastAsia" w:hAnsi="宋体" w:cs="宋体"/>
          <w:b/>
          <w:sz w:val="32"/>
          <w:szCs w:val="32"/>
        </w:rPr>
        <w:t>（</w:t>
      </w:r>
      <w:r>
        <w:rPr>
          <w:rFonts w:hint="eastAsia" w:hAnsi="宋体" w:cs="宋体"/>
          <w:b/>
          <w:sz w:val="32"/>
          <w:szCs w:val="32"/>
          <w:lang w:val="en-US" w:eastAsia="zh-CN"/>
        </w:rPr>
        <w:t>3</w:t>
      </w:r>
      <w:r>
        <w:rPr>
          <w:rFonts w:hint="eastAsia" w:hAnsi="宋体" w:cs="宋体"/>
          <w:b/>
          <w:sz w:val="32"/>
          <w:szCs w:val="32"/>
        </w:rPr>
        <w:t>）磋商报价表（格式）</w:t>
      </w:r>
    </w:p>
    <w:p>
      <w:pPr>
        <w:spacing w:line="360" w:lineRule="auto"/>
        <w:rPr>
          <w:rFonts w:ascii="宋体" w:hAnsi="宋体" w:cs="宋体"/>
          <w:spacing w:val="28"/>
          <w:szCs w:val="21"/>
        </w:rPr>
      </w:pPr>
    </w:p>
    <w:p>
      <w:pPr>
        <w:spacing w:line="340" w:lineRule="exact"/>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r>
        <w:rPr>
          <w:rFonts w:hint="eastAsia" w:asciiTheme="majorEastAsia" w:hAnsiTheme="majorEastAsia" w:eastAsiaTheme="majorEastAsia" w:cstheme="majorEastAsia"/>
          <w:sz w:val="24"/>
          <w:u w:val="single"/>
        </w:rPr>
        <w:t xml:space="preserve">                        </w:t>
      </w:r>
    </w:p>
    <w:p>
      <w:pPr>
        <w:spacing w:line="340" w:lineRule="exact"/>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项目编号：</w:t>
      </w:r>
      <w:r>
        <w:rPr>
          <w:rFonts w:hint="eastAsia" w:asciiTheme="majorEastAsia" w:hAnsiTheme="majorEastAsia" w:eastAsiaTheme="majorEastAsia" w:cstheme="majorEastAsia"/>
          <w:sz w:val="24"/>
          <w:u w:val="single"/>
        </w:rPr>
        <w:t xml:space="preserve">                         </w:t>
      </w:r>
    </w:p>
    <w:p>
      <w:pPr>
        <w:spacing w:line="340" w:lineRule="exact"/>
        <w:rPr>
          <w:rFonts w:asciiTheme="majorEastAsia" w:hAnsiTheme="majorEastAsia" w:eastAsiaTheme="majorEastAsia" w:cstheme="majorEastAsia"/>
          <w:sz w:val="24"/>
        </w:rPr>
      </w:pPr>
    </w:p>
    <w:tbl>
      <w:tblPr>
        <w:tblStyle w:val="18"/>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2731" w:type="dxa"/>
            <w:tcBorders>
              <w:top w:val="single" w:color="auto" w:sz="4" w:space="0"/>
              <w:left w:val="single" w:color="auto" w:sz="4" w:space="0"/>
              <w:bottom w:val="single" w:color="auto" w:sz="4" w:space="0"/>
              <w:right w:val="single" w:color="auto" w:sz="4" w:space="0"/>
            </w:tcBorders>
            <w:vAlign w:val="center"/>
          </w:tcPr>
          <w:p>
            <w:pPr>
              <w:ind w:left="141" w:leftChars="67" w:firstLine="118" w:firstLineChars="49"/>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项  目</w:t>
            </w:r>
          </w:p>
        </w:tc>
        <w:tc>
          <w:tcPr>
            <w:tcW w:w="442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内  容</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28"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w:t>
            </w:r>
          </w:p>
        </w:tc>
        <w:tc>
          <w:tcPr>
            <w:tcW w:w="2731" w:type="dxa"/>
            <w:vMerge w:val="restart"/>
            <w:tcBorders>
              <w:top w:val="single" w:color="auto" w:sz="4" w:space="0"/>
              <w:left w:val="single" w:color="auto" w:sz="4" w:space="0"/>
              <w:right w:val="single" w:color="auto" w:sz="4" w:space="0"/>
            </w:tcBorders>
            <w:vAlign w:val="center"/>
          </w:tcPr>
          <w:p>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竞标保证金</w:t>
            </w:r>
          </w:p>
        </w:tc>
        <w:tc>
          <w:tcPr>
            <w:tcW w:w="442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（大写）</w:t>
            </w:r>
          </w:p>
        </w:tc>
        <w:tc>
          <w:tcPr>
            <w:tcW w:w="1260"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28"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2731"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442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元）</w:t>
            </w:r>
          </w:p>
        </w:tc>
        <w:tc>
          <w:tcPr>
            <w:tcW w:w="1260"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828"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p>
        </w:tc>
        <w:tc>
          <w:tcPr>
            <w:tcW w:w="2731" w:type="dxa"/>
            <w:vMerge w:val="restart"/>
            <w:tcBorders>
              <w:top w:val="single" w:color="auto" w:sz="4" w:space="0"/>
              <w:left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竞标总报价</w:t>
            </w:r>
          </w:p>
        </w:tc>
        <w:tc>
          <w:tcPr>
            <w:tcW w:w="442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（大写）</w:t>
            </w:r>
          </w:p>
        </w:tc>
        <w:tc>
          <w:tcPr>
            <w:tcW w:w="1260"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28" w:type="dxa"/>
            <w:vMerge w:val="continue"/>
            <w:tcBorders>
              <w:left w:val="single" w:color="auto" w:sz="4" w:space="0"/>
              <w:bottom w:val="single" w:color="auto" w:sz="4" w:space="0"/>
              <w:right w:val="single" w:color="auto" w:sz="4" w:space="0"/>
            </w:tcBorders>
            <w:vAlign w:val="center"/>
          </w:tcPr>
          <w:p/>
        </w:tc>
        <w:tc>
          <w:tcPr>
            <w:tcW w:w="2731" w:type="dxa"/>
            <w:vMerge w:val="continue"/>
            <w:tcBorders>
              <w:left w:val="single" w:color="auto" w:sz="4" w:space="0"/>
              <w:bottom w:val="single" w:color="auto" w:sz="4" w:space="0"/>
              <w:right w:val="single" w:color="auto" w:sz="4" w:space="0"/>
            </w:tcBorders>
            <w:vAlign w:val="center"/>
          </w:tcPr>
          <w:p/>
        </w:tc>
        <w:tc>
          <w:tcPr>
            <w:tcW w:w="442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元）</w:t>
            </w:r>
          </w:p>
        </w:tc>
        <w:tc>
          <w:tcPr>
            <w:tcW w:w="1260" w:type="dxa"/>
            <w:vMerge w:val="continue"/>
            <w:tcBorders>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3</w:t>
            </w:r>
          </w:p>
        </w:tc>
        <w:tc>
          <w:tcPr>
            <w:tcW w:w="2731"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服务期</w:t>
            </w:r>
          </w:p>
        </w:tc>
        <w:tc>
          <w:tcPr>
            <w:tcW w:w="4429"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bCs/>
                <w:sz w:val="24"/>
              </w:rPr>
            </w:pPr>
          </w:p>
        </w:tc>
        <w:tc>
          <w:tcPr>
            <w:tcW w:w="2731"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b/>
                <w:bCs/>
                <w:sz w:val="24"/>
              </w:rPr>
            </w:pPr>
          </w:p>
        </w:tc>
        <w:tc>
          <w:tcPr>
            <w:tcW w:w="442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bl>
    <w:p>
      <w:pPr>
        <w:pStyle w:val="12"/>
        <w:outlineLvl w:val="1"/>
        <w:rPr>
          <w:rFonts w:hAnsi="宋体" w:cs="宋体"/>
          <w:szCs w:val="21"/>
        </w:rPr>
      </w:pPr>
      <w:r>
        <w:rPr>
          <w:rFonts w:hint="eastAsia" w:hAnsi="宋体" w:cs="宋体"/>
          <w:szCs w:val="21"/>
        </w:rPr>
        <w:t>注：1、</w:t>
      </w:r>
      <w:r>
        <w:rPr>
          <w:rFonts w:hint="eastAsia" w:hAnsi="宋体" w:cs="宋体"/>
          <w:bCs/>
          <w:kern w:val="0"/>
        </w:rPr>
        <w:t>竞标人必须就磋商的服务内容按具体金额报价。</w:t>
      </w:r>
    </w:p>
    <w:p>
      <w:pPr>
        <w:pStyle w:val="12"/>
        <w:ind w:firstLine="420" w:firstLineChars="200"/>
        <w:outlineLvl w:val="1"/>
        <w:rPr>
          <w:rFonts w:hAnsi="宋体" w:cs="宋体"/>
          <w:szCs w:val="21"/>
        </w:rPr>
      </w:pPr>
      <w:r>
        <w:rPr>
          <w:rFonts w:hint="eastAsia" w:hAnsi="宋体" w:cs="宋体"/>
          <w:szCs w:val="21"/>
        </w:rPr>
        <w:t>2、在评标过程中，评标委员会发现竞标人的竞标报价明显低于其他竞标人的竞标报价或者明显低于上限控制价（与上限控制价相比较让利幅度＞10%）的，有理由怀疑其竞标报价可能低于其成本价，应当要求该竞标标人做出书面说明并提供相关证明材料。竞标人不能合理说明或者不能提供相关证明材料的，视作该竞标人以低于成本报价竞标，报价分做0分处理。</w:t>
      </w: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pStyle w:val="12"/>
        <w:spacing w:line="5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竞标人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（单位公章）</w:t>
      </w:r>
    </w:p>
    <w:p>
      <w:pPr>
        <w:spacing w:line="500" w:lineRule="exact"/>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法定代表人或委托代理人签名</w:t>
      </w:r>
      <w:r>
        <w:rPr>
          <w:rFonts w:hint="eastAsia" w:asciiTheme="majorEastAsia" w:hAnsiTheme="majorEastAsia" w:eastAsiaTheme="majorEastAsia" w:cstheme="majorEastAsia"/>
          <w:sz w:val="24"/>
          <w:u w:val="single"/>
        </w:rPr>
        <w:t xml:space="preserve">                           </w:t>
      </w:r>
    </w:p>
    <w:p>
      <w:pPr>
        <w:pStyle w:val="12"/>
        <w:spacing w:line="420" w:lineRule="exact"/>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10"/>
      </w:pPr>
    </w:p>
    <w:p>
      <w:pPr>
        <w:pStyle w:val="12"/>
        <w:spacing w:line="400" w:lineRule="exact"/>
        <w:rPr>
          <w:rFonts w:asciiTheme="majorEastAsia" w:hAnsiTheme="majorEastAsia" w:eastAsiaTheme="majorEastAsia" w:cstheme="majorEastAsia"/>
          <w:b/>
        </w:rPr>
      </w:pPr>
      <w:r>
        <w:rPr>
          <w:rFonts w:hint="eastAsia" w:asciiTheme="majorEastAsia" w:hAnsiTheme="majorEastAsia" w:eastAsiaTheme="majorEastAsia" w:cstheme="majorEastAsia"/>
          <w:b/>
        </w:rPr>
        <w:t>竞标说明：</w:t>
      </w:r>
    </w:p>
    <w:p>
      <w:pPr>
        <w:pStyle w:val="12"/>
        <w:spacing w:line="400" w:lineRule="exact"/>
        <w:rPr>
          <w:rFonts w:asciiTheme="majorEastAsia" w:hAnsiTheme="majorEastAsia" w:eastAsiaTheme="majorEastAsia" w:cstheme="majorEastAsia"/>
        </w:rPr>
      </w:pPr>
      <w:r>
        <w:rPr>
          <w:rFonts w:hint="eastAsia" w:asciiTheme="majorEastAsia" w:hAnsiTheme="majorEastAsia" w:eastAsiaTheme="majorEastAsia" w:cstheme="majorEastAsia"/>
        </w:rPr>
        <w:t>竞标报价指项目实施过程的各种费用、服务承诺、税金、及其它所有费用的总和。</w:t>
      </w:r>
    </w:p>
    <w:p>
      <w:pPr>
        <w:pStyle w:val="12"/>
        <w:jc w:val="center"/>
        <w:rPr>
          <w:rFonts w:hint="eastAsia" w:hAnsi="宋体" w:cs="宋体"/>
          <w:b/>
          <w:sz w:val="32"/>
          <w:szCs w:val="32"/>
        </w:rPr>
      </w:pPr>
    </w:p>
    <w:p>
      <w:pPr>
        <w:pStyle w:val="12"/>
        <w:jc w:val="both"/>
        <w:rPr>
          <w:rFonts w:hint="eastAsia" w:hAnsi="宋体" w:cs="宋体"/>
          <w:b/>
          <w:sz w:val="32"/>
          <w:szCs w:val="32"/>
        </w:rPr>
      </w:pPr>
    </w:p>
    <w:p>
      <w:pPr>
        <w:pStyle w:val="12"/>
        <w:jc w:val="center"/>
        <w:rPr>
          <w:rFonts w:hint="eastAsia" w:hAnsi="宋体" w:cs="宋体"/>
          <w:b/>
          <w:sz w:val="32"/>
          <w:szCs w:val="32"/>
        </w:rPr>
      </w:pPr>
    </w:p>
    <w:p>
      <w:pPr>
        <w:pStyle w:val="12"/>
        <w:jc w:val="center"/>
        <w:rPr>
          <w:rFonts w:hAnsi="宋体" w:cs="宋体"/>
          <w:b/>
          <w:szCs w:val="21"/>
        </w:rPr>
      </w:pPr>
      <w:r>
        <w:rPr>
          <w:rFonts w:hint="eastAsia" w:hAnsi="宋体" w:cs="宋体"/>
          <w:b/>
          <w:sz w:val="32"/>
          <w:szCs w:val="32"/>
        </w:rPr>
        <w:t>（</w:t>
      </w:r>
      <w:r>
        <w:rPr>
          <w:rFonts w:hint="eastAsia" w:hAnsi="宋体" w:cs="宋体"/>
          <w:b/>
          <w:sz w:val="32"/>
          <w:szCs w:val="32"/>
          <w:lang w:val="en-US" w:eastAsia="zh-CN"/>
        </w:rPr>
        <w:t>3</w:t>
      </w:r>
      <w:r>
        <w:rPr>
          <w:rFonts w:hint="eastAsia" w:hAnsi="宋体" w:cs="宋体"/>
          <w:b/>
          <w:sz w:val="32"/>
          <w:szCs w:val="32"/>
        </w:rPr>
        <w:t>）磋商报价表（</w:t>
      </w:r>
      <w:r>
        <w:rPr>
          <w:rFonts w:hint="eastAsia"/>
          <w:b/>
          <w:sz w:val="28"/>
          <w:szCs w:val="28"/>
        </w:rPr>
        <w:t>联</w:t>
      </w:r>
      <w:r>
        <w:rPr>
          <w:rFonts w:hint="eastAsia"/>
          <w:b/>
          <w:sz w:val="32"/>
          <w:szCs w:val="32"/>
        </w:rPr>
        <w:t>合体</w:t>
      </w:r>
      <w:r>
        <w:rPr>
          <w:rFonts w:hint="eastAsia"/>
          <w:b/>
          <w:sz w:val="32"/>
          <w:szCs w:val="32"/>
          <w:lang w:val="en-US" w:eastAsia="zh-CN"/>
        </w:rPr>
        <w:t>竞</w:t>
      </w:r>
      <w:r>
        <w:rPr>
          <w:rFonts w:hint="eastAsia"/>
          <w:b/>
          <w:sz w:val="32"/>
          <w:szCs w:val="32"/>
        </w:rPr>
        <w:t>标</w:t>
      </w:r>
      <w:r>
        <w:rPr>
          <w:rFonts w:hint="eastAsia" w:hAnsi="宋体"/>
          <w:b/>
          <w:sz w:val="32"/>
        </w:rPr>
        <w:t>格式</w:t>
      </w:r>
      <w:r>
        <w:rPr>
          <w:rFonts w:hint="eastAsia" w:hAnsi="宋体" w:cs="宋体"/>
          <w:b/>
          <w:sz w:val="32"/>
          <w:szCs w:val="32"/>
        </w:rPr>
        <w:t>）</w:t>
      </w:r>
    </w:p>
    <w:p>
      <w:pPr>
        <w:spacing w:line="360" w:lineRule="auto"/>
        <w:rPr>
          <w:rFonts w:ascii="宋体" w:hAnsi="宋体" w:cs="宋体"/>
          <w:spacing w:val="28"/>
          <w:szCs w:val="21"/>
        </w:rPr>
      </w:pPr>
    </w:p>
    <w:p>
      <w:pPr>
        <w:spacing w:line="340" w:lineRule="exact"/>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r>
        <w:rPr>
          <w:rFonts w:hint="eastAsia" w:asciiTheme="majorEastAsia" w:hAnsiTheme="majorEastAsia" w:eastAsiaTheme="majorEastAsia" w:cstheme="majorEastAsia"/>
          <w:sz w:val="24"/>
          <w:u w:val="single"/>
        </w:rPr>
        <w:t xml:space="preserve">                        </w:t>
      </w:r>
    </w:p>
    <w:p>
      <w:pPr>
        <w:spacing w:line="340" w:lineRule="exact"/>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项目编号：</w:t>
      </w:r>
      <w:r>
        <w:rPr>
          <w:rFonts w:hint="eastAsia" w:asciiTheme="majorEastAsia" w:hAnsiTheme="majorEastAsia" w:eastAsiaTheme="majorEastAsia" w:cstheme="majorEastAsia"/>
          <w:sz w:val="24"/>
          <w:u w:val="single"/>
        </w:rPr>
        <w:t xml:space="preserve">                         </w:t>
      </w:r>
    </w:p>
    <w:p>
      <w:pPr>
        <w:spacing w:line="340" w:lineRule="exact"/>
        <w:rPr>
          <w:rFonts w:asciiTheme="majorEastAsia" w:hAnsiTheme="majorEastAsia" w:eastAsiaTheme="majorEastAsia" w:cstheme="majorEastAsia"/>
          <w:sz w:val="24"/>
        </w:rPr>
      </w:pPr>
    </w:p>
    <w:tbl>
      <w:tblPr>
        <w:tblStyle w:val="18"/>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2731" w:type="dxa"/>
            <w:tcBorders>
              <w:top w:val="single" w:color="auto" w:sz="4" w:space="0"/>
              <w:left w:val="single" w:color="auto" w:sz="4" w:space="0"/>
              <w:bottom w:val="single" w:color="auto" w:sz="4" w:space="0"/>
              <w:right w:val="single" w:color="auto" w:sz="4" w:space="0"/>
            </w:tcBorders>
            <w:vAlign w:val="center"/>
          </w:tcPr>
          <w:p>
            <w:pPr>
              <w:ind w:left="141" w:leftChars="67" w:firstLine="118" w:firstLineChars="49"/>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项  目</w:t>
            </w:r>
          </w:p>
        </w:tc>
        <w:tc>
          <w:tcPr>
            <w:tcW w:w="442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内  容</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28"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w:t>
            </w:r>
          </w:p>
        </w:tc>
        <w:tc>
          <w:tcPr>
            <w:tcW w:w="2731" w:type="dxa"/>
            <w:vMerge w:val="restart"/>
            <w:tcBorders>
              <w:top w:val="single" w:color="auto" w:sz="4" w:space="0"/>
              <w:left w:val="single" w:color="auto" w:sz="4" w:space="0"/>
              <w:right w:val="single" w:color="auto" w:sz="4" w:space="0"/>
            </w:tcBorders>
            <w:vAlign w:val="center"/>
          </w:tcPr>
          <w:p>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竞标保证金</w:t>
            </w:r>
          </w:p>
        </w:tc>
        <w:tc>
          <w:tcPr>
            <w:tcW w:w="442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（大写）</w:t>
            </w:r>
          </w:p>
        </w:tc>
        <w:tc>
          <w:tcPr>
            <w:tcW w:w="1260"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28"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2731"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442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元）</w:t>
            </w:r>
          </w:p>
        </w:tc>
        <w:tc>
          <w:tcPr>
            <w:tcW w:w="1260"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828"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p>
        </w:tc>
        <w:tc>
          <w:tcPr>
            <w:tcW w:w="2731" w:type="dxa"/>
            <w:vMerge w:val="restart"/>
            <w:tcBorders>
              <w:top w:val="single" w:color="auto" w:sz="4" w:space="0"/>
              <w:left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竞标总报价</w:t>
            </w:r>
          </w:p>
        </w:tc>
        <w:tc>
          <w:tcPr>
            <w:tcW w:w="442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（大写）</w:t>
            </w:r>
          </w:p>
        </w:tc>
        <w:tc>
          <w:tcPr>
            <w:tcW w:w="1260"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28" w:type="dxa"/>
            <w:vMerge w:val="continue"/>
            <w:tcBorders>
              <w:left w:val="single" w:color="auto" w:sz="4" w:space="0"/>
              <w:bottom w:val="single" w:color="auto" w:sz="4" w:space="0"/>
              <w:right w:val="single" w:color="auto" w:sz="4" w:space="0"/>
            </w:tcBorders>
            <w:vAlign w:val="center"/>
          </w:tcPr>
          <w:p/>
        </w:tc>
        <w:tc>
          <w:tcPr>
            <w:tcW w:w="2731" w:type="dxa"/>
            <w:vMerge w:val="continue"/>
            <w:tcBorders>
              <w:left w:val="single" w:color="auto" w:sz="4" w:space="0"/>
              <w:bottom w:val="single" w:color="auto" w:sz="4" w:space="0"/>
              <w:right w:val="single" w:color="auto" w:sz="4" w:space="0"/>
            </w:tcBorders>
            <w:vAlign w:val="center"/>
          </w:tcPr>
          <w:p/>
        </w:tc>
        <w:tc>
          <w:tcPr>
            <w:tcW w:w="442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元）</w:t>
            </w:r>
          </w:p>
        </w:tc>
        <w:tc>
          <w:tcPr>
            <w:tcW w:w="1260" w:type="dxa"/>
            <w:vMerge w:val="continue"/>
            <w:tcBorders>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3</w:t>
            </w:r>
          </w:p>
        </w:tc>
        <w:tc>
          <w:tcPr>
            <w:tcW w:w="2731"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服务期</w:t>
            </w:r>
          </w:p>
        </w:tc>
        <w:tc>
          <w:tcPr>
            <w:tcW w:w="4429"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bCs/>
                <w:sz w:val="24"/>
              </w:rPr>
            </w:pPr>
          </w:p>
        </w:tc>
        <w:tc>
          <w:tcPr>
            <w:tcW w:w="2731"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b/>
                <w:bCs/>
                <w:sz w:val="24"/>
              </w:rPr>
            </w:pPr>
          </w:p>
        </w:tc>
        <w:tc>
          <w:tcPr>
            <w:tcW w:w="442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rPr>
            </w:pPr>
          </w:p>
        </w:tc>
      </w:tr>
    </w:tbl>
    <w:p>
      <w:pPr>
        <w:pStyle w:val="12"/>
        <w:outlineLvl w:val="1"/>
        <w:rPr>
          <w:rFonts w:hAnsi="宋体" w:cs="宋体"/>
          <w:szCs w:val="21"/>
        </w:rPr>
      </w:pPr>
      <w:bookmarkStart w:id="354" w:name="_Toc26578"/>
      <w:bookmarkStart w:id="355" w:name="_Toc21125"/>
      <w:r>
        <w:rPr>
          <w:rFonts w:hint="eastAsia" w:hAnsi="宋体" w:cs="宋体"/>
          <w:szCs w:val="21"/>
        </w:rPr>
        <w:t>注：1、</w:t>
      </w:r>
      <w:r>
        <w:rPr>
          <w:rFonts w:hint="eastAsia" w:hAnsi="宋体" w:cs="宋体"/>
          <w:bCs/>
          <w:kern w:val="0"/>
        </w:rPr>
        <w:t>竞标人必须就磋商的服务内容按具体金额报价。</w:t>
      </w:r>
      <w:bookmarkEnd w:id="354"/>
      <w:bookmarkEnd w:id="355"/>
    </w:p>
    <w:p>
      <w:pPr>
        <w:pStyle w:val="12"/>
        <w:ind w:firstLine="420" w:firstLineChars="200"/>
        <w:outlineLvl w:val="1"/>
        <w:rPr>
          <w:rFonts w:hAnsi="宋体" w:cs="宋体"/>
          <w:szCs w:val="21"/>
        </w:rPr>
      </w:pPr>
      <w:bookmarkStart w:id="356" w:name="_Toc2380"/>
      <w:bookmarkStart w:id="357" w:name="_Toc26021"/>
      <w:r>
        <w:rPr>
          <w:rFonts w:hint="eastAsia" w:hAnsi="宋体" w:cs="宋体"/>
          <w:szCs w:val="21"/>
        </w:rPr>
        <w:t>2、在评标过程中，评标委员会发现竞标人的竞标报价明显低于其他竞标人的竞标报价或者明显低于上限控制价（与上限控制价相比较让利幅度＞10%）的，有理由怀疑其竞标报价可能低于其成本价，应当要求该竞标标人做出书面说明并提供相关证明材料。竞标人不能合理说明或者不能提供相关证明材料的，视作该竞标人以低于成本报价竞标，报价分做0分处理。</w:t>
      </w:r>
      <w:bookmarkEnd w:id="356"/>
      <w:bookmarkEnd w:id="357"/>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pStyle w:val="12"/>
        <w:spacing w:line="5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竞标人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牵头人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（单位公章）</w:t>
      </w:r>
    </w:p>
    <w:p>
      <w:pPr>
        <w:spacing w:line="500" w:lineRule="exact"/>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法定代表人或委托代理人签名</w:t>
      </w:r>
      <w:r>
        <w:rPr>
          <w:rFonts w:hint="eastAsia" w:asciiTheme="majorEastAsia" w:hAnsiTheme="majorEastAsia" w:eastAsiaTheme="majorEastAsia" w:cstheme="majorEastAsia"/>
          <w:sz w:val="24"/>
          <w:u w:val="single"/>
        </w:rPr>
        <w:t xml:space="preserve">                           </w:t>
      </w:r>
    </w:p>
    <w:p>
      <w:pPr>
        <w:pStyle w:val="12"/>
        <w:spacing w:line="420" w:lineRule="exact"/>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10"/>
      </w:pPr>
    </w:p>
    <w:p>
      <w:pPr>
        <w:pStyle w:val="12"/>
        <w:spacing w:line="5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竞标人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联合体成员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（单位公章）</w:t>
      </w:r>
    </w:p>
    <w:p>
      <w:pPr>
        <w:spacing w:line="500" w:lineRule="exact"/>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法定代表人或委托代理人签名</w:t>
      </w:r>
      <w:r>
        <w:rPr>
          <w:rFonts w:hint="eastAsia" w:asciiTheme="majorEastAsia" w:hAnsiTheme="majorEastAsia" w:eastAsiaTheme="majorEastAsia" w:cstheme="majorEastAsia"/>
          <w:sz w:val="24"/>
          <w:u w:val="single"/>
        </w:rPr>
        <w:t xml:space="preserve">                           </w:t>
      </w:r>
    </w:p>
    <w:p>
      <w:pPr>
        <w:pStyle w:val="12"/>
        <w:spacing w:line="420" w:lineRule="exact"/>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12"/>
        <w:jc w:val="center"/>
        <w:rPr>
          <w:rFonts w:asciiTheme="majorEastAsia" w:hAnsiTheme="majorEastAsia" w:eastAsiaTheme="majorEastAsia" w:cstheme="majorEastAsia"/>
          <w:b/>
          <w:sz w:val="24"/>
          <w:szCs w:val="24"/>
        </w:rPr>
      </w:pPr>
    </w:p>
    <w:p>
      <w:pPr>
        <w:pStyle w:val="12"/>
        <w:spacing w:line="400" w:lineRule="exact"/>
        <w:rPr>
          <w:rFonts w:asciiTheme="majorEastAsia" w:hAnsiTheme="majorEastAsia" w:eastAsiaTheme="majorEastAsia" w:cstheme="majorEastAsia"/>
          <w:b/>
        </w:rPr>
      </w:pPr>
      <w:r>
        <w:rPr>
          <w:rFonts w:hint="eastAsia" w:asciiTheme="majorEastAsia" w:hAnsiTheme="majorEastAsia" w:eastAsiaTheme="majorEastAsia" w:cstheme="majorEastAsia"/>
          <w:b/>
        </w:rPr>
        <w:t>竞标说明：</w:t>
      </w:r>
    </w:p>
    <w:p>
      <w:pPr>
        <w:pStyle w:val="12"/>
        <w:spacing w:line="400" w:lineRule="exact"/>
        <w:rPr>
          <w:rFonts w:hAnsi="宋体"/>
          <w:b/>
          <w:sz w:val="32"/>
          <w:szCs w:val="21"/>
        </w:rPr>
      </w:pPr>
      <w:r>
        <w:rPr>
          <w:rFonts w:hint="eastAsia" w:asciiTheme="majorEastAsia" w:hAnsiTheme="majorEastAsia" w:eastAsiaTheme="majorEastAsia" w:cstheme="majorEastAsia"/>
        </w:rPr>
        <w:t>竞标报价指项目实施过程的各种费用、服务承诺、税金、及其它所有费用的总和。</w:t>
      </w:r>
    </w:p>
    <w:p>
      <w:pPr>
        <w:pStyle w:val="12"/>
        <w:jc w:val="center"/>
        <w:rPr>
          <w:rFonts w:hAnsi="宋体"/>
          <w:b/>
          <w:sz w:val="32"/>
        </w:rPr>
      </w:pPr>
      <w:r>
        <w:rPr>
          <w:rFonts w:hint="eastAsia" w:hAnsi="宋体"/>
          <w:b/>
          <w:sz w:val="32"/>
        </w:rPr>
        <w:t>（</w:t>
      </w:r>
      <w:r>
        <w:rPr>
          <w:rFonts w:hint="eastAsia" w:hAnsi="宋体"/>
          <w:b/>
          <w:sz w:val="32"/>
          <w:lang w:val="en-US" w:eastAsia="zh-CN"/>
        </w:rPr>
        <w:t>4</w:t>
      </w:r>
      <w:r>
        <w:rPr>
          <w:rFonts w:hint="eastAsia" w:hAnsi="宋体"/>
          <w:b/>
          <w:sz w:val="32"/>
        </w:rPr>
        <w:t>）参加磋商的其他证明资料</w:t>
      </w:r>
    </w:p>
    <w:p>
      <w:pPr>
        <w:pStyle w:val="12"/>
        <w:jc w:val="center"/>
        <w:rPr>
          <w:rFonts w:hAnsi="宋体"/>
          <w:bCs/>
          <w:sz w:val="24"/>
        </w:rPr>
      </w:pPr>
      <w:r>
        <w:rPr>
          <w:rFonts w:hint="eastAsia" w:hAnsi="宋体"/>
          <w:bCs/>
          <w:sz w:val="24"/>
        </w:rPr>
        <w:t>（必须提供竞标保证金</w:t>
      </w:r>
      <w:r>
        <w:rPr>
          <w:rFonts w:hint="eastAsia" w:hAnsi="宋体"/>
          <w:sz w:val="24"/>
        </w:rPr>
        <w:t>缴纳证明的复印件</w:t>
      </w:r>
      <w:r>
        <w:rPr>
          <w:rFonts w:hint="eastAsia" w:hAnsi="宋体"/>
          <w:bCs/>
          <w:sz w:val="24"/>
        </w:rPr>
        <w:t>）</w:t>
      </w: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
          <w:bCs/>
          <w:sz w:val="32"/>
        </w:rPr>
      </w:pPr>
      <w:r>
        <w:rPr>
          <w:rFonts w:hint="eastAsia" w:hAnsi="宋体"/>
          <w:b/>
          <w:bCs/>
          <w:sz w:val="32"/>
        </w:rPr>
        <w:t>（</w:t>
      </w:r>
      <w:r>
        <w:rPr>
          <w:rFonts w:hint="eastAsia" w:hAnsi="宋体"/>
          <w:b/>
          <w:bCs/>
          <w:sz w:val="32"/>
          <w:lang w:val="en-US" w:eastAsia="zh-CN"/>
        </w:rPr>
        <w:t>5</w:t>
      </w:r>
      <w:r>
        <w:rPr>
          <w:rFonts w:hint="eastAsia" w:hAnsi="宋体"/>
          <w:b/>
          <w:bCs/>
          <w:sz w:val="32"/>
        </w:rPr>
        <w:t>）辅助资料</w:t>
      </w:r>
    </w:p>
    <w:p>
      <w:pPr>
        <w:spacing w:line="300" w:lineRule="exact"/>
        <w:jc w:val="center"/>
        <w:rPr>
          <w:rFonts w:hAnsi="宋体"/>
          <w:bCs/>
          <w:sz w:val="32"/>
        </w:rPr>
      </w:pPr>
      <w:r>
        <w:rPr>
          <w:rFonts w:hint="eastAsia" w:ascii="宋体" w:cs="宋体"/>
          <w:b/>
          <w:bCs/>
          <w:sz w:val="24"/>
        </w:rPr>
        <w:t>企业业绩</w:t>
      </w:r>
      <w:r>
        <w:rPr>
          <w:rFonts w:hint="eastAsia"/>
          <w:b/>
          <w:sz w:val="24"/>
          <w:szCs w:val="21"/>
        </w:rPr>
        <w:t>一览表（格式自拟）</w:t>
      </w:r>
      <w:r>
        <w:rPr>
          <w:rFonts w:hint="eastAsia" w:ascii="宋体" w:cs="宋体"/>
          <w:b/>
          <w:bCs/>
          <w:sz w:val="24"/>
        </w:rPr>
        <w:t>；</w:t>
      </w: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rPr>
          <w:rFonts w:hAnsi="宋体"/>
          <w:bCs/>
          <w:sz w:val="32"/>
        </w:rPr>
      </w:pPr>
    </w:p>
    <w:p>
      <w:pPr>
        <w:pStyle w:val="12"/>
        <w:rPr>
          <w:rFonts w:hAnsi="宋体"/>
          <w:bCs/>
          <w:sz w:val="32"/>
        </w:rPr>
      </w:pPr>
    </w:p>
    <w:p>
      <w:pPr>
        <w:pStyle w:val="12"/>
        <w:jc w:val="center"/>
        <w:rPr>
          <w:rFonts w:hAnsi="宋体"/>
          <w:bCs/>
          <w:sz w:val="32"/>
        </w:rPr>
      </w:pPr>
    </w:p>
    <w:p>
      <w:pPr>
        <w:pStyle w:val="12"/>
        <w:jc w:val="center"/>
        <w:rPr>
          <w:rFonts w:hAnsi="宋体"/>
          <w:b/>
          <w:sz w:val="32"/>
        </w:rPr>
      </w:pPr>
      <w:r>
        <w:rPr>
          <w:rFonts w:hint="eastAsia" w:hAnsi="宋体"/>
          <w:b/>
          <w:sz w:val="32"/>
        </w:rPr>
        <w:t>（</w:t>
      </w:r>
      <w:r>
        <w:rPr>
          <w:rFonts w:hint="eastAsia" w:hAnsi="宋体"/>
          <w:b/>
          <w:sz w:val="32"/>
          <w:lang w:val="en-US" w:eastAsia="zh-CN"/>
        </w:rPr>
        <w:t>6</w:t>
      </w:r>
      <w:r>
        <w:rPr>
          <w:rFonts w:hint="eastAsia" w:hAnsi="宋体"/>
          <w:b/>
          <w:sz w:val="32"/>
        </w:rPr>
        <w:t>）技术方案（格式）</w:t>
      </w:r>
    </w:p>
    <w:p>
      <w:pPr>
        <w:pStyle w:val="12"/>
        <w:jc w:val="center"/>
        <w:rPr>
          <w:rFonts w:hAnsi="宋体"/>
          <w:bCs/>
          <w:sz w:val="32"/>
        </w:rPr>
      </w:pPr>
    </w:p>
    <w:p>
      <w:pPr>
        <w:pStyle w:val="12"/>
        <w:spacing w:line="360" w:lineRule="auto"/>
        <w:ind w:firstLine="480" w:firstLineChars="200"/>
        <w:jc w:val="center"/>
        <w:rPr>
          <w:rFonts w:hAnsi="宋体"/>
          <w:bCs/>
          <w:sz w:val="24"/>
        </w:rPr>
      </w:pPr>
      <w:bookmarkStart w:id="358" w:name="_Toc367092254"/>
      <w:r>
        <w:rPr>
          <w:rFonts w:hint="eastAsia" w:hAnsi="宋体"/>
          <w:bCs/>
          <w:sz w:val="24"/>
        </w:rPr>
        <w:t>本项无固定格式，</w:t>
      </w:r>
      <w:bookmarkEnd w:id="358"/>
      <w:r>
        <w:rPr>
          <w:rFonts w:hint="eastAsia" w:hAnsi="宋体"/>
          <w:bCs/>
          <w:sz w:val="24"/>
        </w:rPr>
        <w:t>由各竞标人自行编写</w:t>
      </w:r>
    </w:p>
    <w:p>
      <w:pPr>
        <w:pStyle w:val="12"/>
        <w:spacing w:line="360" w:lineRule="auto"/>
        <w:jc w:val="left"/>
        <w:rPr>
          <w:rFonts w:hAnsi="宋体"/>
          <w:bCs/>
          <w:sz w:val="24"/>
        </w:rPr>
      </w:pPr>
    </w:p>
    <w:p>
      <w:pPr>
        <w:pStyle w:val="12"/>
        <w:spacing w:line="360" w:lineRule="auto"/>
        <w:jc w:val="left"/>
        <w:rPr>
          <w:rFonts w:hAnsi="宋体"/>
          <w:bCs/>
          <w:sz w:val="24"/>
        </w:rPr>
      </w:pPr>
    </w:p>
    <w:p>
      <w:pPr>
        <w:pStyle w:val="12"/>
        <w:spacing w:line="360" w:lineRule="auto"/>
        <w:ind w:firstLine="480" w:firstLineChars="200"/>
        <w:jc w:val="left"/>
        <w:rPr>
          <w:rFonts w:hAnsi="宋体"/>
          <w:bCs/>
          <w:sz w:val="24"/>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rPr>
          <w:rFonts w:hAnsi="宋体"/>
          <w:bCs/>
          <w:sz w:val="32"/>
        </w:rPr>
      </w:pPr>
    </w:p>
    <w:p>
      <w:pPr>
        <w:jc w:val="center"/>
        <w:rPr>
          <w:rFonts w:hAnsi="宋体"/>
          <w:b/>
          <w:sz w:val="32"/>
        </w:rPr>
      </w:pPr>
      <w:r>
        <w:rPr>
          <w:rFonts w:hint="eastAsia" w:hAnsi="宋体"/>
          <w:b/>
          <w:sz w:val="32"/>
        </w:rPr>
        <w:t>（</w:t>
      </w:r>
      <w:r>
        <w:rPr>
          <w:rFonts w:hint="eastAsia" w:hAnsi="宋体"/>
          <w:b/>
          <w:sz w:val="32"/>
          <w:lang w:val="en-US" w:eastAsia="zh-CN"/>
        </w:rPr>
        <w:t>7</w:t>
      </w:r>
      <w:r>
        <w:rPr>
          <w:rFonts w:hint="eastAsia" w:hAnsi="宋体"/>
          <w:b/>
          <w:sz w:val="32"/>
        </w:rPr>
        <w:t>）项目实施人员一览表</w:t>
      </w:r>
    </w:p>
    <w:p>
      <w:pPr>
        <w:pStyle w:val="12"/>
        <w:jc w:val="center"/>
        <w:rPr>
          <w:rFonts w:hAnsi="宋体"/>
        </w:rPr>
      </w:pPr>
    </w:p>
    <w:tbl>
      <w:tblPr>
        <w:tblStyle w:val="18"/>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85"/>
        <w:gridCol w:w="870"/>
        <w:gridCol w:w="810"/>
        <w:gridCol w:w="1485"/>
        <w:gridCol w:w="1379"/>
        <w:gridCol w:w="117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pStyle w:val="33"/>
              <w:keepNext w:val="0"/>
              <w:adjustRightInd/>
              <w:spacing w:before="0" w:after="0" w:line="300" w:lineRule="exact"/>
              <w:jc w:val="both"/>
              <w:rPr>
                <w:rFonts w:ascii="宋体" w:hAnsi="宋体"/>
                <w:spacing w:val="0"/>
                <w:kern w:val="2"/>
                <w:sz w:val="21"/>
                <w:szCs w:val="21"/>
              </w:rPr>
            </w:pPr>
            <w:r>
              <w:rPr>
                <w:rFonts w:hint="eastAsia" w:ascii="宋体" w:hAnsi="宋体"/>
                <w:spacing w:val="0"/>
                <w:kern w:val="2"/>
                <w:sz w:val="21"/>
                <w:szCs w:val="21"/>
              </w:rPr>
              <w:t>序号</w:t>
            </w:r>
          </w:p>
        </w:tc>
        <w:tc>
          <w:tcPr>
            <w:tcW w:w="885" w:type="dxa"/>
            <w:vAlign w:val="center"/>
          </w:tcPr>
          <w:p>
            <w:pPr>
              <w:pStyle w:val="33"/>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姓名</w:t>
            </w:r>
          </w:p>
        </w:tc>
        <w:tc>
          <w:tcPr>
            <w:tcW w:w="870" w:type="dxa"/>
            <w:vAlign w:val="center"/>
          </w:tcPr>
          <w:p>
            <w:pPr>
              <w:pStyle w:val="33"/>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性别</w:t>
            </w:r>
          </w:p>
        </w:tc>
        <w:tc>
          <w:tcPr>
            <w:tcW w:w="810" w:type="dxa"/>
            <w:vAlign w:val="center"/>
          </w:tcPr>
          <w:p>
            <w:pPr>
              <w:pStyle w:val="33"/>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年龄</w:t>
            </w:r>
          </w:p>
        </w:tc>
        <w:tc>
          <w:tcPr>
            <w:tcW w:w="1485" w:type="dxa"/>
            <w:vAlign w:val="center"/>
          </w:tcPr>
          <w:p>
            <w:pPr>
              <w:pStyle w:val="33"/>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职称</w:t>
            </w:r>
          </w:p>
        </w:tc>
        <w:tc>
          <w:tcPr>
            <w:tcW w:w="1379" w:type="dxa"/>
            <w:vAlign w:val="center"/>
          </w:tcPr>
          <w:p>
            <w:pPr>
              <w:pStyle w:val="33"/>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专业</w:t>
            </w:r>
          </w:p>
        </w:tc>
        <w:tc>
          <w:tcPr>
            <w:tcW w:w="1173" w:type="dxa"/>
            <w:vAlign w:val="center"/>
          </w:tcPr>
          <w:p>
            <w:pPr>
              <w:pStyle w:val="33"/>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学历</w:t>
            </w:r>
          </w:p>
        </w:tc>
        <w:tc>
          <w:tcPr>
            <w:tcW w:w="1423" w:type="dxa"/>
            <w:vAlign w:val="center"/>
          </w:tcPr>
          <w:p>
            <w:pPr>
              <w:pStyle w:val="33"/>
              <w:keepNext w:val="0"/>
              <w:adjustRightInd/>
              <w:spacing w:before="0" w:after="0" w:line="300" w:lineRule="exact"/>
              <w:rPr>
                <w:rFonts w:ascii="宋体" w:hAnsi="宋体"/>
                <w:spacing w:val="0"/>
                <w:kern w:val="2"/>
                <w:sz w:val="21"/>
                <w:szCs w:val="21"/>
              </w:rPr>
            </w:pPr>
            <w:r>
              <w:rPr>
                <w:rFonts w:hint="eastAsia" w:ascii="宋体" w:hAnsi="宋体"/>
                <w:spacing w:val="0"/>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12"/>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12"/>
              <w:spacing w:line="300" w:lineRule="exact"/>
              <w:jc w:val="center"/>
              <w:rPr>
                <w:rFonts w:hAnsi="宋体"/>
              </w:rPr>
            </w:pPr>
          </w:p>
        </w:tc>
        <w:tc>
          <w:tcPr>
            <w:tcW w:w="142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12"/>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12"/>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12"/>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12"/>
              <w:spacing w:line="300" w:lineRule="exact"/>
              <w:jc w:val="center"/>
              <w:rPr>
                <w:rFonts w:hAnsi="宋体"/>
              </w:rPr>
            </w:pPr>
          </w:p>
        </w:tc>
        <w:tc>
          <w:tcPr>
            <w:tcW w:w="142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12"/>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12"/>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12"/>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12"/>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12"/>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12"/>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12"/>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12"/>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12"/>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12"/>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12"/>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12"/>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12"/>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12"/>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ascii="宋体" w:hAnsi="宋体" w:cs="宋体"/>
                <w:szCs w:val="21"/>
              </w:rPr>
            </w:pPr>
          </w:p>
        </w:tc>
        <w:tc>
          <w:tcPr>
            <w:tcW w:w="885" w:type="dxa"/>
            <w:vAlign w:val="center"/>
          </w:tcPr>
          <w:p>
            <w:pPr>
              <w:spacing w:line="300" w:lineRule="exact"/>
              <w:jc w:val="center"/>
              <w:rPr>
                <w:rFonts w:ascii="宋体" w:hAnsi="宋体"/>
                <w:szCs w:val="21"/>
              </w:rPr>
            </w:pPr>
          </w:p>
        </w:tc>
        <w:tc>
          <w:tcPr>
            <w:tcW w:w="870" w:type="dxa"/>
            <w:vAlign w:val="center"/>
          </w:tcPr>
          <w:p>
            <w:pPr>
              <w:autoSpaceDE w:val="0"/>
              <w:autoSpaceDN w:val="0"/>
              <w:spacing w:line="300" w:lineRule="exact"/>
              <w:jc w:val="center"/>
              <w:rPr>
                <w:rFonts w:ascii="宋体" w:hAnsi="宋体"/>
                <w:kern w:val="0"/>
                <w:szCs w:val="21"/>
              </w:rPr>
            </w:pPr>
          </w:p>
        </w:tc>
        <w:tc>
          <w:tcPr>
            <w:tcW w:w="810" w:type="dxa"/>
            <w:vAlign w:val="center"/>
          </w:tcPr>
          <w:p>
            <w:pPr>
              <w:pStyle w:val="12"/>
              <w:spacing w:line="300" w:lineRule="exact"/>
              <w:jc w:val="center"/>
              <w:rPr>
                <w:rFonts w:hAnsi="宋体"/>
              </w:rPr>
            </w:pPr>
          </w:p>
        </w:tc>
        <w:tc>
          <w:tcPr>
            <w:tcW w:w="1485" w:type="dxa"/>
            <w:vAlign w:val="center"/>
          </w:tcPr>
          <w:p>
            <w:pPr>
              <w:widowControl/>
              <w:spacing w:line="300" w:lineRule="exact"/>
              <w:jc w:val="center"/>
              <w:rPr>
                <w:rFonts w:ascii="宋体" w:hAnsi="宋体"/>
                <w:szCs w:val="21"/>
              </w:rPr>
            </w:pPr>
          </w:p>
        </w:tc>
        <w:tc>
          <w:tcPr>
            <w:tcW w:w="1379" w:type="dxa"/>
            <w:vAlign w:val="center"/>
          </w:tcPr>
          <w:p>
            <w:pPr>
              <w:widowControl/>
              <w:spacing w:line="300" w:lineRule="exact"/>
              <w:jc w:val="center"/>
              <w:rPr>
                <w:rFonts w:ascii="宋体" w:hAnsi="宋体"/>
                <w:szCs w:val="21"/>
              </w:rPr>
            </w:pPr>
          </w:p>
        </w:tc>
        <w:tc>
          <w:tcPr>
            <w:tcW w:w="1173" w:type="dxa"/>
            <w:vAlign w:val="center"/>
          </w:tcPr>
          <w:p>
            <w:pPr>
              <w:pStyle w:val="12"/>
              <w:spacing w:line="300" w:lineRule="exact"/>
              <w:jc w:val="center"/>
              <w:rPr>
                <w:rFonts w:hAnsi="宋体"/>
              </w:rPr>
            </w:pPr>
          </w:p>
        </w:tc>
        <w:tc>
          <w:tcPr>
            <w:tcW w:w="1423" w:type="dxa"/>
            <w:vAlign w:val="center"/>
          </w:tcPr>
          <w:p>
            <w:pPr>
              <w:autoSpaceDE w:val="0"/>
              <w:autoSpaceDN w:val="0"/>
              <w:spacing w:line="300" w:lineRule="exact"/>
              <w:jc w:val="center"/>
              <w:rPr>
                <w:rFonts w:ascii="宋体" w:hAnsi="宋体"/>
                <w:kern w:val="0"/>
                <w:szCs w:val="21"/>
              </w:rPr>
            </w:pPr>
          </w:p>
        </w:tc>
      </w:tr>
    </w:tbl>
    <w:p>
      <w:pPr>
        <w:pStyle w:val="12"/>
        <w:spacing w:line="360" w:lineRule="exact"/>
        <w:jc w:val="left"/>
        <w:rPr>
          <w:rFonts w:hAnsi="宋体"/>
          <w:bCs/>
          <w:szCs w:val="21"/>
        </w:rPr>
      </w:pPr>
    </w:p>
    <w:p>
      <w:pPr>
        <w:pStyle w:val="12"/>
        <w:spacing w:line="360" w:lineRule="exact"/>
        <w:ind w:firstLine="422" w:firstLineChars="200"/>
        <w:jc w:val="left"/>
        <w:rPr>
          <w:rFonts w:hAnsi="宋体" w:eastAsiaTheme="majorEastAsia"/>
          <w:b/>
          <w:szCs w:val="21"/>
        </w:rPr>
      </w:pPr>
      <w:r>
        <w:rPr>
          <w:rFonts w:hint="eastAsia" w:hAnsi="宋体"/>
          <w:b/>
          <w:szCs w:val="21"/>
        </w:rPr>
        <w:t>备注：</w:t>
      </w:r>
      <w:r>
        <w:rPr>
          <w:rFonts w:hint="eastAsia"/>
          <w:b/>
          <w:bCs w:val="0"/>
          <w:sz w:val="22"/>
          <w:szCs w:val="28"/>
        </w:rPr>
        <w:t>需提供</w:t>
      </w:r>
      <w:r>
        <w:rPr>
          <w:rFonts w:hint="eastAsia" w:hAnsi="宋体"/>
          <w:b/>
          <w:szCs w:val="21"/>
        </w:rPr>
        <w:t>拟投入人员</w:t>
      </w:r>
      <w:r>
        <w:rPr>
          <w:rFonts w:hint="eastAsia" w:hAnsi="宋体"/>
          <w:b/>
          <w:szCs w:val="21"/>
          <w:lang w:val="en-US" w:eastAsia="zh-CN"/>
        </w:rPr>
        <w:t>的</w:t>
      </w:r>
      <w:r>
        <w:rPr>
          <w:rFonts w:hint="eastAsia" w:hAnsi="宋体"/>
          <w:b/>
          <w:szCs w:val="21"/>
        </w:rPr>
        <w:t>身份证复印件、职称证（如有）复印件、</w:t>
      </w:r>
      <w:r>
        <w:rPr>
          <w:rFonts w:hint="eastAsia" w:hAnsi="宋体"/>
          <w:b/>
          <w:szCs w:val="21"/>
          <w:lang w:val="en-US" w:eastAsia="zh-CN"/>
        </w:rPr>
        <w:t>竞标截止时间前</w:t>
      </w:r>
      <w:r>
        <w:rPr>
          <w:rFonts w:hint="eastAsia" w:asciiTheme="majorEastAsia" w:hAnsiTheme="majorEastAsia" w:eastAsiaTheme="majorEastAsia" w:cstheme="majorEastAsia"/>
          <w:b/>
          <w:szCs w:val="21"/>
        </w:rPr>
        <w:t>半年内</w:t>
      </w:r>
      <w:r>
        <w:rPr>
          <w:rFonts w:hint="eastAsia" w:asciiTheme="majorEastAsia" w:hAnsiTheme="majorEastAsia" w:eastAsiaTheme="majorEastAsia" w:cstheme="majorEastAsia"/>
          <w:b/>
          <w:szCs w:val="21"/>
          <w:lang w:val="en-US" w:eastAsia="zh-CN"/>
        </w:rPr>
        <w:t>任意</w:t>
      </w:r>
      <w:r>
        <w:rPr>
          <w:rFonts w:hint="eastAsia" w:asciiTheme="majorEastAsia" w:hAnsiTheme="majorEastAsia" w:eastAsiaTheme="majorEastAsia" w:cstheme="majorEastAsia"/>
          <w:b/>
          <w:szCs w:val="21"/>
        </w:rPr>
        <w:t>三个月社会养老保险金缴纳证明复印件</w:t>
      </w:r>
      <w:r>
        <w:rPr>
          <w:rFonts w:hint="eastAsia" w:hAnsi="宋体" w:cs="宋体"/>
          <w:b/>
          <w:szCs w:val="21"/>
        </w:rPr>
        <w:t>或事业单位机构编制证</w:t>
      </w:r>
      <w:r>
        <w:rPr>
          <w:rFonts w:hint="eastAsia" w:asciiTheme="majorEastAsia" w:hAnsiTheme="majorEastAsia" w:eastAsiaTheme="majorEastAsia" w:cstheme="majorEastAsia"/>
          <w:b/>
          <w:szCs w:val="21"/>
        </w:rPr>
        <w:t>，以上复印件均需加盖单位公章。</w:t>
      </w: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pStyle w:val="12"/>
        <w:jc w:val="center"/>
        <w:rPr>
          <w:rFonts w:hAnsi="宋体"/>
          <w:bCs/>
          <w:sz w:val="32"/>
        </w:rPr>
      </w:pPr>
    </w:p>
    <w:p>
      <w:pPr>
        <w:rPr>
          <w:rFonts w:hAnsi="宋体"/>
        </w:rPr>
      </w:pPr>
      <w:r>
        <w:rPr>
          <w:rFonts w:hint="eastAsia" w:hAnsi="宋体"/>
        </w:rPr>
        <w:br w:type="page"/>
      </w:r>
    </w:p>
    <w:p>
      <w:pPr>
        <w:pStyle w:val="12"/>
        <w:jc w:val="center"/>
        <w:rPr>
          <w:rFonts w:hAnsi="宋体"/>
        </w:rPr>
      </w:pPr>
      <w:r>
        <w:rPr>
          <w:rFonts w:hint="eastAsia" w:hAnsi="宋体"/>
        </w:rPr>
        <w:t>（二）项目负责人个人简历表</w:t>
      </w:r>
    </w:p>
    <w:p>
      <w:pPr>
        <w:pStyle w:val="12"/>
        <w:rPr>
          <w:rFonts w:hAnsi="宋体"/>
        </w:rPr>
      </w:pPr>
    </w:p>
    <w:tbl>
      <w:tblPr>
        <w:tblStyle w:val="18"/>
        <w:tblW w:w="9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17"/>
        <w:gridCol w:w="1475"/>
        <w:gridCol w:w="1009"/>
        <w:gridCol w:w="819"/>
        <w:gridCol w:w="494"/>
        <w:gridCol w:w="1151"/>
        <w:gridCol w:w="66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87"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475"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r>
              <w:rPr>
                <w:rFonts w:hint="eastAsia" w:ascii="宋体" w:hAnsi="宋体"/>
                <w:szCs w:val="21"/>
              </w:rPr>
              <w:t>年龄</w:t>
            </w:r>
          </w:p>
        </w:tc>
        <w:tc>
          <w:tcPr>
            <w:tcW w:w="1313" w:type="dxa"/>
            <w:gridSpan w:val="2"/>
            <w:vAlign w:val="center"/>
          </w:tcPr>
          <w:p>
            <w:pPr>
              <w:spacing w:line="360" w:lineRule="auto"/>
              <w:jc w:val="center"/>
              <w:rPr>
                <w:rFonts w:ascii="宋体" w:hAnsi="宋体"/>
                <w:szCs w:val="21"/>
              </w:rPr>
            </w:pPr>
          </w:p>
        </w:tc>
        <w:tc>
          <w:tcPr>
            <w:tcW w:w="1818" w:type="dxa"/>
            <w:gridSpan w:val="2"/>
            <w:vAlign w:val="center"/>
          </w:tcPr>
          <w:p>
            <w:pPr>
              <w:spacing w:line="360" w:lineRule="auto"/>
              <w:jc w:val="center"/>
              <w:rPr>
                <w:rFonts w:ascii="宋体" w:hAnsi="宋体"/>
                <w:szCs w:val="21"/>
              </w:rPr>
            </w:pPr>
            <w:r>
              <w:rPr>
                <w:rFonts w:hint="eastAsia" w:ascii="宋体" w:hAnsi="宋体"/>
                <w:szCs w:val="21"/>
              </w:rPr>
              <w:t>学历</w:t>
            </w:r>
          </w:p>
        </w:tc>
        <w:tc>
          <w:tcPr>
            <w:tcW w:w="220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87" w:type="dxa"/>
            <w:gridSpan w:val="2"/>
            <w:vAlign w:val="center"/>
          </w:tcPr>
          <w:p>
            <w:pPr>
              <w:spacing w:line="360" w:lineRule="auto"/>
              <w:jc w:val="center"/>
              <w:rPr>
                <w:rFonts w:ascii="宋体" w:hAnsi="宋体"/>
                <w:szCs w:val="21"/>
              </w:rPr>
            </w:pPr>
            <w:r>
              <w:rPr>
                <w:rFonts w:hint="eastAsia" w:ascii="宋体" w:hAnsi="宋体"/>
                <w:szCs w:val="21"/>
              </w:rPr>
              <w:t>职称</w:t>
            </w:r>
          </w:p>
        </w:tc>
        <w:tc>
          <w:tcPr>
            <w:tcW w:w="1475"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r>
              <w:rPr>
                <w:rFonts w:hint="eastAsia" w:ascii="宋体" w:hAnsi="宋体"/>
                <w:szCs w:val="21"/>
              </w:rPr>
              <w:t>职务</w:t>
            </w:r>
          </w:p>
        </w:tc>
        <w:tc>
          <w:tcPr>
            <w:tcW w:w="1313" w:type="dxa"/>
            <w:gridSpan w:val="2"/>
            <w:vAlign w:val="center"/>
          </w:tcPr>
          <w:p>
            <w:pPr>
              <w:spacing w:line="360" w:lineRule="auto"/>
              <w:jc w:val="center"/>
              <w:rPr>
                <w:rFonts w:ascii="宋体" w:hAnsi="宋体"/>
                <w:szCs w:val="21"/>
              </w:rPr>
            </w:pPr>
          </w:p>
        </w:tc>
        <w:tc>
          <w:tcPr>
            <w:tcW w:w="1818" w:type="dxa"/>
            <w:gridSpan w:val="2"/>
            <w:vAlign w:val="center"/>
          </w:tcPr>
          <w:p>
            <w:pPr>
              <w:spacing w:line="360" w:lineRule="auto"/>
              <w:jc w:val="center"/>
              <w:rPr>
                <w:rFonts w:ascii="宋体" w:hAnsi="宋体"/>
                <w:szCs w:val="21"/>
              </w:rPr>
            </w:pPr>
            <w:r>
              <w:rPr>
                <w:rFonts w:hint="eastAsia" w:ascii="宋体" w:hAnsi="宋体"/>
                <w:szCs w:val="21"/>
              </w:rPr>
              <w:t>拟在本合同任职</w:t>
            </w:r>
          </w:p>
        </w:tc>
        <w:tc>
          <w:tcPr>
            <w:tcW w:w="220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7" w:type="dxa"/>
            <w:gridSpan w:val="2"/>
            <w:vAlign w:val="center"/>
          </w:tcPr>
          <w:p>
            <w:pPr>
              <w:spacing w:line="360" w:lineRule="auto"/>
              <w:jc w:val="center"/>
              <w:rPr>
                <w:rFonts w:ascii="宋体" w:hAnsi="宋体"/>
                <w:szCs w:val="21"/>
              </w:rPr>
            </w:pPr>
            <w:r>
              <w:rPr>
                <w:rFonts w:hint="eastAsia" w:ascii="宋体" w:hAnsi="宋体"/>
                <w:szCs w:val="21"/>
              </w:rPr>
              <w:t>毕业学校</w:t>
            </w:r>
          </w:p>
        </w:tc>
        <w:tc>
          <w:tcPr>
            <w:tcW w:w="7820" w:type="dxa"/>
            <w:gridSpan w:val="7"/>
            <w:vAlign w:val="center"/>
          </w:tcPr>
          <w:p>
            <w:pPr>
              <w:spacing w:line="360" w:lineRule="auto"/>
              <w:ind w:firstLine="525" w:firstLineChars="250"/>
              <w:rPr>
                <w:rFonts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07" w:type="dxa"/>
            <w:gridSpan w:val="9"/>
            <w:vAlign w:val="center"/>
          </w:tcPr>
          <w:p>
            <w:pPr>
              <w:spacing w:line="360" w:lineRule="auto"/>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r>
              <w:rPr>
                <w:rFonts w:hint="eastAsia" w:ascii="宋体" w:hAnsi="宋体"/>
                <w:szCs w:val="21"/>
              </w:rPr>
              <w:t>时间</w:t>
            </w:r>
          </w:p>
        </w:tc>
        <w:tc>
          <w:tcPr>
            <w:tcW w:w="3620" w:type="dxa"/>
            <w:gridSpan w:val="4"/>
            <w:vAlign w:val="center"/>
          </w:tcPr>
          <w:p>
            <w:pPr>
              <w:spacing w:line="360" w:lineRule="auto"/>
              <w:jc w:val="center"/>
              <w:rPr>
                <w:rFonts w:ascii="宋体" w:hAnsi="宋体"/>
                <w:szCs w:val="21"/>
              </w:rPr>
            </w:pPr>
            <w:r>
              <w:rPr>
                <w:rFonts w:hint="eastAsia" w:ascii="宋体" w:hAnsi="宋体"/>
                <w:szCs w:val="21"/>
              </w:rPr>
              <w:t>参加过的类似项目</w:t>
            </w:r>
          </w:p>
        </w:tc>
        <w:tc>
          <w:tcPr>
            <w:tcW w:w="1645" w:type="dxa"/>
            <w:gridSpan w:val="2"/>
            <w:vAlign w:val="center"/>
          </w:tcPr>
          <w:p>
            <w:pPr>
              <w:spacing w:line="360" w:lineRule="auto"/>
              <w:jc w:val="center"/>
              <w:rPr>
                <w:rFonts w:ascii="宋体" w:hAnsi="宋体"/>
                <w:szCs w:val="21"/>
              </w:rPr>
            </w:pPr>
            <w:r>
              <w:rPr>
                <w:rFonts w:hint="eastAsia" w:ascii="宋体" w:hAnsi="宋体"/>
                <w:szCs w:val="21"/>
              </w:rPr>
              <w:t>担任职务</w:t>
            </w:r>
          </w:p>
        </w:tc>
        <w:tc>
          <w:tcPr>
            <w:tcW w:w="2872" w:type="dxa"/>
            <w:gridSpan w:val="2"/>
            <w:vAlign w:val="center"/>
          </w:tcPr>
          <w:p>
            <w:pPr>
              <w:spacing w:line="360" w:lineRule="auto"/>
              <w:jc w:val="center"/>
              <w:rPr>
                <w:rFonts w:ascii="宋体" w:hAnsi="宋体"/>
                <w:szCs w:val="21"/>
              </w:rPr>
            </w:pPr>
            <w:r>
              <w:rPr>
                <w:rFonts w:hint="eastAsia" w:ascii="宋体" w:hAnsi="宋体"/>
                <w:szCs w:val="21"/>
              </w:rPr>
              <w:t>发包单位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ascii="宋体" w:hAnsi="宋体"/>
                <w:szCs w:val="21"/>
              </w:rPr>
            </w:pPr>
          </w:p>
        </w:tc>
        <w:tc>
          <w:tcPr>
            <w:tcW w:w="3620" w:type="dxa"/>
            <w:gridSpan w:val="4"/>
            <w:vAlign w:val="center"/>
          </w:tcPr>
          <w:p>
            <w:pPr>
              <w:spacing w:line="360" w:lineRule="auto"/>
              <w:jc w:val="center"/>
              <w:rPr>
                <w:rFonts w:ascii="宋体" w:hAnsi="宋体"/>
                <w:szCs w:val="21"/>
              </w:rPr>
            </w:pPr>
          </w:p>
        </w:tc>
        <w:tc>
          <w:tcPr>
            <w:tcW w:w="1645" w:type="dxa"/>
            <w:gridSpan w:val="2"/>
            <w:vAlign w:val="center"/>
          </w:tcPr>
          <w:p>
            <w:pPr>
              <w:spacing w:line="360" w:lineRule="auto"/>
              <w:jc w:val="center"/>
              <w:rPr>
                <w:rFonts w:ascii="宋体" w:hAnsi="宋体"/>
                <w:szCs w:val="21"/>
              </w:rPr>
            </w:pPr>
          </w:p>
        </w:tc>
        <w:tc>
          <w:tcPr>
            <w:tcW w:w="2872" w:type="dxa"/>
            <w:gridSpan w:val="2"/>
            <w:vAlign w:val="center"/>
          </w:tcPr>
          <w:p>
            <w:pPr>
              <w:spacing w:line="360" w:lineRule="auto"/>
              <w:jc w:val="center"/>
              <w:rPr>
                <w:rFonts w:ascii="宋体" w:hAnsi="宋体"/>
                <w:szCs w:val="21"/>
              </w:rPr>
            </w:pPr>
          </w:p>
        </w:tc>
      </w:tr>
    </w:tbl>
    <w:p>
      <w:pPr>
        <w:pStyle w:val="12"/>
        <w:rPr>
          <w:rFonts w:hAnsi="宋体"/>
        </w:rPr>
      </w:pPr>
    </w:p>
    <w:p>
      <w:pPr>
        <w:pStyle w:val="12"/>
        <w:rPr>
          <w:rFonts w:hAnsi="宋体"/>
        </w:rPr>
      </w:pPr>
      <w:r>
        <w:rPr>
          <w:rFonts w:hint="eastAsia" w:hAnsi="宋体"/>
        </w:rPr>
        <w:t>说明：</w:t>
      </w:r>
    </w:p>
    <w:p>
      <w:pPr>
        <w:pStyle w:val="12"/>
        <w:rPr>
          <w:rFonts w:hAnsi="宋体"/>
        </w:rPr>
      </w:pPr>
      <w:r>
        <w:rPr>
          <w:rFonts w:hint="eastAsia" w:hAnsi="宋体"/>
        </w:rPr>
        <w:t xml:space="preserve">    必须随本表附上拟派项目负责人的执业资格证书、职称证书。（均为复印件并加盖单位公章）</w:t>
      </w:r>
    </w:p>
    <w:p>
      <w:pPr>
        <w:pStyle w:val="12"/>
        <w:jc w:val="center"/>
        <w:rPr>
          <w:rFonts w:hAnsi="宋体"/>
          <w:bCs/>
          <w:sz w:val="32"/>
        </w:rPr>
      </w:pPr>
    </w:p>
    <w:p>
      <w:pPr>
        <w:pStyle w:val="12"/>
        <w:jc w:val="center"/>
        <w:rPr>
          <w:rFonts w:hAnsi="宋体"/>
          <w:bCs/>
          <w:sz w:val="32"/>
        </w:rPr>
      </w:pPr>
    </w:p>
    <w:p>
      <w:pPr>
        <w:pStyle w:val="12"/>
        <w:rPr>
          <w:rFonts w:hAnsi="宋体"/>
          <w:bCs/>
          <w:sz w:val="32"/>
        </w:rPr>
      </w:pPr>
    </w:p>
    <w:p>
      <w:pPr>
        <w:pStyle w:val="12"/>
        <w:jc w:val="center"/>
        <w:rPr>
          <w:rFonts w:hAnsi="宋体"/>
          <w:b/>
          <w:sz w:val="32"/>
        </w:rPr>
      </w:pPr>
    </w:p>
    <w:p>
      <w:pPr>
        <w:pStyle w:val="12"/>
        <w:rPr>
          <w:rFonts w:hAnsi="宋体"/>
          <w:b/>
          <w:sz w:val="32"/>
        </w:rPr>
      </w:pPr>
    </w:p>
    <w:p>
      <w:pPr>
        <w:pStyle w:val="12"/>
        <w:jc w:val="center"/>
        <w:rPr>
          <w:rFonts w:hAnsi="宋体"/>
          <w:b/>
          <w:sz w:val="32"/>
        </w:rPr>
      </w:pPr>
      <w:r>
        <w:rPr>
          <w:rFonts w:hint="eastAsia" w:hAnsi="宋体"/>
          <w:b/>
          <w:sz w:val="32"/>
        </w:rPr>
        <w:t>（</w:t>
      </w:r>
      <w:r>
        <w:rPr>
          <w:rFonts w:hint="eastAsia" w:hAnsi="宋体"/>
          <w:b/>
          <w:sz w:val="32"/>
          <w:lang w:val="en-US" w:eastAsia="zh-CN"/>
        </w:rPr>
        <w:t>8</w:t>
      </w:r>
      <w:r>
        <w:rPr>
          <w:rFonts w:hint="eastAsia" w:hAnsi="宋体"/>
          <w:b/>
          <w:sz w:val="32"/>
        </w:rPr>
        <w:t>）竞标人资格证明文件</w:t>
      </w:r>
    </w:p>
    <w:p>
      <w:pPr>
        <w:pStyle w:val="12"/>
        <w:jc w:val="center"/>
        <w:rPr>
          <w:rFonts w:hAnsi="宋体"/>
          <w:sz w:val="24"/>
        </w:rPr>
      </w:pPr>
      <w:r>
        <w:rPr>
          <w:rFonts w:hint="eastAsia" w:hAnsi="宋体"/>
          <w:sz w:val="24"/>
        </w:rPr>
        <w:t>（按竞标人须知第12条和第13条要求提供</w:t>
      </w:r>
      <w:r>
        <w:rPr>
          <w:rFonts w:hint="eastAsia" w:hAnsi="宋体"/>
          <w:sz w:val="24"/>
          <w:lang w:eastAsia="zh-CN"/>
        </w:rPr>
        <w:t>，</w:t>
      </w:r>
      <w:r>
        <w:rPr>
          <w:rFonts w:hint="eastAsia"/>
          <w:b w:val="0"/>
          <w:bCs/>
          <w:sz w:val="24"/>
          <w:szCs w:val="24"/>
        </w:rPr>
        <w:t>联合体</w:t>
      </w:r>
      <w:r>
        <w:rPr>
          <w:rFonts w:hint="eastAsia"/>
          <w:b w:val="0"/>
          <w:bCs/>
          <w:sz w:val="24"/>
          <w:szCs w:val="24"/>
          <w:lang w:val="en-US" w:eastAsia="zh-CN"/>
        </w:rPr>
        <w:t>竞</w:t>
      </w:r>
      <w:r>
        <w:rPr>
          <w:rFonts w:hint="eastAsia"/>
          <w:b w:val="0"/>
          <w:bCs/>
          <w:sz w:val="24"/>
          <w:szCs w:val="24"/>
        </w:rPr>
        <w:t>标时双方均需提供</w:t>
      </w:r>
      <w:r>
        <w:rPr>
          <w:rFonts w:hint="eastAsia" w:hAnsi="宋体"/>
          <w:b w:val="0"/>
          <w:bCs/>
          <w:sz w:val="24"/>
        </w:rPr>
        <w:t>）</w:t>
      </w:r>
    </w:p>
    <w:p>
      <w:pPr>
        <w:pStyle w:val="12"/>
        <w:jc w:val="center"/>
        <w:rPr>
          <w:rFonts w:hAnsi="宋体"/>
          <w:sz w:val="24"/>
        </w:rPr>
      </w:pPr>
    </w:p>
    <w:p>
      <w:pPr>
        <w:spacing w:line="440" w:lineRule="atLeast"/>
        <w:rPr>
          <w:rFonts w:hAnsi="宋体"/>
          <w:b/>
          <w:sz w:val="32"/>
        </w:rPr>
      </w:pPr>
      <w:r>
        <w:rPr>
          <w:rFonts w:hint="eastAsia" w:hAnsi="宋体"/>
          <w:b/>
          <w:sz w:val="32"/>
        </w:rPr>
        <w:br w:type="page"/>
      </w:r>
    </w:p>
    <w:p>
      <w:pPr>
        <w:pStyle w:val="12"/>
        <w:jc w:val="center"/>
        <w:rPr>
          <w:rFonts w:hAnsi="宋体"/>
          <w:b/>
          <w:sz w:val="32"/>
        </w:rPr>
      </w:pPr>
      <w:r>
        <w:rPr>
          <w:rFonts w:hint="eastAsia" w:hAnsi="宋体"/>
          <w:b/>
          <w:sz w:val="32"/>
        </w:rPr>
        <w:t>法人授权委托书（格式）</w:t>
      </w:r>
    </w:p>
    <w:p>
      <w:pPr>
        <w:pStyle w:val="12"/>
        <w:spacing w:line="400" w:lineRule="exact"/>
        <w:rPr>
          <w:rFonts w:hAnsi="宋体"/>
        </w:rPr>
      </w:pPr>
    </w:p>
    <w:p>
      <w:pPr>
        <w:pStyle w:val="12"/>
        <w:spacing w:line="400" w:lineRule="exact"/>
        <w:jc w:val="left"/>
        <w:rPr>
          <w:rFonts w:hAnsi="宋体"/>
        </w:rPr>
      </w:pPr>
      <w:r>
        <w:rPr>
          <w:rFonts w:hint="eastAsia" w:hAnsi="宋体"/>
        </w:rPr>
        <w:t xml:space="preserve">    本授权委托书声明：我</w:t>
      </w:r>
      <w:r>
        <w:rPr>
          <w:rFonts w:hint="eastAsia" w:hAnsi="宋体"/>
          <w:u w:val="single"/>
        </w:rPr>
        <w:t xml:space="preserve">   （姓名）   </w:t>
      </w:r>
      <w:r>
        <w:rPr>
          <w:rFonts w:hint="eastAsia" w:hAnsi="宋体"/>
        </w:rPr>
        <w:t>系</w:t>
      </w:r>
      <w:r>
        <w:rPr>
          <w:rFonts w:hint="eastAsia" w:hAnsi="宋体"/>
          <w:u w:val="single"/>
        </w:rPr>
        <w:t xml:space="preserve">      （竞标人名称）     </w:t>
      </w:r>
      <w:r>
        <w:rPr>
          <w:rFonts w:hint="eastAsia" w:hAnsi="宋体"/>
        </w:rPr>
        <w:t>的法定代表人，现授权委托</w:t>
      </w:r>
      <w:r>
        <w:rPr>
          <w:rFonts w:hint="eastAsia" w:hAnsi="宋体"/>
          <w:u w:val="single"/>
        </w:rPr>
        <w:t xml:space="preserve">      （单位名称）      </w:t>
      </w:r>
      <w:r>
        <w:rPr>
          <w:rFonts w:hint="eastAsia" w:hAnsi="宋体"/>
        </w:rPr>
        <w:t>的</w:t>
      </w:r>
      <w:r>
        <w:rPr>
          <w:rFonts w:hint="eastAsia" w:hAnsi="宋体"/>
          <w:u w:val="single"/>
        </w:rPr>
        <w:t xml:space="preserve">   （姓名）   </w:t>
      </w:r>
      <w:r>
        <w:rPr>
          <w:rFonts w:hint="eastAsia" w:hAnsi="宋体"/>
        </w:rPr>
        <w:t>为我公司被授权人，以本公司的名义参加××××××公司组织实施的</w:t>
      </w:r>
      <w:r>
        <w:rPr>
          <w:rFonts w:hint="eastAsia" w:hAnsi="宋体"/>
          <w:u w:val="single"/>
        </w:rPr>
        <w:t xml:space="preserve">                （项目名称及项目编号）                 </w:t>
      </w:r>
      <w:r>
        <w:rPr>
          <w:rFonts w:hint="eastAsia" w:hAnsi="宋体"/>
        </w:rPr>
        <w:t>的磋商活动。被授权人在开标、评标、合同谈判过程中所签署的一切文件和处理与之有关的一切事务，我均予以承认。</w:t>
      </w:r>
    </w:p>
    <w:p>
      <w:pPr>
        <w:pStyle w:val="12"/>
        <w:spacing w:line="400" w:lineRule="exact"/>
        <w:jc w:val="left"/>
        <w:rPr>
          <w:rFonts w:hAnsi="宋体"/>
        </w:rPr>
      </w:pPr>
      <w:r>
        <w:rPr>
          <w:rFonts w:hint="eastAsia" w:hAnsi="宋体"/>
        </w:rPr>
        <w:t xml:space="preserve">    被授权人在授权委托书有效期内签署的所有文件不因授权委托的撤销而失效，除非有撤销授权委托的书面通知，本授权委托书自竞标开始至合同履行完毕止。</w:t>
      </w:r>
    </w:p>
    <w:p>
      <w:pPr>
        <w:pStyle w:val="12"/>
        <w:spacing w:line="400" w:lineRule="exact"/>
        <w:jc w:val="left"/>
        <w:rPr>
          <w:rFonts w:hAnsi="宋体"/>
        </w:rPr>
      </w:pPr>
      <w:r>
        <w:rPr>
          <w:rFonts w:hint="eastAsia" w:hAnsi="宋体"/>
        </w:rPr>
        <w:t xml:space="preserve">    被授权人无转让委托权，特此委托。</w:t>
      </w:r>
    </w:p>
    <w:p>
      <w:pPr>
        <w:pStyle w:val="12"/>
        <w:spacing w:line="400" w:lineRule="exact"/>
        <w:jc w:val="left"/>
        <w:rPr>
          <w:rFonts w:hAnsi="宋体"/>
        </w:rPr>
      </w:pPr>
    </w:p>
    <w:p>
      <w:pPr>
        <w:pStyle w:val="12"/>
        <w:spacing w:line="400" w:lineRule="exact"/>
        <w:jc w:val="left"/>
        <w:rPr>
          <w:rFonts w:hAnsi="宋体"/>
          <w:u w:val="single"/>
        </w:rPr>
      </w:pPr>
    </w:p>
    <w:p>
      <w:pPr>
        <w:pStyle w:val="12"/>
        <w:spacing w:line="400" w:lineRule="exact"/>
        <w:jc w:val="left"/>
        <w:rPr>
          <w:rFonts w:hAnsi="宋体"/>
        </w:rPr>
      </w:pPr>
    </w:p>
    <w:p>
      <w:pPr>
        <w:pStyle w:val="12"/>
        <w:spacing w:line="400" w:lineRule="exact"/>
        <w:jc w:val="left"/>
        <w:rPr>
          <w:rFonts w:hint="default" w:hAnsi="宋体" w:eastAsia="宋体"/>
          <w:lang w:val="en-US" w:eastAsia="zh-CN"/>
        </w:rPr>
      </w:pPr>
      <w:r>
        <w:rPr>
          <w:rFonts w:hint="eastAsia" w:hAnsi="宋体"/>
        </w:rPr>
        <w:t>附：法定代表人身份证</w:t>
      </w:r>
      <w:r>
        <w:rPr>
          <w:rFonts w:hint="eastAsia" w:hAnsi="宋体"/>
          <w:lang w:val="en-US" w:eastAsia="zh-CN"/>
        </w:rPr>
        <w:t>明及身份证复印件</w:t>
      </w:r>
      <w:r>
        <w:rPr>
          <w:rFonts w:hint="eastAsia" w:hAnsi="宋体"/>
        </w:rPr>
        <w:t>、委托代理人身份证复印件</w:t>
      </w:r>
      <w:r>
        <w:rPr>
          <w:rFonts w:hint="eastAsia" w:hAnsi="宋体"/>
          <w:lang w:eastAsia="zh-CN"/>
        </w:rPr>
        <w:t>，</w:t>
      </w:r>
      <w:r>
        <w:rPr>
          <w:rFonts w:hint="eastAsia" w:hAnsi="宋体"/>
          <w:lang w:val="en-US" w:eastAsia="zh-CN"/>
        </w:rPr>
        <w:t>以上复印件均需加盖单位公章。</w:t>
      </w:r>
    </w:p>
    <w:p>
      <w:pPr>
        <w:pStyle w:val="12"/>
        <w:spacing w:line="400" w:lineRule="exact"/>
        <w:jc w:val="left"/>
        <w:rPr>
          <w:rFonts w:hAnsi="宋体"/>
        </w:rPr>
      </w:pPr>
    </w:p>
    <w:p>
      <w:pPr>
        <w:spacing w:line="480" w:lineRule="auto"/>
        <w:ind w:left="1470"/>
        <w:rPr>
          <w:rFonts w:ascii="宋体" w:hAnsi="宋体"/>
        </w:rPr>
      </w:pPr>
    </w:p>
    <w:p>
      <w:pPr>
        <w:spacing w:line="480" w:lineRule="auto"/>
        <w:ind w:left="1470"/>
        <w:rPr>
          <w:rFonts w:hint="eastAsia" w:ascii="宋体" w:hAnsi="宋体"/>
          <w:u w:val="single"/>
        </w:rPr>
      </w:pPr>
      <w:r>
        <w:rPr>
          <w:rFonts w:ascii="宋体" w:hAnsi="宋体"/>
        </w:rPr>
        <w:t>代理人：</w:t>
      </w:r>
      <w:r>
        <w:rPr>
          <w:rFonts w:ascii="宋体" w:hAnsi="宋体"/>
          <w:u w:val="single"/>
        </w:rPr>
        <w:t xml:space="preserve">              </w:t>
      </w:r>
      <w:r>
        <w:rPr>
          <w:rFonts w:ascii="宋体" w:hAnsi="宋体"/>
        </w:rPr>
        <w:t>性别 ：</w:t>
      </w:r>
      <w:r>
        <w:rPr>
          <w:rFonts w:ascii="宋体" w:hAnsi="宋体"/>
          <w:u w:val="single"/>
        </w:rPr>
        <w:t xml:space="preserve">            </w:t>
      </w:r>
      <w:r>
        <w:rPr>
          <w:rFonts w:ascii="宋体" w:hAnsi="宋体"/>
        </w:rPr>
        <w:t>年龄：_______</w:t>
      </w:r>
    </w:p>
    <w:p>
      <w:pPr>
        <w:spacing w:line="480" w:lineRule="auto"/>
        <w:ind w:firstLine="1470" w:firstLineChars="700"/>
        <w:rPr>
          <w:rFonts w:hint="eastAsia" w:ascii="宋体" w:hAnsi="宋体"/>
          <w:u w:val="single"/>
        </w:rPr>
      </w:pPr>
      <w:r>
        <w:rPr>
          <w:rFonts w:ascii="宋体" w:hAnsi="宋体"/>
        </w:rPr>
        <w:t>身份证号码：</w:t>
      </w:r>
      <w:r>
        <w:rPr>
          <w:rFonts w:ascii="宋体" w:hAnsi="宋体"/>
          <w:u w:val="single"/>
        </w:rPr>
        <w:t xml:space="preserve">                    </w:t>
      </w:r>
    </w:p>
    <w:p>
      <w:pPr>
        <w:spacing w:line="480" w:lineRule="auto"/>
        <w:ind w:firstLine="1470" w:firstLineChars="700"/>
        <w:rPr>
          <w:rFonts w:hint="eastAsia" w:ascii="宋体" w:hAnsi="宋体"/>
          <w:u w:val="single"/>
        </w:rPr>
      </w:pPr>
      <w:r>
        <w:rPr>
          <w:rFonts w:hint="eastAsia" w:ascii="宋体" w:hAnsi="宋体"/>
          <w:lang w:val="en-US" w:eastAsia="zh-CN"/>
        </w:rPr>
        <w:t>竞标</w:t>
      </w:r>
      <w:r>
        <w:rPr>
          <w:rFonts w:ascii="宋体" w:hAnsi="宋体"/>
        </w:rPr>
        <w:t>人：</w:t>
      </w:r>
      <w:r>
        <w:rPr>
          <w:rFonts w:ascii="宋体" w:hAnsi="宋体"/>
          <w:u w:val="single"/>
        </w:rPr>
        <w:t xml:space="preserve">                              </w:t>
      </w:r>
      <w:r>
        <w:rPr>
          <w:rFonts w:hint="eastAsia" w:ascii="宋体" w:hAnsi="宋体"/>
          <w:u w:val="single"/>
        </w:rPr>
        <w:t xml:space="preserve"> </w:t>
      </w:r>
      <w:r>
        <w:rPr>
          <w:rFonts w:ascii="宋体" w:hAnsi="宋体"/>
          <w:u w:val="single"/>
        </w:rPr>
        <w:t xml:space="preserve">   （盖</w:t>
      </w:r>
      <w:r>
        <w:rPr>
          <w:rFonts w:hint="eastAsia" w:ascii="宋体" w:hAnsi="宋体"/>
          <w:u w:val="single"/>
        </w:rPr>
        <w:t>单位</w:t>
      </w:r>
      <w:r>
        <w:rPr>
          <w:rFonts w:ascii="宋体" w:hAnsi="宋体"/>
          <w:u w:val="single"/>
        </w:rPr>
        <w:t>章）</w:t>
      </w:r>
    </w:p>
    <w:p>
      <w:pPr>
        <w:spacing w:line="480" w:lineRule="auto"/>
        <w:ind w:firstLine="1470" w:firstLineChars="700"/>
        <w:rPr>
          <w:rFonts w:hint="eastAsia" w:ascii="宋体" w:hAnsi="宋体"/>
        </w:rPr>
      </w:pPr>
      <w:r>
        <w:rPr>
          <w:rFonts w:ascii="宋体" w:hAnsi="宋体"/>
        </w:rPr>
        <w:t>法定代表人：</w:t>
      </w:r>
      <w:r>
        <w:rPr>
          <w:rFonts w:ascii="宋体" w:hAnsi="宋体"/>
          <w:u w:val="single"/>
        </w:rPr>
        <w:t xml:space="preserve">                            （签字或盖章）</w:t>
      </w:r>
    </w:p>
    <w:p>
      <w:pPr>
        <w:spacing w:line="480" w:lineRule="auto"/>
        <w:ind w:left="2699"/>
        <w:rPr>
          <w:rFonts w:ascii="宋体" w:hAnsi="宋体"/>
        </w:rPr>
      </w:pPr>
      <w:r>
        <w:rPr>
          <w:rFonts w:ascii="宋体" w:hAnsi="宋体"/>
        </w:rPr>
        <w:t>授权委托日期：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pStyle w:val="12"/>
        <w:rPr>
          <w:rFonts w:hAnsi="宋体"/>
          <w:szCs w:val="21"/>
        </w:rPr>
      </w:pPr>
    </w:p>
    <w:p>
      <w:pPr>
        <w:pStyle w:val="12"/>
        <w:rPr>
          <w:rFonts w:hAnsi="宋体"/>
          <w:szCs w:val="21"/>
        </w:rPr>
      </w:pPr>
    </w:p>
    <w:p>
      <w:pPr>
        <w:pStyle w:val="12"/>
        <w:rPr>
          <w:rFonts w:hAnsi="宋体"/>
          <w:szCs w:val="21"/>
        </w:rPr>
      </w:pPr>
    </w:p>
    <w:p>
      <w:pPr>
        <w:pStyle w:val="12"/>
        <w:rPr>
          <w:rFonts w:hAnsi="宋体"/>
          <w:szCs w:val="21"/>
        </w:rPr>
      </w:pPr>
    </w:p>
    <w:p>
      <w:pPr>
        <w:pStyle w:val="12"/>
        <w:rPr>
          <w:rFonts w:hAnsi="宋体"/>
          <w:szCs w:val="21"/>
        </w:rPr>
      </w:pPr>
    </w:p>
    <w:p>
      <w:pPr>
        <w:pStyle w:val="12"/>
        <w:rPr>
          <w:rFonts w:hAnsi="宋体"/>
          <w:szCs w:val="21"/>
        </w:rPr>
      </w:pPr>
    </w:p>
    <w:p>
      <w:pPr>
        <w:pStyle w:val="12"/>
        <w:rPr>
          <w:rFonts w:hAnsi="宋体"/>
          <w:szCs w:val="21"/>
        </w:rPr>
      </w:pPr>
    </w:p>
    <w:p>
      <w:pPr>
        <w:pStyle w:val="12"/>
        <w:rPr>
          <w:rFonts w:hAnsi="宋体"/>
          <w:szCs w:val="21"/>
        </w:rPr>
      </w:pPr>
    </w:p>
    <w:p>
      <w:pPr>
        <w:pStyle w:val="12"/>
        <w:rPr>
          <w:rFonts w:hAnsi="宋体"/>
          <w:szCs w:val="21"/>
        </w:rPr>
      </w:pPr>
    </w:p>
    <w:p>
      <w:pPr>
        <w:pStyle w:val="12"/>
        <w:rPr>
          <w:rFonts w:hAnsi="宋体"/>
          <w:szCs w:val="21"/>
        </w:rPr>
      </w:pPr>
    </w:p>
    <w:p>
      <w:pPr>
        <w:pStyle w:val="12"/>
        <w:rPr>
          <w:rFonts w:hAnsi="宋体"/>
          <w:szCs w:val="21"/>
        </w:rPr>
      </w:pPr>
    </w:p>
    <w:p>
      <w:pPr>
        <w:pStyle w:val="12"/>
        <w:jc w:val="center"/>
        <w:rPr>
          <w:rFonts w:hAnsi="宋体"/>
          <w:b/>
          <w:sz w:val="32"/>
        </w:rPr>
      </w:pPr>
      <w:r>
        <w:rPr>
          <w:rFonts w:hint="eastAsia" w:hAnsi="宋体"/>
          <w:b/>
          <w:sz w:val="32"/>
        </w:rPr>
        <w:t>法人授权委托书（</w:t>
      </w:r>
      <w:r>
        <w:rPr>
          <w:rFonts w:hint="eastAsia"/>
          <w:b/>
          <w:sz w:val="28"/>
          <w:szCs w:val="28"/>
        </w:rPr>
        <w:t>联</w:t>
      </w:r>
      <w:r>
        <w:rPr>
          <w:rFonts w:hint="eastAsia"/>
          <w:b/>
          <w:sz w:val="32"/>
          <w:szCs w:val="32"/>
        </w:rPr>
        <w:t>合体</w:t>
      </w:r>
      <w:r>
        <w:rPr>
          <w:rFonts w:hint="eastAsia"/>
          <w:b/>
          <w:sz w:val="32"/>
          <w:szCs w:val="32"/>
          <w:lang w:val="en-US" w:eastAsia="zh-CN"/>
        </w:rPr>
        <w:t>竞</w:t>
      </w:r>
      <w:r>
        <w:rPr>
          <w:rFonts w:hint="eastAsia"/>
          <w:b/>
          <w:sz w:val="32"/>
          <w:szCs w:val="32"/>
        </w:rPr>
        <w:t>标</w:t>
      </w:r>
      <w:r>
        <w:rPr>
          <w:rFonts w:hint="eastAsia" w:hAnsi="宋体"/>
          <w:b/>
          <w:sz w:val="32"/>
        </w:rPr>
        <w:t>格式）</w:t>
      </w:r>
    </w:p>
    <w:p>
      <w:pPr>
        <w:pStyle w:val="12"/>
        <w:spacing w:line="400" w:lineRule="exact"/>
        <w:rPr>
          <w:rFonts w:hAnsi="宋体"/>
        </w:rPr>
      </w:pPr>
    </w:p>
    <w:p>
      <w:pPr>
        <w:pStyle w:val="12"/>
        <w:spacing w:line="400" w:lineRule="exact"/>
        <w:jc w:val="left"/>
        <w:rPr>
          <w:rFonts w:hAnsi="宋体"/>
        </w:rPr>
      </w:pPr>
      <w:r>
        <w:rPr>
          <w:rFonts w:hint="eastAsia" w:hAnsi="宋体"/>
        </w:rPr>
        <w:t xml:space="preserve">    本授权委托书声明：我</w:t>
      </w:r>
      <w:r>
        <w:rPr>
          <w:rFonts w:hint="eastAsia" w:hAnsi="宋体"/>
          <w:u w:val="single"/>
        </w:rPr>
        <w:t xml:space="preserve">   （姓名）   </w:t>
      </w:r>
      <w:r>
        <w:rPr>
          <w:rFonts w:hint="eastAsia" w:hAnsi="宋体"/>
        </w:rPr>
        <w:t>系</w:t>
      </w:r>
      <w:r>
        <w:rPr>
          <w:rFonts w:hint="eastAsia" w:hAnsi="宋体"/>
          <w:u w:val="single"/>
        </w:rPr>
        <w:t xml:space="preserve">      （竞标人名称）     </w:t>
      </w:r>
      <w:r>
        <w:rPr>
          <w:rFonts w:hint="eastAsia" w:hAnsi="宋体"/>
        </w:rPr>
        <w:t>的法定代表人，我</w:t>
      </w:r>
      <w:r>
        <w:rPr>
          <w:rFonts w:hint="eastAsia" w:hAnsi="宋体"/>
          <w:u w:val="single"/>
        </w:rPr>
        <w:t xml:space="preserve">   （姓名）   </w:t>
      </w:r>
      <w:r>
        <w:rPr>
          <w:rFonts w:hint="eastAsia" w:hAnsi="宋体"/>
        </w:rPr>
        <w:t>系</w:t>
      </w:r>
      <w:r>
        <w:rPr>
          <w:rFonts w:hint="eastAsia" w:hAnsi="宋体"/>
          <w:u w:val="single"/>
        </w:rPr>
        <w:t xml:space="preserve">      （竞标人名称）     </w:t>
      </w:r>
      <w:r>
        <w:rPr>
          <w:rFonts w:hint="eastAsia" w:hAnsi="宋体"/>
        </w:rPr>
        <w:t>的法定代表人</w:t>
      </w:r>
      <w:r>
        <w:rPr>
          <w:rFonts w:hint="eastAsia" w:hAnsi="宋体"/>
          <w:lang w:eastAsia="zh-CN"/>
        </w:rPr>
        <w:t>，</w:t>
      </w:r>
      <w:r>
        <w:rPr>
          <w:rFonts w:hint="eastAsia" w:hAnsi="宋体"/>
        </w:rPr>
        <w:t>现</w:t>
      </w:r>
      <w:r>
        <w:rPr>
          <w:rFonts w:hint="eastAsia" w:hAnsi="宋体"/>
          <w:lang w:val="en-US" w:eastAsia="zh-CN"/>
        </w:rPr>
        <w:t>共同</w:t>
      </w:r>
      <w:r>
        <w:rPr>
          <w:rFonts w:hint="eastAsia" w:hAnsi="宋体"/>
        </w:rPr>
        <w:t>授权委托</w:t>
      </w:r>
      <w:r>
        <w:rPr>
          <w:rFonts w:hint="eastAsia" w:hAnsi="宋体"/>
          <w:u w:val="single"/>
        </w:rPr>
        <w:t xml:space="preserve">      （单位名称）      </w:t>
      </w:r>
      <w:r>
        <w:rPr>
          <w:rFonts w:hint="eastAsia" w:hAnsi="宋体"/>
        </w:rPr>
        <w:t>的</w:t>
      </w:r>
      <w:r>
        <w:rPr>
          <w:rFonts w:hint="eastAsia" w:hAnsi="宋体"/>
          <w:u w:val="single"/>
        </w:rPr>
        <w:t xml:space="preserve">   （姓名）   </w:t>
      </w:r>
      <w:r>
        <w:rPr>
          <w:rFonts w:hint="eastAsia" w:hAnsi="宋体"/>
        </w:rPr>
        <w:t>为我</w:t>
      </w:r>
      <w:r>
        <w:rPr>
          <w:rFonts w:hint="eastAsia" w:hAnsi="宋体"/>
          <w:lang w:val="en-US" w:eastAsia="zh-CN"/>
        </w:rPr>
        <w:t>联合体</w:t>
      </w:r>
      <w:r>
        <w:rPr>
          <w:rFonts w:hint="eastAsia" w:hAnsi="宋体"/>
        </w:rPr>
        <w:t>被授权人，以本</w:t>
      </w:r>
      <w:r>
        <w:rPr>
          <w:rFonts w:hint="eastAsia" w:hAnsi="宋体"/>
          <w:lang w:val="en-US" w:eastAsia="zh-CN"/>
        </w:rPr>
        <w:t>联合体</w:t>
      </w:r>
      <w:r>
        <w:rPr>
          <w:rFonts w:hint="eastAsia" w:hAnsi="宋体"/>
        </w:rPr>
        <w:t>的名义参加××××××公司组织实施的</w:t>
      </w:r>
      <w:r>
        <w:rPr>
          <w:rFonts w:hint="eastAsia" w:hAnsi="宋体"/>
          <w:u w:val="single"/>
        </w:rPr>
        <w:t xml:space="preserve">                （项目名称及项目编号）                 </w:t>
      </w:r>
      <w:r>
        <w:rPr>
          <w:rFonts w:hint="eastAsia" w:hAnsi="宋体"/>
        </w:rPr>
        <w:t>的磋商活动。被授权人在开标、评标、合同谈判过程中所签署的一切文件和处理与之有关的一切事务，我</w:t>
      </w:r>
      <w:r>
        <w:rPr>
          <w:rFonts w:hint="eastAsia" w:hAnsi="宋体"/>
          <w:lang w:val="en-US" w:eastAsia="zh-CN"/>
        </w:rPr>
        <w:t>联合体均</w:t>
      </w:r>
      <w:r>
        <w:rPr>
          <w:rFonts w:hint="eastAsia" w:hAnsi="宋体"/>
        </w:rPr>
        <w:t>予以承认。</w:t>
      </w:r>
    </w:p>
    <w:p>
      <w:pPr>
        <w:pStyle w:val="12"/>
        <w:spacing w:line="400" w:lineRule="exact"/>
        <w:jc w:val="left"/>
        <w:rPr>
          <w:rFonts w:hAnsi="宋体"/>
        </w:rPr>
      </w:pPr>
      <w:r>
        <w:rPr>
          <w:rFonts w:hint="eastAsia" w:hAnsi="宋体"/>
        </w:rPr>
        <w:t xml:space="preserve">    被授权人在授权委托书有效期内签署的所有文件不因授权委托的撤销而失效，除非有撤销授权委托的书面通知，本授权委托书自竞标开始至合同履行完毕止。</w:t>
      </w:r>
    </w:p>
    <w:p>
      <w:pPr>
        <w:pStyle w:val="12"/>
        <w:spacing w:line="400" w:lineRule="exact"/>
        <w:jc w:val="left"/>
        <w:rPr>
          <w:rFonts w:hAnsi="宋体"/>
        </w:rPr>
      </w:pPr>
      <w:r>
        <w:rPr>
          <w:rFonts w:hint="eastAsia" w:hAnsi="宋体"/>
        </w:rPr>
        <w:t xml:space="preserve">    被授权人无转让委托权，特此委托。</w:t>
      </w:r>
    </w:p>
    <w:p>
      <w:pPr>
        <w:pStyle w:val="12"/>
        <w:spacing w:line="400" w:lineRule="exact"/>
        <w:jc w:val="left"/>
        <w:rPr>
          <w:rFonts w:hAnsi="宋体"/>
        </w:rPr>
      </w:pPr>
    </w:p>
    <w:p>
      <w:pPr>
        <w:pStyle w:val="12"/>
        <w:spacing w:line="400" w:lineRule="exact"/>
        <w:jc w:val="left"/>
        <w:rPr>
          <w:rFonts w:hAnsi="宋体"/>
        </w:rPr>
      </w:pPr>
    </w:p>
    <w:p>
      <w:pPr>
        <w:pStyle w:val="12"/>
        <w:spacing w:line="400" w:lineRule="exact"/>
        <w:jc w:val="left"/>
        <w:rPr>
          <w:rFonts w:hAnsi="宋体"/>
        </w:rPr>
      </w:pPr>
      <w:r>
        <w:rPr>
          <w:rFonts w:hint="eastAsia" w:hAnsi="宋体"/>
        </w:rPr>
        <w:t>附：</w:t>
      </w:r>
      <w:r>
        <w:rPr>
          <w:rFonts w:hint="eastAsia" w:ascii="宋体" w:hAnsi="宋体"/>
        </w:rPr>
        <w:t>联合体</w:t>
      </w:r>
      <w:r>
        <w:rPr>
          <w:rFonts w:hint="eastAsia" w:ascii="宋体" w:hAnsi="宋体"/>
          <w:lang w:val="en-US" w:eastAsia="zh-CN"/>
        </w:rPr>
        <w:t>竞</w:t>
      </w:r>
      <w:r>
        <w:rPr>
          <w:rFonts w:hint="eastAsia" w:ascii="宋体" w:hAnsi="宋体"/>
        </w:rPr>
        <w:t>标的由联合体中双方共同签署授权委托书；联合体各方均须附其</w:t>
      </w:r>
      <w:r>
        <w:rPr>
          <w:rFonts w:ascii="宋体" w:hAnsi="宋体"/>
        </w:rPr>
        <w:t>法定代表人身份证明</w:t>
      </w:r>
      <w:r>
        <w:rPr>
          <w:rFonts w:hint="eastAsia" w:ascii="宋体" w:hAnsi="宋体"/>
        </w:rPr>
        <w:t>及</w:t>
      </w:r>
      <w:r>
        <w:rPr>
          <w:rFonts w:ascii="宋体" w:hAnsi="宋体"/>
        </w:rPr>
        <w:t>身份证复印件</w:t>
      </w:r>
      <w:r>
        <w:rPr>
          <w:rFonts w:hint="eastAsia" w:ascii="宋体" w:hAnsi="宋体"/>
          <w:lang w:eastAsia="zh-CN"/>
        </w:rPr>
        <w:t>、</w:t>
      </w:r>
      <w:r>
        <w:rPr>
          <w:rFonts w:hint="eastAsia" w:hAnsi="宋体"/>
        </w:rPr>
        <w:t>委托代理人身份证复印件</w:t>
      </w:r>
      <w:r>
        <w:rPr>
          <w:rFonts w:hint="eastAsia" w:hAnsi="宋体"/>
          <w:lang w:eastAsia="zh-CN"/>
        </w:rPr>
        <w:t>，</w:t>
      </w:r>
      <w:r>
        <w:rPr>
          <w:rFonts w:ascii="宋体" w:hAnsi="宋体"/>
        </w:rPr>
        <w:t>以</w:t>
      </w:r>
      <w:r>
        <w:rPr>
          <w:rFonts w:hint="eastAsia" w:ascii="宋体" w:hAnsi="宋体"/>
        </w:rPr>
        <w:t>上</w:t>
      </w:r>
      <w:r>
        <w:rPr>
          <w:rFonts w:ascii="宋体" w:hAnsi="宋体"/>
        </w:rPr>
        <w:t>复印件均须加盖</w:t>
      </w:r>
      <w:r>
        <w:rPr>
          <w:rFonts w:hint="eastAsia" w:ascii="宋体" w:hAnsi="宋体"/>
        </w:rPr>
        <w:t>联合体的各方</w:t>
      </w:r>
      <w:r>
        <w:rPr>
          <w:rFonts w:ascii="宋体" w:hAnsi="宋体"/>
        </w:rPr>
        <w:t>单位公章</w:t>
      </w:r>
      <w:r>
        <w:rPr>
          <w:rFonts w:hint="eastAsia" w:ascii="宋体" w:hAnsi="宋体"/>
        </w:rPr>
        <w:t>。</w:t>
      </w:r>
    </w:p>
    <w:p>
      <w:pPr>
        <w:pStyle w:val="12"/>
        <w:spacing w:line="400" w:lineRule="exact"/>
        <w:jc w:val="left"/>
        <w:rPr>
          <w:rFonts w:hAnsi="宋体"/>
        </w:rPr>
      </w:pPr>
    </w:p>
    <w:p>
      <w:pPr>
        <w:pStyle w:val="12"/>
        <w:rPr>
          <w:rFonts w:hAnsi="宋体"/>
          <w:szCs w:val="21"/>
        </w:rPr>
      </w:pPr>
    </w:p>
    <w:p>
      <w:pPr>
        <w:spacing w:line="480" w:lineRule="auto"/>
        <w:ind w:left="1470"/>
        <w:rPr>
          <w:rFonts w:hint="eastAsia" w:ascii="宋体" w:hAnsi="宋体"/>
          <w:u w:val="single"/>
        </w:rPr>
      </w:pPr>
      <w:r>
        <w:rPr>
          <w:rFonts w:ascii="宋体" w:hAnsi="宋体"/>
        </w:rPr>
        <w:t>代理人：</w:t>
      </w:r>
      <w:r>
        <w:rPr>
          <w:rFonts w:ascii="宋体" w:hAnsi="宋体"/>
          <w:u w:val="single"/>
        </w:rPr>
        <w:t xml:space="preserve">              </w:t>
      </w:r>
      <w:r>
        <w:rPr>
          <w:rFonts w:ascii="宋体" w:hAnsi="宋体"/>
        </w:rPr>
        <w:t>性别 ：</w:t>
      </w:r>
      <w:r>
        <w:rPr>
          <w:rFonts w:ascii="宋体" w:hAnsi="宋体"/>
          <w:u w:val="single"/>
        </w:rPr>
        <w:t xml:space="preserve">            </w:t>
      </w:r>
      <w:r>
        <w:rPr>
          <w:rFonts w:ascii="宋体" w:hAnsi="宋体"/>
        </w:rPr>
        <w:t>年龄：_______</w:t>
      </w:r>
    </w:p>
    <w:p>
      <w:pPr>
        <w:spacing w:line="480" w:lineRule="auto"/>
        <w:ind w:firstLine="1470" w:firstLineChars="700"/>
        <w:rPr>
          <w:rFonts w:hint="eastAsia" w:ascii="宋体" w:hAnsi="宋体"/>
          <w:u w:val="single"/>
        </w:rPr>
      </w:pPr>
      <w:r>
        <w:rPr>
          <w:rFonts w:ascii="宋体" w:hAnsi="宋体"/>
        </w:rPr>
        <w:t>身份证号码：</w:t>
      </w:r>
      <w:r>
        <w:rPr>
          <w:rFonts w:ascii="宋体" w:hAnsi="宋体"/>
          <w:u w:val="single"/>
        </w:rPr>
        <w:t xml:space="preserve">                    </w:t>
      </w:r>
    </w:p>
    <w:p>
      <w:pPr>
        <w:spacing w:line="480" w:lineRule="auto"/>
        <w:ind w:firstLine="1470" w:firstLineChars="700"/>
        <w:rPr>
          <w:rFonts w:hint="eastAsia" w:ascii="宋体" w:hAnsi="宋体"/>
          <w:u w:val="single"/>
        </w:rPr>
      </w:pPr>
      <w:r>
        <w:rPr>
          <w:rFonts w:hint="eastAsia" w:ascii="宋体" w:hAnsi="宋体"/>
          <w:lang w:val="en-US" w:eastAsia="zh-CN"/>
        </w:rPr>
        <w:t>竞标</w:t>
      </w:r>
      <w:r>
        <w:rPr>
          <w:rFonts w:ascii="宋体" w:hAnsi="宋体"/>
        </w:rPr>
        <w:t>人</w:t>
      </w:r>
      <w:r>
        <w:rPr>
          <w:rFonts w:hint="eastAsia" w:ascii="宋体" w:hAnsi="宋体"/>
        </w:rPr>
        <w:t>（牵头人）</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（盖</w:t>
      </w:r>
      <w:r>
        <w:rPr>
          <w:rFonts w:hint="eastAsia" w:ascii="宋体" w:hAnsi="宋体"/>
          <w:u w:val="single"/>
        </w:rPr>
        <w:t>单位</w:t>
      </w:r>
      <w:r>
        <w:rPr>
          <w:rFonts w:ascii="宋体" w:hAnsi="宋体"/>
          <w:u w:val="single"/>
        </w:rPr>
        <w:t>章）</w:t>
      </w:r>
    </w:p>
    <w:p>
      <w:pPr>
        <w:spacing w:line="480" w:lineRule="auto"/>
        <w:ind w:firstLine="1470" w:firstLineChars="700"/>
        <w:rPr>
          <w:rFonts w:hint="eastAsia" w:ascii="宋体" w:hAnsi="宋体"/>
          <w:u w:val="single"/>
        </w:rPr>
      </w:pPr>
      <w:r>
        <w:rPr>
          <w:rFonts w:ascii="宋体" w:hAnsi="宋体"/>
        </w:rPr>
        <w:t>法定代表人</w:t>
      </w:r>
      <w:r>
        <w:rPr>
          <w:rFonts w:hint="eastAsia" w:ascii="宋体" w:hAnsi="宋体"/>
        </w:rPr>
        <w:t>（牵头人）</w:t>
      </w:r>
      <w:r>
        <w:rPr>
          <w:rFonts w:ascii="宋体" w:hAnsi="宋体"/>
        </w:rPr>
        <w:t>：</w:t>
      </w:r>
      <w:r>
        <w:rPr>
          <w:rFonts w:ascii="宋体" w:hAnsi="宋体"/>
          <w:u w:val="single"/>
        </w:rPr>
        <w:t xml:space="preserve">                            （签字或盖章）</w:t>
      </w:r>
    </w:p>
    <w:p>
      <w:pPr>
        <w:spacing w:line="480" w:lineRule="auto"/>
        <w:ind w:firstLine="1470" w:firstLineChars="700"/>
        <w:rPr>
          <w:rFonts w:ascii="宋体" w:hAnsi="宋体"/>
        </w:rPr>
      </w:pPr>
      <w:r>
        <w:rPr>
          <w:rFonts w:hint="eastAsia" w:ascii="宋体" w:hAnsi="宋体"/>
          <w:lang w:val="en-US" w:eastAsia="zh-CN"/>
        </w:rPr>
        <w:t>竞标</w:t>
      </w:r>
      <w:r>
        <w:rPr>
          <w:rFonts w:ascii="宋体" w:hAnsi="宋体"/>
        </w:rPr>
        <w:t>人</w:t>
      </w:r>
      <w:r>
        <w:rPr>
          <w:rFonts w:hint="eastAsia" w:ascii="宋体" w:hAnsi="宋体"/>
        </w:rPr>
        <w:t>（联合体成员）</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（盖</w:t>
      </w:r>
      <w:r>
        <w:rPr>
          <w:rFonts w:hint="eastAsia" w:ascii="宋体" w:hAnsi="宋体"/>
          <w:u w:val="single"/>
        </w:rPr>
        <w:t>单位</w:t>
      </w:r>
      <w:r>
        <w:rPr>
          <w:rFonts w:ascii="宋体" w:hAnsi="宋体"/>
          <w:u w:val="single"/>
        </w:rPr>
        <w:t>章）</w:t>
      </w:r>
    </w:p>
    <w:p>
      <w:pPr>
        <w:spacing w:line="480" w:lineRule="auto"/>
        <w:ind w:firstLine="1470" w:firstLineChars="700"/>
        <w:rPr>
          <w:rFonts w:hint="eastAsia" w:ascii="宋体" w:hAnsi="宋体"/>
          <w:u w:val="single"/>
        </w:rPr>
      </w:pPr>
      <w:r>
        <w:rPr>
          <w:rFonts w:ascii="宋体" w:hAnsi="宋体"/>
        </w:rPr>
        <w:t>法定代表人</w:t>
      </w:r>
      <w:r>
        <w:rPr>
          <w:rFonts w:hint="eastAsia" w:ascii="宋体" w:hAnsi="宋体"/>
        </w:rPr>
        <w:t>（联合体成员）</w:t>
      </w:r>
      <w:r>
        <w:rPr>
          <w:rFonts w:ascii="宋体" w:hAnsi="宋体"/>
        </w:rPr>
        <w:t>：</w:t>
      </w:r>
      <w:r>
        <w:rPr>
          <w:rFonts w:ascii="宋体" w:hAnsi="宋体"/>
          <w:u w:val="single"/>
        </w:rPr>
        <w:t xml:space="preserve">                           （签字或盖章）</w:t>
      </w:r>
    </w:p>
    <w:p>
      <w:pPr>
        <w:spacing w:line="480" w:lineRule="auto"/>
        <w:ind w:firstLine="1470" w:firstLineChars="700"/>
        <w:rPr>
          <w:rFonts w:ascii="宋体" w:hAnsi="宋体"/>
        </w:rPr>
      </w:pPr>
      <w:r>
        <w:rPr>
          <w:rFonts w:ascii="宋体" w:hAnsi="宋体"/>
        </w:rPr>
        <w:t>授权委托日期：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pStyle w:val="12"/>
        <w:rPr>
          <w:rFonts w:hint="eastAsia" w:hAnsi="宋体"/>
          <w:sz w:val="28"/>
          <w:szCs w:val="28"/>
        </w:rPr>
      </w:pPr>
    </w:p>
    <w:p>
      <w:pPr>
        <w:pStyle w:val="12"/>
        <w:rPr>
          <w:rFonts w:hint="eastAsia" w:hAnsi="宋体"/>
          <w:sz w:val="28"/>
          <w:szCs w:val="28"/>
        </w:rPr>
      </w:pPr>
    </w:p>
    <w:p>
      <w:pPr>
        <w:pStyle w:val="12"/>
        <w:rPr>
          <w:rFonts w:hint="eastAsia" w:hAnsi="宋体"/>
          <w:sz w:val="28"/>
          <w:szCs w:val="28"/>
        </w:rPr>
      </w:pPr>
    </w:p>
    <w:p>
      <w:pPr>
        <w:pStyle w:val="12"/>
        <w:rPr>
          <w:rFonts w:hint="eastAsia" w:hAnsi="宋体"/>
          <w:sz w:val="28"/>
          <w:szCs w:val="28"/>
        </w:rPr>
      </w:pPr>
    </w:p>
    <w:p>
      <w:pPr>
        <w:pStyle w:val="12"/>
        <w:rPr>
          <w:rFonts w:hAnsi="宋体"/>
          <w:sz w:val="28"/>
          <w:szCs w:val="28"/>
        </w:rPr>
      </w:pPr>
      <w:r>
        <w:rPr>
          <w:rFonts w:hint="eastAsia" w:hAnsi="宋体"/>
          <w:sz w:val="28"/>
          <w:szCs w:val="28"/>
        </w:rPr>
        <w:t>附表：</w:t>
      </w:r>
    </w:p>
    <w:p>
      <w:pPr>
        <w:pStyle w:val="6"/>
        <w:spacing w:before="0" w:beforeAutospacing="0" w:after="0" w:afterAutospacing="0"/>
        <w:jc w:val="center"/>
        <w:rPr>
          <w:sz w:val="28"/>
          <w:szCs w:val="28"/>
        </w:rPr>
      </w:pPr>
      <w:bookmarkStart w:id="359" w:name="_Toc233189735"/>
      <w:bookmarkStart w:id="360" w:name="_Toc231786348"/>
      <w:bookmarkStart w:id="361" w:name="_Toc489352173"/>
      <w:r>
        <w:rPr>
          <w:rFonts w:hint="eastAsia"/>
          <w:sz w:val="28"/>
          <w:szCs w:val="28"/>
        </w:rPr>
        <w:t>法定代表人</w:t>
      </w:r>
      <w:bookmarkEnd w:id="359"/>
      <w:bookmarkEnd w:id="360"/>
      <w:r>
        <w:rPr>
          <w:rFonts w:hint="eastAsia"/>
          <w:sz w:val="28"/>
          <w:szCs w:val="28"/>
        </w:rPr>
        <w:t>资格证明</w:t>
      </w:r>
      <w:bookmarkEnd w:id="361"/>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竞标人名称：</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单位性质：</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（竞标人名称）的法定代表人。</w:t>
      </w:r>
    </w:p>
    <w:p>
      <w:pPr>
        <w:spacing w:line="36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0" w:firstLineChars="2000"/>
        <w:rPr>
          <w:rFonts w:ascii="宋体" w:hAnsi="宋体"/>
          <w:szCs w:val="21"/>
        </w:rPr>
      </w:pPr>
      <w:r>
        <w:rPr>
          <w:rFonts w:hint="eastAsia" w:ascii="宋体" w:hAnsi="宋体"/>
          <w:szCs w:val="21"/>
        </w:rPr>
        <w:t>竞标人：</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u w:val="single"/>
        </w:rPr>
      </w:pPr>
    </w:p>
    <w:p>
      <w:pPr>
        <w:spacing w:line="360" w:lineRule="auto"/>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autoSpaceDE w:val="0"/>
        <w:autoSpaceDN w:val="0"/>
        <w:adjustRightInd w:val="0"/>
        <w:spacing w:line="480" w:lineRule="exact"/>
        <w:jc w:val="left"/>
        <w:rPr>
          <w:rFonts w:ascii="宋体" w:hAnsi="宋体"/>
          <w:kern w:val="0"/>
        </w:rPr>
      </w:pPr>
      <w:r>
        <w:rPr>
          <w:rFonts w:hint="eastAsia" w:ascii="宋体" w:hAnsi="宋体"/>
          <w:kern w:val="0"/>
        </w:rPr>
        <w:t>备注：</w:t>
      </w:r>
    </w:p>
    <w:p>
      <w:pPr>
        <w:autoSpaceDE w:val="0"/>
        <w:autoSpaceDN w:val="0"/>
        <w:adjustRightInd w:val="0"/>
        <w:spacing w:line="480" w:lineRule="exact"/>
        <w:jc w:val="left"/>
        <w:rPr>
          <w:rFonts w:hAnsi="宋体"/>
          <w:szCs w:val="21"/>
        </w:rPr>
      </w:pPr>
      <w:r>
        <w:rPr>
          <w:rFonts w:hint="eastAsia" w:ascii="宋体" w:hAnsi="宋体" w:cs="宋体"/>
          <w:kern w:val="0"/>
        </w:rPr>
        <w:t xml:space="preserve">① </w:t>
      </w:r>
      <w:r>
        <w:rPr>
          <w:rFonts w:hint="eastAsia" w:ascii="宋体" w:hAnsi="宋体" w:cs="宋体"/>
        </w:rPr>
        <w:t xml:space="preserve"> </w:t>
      </w:r>
      <w:r>
        <w:rPr>
          <w:rFonts w:hint="eastAsia" w:ascii="宋体" w:hAnsi="宋体"/>
        </w:rPr>
        <w:t>如法人亲自参加开标会的，必须提供本资格证明原件、</w:t>
      </w:r>
      <w:r>
        <w:rPr>
          <w:rFonts w:hint="eastAsia" w:ascii="宋体" w:hAnsi="宋体" w:cs="宋体"/>
          <w:szCs w:val="21"/>
        </w:rPr>
        <w:t>《营业执照副本》复印件或《事业单位法人证书副本》复印件</w:t>
      </w:r>
      <w:r>
        <w:rPr>
          <w:rFonts w:hint="eastAsia" w:ascii="宋体" w:hAnsi="宋体"/>
        </w:rPr>
        <w:t>、法定代表人身份证复印件。</w:t>
      </w:r>
    </w:p>
    <w:p>
      <w:pPr>
        <w:pStyle w:val="12"/>
        <w:spacing w:line="360" w:lineRule="exact"/>
        <w:outlineLvl w:val="0"/>
      </w:pPr>
    </w:p>
    <w:p>
      <w:pPr>
        <w:pStyle w:val="12"/>
        <w:spacing w:line="360" w:lineRule="exact"/>
        <w:outlineLvl w:val="0"/>
      </w:pPr>
    </w:p>
    <w:p>
      <w:pPr>
        <w:pStyle w:val="12"/>
        <w:spacing w:line="360" w:lineRule="exact"/>
        <w:outlineLvl w:val="0"/>
      </w:pPr>
    </w:p>
    <w:p>
      <w:pPr>
        <w:pStyle w:val="12"/>
        <w:spacing w:line="360" w:lineRule="exact"/>
        <w:outlineLvl w:val="0"/>
      </w:pPr>
    </w:p>
    <w:p>
      <w:pPr>
        <w:pStyle w:val="12"/>
        <w:spacing w:line="360" w:lineRule="exact"/>
        <w:outlineLvl w:val="0"/>
      </w:pPr>
    </w:p>
    <w:p>
      <w:pPr>
        <w:pStyle w:val="12"/>
        <w:spacing w:line="360" w:lineRule="exact"/>
        <w:outlineLvl w:val="0"/>
      </w:pPr>
    </w:p>
    <w:p>
      <w:pPr>
        <w:pStyle w:val="12"/>
        <w:spacing w:line="360" w:lineRule="exact"/>
        <w:outlineLvl w:val="0"/>
      </w:pPr>
    </w:p>
    <w:p>
      <w:pPr>
        <w:pStyle w:val="12"/>
        <w:spacing w:line="360" w:lineRule="exact"/>
        <w:jc w:val="center"/>
        <w:outlineLvl w:val="0"/>
      </w:pPr>
      <w:r>
        <w:rPr>
          <w:rFonts w:hint="eastAsia" w:hAnsi="宋体"/>
          <w:b/>
          <w:sz w:val="30"/>
          <w:szCs w:val="30"/>
        </w:rPr>
        <w:t>（</w:t>
      </w:r>
      <w:r>
        <w:rPr>
          <w:rFonts w:hint="eastAsia" w:hAnsi="宋体"/>
          <w:b/>
          <w:sz w:val="30"/>
          <w:szCs w:val="30"/>
          <w:lang w:val="en-US" w:eastAsia="zh-CN"/>
        </w:rPr>
        <w:t>9</w:t>
      </w:r>
      <w:r>
        <w:rPr>
          <w:rFonts w:hint="eastAsia" w:hAnsi="宋体"/>
          <w:b/>
          <w:sz w:val="30"/>
          <w:szCs w:val="30"/>
        </w:rPr>
        <w:t>）竞标人认为需要提供的其他资料；（如有）</w:t>
      </w:r>
    </w:p>
    <w:p>
      <w:pPr>
        <w:pStyle w:val="13"/>
      </w:pPr>
    </w:p>
    <w:p>
      <w:pPr>
        <w:jc w:val="center"/>
        <w:rPr>
          <w:rFonts w:ascii="宋体" w:hAnsi="宋体" w:cs="宋体"/>
          <w:b/>
          <w:spacing w:val="6"/>
          <w:sz w:val="32"/>
          <w:szCs w:val="32"/>
        </w:rPr>
      </w:pPr>
      <w:r>
        <w:rPr>
          <w:rFonts w:hint="eastAsia" w:ascii="宋体" w:hAnsi="宋体" w:cs="宋体"/>
          <w:sz w:val="30"/>
        </w:rPr>
        <w:t>中小企业声明函（格式）</w:t>
      </w:r>
    </w:p>
    <w:p>
      <w:pPr>
        <w:spacing w:line="588" w:lineRule="exact"/>
        <w:rPr>
          <w:rFonts w:ascii="宋体" w:hAnsi="宋体" w:cs="宋体"/>
          <w:b/>
          <w:spacing w:val="6"/>
          <w:sz w:val="30"/>
          <w:szCs w:val="30"/>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本公司郑重声明，根据《政府采购促进中小企业发展暂行办法》（财库[2011]181号）的规定，本公司为</w:t>
      </w:r>
      <w:r>
        <w:rPr>
          <w:rFonts w:hint="eastAsia" w:ascii="宋体" w:hAnsi="宋体" w:cs="宋体"/>
          <w:spacing w:val="6"/>
          <w:szCs w:val="21"/>
          <w:u w:val="single"/>
        </w:rPr>
        <w:t xml:space="preserve">       </w:t>
      </w:r>
      <w:r>
        <w:rPr>
          <w:rFonts w:hint="eastAsia" w:ascii="宋体" w:hAnsi="宋体" w:cs="宋体"/>
          <w:spacing w:val="6"/>
          <w:szCs w:val="21"/>
        </w:rPr>
        <w:t>（请填写：中型、小型、微型）企业。即，本公司同时满足以下条件：</w:t>
      </w:r>
    </w:p>
    <w:p>
      <w:pPr>
        <w:spacing w:line="588" w:lineRule="exact"/>
        <w:ind w:firstLine="444" w:firstLineChars="200"/>
        <w:rPr>
          <w:rFonts w:ascii="宋体" w:hAnsi="宋体" w:cs="宋体"/>
          <w:spacing w:val="6"/>
          <w:szCs w:val="21"/>
        </w:rPr>
      </w:pPr>
      <w:r>
        <w:rPr>
          <w:rFonts w:hint="eastAsia" w:ascii="宋体" w:hAnsi="宋体" w:cs="宋体"/>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spacing w:val="6"/>
          <w:szCs w:val="21"/>
          <w:u w:val="single"/>
        </w:rPr>
        <w:t xml:space="preserve">        </w:t>
      </w:r>
      <w:r>
        <w:rPr>
          <w:rFonts w:hint="eastAsia" w:ascii="宋体" w:hAnsi="宋体" w:cs="宋体"/>
          <w:spacing w:val="6"/>
          <w:szCs w:val="21"/>
        </w:rPr>
        <w:t>（请填写：中型、小型、微型）企业。</w:t>
      </w:r>
    </w:p>
    <w:p>
      <w:pPr>
        <w:spacing w:line="588" w:lineRule="exact"/>
        <w:ind w:firstLine="444" w:firstLineChars="200"/>
        <w:rPr>
          <w:rFonts w:ascii="宋体" w:hAnsi="宋体" w:cs="宋体"/>
          <w:spacing w:val="6"/>
          <w:szCs w:val="21"/>
        </w:rPr>
      </w:pPr>
      <w:r>
        <w:rPr>
          <w:rFonts w:hint="eastAsia" w:ascii="宋体" w:hAnsi="宋体" w:cs="宋体"/>
          <w:spacing w:val="6"/>
          <w:szCs w:val="21"/>
        </w:rPr>
        <w:t>2.本公司参加</w:t>
      </w:r>
      <w:r>
        <w:rPr>
          <w:rFonts w:hint="eastAsia" w:ascii="宋体" w:hAnsi="宋体" w:cs="宋体"/>
          <w:spacing w:val="6"/>
          <w:szCs w:val="21"/>
          <w:u w:val="single"/>
        </w:rPr>
        <w:t xml:space="preserve">              </w:t>
      </w:r>
      <w:r>
        <w:rPr>
          <w:rFonts w:hint="eastAsia" w:ascii="宋体" w:hAnsi="宋体" w:cs="宋体"/>
          <w:spacing w:val="6"/>
          <w:szCs w:val="21"/>
        </w:rPr>
        <w:t>单位的</w:t>
      </w:r>
      <w:r>
        <w:rPr>
          <w:rFonts w:hint="eastAsia" w:ascii="宋体" w:hAnsi="宋体" w:cs="宋体"/>
          <w:spacing w:val="6"/>
          <w:szCs w:val="21"/>
          <w:u w:val="single"/>
        </w:rPr>
        <w:t xml:space="preserve">            </w:t>
      </w:r>
      <w:r>
        <w:rPr>
          <w:rFonts w:hint="eastAsia" w:ascii="宋体" w:hAnsi="宋体" w:cs="宋体"/>
          <w:spacing w:val="6"/>
          <w:szCs w:val="21"/>
        </w:rPr>
        <w:t>项目采购活动提供本企业制造的货物，由本企业承担工程、提供服务，或者提供其他</w:t>
      </w:r>
      <w:r>
        <w:rPr>
          <w:rFonts w:hint="eastAsia" w:ascii="宋体" w:hAnsi="宋体" w:cs="宋体"/>
          <w:spacing w:val="6"/>
          <w:szCs w:val="21"/>
          <w:u w:val="single"/>
        </w:rPr>
        <w:t xml:space="preserve">        </w:t>
      </w:r>
      <w:r>
        <w:rPr>
          <w:rFonts w:hint="eastAsia" w:ascii="宋体" w:hAnsi="宋体" w:cs="宋体"/>
          <w:spacing w:val="6"/>
          <w:szCs w:val="21"/>
        </w:rPr>
        <w:t>（请填写：中型、小型、微型）企业制造的货物。本条所称货物不包括使用大型企业注册商标的货物。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本公司对上述声明的真实性负责。如有虚假，将依法承担相应责任。</w:t>
      </w: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企业名称（盖章）： </w:t>
      </w: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日  期：</w:t>
      </w:r>
      <w:r>
        <w:rPr>
          <w:rFonts w:hint="eastAsia" w:ascii="宋体" w:hAnsi="宋体" w:cs="宋体"/>
          <w:spacing w:val="6"/>
          <w:szCs w:val="21"/>
          <w:u w:val="single"/>
        </w:rPr>
        <w:t xml:space="preserve">                </w:t>
      </w:r>
    </w:p>
    <w:p>
      <w:pPr>
        <w:rPr>
          <w:rFonts w:ascii="宋体" w:hAnsi="宋体" w:cs="宋体"/>
          <w:spacing w:val="6"/>
          <w:szCs w:val="21"/>
        </w:rPr>
      </w:pPr>
    </w:p>
    <w:p>
      <w:pPr>
        <w:autoSpaceDE w:val="0"/>
        <w:autoSpaceDN w:val="0"/>
        <w:spacing w:line="300" w:lineRule="auto"/>
        <w:rPr>
          <w:rFonts w:ascii="宋体" w:hAnsi="宋体" w:cs="宋体"/>
          <w:sz w:val="28"/>
          <w:szCs w:val="28"/>
        </w:rPr>
      </w:pPr>
      <w:r>
        <w:rPr>
          <w:rFonts w:hint="eastAsia" w:ascii="宋体" w:hAnsi="宋体" w:cs="宋体"/>
          <w:spacing w:val="6"/>
          <w:szCs w:val="21"/>
        </w:rPr>
        <w:t xml:space="preserve">   </w:t>
      </w:r>
    </w:p>
    <w:p>
      <w:pPr>
        <w:pStyle w:val="12"/>
        <w:spacing w:line="460" w:lineRule="exact"/>
        <w:rPr>
          <w:rFonts w:hAnsi="宋体"/>
          <w:bCs/>
          <w:sz w:val="22"/>
          <w:szCs w:val="32"/>
        </w:rPr>
      </w:pPr>
    </w:p>
    <w:p>
      <w:pPr>
        <w:pStyle w:val="12"/>
        <w:spacing w:line="360" w:lineRule="exact"/>
        <w:outlineLvl w:val="0"/>
      </w:pPr>
    </w:p>
    <w:p>
      <w:pPr>
        <w:pStyle w:val="12"/>
        <w:spacing w:line="360" w:lineRule="exact"/>
        <w:outlineLvl w:val="0"/>
      </w:pPr>
    </w:p>
    <w:p>
      <w:pPr>
        <w:pStyle w:val="12"/>
        <w:spacing w:line="360" w:lineRule="exact"/>
        <w:outlineLvl w:val="0"/>
      </w:pPr>
    </w:p>
    <w:p>
      <w:pPr>
        <w:pStyle w:val="12"/>
        <w:spacing w:line="360" w:lineRule="exact"/>
        <w:outlineLvl w:val="0"/>
      </w:pPr>
    </w:p>
    <w:p>
      <w:pPr>
        <w:pStyle w:val="12"/>
        <w:spacing w:line="360" w:lineRule="exact"/>
        <w:outlineLvl w:val="0"/>
      </w:pPr>
    </w:p>
    <w:p>
      <w:pPr>
        <w:pStyle w:val="12"/>
        <w:spacing w:line="360" w:lineRule="exact"/>
        <w:outlineLvl w:val="0"/>
      </w:pPr>
    </w:p>
    <w:p>
      <w:pPr>
        <w:pStyle w:val="12"/>
        <w:spacing w:line="360" w:lineRule="exact"/>
        <w:outlineLvl w:val="0"/>
      </w:pPr>
    </w:p>
    <w:p>
      <w:pPr>
        <w:spacing w:line="440" w:lineRule="atLeast"/>
        <w:rPr>
          <w:rFonts w:ascii="宋体" w:hAnsi="宋体"/>
        </w:rPr>
      </w:pPr>
    </w:p>
    <w:p>
      <w:pPr>
        <w:pStyle w:val="12"/>
        <w:jc w:val="center"/>
        <w:rPr>
          <w:rFonts w:hAnsi="宋体"/>
          <w:b/>
          <w:sz w:val="32"/>
        </w:rPr>
      </w:pPr>
    </w:p>
    <w:p>
      <w:pPr>
        <w:spacing w:line="400" w:lineRule="exact"/>
        <w:jc w:val="center"/>
        <w:rPr>
          <w:rFonts w:ascii="宋体" w:hAnsi="宋体"/>
          <w:b/>
          <w:szCs w:val="28"/>
        </w:rPr>
      </w:pPr>
      <w:r>
        <w:rPr>
          <w:rFonts w:hint="eastAsia" w:ascii="宋体" w:hAnsi="宋体"/>
          <w:b/>
          <w:sz w:val="30"/>
          <w:szCs w:val="30"/>
        </w:rPr>
        <w:t xml:space="preserve"> 残疾人福利性单位声明函</w:t>
      </w:r>
      <w:r>
        <w:rPr>
          <w:rFonts w:hint="eastAsia" w:ascii="宋体" w:hAnsi="宋体" w:cs="宋体"/>
          <w:sz w:val="30"/>
        </w:rPr>
        <w:t>（格式）</w:t>
      </w:r>
    </w:p>
    <w:p>
      <w:pPr>
        <w:spacing w:line="400" w:lineRule="exact"/>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40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pStyle w:val="12"/>
        <w:spacing w:line="400" w:lineRule="exact"/>
        <w:rPr>
          <w:rFonts w:hAnsi="宋体"/>
          <w:szCs w:val="21"/>
        </w:rPr>
      </w:pPr>
    </w:p>
    <w:p>
      <w:pPr>
        <w:pStyle w:val="12"/>
        <w:spacing w:line="400" w:lineRule="exact"/>
        <w:rPr>
          <w:rFonts w:hAnsi="宋体"/>
          <w:szCs w:val="21"/>
        </w:rPr>
      </w:pPr>
    </w:p>
    <w:p>
      <w:pPr>
        <w:pStyle w:val="12"/>
        <w:spacing w:line="400" w:lineRule="exact"/>
        <w:rPr>
          <w:rFonts w:hAnsi="宋体"/>
          <w:szCs w:val="21"/>
        </w:rPr>
      </w:pPr>
    </w:p>
    <w:p>
      <w:pPr>
        <w:spacing w:line="400" w:lineRule="exact"/>
        <w:rPr>
          <w:rFonts w:ascii="宋体"/>
          <w:szCs w:val="21"/>
        </w:rPr>
      </w:pPr>
    </w:p>
    <w:p>
      <w:pPr>
        <w:pStyle w:val="12"/>
        <w:spacing w:line="400" w:lineRule="exact"/>
        <w:rPr>
          <w:szCs w:val="21"/>
          <w:u w:val="single"/>
        </w:rPr>
      </w:pPr>
      <w:r>
        <w:rPr>
          <w:rFonts w:hint="eastAsia"/>
          <w:szCs w:val="21"/>
        </w:rPr>
        <w:t>竞标人名称：</w:t>
      </w:r>
      <w:r>
        <w:rPr>
          <w:rFonts w:hint="eastAsia"/>
          <w:szCs w:val="21"/>
          <w:u w:val="single"/>
        </w:rPr>
        <w:t xml:space="preserve">                                     </w:t>
      </w:r>
      <w:r>
        <w:rPr>
          <w:rFonts w:hint="eastAsia"/>
          <w:szCs w:val="21"/>
        </w:rPr>
        <w:t>（加盖单位公章）</w:t>
      </w:r>
    </w:p>
    <w:p>
      <w:pPr>
        <w:pStyle w:val="12"/>
        <w:spacing w:line="400" w:lineRule="exact"/>
        <w:rPr>
          <w:szCs w:val="21"/>
        </w:rPr>
      </w:pPr>
      <w:r>
        <w:rPr>
          <w:rFonts w:hint="eastAsia"/>
          <w:szCs w:val="21"/>
        </w:rPr>
        <w:t>法定代表人或授权委托代理人签字：</w:t>
      </w:r>
      <w:r>
        <w:rPr>
          <w:rFonts w:hint="eastAsia"/>
          <w:szCs w:val="21"/>
          <w:u w:val="single"/>
        </w:rPr>
        <w:t xml:space="preserve">                          </w:t>
      </w:r>
    </w:p>
    <w:p>
      <w:pPr>
        <w:pStyle w:val="12"/>
        <w:spacing w:line="400" w:lineRule="exact"/>
        <w:rPr>
          <w:rFonts w:hAnsi="宋体"/>
          <w:kern w:val="0"/>
          <w:szCs w:val="21"/>
        </w:rPr>
      </w:pPr>
      <w:r>
        <w:rPr>
          <w:rFonts w:hint="eastAsia"/>
          <w:szCs w:val="21"/>
        </w:rPr>
        <w:t>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pStyle w:val="12"/>
        <w:spacing w:line="400" w:lineRule="exact"/>
        <w:rPr>
          <w:rFonts w:hAnsi="宋体"/>
          <w:kern w:val="0"/>
          <w:szCs w:val="21"/>
        </w:rPr>
      </w:pPr>
    </w:p>
    <w:p>
      <w:pPr>
        <w:pStyle w:val="12"/>
        <w:spacing w:line="400" w:lineRule="exact"/>
        <w:rPr>
          <w:rFonts w:hAnsi="宋体"/>
          <w:kern w:val="0"/>
          <w:szCs w:val="21"/>
        </w:rPr>
      </w:pPr>
    </w:p>
    <w:p>
      <w:pPr>
        <w:pStyle w:val="12"/>
        <w:spacing w:line="400" w:lineRule="exact"/>
        <w:rPr>
          <w:rFonts w:hAnsi="宋体"/>
          <w:kern w:val="0"/>
          <w:szCs w:val="21"/>
        </w:rPr>
      </w:pPr>
    </w:p>
    <w:p>
      <w:pPr>
        <w:pStyle w:val="12"/>
        <w:spacing w:line="400" w:lineRule="exact"/>
        <w:rPr>
          <w:rFonts w:hAnsi="宋体"/>
          <w:kern w:val="0"/>
          <w:szCs w:val="21"/>
        </w:rPr>
      </w:pPr>
    </w:p>
    <w:p>
      <w:pPr>
        <w:pStyle w:val="12"/>
        <w:spacing w:line="360" w:lineRule="exact"/>
        <w:outlineLvl w:val="0"/>
      </w:pPr>
    </w:p>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680" w:footer="851" w:gutter="0"/>
      <w:pgNumType w:fmt="decimal" w:start="1"/>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华文仿宋">
    <w:altName w:val="仿宋"/>
    <w:panose1 w:val="02010600040101010101"/>
    <w:charset w:val="86"/>
    <w:family w:val="auto"/>
    <w:pitch w:val="default"/>
    <w:sig w:usb0="00000000" w:usb1="00000000" w:usb2="00000000" w:usb3="00000000" w:csb0="0004009F" w:csb1="DFD70000"/>
  </w:font>
  <w:font w:name="金山简隶书">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8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82"/>
                          </w:pPr>
                          <w:r>
                            <w:rPr>
                              <w:rFonts w:hint="eastAsia" w:hAnsi="宋体"/>
                              <w:szCs w:val="18"/>
                            </w:rPr>
                            <w:t xml:space="preserve">   </w:t>
                          </w:r>
                          <w:r>
                            <w:fldChar w:fldCharType="begin"/>
                          </w:r>
                          <w:r>
                            <w:rPr>
                              <w:rStyle w:val="21"/>
                            </w:rPr>
                            <w:instrText xml:space="preserve"> PAGE </w:instrText>
                          </w:r>
                          <w:r>
                            <w:fldChar w:fldCharType="separate"/>
                          </w:r>
                          <w:r>
                            <w:rPr>
                              <w:rStyle w:val="21"/>
                            </w:rPr>
                            <w:t>25</w:t>
                          </w:r>
                          <w:r>
                            <w:fldChar w:fldCharType="end"/>
                          </w:r>
                          <w:r>
                            <w:rPr>
                              <w:rFonts w:hint="eastAsia"/>
                            </w:rPr>
                            <w:t xml:space="preserve">                               广东展诚工程咨询有限公司编制</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ind w:firstLine="3682"/>
                    </w:pPr>
                    <w:r>
                      <w:rPr>
                        <w:rFonts w:hint="eastAsia" w:hAnsi="宋体"/>
                        <w:szCs w:val="18"/>
                      </w:rPr>
                      <w:t xml:space="preserve">   </w:t>
                    </w:r>
                    <w:r>
                      <w:fldChar w:fldCharType="begin"/>
                    </w:r>
                    <w:r>
                      <w:rPr>
                        <w:rStyle w:val="21"/>
                      </w:rPr>
                      <w:instrText xml:space="preserve"> PAGE </w:instrText>
                    </w:r>
                    <w:r>
                      <w:fldChar w:fldCharType="separate"/>
                    </w:r>
                    <w:r>
                      <w:rPr>
                        <w:rStyle w:val="21"/>
                      </w:rPr>
                      <w:t>25</w:t>
                    </w:r>
                    <w:r>
                      <w:fldChar w:fldCharType="end"/>
                    </w:r>
                    <w:r>
                      <w:rPr>
                        <w:rFonts w:hint="eastAsia"/>
                      </w:rPr>
                      <w:t xml:space="preserve">                               广东展诚工程咨询有限公司编制</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7200" w:firstLineChars="40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广东展诚工程咨询有限公司编制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left"/>
    </w:pPr>
    <w:r>
      <w:rPr>
        <w:rFonts w:hint="eastAsia" w:ascii="宋体" w:hAnsi="宋体" w:cs="宋体"/>
        <w:color w:val="000000"/>
        <w:sz w:val="18"/>
        <w:szCs w:val="18"/>
      </w:rPr>
      <w:t>项目名称：</w:t>
    </w:r>
    <w:r>
      <w:rPr>
        <w:rFonts w:hint="eastAsia" w:ascii="宋体" w:hAnsi="宋体" w:cs="宋体"/>
        <w:bCs/>
        <w:color w:val="000000" w:themeColor="text1"/>
        <w:sz w:val="18"/>
        <w:szCs w:val="18"/>
        <w14:textFill>
          <w14:solidFill>
            <w14:schemeClr w14:val="tx1"/>
          </w14:solidFill>
        </w14:textFill>
      </w:rPr>
      <w:t xml:space="preserve">2020年贺州市农用地安全利用项目                  </w:t>
    </w:r>
    <w:r>
      <w:rPr>
        <w:rFonts w:hint="eastAsia" w:ascii="宋体" w:hAnsi="宋体" w:cs="宋体"/>
        <w:bCs/>
        <w:color w:val="000000" w:themeColor="text1"/>
        <w:sz w:val="18"/>
        <w:szCs w:val="18"/>
        <w:lang w:val="en-US" w:eastAsia="zh-CN"/>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项目编号：</w:t>
    </w:r>
    <w:r>
      <w:rPr>
        <w:rFonts w:hint="eastAsia" w:asciiTheme="minorEastAsia" w:hAnsiTheme="minorEastAsia" w:eastAsiaTheme="minorEastAsia" w:cstheme="minorEastAsia"/>
        <w:b w:val="0"/>
        <w:bCs w:val="0"/>
        <w:color w:val="auto"/>
        <w:sz w:val="21"/>
        <w:szCs w:val="21"/>
        <w:highlight w:val="none"/>
      </w:rPr>
      <w:t>HZZC2020-C3-000312-GDZC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left"/>
      <w:rPr>
        <w:rFonts w:ascii="方正仿宋简体"/>
      </w:rPr>
    </w:pPr>
    <w:r>
      <w:rPr>
        <w:rFonts w:hint="eastAsia" w:ascii="宋体" w:hAnsi="宋体" w:cs="宋体"/>
        <w:color w:val="000000"/>
        <w:sz w:val="18"/>
        <w:szCs w:val="18"/>
      </w:rPr>
      <w:t>项目名称：</w:t>
    </w:r>
    <w:r>
      <w:rPr>
        <w:rFonts w:hint="eastAsia" w:ascii="宋体" w:hAnsi="宋体" w:cs="宋体"/>
        <w:bCs/>
        <w:color w:val="000000" w:themeColor="text1"/>
        <w:sz w:val="18"/>
        <w:szCs w:val="18"/>
        <w14:textFill>
          <w14:solidFill>
            <w14:schemeClr w14:val="tx1"/>
          </w14:solidFill>
        </w14:textFill>
      </w:rPr>
      <w:t xml:space="preserve">2020年贺州市农用地安全利用项目                   </w:t>
    </w:r>
    <w:r>
      <w:rPr>
        <w:rFonts w:hint="eastAsia" w:ascii="宋体" w:hAnsi="宋体" w:cs="宋体"/>
        <w:bCs/>
        <w:color w:val="000000" w:themeColor="text1"/>
        <w:sz w:val="18"/>
        <w:szCs w:val="18"/>
        <w:lang w:val="en-US" w:eastAsia="zh-CN"/>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项目编号：</w:t>
    </w:r>
    <w:r>
      <w:rPr>
        <w:rFonts w:hint="eastAsia" w:asciiTheme="minorEastAsia" w:hAnsiTheme="minorEastAsia" w:eastAsiaTheme="minorEastAsia" w:cstheme="minorEastAsia"/>
        <w:b w:val="0"/>
        <w:bCs w:val="0"/>
        <w:color w:val="auto"/>
        <w:sz w:val="21"/>
        <w:szCs w:val="21"/>
        <w:highlight w:val="none"/>
      </w:rPr>
      <w:t>HZZC2020-C3-000312-GDZC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D0457"/>
    <w:multiLevelType w:val="singleLevel"/>
    <w:tmpl w:val="A1CD0457"/>
    <w:lvl w:ilvl="0" w:tentative="0">
      <w:start w:val="1"/>
      <w:numFmt w:val="decimal"/>
      <w:suff w:val="nothing"/>
      <w:lvlText w:val="%1、"/>
      <w:lvlJc w:val="left"/>
    </w:lvl>
  </w:abstractNum>
  <w:abstractNum w:abstractNumId="1">
    <w:nsid w:val="F60AD4E0"/>
    <w:multiLevelType w:val="singleLevel"/>
    <w:tmpl w:val="F60AD4E0"/>
    <w:lvl w:ilvl="0" w:tentative="0">
      <w:start w:val="7"/>
      <w:numFmt w:val="chineseCounting"/>
      <w:suff w:val="nothing"/>
      <w:lvlText w:val="%1、"/>
      <w:lvlJc w:val="left"/>
      <w:rPr>
        <w:rFonts w:hint="eastAsia"/>
      </w:rPr>
    </w:lvl>
  </w:abstractNum>
  <w:abstractNum w:abstractNumId="2">
    <w:nsid w:val="4599892B"/>
    <w:multiLevelType w:val="singleLevel"/>
    <w:tmpl w:val="4599892B"/>
    <w:lvl w:ilvl="0" w:tentative="0">
      <w:start w:val="7"/>
      <w:numFmt w:val="chineseCounting"/>
      <w:suff w:val="nothing"/>
      <w:lvlText w:val="（%1）"/>
      <w:lvlJc w:val="left"/>
      <w:rPr>
        <w:rFonts w:hint="eastAsia"/>
      </w:rPr>
    </w:lvl>
  </w:abstractNum>
  <w:abstractNum w:abstractNumId="3">
    <w:nsid w:val="59B828E7"/>
    <w:multiLevelType w:val="multilevel"/>
    <w:tmpl w:val="59B828E7"/>
    <w:lvl w:ilvl="0" w:tentative="0">
      <w:start w:val="1"/>
      <w:numFmt w:val="decimal"/>
      <w:lvlText w:val="（%1）"/>
      <w:lvlJc w:val="left"/>
      <w:pPr>
        <w:ind w:left="1429" w:hanging="720"/>
      </w:pPr>
      <w:rPr>
        <w:rFonts w:hint="default"/>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369A3"/>
    <w:rsid w:val="000062C4"/>
    <w:rsid w:val="00082AF7"/>
    <w:rsid w:val="000C46BB"/>
    <w:rsid w:val="001166C3"/>
    <w:rsid w:val="00123C01"/>
    <w:rsid w:val="002915B2"/>
    <w:rsid w:val="00335BB9"/>
    <w:rsid w:val="00341D30"/>
    <w:rsid w:val="005726C9"/>
    <w:rsid w:val="00582DBB"/>
    <w:rsid w:val="00592D56"/>
    <w:rsid w:val="0069425B"/>
    <w:rsid w:val="006C4715"/>
    <w:rsid w:val="00721BA3"/>
    <w:rsid w:val="00775666"/>
    <w:rsid w:val="007A05D9"/>
    <w:rsid w:val="007A157D"/>
    <w:rsid w:val="0089574D"/>
    <w:rsid w:val="00A02B2F"/>
    <w:rsid w:val="00AF71B2"/>
    <w:rsid w:val="00B42E98"/>
    <w:rsid w:val="00BC7CA6"/>
    <w:rsid w:val="00C96037"/>
    <w:rsid w:val="00CA0A94"/>
    <w:rsid w:val="00D773A9"/>
    <w:rsid w:val="00ED6AAD"/>
    <w:rsid w:val="00F33FE6"/>
    <w:rsid w:val="00F5608A"/>
    <w:rsid w:val="01513CD5"/>
    <w:rsid w:val="023049B1"/>
    <w:rsid w:val="042E57D3"/>
    <w:rsid w:val="05356069"/>
    <w:rsid w:val="0D8F79EF"/>
    <w:rsid w:val="0FBD13A4"/>
    <w:rsid w:val="115460B7"/>
    <w:rsid w:val="11E72BD0"/>
    <w:rsid w:val="133A0183"/>
    <w:rsid w:val="18834EA3"/>
    <w:rsid w:val="199060DE"/>
    <w:rsid w:val="1AEA57F0"/>
    <w:rsid w:val="1EEF1447"/>
    <w:rsid w:val="1F512A55"/>
    <w:rsid w:val="21921224"/>
    <w:rsid w:val="24D57A68"/>
    <w:rsid w:val="251A336F"/>
    <w:rsid w:val="298F4F6B"/>
    <w:rsid w:val="2EC46122"/>
    <w:rsid w:val="2ECD1C12"/>
    <w:rsid w:val="31543C35"/>
    <w:rsid w:val="31DC65E1"/>
    <w:rsid w:val="36114179"/>
    <w:rsid w:val="382553A7"/>
    <w:rsid w:val="3837399F"/>
    <w:rsid w:val="39160B48"/>
    <w:rsid w:val="405F7692"/>
    <w:rsid w:val="425E6F73"/>
    <w:rsid w:val="43E1362D"/>
    <w:rsid w:val="47DC4431"/>
    <w:rsid w:val="4AAC5D6A"/>
    <w:rsid w:val="4EE369A3"/>
    <w:rsid w:val="50802FEA"/>
    <w:rsid w:val="54A9661B"/>
    <w:rsid w:val="5751616D"/>
    <w:rsid w:val="59717A77"/>
    <w:rsid w:val="5FED7CF7"/>
    <w:rsid w:val="6424280B"/>
    <w:rsid w:val="65F74605"/>
    <w:rsid w:val="68380404"/>
    <w:rsid w:val="6EA2404D"/>
    <w:rsid w:val="71535A5E"/>
    <w:rsid w:val="7BAF0BA1"/>
    <w:rsid w:val="7C9C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outlineLvl w:val="0"/>
    </w:pPr>
    <w:rPr>
      <w:b/>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qFormat/>
    <w:uiPriority w:val="0"/>
    <w:pPr>
      <w:keepNext/>
      <w:keepLines/>
      <w:widowControl/>
      <w:spacing w:line="360" w:lineRule="auto"/>
      <w:jc w:val="center"/>
      <w:outlineLvl w:val="3"/>
    </w:pPr>
    <w:rPr>
      <w:rFonts w:ascii="Arial" w:hAnsi="Arial" w:eastAsia="黑体"/>
      <w:kern w:val="0"/>
      <w:sz w:val="28"/>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rPr>
      <w:bCs/>
      <w:kern w:val="2"/>
      <w:sz w:val="28"/>
      <w:szCs w:val="24"/>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unhideWhenUsed/>
    <w:qFormat/>
    <w:uiPriority w:val="0"/>
    <w:pPr>
      <w:spacing w:after="120"/>
    </w:pPr>
    <w:rPr>
      <w:rFonts w:ascii="Calibri" w:hAnsi="Calibri"/>
    </w:rPr>
  </w:style>
  <w:style w:type="paragraph" w:styleId="11">
    <w:name w:val="Body Text Indent"/>
    <w:basedOn w:val="1"/>
    <w:qFormat/>
    <w:uiPriority w:val="0"/>
    <w:pPr>
      <w:spacing w:line="200" w:lineRule="exact"/>
      <w:ind w:firstLine="301"/>
    </w:pPr>
    <w:rPr>
      <w:rFonts w:ascii="宋体" w:hAnsi="Courier New"/>
      <w:spacing w:val="-4"/>
      <w:sz w:val="18"/>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rFonts w:ascii="宋体" w:hAnsi="Courier New"/>
      <w:sz w:val="18"/>
      <w:szCs w:val="20"/>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15">
    <w:name w:val="toc 1"/>
    <w:basedOn w:val="1"/>
    <w:next w:val="1"/>
    <w:semiHidden/>
    <w:qFormat/>
    <w:uiPriority w:val="0"/>
    <w:pPr>
      <w:tabs>
        <w:tab w:val="right" w:leader="dot" w:pos="8820"/>
      </w:tabs>
      <w:ind w:left="540"/>
      <w:jc w:val="left"/>
    </w:pPr>
    <w:rPr>
      <w:rFonts w:ascii="宋体" w:hAnsi="宋体"/>
      <w:b/>
      <w:bCs/>
      <w:caps/>
      <w:szCs w:val="21"/>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7">
    <w:name w:val="Normal (Web)"/>
    <w:basedOn w:val="1"/>
    <w:qFormat/>
    <w:uiPriority w:val="0"/>
    <w:pPr>
      <w:spacing w:before="75" w:after="75"/>
      <w:jc w:val="left"/>
    </w:pPr>
    <w:rPr>
      <w:kern w:val="0"/>
      <w:sz w:val="24"/>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2687D0"/>
      <w:u w:val="single"/>
    </w:rPr>
  </w:style>
  <w:style w:type="character" w:styleId="23">
    <w:name w:val="Emphasis"/>
    <w:basedOn w:val="19"/>
    <w:qFormat/>
    <w:uiPriority w:val="0"/>
  </w:style>
  <w:style w:type="character" w:styleId="24">
    <w:name w:val="HTML Definition"/>
    <w:basedOn w:val="19"/>
    <w:qFormat/>
    <w:uiPriority w:val="0"/>
  </w:style>
  <w:style w:type="character" w:styleId="25">
    <w:name w:val="HTML Acronym"/>
    <w:basedOn w:val="19"/>
    <w:qFormat/>
    <w:uiPriority w:val="0"/>
    <w:rPr>
      <w:u w:val="single"/>
    </w:rPr>
  </w:style>
  <w:style w:type="character" w:styleId="26">
    <w:name w:val="HTML Variable"/>
    <w:basedOn w:val="19"/>
    <w:qFormat/>
    <w:uiPriority w:val="0"/>
  </w:style>
  <w:style w:type="character" w:styleId="27">
    <w:name w:val="Hyperlink"/>
    <w:qFormat/>
    <w:uiPriority w:val="0"/>
    <w:rPr>
      <w:color w:val="0000FF"/>
      <w:u w:val="single"/>
    </w:rPr>
  </w:style>
  <w:style w:type="character" w:styleId="28">
    <w:name w:val="HTML Code"/>
    <w:basedOn w:val="19"/>
    <w:qFormat/>
    <w:uiPriority w:val="0"/>
    <w:rPr>
      <w:rFonts w:ascii="Consolas" w:hAnsi="Consolas" w:eastAsia="Consolas" w:cs="Consolas"/>
      <w:sz w:val="21"/>
      <w:szCs w:val="21"/>
    </w:rPr>
  </w:style>
  <w:style w:type="character" w:styleId="29">
    <w:name w:val="HTML Cite"/>
    <w:basedOn w:val="19"/>
    <w:qFormat/>
    <w:uiPriority w:val="0"/>
  </w:style>
  <w:style w:type="character" w:styleId="30">
    <w:name w:val="HTML Keyboard"/>
    <w:basedOn w:val="19"/>
    <w:qFormat/>
    <w:uiPriority w:val="0"/>
    <w:rPr>
      <w:rFonts w:hint="default" w:ascii="Consolas" w:hAnsi="Consolas" w:eastAsia="Consolas" w:cs="Consolas"/>
      <w:sz w:val="21"/>
      <w:szCs w:val="21"/>
    </w:rPr>
  </w:style>
  <w:style w:type="character" w:styleId="31">
    <w:name w:val="HTML Sample"/>
    <w:basedOn w:val="19"/>
    <w:qFormat/>
    <w:uiPriority w:val="0"/>
    <w:rPr>
      <w:rFonts w:hint="default" w:ascii="Consolas" w:hAnsi="Consolas" w:eastAsia="Consolas" w:cs="Consolas"/>
      <w:sz w:val="21"/>
      <w:szCs w:val="21"/>
    </w:rPr>
  </w:style>
  <w:style w:type="paragraph" w:customStyle="1" w:styleId="32">
    <w:name w:val="2"/>
    <w:basedOn w:val="1"/>
    <w:next w:val="12"/>
    <w:qFormat/>
    <w:uiPriority w:val="0"/>
    <w:rPr>
      <w:rFonts w:ascii="宋体" w:hAnsi="Courier New"/>
      <w:szCs w:val="20"/>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4">
    <w:name w:val="页眉 字符"/>
    <w:basedOn w:val="19"/>
    <w:link w:val="14"/>
    <w:qFormat/>
    <w:uiPriority w:val="99"/>
    <w:rPr>
      <w:rFonts w:ascii="宋体" w:hAnsi="Courier New" w:eastAsia="宋体" w:cs="Times New Roman"/>
      <w:kern w:val="2"/>
      <w:sz w:val="18"/>
    </w:rPr>
  </w:style>
  <w:style w:type="character" w:customStyle="1" w:styleId="35">
    <w:name w:val="current"/>
    <w:basedOn w:val="19"/>
    <w:qFormat/>
    <w:uiPriority w:val="0"/>
    <w:rPr>
      <w:color w:val="197AFF"/>
      <w:shd w:val="clear" w:fill="EBECF0"/>
    </w:rPr>
  </w:style>
  <w:style w:type="character" w:customStyle="1" w:styleId="36">
    <w:name w:val="current1"/>
    <w:basedOn w:val="19"/>
    <w:qFormat/>
    <w:uiPriority w:val="0"/>
    <w:rPr>
      <w:color w:val="FFFFFF"/>
      <w:bdr w:val="single" w:color="1C7FD1" w:sz="6" w:space="0"/>
      <w:shd w:val="clear" w:fill="1C7FD1"/>
    </w:rPr>
  </w:style>
  <w:style w:type="character" w:customStyle="1" w:styleId="37">
    <w:name w:val="current2"/>
    <w:basedOn w:val="19"/>
    <w:qFormat/>
    <w:uiPriority w:val="0"/>
    <w:rPr>
      <w:color w:val="FFFFFF"/>
      <w:bdr w:val="single" w:color="197AFF" w:sz="6" w:space="0"/>
      <w:shd w:val="clear" w:fill="197AFF"/>
    </w:rPr>
  </w:style>
  <w:style w:type="character" w:customStyle="1" w:styleId="38">
    <w:name w:val="current3"/>
    <w:basedOn w:val="19"/>
    <w:qFormat/>
    <w:uiPriority w:val="0"/>
  </w:style>
  <w:style w:type="character" w:customStyle="1" w:styleId="39">
    <w:name w:val="current4"/>
    <w:basedOn w:val="19"/>
    <w:qFormat/>
    <w:uiPriority w:val="0"/>
    <w:rPr>
      <w:color w:val="FFFFFF"/>
      <w:shd w:val="clear" w:fill="5BA0FF"/>
    </w:rPr>
  </w:style>
  <w:style w:type="character" w:customStyle="1" w:styleId="40">
    <w:name w:val="current5"/>
    <w:basedOn w:val="19"/>
    <w:qFormat/>
    <w:uiPriority w:val="0"/>
    <w:rPr>
      <w:color w:val="FFFFFF"/>
      <w:shd w:val="clear" w:fill="5BA0FF"/>
    </w:rPr>
  </w:style>
  <w:style w:type="character" w:customStyle="1" w:styleId="41">
    <w:name w:val="current6"/>
    <w:basedOn w:val="19"/>
    <w:qFormat/>
    <w:uiPriority w:val="0"/>
    <w:rPr>
      <w:color w:val="FFFFFF"/>
      <w:shd w:val="clear" w:fill="5BA0FF"/>
    </w:rPr>
  </w:style>
  <w:style w:type="character" w:customStyle="1" w:styleId="42">
    <w:name w:val="current7"/>
    <w:basedOn w:val="19"/>
    <w:qFormat/>
    <w:uiPriority w:val="0"/>
    <w:rPr>
      <w:color w:val="FFFFFF"/>
      <w:shd w:val="clear" w:fill="5BA0FF"/>
    </w:rPr>
  </w:style>
  <w:style w:type="character" w:customStyle="1" w:styleId="43">
    <w:name w:val="current8"/>
    <w:basedOn w:val="19"/>
    <w:qFormat/>
    <w:uiPriority w:val="0"/>
    <w:rPr>
      <w:color w:val="FFFFFF"/>
      <w:shd w:val="clear" w:fill="5BA0FF"/>
    </w:rPr>
  </w:style>
  <w:style w:type="character" w:customStyle="1" w:styleId="44">
    <w:name w:val="current9"/>
    <w:basedOn w:val="19"/>
    <w:qFormat/>
    <w:uiPriority w:val="0"/>
    <w:rPr>
      <w:color w:val="FFFFFF"/>
      <w:shd w:val="clear" w:fill="5BA0FF"/>
    </w:rPr>
  </w:style>
  <w:style w:type="character" w:customStyle="1" w:styleId="45">
    <w:name w:val="last-child2"/>
    <w:basedOn w:val="19"/>
    <w:qFormat/>
    <w:uiPriority w:val="0"/>
  </w:style>
  <w:style w:type="character" w:customStyle="1" w:styleId="46">
    <w:name w:val="pagetitle"/>
    <w:basedOn w:val="19"/>
    <w:qFormat/>
    <w:uiPriority w:val="0"/>
    <w:rPr>
      <w:color w:val="24344E"/>
      <w:sz w:val="27"/>
      <w:szCs w:val="27"/>
    </w:rPr>
  </w:style>
  <w:style w:type="character" w:customStyle="1" w:styleId="47">
    <w:name w:val="pagetitle1"/>
    <w:basedOn w:val="19"/>
    <w:qFormat/>
    <w:uiPriority w:val="0"/>
    <w:rPr>
      <w:color w:val="24344E"/>
      <w:sz w:val="27"/>
      <w:szCs w:val="27"/>
    </w:rPr>
  </w:style>
  <w:style w:type="character" w:customStyle="1" w:styleId="48">
    <w:name w:val="date-title"/>
    <w:basedOn w:val="19"/>
    <w:qFormat/>
    <w:uiPriority w:val="0"/>
    <w:rPr>
      <w:color w:val="24344E"/>
      <w:sz w:val="27"/>
      <w:szCs w:val="27"/>
    </w:rPr>
  </w:style>
  <w:style w:type="character" w:customStyle="1" w:styleId="49">
    <w:name w:val="date-title1"/>
    <w:basedOn w:val="19"/>
    <w:qFormat/>
    <w:uiPriority w:val="0"/>
    <w:rPr>
      <w:color w:val="24344E"/>
      <w:sz w:val="27"/>
      <w:szCs w:val="27"/>
    </w:rPr>
  </w:style>
  <w:style w:type="character" w:customStyle="1" w:styleId="50">
    <w:name w:val="today"/>
    <w:basedOn w:val="19"/>
    <w:qFormat/>
    <w:uiPriority w:val="0"/>
    <w:rPr>
      <w:color w:val="606060"/>
      <w:shd w:val="clear" w:fill="F5F6FA"/>
    </w:rPr>
  </w:style>
  <w:style w:type="character" w:customStyle="1" w:styleId="51">
    <w:name w:val="today1"/>
    <w:basedOn w:val="19"/>
    <w:qFormat/>
    <w:uiPriority w:val="0"/>
    <w:rPr>
      <w:color w:val="606060"/>
      <w:shd w:val="clear" w:fill="F5F6FA"/>
    </w:rPr>
  </w:style>
  <w:style w:type="character" w:customStyle="1" w:styleId="52">
    <w:name w:val="skip"/>
    <w:basedOn w:val="19"/>
    <w:qFormat/>
    <w:uiPriority w:val="0"/>
  </w:style>
  <w:style w:type="character" w:customStyle="1" w:styleId="53">
    <w:name w:val="skip1"/>
    <w:basedOn w:val="19"/>
    <w:qFormat/>
    <w:uiPriority w:val="0"/>
  </w:style>
  <w:style w:type="character" w:customStyle="1" w:styleId="54">
    <w:name w:val="star-info"/>
    <w:basedOn w:val="19"/>
    <w:qFormat/>
    <w:uiPriority w:val="0"/>
    <w:rPr>
      <w:color w:val="FD7B24"/>
      <w:sz w:val="24"/>
      <w:szCs w:val="24"/>
    </w:rPr>
  </w:style>
  <w:style w:type="character" w:customStyle="1" w:styleId="55">
    <w:name w:val="gotoset"/>
    <w:basedOn w:val="19"/>
    <w:qFormat/>
    <w:uiPriority w:val="0"/>
    <w:rPr>
      <w:color w:val="999999"/>
    </w:rPr>
  </w:style>
  <w:style w:type="character" w:customStyle="1" w:styleId="56">
    <w:name w:val="gotoset1"/>
    <w:basedOn w:val="19"/>
    <w:qFormat/>
    <w:uiPriority w:val="0"/>
    <w:rPr>
      <w:color w:val="999999"/>
    </w:rPr>
  </w:style>
  <w:style w:type="character" w:customStyle="1" w:styleId="57">
    <w:name w:val="gotoset2"/>
    <w:basedOn w:val="19"/>
    <w:qFormat/>
    <w:uiPriority w:val="0"/>
    <w:rPr>
      <w:color w:val="999999"/>
    </w:rPr>
  </w:style>
  <w:style w:type="character" w:customStyle="1" w:styleId="58">
    <w:name w:val="gotoset3"/>
    <w:basedOn w:val="19"/>
    <w:qFormat/>
    <w:uiPriority w:val="0"/>
    <w:rPr>
      <w:color w:val="999999"/>
    </w:rPr>
  </w:style>
  <w:style w:type="character" w:customStyle="1" w:styleId="59">
    <w:name w:val="gotoset4"/>
    <w:basedOn w:val="19"/>
    <w:qFormat/>
    <w:uiPriority w:val="0"/>
    <w:rPr>
      <w:color w:val="999999"/>
    </w:rPr>
  </w:style>
  <w:style w:type="character" w:customStyle="1" w:styleId="60">
    <w:name w:val="gotoset5"/>
    <w:basedOn w:val="19"/>
    <w:qFormat/>
    <w:uiPriority w:val="0"/>
    <w:rPr>
      <w:color w:val="999999"/>
    </w:rPr>
  </w:style>
  <w:style w:type="character" w:customStyle="1" w:styleId="61">
    <w:name w:val="gotoset6"/>
    <w:basedOn w:val="19"/>
    <w:qFormat/>
    <w:uiPriority w:val="0"/>
    <w:rPr>
      <w:color w:val="999999"/>
    </w:rPr>
  </w:style>
  <w:style w:type="character" w:customStyle="1" w:styleId="62">
    <w:name w:val="gotoset7"/>
    <w:basedOn w:val="19"/>
    <w:qFormat/>
    <w:uiPriority w:val="0"/>
    <w:rPr>
      <w:color w:val="999999"/>
    </w:rPr>
  </w:style>
  <w:style w:type="character" w:customStyle="1" w:styleId="63">
    <w:name w:val="fl"/>
    <w:basedOn w:val="19"/>
    <w:qFormat/>
    <w:uiPriority w:val="0"/>
    <w:rPr>
      <w:sz w:val="21"/>
      <w:szCs w:val="21"/>
    </w:rPr>
  </w:style>
  <w:style w:type="character" w:customStyle="1" w:styleId="64">
    <w:name w:val="search"/>
    <w:basedOn w:val="19"/>
    <w:qFormat/>
    <w:uiPriority w:val="0"/>
  </w:style>
  <w:style w:type="character" w:customStyle="1" w:styleId="65">
    <w:name w:val="search1"/>
    <w:basedOn w:val="19"/>
    <w:qFormat/>
    <w:uiPriority w:val="0"/>
  </w:style>
  <w:style w:type="character" w:customStyle="1" w:styleId="66">
    <w:name w:val="shenhezhong"/>
    <w:basedOn w:val="19"/>
    <w:qFormat/>
    <w:uiPriority w:val="0"/>
    <w:rPr>
      <w:color w:val="FFFFFF"/>
      <w:sz w:val="18"/>
      <w:szCs w:val="18"/>
      <w:shd w:val="clear" w:fill="28B928"/>
    </w:rPr>
  </w:style>
  <w:style w:type="character" w:customStyle="1" w:styleId="67">
    <w:name w:val="caret4"/>
    <w:basedOn w:val="19"/>
    <w:qFormat/>
    <w:uiPriority w:val="0"/>
  </w:style>
  <w:style w:type="character" w:customStyle="1" w:styleId="68">
    <w:name w:val="error"/>
    <w:basedOn w:val="19"/>
    <w:qFormat/>
    <w:uiPriority w:val="0"/>
    <w:rPr>
      <w:color w:val="FF625C"/>
    </w:rPr>
  </w:style>
  <w:style w:type="character" w:customStyle="1" w:styleId="69">
    <w:name w:val="error1"/>
    <w:basedOn w:val="19"/>
    <w:qFormat/>
    <w:uiPriority w:val="0"/>
    <w:rPr>
      <w:color w:val="FF625C"/>
    </w:rPr>
  </w:style>
  <w:style w:type="character" w:customStyle="1" w:styleId="70">
    <w:name w:val="tuih"/>
    <w:basedOn w:val="19"/>
    <w:qFormat/>
    <w:uiPriority w:val="0"/>
    <w:rPr>
      <w:color w:val="57607A"/>
      <w:bdr w:val="single" w:color="CDCCCC" w:sz="6" w:space="0"/>
    </w:rPr>
  </w:style>
  <w:style w:type="character" w:customStyle="1" w:styleId="71">
    <w:name w:val="tuih1"/>
    <w:basedOn w:val="19"/>
    <w:qFormat/>
    <w:uiPriority w:val="0"/>
    <w:rPr>
      <w:color w:val="57607A"/>
      <w:bdr w:val="single" w:color="CDCCCC" w:sz="6" w:space="0"/>
    </w:rPr>
  </w:style>
  <w:style w:type="character" w:customStyle="1" w:styleId="72">
    <w:name w:val="tuih2"/>
    <w:basedOn w:val="19"/>
    <w:qFormat/>
    <w:uiPriority w:val="0"/>
    <w:rPr>
      <w:color w:val="57607A"/>
      <w:bdr w:val="single" w:color="CDCCCC" w:sz="6" w:space="0"/>
    </w:rPr>
  </w:style>
  <w:style w:type="character" w:customStyle="1" w:styleId="73">
    <w:name w:val="tuih3"/>
    <w:basedOn w:val="19"/>
    <w:qFormat/>
    <w:uiPriority w:val="0"/>
    <w:rPr>
      <w:color w:val="57607A"/>
      <w:bdr w:val="single" w:color="CDCCCC" w:sz="6" w:space="0"/>
    </w:rPr>
  </w:style>
  <w:style w:type="character" w:customStyle="1" w:styleId="74">
    <w:name w:val="tuih4"/>
    <w:basedOn w:val="19"/>
    <w:qFormat/>
    <w:uiPriority w:val="0"/>
    <w:rPr>
      <w:color w:val="57607A"/>
      <w:bdr w:val="single" w:color="CDCCCC" w:sz="6" w:space="0"/>
    </w:rPr>
  </w:style>
  <w:style w:type="character" w:customStyle="1" w:styleId="75">
    <w:name w:val="tuih5"/>
    <w:basedOn w:val="19"/>
    <w:qFormat/>
    <w:uiPriority w:val="0"/>
    <w:rPr>
      <w:color w:val="57607A"/>
      <w:bdr w:val="single" w:color="CDCCCC" w:sz="6" w:space="0"/>
    </w:rPr>
  </w:style>
  <w:style w:type="character" w:customStyle="1" w:styleId="76">
    <w:name w:val="tuih6"/>
    <w:basedOn w:val="19"/>
    <w:qFormat/>
    <w:uiPriority w:val="0"/>
    <w:rPr>
      <w:color w:val="57607A"/>
      <w:bdr w:val="single" w:color="CDCCCC" w:sz="6" w:space="0"/>
    </w:rPr>
  </w:style>
  <w:style w:type="character" w:customStyle="1" w:styleId="77">
    <w:name w:val="tuih7"/>
    <w:basedOn w:val="19"/>
    <w:qFormat/>
    <w:uiPriority w:val="0"/>
    <w:rPr>
      <w:color w:val="57607A"/>
      <w:bdr w:val="single" w:color="CDCCCC" w:sz="6" w:space="0"/>
    </w:rPr>
  </w:style>
  <w:style w:type="character" w:customStyle="1" w:styleId="78">
    <w:name w:val="tuih8"/>
    <w:basedOn w:val="19"/>
    <w:qFormat/>
    <w:uiPriority w:val="0"/>
    <w:rPr>
      <w:color w:val="57607A"/>
      <w:bdr w:val="single" w:color="CDCCCC" w:sz="6" w:space="0"/>
    </w:rPr>
  </w:style>
  <w:style w:type="character" w:customStyle="1" w:styleId="79">
    <w:name w:val="tuih9"/>
    <w:basedOn w:val="19"/>
    <w:qFormat/>
    <w:uiPriority w:val="0"/>
    <w:rPr>
      <w:color w:val="57607A"/>
      <w:bdr w:val="single" w:color="CDCCCC" w:sz="6" w:space="0"/>
    </w:rPr>
  </w:style>
  <w:style w:type="character" w:customStyle="1" w:styleId="80">
    <w:name w:val="tuih10"/>
    <w:basedOn w:val="19"/>
    <w:qFormat/>
    <w:uiPriority w:val="0"/>
    <w:rPr>
      <w:color w:val="57607A"/>
      <w:bdr w:val="single" w:color="CDCCCC" w:sz="6" w:space="0"/>
    </w:rPr>
  </w:style>
  <w:style w:type="character" w:customStyle="1" w:styleId="81">
    <w:name w:val="tuih11"/>
    <w:basedOn w:val="19"/>
    <w:qFormat/>
    <w:uiPriority w:val="0"/>
    <w:rPr>
      <w:color w:val="57607A"/>
      <w:bdr w:val="single" w:color="CDCCCC" w:sz="6" w:space="0"/>
    </w:rPr>
  </w:style>
  <w:style w:type="character" w:customStyle="1" w:styleId="82">
    <w:name w:val="tuih12"/>
    <w:basedOn w:val="19"/>
    <w:qFormat/>
    <w:uiPriority w:val="0"/>
    <w:rPr>
      <w:color w:val="57607A"/>
      <w:bdr w:val="single" w:color="CDCCCC" w:sz="6" w:space="0"/>
    </w:rPr>
  </w:style>
  <w:style w:type="character" w:customStyle="1" w:styleId="83">
    <w:name w:val="tuih13"/>
    <w:basedOn w:val="19"/>
    <w:qFormat/>
    <w:uiPriority w:val="0"/>
    <w:rPr>
      <w:color w:val="57607A"/>
      <w:bdr w:val="single" w:color="CDCCCC" w:sz="6" w:space="0"/>
    </w:rPr>
  </w:style>
  <w:style w:type="character" w:customStyle="1" w:styleId="84">
    <w:name w:val="redline"/>
    <w:basedOn w:val="19"/>
    <w:qFormat/>
    <w:uiPriority w:val="0"/>
    <w:rPr>
      <w:color w:val="FF0000"/>
    </w:rPr>
  </w:style>
  <w:style w:type="character" w:customStyle="1" w:styleId="85">
    <w:name w:val="redline1"/>
    <w:basedOn w:val="19"/>
    <w:qFormat/>
    <w:uiPriority w:val="0"/>
    <w:rPr>
      <w:color w:val="FF0000"/>
    </w:rPr>
  </w:style>
  <w:style w:type="character" w:customStyle="1" w:styleId="86">
    <w:name w:val="danger"/>
    <w:basedOn w:val="19"/>
    <w:qFormat/>
    <w:uiPriority w:val="0"/>
    <w:rPr>
      <w:color w:val="FF2200"/>
    </w:rPr>
  </w:style>
  <w:style w:type="character" w:customStyle="1" w:styleId="87">
    <w:name w:val="icon_bj"/>
    <w:basedOn w:val="19"/>
    <w:qFormat/>
    <w:uiPriority w:val="0"/>
    <w:rPr>
      <w:color w:val="FFFFFF"/>
      <w:sz w:val="18"/>
      <w:szCs w:val="18"/>
      <w:shd w:val="clear" w:fill="4A90E2"/>
    </w:rPr>
  </w:style>
  <w:style w:type="character" w:customStyle="1" w:styleId="88">
    <w:name w:val="icon_bj1"/>
    <w:basedOn w:val="19"/>
    <w:qFormat/>
    <w:uiPriority w:val="0"/>
    <w:rPr>
      <w:color w:val="FFFFFF"/>
      <w:sz w:val="18"/>
      <w:szCs w:val="18"/>
      <w:shd w:val="clear" w:fill="4A90E2"/>
    </w:rPr>
  </w:style>
  <w:style w:type="character" w:customStyle="1" w:styleId="89">
    <w:name w:val="icon_bj2"/>
    <w:basedOn w:val="19"/>
    <w:qFormat/>
    <w:uiPriority w:val="0"/>
    <w:rPr>
      <w:color w:val="FFFFFF"/>
      <w:sz w:val="18"/>
      <w:szCs w:val="18"/>
      <w:shd w:val="clear" w:fill="4A90E2"/>
    </w:rPr>
  </w:style>
  <w:style w:type="character" w:customStyle="1" w:styleId="90">
    <w:name w:val="icon_bj3"/>
    <w:basedOn w:val="19"/>
    <w:qFormat/>
    <w:uiPriority w:val="0"/>
    <w:rPr>
      <w:color w:val="FFFFFF"/>
      <w:sz w:val="18"/>
      <w:szCs w:val="18"/>
      <w:shd w:val="clear" w:fill="4A90E2"/>
    </w:rPr>
  </w:style>
  <w:style w:type="character" w:customStyle="1" w:styleId="91">
    <w:name w:val="icon_bj4"/>
    <w:basedOn w:val="19"/>
    <w:qFormat/>
    <w:uiPriority w:val="0"/>
    <w:rPr>
      <w:color w:val="FFFFFF"/>
      <w:sz w:val="18"/>
      <w:szCs w:val="18"/>
      <w:shd w:val="clear" w:fill="4A90E2"/>
    </w:rPr>
  </w:style>
  <w:style w:type="character" w:customStyle="1" w:styleId="92">
    <w:name w:val="icon_bj5"/>
    <w:basedOn w:val="19"/>
    <w:qFormat/>
    <w:uiPriority w:val="0"/>
    <w:rPr>
      <w:color w:val="FFFFFF"/>
      <w:sz w:val="18"/>
      <w:szCs w:val="18"/>
      <w:shd w:val="clear" w:fill="4A90E2"/>
    </w:rPr>
  </w:style>
  <w:style w:type="character" w:customStyle="1" w:styleId="93">
    <w:name w:val="icon_bj6"/>
    <w:basedOn w:val="19"/>
    <w:qFormat/>
    <w:uiPriority w:val="0"/>
    <w:rPr>
      <w:color w:val="FFFFFF"/>
      <w:sz w:val="18"/>
      <w:szCs w:val="18"/>
      <w:shd w:val="clear" w:fill="4A90E2"/>
    </w:rPr>
  </w:style>
  <w:style w:type="character" w:customStyle="1" w:styleId="94">
    <w:name w:val="icon_bj7"/>
    <w:basedOn w:val="19"/>
    <w:qFormat/>
    <w:uiPriority w:val="0"/>
    <w:rPr>
      <w:color w:val="FFFFFF"/>
      <w:sz w:val="18"/>
      <w:szCs w:val="18"/>
      <w:shd w:val="clear" w:fill="4A90E2"/>
    </w:rPr>
  </w:style>
  <w:style w:type="character" w:customStyle="1" w:styleId="95">
    <w:name w:val="icon_bj8"/>
    <w:basedOn w:val="19"/>
    <w:qFormat/>
    <w:uiPriority w:val="0"/>
    <w:rPr>
      <w:color w:val="FFFFFF"/>
      <w:sz w:val="18"/>
      <w:szCs w:val="18"/>
      <w:shd w:val="clear" w:fill="4A90E2"/>
    </w:rPr>
  </w:style>
  <w:style w:type="character" w:customStyle="1" w:styleId="96">
    <w:name w:val="sl"/>
    <w:basedOn w:val="19"/>
    <w:qFormat/>
    <w:uiPriority w:val="0"/>
    <w:rPr>
      <w:sz w:val="18"/>
      <w:szCs w:val="18"/>
    </w:rPr>
  </w:style>
  <w:style w:type="character" w:customStyle="1" w:styleId="97">
    <w:name w:val="heighthight"/>
    <w:basedOn w:val="19"/>
    <w:qFormat/>
    <w:uiPriority w:val="0"/>
    <w:rPr>
      <w:color w:val="FAAE14"/>
    </w:rPr>
  </w:style>
  <w:style w:type="character" w:customStyle="1" w:styleId="98">
    <w:name w:val="heighthight1"/>
    <w:basedOn w:val="19"/>
    <w:qFormat/>
    <w:uiPriority w:val="0"/>
    <w:rPr>
      <w:color w:val="FAAE14"/>
    </w:rPr>
  </w:style>
  <w:style w:type="character" w:customStyle="1" w:styleId="99">
    <w:name w:val="heighthight2"/>
    <w:basedOn w:val="19"/>
    <w:qFormat/>
    <w:uiPriority w:val="0"/>
    <w:rPr>
      <w:color w:val="FAAE14"/>
    </w:rPr>
  </w:style>
  <w:style w:type="character" w:customStyle="1" w:styleId="100">
    <w:name w:val="heighthight3"/>
    <w:basedOn w:val="19"/>
    <w:qFormat/>
    <w:uiPriority w:val="0"/>
    <w:rPr>
      <w:color w:val="FAAE14"/>
    </w:rPr>
  </w:style>
  <w:style w:type="character" w:customStyle="1" w:styleId="101">
    <w:name w:val="heighthight4"/>
    <w:basedOn w:val="19"/>
    <w:qFormat/>
    <w:uiPriority w:val="0"/>
    <w:rPr>
      <w:color w:val="FAAE14"/>
    </w:rPr>
  </w:style>
  <w:style w:type="character" w:customStyle="1" w:styleId="102">
    <w:name w:val="heighthight5"/>
    <w:basedOn w:val="19"/>
    <w:qFormat/>
    <w:uiPriority w:val="0"/>
    <w:rPr>
      <w:color w:val="FAAE14"/>
    </w:rPr>
  </w:style>
  <w:style w:type="character" w:customStyle="1" w:styleId="103">
    <w:name w:val="heighthight6"/>
    <w:basedOn w:val="19"/>
    <w:qFormat/>
    <w:uiPriority w:val="0"/>
    <w:rPr>
      <w:color w:val="FAAE14"/>
    </w:rPr>
  </w:style>
  <w:style w:type="character" w:customStyle="1" w:styleId="104">
    <w:name w:val="success"/>
    <w:basedOn w:val="19"/>
    <w:qFormat/>
    <w:uiPriority w:val="0"/>
    <w:rPr>
      <w:color w:val="2DC12D"/>
    </w:rPr>
  </w:style>
  <w:style w:type="character" w:customStyle="1" w:styleId="105">
    <w:name w:val="selected"/>
    <w:basedOn w:val="19"/>
    <w:qFormat/>
    <w:uiPriority w:val="0"/>
    <w:rPr>
      <w:color w:val="1B78FF"/>
      <w:bdr w:val="single" w:color="3177FD" w:sz="6" w:space="0"/>
    </w:rPr>
  </w:style>
  <w:style w:type="character" w:customStyle="1" w:styleId="106">
    <w:name w:val="selected1"/>
    <w:basedOn w:val="19"/>
    <w:qFormat/>
    <w:uiPriority w:val="0"/>
    <w:rPr>
      <w:color w:val="1B78FF"/>
      <w:bdr w:val="single" w:color="3177FD" w:sz="6" w:space="0"/>
    </w:rPr>
  </w:style>
  <w:style w:type="character" w:customStyle="1" w:styleId="107">
    <w:name w:val="lastquotetag"/>
    <w:basedOn w:val="19"/>
    <w:qFormat/>
    <w:uiPriority w:val="0"/>
    <w:rPr>
      <w:vanish/>
      <w:sz w:val="18"/>
      <w:szCs w:val="18"/>
      <w:bdr w:val="single" w:color="FFA27A" w:sz="6" w:space="0"/>
      <w:shd w:val="clear" w:fill="FFEFE6"/>
    </w:rPr>
  </w:style>
  <w:style w:type="character" w:customStyle="1" w:styleId="108">
    <w:name w:val="zige"/>
    <w:basedOn w:val="19"/>
    <w:qFormat/>
    <w:uiPriority w:val="0"/>
  </w:style>
  <w:style w:type="character" w:customStyle="1" w:styleId="109">
    <w:name w:val="select"/>
    <w:basedOn w:val="19"/>
    <w:qFormat/>
    <w:uiPriority w:val="0"/>
    <w:rPr>
      <w:color w:val="FFFFFF"/>
      <w:shd w:val="clear" w:fill="3595F8"/>
    </w:rPr>
  </w:style>
  <w:style w:type="character" w:customStyle="1" w:styleId="110">
    <w:name w:val="layui-layer-tabnow"/>
    <w:basedOn w:val="19"/>
    <w:qFormat/>
    <w:uiPriority w:val="0"/>
    <w:rPr>
      <w:bdr w:val="single" w:color="CCCCCC" w:sz="6" w:space="0"/>
      <w:shd w:val="clear" w:fill="FFFFFF"/>
    </w:rPr>
  </w:style>
  <w:style w:type="character" w:customStyle="1" w:styleId="111">
    <w:name w:val="first-child"/>
    <w:basedOn w:val="19"/>
    <w:qFormat/>
    <w:uiPriority w:val="0"/>
  </w:style>
  <w:style w:type="paragraph" w:styleId="112">
    <w:name w:val="List Paragraph"/>
    <w:basedOn w:val="1"/>
    <w:qFormat/>
    <w:uiPriority w:val="34"/>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4997</Words>
  <Characters>28485</Characters>
  <Lines>237</Lines>
  <Paragraphs>66</Paragraphs>
  <TotalTime>15</TotalTime>
  <ScaleCrop>false</ScaleCrop>
  <LinksUpToDate>false</LinksUpToDate>
  <CharactersWithSpaces>33416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2020-06-16T08:04:00Z</dcterms:created>
  <dc:creator>Mrs.</dc:creator>
  <cp:lastModifiedBy>Mrs.</cp:lastModifiedBy>
  <cp:lastPrinted>2020-07-16T01:25:16Z</cp:lastPrinted>
  <dcterms:modified xsi:type="dcterms:W3CDTF">2020-07-16T01:25:50Z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