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color w:val="auto"/>
          <w:sz w:val="44"/>
          <w:szCs w:val="44"/>
        </w:rPr>
      </w:pPr>
    </w:p>
    <w:p>
      <w:pPr>
        <w:jc w:val="center"/>
        <w:rPr>
          <w:rFonts w:hint="eastAsia" w:asciiTheme="minorEastAsia" w:hAnsiTheme="minorEastAsia" w:eastAsiaTheme="minorEastAsia"/>
          <w:bCs/>
          <w:color w:val="auto"/>
          <w:sz w:val="56"/>
          <w:lang w:eastAsia="zh-CN"/>
        </w:rPr>
      </w:pPr>
      <w:r>
        <w:rPr>
          <w:rFonts w:hint="eastAsia" w:asciiTheme="minorEastAsia" w:hAnsiTheme="minorEastAsia" w:eastAsiaTheme="minorEastAsia"/>
          <w:bCs/>
          <w:color w:val="auto"/>
          <w:sz w:val="56"/>
          <w:lang w:eastAsia="zh-CN"/>
        </w:rPr>
        <w:t>广西建通工程咨询有限责任公司</w:t>
      </w:r>
    </w:p>
    <w:p>
      <w:pPr>
        <w:pStyle w:val="2"/>
        <w:rPr>
          <w:color w:val="auto"/>
        </w:rPr>
      </w:pPr>
    </w:p>
    <w:p>
      <w:pPr>
        <w:pStyle w:val="16"/>
        <w:rPr>
          <w:rFonts w:asciiTheme="minorEastAsia" w:hAnsiTheme="minorEastAsia" w:eastAsiaTheme="minorEastAsia"/>
          <w:color w:val="auto"/>
          <w:sz w:val="72"/>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120"/>
          <w:szCs w:val="120"/>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olor w:val="auto"/>
          <w:sz w:val="120"/>
          <w:szCs w:val="120"/>
          <w14:shadow w14:blurRad="50800" w14:dist="38100" w14:dir="2700000" w14:sx="100000" w14:sy="100000" w14:kx="0" w14:ky="0" w14:algn="tl">
            <w14:srgbClr w14:val="000000">
              <w14:alpha w14:val="60000"/>
            </w14:srgbClr>
          </w14:shadow>
        </w:rPr>
        <w:t>竞争性谈判文件</w:t>
      </w: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jc w:val="both"/>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14:shadow w14:blurRad="50800" w14:dist="38100" w14:dir="2700000" w14:sx="100000" w14:sy="100000" w14:kx="0" w14:ky="0" w14:algn="tl">
            <w14:srgbClr w14:val="000000">
              <w14:alpha w14:val="60000"/>
            </w14:srgbClr>
          </w14:shadow>
        </w:rPr>
      </w:pPr>
    </w:p>
    <w:p>
      <w:pPr>
        <w:ind w:left="2269" w:leftChars="304" w:hanging="1600" w:hangingChars="500"/>
        <w:rPr>
          <w:rFonts w:asciiTheme="minorEastAsia" w:hAnsiTheme="minorEastAsia" w:eastAsiaTheme="minorEastAsia"/>
          <w:color w:val="auto"/>
          <w:highlight w:val="none"/>
        </w:rPr>
      </w:pPr>
      <w:r>
        <w:rPr>
          <w:rFonts w:hint="eastAsia" w:asciiTheme="minorEastAsia" w:hAnsiTheme="minorEastAsia" w:eastAsiaTheme="minorEastAsia"/>
          <w:color w:val="auto"/>
          <w:sz w:val="32"/>
        </w:rPr>
        <w:t>项目名称</w:t>
      </w:r>
      <w:r>
        <w:rPr>
          <w:rFonts w:hint="eastAsia" w:asciiTheme="minorEastAsia" w:hAnsiTheme="minorEastAsia" w:eastAsiaTheme="minorEastAsia"/>
          <w:color w:val="auto"/>
          <w:sz w:val="32"/>
          <w:highlight w:val="none"/>
          <w:lang w:val="en-US" w:eastAsia="zh-CN"/>
        </w:rPr>
        <w:t>:2019年义教薄改和能力提升中小学教学设备采购</w:t>
      </w:r>
    </w:p>
    <w:p>
      <w:pPr>
        <w:pStyle w:val="16"/>
        <w:ind w:firstLine="640" w:firstLineChars="200"/>
        <w:jc w:val="both"/>
        <w:rPr>
          <w:rFonts w:hint="eastAsia" w:asciiTheme="minorEastAsia" w:hAnsiTheme="minorEastAsia" w:eastAsiaTheme="minorEastAsia"/>
          <w:color w:val="auto"/>
          <w:sz w:val="32"/>
          <w:highlight w:val="none"/>
          <w:lang w:eastAsia="zh-CN"/>
        </w:rPr>
      </w:pPr>
      <w:r>
        <w:rPr>
          <w:rFonts w:hint="eastAsia" w:asciiTheme="minorEastAsia" w:hAnsiTheme="minorEastAsia" w:eastAsiaTheme="minorEastAsia"/>
          <w:color w:val="auto"/>
          <w:sz w:val="32"/>
          <w:highlight w:val="none"/>
        </w:rPr>
        <w:t>项目编号：</w:t>
      </w:r>
      <w:r>
        <w:rPr>
          <w:rFonts w:hint="eastAsia" w:asciiTheme="minorEastAsia" w:hAnsiTheme="minorEastAsia" w:eastAsiaTheme="minorEastAsia"/>
          <w:color w:val="auto"/>
          <w:sz w:val="32"/>
          <w:highlight w:val="none"/>
          <w:lang w:eastAsia="zh-CN"/>
        </w:rPr>
        <w:t>FCZC2020-J1-20002-GXJT</w:t>
      </w:r>
    </w:p>
    <w:p>
      <w:pPr>
        <w:pStyle w:val="16"/>
        <w:ind w:firstLine="640" w:firstLineChars="200"/>
        <w:jc w:val="both"/>
        <w:rPr>
          <w:rFonts w:hint="eastAsia" w:asciiTheme="minorEastAsia" w:hAnsiTheme="minorEastAsia" w:eastAsiaTheme="minorEastAsia"/>
          <w:color w:val="auto"/>
          <w:sz w:val="32"/>
          <w:lang w:eastAsia="zh-CN"/>
        </w:rPr>
      </w:pPr>
    </w:p>
    <w:p>
      <w:pPr>
        <w:ind w:firstLine="640" w:firstLineChars="200"/>
        <w:rPr>
          <w:rFonts w:hint="eastAsia" w:asciiTheme="minorEastAsia" w:hAnsiTheme="minorEastAsia" w:eastAsiaTheme="minorEastAsia"/>
          <w:color w:val="auto"/>
          <w:sz w:val="32"/>
          <w:lang w:eastAsia="zh-CN"/>
        </w:rPr>
      </w:pPr>
      <w:r>
        <w:rPr>
          <w:rFonts w:hint="eastAsia" w:asciiTheme="minorEastAsia" w:hAnsiTheme="minorEastAsia" w:eastAsiaTheme="minorEastAsia"/>
          <w:color w:val="auto"/>
          <w:sz w:val="32"/>
        </w:rPr>
        <w:t>采购人：</w:t>
      </w:r>
      <w:r>
        <w:rPr>
          <w:rFonts w:hint="eastAsia" w:asciiTheme="minorEastAsia" w:hAnsiTheme="minorEastAsia" w:eastAsiaTheme="minorEastAsia"/>
          <w:bCs/>
          <w:color w:val="auto"/>
          <w:sz w:val="32"/>
          <w:szCs w:val="32"/>
          <w:lang w:eastAsia="zh-CN"/>
        </w:rPr>
        <w:t>防城港市港口区教育和科学技术局</w:t>
      </w:r>
    </w:p>
    <w:p>
      <w:pPr>
        <w:pStyle w:val="16"/>
        <w:spacing w:line="600" w:lineRule="exact"/>
        <w:ind w:right="-273" w:rightChars="-124" w:firstLine="640" w:firstLineChars="200"/>
        <w:jc w:val="both"/>
        <w:rPr>
          <w:rFonts w:hint="eastAsia" w:asciiTheme="minorEastAsia" w:hAnsiTheme="minorEastAsia" w:eastAsiaTheme="minorEastAsia"/>
          <w:color w:val="auto"/>
          <w:sz w:val="32"/>
          <w:lang w:eastAsia="zh-CN"/>
        </w:rPr>
      </w:pPr>
      <w:r>
        <w:rPr>
          <w:rFonts w:hint="eastAsia" w:asciiTheme="minorEastAsia" w:hAnsiTheme="minorEastAsia" w:eastAsiaTheme="minorEastAsia"/>
          <w:color w:val="auto"/>
          <w:sz w:val="32"/>
        </w:rPr>
        <w:t>采购代理机构：</w:t>
      </w:r>
      <w:r>
        <w:rPr>
          <w:rFonts w:hint="eastAsia" w:asciiTheme="minorEastAsia" w:hAnsiTheme="minorEastAsia" w:eastAsiaTheme="minorEastAsia"/>
          <w:color w:val="auto"/>
          <w:sz w:val="32"/>
          <w:lang w:eastAsia="zh-CN"/>
        </w:rPr>
        <w:t>广西建通工程咨询有限责任公司</w:t>
      </w:r>
    </w:p>
    <w:p>
      <w:pPr>
        <w:spacing w:line="5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lang w:val="en-US" w:eastAsia="zh-CN"/>
        </w:rPr>
        <w:t>2020</w:t>
      </w:r>
      <w:r>
        <w:rPr>
          <w:rFonts w:hint="eastAsia" w:asciiTheme="minorEastAsia" w:hAnsiTheme="minorEastAsia" w:eastAsiaTheme="minorEastAsia"/>
          <w:color w:val="auto"/>
          <w:sz w:val="32"/>
        </w:rPr>
        <w:t>年</w:t>
      </w:r>
      <w:r>
        <w:rPr>
          <w:rFonts w:hint="eastAsia" w:asciiTheme="minorEastAsia" w:hAnsiTheme="minorEastAsia" w:eastAsiaTheme="minorEastAsia"/>
          <w:color w:val="auto"/>
          <w:sz w:val="32"/>
          <w:lang w:val="en-US" w:eastAsia="zh-CN"/>
        </w:rPr>
        <w:t>7</w:t>
      </w:r>
      <w:r>
        <w:rPr>
          <w:rFonts w:hint="eastAsia" w:asciiTheme="minorEastAsia" w:hAnsiTheme="minorEastAsia" w:eastAsiaTheme="minorEastAsia"/>
          <w:color w:val="auto"/>
          <w:sz w:val="32"/>
        </w:rPr>
        <w:t xml:space="preserve"> 月</w:t>
      </w:r>
    </w:p>
    <w:p>
      <w:pPr>
        <w:rPr>
          <w:rFonts w:asciiTheme="minorEastAsia" w:hAnsiTheme="minorEastAsia" w:eastAsiaTheme="minorEastAsia"/>
          <w:color w:val="auto"/>
          <w:sz w:val="32"/>
          <w:szCs w:val="32"/>
        </w:rPr>
        <w:sectPr>
          <w:headerReference r:id="rId4" w:type="first"/>
          <w:headerReference r:id="rId3" w:type="default"/>
          <w:footerReference r:id="rId5" w:type="default"/>
          <w:footerReference r:id="rId6" w:type="even"/>
          <w:pgSz w:w="11907" w:h="16840"/>
          <w:pgMar w:top="1077" w:right="1418" w:bottom="1418" w:left="1077" w:header="624" w:footer="737" w:gutter="0"/>
          <w:pgNumType w:start="1"/>
          <w:cols w:space="720" w:num="1"/>
          <w:titlePg/>
          <w:docGrid w:linePitch="312" w:charSpace="0"/>
        </w:sectPr>
      </w:pPr>
      <w:bookmarkStart w:id="0" w:name="_Toc246095451"/>
      <w:bookmarkStart w:id="1" w:name="_Toc246095513"/>
      <w:bookmarkStart w:id="2" w:name="_Toc246094907"/>
    </w:p>
    <w:p>
      <w:pPr>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目  录</w:t>
      </w:r>
    </w:p>
    <w:p>
      <w:pPr>
        <w:spacing w:line="400" w:lineRule="exact"/>
        <w:rPr>
          <w:rFonts w:asciiTheme="minorEastAsia" w:hAnsiTheme="minorEastAsia" w:eastAsiaTheme="minorEastAsia"/>
          <w:color w:val="auto"/>
          <w:sz w:val="28"/>
          <w:szCs w:val="28"/>
        </w:rPr>
      </w:pPr>
    </w:p>
    <w:p>
      <w:pPr>
        <w:pStyle w:val="27"/>
        <w:tabs>
          <w:tab w:val="right" w:leader="dot" w:pos="9402"/>
        </w:tabs>
        <w:rPr>
          <w:rFonts w:asciiTheme="minorEastAsia" w:hAnsiTheme="minorEastAsia" w:eastAsiaTheme="minorEastAsia" w:cstheme="minorBidi"/>
          <w:b w:val="0"/>
          <w:bCs w:val="0"/>
          <w:caps w:val="0"/>
          <w:color w:val="auto"/>
          <w:sz w:val="28"/>
          <w:szCs w:val="28"/>
        </w:rPr>
      </w:pPr>
      <w:r>
        <w:rPr>
          <w:rFonts w:hint="eastAsia" w:cs="仿宋" w:asciiTheme="minorEastAsia" w:hAnsiTheme="minorEastAsia" w:eastAsiaTheme="minorEastAsia"/>
          <w:b w:val="0"/>
          <w:color w:val="auto"/>
          <w:sz w:val="28"/>
          <w:szCs w:val="28"/>
        </w:rPr>
        <w:fldChar w:fldCharType="begin"/>
      </w:r>
      <w:r>
        <w:rPr>
          <w:rFonts w:hint="eastAsia" w:cs="仿宋" w:asciiTheme="minorEastAsia" w:hAnsiTheme="minorEastAsia" w:eastAsiaTheme="minorEastAsia"/>
          <w:b w:val="0"/>
          <w:color w:val="auto"/>
          <w:sz w:val="28"/>
          <w:szCs w:val="28"/>
        </w:rPr>
        <w:instrText xml:space="preserve"> TOC \o "1-3" \h \z \u </w:instrText>
      </w:r>
      <w:r>
        <w:rPr>
          <w:rFonts w:hint="eastAsia" w:cs="仿宋" w:asciiTheme="minorEastAsia" w:hAnsiTheme="minorEastAsia" w:eastAsiaTheme="minorEastAsia"/>
          <w:b w:val="0"/>
          <w:color w:val="auto"/>
          <w:sz w:val="28"/>
          <w:szCs w:val="28"/>
        </w:rPr>
        <w:fldChar w:fldCharType="separate"/>
      </w:r>
      <w:r>
        <w:rPr>
          <w:color w:val="auto"/>
        </w:rPr>
        <w:fldChar w:fldCharType="begin"/>
      </w:r>
      <w:r>
        <w:rPr>
          <w:color w:val="auto"/>
        </w:rPr>
        <w:instrText xml:space="preserve"> HYPERLINK \l "_Toc7192541" </w:instrText>
      </w:r>
      <w:r>
        <w:rPr>
          <w:color w:val="auto"/>
        </w:rPr>
        <w:fldChar w:fldCharType="separate"/>
      </w:r>
      <w:r>
        <w:rPr>
          <w:rStyle w:val="43"/>
          <w:rFonts w:asciiTheme="minorEastAsia" w:hAnsiTheme="minorEastAsia" w:eastAsiaTheme="minorEastAsia"/>
          <w:b w:val="0"/>
          <w:color w:val="auto"/>
          <w:sz w:val="28"/>
          <w:szCs w:val="28"/>
        </w:rPr>
        <w:t>第一章  竞争性谈判公告</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_Toc7192541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1</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"_Toc7192542" </w:instrText>
      </w:r>
      <w:r>
        <w:rPr>
          <w:color w:val="auto"/>
        </w:rPr>
        <w:fldChar w:fldCharType="separate"/>
      </w:r>
      <w:r>
        <w:rPr>
          <w:rStyle w:val="43"/>
          <w:rFonts w:asciiTheme="minorEastAsia" w:hAnsiTheme="minorEastAsia" w:eastAsiaTheme="minorEastAsia"/>
          <w:b w:val="0"/>
          <w:color w:val="auto"/>
          <w:sz w:val="28"/>
          <w:szCs w:val="28"/>
        </w:rPr>
        <w:t>第二章  供应商须知</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_Toc7192542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1</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"_Toc7192543" </w:instrText>
      </w:r>
      <w:r>
        <w:rPr>
          <w:color w:val="auto"/>
        </w:rPr>
        <w:fldChar w:fldCharType="separate"/>
      </w:r>
      <w:r>
        <w:rPr>
          <w:rStyle w:val="43"/>
          <w:rFonts w:asciiTheme="minorEastAsia" w:hAnsiTheme="minorEastAsia" w:eastAsiaTheme="minorEastAsia"/>
          <w:color w:val="auto"/>
          <w:sz w:val="28"/>
          <w:szCs w:val="28"/>
        </w:rPr>
        <w:t>供应商须知前附表</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"_Toc7192544" </w:instrText>
      </w:r>
      <w:r>
        <w:rPr>
          <w:color w:val="auto"/>
        </w:rPr>
        <w:fldChar w:fldCharType="separate"/>
      </w:r>
      <w:r>
        <w:rPr>
          <w:rStyle w:val="43"/>
          <w:rFonts w:asciiTheme="minorEastAsia" w:hAnsiTheme="minorEastAsia" w:eastAsiaTheme="minorEastAsia"/>
          <w:color w:val="auto"/>
          <w:sz w:val="28"/>
          <w:szCs w:val="28"/>
        </w:rPr>
        <w:t>一、总则</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"_Toc7192545" </w:instrText>
      </w:r>
      <w:r>
        <w:rPr>
          <w:color w:val="auto"/>
        </w:rPr>
        <w:fldChar w:fldCharType="separate"/>
      </w:r>
      <w:r>
        <w:rPr>
          <w:rStyle w:val="43"/>
          <w:rFonts w:asciiTheme="minorEastAsia" w:hAnsiTheme="minorEastAsia" w:eastAsiaTheme="minorEastAsia"/>
          <w:color w:val="auto"/>
          <w:sz w:val="28"/>
          <w:szCs w:val="28"/>
        </w:rPr>
        <w:t>二、竞争性谈判文件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_Toc7192545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"_Toc7192546" </w:instrText>
      </w:r>
      <w:r>
        <w:rPr>
          <w:color w:val="auto"/>
        </w:rPr>
        <w:fldChar w:fldCharType="separate"/>
      </w:r>
      <w:r>
        <w:rPr>
          <w:rStyle w:val="43"/>
          <w:rFonts w:asciiTheme="minorEastAsia" w:hAnsiTheme="minorEastAsia" w:eastAsiaTheme="minorEastAsia"/>
          <w:color w:val="auto"/>
          <w:sz w:val="28"/>
          <w:szCs w:val="28"/>
        </w:rPr>
        <w:t>三、响应文件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_Toc7192546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"_Toc7192547" </w:instrText>
      </w:r>
      <w:r>
        <w:rPr>
          <w:color w:val="auto"/>
        </w:rPr>
        <w:fldChar w:fldCharType="separate"/>
      </w:r>
      <w:r>
        <w:rPr>
          <w:rStyle w:val="43"/>
          <w:rFonts w:asciiTheme="minorEastAsia" w:hAnsiTheme="minorEastAsia" w:eastAsiaTheme="minorEastAsia"/>
          <w:color w:val="auto"/>
          <w:sz w:val="28"/>
          <w:szCs w:val="28"/>
        </w:rPr>
        <w:t>四、谈判与评审</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_Toc7192547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"_Toc7192548" </w:instrText>
      </w:r>
      <w:r>
        <w:rPr>
          <w:color w:val="auto"/>
        </w:rPr>
        <w:fldChar w:fldCharType="separate"/>
      </w:r>
      <w:r>
        <w:rPr>
          <w:rStyle w:val="43"/>
          <w:rFonts w:asciiTheme="minorEastAsia" w:hAnsiTheme="minorEastAsia" w:eastAsiaTheme="minorEastAsia"/>
          <w:color w:val="auto"/>
          <w:sz w:val="28"/>
          <w:szCs w:val="28"/>
        </w:rPr>
        <w:t>五、评审结果</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_Toc7192548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"_Toc7192549" </w:instrText>
      </w:r>
      <w:r>
        <w:rPr>
          <w:color w:val="auto"/>
        </w:rPr>
        <w:fldChar w:fldCharType="separate"/>
      </w:r>
      <w:r>
        <w:rPr>
          <w:rStyle w:val="43"/>
          <w:rFonts w:asciiTheme="minorEastAsia" w:hAnsiTheme="minorEastAsia" w:eastAsiaTheme="minorEastAsia"/>
          <w:color w:val="auto"/>
          <w:sz w:val="28"/>
          <w:szCs w:val="28"/>
        </w:rPr>
        <w:t>六、合同授予</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_Toc7192549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"_Toc7192550" </w:instrText>
      </w:r>
      <w:r>
        <w:rPr>
          <w:color w:val="auto"/>
        </w:rPr>
        <w:fldChar w:fldCharType="separate"/>
      </w:r>
      <w:r>
        <w:rPr>
          <w:rStyle w:val="43"/>
          <w:rFonts w:asciiTheme="minorEastAsia" w:hAnsiTheme="minorEastAsia" w:eastAsiaTheme="minorEastAsia"/>
          <w:color w:val="auto"/>
          <w:sz w:val="28"/>
          <w:szCs w:val="28"/>
        </w:rPr>
        <w:t>七、其他</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_Toc7192550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"_Toc7192551" </w:instrText>
      </w:r>
      <w:r>
        <w:rPr>
          <w:color w:val="auto"/>
        </w:rPr>
        <w:fldChar w:fldCharType="separate"/>
      </w:r>
      <w:r>
        <w:rPr>
          <w:rStyle w:val="43"/>
          <w:rFonts w:asciiTheme="minorEastAsia" w:hAnsiTheme="minorEastAsia" w:eastAsiaTheme="minorEastAsia"/>
          <w:b w:val="0"/>
          <w:color w:val="auto"/>
          <w:sz w:val="28"/>
          <w:szCs w:val="28"/>
        </w:rPr>
        <w:t>第三章  项目采购需求和说明</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_Toc7192551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24</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"_Toc7192552" </w:instrText>
      </w:r>
      <w:r>
        <w:rPr>
          <w:color w:val="auto"/>
        </w:rPr>
        <w:fldChar w:fldCharType="separate"/>
      </w:r>
      <w:r>
        <w:rPr>
          <w:rStyle w:val="43"/>
          <w:rFonts w:asciiTheme="minorEastAsia" w:hAnsiTheme="minorEastAsia" w:eastAsiaTheme="minorEastAsia"/>
          <w:b w:val="0"/>
          <w:color w:val="auto"/>
          <w:sz w:val="28"/>
          <w:szCs w:val="28"/>
        </w:rPr>
        <w:t>第四章  评审方法及评审标准</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_Toc7192552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44</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"_Toc7192553" </w:instrText>
      </w:r>
      <w:r>
        <w:rPr>
          <w:color w:val="auto"/>
        </w:rPr>
        <w:fldChar w:fldCharType="separate"/>
      </w:r>
      <w:r>
        <w:rPr>
          <w:rStyle w:val="43"/>
          <w:rFonts w:cs="Arial" w:asciiTheme="minorEastAsia" w:hAnsiTheme="minorEastAsia" w:eastAsiaTheme="minorEastAsia"/>
          <w:bCs/>
          <w:color w:val="auto"/>
          <w:sz w:val="28"/>
          <w:szCs w:val="28"/>
        </w:rPr>
        <w:t>一、评审原则</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44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"_Toc7192554" </w:instrText>
      </w:r>
      <w:r>
        <w:rPr>
          <w:color w:val="auto"/>
        </w:rPr>
        <w:fldChar w:fldCharType="separate"/>
      </w:r>
      <w:r>
        <w:rPr>
          <w:rStyle w:val="43"/>
          <w:rFonts w:cs="Arial" w:asciiTheme="minorEastAsia" w:hAnsiTheme="minorEastAsia" w:eastAsiaTheme="minorEastAsia"/>
          <w:bCs/>
          <w:color w:val="auto"/>
          <w:sz w:val="28"/>
          <w:szCs w:val="28"/>
        </w:rPr>
        <w:t>二、评审标准</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45</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2"/>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"_Toc7192555" </w:instrText>
      </w:r>
      <w:r>
        <w:rPr>
          <w:color w:val="auto"/>
        </w:rPr>
        <w:fldChar w:fldCharType="separate"/>
      </w:r>
      <w:r>
        <w:rPr>
          <w:rStyle w:val="43"/>
          <w:rFonts w:cs="Arial" w:asciiTheme="minorEastAsia" w:hAnsiTheme="minorEastAsia" w:eastAsiaTheme="minorEastAsia"/>
          <w:bCs/>
          <w:color w:val="auto"/>
          <w:sz w:val="28"/>
          <w:szCs w:val="28"/>
        </w:rPr>
        <w:t>三、确定成交供应商</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_Toc7192555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48</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"_Toc7192556" </w:instrText>
      </w:r>
      <w:r>
        <w:rPr>
          <w:color w:val="auto"/>
        </w:rPr>
        <w:fldChar w:fldCharType="separate"/>
      </w:r>
      <w:r>
        <w:rPr>
          <w:rStyle w:val="43"/>
          <w:rFonts w:asciiTheme="minorEastAsia" w:hAnsiTheme="minorEastAsia" w:eastAsiaTheme="minorEastAsia"/>
          <w:b w:val="0"/>
          <w:color w:val="auto"/>
          <w:sz w:val="28"/>
          <w:szCs w:val="28"/>
        </w:rPr>
        <w:t>第五章  合同条款</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_Toc7192556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49</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"_Toc7192557" </w:instrText>
      </w:r>
      <w:r>
        <w:rPr>
          <w:color w:val="auto"/>
        </w:rPr>
        <w:fldChar w:fldCharType="separate"/>
      </w:r>
      <w:r>
        <w:rPr>
          <w:rStyle w:val="43"/>
          <w:rFonts w:asciiTheme="minorEastAsia" w:hAnsiTheme="minorEastAsia" w:eastAsiaTheme="minorEastAsia"/>
          <w:b w:val="0"/>
          <w:color w:val="auto"/>
          <w:sz w:val="28"/>
          <w:szCs w:val="28"/>
        </w:rPr>
        <w:t>第六章  响应文件格式</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_Toc7192557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59</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spacing w:line="400" w:lineRule="exact"/>
        <w:ind w:firstLine="280" w:firstLineChars="100"/>
        <w:rPr>
          <w:rFonts w:asciiTheme="minorEastAsia" w:hAnsiTheme="minorEastAsia" w:eastAsiaTheme="minorEastAsia"/>
          <w:color w:val="auto"/>
          <w:sz w:val="20"/>
          <w:szCs w:val="20"/>
        </w:rPr>
        <w:sectPr>
          <w:headerReference r:id="rId7" w:type="first"/>
          <w:footerReference r:id="rId8" w:type="first"/>
          <w:pgSz w:w="11907" w:h="16840"/>
          <w:pgMar w:top="1077" w:right="1418" w:bottom="1418" w:left="1077" w:header="624" w:footer="737" w:gutter="0"/>
          <w:pgNumType w:start="1"/>
          <w:cols w:space="720" w:num="1"/>
          <w:docGrid w:linePitch="312" w:charSpace="0"/>
        </w:sectPr>
      </w:pPr>
      <w:r>
        <w:rPr>
          <w:rFonts w:hint="eastAsia" w:cs="仿宋" w:asciiTheme="minorEastAsia" w:hAnsiTheme="minorEastAsia" w:eastAsiaTheme="minorEastAsia"/>
          <w:bCs/>
          <w:color w:val="auto"/>
          <w:sz w:val="28"/>
          <w:szCs w:val="28"/>
        </w:rPr>
        <w:fldChar w:fldCharType="end"/>
      </w:r>
    </w:p>
    <w:p>
      <w:pPr>
        <w:pStyle w:val="3"/>
        <w:rPr>
          <w:rFonts w:asciiTheme="minorEastAsia" w:hAnsiTheme="minorEastAsia" w:eastAsiaTheme="minorEastAsia"/>
          <w:color w:val="auto"/>
        </w:rPr>
      </w:pPr>
      <w:bookmarkStart w:id="3" w:name="_Toc7192541"/>
      <w:r>
        <w:rPr>
          <w:rFonts w:hint="eastAsia" w:asciiTheme="minorEastAsia" w:hAnsiTheme="minorEastAsia" w:eastAsiaTheme="minorEastAsia"/>
          <w:color w:val="auto"/>
        </w:rPr>
        <w:t>第一章  竞争性谈判公告</w:t>
      </w:r>
      <w:bookmarkEnd w:id="0"/>
      <w:bookmarkEnd w:id="1"/>
      <w:bookmarkEnd w:id="2"/>
      <w:bookmarkEnd w:id="3"/>
    </w:p>
    <w:p>
      <w:pPr>
        <w:spacing w:after="0" w:line="500" w:lineRule="exact"/>
        <w:ind w:firstLine="482" w:firstLineChars="200"/>
        <w:jc w:val="center"/>
        <w:rPr>
          <w:rFonts w:hint="eastAsia" w:ascii="宋体" w:hAnsi="宋体" w:eastAsia="宋体" w:cs="宋体"/>
          <w:b/>
          <w:color w:val="auto"/>
          <w:sz w:val="24"/>
          <w:szCs w:val="24"/>
          <w:highlight w:val="none"/>
        </w:rPr>
      </w:pPr>
      <w:bookmarkStart w:id="4" w:name="_Toc246095514"/>
      <w:bookmarkStart w:id="5" w:name="_Toc246094908"/>
      <w:bookmarkStart w:id="6" w:name="_Toc246095452"/>
      <w:bookmarkStart w:id="7" w:name="_Toc7192542"/>
      <w:r>
        <w:rPr>
          <w:rFonts w:hint="eastAsia" w:ascii="宋体" w:hAnsi="宋体" w:eastAsia="宋体" w:cs="宋体"/>
          <w:b/>
          <w:color w:val="auto"/>
          <w:sz w:val="24"/>
          <w:szCs w:val="24"/>
          <w:lang w:eastAsia="zh-CN"/>
        </w:rPr>
        <w:t>防城港市港口区教育和科学技术局</w:t>
      </w:r>
      <w:r>
        <w:rPr>
          <w:rFonts w:hint="eastAsia" w:ascii="宋体" w:hAnsi="宋体" w:eastAsia="宋体" w:cs="宋体"/>
          <w:b/>
          <w:color w:val="auto"/>
          <w:sz w:val="24"/>
          <w:szCs w:val="24"/>
          <w:highlight w:val="none"/>
        </w:rPr>
        <w:t>2019年义教薄改和能力提升中小学</w:t>
      </w:r>
    </w:p>
    <w:p>
      <w:pPr>
        <w:spacing w:after="0" w:line="500" w:lineRule="exact"/>
        <w:ind w:firstLine="482" w:firstLineChars="200"/>
        <w:jc w:val="center"/>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教学设备采购</w:t>
      </w:r>
      <w:r>
        <w:rPr>
          <w:rFonts w:hint="eastAsia" w:ascii="宋体" w:hAnsi="宋体" w:eastAsia="宋体" w:cs="宋体"/>
          <w:b/>
          <w:color w:val="auto"/>
          <w:sz w:val="24"/>
          <w:szCs w:val="24"/>
        </w:rPr>
        <w:t>竞争性谈判公告</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after="0"/>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2019年义教薄改和能力提升中小学教学设备采购</w:t>
      </w:r>
      <w:r>
        <w:rPr>
          <w:rFonts w:hint="eastAsia" w:ascii="宋体" w:hAnsi="宋体" w:eastAsia="宋体" w:cs="宋体"/>
          <w:color w:val="auto"/>
          <w:sz w:val="24"/>
          <w:szCs w:val="24"/>
          <w:u w:val="none"/>
        </w:rPr>
        <w:t>项目的潜在供应商应在</w:t>
      </w:r>
      <w:r>
        <w:rPr>
          <w:rFonts w:hint="eastAsia" w:ascii="宋体" w:hAnsi="宋体" w:eastAsia="宋体" w:cs="宋体"/>
          <w:color w:val="auto"/>
          <w:sz w:val="24"/>
          <w:szCs w:val="24"/>
        </w:rPr>
        <w:t>网上报名</w:t>
      </w:r>
      <w:r>
        <w:rPr>
          <w:rFonts w:hint="eastAsia" w:ascii="宋体" w:hAnsi="宋体" w:eastAsia="宋体" w:cs="宋体"/>
          <w:color w:val="auto"/>
          <w:sz w:val="24"/>
          <w:szCs w:val="24"/>
          <w:u w:val="none"/>
          <w:lang w:eastAsia="zh-CN"/>
        </w:rPr>
        <w:t>的方式发售。</w:t>
      </w:r>
      <w:r>
        <w:rPr>
          <w:rFonts w:hint="eastAsia" w:ascii="宋体" w:hAnsi="宋体" w:eastAsia="宋体" w:cs="宋体"/>
          <w:color w:val="auto"/>
          <w:sz w:val="24"/>
          <w:szCs w:val="24"/>
          <w:u w:val="none"/>
        </w:rPr>
        <w:t>并于</w:t>
      </w:r>
      <w:r>
        <w:rPr>
          <w:rFonts w:hint="eastAsia" w:ascii="宋体" w:hAnsi="宋体" w:eastAsia="宋体" w:cs="宋体"/>
          <w:color w:val="auto"/>
          <w:sz w:val="24"/>
          <w:szCs w:val="24"/>
          <w:u w:val="none"/>
          <w:lang w:val="en-US" w:eastAsia="zh-CN"/>
        </w:rPr>
        <w:t>2020</w:t>
      </w:r>
      <w:r>
        <w:rPr>
          <w:rFonts w:hint="eastAsia" w:ascii="宋体" w:hAnsi="宋体" w:eastAsia="宋体" w:cs="宋体"/>
          <w:bCs/>
          <w:color w:val="auto"/>
          <w:sz w:val="24"/>
          <w:szCs w:val="24"/>
          <w:u w:val="none"/>
        </w:rPr>
        <w:t>年</w:t>
      </w:r>
      <w:r>
        <w:rPr>
          <w:rFonts w:hint="eastAsia" w:ascii="宋体" w:hAnsi="宋体" w:eastAsia="宋体" w:cs="宋体"/>
          <w:bCs/>
          <w:color w:val="auto"/>
          <w:sz w:val="24"/>
          <w:szCs w:val="24"/>
          <w:u w:val="none"/>
          <w:lang w:val="en-US" w:eastAsia="zh-CN"/>
        </w:rPr>
        <w:t xml:space="preserve"> </w:t>
      </w:r>
      <w:r>
        <w:rPr>
          <w:rFonts w:hint="eastAsia" w:ascii="宋体" w:hAnsi="宋体" w:eastAsia="宋体" w:cs="宋体"/>
          <w:bCs/>
          <w:color w:val="auto"/>
          <w:sz w:val="24"/>
          <w:szCs w:val="24"/>
          <w:u w:val="none"/>
        </w:rPr>
        <w:t>月</w:t>
      </w:r>
      <w:r>
        <w:rPr>
          <w:rFonts w:hint="eastAsia" w:ascii="宋体" w:hAnsi="宋体" w:eastAsia="宋体" w:cs="宋体"/>
          <w:bCs/>
          <w:color w:val="auto"/>
          <w:sz w:val="24"/>
          <w:szCs w:val="24"/>
          <w:u w:val="none"/>
          <w:lang w:val="en-US" w:eastAsia="zh-CN"/>
        </w:rPr>
        <w:t xml:space="preserve"> </w:t>
      </w:r>
      <w:r>
        <w:rPr>
          <w:rFonts w:hint="eastAsia" w:ascii="宋体" w:hAnsi="宋体" w:eastAsia="宋体" w:cs="宋体"/>
          <w:bCs/>
          <w:color w:val="auto"/>
          <w:sz w:val="24"/>
          <w:szCs w:val="24"/>
          <w:u w:val="none"/>
        </w:rPr>
        <w:t>日</w:t>
      </w:r>
      <w:r>
        <w:rPr>
          <w:rFonts w:hint="eastAsia" w:ascii="宋体" w:hAnsi="宋体" w:eastAsia="宋体" w:cs="宋体"/>
          <w:bCs/>
          <w:color w:val="auto"/>
          <w:sz w:val="24"/>
          <w:szCs w:val="24"/>
          <w:u w:val="none"/>
          <w:lang w:eastAsia="zh-CN"/>
        </w:rPr>
        <w:t>上午</w:t>
      </w:r>
      <w:r>
        <w:rPr>
          <w:rFonts w:hint="eastAsia" w:ascii="宋体" w:hAnsi="宋体" w:eastAsia="宋体" w:cs="宋体"/>
          <w:bCs/>
          <w:color w:val="auto"/>
          <w:sz w:val="24"/>
          <w:szCs w:val="24"/>
          <w:u w:val="none"/>
        </w:rPr>
        <w:t>点分（北京时间）前提交响应文件</w:t>
      </w:r>
      <w:r>
        <w:rPr>
          <w:rFonts w:hint="eastAsia" w:ascii="宋体" w:hAnsi="宋体" w:eastAsia="宋体" w:cs="宋体"/>
          <w:color w:val="auto"/>
          <w:sz w:val="24"/>
          <w:szCs w:val="24"/>
          <w:u w:val="none"/>
        </w:rPr>
        <w:t>。</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color w:val="auto"/>
          <w:sz w:val="24"/>
          <w:szCs w:val="24"/>
        </w:rPr>
      </w:pPr>
      <w:bookmarkStart w:id="8" w:name="_Toc28359012"/>
      <w:bookmarkStart w:id="9" w:name="_Toc35393798"/>
      <w:bookmarkStart w:id="10" w:name="_Toc35393629"/>
      <w:bookmarkStart w:id="11" w:name="_Toc28359089"/>
      <w:r>
        <w:rPr>
          <w:rFonts w:hint="eastAsia" w:ascii="宋体" w:hAnsi="宋体" w:eastAsia="宋体" w:cs="宋体"/>
          <w:b w:val="0"/>
          <w:color w:val="auto"/>
          <w:sz w:val="24"/>
          <w:szCs w:val="24"/>
        </w:rPr>
        <w:t>一、项目基本情况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FCZC2020-J1-20002-GXJT</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2019年义教薄改和能力提升中小学教学设备采购</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采购方式：竞争性谈判 </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bCs/>
          <w:color w:val="auto"/>
          <w:sz w:val="24"/>
          <w:szCs w:val="24"/>
        </w:rPr>
        <w:t>人民币</w:t>
      </w:r>
      <w:r>
        <w:rPr>
          <w:rFonts w:hint="eastAsia" w:ascii="宋体" w:hAnsi="宋体" w:eastAsia="宋体" w:cs="宋体"/>
          <w:bCs/>
          <w:color w:val="auto"/>
          <w:sz w:val="24"/>
          <w:szCs w:val="24"/>
          <w:lang w:val="en-US" w:eastAsia="zh-CN"/>
        </w:rPr>
        <w:t>85</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最高限价（如有）：</w:t>
      </w:r>
      <w:r>
        <w:rPr>
          <w:rFonts w:hint="eastAsia" w:ascii="宋体" w:hAnsi="宋体" w:eastAsia="宋体" w:cs="宋体"/>
          <w:bCs/>
          <w:color w:val="auto"/>
          <w:sz w:val="24"/>
          <w:szCs w:val="24"/>
        </w:rPr>
        <w:t>人民币</w:t>
      </w:r>
      <w:r>
        <w:rPr>
          <w:rFonts w:hint="eastAsia" w:ascii="宋体" w:hAnsi="宋体" w:eastAsia="宋体" w:cs="宋体"/>
          <w:bCs/>
          <w:color w:val="auto"/>
          <w:sz w:val="24"/>
          <w:szCs w:val="24"/>
          <w:lang w:val="en-US" w:eastAsia="zh-CN"/>
        </w:rPr>
        <w:t>85</w:t>
      </w:r>
      <w:r>
        <w:rPr>
          <w:rFonts w:hint="eastAsia" w:ascii="宋体" w:hAnsi="宋体" w:eastAsia="宋体" w:cs="宋体"/>
          <w:bCs/>
          <w:color w:val="auto"/>
          <w:sz w:val="24"/>
          <w:szCs w:val="24"/>
        </w:rPr>
        <w:t>万元</w:t>
      </w:r>
      <w:r>
        <w:rPr>
          <w:rFonts w:hint="eastAsia" w:ascii="宋体" w:hAnsi="宋体" w:eastAsia="宋体" w:cs="宋体"/>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37"/>
        <w:tblW w:w="8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431"/>
        <w:gridCol w:w="704"/>
        <w:gridCol w:w="781"/>
        <w:gridCol w:w="4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项</w:t>
            </w:r>
            <w:r>
              <w:rPr>
                <w:rFonts w:hint="eastAsia" w:ascii="宋体" w:hAnsi="宋体" w:eastAsia="宋体" w:cs="宋体"/>
                <w:b/>
                <w:bCs/>
                <w:color w:val="auto"/>
                <w:sz w:val="24"/>
                <w:szCs w:val="24"/>
              </w:rPr>
              <w:t>号</w:t>
            </w:r>
          </w:p>
        </w:tc>
        <w:tc>
          <w:tcPr>
            <w:tcW w:w="2431" w:type="dxa"/>
            <w:vAlign w:val="center"/>
          </w:tcPr>
          <w:p>
            <w:pPr>
              <w:spacing w:after="0" w:line="400" w:lineRule="exact"/>
              <w:ind w:firstLine="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704" w:type="dxa"/>
            <w:vAlign w:val="center"/>
          </w:tcPr>
          <w:p>
            <w:pPr>
              <w:spacing w:after="0"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81" w:type="dxa"/>
            <w:vAlign w:val="center"/>
          </w:tcPr>
          <w:p>
            <w:pPr>
              <w:spacing w:after="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4034" w:type="dxa"/>
            <w:vAlign w:val="center"/>
          </w:tcPr>
          <w:p>
            <w:pPr>
              <w:spacing w:after="0" w:line="400" w:lineRule="exact"/>
              <w:ind w:firstLine="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简要规格描述或项目基本概况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eastAsia" w:ascii="宋体" w:hAnsi="宋体" w:eastAsia="宋体" w:cs="宋体"/>
                <w:bCs/>
                <w:color w:val="auto"/>
                <w:sz w:val="24"/>
                <w:szCs w:val="24"/>
                <w:lang w:eastAsia="zh-CN"/>
              </w:rPr>
            </w:pPr>
            <w:r>
              <w:rPr>
                <w:rFonts w:hint="eastAsia" w:ascii="宋体" w:eastAsia="宋体" w:cs="宋体"/>
                <w:color w:val="000000"/>
                <w:kern w:val="0"/>
                <w:szCs w:val="21"/>
                <w:lang w:val="en-US" w:eastAsia="zh-CN" w:bidi="ar-SA"/>
              </w:rPr>
              <w:t>1</w:t>
            </w:r>
          </w:p>
        </w:tc>
        <w:tc>
          <w:tcPr>
            <w:tcW w:w="2431" w:type="dxa"/>
            <w:vAlign w:val="center"/>
          </w:tcPr>
          <w:p>
            <w:pPr>
              <w:spacing w:after="0" w:line="400" w:lineRule="exact"/>
              <w:rPr>
                <w:rFonts w:hint="eastAsia" w:ascii="宋体" w:hAnsi="宋体" w:eastAsia="宋体" w:cs="宋体"/>
                <w:bCs/>
                <w:color w:val="auto"/>
                <w:sz w:val="24"/>
                <w:szCs w:val="24"/>
                <w:lang w:eastAsia="zh-CN"/>
              </w:rPr>
            </w:pPr>
            <w:r>
              <w:rPr>
                <w:rFonts w:hint="eastAsia" w:ascii="宋体" w:cs="宋体"/>
                <w:kern w:val="0"/>
                <w:szCs w:val="21"/>
                <w:lang w:bidi="ar-SA"/>
              </w:rPr>
              <w:t>互动录播主机</w:t>
            </w:r>
          </w:p>
        </w:tc>
        <w:tc>
          <w:tcPr>
            <w:tcW w:w="704" w:type="dxa"/>
            <w:vAlign w:val="center"/>
          </w:tcPr>
          <w:p>
            <w:pPr>
              <w:spacing w:after="0" w:line="4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台</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 xml:space="preserve">  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cs="宋体"/>
                <w:kern w:val="0"/>
                <w:szCs w:val="21"/>
                <w:lang w:bidi="ar-SA"/>
              </w:rPr>
              <w:t>导播系统</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图像智能跟踪定位系统</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2431" w:type="dxa"/>
            <w:vAlign w:val="center"/>
          </w:tcPr>
          <w:p>
            <w:pPr>
              <w:spacing w:after="0" w:line="400" w:lineRule="exact"/>
              <w:rPr>
                <w:rFonts w:hint="default" w:ascii="宋体" w:hAnsi="宋体" w:eastAsia="宋体" w:cs="宋体"/>
                <w:color w:val="auto"/>
                <w:sz w:val="24"/>
                <w:szCs w:val="24"/>
                <w:lang w:val="en-US" w:eastAsia="zh-CN"/>
              </w:rPr>
            </w:pPr>
            <w:r>
              <w:rPr>
                <w:rFonts w:hint="eastAsia" w:ascii="宋体" w:cs="宋体"/>
                <w:kern w:val="0"/>
                <w:szCs w:val="21"/>
                <w:lang w:bidi="ar-SA"/>
              </w:rPr>
              <w:t>互动系统</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color w:val="auto"/>
                <w:kern w:val="0"/>
                <w:szCs w:val="21"/>
                <w:lang w:bidi="ar-SA"/>
              </w:rPr>
              <w:t>4K教师摄像机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eastAsia="zh-CN"/>
              </w:rPr>
              <w:t>台</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color w:val="auto"/>
                <w:kern w:val="0"/>
                <w:szCs w:val="21"/>
                <w:lang w:bidi="ar-SA"/>
              </w:rPr>
              <w:t>4K学生摄像机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eastAsia="zh-CN"/>
              </w:rPr>
              <w:t>台</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全向拾音麦克风</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耳戴式麦克风</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个</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教学音箱</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对</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高清网络半球摄像机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台</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互动显示屏</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个</w:t>
            </w:r>
          </w:p>
        </w:tc>
        <w:tc>
          <w:tcPr>
            <w:tcW w:w="781"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6</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智能准入平台</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13</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学生生物实验台</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14</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化学实验准备台</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15</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化学通风药品柜</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16</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化学教师讲桌</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17</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物理教师讲桌</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18</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仪器柜</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14</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19</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抽湿机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教室转椅</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color w:val="auto"/>
                <w:kern w:val="0"/>
                <w:szCs w:val="21"/>
                <w:lang w:bidi="ar-SA"/>
              </w:rPr>
              <w:t>创客中小学通用赛事套装(专业版)</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color w:val="auto"/>
                <w:kern w:val="0"/>
                <w:szCs w:val="21"/>
                <w:lang w:bidi="ar-SA"/>
              </w:rPr>
              <w:t>创客中小学通用赛事套装(基础版)</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23</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color w:val="auto"/>
                <w:kern w:val="0"/>
                <w:szCs w:val="21"/>
                <w:lang w:bidi="ar-SA"/>
              </w:rPr>
              <w:t>学生版3D打印机（含配套耗材</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24</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航拍无人机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25</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eastAsia="zh-CN" w:bidi="ar-SA"/>
              </w:rPr>
              <w:t>可编程</w:t>
            </w:r>
            <w:r>
              <w:rPr>
                <w:rFonts w:hint="eastAsia" w:ascii="宋体" w:cs="宋体"/>
                <w:kern w:val="0"/>
                <w:szCs w:val="21"/>
                <w:lang w:bidi="ar-SA"/>
              </w:rPr>
              <w:t>无人机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26</w:t>
            </w:r>
          </w:p>
        </w:tc>
        <w:tc>
          <w:tcPr>
            <w:tcW w:w="2431" w:type="dxa"/>
            <w:vAlign w:val="center"/>
          </w:tcPr>
          <w:p>
            <w:pPr>
              <w:spacing w:after="0" w:line="400" w:lineRule="exact"/>
              <w:rPr>
                <w:rFonts w:hint="eastAsia" w:ascii="宋体" w:hAnsi="宋体" w:eastAsia="宋体" w:cs="宋体"/>
                <w:color w:val="auto"/>
                <w:sz w:val="24"/>
                <w:szCs w:val="24"/>
                <w:lang w:eastAsia="zh-CN"/>
              </w:rPr>
            </w:pPr>
            <w:r>
              <w:rPr>
                <w:rFonts w:hint="eastAsia" w:ascii="宋体" w:cs="宋体"/>
                <w:kern w:val="0"/>
                <w:szCs w:val="21"/>
                <w:lang w:bidi="ar-SA"/>
              </w:rPr>
              <w:t>全自动电源稳压器</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pPr>
              <w:spacing w:after="0" w:line="40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27</w:t>
            </w:r>
          </w:p>
        </w:tc>
        <w:tc>
          <w:tcPr>
            <w:tcW w:w="2431" w:type="dxa"/>
            <w:vAlign w:val="center"/>
          </w:tcPr>
          <w:p>
            <w:pPr>
              <w:spacing w:after="0" w:line="400" w:lineRule="exact"/>
              <w:rPr>
                <w:rFonts w:hint="eastAsia" w:ascii="宋体" w:cs="宋体"/>
                <w:kern w:val="0"/>
                <w:szCs w:val="21"/>
                <w:lang w:bidi="ar-SA"/>
              </w:rPr>
            </w:pPr>
            <w:r>
              <w:rPr>
                <w:rFonts w:hint="eastAsia" w:ascii="宋体" w:cs="宋体"/>
                <w:kern w:val="0"/>
                <w:szCs w:val="21"/>
                <w:lang w:bidi="ar-SA"/>
              </w:rPr>
              <w:t>激光雕刻机</w:t>
            </w:r>
          </w:p>
        </w:tc>
        <w:tc>
          <w:tcPr>
            <w:tcW w:w="704" w:type="dxa"/>
            <w:vAlign w:val="center"/>
          </w:tcPr>
          <w:p>
            <w:pPr>
              <w:spacing w:after="0" w:line="400" w:lineRule="exact"/>
              <w:ind w:firstLine="240" w:firstLineChars="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套</w:t>
            </w:r>
          </w:p>
        </w:tc>
        <w:tc>
          <w:tcPr>
            <w:tcW w:w="781" w:type="dxa"/>
            <w:vAlign w:val="center"/>
          </w:tcPr>
          <w:p>
            <w:pPr>
              <w:spacing w:after="0" w:line="400" w:lineRule="exact"/>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4034" w:type="dxa"/>
            <w:vAlign w:val="center"/>
          </w:tcPr>
          <w:p>
            <w:pPr>
              <w:spacing w:after="0" w:line="400" w:lineRule="exact"/>
              <w:ind w:firstLine="468" w:firstLineChars="19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详见采购需求表</w:t>
            </w:r>
          </w:p>
        </w:tc>
      </w:tr>
    </w:tbl>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合同履行期限：自签订合同之日起30日内(日历日)交付使用。</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color w:val="auto"/>
          <w:sz w:val="24"/>
          <w:szCs w:val="24"/>
        </w:rPr>
      </w:pPr>
      <w:bookmarkStart w:id="12" w:name="_Toc28359013"/>
      <w:bookmarkStart w:id="13" w:name="_Toc35393630"/>
      <w:bookmarkStart w:id="14" w:name="_Toc35393799"/>
      <w:bookmarkStart w:id="15" w:name="_Toc28359090"/>
      <w:r>
        <w:rPr>
          <w:rFonts w:hint="eastAsia" w:ascii="宋体" w:hAnsi="宋体" w:eastAsia="宋体" w:cs="宋体"/>
          <w:b w:val="0"/>
          <w:color w:val="auto"/>
          <w:sz w:val="24"/>
          <w:szCs w:val="24"/>
        </w:rPr>
        <w:t>二、申请人的资格要求：</w:t>
      </w:r>
      <w:bookmarkEnd w:id="12"/>
      <w:bookmarkEnd w:id="13"/>
      <w:bookmarkEnd w:id="14"/>
      <w:bookmarkEnd w:id="15"/>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1.满足《中华人民共和国政府采购法》第二十二条规定；且为境内注册（指按国家有关规定要求注册的），生产或经营本次采购货物的供应商；</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.落实政府采购政策需满足的资格要求：</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政府采购支持采用本国产品的政策。</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强制采购、优先采购环境标志产品、节能产品。</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促进残疾人就业政府采购政策。</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政府采购支持监狱企业发展。</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扶持不发达地区和少数民族地区政策。</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u w:val="none"/>
          <w:lang w:eastAsia="zh-CN"/>
        </w:rPr>
        <w:t>无</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．本项目不接受未购买本竞争性谈判文件的供应商竞标；</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color w:val="auto"/>
          <w:sz w:val="24"/>
          <w:szCs w:val="24"/>
        </w:rPr>
      </w:pPr>
      <w:bookmarkStart w:id="16" w:name="_Toc35393800"/>
      <w:bookmarkStart w:id="17" w:name="_Toc28359014"/>
      <w:bookmarkStart w:id="18" w:name="_Toc28359091"/>
      <w:bookmarkStart w:id="19" w:name="_Toc35393631"/>
      <w:r>
        <w:rPr>
          <w:rFonts w:hint="eastAsia" w:ascii="宋体" w:hAnsi="宋体" w:eastAsia="宋体" w:cs="宋体"/>
          <w:b w:val="0"/>
          <w:color w:val="auto"/>
          <w:sz w:val="24"/>
          <w:szCs w:val="24"/>
        </w:rPr>
        <w:t>三、获取采购文件</w:t>
      </w:r>
      <w:bookmarkEnd w:id="16"/>
      <w:bookmarkEnd w:id="17"/>
      <w:bookmarkEnd w:id="18"/>
      <w:bookmarkEnd w:id="19"/>
    </w:p>
    <w:p>
      <w:pPr>
        <w:pageBreakBefore w:val="0"/>
        <w:widowControl w:val="0"/>
        <w:kinsoku/>
        <w:wordWrap/>
        <w:overflowPunct/>
        <w:topLinePunct w:val="0"/>
        <w:autoSpaceDE/>
        <w:autoSpaceDN/>
        <w:bidi w:val="0"/>
        <w:adjustRightInd/>
        <w:snapToGrid/>
        <w:spacing w:after="0" w:line="40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u w:val="single"/>
          <w:lang w:val="en-US" w:eastAsia="zh-CN"/>
        </w:rPr>
        <w:t>2020</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2020</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none"/>
          <w:lang w:val="en-US" w:eastAsia="zh-CN"/>
        </w:rPr>
        <w:t>9:00</w:t>
      </w:r>
      <w:r>
        <w:rPr>
          <w:rFonts w:hint="eastAsia" w:ascii="宋体" w:hAnsi="宋体" w:eastAsia="宋体" w:cs="宋体"/>
          <w:color w:val="auto"/>
          <w:sz w:val="24"/>
          <w:szCs w:val="24"/>
          <w:u w:val="none"/>
        </w:rPr>
        <w:t>至</w:t>
      </w:r>
      <w:r>
        <w:rPr>
          <w:rFonts w:hint="eastAsia" w:ascii="宋体" w:hAnsi="宋体" w:eastAsia="宋体" w:cs="宋体"/>
          <w:color w:val="auto"/>
          <w:sz w:val="24"/>
          <w:szCs w:val="24"/>
          <w:u w:val="none"/>
          <w:lang w:val="en-US" w:eastAsia="zh-CN"/>
        </w:rPr>
        <w:t>12:00</w:t>
      </w:r>
      <w:r>
        <w:rPr>
          <w:rFonts w:hint="eastAsia" w:ascii="宋体" w:hAnsi="宋体" w:eastAsia="宋体" w:cs="宋体"/>
          <w:color w:val="auto"/>
          <w:sz w:val="24"/>
          <w:szCs w:val="24"/>
          <w:u w:val="none"/>
        </w:rPr>
        <w:t>，下午</w:t>
      </w:r>
      <w:r>
        <w:rPr>
          <w:rFonts w:hint="eastAsia" w:ascii="宋体" w:hAnsi="宋体" w:eastAsia="宋体" w:cs="宋体"/>
          <w:color w:val="auto"/>
          <w:sz w:val="24"/>
          <w:szCs w:val="24"/>
          <w:u w:val="none"/>
          <w:lang w:val="en-US" w:eastAsia="zh-CN"/>
        </w:rPr>
        <w:t>15：00</w:t>
      </w:r>
      <w:r>
        <w:rPr>
          <w:rFonts w:hint="eastAsia" w:ascii="宋体" w:hAnsi="宋体" w:eastAsia="宋体" w:cs="宋体"/>
          <w:color w:val="auto"/>
          <w:sz w:val="24"/>
          <w:szCs w:val="24"/>
          <w:u w:val="none"/>
        </w:rPr>
        <w:t>至</w:t>
      </w:r>
      <w:r>
        <w:rPr>
          <w:rFonts w:hint="eastAsia" w:ascii="宋体" w:hAnsi="宋体" w:eastAsia="宋体" w:cs="宋体"/>
          <w:color w:val="auto"/>
          <w:sz w:val="24"/>
          <w:szCs w:val="24"/>
          <w:u w:val="none"/>
          <w:lang w:val="en-US" w:eastAsia="zh-CN"/>
        </w:rPr>
        <w:t>18:00</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北京时间，法定节假日除外 ）</w:t>
      </w:r>
    </w:p>
    <w:p>
      <w:pPr>
        <w:pageBreakBefore w:val="0"/>
        <w:widowControl w:val="0"/>
        <w:kinsoku/>
        <w:wordWrap/>
        <w:overflowPunct/>
        <w:topLinePunct w:val="0"/>
        <w:autoSpaceDE/>
        <w:autoSpaceDN/>
        <w:bidi w:val="0"/>
        <w:adjustRightInd/>
        <w:snapToGrid/>
        <w:spacing w:after="0" w:line="400" w:lineRule="exact"/>
        <w:ind w:firstLine="54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本项目采用网络</w:t>
      </w:r>
      <w:r>
        <w:rPr>
          <w:rFonts w:hint="eastAsia" w:ascii="宋体" w:hAnsi="宋体" w:eastAsia="宋体" w:cs="宋体"/>
          <w:color w:val="auto"/>
          <w:sz w:val="24"/>
          <w:szCs w:val="24"/>
        </w:rPr>
        <w:t>的方式发售</w:t>
      </w:r>
      <w:r>
        <w:rPr>
          <w:rFonts w:hint="eastAsia" w:ascii="宋体" w:hAnsi="宋体" w:eastAsia="宋体" w:cs="宋体"/>
          <w:color w:val="auto"/>
          <w:sz w:val="24"/>
          <w:szCs w:val="24"/>
          <w:lang w:eastAsia="zh-CN"/>
        </w:rPr>
        <w:t>采购文件。</w:t>
      </w:r>
    </w:p>
    <w:p>
      <w:pPr>
        <w:pageBreakBefore w:val="0"/>
        <w:widowControl w:val="0"/>
        <w:kinsoku/>
        <w:wordWrap/>
        <w:overflowPunct/>
        <w:topLinePunct w:val="0"/>
        <w:autoSpaceDE/>
        <w:autoSpaceDN/>
        <w:bidi w:val="0"/>
        <w:adjustRightInd/>
        <w:snapToGrid/>
        <w:spacing w:after="0" w:line="40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sz w:val="24"/>
          <w:szCs w:val="24"/>
        </w:rPr>
        <w:t>供应商必须于</w:t>
      </w:r>
      <w:r>
        <w:rPr>
          <w:rFonts w:hint="eastAsia" w:ascii="宋体" w:hAnsi="宋体" w:eastAsia="宋体" w:cs="宋体"/>
          <w:sz w:val="24"/>
          <w:szCs w:val="24"/>
          <w:lang w:eastAsia="zh-CN"/>
        </w:rPr>
        <w:t>谈判</w:t>
      </w:r>
      <w:r>
        <w:rPr>
          <w:rFonts w:hint="eastAsia" w:ascii="宋体" w:hAnsi="宋体" w:eastAsia="宋体" w:cs="宋体"/>
          <w:sz w:val="24"/>
          <w:szCs w:val="24"/>
        </w:rPr>
        <w:t>文件的获取时间截止前致电：0770-2825676；并提供营业执照</w:t>
      </w:r>
      <w:r>
        <w:rPr>
          <w:rFonts w:hint="eastAsia" w:ascii="宋体" w:hAnsi="宋体" w:eastAsia="宋体" w:cs="宋体"/>
          <w:sz w:val="24"/>
          <w:szCs w:val="24"/>
          <w:lang w:eastAsia="zh-CN"/>
        </w:rPr>
        <w:t>扫复印件</w:t>
      </w:r>
      <w:r>
        <w:rPr>
          <w:rFonts w:hint="eastAsia" w:ascii="宋体" w:hAnsi="宋体" w:eastAsia="宋体" w:cs="宋体"/>
          <w:sz w:val="24"/>
          <w:szCs w:val="24"/>
        </w:rPr>
        <w:t>扫描发送到代理机构指定邮箱（邮箱号：2651080813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@qq.com）</w:t>
      </w:r>
      <w:r>
        <w:rPr>
          <w:rFonts w:hint="eastAsia" w:ascii="宋体" w:hAnsi="宋体" w:eastAsia="宋体" w:cs="宋体"/>
          <w:sz w:val="24"/>
          <w:szCs w:val="24"/>
          <w:lang w:eastAsia="zh-CN"/>
        </w:rPr>
        <w:t>；或者</w:t>
      </w:r>
      <w:r>
        <w:rPr>
          <w:rFonts w:hint="eastAsia" w:ascii="宋体" w:hAnsi="宋体" w:eastAsia="宋体" w:cs="宋体"/>
          <w:color w:val="auto"/>
          <w:sz w:val="24"/>
          <w:szCs w:val="24"/>
        </w:rPr>
        <w:t>自行登陆政采云平台（https://www.zcygov.cn/）进行报名</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逾期不受理。</w:t>
      </w: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周莉莉</w:t>
      </w: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none"/>
        </w:rPr>
        <w:t>0770-2825676</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13428666634</w:t>
      </w:r>
      <w:r>
        <w:rPr>
          <w:rFonts w:hint="eastAsia" w:ascii="宋体" w:hAnsi="宋体" w:eastAsia="宋体" w:cs="宋体"/>
          <w:color w:val="auto"/>
          <w:sz w:val="24"/>
          <w:szCs w:val="24"/>
          <w:u w:val="none"/>
        </w:rPr>
        <w:t>　</w:t>
      </w:r>
      <w:r>
        <w:rPr>
          <w:rFonts w:hint="eastAsia" w:ascii="宋体" w:hAnsi="宋体" w:eastAsia="宋体" w:cs="宋体"/>
          <w:color w:val="auto"/>
          <w:sz w:val="24"/>
          <w:szCs w:val="24"/>
        </w:rPr>
        <w:t xml:space="preserve"> </w:t>
      </w:r>
    </w:p>
    <w:p>
      <w:pPr>
        <w:pageBreakBefore w:val="0"/>
        <w:widowControl w:val="0"/>
        <w:kinsoku/>
        <w:wordWrap/>
        <w:overflowPunct/>
        <w:topLinePunct w:val="0"/>
        <w:autoSpaceDE/>
        <w:autoSpaceDN/>
        <w:bidi w:val="0"/>
        <w:adjustRightInd/>
        <w:snapToGrid/>
        <w:spacing w:after="0" w:line="40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售价：每本 </w:t>
      </w:r>
      <w:r>
        <w:rPr>
          <w:rFonts w:hint="eastAsia" w:ascii="宋体" w:hAnsi="宋体" w:eastAsia="宋体" w:cs="宋体"/>
          <w:color w:val="auto"/>
          <w:sz w:val="24"/>
          <w:szCs w:val="24"/>
          <w:lang w:val="en-US" w:eastAsia="zh-CN"/>
        </w:rPr>
        <w:t>250</w:t>
      </w:r>
      <w:r>
        <w:rPr>
          <w:rFonts w:hint="eastAsia" w:ascii="宋体" w:hAnsi="宋体" w:eastAsia="宋体" w:cs="宋体"/>
          <w:color w:val="auto"/>
          <w:sz w:val="24"/>
          <w:szCs w:val="24"/>
        </w:rPr>
        <w:t xml:space="preserve"> 元，售后不退。</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color w:val="auto"/>
          <w:sz w:val="24"/>
          <w:szCs w:val="24"/>
        </w:rPr>
      </w:pPr>
      <w:bookmarkStart w:id="20" w:name="_Toc28359092"/>
      <w:bookmarkStart w:id="21" w:name="_Toc28359015"/>
      <w:bookmarkStart w:id="22" w:name="_Toc35393801"/>
      <w:bookmarkStart w:id="23" w:name="_Toc35393632"/>
      <w:r>
        <w:rPr>
          <w:rFonts w:hint="eastAsia" w:ascii="宋体" w:hAnsi="宋体" w:eastAsia="宋体" w:cs="宋体"/>
          <w:b w:val="0"/>
          <w:color w:val="auto"/>
          <w:sz w:val="24"/>
          <w:szCs w:val="24"/>
        </w:rPr>
        <w:t>四、响应文件提交</w:t>
      </w:r>
      <w:bookmarkEnd w:id="20"/>
      <w:bookmarkEnd w:id="21"/>
      <w:bookmarkEnd w:id="22"/>
      <w:bookmarkEnd w:id="23"/>
    </w:p>
    <w:p>
      <w:pPr>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highlight w:val="none"/>
          <w:u w:val="single"/>
          <w:lang w:val="en-US" w:eastAsia="zh-CN"/>
        </w:rPr>
        <w:t>2020</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 xml:space="preserve"> 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rPr>
        <w:t>北京时间）</w:t>
      </w:r>
      <w:r>
        <w:rPr>
          <w:rFonts w:hint="eastAsia" w:ascii="宋体" w:hAnsi="宋体" w:eastAsia="宋体" w:cs="宋体"/>
          <w:color w:val="auto"/>
          <w:sz w:val="24"/>
          <w:szCs w:val="24"/>
        </w:rPr>
        <w:t>。</w:t>
      </w:r>
    </w:p>
    <w:p>
      <w:pPr>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地点：防城港市公共资源交易中心（防城港市迎宾路红树林大厦东塔），参加谈判的法定代表人或委托代理人必须持有效证件（法定代表人凭法定代表人身份证明和身份证或委托代理人凭法人授权委托书原件和身份证）依时到达指定地点等候当面谈判。</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color w:val="auto"/>
          <w:sz w:val="24"/>
          <w:szCs w:val="24"/>
        </w:rPr>
      </w:pPr>
      <w:bookmarkStart w:id="24" w:name="_Toc28359094"/>
      <w:bookmarkStart w:id="25" w:name="_Toc35393803"/>
      <w:bookmarkStart w:id="26" w:name="_Toc35393634"/>
      <w:bookmarkStart w:id="27" w:name="_Toc28359017"/>
      <w:r>
        <w:rPr>
          <w:rFonts w:hint="eastAsia" w:ascii="宋体" w:hAnsi="宋体" w:eastAsia="宋体" w:cs="宋体"/>
          <w:b w:val="0"/>
          <w:color w:val="auto"/>
          <w:sz w:val="24"/>
          <w:szCs w:val="24"/>
          <w:lang w:eastAsia="zh-CN"/>
        </w:rPr>
        <w:t>五</w:t>
      </w:r>
      <w:r>
        <w:rPr>
          <w:rFonts w:hint="eastAsia" w:ascii="宋体" w:hAnsi="宋体" w:eastAsia="宋体" w:cs="宋体"/>
          <w:b w:val="0"/>
          <w:color w:val="auto"/>
          <w:sz w:val="24"/>
          <w:szCs w:val="24"/>
        </w:rPr>
        <w:t>、公告期限</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pPr>
        <w:pStyle w:val="4"/>
        <w:pageBreakBefore w:val="0"/>
        <w:widowControl w:val="0"/>
        <w:numPr>
          <w:ilvl w:val="0"/>
          <w:numId w:val="1"/>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color w:val="auto"/>
          <w:sz w:val="24"/>
          <w:szCs w:val="24"/>
          <w:lang w:val="en-US" w:eastAsia="zh-CN"/>
        </w:rPr>
      </w:pPr>
      <w:bookmarkStart w:id="28" w:name="_Toc35393804"/>
      <w:bookmarkStart w:id="29" w:name="_Toc35393635"/>
      <w:r>
        <w:rPr>
          <w:rFonts w:hint="eastAsia" w:ascii="宋体" w:hAnsi="宋体" w:eastAsia="宋体" w:cs="宋体"/>
          <w:b w:val="0"/>
          <w:color w:val="auto"/>
          <w:sz w:val="24"/>
          <w:szCs w:val="24"/>
        </w:rPr>
        <w:t>其他补充事宜</w:t>
      </w:r>
      <w:bookmarkEnd w:id="28"/>
      <w:bookmarkEnd w:id="29"/>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本项目公告在</w:t>
      </w:r>
      <w:r>
        <w:rPr>
          <w:rFonts w:hint="eastAsia" w:ascii="宋体" w:hAnsi="宋体" w:eastAsia="宋体" w:cs="宋体"/>
          <w:color w:val="auto"/>
          <w:sz w:val="24"/>
          <w:szCs w:val="24"/>
        </w:rPr>
        <w:t>中国政府采购网、广西壮族自治区政府采购网、防城港市港口区政府门户网、防城港市公共资源交易中心网</w:t>
      </w:r>
      <w:r>
        <w:rPr>
          <w:rFonts w:hint="eastAsia" w:ascii="宋体" w:hAnsi="宋体" w:eastAsia="宋体" w:cs="宋体"/>
          <w:color w:val="auto"/>
          <w:sz w:val="24"/>
          <w:szCs w:val="24"/>
          <w:lang w:eastAsia="zh-CN"/>
        </w:rPr>
        <w:t>发布</w:t>
      </w:r>
      <w:r>
        <w:rPr>
          <w:rFonts w:hint="eastAsia" w:ascii="宋体" w:hAnsi="宋体" w:eastAsia="宋体" w:cs="宋体"/>
          <w:color w:val="auto"/>
          <w:sz w:val="24"/>
          <w:szCs w:val="24"/>
        </w:rPr>
        <w:t>。</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color w:val="auto"/>
          <w:sz w:val="24"/>
          <w:szCs w:val="24"/>
        </w:rPr>
      </w:pPr>
      <w:bookmarkStart w:id="30" w:name="_Toc35393636"/>
      <w:bookmarkStart w:id="31" w:name="_Toc28359095"/>
      <w:bookmarkStart w:id="32" w:name="_Toc35393805"/>
      <w:bookmarkStart w:id="33" w:name="_Toc28359018"/>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、凡对本次采购提出询问，请按以下方式联系。</w:t>
      </w:r>
      <w:bookmarkEnd w:id="30"/>
      <w:bookmarkEnd w:id="31"/>
      <w:bookmarkEnd w:id="32"/>
      <w:bookmarkEnd w:id="33"/>
    </w:p>
    <w:p>
      <w:pPr>
        <w:pStyle w:val="4"/>
        <w:pageBreakBefore w:val="0"/>
        <w:widowControl w:val="0"/>
        <w:kinsoku/>
        <w:wordWrap/>
        <w:overflowPunct/>
        <w:topLinePunct w:val="0"/>
        <w:autoSpaceDE/>
        <w:autoSpaceDN/>
        <w:bidi w:val="0"/>
        <w:adjustRightInd/>
        <w:snapToGrid/>
        <w:spacing w:before="0" w:after="0" w:line="400" w:lineRule="exact"/>
        <w:ind w:firstLine="720" w:firstLineChars="300"/>
        <w:jc w:val="both"/>
        <w:textAlignment w:val="auto"/>
        <w:rPr>
          <w:rFonts w:hint="eastAsia" w:ascii="宋体" w:hAnsi="宋体" w:eastAsia="宋体" w:cs="宋体"/>
          <w:b w:val="0"/>
          <w:color w:val="auto"/>
          <w:sz w:val="24"/>
          <w:szCs w:val="24"/>
        </w:rPr>
      </w:pPr>
      <w:bookmarkStart w:id="34" w:name="_Toc28359096"/>
      <w:bookmarkStart w:id="35" w:name="_Toc35393806"/>
      <w:bookmarkStart w:id="36" w:name="_Toc35393637"/>
      <w:bookmarkStart w:id="37" w:name="_Toc28359019"/>
      <w:r>
        <w:rPr>
          <w:rFonts w:hint="eastAsia" w:ascii="宋体" w:hAnsi="宋体" w:eastAsia="宋体" w:cs="宋体"/>
          <w:b w:val="0"/>
          <w:color w:val="auto"/>
          <w:sz w:val="24"/>
          <w:szCs w:val="24"/>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采购人名称：防城港市港口区教育和科学技术局</w:t>
      </w:r>
    </w:p>
    <w:p>
      <w:pPr>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联系地址：防城港市港口区渔洲坪兴教路88号</w:t>
      </w:r>
    </w:p>
    <w:p>
      <w:pPr>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曹勇</w:t>
      </w:r>
      <w:r>
        <w:rPr>
          <w:rFonts w:hint="eastAsia" w:ascii="宋体" w:hAnsi="宋体" w:eastAsia="宋体" w:cs="宋体"/>
          <w:color w:val="auto"/>
          <w:sz w:val="24"/>
          <w:szCs w:val="24"/>
          <w:lang w:val="en-US" w:eastAsia="zh-CN"/>
        </w:rPr>
        <w:t xml:space="preserve">    0770-2810063</w:t>
      </w:r>
    </w:p>
    <w:p>
      <w:pPr>
        <w:pStyle w:val="4"/>
        <w:pageBreakBefore w:val="0"/>
        <w:widowControl w:val="0"/>
        <w:numPr>
          <w:ilvl w:val="0"/>
          <w:numId w:val="2"/>
        </w:numPr>
        <w:kinsoku/>
        <w:wordWrap/>
        <w:overflowPunct/>
        <w:topLinePunct w:val="0"/>
        <w:autoSpaceDE/>
        <w:autoSpaceDN/>
        <w:bidi w:val="0"/>
        <w:adjustRightInd/>
        <w:snapToGrid/>
        <w:spacing w:before="0" w:after="0" w:line="400" w:lineRule="exact"/>
        <w:ind w:firstLine="720" w:firstLineChars="300"/>
        <w:jc w:val="both"/>
        <w:textAlignment w:val="auto"/>
        <w:rPr>
          <w:rFonts w:hint="eastAsia" w:ascii="宋体" w:hAnsi="宋体" w:eastAsia="宋体" w:cs="宋体"/>
          <w:b w:val="0"/>
          <w:color w:val="auto"/>
          <w:sz w:val="24"/>
          <w:szCs w:val="24"/>
        </w:rPr>
      </w:pPr>
      <w:bookmarkStart w:id="38" w:name="_Toc35393638"/>
      <w:bookmarkStart w:id="39" w:name="_Toc28359020"/>
      <w:bookmarkStart w:id="40" w:name="_Toc28359097"/>
      <w:bookmarkStart w:id="41" w:name="_Toc35393807"/>
      <w:r>
        <w:rPr>
          <w:rFonts w:hint="eastAsia" w:ascii="宋体" w:hAnsi="宋体" w:eastAsia="宋体" w:cs="宋体"/>
          <w:b w:val="0"/>
          <w:color w:val="auto"/>
          <w:sz w:val="24"/>
          <w:szCs w:val="24"/>
        </w:rPr>
        <w:t>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采购代理机构名称：</w:t>
      </w:r>
      <w:r>
        <w:rPr>
          <w:rFonts w:hint="eastAsia" w:ascii="宋体" w:hAnsi="宋体" w:eastAsia="宋体" w:cs="宋体"/>
          <w:color w:val="auto"/>
          <w:sz w:val="24"/>
          <w:szCs w:val="24"/>
          <w:lang w:eastAsia="zh-CN"/>
        </w:rPr>
        <w:t>广西建通工程咨询有限责任公司</w:t>
      </w:r>
    </w:p>
    <w:p>
      <w:pPr>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联系地址：防城港市港口区珍珠路珍珠苑C10栋</w:t>
      </w:r>
    </w:p>
    <w:p>
      <w:pPr>
        <w:pStyle w:val="20"/>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周莉莉</w:t>
      </w:r>
      <w:r>
        <w:rPr>
          <w:rFonts w:hint="eastAsia" w:ascii="宋体" w:hAnsi="宋体" w:eastAsia="宋体" w:cs="宋体"/>
          <w:color w:val="auto"/>
          <w:sz w:val="24"/>
          <w:szCs w:val="24"/>
        </w:rPr>
        <w:t>0770-2825676</w:t>
      </w:r>
    </w:p>
    <w:p>
      <w:pPr>
        <w:pStyle w:val="4"/>
        <w:pageBreakBefore w:val="0"/>
        <w:widowControl w:val="0"/>
        <w:kinsoku/>
        <w:wordWrap/>
        <w:overflowPunct/>
        <w:topLinePunct w:val="0"/>
        <w:autoSpaceDE/>
        <w:autoSpaceDN/>
        <w:bidi w:val="0"/>
        <w:adjustRightInd/>
        <w:snapToGrid/>
        <w:spacing w:before="0" w:after="0" w:line="400" w:lineRule="exact"/>
        <w:ind w:firstLine="720" w:firstLineChars="300"/>
        <w:jc w:val="both"/>
        <w:textAlignment w:val="auto"/>
        <w:rPr>
          <w:rFonts w:hint="eastAsia" w:ascii="宋体" w:hAnsi="宋体" w:eastAsia="宋体" w:cs="宋体"/>
          <w:b w:val="0"/>
          <w:color w:val="auto"/>
          <w:sz w:val="24"/>
          <w:szCs w:val="24"/>
        </w:rPr>
      </w:pPr>
      <w:bookmarkStart w:id="42" w:name="_Toc28359021"/>
      <w:bookmarkStart w:id="43" w:name="_Toc35393639"/>
      <w:bookmarkStart w:id="44" w:name="_Toc35393808"/>
      <w:bookmarkStart w:id="45" w:name="_Toc28359098"/>
      <w:r>
        <w:rPr>
          <w:rFonts w:hint="eastAsia" w:ascii="宋体" w:hAnsi="宋体" w:eastAsia="宋体" w:cs="宋体"/>
          <w:b w:val="0"/>
          <w:color w:val="auto"/>
          <w:sz w:val="24"/>
          <w:szCs w:val="24"/>
        </w:rPr>
        <w:t>3.项目联系方式</w:t>
      </w:r>
      <w:bookmarkEnd w:id="42"/>
      <w:bookmarkEnd w:id="43"/>
      <w:bookmarkEnd w:id="44"/>
      <w:bookmarkEnd w:id="45"/>
    </w:p>
    <w:p>
      <w:pPr>
        <w:pStyle w:val="20"/>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周莉莉</w:t>
      </w:r>
    </w:p>
    <w:p>
      <w:pPr>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none"/>
        </w:rPr>
        <w:t>0770-2825676　</w:t>
      </w:r>
    </w:p>
    <w:p>
      <w:pPr>
        <w:pStyle w:val="16"/>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spacing w:after="0" w:line="400" w:lineRule="exact"/>
        <w:ind w:firstLine="3360" w:firstLineChars="1400"/>
        <w:textAlignment w:val="auto"/>
        <w:rPr>
          <w:rFonts w:hint="eastAsia" w:ascii="仿宋" w:hAnsi="仿宋" w:eastAsia="仿宋" w:cs="仿宋"/>
          <w:color w:val="auto"/>
          <w:sz w:val="28"/>
          <w:szCs w:val="28"/>
          <w:u w:val="single"/>
        </w:rPr>
      </w:pP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none"/>
          <w:lang w:val="en-US" w:eastAsia="zh-CN"/>
        </w:rPr>
        <w:t>2020年7月20日</w:t>
      </w:r>
      <w:r>
        <w:rPr>
          <w:rFonts w:hint="eastAsia" w:ascii="宋体" w:hAnsi="宋体" w:eastAsia="宋体" w:cs="宋体"/>
          <w:color w:val="auto"/>
          <w:sz w:val="24"/>
          <w:szCs w:val="24"/>
          <w:highlight w:val="none"/>
          <w:u w:val="none"/>
        </w:rPr>
        <w:t>　　</w:t>
      </w:r>
      <w:r>
        <w:rPr>
          <w:rFonts w:hint="eastAsia" w:ascii="仿宋" w:hAnsi="仿宋" w:eastAsia="仿宋" w:cs="仿宋"/>
          <w:color w:val="auto"/>
          <w:sz w:val="28"/>
          <w:szCs w:val="28"/>
          <w:highlight w:val="none"/>
          <w:u w:val="none"/>
        </w:rPr>
        <w:t>　</w:t>
      </w:r>
      <w:r>
        <w:rPr>
          <w:rFonts w:hint="eastAsia" w:ascii="仿宋" w:hAnsi="仿宋" w:eastAsia="仿宋" w:cs="仿宋"/>
          <w:color w:val="auto"/>
          <w:sz w:val="28"/>
          <w:szCs w:val="28"/>
          <w:u w:val="none"/>
        </w:rPr>
        <w:t>　　　　</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16"/>
        <w:rPr>
          <w:rFonts w:hint="eastAsia" w:ascii="仿宋" w:hAnsi="仿宋" w:eastAsia="仿宋" w:cs="仿宋"/>
          <w:color w:val="auto"/>
          <w:sz w:val="28"/>
          <w:szCs w:val="28"/>
        </w:rPr>
      </w:pPr>
    </w:p>
    <w:p>
      <w:pPr>
        <w:pStyle w:val="3"/>
        <w:ind w:firstLine="200"/>
        <w:rPr>
          <w:rFonts w:asciiTheme="minorEastAsia" w:hAnsiTheme="minorEastAsia" w:eastAsiaTheme="minorEastAsia"/>
          <w:color w:val="auto"/>
        </w:rPr>
      </w:pPr>
      <w:r>
        <w:rPr>
          <w:rFonts w:hint="eastAsia" w:asciiTheme="minorEastAsia" w:hAnsiTheme="minorEastAsia" w:eastAsiaTheme="minorEastAsia"/>
          <w:color w:val="auto"/>
        </w:rPr>
        <w:t>第二章  供应商须知</w:t>
      </w:r>
      <w:bookmarkEnd w:id="4"/>
      <w:bookmarkEnd w:id="5"/>
      <w:bookmarkEnd w:id="6"/>
      <w:bookmarkEnd w:id="7"/>
    </w:p>
    <w:p>
      <w:pPr>
        <w:spacing w:after="0" w:line="400" w:lineRule="exact"/>
        <w:ind w:firstLine="440" w:firstLineChars="200"/>
        <w:rPr>
          <w:rFonts w:asciiTheme="minorEastAsia" w:hAnsiTheme="minorEastAsia" w:eastAsiaTheme="minorEastAsia"/>
          <w:color w:val="auto"/>
        </w:rPr>
      </w:pPr>
    </w:p>
    <w:p>
      <w:pPr>
        <w:pStyle w:val="4"/>
        <w:spacing w:line="400" w:lineRule="exact"/>
        <w:ind w:firstLine="640" w:firstLineChars="200"/>
        <w:rPr>
          <w:rFonts w:asciiTheme="minorEastAsia" w:hAnsiTheme="minorEastAsia" w:eastAsiaTheme="minorEastAsia"/>
          <w:color w:val="auto"/>
        </w:rPr>
      </w:pPr>
      <w:bookmarkStart w:id="46" w:name="_Toc246094909"/>
      <w:bookmarkStart w:id="47" w:name="_Toc246095515"/>
      <w:bookmarkStart w:id="48" w:name="_Toc7192543"/>
      <w:bookmarkStart w:id="49" w:name="_Toc246095453"/>
      <w:r>
        <w:rPr>
          <w:rFonts w:hint="eastAsia" w:asciiTheme="minorEastAsia" w:hAnsiTheme="minorEastAsia" w:eastAsiaTheme="minorEastAsia"/>
          <w:color w:val="auto"/>
        </w:rPr>
        <w:t>供应商须知前附表</w:t>
      </w:r>
      <w:bookmarkEnd w:id="46"/>
      <w:bookmarkEnd w:id="47"/>
      <w:bookmarkEnd w:id="48"/>
      <w:bookmarkEnd w:id="49"/>
    </w:p>
    <w:tbl>
      <w:tblPr>
        <w:tblStyle w:val="3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条款号</w:t>
            </w:r>
          </w:p>
        </w:tc>
        <w:tc>
          <w:tcPr>
            <w:tcW w:w="1283" w:type="dxa"/>
            <w:vAlign w:val="center"/>
          </w:tcPr>
          <w:p>
            <w:pPr>
              <w:spacing w:after="0" w:line="40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条款名称</w:t>
            </w:r>
          </w:p>
        </w:tc>
        <w:tc>
          <w:tcPr>
            <w:tcW w:w="7290" w:type="dxa"/>
            <w:vAlign w:val="center"/>
          </w:tcPr>
          <w:p>
            <w:pPr>
              <w:spacing w:after="0" w:line="400" w:lineRule="exact"/>
              <w:ind w:firstLine="482" w:firstLineChars="20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w:t>
            </w:r>
          </w:p>
        </w:tc>
        <w:tc>
          <w:tcPr>
            <w:tcW w:w="7290" w:type="dxa"/>
            <w:vAlign w:val="center"/>
          </w:tcPr>
          <w:p>
            <w:pPr>
              <w:spacing w:after="0" w:line="400" w:lineRule="exact"/>
              <w:rPr>
                <w:rFonts w:hint="eastAsia" w:ascii="宋体" w:hAnsi="宋体" w:eastAsia="宋体"/>
                <w:color w:val="auto"/>
                <w:sz w:val="24"/>
              </w:rPr>
            </w:pPr>
            <w:r>
              <w:rPr>
                <w:rFonts w:hint="eastAsia" w:ascii="宋体" w:hAnsi="宋体" w:eastAsia="宋体"/>
                <w:color w:val="auto"/>
                <w:sz w:val="24"/>
              </w:rPr>
              <w:t>名称：防城港市港口区教育和科学技术局</w:t>
            </w:r>
          </w:p>
          <w:p>
            <w:pPr>
              <w:spacing w:after="0" w:line="400" w:lineRule="exact"/>
              <w:rPr>
                <w:rFonts w:hint="eastAsia" w:ascii="宋体" w:hAnsi="宋体" w:eastAsia="宋体"/>
                <w:color w:val="auto"/>
                <w:sz w:val="24"/>
              </w:rPr>
            </w:pPr>
            <w:r>
              <w:rPr>
                <w:rFonts w:hint="eastAsia" w:ascii="宋体" w:hAnsi="宋体" w:eastAsia="宋体"/>
                <w:color w:val="auto"/>
                <w:sz w:val="24"/>
              </w:rPr>
              <w:t>联系地址：防城港市港口区渔洲坪兴教路88号</w:t>
            </w:r>
          </w:p>
          <w:p>
            <w:pPr>
              <w:spacing w:after="0" w:line="400" w:lineRule="exact"/>
              <w:rPr>
                <w:rFonts w:hint="eastAsia" w:ascii="宋体" w:hAnsi="宋体" w:eastAsia="宋体"/>
                <w:color w:val="auto"/>
                <w:sz w:val="24"/>
                <w:lang w:eastAsia="zh-CN"/>
              </w:rPr>
            </w:pPr>
            <w:r>
              <w:rPr>
                <w:rFonts w:hint="eastAsia" w:ascii="宋体" w:hAnsi="宋体" w:eastAsia="宋体"/>
                <w:color w:val="auto"/>
                <w:sz w:val="24"/>
              </w:rPr>
              <w:t>联系人：</w:t>
            </w:r>
            <w:r>
              <w:rPr>
                <w:rFonts w:hint="eastAsia" w:ascii="宋体" w:hAnsi="宋体" w:eastAsia="宋体"/>
                <w:color w:val="auto"/>
                <w:sz w:val="24"/>
                <w:lang w:eastAsia="zh-CN"/>
              </w:rPr>
              <w:t>曹勇</w:t>
            </w:r>
          </w:p>
          <w:p>
            <w:pPr>
              <w:spacing w:after="0" w:line="400" w:lineRule="exact"/>
              <w:rPr>
                <w:rFonts w:hint="default" w:cs="宋体" w:asciiTheme="minorEastAsia" w:hAnsiTheme="minorEastAsia" w:eastAsiaTheme="minorEastAsia"/>
                <w:color w:val="auto"/>
                <w:sz w:val="24"/>
                <w:lang w:val="en-US"/>
              </w:rPr>
            </w:pPr>
            <w:r>
              <w:rPr>
                <w:rFonts w:hint="eastAsia" w:ascii="宋体" w:hAnsi="宋体" w:eastAsia="宋体"/>
                <w:color w:val="auto"/>
                <w:sz w:val="24"/>
              </w:rPr>
              <w:t>联系电话：</w:t>
            </w:r>
            <w:r>
              <w:rPr>
                <w:rFonts w:hint="eastAsia" w:ascii="宋体" w:hAnsi="宋体" w:eastAsia="宋体"/>
                <w:color w:val="auto"/>
                <w:sz w:val="24"/>
                <w:lang w:val="en-US" w:eastAsia="zh-CN"/>
              </w:rPr>
              <w:t>0770-2810063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bCs/>
                <w:color w:val="auto"/>
                <w:sz w:val="24"/>
              </w:rPr>
              <w:t>采购代理机构</w:t>
            </w:r>
          </w:p>
        </w:tc>
        <w:tc>
          <w:tcPr>
            <w:tcW w:w="7290" w:type="dxa"/>
            <w:vAlign w:val="center"/>
          </w:tcPr>
          <w:p>
            <w:pPr>
              <w:spacing w:after="0"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名称：</w:t>
            </w:r>
            <w:r>
              <w:rPr>
                <w:rFonts w:hint="eastAsia" w:cs="宋体" w:asciiTheme="minorEastAsia" w:hAnsiTheme="minorEastAsia" w:eastAsiaTheme="minorEastAsia"/>
                <w:color w:val="auto"/>
                <w:sz w:val="24"/>
                <w:lang w:eastAsia="zh-CN"/>
              </w:rPr>
              <w:t>广西建通工程咨询有限责任公司</w:t>
            </w:r>
          </w:p>
          <w:p>
            <w:pPr>
              <w:spacing w:after="0" w:line="400" w:lineRule="exact"/>
              <w:rPr>
                <w:rFonts w:hint="default" w:ascii="宋体" w:hAnsi="宋体" w:eastAsia="宋体"/>
                <w:color w:val="auto"/>
                <w:sz w:val="24"/>
                <w:lang w:val="en-US" w:eastAsia="zh-CN"/>
              </w:rPr>
            </w:pPr>
            <w:r>
              <w:rPr>
                <w:rFonts w:hint="eastAsia" w:ascii="宋体" w:hAnsi="宋体" w:eastAsia="宋体"/>
                <w:color w:val="auto"/>
                <w:sz w:val="24"/>
              </w:rPr>
              <w:t>联系地址：防城港市港口区珍珠路珍珠苑C10栋</w:t>
            </w:r>
          </w:p>
          <w:p>
            <w:pPr>
              <w:pStyle w:val="20"/>
              <w:spacing w:line="400" w:lineRule="exact"/>
              <w:rPr>
                <w:rFonts w:hint="eastAsia" w:ascii="宋体" w:hAnsi="宋体" w:eastAsia="宋体"/>
                <w:color w:val="auto"/>
                <w:sz w:val="24"/>
                <w:szCs w:val="24"/>
                <w:lang w:eastAsia="zh-CN"/>
              </w:rPr>
            </w:pPr>
            <w:r>
              <w:rPr>
                <w:rFonts w:hint="eastAsia" w:ascii="宋体" w:hAnsi="宋体" w:eastAsia="宋体"/>
                <w:color w:val="auto"/>
                <w:sz w:val="24"/>
                <w:szCs w:val="24"/>
              </w:rPr>
              <w:t>联系人：</w:t>
            </w:r>
            <w:r>
              <w:rPr>
                <w:rFonts w:hint="eastAsia" w:cs="Arial" w:asciiTheme="minorEastAsia" w:hAnsiTheme="minorEastAsia" w:eastAsiaTheme="minorEastAsia"/>
                <w:color w:val="auto"/>
                <w:sz w:val="24"/>
                <w:lang w:val="en-US" w:eastAsia="zh-CN"/>
              </w:rPr>
              <w:t>周莉莉</w:t>
            </w:r>
          </w:p>
          <w:p>
            <w:pPr>
              <w:pStyle w:val="20"/>
              <w:spacing w:line="400" w:lineRule="exact"/>
              <w:rPr>
                <w:rFonts w:cs="宋体" w:asciiTheme="minorEastAsia" w:hAnsiTheme="minorEastAsia" w:eastAsiaTheme="minorEastAsia"/>
                <w:color w:val="auto"/>
                <w:sz w:val="24"/>
              </w:rPr>
            </w:pPr>
            <w:r>
              <w:rPr>
                <w:rFonts w:hint="eastAsia" w:ascii="宋体" w:hAnsi="宋体" w:eastAsia="宋体"/>
                <w:color w:val="auto"/>
                <w:sz w:val="24"/>
                <w:szCs w:val="24"/>
              </w:rPr>
              <w:t>联系电话：</w:t>
            </w:r>
            <w:r>
              <w:rPr>
                <w:rFonts w:hint="eastAsia" w:cs="Arial" w:asciiTheme="minorEastAsia" w:hAnsiTheme="minorEastAsia" w:eastAsiaTheme="minorEastAsia"/>
                <w:color w:val="auto"/>
                <w:sz w:val="24"/>
              </w:rPr>
              <w:t>0770-2825676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7290" w:type="dxa"/>
            <w:vAlign w:val="center"/>
          </w:tcPr>
          <w:p>
            <w:pPr>
              <w:spacing w:after="0"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 xml:space="preserve"> </w:t>
            </w:r>
            <w:r>
              <w:rPr>
                <w:rFonts w:hint="eastAsia" w:cs="宋体" w:asciiTheme="minorEastAsia" w:hAnsiTheme="minorEastAsia" w:eastAsiaTheme="minorEastAsia"/>
                <w:color w:val="auto"/>
                <w:sz w:val="24"/>
                <w:lang w:val="en-US" w:eastAsia="zh-CN"/>
              </w:rPr>
              <w:t>2019年义教薄改和能力提升中小学教学设备采购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1.5</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项目编号</w:t>
            </w:r>
          </w:p>
        </w:tc>
        <w:tc>
          <w:tcPr>
            <w:tcW w:w="7290" w:type="dxa"/>
            <w:vAlign w:val="center"/>
          </w:tcPr>
          <w:p>
            <w:pPr>
              <w:spacing w:after="0"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FCZC2020-J1-20002-GXJT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采购预算</w:t>
            </w:r>
          </w:p>
        </w:tc>
        <w:tc>
          <w:tcPr>
            <w:tcW w:w="7290" w:type="dxa"/>
            <w:vAlign w:val="center"/>
          </w:tcPr>
          <w:p>
            <w:pPr>
              <w:numPr>
                <w:ilvl w:val="0"/>
                <w:numId w:val="0"/>
              </w:numPr>
              <w:spacing w:after="0" w:line="400" w:lineRule="exact"/>
              <w:rPr>
                <w:rFonts w:hint="eastAsia" w:cs="Arial" w:asciiTheme="minorEastAsia" w:hAnsiTheme="minorEastAsia" w:eastAsiaTheme="minorEastAsia"/>
                <w:bCs/>
                <w:color w:val="auto"/>
                <w:sz w:val="24"/>
                <w:lang w:eastAsia="zh-CN"/>
              </w:rPr>
            </w:pPr>
            <w:r>
              <w:rPr>
                <w:rFonts w:hint="eastAsia" w:cs="Arial" w:asciiTheme="minorEastAsia" w:hAnsiTheme="minorEastAsia" w:eastAsiaTheme="minorEastAsia"/>
                <w:bCs/>
                <w:color w:val="auto"/>
                <w:sz w:val="24"/>
              </w:rPr>
              <w:t>采购预算：人民币</w:t>
            </w:r>
            <w:r>
              <w:rPr>
                <w:rFonts w:hint="eastAsia" w:cs="Arial" w:asciiTheme="minorEastAsia" w:hAnsiTheme="minorEastAsia" w:eastAsiaTheme="minorEastAsia"/>
                <w:bCs/>
                <w:color w:val="auto"/>
                <w:sz w:val="24"/>
                <w:lang w:val="en-US" w:eastAsia="zh-CN"/>
              </w:rPr>
              <w:t>85</w:t>
            </w:r>
            <w:r>
              <w:rPr>
                <w:rFonts w:hint="eastAsia" w:cs="Arial" w:asciiTheme="minorEastAsia" w:hAnsiTheme="minorEastAsia" w:eastAsiaTheme="minorEastAsia"/>
                <w:bCs/>
                <w:color w:val="auto"/>
                <w:sz w:val="24"/>
              </w:rPr>
              <w:t>万元</w:t>
            </w:r>
            <w:r>
              <w:rPr>
                <w:rFonts w:hint="eastAsia" w:cs="Arial" w:asciiTheme="minorEastAsia" w:hAnsiTheme="minorEastAsia" w:eastAsiaTheme="minorEastAsia"/>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1.7</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资金来源</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1.8</w:t>
            </w:r>
          </w:p>
        </w:tc>
        <w:tc>
          <w:tcPr>
            <w:tcW w:w="1283" w:type="dxa"/>
            <w:vAlign w:val="center"/>
          </w:tcPr>
          <w:p>
            <w:pPr>
              <w:pStyle w:val="20"/>
              <w:spacing w:line="360" w:lineRule="exact"/>
              <w:jc w:val="center"/>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预留采购份额</w:t>
            </w:r>
          </w:p>
        </w:tc>
        <w:tc>
          <w:tcPr>
            <w:tcW w:w="7290" w:type="dxa"/>
            <w:vAlign w:val="center"/>
          </w:tcPr>
          <w:p>
            <w:pPr>
              <w:pStyle w:val="20"/>
              <w:spacing w:line="360" w:lineRule="exact"/>
              <w:ind w:left="682" w:hanging="681" w:hangingChars="284"/>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供应商资格条件</w:t>
            </w:r>
          </w:p>
        </w:tc>
        <w:tc>
          <w:tcPr>
            <w:tcW w:w="7290" w:type="dxa"/>
            <w:vAlign w:val="center"/>
          </w:tcPr>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基本资格条件：符合《中华人民共和国政府采购法》第二十二条规定，且为境内注册（指按国家有关规定要求注册的），生产或经营本次采购货物的供应商。包括：</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（1）具有独立承担民事责任的能力；</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（2）具有良好的商业信誉和健全的财务会计制度；</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（3）具有履行合同所必需的设备和专业技术能力；</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（4）有依法缴纳税收和社会</w:t>
            </w:r>
            <w:r>
              <w:rPr>
                <w:rFonts w:hint="eastAsia" w:asciiTheme="minorEastAsia" w:hAnsiTheme="minorEastAsia" w:eastAsiaTheme="minorEastAsia"/>
                <w:color w:val="auto"/>
                <w:sz w:val="24"/>
                <w:lang w:eastAsia="zh-CN"/>
              </w:rPr>
              <w:t>保险</w:t>
            </w:r>
            <w:r>
              <w:rPr>
                <w:rFonts w:hint="eastAsia" w:asciiTheme="minorEastAsia" w:hAnsiTheme="minorEastAsia" w:eastAsiaTheme="minorEastAsia"/>
                <w:color w:val="auto"/>
                <w:sz w:val="24"/>
              </w:rPr>
              <w:t>资金的良好记录；</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（5）参加政府采购活动前三年内，在经营活动中没有重大违法记录。</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（6）诚信要求：未</w:t>
            </w:r>
            <w:r>
              <w:rPr>
                <w:rFonts w:hint="eastAsia" w:cs="Arial" w:asciiTheme="minorEastAsia" w:hAnsiTheme="minorEastAsia" w:eastAsiaTheme="minorEastAsia"/>
                <w:color w:val="auto"/>
                <w:sz w:val="24"/>
              </w:rPr>
              <w:t>列入失信被执行人、重大税收违法案件当事人名单、政府采购严重违法失信行为记录名单。</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7</w:t>
            </w:r>
            <w:r>
              <w:rPr>
                <w:rFonts w:hint="eastAsia" w:asciiTheme="minorEastAsia" w:hAnsiTheme="minorEastAsia" w:eastAsiaTheme="minorEastAsia"/>
                <w:color w:val="auto"/>
                <w:sz w:val="24"/>
              </w:rPr>
              <w:t>）法律、行政法规规定的其他条件：具体内容见第四章“评审方法及评审标准”。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以上具体内容见第四章“评审方法及评审标准”。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供应商的特定要求：</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（1）资质要求：无。</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）其他要求：无。</w:t>
            </w:r>
          </w:p>
          <w:p>
            <w:pPr>
              <w:spacing w:after="0" w:line="400" w:lineRule="exact"/>
              <w:ind w:firstLine="480" w:firstLineChars="200"/>
              <w:rPr>
                <w:rFonts w:cs="Arial"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cs="Arial" w:asciiTheme="minorEastAsia" w:hAnsiTheme="minorEastAsia" w:eastAsiaTheme="minorEastAsia"/>
                <w:color w:val="auto"/>
                <w:sz w:val="24"/>
              </w:rPr>
              <w:t>存在本章“供应商须知正文”3.3所述情形的供应商，不得参加同一合同项下的政府采购活动。</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4.</w:t>
            </w:r>
            <w:r>
              <w:rPr>
                <w:rFonts w:hint="eastAsia" w:asciiTheme="minorEastAsia" w:hAnsiTheme="minorEastAsia" w:eastAsiaTheme="minorEastAsia"/>
                <w:color w:val="auto"/>
                <w:sz w:val="24"/>
              </w:rPr>
              <w:t>按本项目采购公告规定方式获得竞争性谈判文件。</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5</w:t>
            </w:r>
            <w:r>
              <w:rPr>
                <w:rFonts w:hint="eastAsia" w:cs="Arial" w:asciiTheme="minorEastAsia" w:hAnsiTheme="minorEastAsia" w:eastAsiaTheme="minorEastAsia"/>
                <w:color w:val="auto"/>
                <w:sz w:val="24"/>
              </w:rPr>
              <w:t>.本项目</w:t>
            </w:r>
            <w:r>
              <w:rPr>
                <w:rFonts w:hint="eastAsia" w:cs="Arial" w:asciiTheme="minorEastAsia" w:hAnsiTheme="minorEastAsia" w:eastAsiaTheme="minorEastAsia"/>
                <w:color w:val="auto"/>
                <w:sz w:val="24"/>
                <w:highlight w:val="none"/>
              </w:rPr>
              <w:t>不接受</w:t>
            </w:r>
            <w:r>
              <w:rPr>
                <w:rFonts w:hint="eastAsia" w:cs="Arial" w:asciiTheme="minorEastAsia" w:hAnsiTheme="minorEastAsia" w:eastAsiaTheme="minorEastAsia"/>
                <w:color w:val="auto"/>
                <w:sz w:val="24"/>
              </w:rPr>
              <w:t>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招标代理服务费</w:t>
            </w:r>
          </w:p>
        </w:tc>
        <w:tc>
          <w:tcPr>
            <w:tcW w:w="7290" w:type="dxa"/>
            <w:vAlign w:val="center"/>
          </w:tcPr>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现场勘察</w:t>
            </w:r>
          </w:p>
        </w:tc>
        <w:tc>
          <w:tcPr>
            <w:tcW w:w="7290" w:type="dxa"/>
            <w:vAlign w:val="center"/>
          </w:tcPr>
          <w:p>
            <w:pPr>
              <w:autoSpaceDE w:val="0"/>
              <w:autoSpaceDN w:val="0"/>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3"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4"/>
              </w:rPr>
              <w:t>不组织。由供应商自行决定是否勘察现场，建议供应商自行对项目现场和其周围环境进行现场勘察，以获取有关编制响应文件和签署实施项目合同所需的各种资料。联系人：</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,电话：</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after="0" w:line="40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□组织，时间:</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,联系人：</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,电话：</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10.1.1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价格文件组成内容</w:t>
            </w:r>
          </w:p>
        </w:tc>
        <w:tc>
          <w:tcPr>
            <w:tcW w:w="7290" w:type="dxa"/>
            <w:vAlign w:val="center"/>
          </w:tcPr>
          <w:p>
            <w:pPr>
              <w:autoSpaceDE w:val="0"/>
              <w:autoSpaceDN w:val="0"/>
              <w:spacing w:after="0" w:line="400" w:lineRule="exact"/>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价格文件（下列文件列明“必须提供”的，须加盖公章按要求提供，否则作竞标无效处理）</w:t>
            </w:r>
            <w:r>
              <w:rPr>
                <w:rFonts w:hint="eastAsia" w:cs="宋体" w:asciiTheme="minorEastAsia" w:hAnsiTheme="minorEastAsia" w:eastAsiaTheme="minorEastAsia"/>
                <w:color w:val="auto"/>
                <w:sz w:val="24"/>
              </w:rPr>
              <w:t>：</w:t>
            </w:r>
          </w:p>
          <w:p>
            <w:pPr>
              <w:pStyle w:val="94"/>
              <w:numPr>
                <w:ilvl w:val="0"/>
                <w:numId w:val="3"/>
              </w:numPr>
              <w:autoSpaceDE w:val="0"/>
              <w:autoSpaceDN w:val="0"/>
              <w:spacing w:after="0" w:line="400" w:lineRule="exact"/>
              <w:ind w:firstLine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谈判报价表；（格式见附件，</w:t>
            </w:r>
            <w:r>
              <w:rPr>
                <w:rFonts w:hint="eastAsia" w:cs="宋体" w:asciiTheme="minorEastAsia" w:hAnsiTheme="minorEastAsia" w:eastAsiaTheme="minorEastAsia"/>
                <w:b/>
                <w:color w:val="auto"/>
                <w:sz w:val="24"/>
              </w:rPr>
              <w:t>必须提供)</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10.1.2</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商务技术文件组成内容</w:t>
            </w:r>
          </w:p>
        </w:tc>
        <w:tc>
          <w:tcPr>
            <w:tcW w:w="7290" w:type="dxa"/>
            <w:vAlign w:val="center"/>
          </w:tcPr>
          <w:p>
            <w:pPr>
              <w:wordWrap w:val="0"/>
              <w:topLinePunct/>
              <w:adjustRightInd/>
              <w:spacing w:after="0" w:line="400" w:lineRule="exact"/>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cs="宋体" w:asciiTheme="minorEastAsia" w:hAnsiTheme="minorEastAsia" w:eastAsiaTheme="minorEastAsia"/>
                <w:b/>
                <w:color w:val="auto"/>
                <w:sz w:val="24"/>
                <w:u w:val="single"/>
              </w:rPr>
              <w:t>供应商所提供的材料不完整，或模糊不清以致关键信息无法辨认的，谈判小组有权认定该材料无效</w:t>
            </w:r>
            <w:r>
              <w:rPr>
                <w:rFonts w:hint="eastAsia" w:cs="宋体" w:asciiTheme="minorEastAsia" w:hAnsiTheme="minorEastAsia" w:eastAsiaTheme="minorEastAsia"/>
                <w:b/>
                <w:color w:val="auto"/>
                <w:sz w:val="24"/>
              </w:rPr>
              <w:t>。其他如有请提供）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谈判书；（格式见附件，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竞标声明书；（格式见附件，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技术响应、偏离情况说明表；（格式见附件，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商务响应表；（格式见附件，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售后服务承诺（由供应商按本项目竞争性谈判文件第三章“项目采购需求和说明”要求自行编制）；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有效的“营业执照”正本或副本复印件</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事业单位提供事业单位法人证书）；</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w:t>
            </w:r>
            <w:r>
              <w:rPr>
                <w:rFonts w:hint="eastAsia" w:cs="宋体" w:asciiTheme="minorEastAsia" w:hAnsiTheme="minorEastAsia" w:eastAsiaTheme="minorEastAsia"/>
                <w:color w:val="auto"/>
                <w:sz w:val="24"/>
                <w:lang w:val="en-US" w:eastAsia="zh-CN"/>
              </w:rPr>
              <w:t>2019年度</w:t>
            </w:r>
            <w:r>
              <w:rPr>
                <w:rFonts w:hint="eastAsia" w:cs="宋体" w:asciiTheme="minorEastAsia" w:hAnsiTheme="minorEastAsia" w:eastAsiaTheme="minorEastAsia"/>
                <w:color w:val="auto"/>
                <w:sz w:val="24"/>
              </w:rPr>
              <w:t>财务报表（账务报表至少包含资产负债表、利润表、现金流量表及其附注）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具备履行合同所必需的设备和专业技术服务能力的承诺书（格式见附件）；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参加本次政府采购活动前三年内在经营活动中无重大违法记录</w:t>
            </w:r>
            <w:r>
              <w:rPr>
                <w:rFonts w:hint="eastAsia" w:cs="宋体" w:asciiTheme="minorEastAsia" w:hAnsiTheme="minorEastAsia" w:eastAsiaTheme="minorEastAsia"/>
                <w:color w:val="auto"/>
                <w:sz w:val="24"/>
              </w:rPr>
              <w:t>的书面声明原件；（格式见附件，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本须知3.1款对</w:t>
            </w:r>
            <w:r>
              <w:rPr>
                <w:rFonts w:hint="eastAsia" w:asciiTheme="minorEastAsia" w:hAnsiTheme="minorEastAsia" w:eastAsiaTheme="minorEastAsia"/>
                <w:color w:val="auto"/>
                <w:sz w:val="24"/>
              </w:rPr>
              <w:t>供应商特定要求的证明材料</w:t>
            </w:r>
            <w:r>
              <w:rPr>
                <w:rFonts w:hint="eastAsia" w:cs="宋体" w:asciiTheme="minorEastAsia" w:hAnsiTheme="minorEastAsia" w:eastAsiaTheme="minorEastAsia"/>
                <w:b/>
                <w:color w:val="auto"/>
                <w:sz w:val="24"/>
              </w:rPr>
              <w:t>（如有要求的，必须提供）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供应商控股及管理关系情况申报表；（格式见附件，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法定代表人身份证明书原件及法定代表人有效身份证正反面复印件；（格式见附件）</w:t>
            </w:r>
            <w:r>
              <w:rPr>
                <w:rFonts w:hint="eastAsia" w:cs="宋体" w:asciiTheme="minorEastAsia" w:hAnsiTheme="minorEastAsia" w:eastAsiaTheme="minorEastAsia"/>
                <w:b/>
                <w:color w:val="auto"/>
                <w:sz w:val="24"/>
              </w:rPr>
              <w:t>（必须提供）</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法定代表人授权委托书原件及被授权人有效身份证正反面复印件；（格式见附件，</w:t>
            </w:r>
            <w:r>
              <w:rPr>
                <w:rFonts w:hint="eastAsia" w:cs="宋体" w:asciiTheme="minorEastAsia" w:hAnsiTheme="minorEastAsia" w:eastAsiaTheme="minorEastAsia"/>
                <w:b/>
                <w:color w:val="auto"/>
                <w:sz w:val="24"/>
              </w:rPr>
              <w:t>委托时必须提供，否则竞标无效）</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联合体竞标协议书及联合竞标授权委托书（正本用原件，副本可用复印件）（格式见附件，</w:t>
            </w:r>
            <w:r>
              <w:rPr>
                <w:rFonts w:hint="eastAsia" w:cs="宋体" w:asciiTheme="minorEastAsia" w:hAnsiTheme="minorEastAsia" w:eastAsiaTheme="minorEastAsia"/>
                <w:b/>
                <w:color w:val="auto"/>
                <w:sz w:val="24"/>
              </w:rPr>
              <w:t>如本项目接受联合体的，联合体竞标时必须提供，否则竞标无效）</w:t>
            </w:r>
          </w:p>
          <w:p>
            <w:pPr>
              <w:pStyle w:val="94"/>
              <w:numPr>
                <w:ilvl w:val="0"/>
                <w:numId w:val="4"/>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10.1.3</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响应文件电子版</w:t>
            </w:r>
          </w:p>
        </w:tc>
        <w:tc>
          <w:tcPr>
            <w:tcW w:w="7290" w:type="dxa"/>
            <w:vAlign w:val="center"/>
          </w:tcPr>
          <w:p>
            <w:pPr>
              <w:autoSpaceDE w:val="0"/>
              <w:autoSpaceDN w:val="0"/>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w:char="F0FE"/>
            </w:r>
            <w:r>
              <w:rPr>
                <w:rFonts w:hint="eastAsia" w:cs="宋体" w:asciiTheme="minorEastAsia" w:hAnsiTheme="minorEastAsia" w:eastAsiaTheme="minorEastAsia"/>
                <w:color w:val="auto"/>
                <w:sz w:val="24"/>
              </w:rPr>
              <w:t>需要提供,供应商在递交响应文件时，需同时递交响应文件电子版。具体要求：</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（1）响应文件电子版内容：与全部响应文件正本内容一致；</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（2）响应文件电子版份数：1份；</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（3）响应文件电子版形式：已签字盖章且未加密的PDF格式响应文件电子版光盘（或U盘）。</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响应有效期</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谈判保证金</w:t>
            </w:r>
          </w:p>
        </w:tc>
        <w:tc>
          <w:tcPr>
            <w:tcW w:w="7290" w:type="dxa"/>
            <w:vAlign w:val="center"/>
          </w:tcPr>
          <w:p>
            <w:pPr>
              <w:spacing w:after="0" w:line="400" w:lineRule="exact"/>
              <w:rPr>
                <w:rFonts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不需要缴纳谈判保证金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14.4</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响应文件份数</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正本一份、副本</w:t>
            </w:r>
            <w:r>
              <w:rPr>
                <w:rFonts w:hint="eastAsia" w:cs="宋体" w:asciiTheme="minorEastAsia" w:hAnsiTheme="minorEastAsia" w:eastAsiaTheme="minorEastAsia"/>
                <w:color w:val="auto"/>
                <w:sz w:val="24"/>
                <w:lang w:eastAsia="zh-CN"/>
              </w:rPr>
              <w:t>肆</w:t>
            </w:r>
            <w:r>
              <w:rPr>
                <w:rFonts w:hint="eastAsia" w:cs="宋体" w:asciiTheme="minorEastAsia" w:hAnsiTheme="minorEastAsia" w:eastAsiaTheme="minorEastAsia"/>
                <w:color w:val="auto"/>
                <w:sz w:val="24"/>
              </w:rPr>
              <w:t>份。即：“价格文件”正本一份，副本</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lang w:eastAsia="zh-CN"/>
              </w:rPr>
              <w:t>肆</w:t>
            </w:r>
            <w:r>
              <w:rPr>
                <w:rFonts w:hint="eastAsia" w:cs="宋体" w:asciiTheme="minorEastAsia" w:hAnsiTheme="minorEastAsia" w:eastAsiaTheme="minorEastAsia"/>
                <w:color w:val="auto"/>
                <w:sz w:val="24"/>
              </w:rPr>
              <w:t>份；“商务技术文件”正本一份，副本</w:t>
            </w:r>
            <w:r>
              <w:rPr>
                <w:rFonts w:hint="eastAsia" w:cs="宋体" w:asciiTheme="minorEastAsia" w:hAnsiTheme="minorEastAsia" w:eastAsiaTheme="minorEastAsia"/>
                <w:color w:val="auto"/>
                <w:sz w:val="24"/>
                <w:lang w:eastAsia="zh-CN"/>
              </w:rPr>
              <w:t>肆</w:t>
            </w:r>
            <w:r>
              <w:rPr>
                <w:rFonts w:hint="eastAsia" w:cs="宋体" w:asciiTheme="minorEastAsia" w:hAnsiTheme="minorEastAsia" w:eastAsiaTheme="minorEastAsia"/>
                <w:color w:val="auto"/>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2020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 xml:space="preserve"> 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 xml:space="preserve"> 9</w:t>
            </w:r>
            <w:r>
              <w:rPr>
                <w:rFonts w:hint="eastAsia" w:cs="宋体" w:asciiTheme="minorEastAsia" w:hAnsiTheme="minorEastAsia" w:eastAsiaTheme="minorEastAsia"/>
                <w:color w:val="auto"/>
                <w:sz w:val="24"/>
              </w:rPr>
              <w:t>点</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响应文件递交地点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防城港市公共资源交易中心（防城港市迎宾路红树林大厦东塔），并由采购代理机构签收。逾期送达或未按要求密封的响应文件将予以拒收或作无效响应文件处理。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cs="宋体" w:asciiTheme="minorEastAsia" w:hAnsiTheme="minorEastAsia" w:eastAsiaTheme="minorEastAsia"/>
                <w:color w:val="auto"/>
                <w:sz w:val="24"/>
              </w:rPr>
              <w:t>8</w:t>
            </w:r>
            <w:r>
              <w:rPr>
                <w:rFonts w:hint="eastAsia" w:cs="宋体" w:asciiTheme="minorEastAsia" w:hAnsiTheme="minorEastAsia" w:eastAsiaTheme="minorEastAsia"/>
                <w:color w:val="auto"/>
                <w:sz w:val="24"/>
              </w:rPr>
              <w:t>.1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谈判时间和地点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谈判时间：</w:t>
            </w:r>
            <w:r>
              <w:rPr>
                <w:rFonts w:hint="eastAsia" w:cs="宋体" w:asciiTheme="minorEastAsia" w:hAnsiTheme="minorEastAsia" w:eastAsiaTheme="minorEastAsia"/>
                <w:color w:val="auto"/>
                <w:sz w:val="24"/>
                <w:lang w:val="en-US" w:eastAsia="zh-CN"/>
              </w:rPr>
              <w:t>2020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 xml:space="preserve"> 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 xml:space="preserve"> 9</w:t>
            </w:r>
            <w:r>
              <w:rPr>
                <w:rFonts w:hint="eastAsia" w:cs="宋体" w:asciiTheme="minorEastAsia" w:hAnsiTheme="minorEastAsia" w:eastAsiaTheme="minorEastAsia"/>
                <w:color w:val="auto"/>
                <w:sz w:val="24"/>
              </w:rPr>
              <w:t>点</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分截标后（具体时间由采购代理机构另行通知）；</w:t>
            </w:r>
          </w:p>
          <w:p>
            <w:pPr>
              <w:spacing w:after="0" w:line="400" w:lineRule="exact"/>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谈判地点：防城港市公共资源交易中心（防城港市迎宾路红树林大厦东塔）</w:t>
            </w:r>
            <w:r>
              <w:rPr>
                <w:rFonts w:hint="eastAsia" w:cs="宋体" w:asciiTheme="minorEastAsia" w:hAnsiTheme="minorEastAsia" w:eastAsiaTheme="minorEastAsia"/>
                <w:b/>
                <w:color w:val="auto"/>
                <w:sz w:val="24"/>
              </w:rPr>
              <w:t>；</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供应商法定代表人或其授权代表必须携带以下有效证件按时参加谈判会议，否则视为自动放弃谈判。</w:t>
            </w:r>
            <w:r>
              <w:rPr>
                <w:rFonts w:hint="eastAsia" w:cs="宋体" w:asciiTheme="minorEastAsia" w:hAnsiTheme="minorEastAsia" w:eastAsiaTheme="minorEastAsia"/>
                <w:b/>
                <w:color w:val="auto"/>
                <w:sz w:val="24"/>
              </w:rPr>
              <w:t>有效证件为：授权委托书（法定代表人参加的不需提供授权委托书，但需提供法定代表人身份证明）和本人身份证原件。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0</w:t>
            </w:r>
            <w:r>
              <w:rPr>
                <w:rFonts w:hint="eastAsia" w:cs="宋体" w:asciiTheme="minorEastAsia" w:hAnsiTheme="minorEastAsia" w:eastAsiaTheme="minorEastAsia"/>
                <w:color w:val="auto"/>
                <w:sz w:val="24"/>
              </w:rPr>
              <w:t>.2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评标办法</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30.1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履约保证金</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招标代理服务费</w:t>
            </w:r>
          </w:p>
        </w:tc>
        <w:tc>
          <w:tcPr>
            <w:tcW w:w="7290" w:type="dxa"/>
            <w:vAlign w:val="center"/>
          </w:tcPr>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cs="Courier New" w:asciiTheme="minorEastAsia" w:hAnsiTheme="minorEastAsia" w:eastAsiaTheme="minorEastAsia"/>
                <w:color w:val="auto"/>
                <w:sz w:val="24"/>
              </w:rPr>
              <w:sym w:font="Wingdings" w:char="F0FE"/>
            </w:r>
            <w:r>
              <w:rPr>
                <w:rFonts w:hint="eastAsia" w:asciiTheme="minorEastAsia" w:hAnsiTheme="minorEastAsia" w:eastAsiaTheme="minorEastAsia"/>
                <w:color w:val="auto"/>
                <w:sz w:val="24"/>
              </w:rPr>
              <w:t>招标代理服务费由成交人支付。</w:t>
            </w:r>
          </w:p>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（1）成交人领取成交通知书前，应向采购代理机构一次付清招标代理服务费，代理服务收费按下述标准（货物招标）以差额定率累进法计算收取，具体标准如下：</w:t>
            </w:r>
          </w:p>
          <w:tbl>
            <w:tblPr>
              <w:tblStyle w:val="37"/>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费率</w:t>
                  </w:r>
                </w:p>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中标金额</w:t>
                  </w:r>
                </w:p>
              </w:tc>
              <w:tc>
                <w:tcPr>
                  <w:tcW w:w="1559" w:type="dxa"/>
                  <w:vAlign w:val="center"/>
                </w:tcPr>
                <w:p>
                  <w:pPr>
                    <w:spacing w:after="0" w:line="400" w:lineRule="exact"/>
                    <w:ind w:firstLine="120" w:firstLineChars="5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货物招标</w:t>
                  </w:r>
                </w:p>
              </w:tc>
              <w:tc>
                <w:tcPr>
                  <w:tcW w:w="1418"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服务招标</w:t>
                  </w:r>
                </w:p>
              </w:tc>
              <w:tc>
                <w:tcPr>
                  <w:tcW w:w="1275"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100万元以下</w:t>
                  </w:r>
                </w:p>
              </w:tc>
              <w:tc>
                <w:tcPr>
                  <w:tcW w:w="1559"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1418"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1275" w:type="dxa"/>
                </w:tcPr>
                <w:p>
                  <w:pPr>
                    <w:spacing w:after="0" w:line="400" w:lineRule="exact"/>
                    <w:ind w:firstLine="240" w:firstLineChars="100"/>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100～500万元</w:t>
                  </w:r>
                </w:p>
              </w:tc>
              <w:tc>
                <w:tcPr>
                  <w:tcW w:w="1559"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1418"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0.8%</w:t>
                  </w:r>
                </w:p>
              </w:tc>
              <w:tc>
                <w:tcPr>
                  <w:tcW w:w="1275" w:type="dxa"/>
                </w:tcPr>
                <w:p>
                  <w:pPr>
                    <w:spacing w:after="0" w:line="400" w:lineRule="exact"/>
                    <w:ind w:firstLine="240" w:firstLineChars="100"/>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0.7%</w:t>
                  </w:r>
                </w:p>
              </w:tc>
            </w:tr>
          </w:tbl>
          <w:p>
            <w:pPr>
              <w:adjustRightInd/>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例如：某货物招标代理业务成交金额为</w:t>
            </w:r>
            <w:r>
              <w:rPr>
                <w:rFonts w:asciiTheme="minorEastAsia" w:hAnsiTheme="minorEastAsia" w:eastAsiaTheme="minorEastAsia"/>
                <w:color w:val="auto"/>
                <w:sz w:val="24"/>
              </w:rPr>
              <w:t>300</w:t>
            </w:r>
            <w:r>
              <w:rPr>
                <w:rFonts w:hint="eastAsia" w:asciiTheme="minorEastAsia" w:hAnsiTheme="minorEastAsia" w:eastAsiaTheme="minorEastAsia"/>
                <w:color w:val="auto"/>
                <w:sz w:val="24"/>
              </w:rPr>
              <w:t>万元，招标代理服务费金额按如下计算：</w:t>
            </w:r>
          </w:p>
          <w:p>
            <w:pPr>
              <w:adjustRightInd/>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100</w:t>
            </w:r>
            <w:r>
              <w:rPr>
                <w:rFonts w:hint="eastAsia" w:asciiTheme="minorEastAsia" w:hAnsiTheme="minorEastAsia" w:eastAsiaTheme="minorEastAsia"/>
                <w:color w:val="auto"/>
                <w:sz w:val="24"/>
              </w:rPr>
              <w:t>万元×</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1.5 </w:t>
            </w:r>
            <w:r>
              <w:rPr>
                <w:rFonts w:hint="eastAsia" w:asciiTheme="minorEastAsia" w:hAnsiTheme="minorEastAsia" w:eastAsiaTheme="minorEastAsia"/>
                <w:color w:val="auto"/>
                <w:sz w:val="24"/>
              </w:rPr>
              <w:t>万元</w:t>
            </w:r>
          </w:p>
          <w:p>
            <w:pPr>
              <w:adjustRightInd/>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300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100</w:t>
            </w:r>
            <w:r>
              <w:rPr>
                <w:rFonts w:hint="eastAsia" w:asciiTheme="minorEastAsia" w:hAnsiTheme="minorEastAsia" w:eastAsiaTheme="minorEastAsia"/>
                <w:color w:val="auto"/>
                <w:sz w:val="24"/>
              </w:rPr>
              <w:t>）万元×</w:t>
            </w:r>
            <w:r>
              <w:rPr>
                <w:rFonts w:asciiTheme="minorEastAsia" w:hAnsiTheme="minorEastAsia" w:eastAsiaTheme="minorEastAsia"/>
                <w:color w:val="auto"/>
                <w:sz w:val="24"/>
              </w:rPr>
              <w:t>1.1%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w:t>
            </w:r>
            <w:r>
              <w:rPr>
                <w:rFonts w:hint="eastAsia" w:asciiTheme="minorEastAsia" w:hAnsiTheme="minorEastAsia" w:eastAsiaTheme="minorEastAsia"/>
                <w:color w:val="auto"/>
                <w:sz w:val="24"/>
              </w:rPr>
              <w:t>万元</w:t>
            </w:r>
          </w:p>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合计收费＝</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2.2=3.7</w:t>
            </w:r>
            <w:r>
              <w:rPr>
                <w:rFonts w:hint="eastAsia" w:asciiTheme="minorEastAsia" w:hAnsiTheme="minorEastAsia" w:eastAsiaTheme="minorEastAsia"/>
                <w:color w:val="auto"/>
                <w:sz w:val="24"/>
              </w:rPr>
              <w:t>万元</w:t>
            </w:r>
          </w:p>
          <w:p>
            <w:pPr>
              <w:spacing w:after="0" w:line="400" w:lineRule="exact"/>
              <w:ind w:firstLine="480"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z w:val="24"/>
              </w:rPr>
              <w:t>（2）</w:t>
            </w:r>
            <w:r>
              <w:rPr>
                <w:rFonts w:hint="eastAsia" w:asciiTheme="minorEastAsia" w:hAnsiTheme="minorEastAsia" w:eastAsiaTheme="minorEastAsia"/>
                <w:color w:val="auto"/>
                <w:sz w:val="24"/>
              </w:rPr>
              <w:t>采购代理机构指定的收取招标代理服务费的银行账户：</w:t>
            </w:r>
          </w:p>
          <w:p>
            <w:pPr>
              <w:spacing w:after="0" w:line="40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账户名称：</w:t>
            </w:r>
            <w:r>
              <w:rPr>
                <w:rFonts w:ascii="宋体" w:hAnsi="宋体" w:eastAsia="宋体" w:cs="宋体"/>
                <w:color w:val="auto"/>
                <w:sz w:val="24"/>
                <w:szCs w:val="24"/>
              </w:rPr>
              <w:t>广西建</w:t>
            </w:r>
            <w:bookmarkStart w:id="188" w:name="_GoBack"/>
            <w:bookmarkEnd w:id="188"/>
            <w:r>
              <w:rPr>
                <w:rFonts w:ascii="宋体" w:hAnsi="宋体" w:eastAsia="宋体" w:cs="宋体"/>
                <w:color w:val="auto"/>
                <w:sz w:val="24"/>
                <w:szCs w:val="24"/>
              </w:rPr>
              <w:t>通工程咨询有限责任公司防城港分公司</w:t>
            </w:r>
          </w:p>
          <w:p>
            <w:pPr>
              <w:spacing w:after="0" w:line="40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开户银行：</w:t>
            </w:r>
            <w:r>
              <w:rPr>
                <w:rFonts w:ascii="宋体" w:hAnsi="宋体" w:eastAsia="宋体" w:cs="宋体"/>
                <w:color w:val="auto"/>
                <w:sz w:val="24"/>
                <w:szCs w:val="24"/>
              </w:rPr>
              <w:t>中国建设银行防城港桃花湾广场支行</w:t>
            </w:r>
            <w:r>
              <w:rPr>
                <w:rFonts w:hint="eastAsia" w:asciiTheme="minorEastAsia" w:hAnsiTheme="minorEastAsia" w:eastAsiaTheme="minorEastAsia"/>
                <w:color w:val="auto"/>
                <w:sz w:val="24"/>
                <w:lang w:val="en-US" w:eastAsia="zh-CN"/>
              </w:rPr>
              <w:t xml:space="preserve"> </w:t>
            </w:r>
          </w:p>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银行账号：</w:t>
            </w:r>
            <w:r>
              <w:rPr>
                <w:rFonts w:ascii="宋体" w:hAnsi="宋体" w:eastAsia="宋体" w:cs="宋体"/>
                <w:color w:val="auto"/>
                <w:sz w:val="24"/>
                <w:szCs w:val="24"/>
              </w:rPr>
              <w:t>4500 1659 5420 5070 7022</w:t>
            </w:r>
            <w:r>
              <w:rPr>
                <w:rFonts w:hint="eastAsia" w:asciiTheme="minorEastAsia" w:hAnsiTheme="minorEastAsia" w:eastAsiaTheme="minorEastAsia"/>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质疑函接收及联系方式</w:t>
            </w:r>
          </w:p>
        </w:tc>
        <w:tc>
          <w:tcPr>
            <w:tcW w:w="7290" w:type="dxa"/>
            <w:vAlign w:val="center"/>
          </w:tcPr>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接收质疑函的方式</w:t>
            </w:r>
            <w:r>
              <w:rPr>
                <w:rFonts w:hint="eastAsia" w:asciiTheme="minorEastAsia" w:hAnsiTheme="minorEastAsia" w:eastAsiaTheme="minorEastAsia"/>
                <w:color w:val="auto"/>
                <w:sz w:val="24"/>
              </w:rPr>
              <w:t>：接收供应商或其委托代理人以书面形式递交的质疑函原件，委托</w:t>
            </w:r>
            <w:r>
              <w:rPr>
                <w:rFonts w:asciiTheme="minorEastAsia" w:hAnsiTheme="minorEastAsia" w:eastAsiaTheme="minorEastAsia"/>
                <w:color w:val="auto"/>
                <w:sz w:val="24"/>
              </w:rPr>
              <w:t>代理人提出质疑</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还</w:t>
            </w:r>
            <w:r>
              <w:rPr>
                <w:rFonts w:asciiTheme="minorEastAsia" w:hAnsiTheme="minorEastAsia" w:eastAsiaTheme="minorEastAsia"/>
                <w:color w:val="auto"/>
                <w:sz w:val="24"/>
              </w:rPr>
              <w:t>应当提交供应商签署的授权委托书</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联系部门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广西建通工程咨询有限责任公司防城港分公司</w:t>
            </w:r>
          </w:p>
          <w:p>
            <w:pPr>
              <w:spacing w:after="0" w:line="400" w:lineRule="exact"/>
              <w:ind w:firstLine="480" w:firstLineChars="200"/>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联系电话</w:t>
            </w:r>
            <w:r>
              <w:rPr>
                <w:rFonts w:hint="eastAsia" w:asciiTheme="minorEastAsia" w:hAnsiTheme="minorEastAsia" w:eastAsiaTheme="minorEastAsia"/>
                <w:color w:val="auto"/>
                <w:sz w:val="24"/>
              </w:rPr>
              <w:t>：</w:t>
            </w:r>
            <w:r>
              <w:rPr>
                <w:rFonts w:ascii="宋体" w:hAnsi="宋体" w:eastAsia="宋体" w:cs="宋体"/>
                <w:color w:val="auto"/>
                <w:sz w:val="24"/>
                <w:szCs w:val="24"/>
              </w:rPr>
              <w:t>0770—2825676</w:t>
            </w:r>
          </w:p>
          <w:p>
            <w:pPr>
              <w:spacing w:after="0" w:line="400" w:lineRule="exact"/>
              <w:ind w:firstLine="480" w:firstLineChars="200"/>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通讯地址</w:t>
            </w:r>
            <w:r>
              <w:rPr>
                <w:rFonts w:hint="eastAsia" w:asciiTheme="minorEastAsia" w:hAnsiTheme="minorEastAsia" w:eastAsiaTheme="minorEastAsia"/>
                <w:color w:val="auto"/>
                <w:sz w:val="24"/>
              </w:rPr>
              <w:t>：</w:t>
            </w:r>
            <w:r>
              <w:rPr>
                <w:rFonts w:hint="eastAsia" w:ascii="宋体" w:hAnsi="宋体" w:eastAsia="宋体"/>
                <w:color w:val="auto"/>
                <w:sz w:val="24"/>
              </w:rPr>
              <w:t>防城港市港口区珍珠路珍珠苑C10栋</w:t>
            </w:r>
            <w:r>
              <w:rPr>
                <w:rFonts w:hint="eastAsia" w:asciiTheme="minorEastAsia" w:hAnsiTheme="minorEastAsia" w:eastAsiaTheme="minorEastAsia"/>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p>
        </w:tc>
        <w:tc>
          <w:tcPr>
            <w:tcW w:w="1283" w:type="dxa"/>
            <w:vAlign w:val="center"/>
          </w:tcPr>
          <w:p>
            <w:pPr>
              <w:spacing w:after="0" w:line="400" w:lineRule="exact"/>
              <w:jc w:val="center"/>
              <w:rPr>
                <w:rFonts w:cs="宋体" w:asciiTheme="minorEastAsia" w:hAnsiTheme="minorEastAsia" w:eastAsiaTheme="minorEastAsia"/>
                <w:color w:val="auto"/>
                <w:sz w:val="24"/>
              </w:rPr>
            </w:pP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cs="宋体" w:asciiTheme="minorEastAsia" w:hAnsiTheme="minorEastAsia" w:eastAsiaTheme="minorEastAsia"/>
                <w:color w:val="auto"/>
                <w:sz w:val="24"/>
              </w:rPr>
              <w:t>本文件中描述</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的“公章”是指根据我国对公章的管理规定，用</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法定主体行为名称制作的印章，除本文件有特殊规定外，</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的财务章、部门章、分公司章、工会章、合同章、</w:t>
            </w:r>
            <w:r>
              <w:rPr>
                <w:rFonts w:hint="eastAsia" w:cs="宋体" w:asciiTheme="minorEastAsia" w:hAnsiTheme="minorEastAsia" w:eastAsiaTheme="minorEastAsia"/>
                <w:color w:val="auto"/>
                <w:sz w:val="24"/>
              </w:rPr>
              <w:t>竞标</w:t>
            </w:r>
            <w:r>
              <w:rPr>
                <w:rFonts w:cs="宋体" w:asciiTheme="minorEastAsia" w:hAnsiTheme="minorEastAsia" w:eastAsiaTheme="minorEastAsia"/>
                <w:color w:val="auto"/>
                <w:sz w:val="24"/>
              </w:rPr>
              <w:t>专用章、业务专用章及银行的转账章、现金收讫章、现金付讫章等其它形式印章均不能代替公章。</w:t>
            </w:r>
            <w:r>
              <w:rPr>
                <w:rFonts w:hint="eastAsia" w:cs="宋体" w:asciiTheme="minorEastAsia" w:hAnsiTheme="minorEastAsia" w:eastAsiaTheme="minorEastAsia"/>
                <w:b/>
                <w:color w:val="auto"/>
                <w:sz w:val="24"/>
              </w:rPr>
              <w:t>不符合要求的作竞标无效处理。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本文件中描述</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w:t>
            </w:r>
            <w:r>
              <w:rPr>
                <w:rFonts w:hint="eastAsia" w:cs="宋体" w:asciiTheme="minorEastAsia" w:hAnsiTheme="minorEastAsia" w:eastAsiaTheme="minorEastAsia"/>
                <w:color w:val="auto"/>
                <w:sz w:val="24"/>
              </w:rPr>
              <w:t>签字</w:t>
            </w:r>
            <w:r>
              <w:rPr>
                <w:rFonts w:cs="宋体" w:asciiTheme="minorEastAsia" w:hAnsiTheme="minorEastAsia" w:eastAsiaTheme="minorEastAsia"/>
                <w:color w:val="auto"/>
                <w:sz w:val="24"/>
              </w:rPr>
              <w:t>”是指</w:t>
            </w:r>
            <w:r>
              <w:rPr>
                <w:rFonts w:hint="eastAsia" w:cs="宋体" w:asciiTheme="minorEastAsia" w:hAnsiTheme="minorEastAsia" w:eastAsiaTheme="minorEastAsia"/>
                <w:color w:val="auto"/>
                <w:sz w:val="24"/>
              </w:rPr>
              <w:t>供应商的法定代表人或被授权人亲自在文件规定签署处亲笔写上个人的名字的行为，私章、签字章、印鉴、影印等其它形式</w:t>
            </w:r>
            <w:r>
              <w:rPr>
                <w:rFonts w:cs="宋体" w:asciiTheme="minorEastAsia" w:hAnsiTheme="minorEastAsia" w:eastAsiaTheme="minorEastAsia"/>
                <w:color w:val="auto"/>
                <w:sz w:val="24"/>
              </w:rPr>
              <w:t>均不能代替</w:t>
            </w:r>
            <w:r>
              <w:rPr>
                <w:rFonts w:hint="eastAsia" w:cs="宋体" w:asciiTheme="minorEastAsia" w:hAnsiTheme="minorEastAsia" w:eastAsiaTheme="minorEastAsia"/>
                <w:color w:val="auto"/>
                <w:sz w:val="24"/>
              </w:rPr>
              <w:t>亲笔签字</w:t>
            </w:r>
            <w:r>
              <w:rPr>
                <w:rFonts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不符合要求的或漏签的作竞标无效处理。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kern w:val="2"/>
                <w:sz w:val="24"/>
                <w:szCs w:val="24"/>
              </w:rPr>
              <w:t xml:space="preserve"> 供应商</w:t>
            </w:r>
            <w:r>
              <w:rPr>
                <w:rFonts w:hint="eastAsia" w:cs="宋体" w:asciiTheme="minorEastAsia" w:hAnsiTheme="minorEastAsia" w:eastAsiaTheme="minorEastAsia"/>
                <w:color w:val="auto"/>
                <w:sz w:val="24"/>
              </w:rPr>
              <w:t>须知前附表是对供应商须知的具体补充和修改，如有矛盾，应以本前附表为准。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480" w:firstLineChars="200"/>
              <w:jc w:val="center"/>
              <w:rPr>
                <w:rFonts w:cs="宋体" w:asciiTheme="minorEastAsia" w:hAnsiTheme="minorEastAsia" w:eastAsiaTheme="minorEastAsia"/>
                <w:color w:val="auto"/>
                <w:sz w:val="24"/>
              </w:rPr>
            </w:pPr>
          </w:p>
        </w:tc>
        <w:tc>
          <w:tcPr>
            <w:tcW w:w="1283" w:type="dxa"/>
            <w:vAlign w:val="center"/>
          </w:tcPr>
          <w:p>
            <w:pPr>
              <w:spacing w:after="0" w:line="400" w:lineRule="exact"/>
              <w:ind w:firstLine="480" w:firstLineChars="200"/>
              <w:jc w:val="center"/>
              <w:rPr>
                <w:rFonts w:cs="宋体" w:asciiTheme="minorEastAsia" w:hAnsiTheme="minorEastAsia" w:eastAsiaTheme="minorEastAsia"/>
                <w:color w:val="auto"/>
                <w:sz w:val="24"/>
              </w:rPr>
            </w:pPr>
          </w:p>
        </w:tc>
        <w:tc>
          <w:tcPr>
            <w:tcW w:w="7290" w:type="dxa"/>
            <w:vAlign w:val="center"/>
          </w:tcPr>
          <w:p>
            <w:pPr>
              <w:spacing w:after="0" w:line="4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递交响应文件截止时间后，由采购人或采购代理机构对供应商进行信用信息查询，具体规定如下：</w:t>
            </w:r>
          </w:p>
          <w:p>
            <w:pPr>
              <w:spacing w:after="0" w:line="4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查询渠道：“</w:t>
            </w:r>
            <w:r>
              <w:rPr>
                <w:rFonts w:cs="仿宋" w:asciiTheme="minorEastAsia" w:hAnsiTheme="minorEastAsia" w:eastAsiaTheme="minorEastAsia"/>
                <w:color w:val="auto"/>
                <w:sz w:val="24"/>
              </w:rPr>
              <w:t>信用中国</w:t>
            </w: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cs="仿宋" w:asciiTheme="minorEastAsia" w:hAnsiTheme="minorEastAsia" w:eastAsiaTheme="minorEastAsia"/>
                <w:color w:val="auto"/>
                <w:sz w:val="24"/>
              </w:rPr>
              <w:t>www.ccgp.gov.cn</w:t>
            </w:r>
            <w:r>
              <w:rPr>
                <w:rFonts w:cs="仿宋" w:asciiTheme="minorEastAsia" w:hAnsiTheme="minorEastAsia" w:eastAsiaTheme="minorEastAsia"/>
                <w:color w:val="auto"/>
                <w:sz w:val="24"/>
              </w:rPr>
              <w:fldChar w:fldCharType="end"/>
            </w:r>
            <w:r>
              <w:rPr>
                <w:rFonts w:cs="仿宋" w:asciiTheme="minorEastAsia" w:hAnsiTheme="minorEastAsia" w:eastAsiaTheme="minorEastAsia"/>
                <w:color w:val="auto"/>
                <w:sz w:val="24"/>
              </w:rPr>
              <w:t>)</w:t>
            </w:r>
            <w:r>
              <w:rPr>
                <w:rFonts w:hint="eastAsia" w:cs="仿宋" w:asciiTheme="minorEastAsia" w:hAnsiTheme="minorEastAsia" w:eastAsiaTheme="minorEastAsia"/>
                <w:color w:val="auto"/>
                <w:sz w:val="24"/>
              </w:rPr>
              <w:t>等。</w:t>
            </w:r>
          </w:p>
          <w:p>
            <w:pPr>
              <w:spacing w:after="0" w:line="4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信用中国</w:t>
            </w: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网站</w:t>
            </w:r>
            <w:r>
              <w:rPr>
                <w:rFonts w:hint="eastAsia" w:cs="仿宋" w:asciiTheme="minorEastAsia" w:hAnsiTheme="minorEastAsia" w:eastAsiaTheme="minorEastAsia"/>
                <w:color w:val="auto"/>
                <w:sz w:val="24"/>
              </w:rPr>
              <w:t>查询内容：失信被执行人、重大税收违法案件当事人名单、政府采购严重违法失信行为记录名单</w:t>
            </w:r>
            <w:r>
              <w:rPr>
                <w:rFonts w:cs="仿宋" w:asciiTheme="minorEastAsia" w:hAnsiTheme="minorEastAsia" w:eastAsiaTheme="minorEastAsia"/>
                <w:color w:val="auto"/>
                <w:sz w:val="24"/>
              </w:rPr>
              <w:t>查询结果或界面截图</w:t>
            </w:r>
            <w:r>
              <w:rPr>
                <w:rFonts w:hint="eastAsia" w:cs="仿宋" w:asciiTheme="minorEastAsia" w:hAnsiTheme="minorEastAsia" w:eastAsiaTheme="minorEastAsia"/>
                <w:color w:val="auto"/>
                <w:sz w:val="24"/>
              </w:rPr>
              <w:t>；查询或打印截止时点：递交响应文件截止时间。</w:t>
            </w:r>
          </w:p>
          <w:p>
            <w:pPr>
              <w:spacing w:after="0" w:line="4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中国政府采购网</w:t>
            </w: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的查询内容：政府采购严重违法失信行为信息记录；查询时间：</w:t>
            </w:r>
            <w:r>
              <w:rPr>
                <w:rFonts w:hint="eastAsia" w:cs="仿宋" w:asciiTheme="minorEastAsia" w:hAnsiTheme="minorEastAsia" w:eastAsiaTheme="minorEastAsia"/>
                <w:color w:val="auto"/>
                <w:sz w:val="24"/>
              </w:rPr>
              <w:t>递交响应文件截止时间前</w:t>
            </w:r>
            <w:r>
              <w:rPr>
                <w:rFonts w:cs="仿宋" w:asciiTheme="minorEastAsia" w:hAnsiTheme="minorEastAsia" w:eastAsiaTheme="minorEastAsia"/>
                <w:color w:val="auto"/>
                <w:sz w:val="24"/>
              </w:rPr>
              <w:t>三年</w:t>
            </w:r>
            <w:r>
              <w:rPr>
                <w:rFonts w:hint="eastAsia" w:cs="仿宋" w:asciiTheme="minorEastAsia" w:hAnsiTheme="minorEastAsia" w:eastAsiaTheme="minorEastAsia"/>
                <w:color w:val="auto"/>
                <w:sz w:val="24"/>
              </w:rPr>
              <w:t>内</w:t>
            </w:r>
            <w:r>
              <w:rPr>
                <w:rFonts w:cs="仿宋" w:asciiTheme="minorEastAsia" w:hAnsiTheme="minorEastAsia" w:eastAsiaTheme="minorEastAsia"/>
                <w:color w:val="auto"/>
                <w:sz w:val="24"/>
              </w:rPr>
              <w:t>。</w:t>
            </w:r>
          </w:p>
          <w:p>
            <w:pPr>
              <w:spacing w:after="0" w:line="40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查询记录和证据留存方式：在查询网站中直接打印查询记录，打印材料作为评审资料保存。</w:t>
            </w:r>
          </w:p>
          <w:p>
            <w:pPr>
              <w:spacing w:after="0" w:line="360" w:lineRule="exact"/>
              <w:ind w:firstLine="480" w:firstLineChars="200"/>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t>信用信息使用规则：对在“</w:t>
            </w:r>
            <w:r>
              <w:rPr>
                <w:rFonts w:cs="仿宋" w:asciiTheme="minorEastAsia" w:hAnsiTheme="minorEastAsia" w:eastAsiaTheme="minorEastAsia"/>
                <w:color w:val="auto"/>
                <w:sz w:val="24"/>
              </w:rPr>
              <w:t>信用中国</w:t>
            </w: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网站(www.creditchina.gov.cn)、中国政府采购网(www.ccgp.gov.cn)等渠道</w:t>
            </w:r>
            <w:r>
              <w:rPr>
                <w:rFonts w:hint="eastAsia" w:cs="仿宋" w:asciiTheme="minorEastAsia" w:hAnsiTheme="minorEastAsia" w:eastAsiaTheme="minorEastAsia"/>
                <w:color w:val="auto"/>
                <w:sz w:val="24"/>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cs="仿宋" w:asciiTheme="minorEastAsia" w:hAnsiTheme="minorEastAsia" w:eastAsiaTheme="minorEastAsia"/>
                <w:color w:val="auto"/>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spacing w:before="240" w:beforeLines="100" w:line="400" w:lineRule="exact"/>
        <w:rPr>
          <w:rFonts w:asciiTheme="minorEastAsia" w:hAnsiTheme="minorEastAsia" w:eastAsiaTheme="minorEastAsia"/>
          <w:color w:val="auto"/>
        </w:rPr>
      </w:pPr>
      <w:bookmarkStart w:id="50" w:name="_Toc246095516"/>
      <w:bookmarkStart w:id="51" w:name="_Toc246095454"/>
      <w:bookmarkStart w:id="52" w:name="_Toc246094910"/>
      <w:r>
        <w:rPr>
          <w:rFonts w:hint="eastAsia" w:asciiTheme="minorEastAsia" w:hAnsiTheme="minorEastAsia" w:eastAsiaTheme="minorEastAsia"/>
          <w:color w:val="auto"/>
        </w:rPr>
        <w:br w:type="page"/>
      </w:r>
      <w:bookmarkStart w:id="53" w:name="_Toc7192544"/>
      <w:r>
        <w:rPr>
          <w:rFonts w:hint="eastAsia" w:asciiTheme="minorEastAsia" w:hAnsiTheme="minorEastAsia" w:eastAsiaTheme="minorEastAsia"/>
          <w:color w:val="auto"/>
        </w:rPr>
        <w:t>一、总则</w:t>
      </w:r>
      <w:bookmarkEnd w:id="50"/>
      <w:bookmarkEnd w:id="51"/>
      <w:bookmarkEnd w:id="52"/>
      <w:bookmarkEnd w:id="53"/>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l. 项目概况</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1.1适用范围：本文件仅适用于本文件中所叙述的货物类政府采购项目。</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  采购人：见供应商须知前附表。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  采购代理机构：见供应商须知前附表。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color w:val="auto"/>
          <w:sz w:val="24"/>
        </w:rPr>
        <w:t>1.4  项目名称：</w:t>
      </w:r>
      <w:r>
        <w:rPr>
          <w:rFonts w:hint="eastAsia" w:asciiTheme="minorEastAsia" w:hAnsiTheme="minorEastAsia" w:eastAsiaTheme="minorEastAsia"/>
          <w:bCs/>
          <w:color w:val="auto"/>
          <w:sz w:val="24"/>
        </w:rPr>
        <w:t>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color w:val="auto"/>
          <w:sz w:val="24"/>
        </w:rPr>
        <w:t>1.5  项目编号：</w:t>
      </w:r>
      <w:r>
        <w:rPr>
          <w:rFonts w:hint="eastAsia" w:asciiTheme="minorEastAsia" w:hAnsiTheme="minorEastAsia" w:eastAsiaTheme="minorEastAsia"/>
          <w:bCs/>
          <w:color w:val="auto"/>
          <w:sz w:val="24"/>
        </w:rPr>
        <w:t>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1.6  采购预算：见供应商须知前附表。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1.7  资金来源：见供应商须知前附表。</w:t>
      </w:r>
    </w:p>
    <w:p>
      <w:pPr>
        <w:spacing w:after="0" w:line="400" w:lineRule="exact"/>
        <w:ind w:firstLine="480" w:firstLineChars="200"/>
        <w:rPr>
          <w:rFonts w:cs="宋体" w:asciiTheme="minorEastAsia" w:hAnsiTheme="minorEastAsia" w:eastAsiaTheme="minorEastAsia"/>
          <w:bCs/>
          <w:color w:val="auto"/>
        </w:rPr>
      </w:pPr>
      <w:r>
        <w:rPr>
          <w:rFonts w:hint="eastAsia" w:asciiTheme="minorEastAsia" w:hAnsiTheme="minorEastAsia" w:eastAsiaTheme="minorEastAsia"/>
          <w:bCs/>
          <w:color w:val="auto"/>
          <w:sz w:val="24"/>
        </w:rPr>
        <w:t>1.8  预留采购份额：见供应商须知前附表。</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2.定义</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2.1 “采购人"是指依法进行政府采购的国家机关、事业单位、团体组织。</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2.2 “采购代理机构”是指依法设立、从事采购代理业务并提供相关服务的社会中介机构。</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2.4“货物”是指各种形态和种类的物品，包括原材料、燃料、设备、产品等。</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5</w:t>
      </w:r>
      <w:r>
        <w:rPr>
          <w:rFonts w:hint="eastAsia" w:cs="Arial" w:asciiTheme="minorEastAsia" w:hAnsiTheme="minorEastAsia" w:eastAsiaTheme="minorEastAsia"/>
          <w:color w:val="auto"/>
          <w:sz w:val="24"/>
        </w:rPr>
        <w:t>“服务”系指除货物和工程以外的其他政府采购对象。</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6</w:t>
      </w:r>
      <w:r>
        <w:rPr>
          <w:rFonts w:hint="eastAsia" w:cs="Arial" w:asciiTheme="minorEastAsia" w:hAnsiTheme="minorEastAsia" w:eastAsiaTheme="minorEastAsia"/>
          <w:color w:val="auto"/>
          <w:sz w:val="24"/>
        </w:rPr>
        <w:t>“响应文件”是指供应商根据本文件要求，编制包含报价、技术和服务等所有内容的文件。</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2.8</w:t>
      </w:r>
      <w:r>
        <w:rPr>
          <w:rFonts w:hint="eastAsia" w:cs="Arial" w:asciiTheme="minorEastAsia" w:hAnsiTheme="minorEastAsia" w:eastAsiaTheme="minorEastAsia"/>
          <w:color w:val="auto"/>
          <w:sz w:val="24"/>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9</w:t>
      </w:r>
      <w:r>
        <w:rPr>
          <w:rFonts w:hint="eastAsia" w:cs="Arial" w:asciiTheme="minorEastAsia" w:hAnsiTheme="minorEastAsia" w:eastAsiaTheme="minorEastAsia"/>
          <w:color w:val="auto"/>
          <w:sz w:val="24"/>
        </w:rPr>
        <w:t>标注“▲”号的条款或要求系指实质性条款或实质性要求。</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供应商资格条件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 基本资格条件：见“供应商须知前附表”规定。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 供应商的特定要求：见“供应商须知前附表”规定。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3.3 存在下列情形之一的供应商不得参加资格性审查：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（2）在财政部门禁止参加政府采购活动期限以内的。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3.4 按本项目采购公告规定方式获得竞争性谈判文件。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 本项目是否接受联合体竞标，见“供应商须知前附表”规定。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3.6“供应商须知前附表”规定接受联合体竞标的，除应符合本章第3.1～3.5项和“供应商须知前附表”的要求外，还应遵守以下规定：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（1）两个以上供应商可以组成一个竞标联合体，以一个供应商的身份竞标。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以联合体形式参加竞标的，联合体各方均应当具备|《中华人民共和国政府采购法》第二十二条规定的条件。联合体中有同类资质的供应商按照联合体分工承担相同工作的，应当按照资质等级较低的供应商确定资质等级。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联合体各方之间应当签订联合竞标协议，联合竞标协议中应确定主办方（主体），代表联合体进行竞标和澄清。联合竞标协议应明确约定联合体各方承担的工作和相应的责任，并将联合竞标协议连同响应文件一并提交采购代理机构。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（4）以联合体形式参加政府采购活动的，联合体各方不得再单独参加或者与其他供应商另外组成联合体参加同一合同项下的政府采购活动。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（5）联合体业绩计算，按照联合竞标协议分工认定。</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 语言文字及计量单位</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 竞标费用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5.2本项目的招标代理服务费按须知</w:t>
      </w:r>
      <w:r>
        <w:rPr>
          <w:rFonts w:hint="eastAsia" w:asciiTheme="minorEastAsia" w:hAnsiTheme="minorEastAsia" w:eastAsiaTheme="minorEastAsia"/>
          <w:b/>
          <w:bCs/>
          <w:color w:val="auto"/>
          <w:sz w:val="24"/>
        </w:rPr>
        <w:t>前附表</w:t>
      </w:r>
      <w:r>
        <w:rPr>
          <w:rFonts w:hint="eastAsia" w:asciiTheme="minorEastAsia" w:hAnsiTheme="minorEastAsia" w:eastAsiaTheme="minorEastAsia"/>
          <w:color w:val="auto"/>
          <w:sz w:val="24"/>
        </w:rPr>
        <w:t>的规定执行，由成交供应商在领取成交通知书前，一次性向采购代理机构支付。</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 现场勘察</w:t>
      </w:r>
    </w:p>
    <w:p>
      <w:pPr>
        <w:spacing w:after="0" w:line="400" w:lineRule="exact"/>
        <w:ind w:firstLine="480" w:firstLineChars="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6.1</w:t>
      </w:r>
      <w:r>
        <w:rPr>
          <w:rFonts w:hint="eastAsia" w:cs="Arial" w:asciiTheme="minorEastAsia" w:hAnsiTheme="minorEastAsia" w:eastAsiaTheme="minorEastAsia"/>
          <w:color w:val="auto"/>
          <w:sz w:val="24"/>
        </w:rPr>
        <w:t>前附表如规定现场踏勘的，供应商应按规定时间地点参加踏勘。</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6.2 供应商应承担现场勘察的责任和风险。勘查现场的费用由供应商自己承担。采购人</w:t>
      </w:r>
      <w:r>
        <w:rPr>
          <w:rFonts w:asciiTheme="minorEastAsia" w:hAnsiTheme="minorEastAsia" w:eastAsiaTheme="minorEastAsia"/>
          <w:color w:val="auto"/>
          <w:sz w:val="24"/>
        </w:rPr>
        <w:t>对</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由此而做出的推论、理解和结论概不负责。</w:t>
      </w:r>
    </w:p>
    <w:p>
      <w:pPr>
        <w:pStyle w:val="4"/>
        <w:spacing w:before="240" w:beforeLines="100" w:line="400" w:lineRule="exact"/>
        <w:rPr>
          <w:rFonts w:asciiTheme="minorEastAsia" w:hAnsiTheme="minorEastAsia" w:eastAsiaTheme="minorEastAsia"/>
          <w:color w:val="auto"/>
        </w:rPr>
      </w:pPr>
      <w:bookmarkStart w:id="54" w:name="_Toc246095517"/>
      <w:bookmarkStart w:id="55" w:name="_Toc7192545"/>
      <w:bookmarkStart w:id="56" w:name="_Toc246095455"/>
      <w:bookmarkStart w:id="57" w:name="_Toc246094911"/>
      <w:r>
        <w:rPr>
          <w:rFonts w:hint="eastAsia" w:asciiTheme="minorEastAsia" w:hAnsiTheme="minorEastAsia" w:eastAsiaTheme="minorEastAsia"/>
          <w:color w:val="auto"/>
        </w:rPr>
        <w:t>二、竞争性谈判文件</w:t>
      </w:r>
      <w:bookmarkEnd w:id="54"/>
      <w:bookmarkEnd w:id="55"/>
      <w:bookmarkEnd w:id="56"/>
      <w:bookmarkEnd w:id="57"/>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7. 竞争性谈判文件的组成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7.1 竞争性谈判文件包括下列内容：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 竞争性谈判公告</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 供应商须知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 项目采购需求和说明</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 评标办法</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 合同条款</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 响应文件格式</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8. 竞争性谈判文件的澄清</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8.1 供应商应仔细阅读和检查竞争性谈判文件的全部内容。如发现缺页、</w:t>
      </w:r>
      <w:r>
        <w:rPr>
          <w:rFonts w:hint="eastAsia" w:cs="Arial" w:asciiTheme="minorEastAsia" w:hAnsiTheme="minorEastAsia" w:eastAsiaTheme="minorEastAsia"/>
          <w:color w:val="auto"/>
          <w:sz w:val="24"/>
        </w:rPr>
        <w:t>有误或有不合理要求的</w:t>
      </w:r>
      <w:r>
        <w:rPr>
          <w:rFonts w:hint="eastAsia" w:asciiTheme="minorEastAsia" w:hAnsiTheme="minorEastAsia" w:eastAsiaTheme="minorEastAsia"/>
          <w:color w:val="auto"/>
          <w:sz w:val="24"/>
        </w:rPr>
        <w:t>，供应商必须在</w:t>
      </w:r>
      <w:r>
        <w:rPr>
          <w:rFonts w:asciiTheme="minorEastAsia" w:hAnsiTheme="minorEastAsia" w:eastAsiaTheme="minorEastAsia"/>
          <w:color w:val="auto"/>
          <w:sz w:val="24"/>
        </w:rPr>
        <w:t>提交首次响应文件截止之日前</w:t>
      </w:r>
      <w:r>
        <w:rPr>
          <w:rFonts w:hint="eastAsia" w:asciiTheme="minorEastAsia" w:hAnsiTheme="minorEastAsia" w:eastAsiaTheme="minorEastAsia"/>
          <w:color w:val="auto"/>
          <w:sz w:val="24"/>
        </w:rPr>
        <w:t>，以书面形式要求</w:t>
      </w:r>
      <w:r>
        <w:rPr>
          <w:rFonts w:asciiTheme="minorEastAsia" w:hAnsiTheme="minorEastAsia" w:eastAsiaTheme="minorEastAsia"/>
          <w:color w:val="auto"/>
          <w:sz w:val="24"/>
        </w:rPr>
        <w:t>采购人</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采购代理机构</w:t>
      </w:r>
      <w:r>
        <w:rPr>
          <w:rFonts w:hint="eastAsia" w:asciiTheme="minorEastAsia" w:hAnsiTheme="minorEastAsia" w:eastAsiaTheme="minorEastAsia"/>
          <w:color w:val="auto"/>
          <w:sz w:val="24"/>
        </w:rPr>
        <w:t>澄清。逾期不提出澄清要求视为对竞争性谈判文件无异议。</w:t>
      </w:r>
    </w:p>
    <w:p>
      <w:pPr>
        <w:spacing w:after="0" w:line="400" w:lineRule="exact"/>
        <w:ind w:firstLine="480" w:firstLineChars="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8.2</w:t>
      </w:r>
      <w:r>
        <w:rPr>
          <w:rFonts w:asciiTheme="minorEastAsia" w:hAnsiTheme="minorEastAsia" w:eastAsiaTheme="minorEastAsia"/>
          <w:color w:val="auto"/>
          <w:sz w:val="24"/>
        </w:rPr>
        <w:t>采购人、采购代理机构可以对已发出的谈判文件进行必要的澄清，澄清的内容作为谈判文件的组成部分。澄清的内容可能影响响应文件编制的，</w:t>
      </w:r>
      <w:r>
        <w:rPr>
          <w:rFonts w:hint="eastAsia" w:asciiTheme="minorEastAsia" w:hAnsiTheme="minorEastAsia" w:eastAsiaTheme="minorEastAsia"/>
          <w:color w:val="auto"/>
          <w:sz w:val="24"/>
        </w:rPr>
        <w:t>谈判文件的澄清将在</w:t>
      </w:r>
      <w:r>
        <w:rPr>
          <w:rFonts w:hint="eastAsia" w:cs="Arial" w:asciiTheme="minorEastAsia" w:hAnsiTheme="minorEastAsia" w:eastAsiaTheme="minorEastAsia"/>
          <w:color w:val="auto"/>
          <w:sz w:val="24"/>
        </w:rPr>
        <w:t>提交首次响应文件截止之日3</w:t>
      </w:r>
      <w:r>
        <w:rPr>
          <w:rFonts w:hint="eastAsia" w:asciiTheme="minorEastAsia" w:hAnsiTheme="minorEastAsia" w:eastAsiaTheme="minorEastAsia"/>
          <w:color w:val="auto"/>
          <w:sz w:val="24"/>
        </w:rPr>
        <w:t>个工作日前以书面形式（</w:t>
      </w:r>
      <w:r>
        <w:rPr>
          <w:rFonts w:hint="eastAsia" w:cs="Arial" w:asciiTheme="minorEastAsia" w:hAnsiTheme="minorEastAsia" w:eastAsiaTheme="minorEastAsia"/>
          <w:color w:val="auto"/>
          <w:sz w:val="24"/>
        </w:rPr>
        <w:t>在发布竞争性谈判公告的政府采购信息发布媒体上发布</w:t>
      </w:r>
      <w:r>
        <w:rPr>
          <w:rFonts w:hint="eastAsia" w:asciiTheme="minorEastAsia" w:hAnsiTheme="minorEastAsia" w:eastAsiaTheme="minorEastAsia"/>
          <w:color w:val="auto"/>
          <w:sz w:val="24"/>
        </w:rPr>
        <w:t>）发给所有购买竞争性谈判文件的供应商，但不指明澄清问题的来源，供应商未及时关注采购代理机构在公告发布媒介上发布的澄清文件造成的损失，由供应商自行负责。</w:t>
      </w:r>
      <w:r>
        <w:rPr>
          <w:rFonts w:asciiTheme="minorEastAsia" w:hAnsiTheme="minorEastAsia" w:eastAsiaTheme="minorEastAsia"/>
          <w:color w:val="auto"/>
          <w:sz w:val="24"/>
        </w:rPr>
        <w:t>不足3个工作日的，</w:t>
      </w:r>
      <w:r>
        <w:rPr>
          <w:rFonts w:hint="eastAsia" w:asciiTheme="minorEastAsia" w:hAnsiTheme="minorEastAsia" w:eastAsiaTheme="minorEastAsia"/>
          <w:color w:val="auto"/>
          <w:sz w:val="24"/>
        </w:rPr>
        <w:t>将</w:t>
      </w:r>
      <w:r>
        <w:rPr>
          <w:rFonts w:asciiTheme="minorEastAsia" w:hAnsiTheme="minorEastAsia" w:eastAsiaTheme="minorEastAsia"/>
          <w:color w:val="auto"/>
          <w:sz w:val="24"/>
        </w:rPr>
        <w:t>顺延提交首次响应文件截止之日</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该澄清的内容为谈判文件的组成部分。</w:t>
      </w:r>
    </w:p>
    <w:p>
      <w:pPr>
        <w:spacing w:after="0" w:line="400" w:lineRule="exact"/>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8.3当谈判文件与谈判文件的澄清就同一内容的表述不一致时，以最后发出的公告或书面文件为准。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9. 竞争性谈判文件的修改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9.1</w:t>
      </w:r>
      <w:r>
        <w:rPr>
          <w:rFonts w:asciiTheme="minorEastAsia" w:hAnsiTheme="minorEastAsia" w:eastAsiaTheme="minorEastAsia"/>
          <w:color w:val="auto"/>
          <w:sz w:val="24"/>
        </w:rPr>
        <w:t>采购人、采购代理机构可以对已发出的谈判文件进行必要的</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的内容作为谈判文件的组成部分。</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的内容可能影响响应文件编制的，</w:t>
      </w:r>
      <w:r>
        <w:rPr>
          <w:rFonts w:hint="eastAsia" w:asciiTheme="minorEastAsia" w:hAnsiTheme="minorEastAsia" w:eastAsiaTheme="minorEastAsia"/>
          <w:color w:val="auto"/>
          <w:sz w:val="24"/>
        </w:rPr>
        <w:t>谈判文件的修改将在</w:t>
      </w:r>
      <w:r>
        <w:rPr>
          <w:rFonts w:hint="eastAsia" w:cs="Arial" w:asciiTheme="minorEastAsia" w:hAnsiTheme="minorEastAsia" w:eastAsiaTheme="minorEastAsia"/>
          <w:color w:val="auto"/>
          <w:sz w:val="24"/>
        </w:rPr>
        <w:t>提交首次响应文件截止之日3</w:t>
      </w:r>
      <w:r>
        <w:rPr>
          <w:rFonts w:hint="eastAsia" w:asciiTheme="minorEastAsia" w:hAnsiTheme="minorEastAsia" w:eastAsiaTheme="minorEastAsia"/>
          <w:color w:val="auto"/>
          <w:sz w:val="24"/>
        </w:rPr>
        <w:t>个工作日前以书面形式（</w:t>
      </w:r>
      <w:r>
        <w:rPr>
          <w:rFonts w:hint="eastAsia" w:cs="Arial" w:asciiTheme="minorEastAsia" w:hAnsiTheme="minorEastAsia" w:eastAsiaTheme="minorEastAsia"/>
          <w:color w:val="auto"/>
          <w:sz w:val="24"/>
        </w:rPr>
        <w:t>在发布竞争性谈判公告的政府采购信息发布媒体上发布</w:t>
      </w:r>
      <w:r>
        <w:rPr>
          <w:rFonts w:hint="eastAsia" w:asciiTheme="minorEastAsia" w:hAnsiTheme="minorEastAsia" w:eastAsiaTheme="minorEastAsia"/>
          <w:color w:val="auto"/>
          <w:sz w:val="24"/>
        </w:rPr>
        <w:t>）发给所有购买竞争性谈判文件的供应商，供应商未及时关注采购代理机构在公告发布媒介上发布的修改文件造成的损失，由供应商自行负责。</w:t>
      </w:r>
      <w:r>
        <w:rPr>
          <w:rFonts w:asciiTheme="minorEastAsia" w:hAnsiTheme="minorEastAsia" w:eastAsiaTheme="minorEastAsia"/>
          <w:color w:val="auto"/>
          <w:sz w:val="24"/>
        </w:rPr>
        <w:t>不足3个工作日的，</w:t>
      </w:r>
      <w:r>
        <w:rPr>
          <w:rFonts w:hint="eastAsia" w:asciiTheme="minorEastAsia" w:hAnsiTheme="minorEastAsia" w:eastAsiaTheme="minorEastAsia"/>
          <w:color w:val="auto"/>
          <w:sz w:val="24"/>
        </w:rPr>
        <w:t>将</w:t>
      </w:r>
      <w:r>
        <w:rPr>
          <w:rFonts w:asciiTheme="minorEastAsia" w:hAnsiTheme="minorEastAsia" w:eastAsiaTheme="minorEastAsia"/>
          <w:color w:val="auto"/>
          <w:sz w:val="24"/>
        </w:rPr>
        <w:t>顺延提交首次响应文件截止之日</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该修改的内容为谈判文件的组成部分。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r>
        <w:rPr>
          <w:rFonts w:hint="eastAsia" w:cs="Arial" w:asciiTheme="minorEastAsia" w:hAnsiTheme="minorEastAsia" w:eastAsiaTheme="minorEastAsia"/>
          <w:color w:val="auto"/>
          <w:sz w:val="24"/>
        </w:rPr>
        <w:t>当谈判文件与谈判文件的修改就同一内容的表述不一致时，以最后发出的公告或书面文件为准。</w:t>
      </w:r>
    </w:p>
    <w:p>
      <w:pPr>
        <w:pStyle w:val="4"/>
        <w:spacing w:before="240" w:beforeLines="100" w:line="400" w:lineRule="exact"/>
        <w:rPr>
          <w:rFonts w:asciiTheme="minorEastAsia" w:hAnsiTheme="minorEastAsia" w:eastAsiaTheme="minorEastAsia"/>
          <w:color w:val="auto"/>
        </w:rPr>
      </w:pPr>
      <w:bookmarkStart w:id="58" w:name="_Toc246095456"/>
      <w:bookmarkStart w:id="59" w:name="_Toc246094912"/>
      <w:bookmarkStart w:id="60" w:name="_Toc7192546"/>
      <w:bookmarkStart w:id="61" w:name="_Toc246095518"/>
      <w:r>
        <w:rPr>
          <w:rFonts w:hint="eastAsia" w:asciiTheme="minorEastAsia" w:hAnsiTheme="minorEastAsia" w:eastAsiaTheme="minorEastAsia"/>
          <w:color w:val="auto"/>
        </w:rPr>
        <w:t>三、响应文件</w:t>
      </w:r>
      <w:bookmarkEnd w:id="58"/>
      <w:bookmarkEnd w:id="59"/>
      <w:bookmarkEnd w:id="60"/>
      <w:bookmarkEnd w:id="61"/>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10. 响应文件的组成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10.1响应文件应分为价格文件和商务技术文件两个部分组成。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10.1.1价格文件：</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10.1.2 商务技术文件：</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10.1.3 响应文件电子版：</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10.2 供应商应按照采购人提供的响应文件格式和顺序，自行编制响应文件，响应文件应包含本须知第10.1条中规定的内容，但表格可以按同样格式扩展。</w:t>
      </w:r>
      <w:bookmarkStart w:id="62" w:name="_Toc219773118"/>
    </w:p>
    <w:bookmarkEnd w:id="62"/>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11. 谈判报价</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11.1响应文件中的报价均采用人民币表示。谈判报价应按谈判文件中相关附表格式填写。</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11.2</w:t>
      </w:r>
      <w:r>
        <w:rPr>
          <w:rFonts w:hint="eastAsia" w:cs="Arial" w:asciiTheme="minorEastAsia" w:hAnsiTheme="minorEastAsia" w:eastAsiaTheme="minorEastAsia"/>
          <w:color w:val="auto"/>
          <w:sz w:val="24"/>
        </w:rPr>
        <w:t>最后谈判报价是履行合同的最终价格。应包括第三章“</w:t>
      </w:r>
      <w:r>
        <w:rPr>
          <w:rFonts w:hint="eastAsia" w:asciiTheme="minorEastAsia" w:hAnsiTheme="minorEastAsia" w:eastAsiaTheme="minorEastAsia"/>
          <w:color w:val="auto"/>
          <w:sz w:val="24"/>
        </w:rPr>
        <w:t>项目采购需求和说明</w:t>
      </w:r>
      <w:r>
        <w:rPr>
          <w:rFonts w:hint="eastAsia" w:cs="Arial" w:asciiTheme="minorEastAsia" w:hAnsiTheme="minorEastAsia" w:eastAsiaTheme="minorEastAsia"/>
          <w:color w:val="auto"/>
          <w:sz w:val="24"/>
        </w:rPr>
        <w:t>”规定的各项价格</w:t>
      </w:r>
      <w:r>
        <w:rPr>
          <w:rFonts w:hint="eastAsia" w:asciiTheme="minorEastAsia" w:hAnsiTheme="minorEastAsia" w:eastAsiaTheme="minorEastAsia"/>
          <w:color w:val="auto"/>
          <w:sz w:val="24"/>
        </w:rPr>
        <w:t>。若无特殊规定，报价包含完成本项目所有内容所需的一</w:t>
      </w:r>
      <w:r>
        <w:rPr>
          <w:rFonts w:hint="eastAsia" w:cs="Arial" w:asciiTheme="minorEastAsia" w:hAnsiTheme="minorEastAsia" w:eastAsiaTheme="minorEastAsia"/>
          <w:color w:val="auto"/>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Theme="minorEastAsia" w:hAnsiTheme="minorEastAsia" w:eastAsiaTheme="minorEastAsia"/>
          <w:color w:val="auto"/>
          <w:sz w:val="24"/>
        </w:rPr>
        <w:t>、义务和一般风险等一切费用。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11.4供应商必须就所竞项目的全部内容作完整唯一报价，漏项报价的或有选择的或有条件的报价，其竞标将视为无效。</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11.5供应商的报价超出采购预算价或最高限价（如有）的，其竞标无效。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12. 响应有效期</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12.1在供应商须知前附表规定的响应有效期内，供应商不得要求撤销或修改其响应文件。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12.2 出现特殊情况需要延长响应有效期的，采购人以书面形式通知所有供应商延长响应有效期。供应商同意延长的，不得要求或被允许修改或撤销其响应文件；供应商拒绝延长的，其报价失效。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13. 谈判保证金</w:t>
      </w:r>
    </w:p>
    <w:p>
      <w:pPr>
        <w:spacing w:after="0" w:line="400" w:lineRule="exact"/>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13.1 供应商应按供应商须知前附表规定的数额、方式要求交纳谈判保证金，</w:t>
      </w:r>
      <w:r>
        <w:rPr>
          <w:rFonts w:hint="eastAsia" w:asciiTheme="minorEastAsia" w:hAnsiTheme="minorEastAsia" w:eastAsiaTheme="minorEastAsia"/>
          <w:b/>
          <w:color w:val="auto"/>
          <w:sz w:val="24"/>
        </w:rPr>
        <w:t>否则其竞标无效。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14. 响应文件编制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14.1 响应文件应按第六章“响应文件格式”进行编写，如有必要，可以增加附页，作为响应文件的组成部分。</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14.2 </w:t>
      </w:r>
      <w:r>
        <w:rPr>
          <w:rFonts w:hint="eastAsia" w:asciiTheme="minorEastAsia" w:hAnsiTheme="minorEastAsia" w:eastAsiaTheme="minorEastAsia"/>
          <w:color w:val="auto"/>
          <w:sz w:val="24"/>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14.4 响应文件正本一份，副本份数见供应商须知前附表。正本和副本的封面上应清楚地标记“正本”或“副本”的字样。</w:t>
      </w:r>
      <w:r>
        <w:rPr>
          <w:rFonts w:hint="eastAsia" w:asciiTheme="minorEastAsia" w:hAnsiTheme="minorEastAsia" w:eastAsiaTheme="minorEastAsia"/>
          <w:b/>
          <w:color w:val="auto"/>
          <w:sz w:val="24"/>
        </w:rPr>
        <w:t>副本可为已按要求签字盖章的正本的复印件</w:t>
      </w:r>
      <w:r>
        <w:rPr>
          <w:rFonts w:hint="eastAsia" w:asciiTheme="minorEastAsia" w:hAnsiTheme="minorEastAsia" w:eastAsiaTheme="minorEastAsia"/>
          <w:color w:val="auto"/>
          <w:sz w:val="24"/>
        </w:rPr>
        <w:t>，当副本和正本不一致时，以正本为准。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14.5响应文件的正本与副本应分别装订成册，并编制目录和页码。</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15. 响应文件的密封和标识</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15.1 将响应文件</w:t>
      </w:r>
      <w:r>
        <w:rPr>
          <w:rFonts w:hint="eastAsia" w:cs="宋体" w:asciiTheme="minorEastAsia" w:hAnsiTheme="minorEastAsia" w:eastAsiaTheme="minorEastAsia"/>
          <w:color w:val="auto"/>
          <w:sz w:val="24"/>
        </w:rPr>
        <w:t>“价格文件”书面版本</w:t>
      </w:r>
      <w:r>
        <w:rPr>
          <w:rFonts w:hint="eastAsia" w:cs="Courier New" w:asciiTheme="minorEastAsia" w:hAnsiTheme="minorEastAsia" w:eastAsiaTheme="minorEastAsia"/>
          <w:color w:val="auto"/>
          <w:spacing w:val="2"/>
          <w:sz w:val="24"/>
        </w:rPr>
        <w:t>的正本和全部副本</w:t>
      </w:r>
      <w:r>
        <w:rPr>
          <w:rFonts w:hint="eastAsia" w:asciiTheme="minorEastAsia" w:hAnsiTheme="minorEastAsia" w:eastAsiaTheme="minorEastAsia"/>
          <w:color w:val="auto"/>
          <w:sz w:val="24"/>
        </w:rPr>
        <w:t>密封在一个包封内。</w:t>
      </w:r>
      <w:r>
        <w:rPr>
          <w:rFonts w:hint="eastAsia" w:cs="Courier New" w:asciiTheme="minorEastAsia" w:hAnsiTheme="minorEastAsia" w:eastAsiaTheme="minorEastAsia"/>
          <w:color w:val="auto"/>
          <w:spacing w:val="2"/>
          <w:sz w:val="24"/>
        </w:rPr>
        <w:t>内层包封上应写明“</w:t>
      </w:r>
      <w:r>
        <w:rPr>
          <w:rFonts w:hint="eastAsia" w:cs="宋体" w:asciiTheme="minorEastAsia" w:hAnsiTheme="minorEastAsia" w:eastAsiaTheme="minorEastAsia"/>
          <w:color w:val="auto"/>
          <w:sz w:val="24"/>
        </w:rPr>
        <w:t>价格文件、</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字样；</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15.2 将响应文件</w:t>
      </w:r>
      <w:r>
        <w:rPr>
          <w:rFonts w:hint="eastAsia" w:cs="宋体" w:asciiTheme="minorEastAsia" w:hAnsiTheme="minorEastAsia" w:eastAsiaTheme="minorEastAsia"/>
          <w:color w:val="auto"/>
          <w:sz w:val="24"/>
        </w:rPr>
        <w:t>“商务技术文件”书面版本</w:t>
      </w:r>
      <w:r>
        <w:rPr>
          <w:rFonts w:hint="eastAsia" w:cs="Courier New" w:asciiTheme="minorEastAsia" w:hAnsiTheme="minorEastAsia" w:eastAsiaTheme="minorEastAsia"/>
          <w:color w:val="auto"/>
          <w:spacing w:val="2"/>
          <w:sz w:val="24"/>
        </w:rPr>
        <w:t>的正本和全部副本</w:t>
      </w:r>
      <w:r>
        <w:rPr>
          <w:rFonts w:hint="eastAsia" w:asciiTheme="minorEastAsia" w:hAnsiTheme="minorEastAsia" w:eastAsiaTheme="minorEastAsia"/>
          <w:color w:val="auto"/>
          <w:sz w:val="24"/>
        </w:rPr>
        <w:t>密封在一个包封内。</w:t>
      </w:r>
      <w:r>
        <w:rPr>
          <w:rFonts w:hint="eastAsia" w:cs="Courier New" w:asciiTheme="minorEastAsia" w:hAnsiTheme="minorEastAsia" w:eastAsiaTheme="minorEastAsia"/>
          <w:color w:val="auto"/>
          <w:spacing w:val="2"/>
          <w:sz w:val="24"/>
        </w:rPr>
        <w:t>内层包封上应写明“</w:t>
      </w:r>
      <w:r>
        <w:rPr>
          <w:rFonts w:hint="eastAsia" w:cs="宋体" w:asciiTheme="minorEastAsia" w:hAnsiTheme="minorEastAsia" w:eastAsiaTheme="minorEastAsia"/>
          <w:color w:val="auto"/>
          <w:sz w:val="24"/>
        </w:rPr>
        <w:t>商务技术文件、</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字样；</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15.3 </w:t>
      </w:r>
      <w:r>
        <w:rPr>
          <w:rFonts w:hint="eastAsia" w:asciiTheme="minorEastAsia" w:hAnsiTheme="minorEastAsia" w:eastAsiaTheme="minorEastAsia"/>
          <w:bCs/>
          <w:color w:val="auto"/>
          <w:sz w:val="24"/>
        </w:rPr>
        <w:t>将</w:t>
      </w:r>
      <w:r>
        <w:rPr>
          <w:rFonts w:hint="eastAsia" w:asciiTheme="minorEastAsia" w:hAnsiTheme="minorEastAsia" w:eastAsiaTheme="minorEastAsia"/>
          <w:color w:val="auto"/>
          <w:sz w:val="24"/>
        </w:rPr>
        <w:t>响应文件电子版单独包封，包封上标明“响应文件电子版、</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 xml:space="preserve">15.4 </w:t>
      </w:r>
      <w:r>
        <w:rPr>
          <w:rFonts w:hint="eastAsia" w:asciiTheme="minorEastAsia" w:hAnsiTheme="minorEastAsia" w:eastAsiaTheme="minorEastAsia"/>
          <w:color w:val="auto"/>
          <w:sz w:val="24"/>
        </w:rPr>
        <w:t>将按上述第15.1项至第15.3项的规定包封好的“</w:t>
      </w:r>
      <w:r>
        <w:rPr>
          <w:rFonts w:hint="eastAsia" w:cs="宋体" w:asciiTheme="minorEastAsia" w:hAnsiTheme="minorEastAsia" w:eastAsiaTheme="minorEastAsia"/>
          <w:color w:val="auto"/>
          <w:sz w:val="24"/>
        </w:rPr>
        <w:t>价格文件</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商务技术文件</w:t>
      </w:r>
      <w:r>
        <w:rPr>
          <w:rFonts w:hint="eastAsia" w:asciiTheme="minorEastAsia" w:hAnsiTheme="minorEastAsia" w:eastAsiaTheme="minorEastAsia"/>
          <w:color w:val="auto"/>
          <w:sz w:val="24"/>
        </w:rPr>
        <w:t>”和“响应文件电子版”全部密封在一个外层包封内</w:t>
      </w:r>
      <w:r>
        <w:rPr>
          <w:rFonts w:hint="eastAsia" w:cs="Courier New" w:asciiTheme="minorEastAsia" w:hAnsiTheme="minorEastAsia" w:eastAsiaTheme="minorEastAsia"/>
          <w:color w:val="auto"/>
          <w:spacing w:val="2"/>
          <w:sz w:val="24"/>
        </w:rPr>
        <w:t>（即采用双层包封法密封）</w:t>
      </w:r>
      <w:r>
        <w:rPr>
          <w:rFonts w:hint="eastAsia" w:asciiTheme="minorEastAsia" w:hAnsiTheme="minorEastAsia" w:eastAsiaTheme="minorEastAsia"/>
          <w:color w:val="auto"/>
          <w:sz w:val="24"/>
        </w:rPr>
        <w:t>。在外层包封上写明</w:t>
      </w:r>
      <w:r>
        <w:rPr>
          <w:rFonts w:hint="eastAsia" w:cs="Arial" w:asciiTheme="minorEastAsia" w:hAnsiTheme="minorEastAsia" w:eastAsiaTheme="minorEastAsia"/>
          <w:color w:val="auto"/>
          <w:sz w:val="24"/>
        </w:rPr>
        <w:t>供应商名称、供应商地址、项目名称、项目编号、分包号或标段号（如有）等字样，并加盖供应商公章。</w:t>
      </w:r>
    </w:p>
    <w:p>
      <w:pPr>
        <w:spacing w:after="0" w:line="400" w:lineRule="exact"/>
        <w:ind w:firstLine="490" w:firstLineChars="200"/>
        <w:rPr>
          <w:rFonts w:cs="Courier New" w:asciiTheme="minorEastAsia" w:hAnsiTheme="minorEastAsia" w:eastAsiaTheme="minorEastAsia"/>
          <w:b/>
          <w:color w:val="auto"/>
          <w:spacing w:val="2"/>
          <w:sz w:val="24"/>
        </w:rPr>
      </w:pPr>
      <w:r>
        <w:rPr>
          <w:rFonts w:hint="eastAsia" w:cs="Courier New" w:asciiTheme="minorEastAsia" w:hAnsiTheme="minorEastAsia" w:eastAsiaTheme="minorEastAsia"/>
          <w:b/>
          <w:color w:val="auto"/>
          <w:spacing w:val="2"/>
          <w:sz w:val="24"/>
        </w:rPr>
        <w:t>外包封必须加盖供应商公章或由供应商法定代表人（或授权代表）签字以示密封。</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15.5 未按本章第15.1条或15.4条要求密封和加写标记，作无效响应文件处理。</w:t>
      </w:r>
    </w:p>
    <w:p>
      <w:pPr>
        <w:spacing w:after="0" w:line="400" w:lineRule="exact"/>
        <w:ind w:firstLine="490" w:firstLineChars="200"/>
        <w:rPr>
          <w:rFonts w:cs="Courier New" w:asciiTheme="minorEastAsia" w:hAnsiTheme="minorEastAsia" w:eastAsiaTheme="minorEastAsia"/>
          <w:b/>
          <w:bCs/>
          <w:color w:val="auto"/>
          <w:spacing w:val="2"/>
          <w:sz w:val="24"/>
        </w:rPr>
      </w:pPr>
      <w:r>
        <w:rPr>
          <w:rFonts w:hint="eastAsia" w:cs="Courier New" w:asciiTheme="minorEastAsia" w:hAnsiTheme="minorEastAsia" w:eastAsiaTheme="minorEastAsia"/>
          <w:b/>
          <w:bCs/>
          <w:color w:val="auto"/>
          <w:spacing w:val="2"/>
          <w:sz w:val="24"/>
        </w:rPr>
        <w:t>16. 响应文件的递交</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bCs/>
          <w:color w:val="auto"/>
          <w:spacing w:val="2"/>
          <w:sz w:val="24"/>
        </w:rPr>
        <w:t xml:space="preserve">16.1 </w:t>
      </w:r>
      <w:r>
        <w:rPr>
          <w:rFonts w:hint="eastAsia" w:cs="Courier New" w:asciiTheme="minorEastAsia" w:hAnsiTheme="minorEastAsia" w:eastAsiaTheme="minorEastAsia"/>
          <w:color w:val="auto"/>
          <w:spacing w:val="2"/>
          <w:sz w:val="24"/>
        </w:rPr>
        <w:t>供应商应在</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规定的截止时间前递交响应文件。凡逾期送达的响应文件将视为无效响应文件处理。</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16.2 供应商按</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规定的地点</w:t>
      </w:r>
      <w:r>
        <w:rPr>
          <w:rFonts w:hint="eastAsia" w:cs="Courier New" w:asciiTheme="minorEastAsia" w:hAnsiTheme="minorEastAsia" w:eastAsiaTheme="minorEastAsia"/>
          <w:bCs/>
          <w:color w:val="auto"/>
          <w:spacing w:val="2"/>
          <w:sz w:val="24"/>
        </w:rPr>
        <w:t>递交响应文件，并由采购人或采购代理机构</w:t>
      </w:r>
      <w:r>
        <w:rPr>
          <w:rFonts w:hint="eastAsia" w:cs="Courier New" w:asciiTheme="minorEastAsia" w:hAnsiTheme="minorEastAsia" w:eastAsiaTheme="minorEastAsia"/>
          <w:color w:val="auto"/>
          <w:spacing w:val="2"/>
          <w:sz w:val="24"/>
        </w:rPr>
        <w:t>签收</w:t>
      </w:r>
      <w:r>
        <w:rPr>
          <w:rFonts w:hint="eastAsia" w:cs="Courier New" w:asciiTheme="minorEastAsia" w:hAnsiTheme="minorEastAsia" w:eastAsiaTheme="minorEastAsia"/>
          <w:b/>
          <w:color w:val="auto"/>
          <w:spacing w:val="2"/>
          <w:sz w:val="24"/>
        </w:rPr>
        <w:t>。</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16.3 除竞争性谈判文件另有规定外，供应商所递交的响应文件不予退还。</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16.4 逾期送达的或者未送达指定地点的响应文件，</w:t>
      </w:r>
      <w:r>
        <w:rPr>
          <w:rFonts w:hint="eastAsia" w:cs="Courier New" w:asciiTheme="minorEastAsia" w:hAnsiTheme="minorEastAsia" w:eastAsiaTheme="minorEastAsia"/>
          <w:color w:val="auto"/>
          <w:spacing w:val="2"/>
          <w:sz w:val="24"/>
        </w:rPr>
        <w:t>采购代理机构将拒绝接收</w:t>
      </w:r>
      <w:r>
        <w:rPr>
          <w:rFonts w:hint="eastAsia" w:cs="Courier New" w:asciiTheme="minorEastAsia" w:hAnsiTheme="minorEastAsia" w:eastAsiaTheme="minorEastAsia"/>
          <w:bCs/>
          <w:color w:val="auto"/>
          <w:spacing w:val="2"/>
          <w:sz w:val="24"/>
        </w:rPr>
        <w:t>。</w:t>
      </w:r>
    </w:p>
    <w:p>
      <w:pPr>
        <w:spacing w:after="0" w:line="400" w:lineRule="exact"/>
        <w:ind w:firstLine="490" w:firstLineChars="200"/>
        <w:rPr>
          <w:rFonts w:cs="Courier New" w:asciiTheme="minorEastAsia" w:hAnsiTheme="minorEastAsia" w:eastAsiaTheme="minorEastAsia"/>
          <w:b/>
          <w:bCs/>
          <w:color w:val="auto"/>
          <w:spacing w:val="2"/>
          <w:sz w:val="24"/>
        </w:rPr>
      </w:pPr>
      <w:r>
        <w:rPr>
          <w:rFonts w:hint="eastAsia" w:cs="Courier New" w:asciiTheme="minorEastAsia" w:hAnsiTheme="minorEastAsia" w:eastAsiaTheme="minorEastAsia"/>
          <w:b/>
          <w:bCs/>
          <w:color w:val="auto"/>
          <w:spacing w:val="2"/>
          <w:sz w:val="24"/>
        </w:rPr>
        <w:t>17. 响应文件的修改和撤回</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17.1 在</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w:t>
      </w:r>
      <w:r>
        <w:rPr>
          <w:rFonts w:hint="eastAsia" w:cs="宋体" w:asciiTheme="minorEastAsia" w:hAnsiTheme="minorEastAsia" w:eastAsiaTheme="minorEastAsia"/>
          <w:color w:val="auto"/>
          <w:sz w:val="24"/>
        </w:rPr>
        <w:t>递交响应文件</w:t>
      </w:r>
      <w:r>
        <w:rPr>
          <w:rFonts w:hint="eastAsia" w:cs="Courier New" w:asciiTheme="minorEastAsia" w:hAnsiTheme="minorEastAsia" w:eastAsiaTheme="minorEastAsia"/>
          <w:color w:val="auto"/>
          <w:spacing w:val="2"/>
          <w:sz w:val="24"/>
        </w:rPr>
        <w:t>截止时间前，供应商可以修改或撤回已递交的响应文件，但应以书面形式通知采购人或采购代理机构。</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17.3 修改的内容为响应文件的组成部分。修改的响应文件应按照本章第15条、第16条规定进行编制、密封、标记和递交，并标明“修改”字样。</w:t>
      </w:r>
    </w:p>
    <w:p>
      <w:pPr>
        <w:pStyle w:val="4"/>
        <w:spacing w:before="240" w:beforeLines="100" w:line="400" w:lineRule="exact"/>
        <w:rPr>
          <w:rFonts w:asciiTheme="minorEastAsia" w:hAnsiTheme="minorEastAsia" w:eastAsiaTheme="minorEastAsia"/>
          <w:color w:val="auto"/>
        </w:rPr>
      </w:pPr>
      <w:bookmarkStart w:id="63" w:name="_Toc7192547"/>
      <w:r>
        <w:rPr>
          <w:rFonts w:hint="eastAsia" w:asciiTheme="minorEastAsia" w:hAnsiTheme="minorEastAsia" w:eastAsiaTheme="minorEastAsia"/>
          <w:color w:val="auto"/>
        </w:rPr>
        <w:t>四、谈判与评审</w:t>
      </w:r>
      <w:bookmarkEnd w:id="63"/>
    </w:p>
    <w:p>
      <w:pPr>
        <w:pStyle w:val="20"/>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8</w:t>
      </w:r>
      <w:r>
        <w:rPr>
          <w:rFonts w:hint="eastAsia" w:asciiTheme="minorEastAsia" w:hAnsiTheme="minorEastAsia" w:eastAsiaTheme="minorEastAsia"/>
          <w:b/>
          <w:color w:val="auto"/>
          <w:sz w:val="24"/>
        </w:rPr>
        <w:t>. 谈判时间和地点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19</w:t>
      </w:r>
      <w:r>
        <w:rPr>
          <w:rFonts w:hint="eastAsia" w:asciiTheme="minorEastAsia" w:hAnsiTheme="minorEastAsia" w:eastAsiaTheme="minorEastAsia"/>
          <w:b/>
          <w:color w:val="auto"/>
          <w:sz w:val="24"/>
        </w:rPr>
        <w:t>. 谈判小组成立</w:t>
      </w:r>
    </w:p>
    <w:p>
      <w:pPr>
        <w:pStyle w:val="20"/>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19</w:t>
      </w:r>
      <w:r>
        <w:rPr>
          <w:rFonts w:hint="eastAsia" w:asciiTheme="minorEastAsia" w:hAnsiTheme="minorEastAsia" w:eastAsiaTheme="minorEastAsia"/>
          <w:color w:val="auto"/>
          <w:sz w:val="24"/>
        </w:rPr>
        <w:t>.1竞争性谈判小组成立</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采购代理机构依据法律规定，在政府采购监督部门规定的专家库中上随机抽取政府采购评审专家与采购人组成竞争性谈判小组。</w:t>
      </w:r>
    </w:p>
    <w:p>
      <w:pPr>
        <w:pStyle w:val="20"/>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19</w:t>
      </w:r>
      <w:r>
        <w:rPr>
          <w:rFonts w:hint="eastAsia" w:asciiTheme="minorEastAsia" w:hAnsiTheme="minorEastAsia" w:eastAsiaTheme="minorEastAsia"/>
          <w:color w:val="auto"/>
          <w:sz w:val="24"/>
        </w:rPr>
        <w:t>.2 竞争性谈判小组在采购活动过程中应当履行下列职责：</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（1）确认谈判文件； </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（2）从符合相应资格条件的供应商名单中确定不少于3家的供应商参加谈判；</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（3）审查供应商的响应文件并作出评价；</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（4）要求供应商解释或者澄清其响应文件；</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（5）编写评审报告； </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（6）告知采购人、采购代理机构在评审过程中发现的供应商的违法违规行为。</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9</w:t>
      </w:r>
      <w:r>
        <w:rPr>
          <w:rFonts w:hint="eastAsia" w:asciiTheme="minorEastAsia" w:hAnsiTheme="minorEastAsia" w:eastAsiaTheme="minorEastAsia"/>
          <w:color w:val="auto"/>
          <w:sz w:val="24"/>
        </w:rPr>
        <w:t>.3竞争性谈判小组成员应当履行下列义务：</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（1）遵纪守法，客观、公正、廉洁地履行职责；</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（2）根据采购文件的规定独立进行评审，对个人的评审意见承担法律责任；</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（3）参与评审报告的起草；</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（4）配合采购人、采购代理机构答复供应商提出的质疑；</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（5）配合财政部门的投诉处理和监督检查工作。</w:t>
      </w:r>
    </w:p>
    <w:p>
      <w:pPr>
        <w:pStyle w:val="20"/>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0</w:t>
      </w:r>
      <w:r>
        <w:rPr>
          <w:rFonts w:hint="eastAsia" w:asciiTheme="minorEastAsia" w:hAnsiTheme="minorEastAsia" w:eastAsiaTheme="minorEastAsia"/>
          <w:b/>
          <w:color w:val="auto"/>
          <w:sz w:val="24"/>
        </w:rPr>
        <w:t>.评审原则及方法</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.1 评审原则：</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评审活动遵循公平、公正、科学和择优的原则。</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.2 评审方法：</w:t>
      </w:r>
    </w:p>
    <w:p>
      <w:pPr>
        <w:pStyle w:val="2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 评审程序</w:t>
      </w:r>
    </w:p>
    <w:p>
      <w:pPr>
        <w:spacing w:after="0" w:line="400" w:lineRule="exact"/>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.1</w:t>
      </w:r>
      <w:r>
        <w:rPr>
          <w:rFonts w:hint="eastAsia" w:asciiTheme="minorEastAsia" w:hAnsiTheme="minorEastAsia" w:eastAsiaTheme="minorEastAsia"/>
          <w:color w:val="auto"/>
          <w:sz w:val="24"/>
        </w:rPr>
        <w:t>谈判小组确认竞争性谈判文件。</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.2资格审查和符合性审查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资格条件</w:t>
      </w:r>
      <w:r>
        <w:rPr>
          <w:rFonts w:hint="eastAsia" w:asciiTheme="minorEastAsia" w:hAnsiTheme="minorEastAsia" w:eastAsiaTheme="minorEastAsia"/>
          <w:color w:val="auto"/>
          <w:sz w:val="24"/>
        </w:rPr>
        <w:t>不符合</w:t>
      </w:r>
      <w:r>
        <w:rPr>
          <w:rFonts w:asciiTheme="minorEastAsia" w:hAnsiTheme="minorEastAsia" w:eastAsiaTheme="minorEastAsia"/>
          <w:color w:val="auto"/>
          <w:sz w:val="24"/>
        </w:rPr>
        <w:t>的供应商</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未实质性响应谈判文件的响应文件按无效</w:t>
      </w:r>
      <w:r>
        <w:rPr>
          <w:rFonts w:hint="eastAsia" w:asciiTheme="minorEastAsia" w:hAnsiTheme="minorEastAsia" w:eastAsiaTheme="minorEastAsia"/>
          <w:color w:val="auto"/>
          <w:sz w:val="24"/>
        </w:rPr>
        <w:t>竞标</w:t>
      </w:r>
      <w:r>
        <w:rPr>
          <w:rFonts w:asciiTheme="minorEastAsia" w:hAnsiTheme="minorEastAsia" w:eastAsiaTheme="minorEastAsia"/>
          <w:color w:val="auto"/>
          <w:sz w:val="24"/>
        </w:rPr>
        <w:t>处理，谈判小组告知有关供应商。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21.2.1资格审查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供应商有下列情形之一的，资格审查不通过：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（1）不符合《中华人民共和国政府采购法》第二十二条规定条件的。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（2）未按本项目采购公告规定方式获得竞争性谈判文件的。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（3）参加同一合同项下的政府采购活动的不同供应商，单位负责人为同一人或者存在直接控股、管理关系的。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（4）为本次采购项目提供整体设计、规范编制或者项目管理、监理、检测等服务的。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（5）在“信用中国”网站(www.creditchina.gov.cn)</w:t>
      </w:r>
      <w:r>
        <w:rPr>
          <w:rFonts w:hint="eastAsia" w:cs="宋体" w:asciiTheme="minorEastAsia" w:hAnsiTheme="minorEastAsia" w:eastAsiaTheme="minorEastAsia"/>
          <w:color w:val="auto"/>
          <w:sz w:val="24"/>
        </w:rPr>
        <w:t>、中国政府采购网（www.ccgp.gov.cn）等</w:t>
      </w:r>
      <w:r>
        <w:rPr>
          <w:rFonts w:hint="eastAsia" w:asciiTheme="minorEastAsia" w:hAnsiTheme="minorEastAsia" w:eastAsiaTheme="minorEastAsia"/>
          <w:color w:val="auto"/>
          <w:sz w:val="24"/>
        </w:rPr>
        <w:t>渠道被列入失信被执行人、重大税收违法案件当事人名单、政府采购严重违法失信行为记录名单的。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（6）不按照采购文件要求提供合格的资格证明材料的。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（7）违反国家法律法规规定的其他资格内容的。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21.2.2符合性审查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21.3</w:t>
      </w:r>
      <w:r>
        <w:rPr>
          <w:rFonts w:hint="eastAsia" w:asciiTheme="minorEastAsia" w:hAnsiTheme="minorEastAsia" w:eastAsiaTheme="minorEastAsia"/>
          <w:color w:val="auto"/>
          <w:sz w:val="24"/>
        </w:rPr>
        <w:t>澄清有关问题</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1.4</w:t>
      </w:r>
      <w:r>
        <w:rPr>
          <w:rFonts w:hint="eastAsia" w:cs="宋体" w:asciiTheme="minorEastAsia" w:hAnsiTheme="minorEastAsia" w:eastAsiaTheme="minorEastAsia"/>
          <w:color w:val="auto"/>
          <w:sz w:val="24"/>
        </w:rPr>
        <w:t>谈判</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谈判小组按已确定的</w:t>
      </w:r>
      <w:r>
        <w:rPr>
          <w:rFonts w:hint="eastAsia" w:asciiTheme="minorEastAsia" w:hAnsiTheme="minorEastAsia" w:eastAsiaTheme="minorEastAsia"/>
          <w:color w:val="auto"/>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在谈判过程中，</w:t>
      </w:r>
      <w:r>
        <w:rPr>
          <w:rFonts w:hint="eastAsia" w:asciiTheme="minorEastAsia" w:hAnsiTheme="minorEastAsia" w:eastAsiaTheme="minorEastAsia"/>
          <w:color w:val="auto"/>
          <w:sz w:val="24"/>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对谈判文件作出的实质性变动是谈判文件的有效组成部分，谈判小组及时以书面形式同时通知所有参加谈判的供应商。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谈判中，谈判的任何一方不得透露与谈判有关的其他供应商的技术资料、价格和其他信息。</w:t>
      </w:r>
    </w:p>
    <w:p>
      <w:pPr>
        <w:tabs>
          <w:tab w:val="left" w:pos="540"/>
        </w:tabs>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采购代理机构对谈判过程和重要谈判内容进行记录，谈判双方在记录上签字确认。</w:t>
      </w:r>
    </w:p>
    <w:p>
      <w:pPr>
        <w:tabs>
          <w:tab w:val="left" w:pos="540"/>
        </w:tabs>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最后报价</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.3 最后报价是供应商响应文件的有效组成部分。</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Theme="minorEastAsia" w:hAnsiTheme="minorEastAsia" w:eastAsiaTheme="minorEastAsia"/>
          <w:b/>
          <w:color w:val="auto"/>
          <w:sz w:val="24"/>
        </w:rPr>
      </w:pPr>
      <w:r>
        <w:rPr>
          <w:rFonts w:asciiTheme="minorEastAsia" w:hAnsiTheme="minorEastAsia" w:eastAsiaTheme="minorEastAsia"/>
          <w:color w:val="auto"/>
          <w:sz w:val="24"/>
        </w:rPr>
        <w:t>21.6</w:t>
      </w:r>
      <w:r>
        <w:rPr>
          <w:rFonts w:hint="eastAsia" w:asciiTheme="minorEastAsia" w:hAnsiTheme="minorEastAsia" w:eastAsiaTheme="minorEastAsia"/>
          <w:b/>
          <w:bCs/>
          <w:color w:val="auto"/>
          <w:sz w:val="24"/>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2</w:t>
      </w:r>
      <w:r>
        <w:rPr>
          <w:rFonts w:hint="eastAsia" w:asciiTheme="minorEastAsia" w:hAnsiTheme="minorEastAsia" w:eastAsiaTheme="minorEastAsia"/>
          <w:b/>
          <w:bCs/>
          <w:color w:val="auto"/>
          <w:sz w:val="24"/>
        </w:rPr>
        <w:t>. 错误修正</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2</w:t>
      </w:r>
      <w:r>
        <w:rPr>
          <w:rFonts w:hint="eastAsia" w:cs="Arial" w:asciiTheme="minorEastAsia" w:hAnsiTheme="minorEastAsia" w:eastAsiaTheme="minorEastAsia"/>
          <w:color w:val="auto"/>
          <w:sz w:val="24"/>
        </w:rPr>
        <w:t>.1响应文件如果出现计算或表达上的错误，修正错误的原则如下：</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（1）响应文件的大写金额和小写金额不一致的，以大写金额为准；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（2）总价金额与按单价汇总金额不一致的，以单价金额计算结果为准；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（3）单价金额小数点有明显错位的，应以总价为准，并修正单价；</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（4）对不同文字文本响应文件的解释发生异议的，以中文文本为准。</w:t>
      </w:r>
    </w:p>
    <w:p>
      <w:pPr>
        <w:pStyle w:val="20"/>
        <w:spacing w:line="400" w:lineRule="exact"/>
        <w:ind w:firstLine="480" w:firstLineChars="200"/>
        <w:rPr>
          <w:rFonts w:asciiTheme="minorEastAsia" w:hAnsiTheme="minorEastAsia" w:eastAsiaTheme="minorEastAsia"/>
          <w:b/>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2</w:t>
      </w:r>
      <w:r>
        <w:rPr>
          <w:rFonts w:hint="eastAsia" w:cs="Arial" w:asciiTheme="minorEastAsia" w:hAnsiTheme="minorEastAsia" w:eastAsiaTheme="minorEastAsia"/>
          <w:color w:val="auto"/>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3</w:t>
      </w:r>
      <w:r>
        <w:rPr>
          <w:rFonts w:hint="eastAsia" w:asciiTheme="minorEastAsia" w:hAnsiTheme="minorEastAsia" w:eastAsiaTheme="minorEastAsia"/>
          <w:b/>
          <w:bCs/>
          <w:color w:val="auto"/>
          <w:sz w:val="24"/>
        </w:rPr>
        <w:t>. 评审过程的保密</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rPr>
        <w:t>2</w:t>
      </w: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4</w:t>
      </w:r>
      <w:r>
        <w:rPr>
          <w:rFonts w:hint="eastAsia" w:asciiTheme="minorEastAsia" w:hAnsiTheme="minorEastAsia" w:eastAsiaTheme="minorEastAsia"/>
          <w:b/>
          <w:bCs/>
          <w:color w:val="auto"/>
          <w:sz w:val="24"/>
        </w:rPr>
        <w:t>.</w:t>
      </w:r>
      <w:bookmarkStart w:id="64" w:name="_Toc254970532"/>
      <w:bookmarkStart w:id="65" w:name="_Toc254970673"/>
      <w:r>
        <w:rPr>
          <w:rFonts w:hint="eastAsia" w:asciiTheme="minorEastAsia" w:hAnsiTheme="minorEastAsia" w:eastAsiaTheme="minorEastAsia"/>
          <w:b/>
          <w:bCs/>
          <w:color w:val="auto"/>
          <w:sz w:val="24"/>
        </w:rPr>
        <w:t xml:space="preserve"> 特别说明：</w:t>
      </w:r>
      <w:bookmarkEnd w:id="64"/>
      <w:bookmarkEnd w:id="65"/>
    </w:p>
    <w:p>
      <w:pPr>
        <w:spacing w:after="0" w:line="400" w:lineRule="exact"/>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（本条款所述投标人等同于供应商，评标等同于评审，投标等同于谈判或响应）</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24.1单位负责人为同一人或者存在直接控股、管理关系的，不得参加同一合同项下投标或未划分分标的同一合同项下投标，否则投标文件将被视为无效。</w:t>
      </w:r>
      <w:r>
        <w:rPr>
          <w:rFonts w:hint="eastAsia" w:asciiTheme="minorEastAsia" w:hAnsiTheme="minorEastAsia" w:eastAsiaTheme="minorEastAsia"/>
          <w:b/>
          <w:color w:val="auto"/>
          <w:sz w:val="24"/>
        </w:rPr>
        <w:t>生产厂商授权给供应商后自己不得参加同一合同项下的政府采购活动；生产厂商对同一品牌同一型号的货物，仅能委托一个代理商参加竞标。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（1）根据桂财采[2016]42号的规定，提供相同品牌产品的不同投标人参加同一合同项下投标的，评审时，按上述规定确定其中一家为有效供应商。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24.4 投标人投标所使用的资格、信誉、荣誉、业绩与企业认证必须为本法人所拥有。</w:t>
      </w:r>
      <w:r>
        <w:rPr>
          <w:rFonts w:hint="eastAsia" w:asciiTheme="minorEastAsia" w:hAnsiTheme="minorEastAsia" w:eastAsiaTheme="minorEastAsia"/>
          <w:b/>
          <w:color w:val="auto"/>
          <w:sz w:val="24"/>
        </w:rPr>
        <w:t>（本采购文件第三章“项目采购需求和说明”另有约定的从其约定）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24.5 投标人应仔细阅读采购文件的所有内容，按照采购文件的要求提交投标文件，并对所提供的全部资料的真实性承担法律责任。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24.7在政府采购活动中，采购人员及相关人员与投标人有下列利害关系之一的，应当回避：</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（1）参加采购活动前3年内与投标人存在劳动关系；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（2）参加采购活动前3年内担任投标人的董事、监事；</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（3）参加采购活动前3年内是投标人的控股股东或者实际控制人；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（4）与投标人的法定代表人或者负责人有夫妻、直系血亲、三代以内旁系血亲或者近姻亲关系；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（5）与投标人有其他可能影响政府采购活动公平、公正进行的关系。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25. 供应商相互串通投标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有下列情形之一的视为供应商相互串通投标，投标文件将被视为无效：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（1）不同供应商的投标文件由同一单位或者个人编制；或不同供应商报名的IP地址一致的；</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（2）不同供应商委托同一单位或者个人办理投标事宜；</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（3）不同的供应商的投标文件载明的项目管理员为同一个人；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（4）不同供应商的投标文件异常一致或投标报价呈规律性差异；</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（5）不同供应商的投标文件相互混装；</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（6）不同供应商的投标保证金从同一单位或者个人账户转出。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 xml:space="preserve">6. </w:t>
      </w:r>
      <w:r>
        <w:rPr>
          <w:rFonts w:hint="eastAsia" w:asciiTheme="minorEastAsia" w:hAnsiTheme="minorEastAsia" w:eastAsiaTheme="minorEastAsia"/>
          <w:b/>
          <w:color w:val="auto"/>
          <w:sz w:val="24"/>
        </w:rPr>
        <w:t>供应商恶意串通投标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供应商有下列情形之一的，属于恶意串通行为：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（1）供应商直接或者间接从采购人或者采购代理机构处获得其他供应商的相关信息并修改其投标文件或者响应文件：</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（2）供应商按照采购人或者采购代理机构的授意撤换、修改投标文件或者响应文件；</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（3）供应商之间协商报价、技术方案等投标文件或者响应文件的实质性内容；</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（4）属于同一集团、协会、商会等组织成员的供应商按照该组织要求协同参加政府采购活动；</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（6）供应商之间商定部分供应商放弃参加政府采购活动或者放弃中标；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（7）供应商与采购人或者采购代理机构之间、供应商相互之间，为谋求特定供应商中标或者排斥其他供应商的其他串通行为。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7</w:t>
      </w:r>
      <w:r>
        <w:rPr>
          <w:rFonts w:hint="eastAsia" w:asciiTheme="minorEastAsia" w:hAnsiTheme="minorEastAsia" w:eastAsiaTheme="minorEastAsia"/>
          <w:b/>
          <w:color w:val="auto"/>
          <w:sz w:val="24"/>
        </w:rPr>
        <w:t>. 终止采购</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出现下列情形之一的，采购人或者采购代理机构终止竞争性谈判采购活动，发布项目终止公告并说明原因，重新开展采购活动：</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（一）因情况变化，不再符合规定的竞争性谈判采购方式适用情形的；</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（二）出现影响采购公正的违法、违规行为的；</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（三）在采购过程中符合竞争要求的供应商或者报价未超过采购预算的供应商不足3家的，但</w:t>
      </w:r>
      <w:r>
        <w:rPr>
          <w:rFonts w:hint="eastAsia" w:asciiTheme="minorEastAsia" w:hAnsiTheme="minorEastAsia" w:eastAsiaTheme="minorEastAsia"/>
          <w:color w:val="auto"/>
          <w:sz w:val="24"/>
        </w:rPr>
        <w:t>《政府采购非招标采购方式管理办法》</w:t>
      </w:r>
      <w:r>
        <w:rPr>
          <w:rFonts w:asciiTheme="minorEastAsia" w:hAnsiTheme="minorEastAsia" w:eastAsiaTheme="minorEastAsia"/>
          <w:color w:val="auto"/>
          <w:sz w:val="24"/>
        </w:rPr>
        <w:t>第二十七条第二款规定的情形除外。</w:t>
      </w:r>
    </w:p>
    <w:p>
      <w:pPr>
        <w:pStyle w:val="4"/>
        <w:spacing w:before="120" w:beforeLines="50" w:line="400" w:lineRule="exact"/>
        <w:rPr>
          <w:rFonts w:asciiTheme="minorEastAsia" w:hAnsiTheme="minorEastAsia" w:eastAsiaTheme="minorEastAsia"/>
          <w:color w:val="auto"/>
        </w:rPr>
      </w:pPr>
      <w:bookmarkStart w:id="66" w:name="_Toc246095522"/>
      <w:bookmarkStart w:id="67" w:name="_Toc246094916"/>
      <w:bookmarkStart w:id="68" w:name="_Toc246095460"/>
      <w:bookmarkStart w:id="69" w:name="_Toc7192548"/>
      <w:r>
        <w:rPr>
          <w:rFonts w:hint="eastAsia" w:asciiTheme="minorEastAsia" w:hAnsiTheme="minorEastAsia" w:eastAsiaTheme="minorEastAsia"/>
          <w:color w:val="auto"/>
        </w:rPr>
        <w:t>五、</w:t>
      </w:r>
      <w:bookmarkEnd w:id="66"/>
      <w:bookmarkEnd w:id="67"/>
      <w:bookmarkEnd w:id="68"/>
      <w:r>
        <w:rPr>
          <w:rFonts w:hint="eastAsia" w:asciiTheme="minorEastAsia" w:hAnsiTheme="minorEastAsia" w:eastAsiaTheme="minorEastAsia"/>
          <w:color w:val="auto"/>
        </w:rPr>
        <w:t>评审结果</w:t>
      </w:r>
      <w:bookmarkEnd w:id="69"/>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8</w:t>
      </w:r>
      <w:r>
        <w:rPr>
          <w:rFonts w:hint="eastAsia" w:asciiTheme="minorEastAsia" w:hAnsiTheme="minorEastAsia" w:eastAsiaTheme="minorEastAsia"/>
          <w:b/>
          <w:color w:val="auto"/>
          <w:sz w:val="24"/>
        </w:rPr>
        <w:t>. 评审结果确定</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9</w:t>
      </w:r>
      <w:r>
        <w:rPr>
          <w:rFonts w:hint="eastAsia" w:asciiTheme="minorEastAsia" w:hAnsiTheme="minorEastAsia" w:eastAsiaTheme="minorEastAsia"/>
          <w:b/>
          <w:color w:val="auto"/>
          <w:sz w:val="24"/>
        </w:rPr>
        <w:t>. 成交通知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采购代理机构在成交供应商确定后2个工作日内，在省级以上财政部门指定的媒体上公告成交结果，同时向成交供应商发出成交通知书。</w:t>
      </w:r>
    </w:p>
    <w:p>
      <w:pPr>
        <w:pStyle w:val="4"/>
        <w:spacing w:before="240" w:beforeLines="100" w:line="400" w:lineRule="exact"/>
        <w:rPr>
          <w:rFonts w:asciiTheme="minorEastAsia" w:hAnsiTheme="minorEastAsia" w:eastAsiaTheme="minorEastAsia"/>
          <w:color w:val="auto"/>
        </w:rPr>
      </w:pPr>
      <w:bookmarkStart w:id="70" w:name="_Toc7192549"/>
      <w:r>
        <w:rPr>
          <w:rFonts w:hint="eastAsia" w:asciiTheme="minorEastAsia" w:hAnsiTheme="minorEastAsia" w:eastAsiaTheme="minorEastAsia"/>
          <w:color w:val="auto"/>
        </w:rPr>
        <w:t>六、合同授予</w:t>
      </w:r>
      <w:bookmarkEnd w:id="70"/>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30. 履约保证金</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个日历天内扣减成交供应商赔偿金和其他应从成交供应商扣回的款项后，将履约保证金的余额退还给成交供应商（无息）。</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31. 签订合同</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成交供应商应按成交通知书规定的时间、地点与采购人签订合同。</w:t>
      </w:r>
      <w:r>
        <w:rPr>
          <w:rFonts w:hint="eastAsia" w:cs="Arial" w:asciiTheme="minorEastAsia" w:hAnsiTheme="minorEastAsia" w:eastAsiaTheme="minorEastAsia"/>
          <w:color w:val="auto"/>
          <w:sz w:val="24"/>
        </w:rPr>
        <w:t>谈判文件、成交供应商的响应文件、应答文件等，均为签订政府采购合同的依据。</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2</w:t>
      </w:r>
      <w:r>
        <w:rPr>
          <w:rFonts w:asciiTheme="minorEastAsia" w:hAnsiTheme="minorEastAsia" w:eastAsiaTheme="minorEastAsia"/>
          <w:color w:val="auto"/>
          <w:sz w:val="24"/>
        </w:rPr>
        <w:t>成交供应商拒绝签订政府采购合同的，</w:t>
      </w:r>
      <w:r>
        <w:rPr>
          <w:rFonts w:hint="eastAsia" w:asciiTheme="minorEastAsia" w:hAnsiTheme="minorEastAsia" w:eastAsiaTheme="minorEastAsia"/>
          <w:color w:val="auto"/>
          <w:sz w:val="24"/>
        </w:rPr>
        <w:t>如</w:t>
      </w:r>
      <w:r>
        <w:rPr>
          <w:rFonts w:asciiTheme="minorEastAsia" w:hAnsiTheme="minorEastAsia" w:eastAsiaTheme="minorEastAsia"/>
          <w:color w:val="auto"/>
          <w:sz w:val="24"/>
        </w:rPr>
        <w:t>政府采购活动或</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32. 政府采购合同公告</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根据</w:t>
      </w:r>
      <w:r>
        <w:rPr>
          <w:rFonts w:cs="Arial" w:asciiTheme="minorEastAsia" w:hAnsiTheme="minorEastAsia" w:eastAsiaTheme="minorEastAsia"/>
          <w:color w:val="auto"/>
          <w:sz w:val="24"/>
        </w:rPr>
        <w:t>《中华人民共和国政府采购法实施条例》第五十条</w:t>
      </w:r>
      <w:r>
        <w:rPr>
          <w:rFonts w:hint="eastAsia" w:cs="Arial" w:asciiTheme="minorEastAsia" w:hAnsiTheme="minorEastAsia" w:eastAsiaTheme="minorEastAsia"/>
          <w:color w:val="auto"/>
          <w:sz w:val="24"/>
        </w:rPr>
        <w:t>规定，采购人应当自政府采购合同签订之日起2个工作日内，将政府采购合同在省级以上人民政府财政部门指定的媒体上公告，</w:t>
      </w:r>
      <w:r>
        <w:rPr>
          <w:rFonts w:cs="Arial" w:asciiTheme="minorEastAsia" w:hAnsiTheme="minorEastAsia" w:eastAsiaTheme="minorEastAsia"/>
          <w:color w:val="auto"/>
          <w:sz w:val="24"/>
        </w:rPr>
        <w:t>但政府采购合同中涉及国家秘密、商业秘密的内容除外。</w:t>
      </w:r>
    </w:p>
    <w:p>
      <w:pPr>
        <w:pStyle w:val="4"/>
        <w:spacing w:before="240" w:beforeLines="100" w:line="400" w:lineRule="exact"/>
        <w:rPr>
          <w:rFonts w:asciiTheme="minorEastAsia" w:hAnsiTheme="minorEastAsia" w:eastAsiaTheme="minorEastAsia"/>
          <w:color w:val="auto"/>
        </w:rPr>
      </w:pPr>
      <w:bookmarkStart w:id="71" w:name="_Toc246095523"/>
      <w:bookmarkStart w:id="72" w:name="_Toc246094917"/>
      <w:bookmarkStart w:id="73" w:name="_Toc246095461"/>
      <w:bookmarkStart w:id="74" w:name="_Toc7192550"/>
      <w:r>
        <w:rPr>
          <w:rFonts w:hint="eastAsia" w:asciiTheme="minorEastAsia" w:hAnsiTheme="minorEastAsia" w:eastAsiaTheme="minorEastAsia"/>
          <w:color w:val="auto"/>
        </w:rPr>
        <w:t>七、其他</w:t>
      </w:r>
      <w:bookmarkEnd w:id="71"/>
      <w:bookmarkEnd w:id="72"/>
      <w:bookmarkEnd w:id="73"/>
      <w:bookmarkEnd w:id="74"/>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33. 招标代理服务费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33.2招标代理服务费标准：</w:t>
      </w:r>
    </w:p>
    <w:tbl>
      <w:tblPr>
        <w:tblStyle w:val="3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费率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中标金额</w:t>
            </w:r>
          </w:p>
        </w:tc>
        <w:tc>
          <w:tcPr>
            <w:tcW w:w="192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货物招标</w:t>
            </w:r>
          </w:p>
        </w:tc>
        <w:tc>
          <w:tcPr>
            <w:tcW w:w="1907"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服务招标</w:t>
            </w:r>
          </w:p>
        </w:tc>
        <w:tc>
          <w:tcPr>
            <w:tcW w:w="16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100万元以下</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100～500万元</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0.8%</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500～1000万元</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0.8%</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0.45%</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1000～5000万元</w:t>
            </w:r>
          </w:p>
        </w:tc>
        <w:tc>
          <w:tcPr>
            <w:tcW w:w="1920"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0.5%</w:t>
            </w:r>
          </w:p>
        </w:tc>
        <w:tc>
          <w:tcPr>
            <w:tcW w:w="1907"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0.25%</w:t>
            </w:r>
          </w:p>
        </w:tc>
        <w:tc>
          <w:tcPr>
            <w:tcW w:w="1683"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0.35%</w:t>
            </w:r>
          </w:p>
        </w:tc>
      </w:tr>
    </w:tbl>
    <w:p>
      <w:pPr>
        <w:spacing w:after="0" w:line="400" w:lineRule="exact"/>
        <w:ind w:firstLine="482" w:firstLineChars="200"/>
        <w:rPr>
          <w:rFonts w:asciiTheme="minorEastAsia" w:hAnsiTheme="minorEastAsia" w:eastAsiaTheme="minorEastAsia"/>
          <w:b/>
          <w:color w:val="auto"/>
          <w:sz w:val="24"/>
        </w:rPr>
      </w:pP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34. 询问、质疑和投诉</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.1供应商对政府采购活动事项有疑问的，可以向采购人、采购代理机构提出询问。</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（一）对可以质疑的采购文件提出质疑的，为收到采购文件之日或者采购文件公告期限届满之日；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（二）对采购过程提出质疑的，为各采购程序环节结束之日；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（三）对成交结果提出质疑的，为成交结果公告期限届满之日。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采购人或采购代理机构在收到供应商书面质疑后</w:t>
      </w:r>
      <w:r>
        <w:rPr>
          <w:rFonts w:cs="Arial" w:asciiTheme="minorEastAsia" w:hAnsiTheme="minorEastAsia" w:eastAsiaTheme="minorEastAsia"/>
          <w:color w:val="auto"/>
          <w:sz w:val="24"/>
        </w:rPr>
        <w:t>7</w:t>
      </w:r>
      <w:r>
        <w:rPr>
          <w:rFonts w:hint="eastAsia" w:cs="Arial" w:asciiTheme="minorEastAsia" w:hAnsiTheme="minorEastAsia" w:eastAsiaTheme="minorEastAsia"/>
          <w:color w:val="auto"/>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.3供应商的</w:t>
      </w:r>
      <w:r>
        <w:rPr>
          <w:rFonts w:hint="eastAsia" w:cs="Arial" w:asciiTheme="minorEastAsia" w:hAnsiTheme="minorEastAsia" w:eastAsiaTheme="minorEastAsia"/>
          <w:bCs/>
          <w:color w:val="auto"/>
          <w:sz w:val="24"/>
        </w:rPr>
        <w:t>质疑和投诉行为应当符合《政府采购质疑和投诉办法》（中华人民共和国财政部令第94号）规定。</w:t>
      </w:r>
      <w:r>
        <w:rPr>
          <w:rFonts w:hint="eastAsia" w:cs="Arial" w:asciiTheme="minorEastAsia" w:hAnsiTheme="minorEastAsia" w:eastAsiaTheme="minorEastAsia"/>
          <w:color w:val="auto"/>
          <w:sz w:val="24"/>
        </w:rPr>
        <w:t>质疑、投诉应当采用书面形式，</w:t>
      </w:r>
      <w:r>
        <w:rPr>
          <w:rFonts w:hint="eastAsia" w:cs="Arial" w:asciiTheme="minorEastAsia" w:hAnsiTheme="minorEastAsia" w:eastAsiaTheme="minorEastAsia"/>
          <w:bCs/>
          <w:color w:val="auto"/>
          <w:sz w:val="24"/>
        </w:rPr>
        <w:t>质疑函、投诉书应按财政部发布《政府采购供应商质疑函范本》、《政府采购供应商投诉书范本》编制，</w:t>
      </w:r>
      <w:r>
        <w:rPr>
          <w:rFonts w:hint="eastAsia" w:cs="Arial" w:asciiTheme="minorEastAsia" w:hAnsiTheme="minorEastAsia" w:eastAsiaTheme="minorEastAsia"/>
          <w:color w:val="auto"/>
          <w:sz w:val="24"/>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供应商提出质疑应当提交质疑函和必要的证明材料，针对同一采购程序环节的质疑必须在法定质疑期内一次性提出。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35. 适用法律</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采购当事人的一切活动均适用于《中华人民共和国政府采购法》、《中华人民共和国政府采购法实施条例》、《</w:t>
      </w:r>
      <w:r>
        <w:rPr>
          <w:rFonts w:asciiTheme="minorEastAsia" w:hAnsiTheme="minorEastAsia" w:eastAsiaTheme="minorEastAsia"/>
          <w:color w:val="auto"/>
          <w:sz w:val="24"/>
        </w:rPr>
        <w:t>政府采购非招标采购方式管理办法</w:t>
      </w:r>
      <w:r>
        <w:rPr>
          <w:rFonts w:hint="eastAsia" w:asciiTheme="minorEastAsia" w:hAnsiTheme="minorEastAsia" w:eastAsiaTheme="minorEastAsia"/>
          <w:color w:val="auto"/>
          <w:sz w:val="24"/>
        </w:rPr>
        <w:t>》及相关规定。</w:t>
      </w:r>
    </w:p>
    <w:p>
      <w:pPr>
        <w:spacing w:after="0" w:line="400" w:lineRule="exact"/>
        <w:ind w:firstLine="480" w:firstLineChars="200"/>
        <w:rPr>
          <w:rFonts w:asciiTheme="minorEastAsia" w:hAnsiTheme="minorEastAsia" w:eastAsiaTheme="minorEastAsia"/>
          <w:color w:val="auto"/>
          <w:sz w:val="24"/>
        </w:rPr>
      </w:pPr>
    </w:p>
    <w:p>
      <w:pPr>
        <w:spacing w:after="0" w:line="400" w:lineRule="exact"/>
        <w:ind w:firstLine="440" w:firstLineChars="200"/>
        <w:rPr>
          <w:rFonts w:asciiTheme="minorEastAsia" w:hAnsiTheme="minorEastAsia" w:eastAsiaTheme="minorEastAsia"/>
          <w:color w:val="auto"/>
        </w:rPr>
        <w:sectPr>
          <w:headerReference r:id="rId9" w:type="first"/>
          <w:footerReference r:id="rId10" w:type="default"/>
          <w:footerReference r:id="rId11" w:type="even"/>
          <w:pgSz w:w="11907" w:h="16840"/>
          <w:pgMar w:top="1077" w:right="1275" w:bottom="1418" w:left="1077" w:header="624" w:footer="737" w:gutter="0"/>
          <w:pgNumType w:start="1"/>
          <w:cols w:space="720" w:num="1"/>
          <w:docGrid w:linePitch="312" w:charSpace="0"/>
        </w:sectPr>
      </w:pPr>
    </w:p>
    <w:p>
      <w:pPr>
        <w:pStyle w:val="3"/>
        <w:ind w:firstLine="720" w:firstLineChars="200"/>
        <w:rPr>
          <w:rFonts w:asciiTheme="minorEastAsia" w:hAnsiTheme="minorEastAsia" w:eastAsiaTheme="minorEastAsia"/>
          <w:color w:val="auto"/>
        </w:rPr>
      </w:pPr>
      <w:bookmarkStart w:id="75" w:name="_Toc7192551"/>
      <w:r>
        <w:rPr>
          <w:rFonts w:hint="eastAsia" w:asciiTheme="minorEastAsia" w:hAnsiTheme="minorEastAsia" w:eastAsiaTheme="minorEastAsia"/>
          <w:color w:val="auto"/>
        </w:rPr>
        <w:t>第三章  项目采购需求和说明</w:t>
      </w:r>
      <w:bookmarkEnd w:id="75"/>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说明：</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1、本一览表中设备或货物的技术参数及其性能（配置）是本项目的基本要求，</w:t>
      </w:r>
      <w:r>
        <w:rPr>
          <w:rFonts w:hint="eastAsia" w:asciiTheme="minorEastAsia" w:hAnsiTheme="minorEastAsia" w:eastAsiaTheme="minorEastAsia"/>
          <w:color w:val="auto"/>
          <w:sz w:val="24"/>
        </w:rPr>
        <w:t>竞标</w:t>
      </w:r>
      <w:r>
        <w:rPr>
          <w:rFonts w:asciiTheme="minorEastAsia" w:hAnsiTheme="minorEastAsia" w:eastAsiaTheme="minorEastAsia"/>
          <w:color w:val="auto"/>
          <w:sz w:val="24"/>
        </w:rPr>
        <w:t>人可选</w:t>
      </w:r>
      <w:r>
        <w:rPr>
          <w:rFonts w:hint="eastAsia" w:asciiTheme="minorEastAsia" w:hAnsiTheme="minorEastAsia" w:eastAsiaTheme="minorEastAsia"/>
          <w:color w:val="auto"/>
          <w:sz w:val="24"/>
        </w:rPr>
        <w:t>满足或优于</w:t>
      </w:r>
      <w:r>
        <w:rPr>
          <w:rFonts w:asciiTheme="minorEastAsia" w:hAnsiTheme="minorEastAsia" w:eastAsiaTheme="minorEastAsia"/>
          <w:color w:val="auto"/>
          <w:sz w:val="24"/>
        </w:rPr>
        <w:t>本一览表的技术参数性能（配置）要求的设备或货物进行</w:t>
      </w:r>
      <w:r>
        <w:rPr>
          <w:rFonts w:hint="eastAsia" w:asciiTheme="minorEastAsia" w:hAnsiTheme="minorEastAsia" w:eastAsiaTheme="minorEastAsia"/>
          <w:color w:val="auto"/>
          <w:sz w:val="24"/>
        </w:rPr>
        <w:t>竞</w:t>
      </w:r>
      <w:r>
        <w:rPr>
          <w:rFonts w:asciiTheme="minorEastAsia" w:hAnsiTheme="minorEastAsia" w:eastAsiaTheme="minorEastAsia"/>
          <w:color w:val="auto"/>
          <w:sz w:val="24"/>
        </w:rPr>
        <w:t xml:space="preserve">标。 </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对于</w:t>
      </w:r>
      <w:r>
        <w:rPr>
          <w:rFonts w:asciiTheme="minorEastAsia" w:hAnsiTheme="minorEastAsia" w:eastAsiaTheme="minorEastAsia"/>
          <w:color w:val="auto"/>
          <w:sz w:val="24"/>
        </w:rPr>
        <w:t>本项目采购需求中项目要求及技术需求</w:t>
      </w:r>
      <w:r>
        <w:rPr>
          <w:rFonts w:hint="eastAsia" w:asciiTheme="minorEastAsia" w:hAnsiTheme="minorEastAsia" w:eastAsiaTheme="minorEastAsia"/>
          <w:color w:val="auto"/>
          <w:sz w:val="24"/>
        </w:rPr>
        <w:t>，供应商应</w:t>
      </w:r>
      <w:r>
        <w:rPr>
          <w:rFonts w:asciiTheme="minorEastAsia" w:hAnsiTheme="minorEastAsia" w:eastAsiaTheme="minorEastAsia"/>
          <w:color w:val="auto"/>
          <w:sz w:val="24"/>
        </w:rPr>
        <w:t>以</w:t>
      </w:r>
      <w:r>
        <w:rPr>
          <w:rFonts w:hint="eastAsia" w:asciiTheme="minorEastAsia" w:hAnsiTheme="minorEastAsia" w:eastAsiaTheme="minorEastAsia"/>
          <w:color w:val="auto"/>
          <w:sz w:val="24"/>
        </w:rPr>
        <w:t>满足采购需求的产品和服务进行响应，</w:t>
      </w:r>
      <w:r>
        <w:rPr>
          <w:rFonts w:asciiTheme="minorEastAsia" w:hAnsiTheme="minorEastAsia" w:eastAsiaTheme="minorEastAsia"/>
          <w:color w:val="auto"/>
          <w:sz w:val="24"/>
        </w:rPr>
        <w:t>同时填写投标报价明细表，</w:t>
      </w:r>
      <w:r>
        <w:rPr>
          <w:rFonts w:hint="eastAsia" w:asciiTheme="minorEastAsia" w:hAnsiTheme="minorEastAsia" w:eastAsiaTheme="minorEastAsia"/>
          <w:color w:val="auto"/>
          <w:sz w:val="24"/>
        </w:rPr>
        <w:t>并以</w:t>
      </w:r>
      <w:r>
        <w:rPr>
          <w:rFonts w:asciiTheme="minorEastAsia" w:hAnsiTheme="minorEastAsia" w:eastAsiaTheme="minorEastAsia"/>
          <w:color w:val="auto"/>
          <w:sz w:val="24"/>
        </w:rPr>
        <w:t>详细、正确的品牌型号及技术参数、性能（配置）</w:t>
      </w:r>
      <w:r>
        <w:rPr>
          <w:rFonts w:hint="eastAsia" w:asciiTheme="minorEastAsia" w:hAnsiTheme="minorEastAsia" w:eastAsiaTheme="minorEastAsia"/>
          <w:color w:val="auto"/>
          <w:sz w:val="24"/>
        </w:rPr>
        <w:t>填写</w:t>
      </w:r>
      <w:r>
        <w:rPr>
          <w:rFonts w:asciiTheme="minorEastAsia" w:hAnsiTheme="minorEastAsia" w:eastAsiaTheme="minorEastAsia"/>
          <w:color w:val="auto"/>
          <w:sz w:val="24"/>
        </w:rPr>
        <w:t>技术响应表。</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r>
        <w:rPr>
          <w:rFonts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复印件（加盖供应商单位公章），否则相应竞标无效</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、竞争性谈判文件中所要求提供的证明材料，如为英文文本的请同时提供中文译本。</w:t>
      </w:r>
    </w:p>
    <w:p>
      <w:pPr>
        <w:spacing w:after="0" w:line="400" w:lineRule="exact"/>
        <w:ind w:firstLine="480" w:firstLineChars="200"/>
        <w:rPr>
          <w:rFonts w:hint="eastAsia" w:asciiTheme="minorEastAsia" w:hAnsiTheme="minorEastAsia" w:eastAsiaTheme="minorEastAsia"/>
          <w:b/>
          <w:color w:val="auto"/>
          <w:sz w:val="24"/>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w:t>
      </w:r>
      <w:r>
        <w:rPr>
          <w:rFonts w:hint="eastAsia" w:asciiTheme="minorEastAsia" w:hAnsiTheme="minorEastAsia" w:eastAsiaTheme="minorEastAsia"/>
          <w:b/>
          <w:color w:val="auto"/>
          <w:sz w:val="24"/>
          <w:u w:val="single"/>
        </w:rPr>
        <w:t>竞争性谈判文件中标注“▲”号的条款为实质性条款，必须满足或优于，否则竞标无效；非“▲”号要求或技术指标发生负偏离或不响应达</w:t>
      </w:r>
      <w:r>
        <w:rPr>
          <w:rFonts w:hint="eastAsia" w:asciiTheme="minorEastAsia" w:hAnsiTheme="minorEastAsia" w:eastAsiaTheme="minorEastAsia"/>
          <w:b/>
          <w:color w:val="auto"/>
          <w:sz w:val="24"/>
          <w:highlight w:val="none"/>
          <w:u w:val="single"/>
          <w:lang w:val="en-US" w:eastAsia="zh-CN"/>
        </w:rPr>
        <w:t>2</w:t>
      </w:r>
      <w:r>
        <w:rPr>
          <w:rFonts w:asciiTheme="minorEastAsia" w:hAnsiTheme="minorEastAsia" w:eastAsiaTheme="minorEastAsia"/>
          <w:b/>
          <w:color w:val="auto"/>
          <w:sz w:val="24"/>
          <w:highlight w:val="none"/>
          <w:u w:val="single"/>
        </w:rPr>
        <w:t>项</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b/>
          <w:color w:val="auto"/>
          <w:sz w:val="24"/>
          <w:highlight w:val="none"/>
          <w:u w:val="single"/>
          <w:lang w:eastAsia="zh-CN"/>
        </w:rPr>
        <w:t>不</w:t>
      </w:r>
      <w:r>
        <w:rPr>
          <w:rFonts w:hint="eastAsia" w:asciiTheme="minorEastAsia" w:hAnsiTheme="minorEastAsia" w:eastAsiaTheme="minorEastAsia"/>
          <w:b/>
          <w:color w:val="auto"/>
          <w:sz w:val="24"/>
          <w:highlight w:val="none"/>
          <w:u w:val="single"/>
        </w:rPr>
        <w:t>含）</w:t>
      </w:r>
      <w:r>
        <w:rPr>
          <w:rFonts w:hint="eastAsia" w:asciiTheme="minorEastAsia" w:hAnsiTheme="minorEastAsia" w:eastAsiaTheme="minorEastAsia"/>
          <w:b/>
          <w:color w:val="auto"/>
          <w:sz w:val="24"/>
          <w:u w:val="single"/>
        </w:rPr>
        <w:t>以上的竞标无效</w:t>
      </w:r>
      <w:r>
        <w:rPr>
          <w:rFonts w:hint="eastAsia" w:asciiTheme="minorEastAsia" w:hAnsiTheme="minorEastAsia" w:eastAsiaTheme="minorEastAsia"/>
          <w:b/>
          <w:color w:val="auto"/>
          <w:sz w:val="24"/>
        </w:rPr>
        <w:t>。</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、供应商所投项目货物如国家有强制性要求的应按国家规定执行，并提供相关证明材料。</w:t>
      </w:r>
    </w:p>
    <w:p>
      <w:pPr>
        <w:spacing w:after="0" w:line="400" w:lineRule="exact"/>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8、最终报价有时间限制，请各供应商事前做好准备，以免耽误报价。最终报价时，供应商只需报一个总价，结算时，各分项单价按最终报价与第一次报价的比例进行调整。</w:t>
      </w: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2"/>
        <w:rPr>
          <w:rFonts w:hint="eastAsia" w:asciiTheme="minorEastAsia" w:hAnsiTheme="minorEastAsia" w:eastAsiaTheme="minorEastAsia"/>
          <w:b/>
          <w:color w:val="auto"/>
          <w:sz w:val="24"/>
        </w:rPr>
      </w:pPr>
    </w:p>
    <w:p>
      <w:pPr>
        <w:pStyle w:val="16"/>
        <w:jc w:val="center"/>
        <w:rPr>
          <w:rFonts w:hint="default" w:eastAsia="宋体"/>
          <w:b w:val="0"/>
          <w:bCs w:val="0"/>
          <w:color w:val="auto"/>
          <w:sz w:val="21"/>
          <w:szCs w:val="21"/>
          <w:lang w:val="en-US" w:eastAsia="zh-CN"/>
        </w:rPr>
      </w:pPr>
    </w:p>
    <w:tbl>
      <w:tblPr>
        <w:tblStyle w:val="37"/>
        <w:tblpPr w:leftFromText="180" w:rightFromText="180" w:vertAnchor="text" w:horzAnchor="page" w:tblpX="1128" w:tblpY="3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0"/>
        <w:gridCol w:w="6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5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项号</w:t>
            </w:r>
          </w:p>
        </w:tc>
        <w:tc>
          <w:tcPr>
            <w:tcW w:w="87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名称</w:t>
            </w:r>
          </w:p>
        </w:tc>
        <w:tc>
          <w:tcPr>
            <w:tcW w:w="6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配置参数</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数量</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1-1</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互动录播主机</w:t>
            </w:r>
          </w:p>
        </w:tc>
        <w:tc>
          <w:tcPr>
            <w:tcW w:w="6720" w:type="dxa"/>
            <w:noWrap w:val="0"/>
            <w:vAlign w:val="center"/>
          </w:tcPr>
          <w:p>
            <w:pPr>
              <w:pStyle w:val="26"/>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bidi="ar-SA"/>
              </w:rPr>
            </w:pPr>
            <w:r>
              <w:rPr>
                <w:rFonts w:hint="eastAsia" w:ascii="宋体" w:hAnsi="宋体" w:eastAsia="宋体" w:cs="宋体"/>
                <w:b/>
                <w:color w:val="auto"/>
                <w:sz w:val="21"/>
                <w:szCs w:val="21"/>
                <w:u w:val="none"/>
              </w:rPr>
              <w:t>▲</w:t>
            </w:r>
            <w:r>
              <w:rPr>
                <w:rFonts w:hint="eastAsia" w:ascii="宋体" w:hAnsi="宋体" w:eastAsia="宋体" w:cs="宋体"/>
                <w:kern w:val="0"/>
                <w:sz w:val="21"/>
                <w:szCs w:val="21"/>
                <w:u w:val="none"/>
                <w:lang w:bidi="ar-SA"/>
              </w:rPr>
              <w:t>1</w:t>
            </w:r>
            <w:r>
              <w:rPr>
                <w:rFonts w:hint="eastAsia" w:ascii="宋体" w:hAnsi="宋体" w:eastAsia="宋体" w:cs="宋体"/>
                <w:kern w:val="0"/>
                <w:sz w:val="21"/>
                <w:szCs w:val="21"/>
                <w:lang w:bidi="ar-SA"/>
              </w:rPr>
              <w:t>、录播主机须采用嵌入式架构设计，</w:t>
            </w:r>
            <w:r>
              <w:rPr>
                <w:rFonts w:hint="eastAsia" w:ascii="宋体" w:hAnsi="宋体" w:eastAsia="宋体" w:cs="宋体"/>
                <w:color w:val="C00000"/>
                <w:kern w:val="0"/>
                <w:sz w:val="21"/>
                <w:szCs w:val="21"/>
                <w:lang w:bidi="ar-SA"/>
              </w:rPr>
              <w:t xml:space="preserve"> ARM</w:t>
            </w:r>
            <w:r>
              <w:rPr>
                <w:rFonts w:hint="eastAsia" w:ascii="宋体" w:hAnsi="宋体" w:eastAsia="宋体" w:cs="宋体"/>
                <w:kern w:val="0"/>
                <w:sz w:val="21"/>
                <w:szCs w:val="21"/>
                <w:lang w:bidi="ar-SA"/>
              </w:rPr>
              <w:t xml:space="preserve"> 双核处理器 </w:t>
            </w:r>
            <w:r>
              <w:rPr>
                <w:rFonts w:hint="eastAsia" w:ascii="宋体" w:hAnsi="宋体" w:eastAsia="宋体" w:cs="宋体"/>
                <w:color w:val="C00000"/>
                <w:kern w:val="0"/>
                <w:sz w:val="21"/>
                <w:szCs w:val="21"/>
                <w:lang w:bidi="ar-SA"/>
              </w:rPr>
              <w:t>Linux</w:t>
            </w:r>
            <w:r>
              <w:rPr>
                <w:rFonts w:hint="eastAsia" w:ascii="宋体" w:hAnsi="宋体" w:eastAsia="宋体" w:cs="宋体"/>
                <w:kern w:val="0"/>
                <w:sz w:val="21"/>
                <w:szCs w:val="21"/>
                <w:lang w:bidi="ar-SA"/>
              </w:rPr>
              <w:t>系统，整机静音、无风扇。</w:t>
            </w:r>
          </w:p>
          <w:p>
            <w:pPr>
              <w:pStyle w:val="26"/>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2、整机无需配合编码盒使用，录制、导播、互动、管理、存储、音视频的编解码等功能都集成在一台主机内。</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3、录播主机与高清液晶触控屏一体化设计，非外接触控屏，无需借助平板、手机等工具。</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4、高清液晶触控屏幕尺寸不小于15英寸，屏幕需为液晶电容屏，可以通过触控屏直接预监到导播画面，也可直接触摸操作。。</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5、屏幕需满足无蓝光危害，即在10000s（约2.8h）内不造成对视网膜蓝光危害（LB）,其LB需达到≦0.5W·m-2·sr-1。</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6、整机屏幕要求加装不小于3mm厚的钢化玻璃。</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7、书写屏幕表面硬度：物理钢化玻璃≥6H。</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8、视频输入：4路RJ45 100M网络摄像机接口，其中3路支持POE供电。1路HDMI输入口：支持1920*1080P/50Hz</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9、视频输出：1路HDMI 输出口：支持1920*1080P/50Hz。</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10、整机≥2路USB接口，至少含有1路USB 3.0。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11、音频输入：整机具备1路全向 MIC in接口，2路Line in接口。</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12、</w:t>
            </w:r>
            <w:r>
              <w:rPr>
                <w:rFonts w:hint="eastAsia" w:ascii="宋体" w:hAnsi="宋体" w:eastAsia="宋体" w:cs="宋体"/>
                <w:color w:val="C00000"/>
                <w:kern w:val="0"/>
                <w:sz w:val="21"/>
                <w:szCs w:val="21"/>
                <w:lang w:bidi="ar-SA"/>
              </w:rPr>
              <w:t>MIC IN</w:t>
            </w:r>
            <w:r>
              <w:rPr>
                <w:rFonts w:hint="eastAsia" w:ascii="宋体" w:hAnsi="宋体" w:eastAsia="宋体" w:cs="宋体"/>
                <w:kern w:val="0"/>
                <w:sz w:val="21"/>
                <w:szCs w:val="21"/>
                <w:lang w:bidi="ar-SA"/>
              </w:rPr>
              <w:t>接口采用网络接口，直接通过网线连接实现麦克风的音频传输及供电。</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13、录播主机提供三合一按键，整机开机、关机和节能三键合一。</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14、长按三合一按键，主机一体化触摸屏上可弹出关机确认对话框，点击确认后系统执行关机命令，若10秒内未确认或取消，系统自动关机。</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15、主机支持二维码扫码登录：开机后屏幕自动锁定，同步生成二维码，用户可通过手机扫码解锁并进行登录使用。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16、音频混音功能：支持网络MIC IN、LINE IN的音频混音功能，同时支持HDMI IN视频输入。</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17、录播主机硬盘存储不小于1T，系统内存不小于2G。</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18、支持AC 220V供电，且在不小于220V±20%范围内变化时可以正常工作。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19、整机内置喇叭，可直接在主机上进行音视频回放。</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20、整机自带状态指示灯，可实时反映设备工作状态。</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21、支持无线Mic 接入：整机无需外接设备，即可支持无线麦克风连接。</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22、整机功耗≤60W。</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23、整机符合浪涌（冲击）抗扰度，静电放电抗扰度，射频电磁场辐射抗扰度，电快速瞬变脉冲群抗扰度，射频感应的传导骚扰抗扰度，电压暂降、短时中断和电压变化抗扰度等要求，确保整机使用安全。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24、整机具备抗振动、防跌落特性，保证整机运输或使用过程中不易受损。</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25、整机在0℃—40℃环境下可正常工作，在-20℃—60℃的环境下可正常贮存且贮存后功能无损。</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26、支持用户在录播主机上随时查看已录制视频总容量，并采用百分比的形式便于用户清楚了解主机硬盘使用情况。</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27、无须外接显示设备，用户可直接通过录播主机查看已录制的视频，并可在录播主机一体化触摸屏上直接播放以查看录制效果，可直接使用移动磁盘或硬盘在录播主机上拷贝。</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28、主机无需配置单独公网IP，即可实现互动。</w:t>
            </w:r>
          </w:p>
          <w:p>
            <w:pPr>
              <w:pStyle w:val="26"/>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b/>
                <w:color w:val="auto"/>
                <w:sz w:val="21"/>
                <w:szCs w:val="21"/>
                <w:u w:val="none"/>
              </w:rPr>
              <w:t>▲</w:t>
            </w:r>
            <w:r>
              <w:rPr>
                <w:rFonts w:hint="eastAsia" w:ascii="宋体" w:hAnsi="宋体" w:eastAsia="宋体" w:cs="宋体"/>
                <w:kern w:val="0"/>
                <w:sz w:val="21"/>
                <w:szCs w:val="21"/>
                <w:lang w:val="en-US" w:eastAsia="zh-CN" w:bidi="ar-SA"/>
              </w:rPr>
              <w:t>29</w:t>
            </w:r>
            <w:r>
              <w:rPr>
                <w:rFonts w:hint="eastAsia" w:ascii="宋体" w:hAnsi="宋体" w:eastAsia="宋体" w:cs="宋体"/>
                <w:kern w:val="0"/>
                <w:sz w:val="21"/>
                <w:szCs w:val="21"/>
                <w:lang w:bidi="ar-SA"/>
              </w:rPr>
              <w:t>需提供</w:t>
            </w:r>
            <w:r>
              <w:rPr>
                <w:rFonts w:hint="eastAsia" w:ascii="宋体" w:hAnsi="宋体" w:eastAsia="宋体" w:cs="宋体"/>
                <w:kern w:val="0"/>
                <w:sz w:val="21"/>
                <w:szCs w:val="21"/>
                <w:lang w:eastAsia="zh-CN" w:bidi="ar-SA"/>
              </w:rPr>
              <w:t>符合以上参数要求的</w:t>
            </w:r>
            <w:r>
              <w:rPr>
                <w:rFonts w:hint="eastAsia" w:ascii="宋体" w:hAnsi="宋体" w:eastAsia="宋体" w:cs="宋体"/>
                <w:kern w:val="0"/>
                <w:sz w:val="21"/>
                <w:szCs w:val="21"/>
                <w:lang w:bidi="ar-SA"/>
              </w:rPr>
              <w:t>国家广播电视产品质量监督检验中心或国家电子计算机质量监督检验中心出具的检测报告复印件</w:t>
            </w:r>
            <w:r>
              <w:rPr>
                <w:rFonts w:hint="eastAsia" w:ascii="宋体" w:hAnsi="宋体" w:eastAsia="宋体" w:cs="宋体"/>
                <w:kern w:val="0"/>
                <w:sz w:val="21"/>
                <w:szCs w:val="21"/>
                <w:lang w:val="en-US" w:eastAsia="zh-CN" w:bidi="ar-SA"/>
              </w:rPr>
              <w:t>,检测内容包含以下内容:</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录播主机</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高清液晶触控屏幕</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屏幕需满足无蓝光危害</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视频输入</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录播主机提供三合一按键</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主机支持二维码扫码登录</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整机内置喇叭</w:t>
            </w:r>
          </w:p>
          <w:p>
            <w:pPr>
              <w:pStyle w:val="26"/>
              <w:keepNext w:val="0"/>
              <w:keepLines w:val="0"/>
              <w:pageBreakBefore w:val="0"/>
              <w:widowControl/>
              <w:numPr>
                <w:ilvl w:val="0"/>
                <w:numId w:val="5"/>
              </w:numPr>
              <w:kinsoku/>
              <w:wordWrap/>
              <w:overflowPunct/>
              <w:topLinePunct w:val="0"/>
              <w:autoSpaceDE/>
              <w:autoSpaceDN/>
              <w:bidi w:val="0"/>
              <w:adjustRightInd w:val="0"/>
              <w:snapToGrid w:val="0"/>
              <w:spacing w:after="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无线Mic 接入</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1-2</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导播系统</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可直接在录播主机一体化触摸屏上进行操作，一键启动、停止录制，所见即所得，保证较好的实时性和流畅性。</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支持电影模式和资源模式同步录制，可根据用户的不同需求选择录制模式。</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支持FTP远程自动上传录像，录制停止后自动上传视频文件到FTP服务器，支持断点续传。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支持录播主机配置参数的导入导出，方便用户进行升级和调试。（需提供国家广播电视产品质量监督检验中心或国家电子计算机质量监督检验中心出具的检测报告复印件）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导播界面实时显示拾音麦克风音量大小，并以音频进度条的形式呈现，方便老师实时了解录音状态。</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可根据用户实际的使用需求，选择需要自动导播的画面。</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支持设置视频录制清晰度，方便用户调整视频文件大小。</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具备自动息屏功能，避免屏幕常亮干扰课堂，同时支持用户设置自动息屏时间，适应不同使用场景。</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支持用户设置录制自动停止时间，减少因操作不当导致的无效资源。</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具备自动导播切换延时设置，可根据用户习惯设置导播画面最短停留时长，避免过快切换导致的视频观看体验不佳。</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具备多媒体画面的像素值灵敏度设置，可根据用户习惯设置多媒体画面灵敏度的感应范围。</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支持一键还原出厂设置，并提供清空本地视频选项。</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1-3</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图像</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智能跟踪定位系统</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4K高清摄像机内嵌智能跟踪算法，无需单独安装定位跟踪主机及其他任何辅助拍摄设备，即可实现跟踪定位控制功能。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通过两</w:t>
            </w:r>
            <w:r>
              <w:rPr>
                <w:rFonts w:hint="eastAsia" w:ascii="宋体" w:hAnsi="宋体" w:eastAsia="宋体" w:cs="宋体"/>
                <w:color w:val="auto"/>
                <w:kern w:val="0"/>
                <w:sz w:val="21"/>
                <w:szCs w:val="21"/>
                <w:lang w:bidi="ar-SA"/>
              </w:rPr>
              <w:t>台4K高清摄像机</w:t>
            </w:r>
            <w:r>
              <w:rPr>
                <w:rFonts w:hint="eastAsia" w:ascii="宋体" w:hAnsi="宋体" w:eastAsia="宋体" w:cs="宋体"/>
                <w:kern w:val="0"/>
                <w:sz w:val="21"/>
                <w:szCs w:val="21"/>
                <w:lang w:bidi="ar-SA"/>
              </w:rPr>
              <w:t>可实现4路视频场景的跟踪定位功能；教师的特写和全景画面，学生的特写和全景画面，各通过一台摄像机完成。</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采用智能图像识别算法，每台高清摄像机同时输出2路场景画面并分析计算，实现1台摄像机的2景位拍摄，通过导播跟踪系统，实现所有画面的自动导播切换：</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)当教师在讲台区域站立授课时，自动切换为教师特写，当教师在讲台区域进行走动时，自动切换到教师全景；</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)学生起立发言时，首先切换为学生全景，再过渡为发言学生的特写画面，当多名学生站立时，自动切换到学生全景；</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)当教师切换多媒体授课时，自动切换为多媒体特写画面；</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SA"/>
              </w:rPr>
              <w:t>)学生跟踪具备人脸检测辅助识别功能。</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9" w:hRule="atLeast"/>
        </w:trPr>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1-4</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互动系统</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扫码登录：互动系统支持微信扫码登录，无需在录播主机上输入帐号密码即可登录。</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预约互动：互动系统支持预约功能，用户只需点击预约课程信息，即可进入互动课堂。</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互动拨号：为方便教师使用，互动课堂连接支持手机按键拨号形式，在录播主机上可直接拨号呼叫，贴近教师使用习惯。</w:t>
            </w:r>
          </w:p>
          <w:p>
            <w:pPr>
              <w:keepNext w:val="0"/>
              <w:keepLines w:val="0"/>
              <w:pageBreakBefore w:val="0"/>
              <w:widowControl/>
              <w:numPr>
                <w:ilvl w:val="0"/>
                <w:numId w:val="6"/>
              </w:numPr>
              <w:kinsoku/>
              <w:wordWrap/>
              <w:overflowPunct/>
              <w:topLinePunct w:val="0"/>
              <w:autoSpaceDE/>
              <w:autoSpaceDN/>
              <w:bidi w:val="0"/>
              <w:adjustRightInd w:val="0"/>
              <w:snapToGrid w:val="0"/>
              <w:spacing w:after="0"/>
              <w:jc w:val="left"/>
              <w:textAlignment w:val="auto"/>
              <w:rPr>
                <w:rFonts w:hint="eastAsia" w:ascii="宋体" w:hAnsi="宋体" w:eastAsia="宋体" w:cs="宋体"/>
                <w:sz w:val="21"/>
                <w:szCs w:val="21"/>
              </w:rPr>
            </w:pPr>
            <w:r>
              <w:rPr>
                <w:rFonts w:hint="eastAsia" w:ascii="宋体" w:hAnsi="宋体" w:eastAsia="宋体" w:cs="宋体"/>
                <w:sz w:val="21"/>
                <w:szCs w:val="21"/>
              </w:rPr>
              <w:t>授课预监：授课过程中，录播主机屏幕将实时显示授课教室和参与互动的听课教室画面，用户可实时查看授课教室的拍摄效果，及互动教室的听课状态。</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课堂互动：授课过程中，老师只需在录播主机上单击听课教室画面，即可放大该教室画面，并与该教室实时连麦对讲，实现异地互动。6</w:t>
            </w:r>
            <w:r>
              <w:rPr>
                <w:rFonts w:hint="eastAsia" w:ascii="宋体" w:hAnsi="宋体" w:eastAsia="宋体" w:cs="宋体"/>
                <w:sz w:val="21"/>
                <w:szCs w:val="21"/>
                <w:lang w:eastAsia="zh-CN"/>
              </w:rPr>
              <w:t>、</w:t>
            </w:r>
            <w:r>
              <w:rPr>
                <w:rFonts w:hint="eastAsia" w:ascii="宋体" w:hAnsi="宋体" w:eastAsia="宋体" w:cs="宋体"/>
                <w:sz w:val="21"/>
                <w:szCs w:val="21"/>
              </w:rPr>
              <w:t>听课过程中，用户可在录播主机屏幕上观看授课教室画面，在同一界面中，还可查看本地教室画面；同时录播主机提供一键放大主画面的功能，满足用户多场景使用需求。</w:t>
            </w:r>
            <w:r>
              <w:rPr>
                <w:rFonts w:hint="eastAsia" w:ascii="宋体" w:hAnsi="宋体" w:eastAsia="宋体" w:cs="宋体"/>
                <w:sz w:val="21"/>
                <w:szCs w:val="21"/>
              </w:rPr>
              <w:br w:type="textWrapping"/>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用户可在各自录播主机上查看参与互动的教室的网络连接情况，设备根据信号强弱，实时增加或减少信号格，方便用户实时了解彼此的设备网络环境。</w:t>
            </w:r>
            <w:r>
              <w:rPr>
                <w:rFonts w:hint="eastAsia" w:ascii="宋体" w:hAnsi="宋体" w:eastAsia="宋体" w:cs="宋体"/>
                <w:sz w:val="21"/>
                <w:szCs w:val="21"/>
              </w:rPr>
              <w:br w:type="textWrapping"/>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互动系统具备回声消除功能，在主讲教室与听讲教室同时发言的情况下，保证双方语音清晰，双方体验良好。</w:t>
            </w:r>
            <w:r>
              <w:rPr>
                <w:rFonts w:hint="eastAsia" w:ascii="宋体" w:hAnsi="宋体" w:eastAsia="宋体" w:cs="宋体"/>
                <w:sz w:val="21"/>
                <w:szCs w:val="21"/>
              </w:rPr>
              <w:br w:type="textWrapping"/>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互动系统具备噪声抑制功能，结合心理声学模型设计，提高信噪比同时不损伤语音音质。</w:t>
            </w:r>
            <w:r>
              <w:rPr>
                <w:rFonts w:hint="eastAsia" w:ascii="宋体" w:hAnsi="宋体" w:eastAsia="宋体" w:cs="宋体"/>
                <w:sz w:val="21"/>
                <w:szCs w:val="21"/>
              </w:rPr>
              <w:br w:type="textWrapping"/>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自动增益控制：自动调节麦克风音量，适应远近拾音，提升在嘈杂环境下的拾音体验。</w:t>
            </w:r>
            <w:r>
              <w:rPr>
                <w:rFonts w:hint="eastAsia" w:ascii="宋体" w:hAnsi="宋体" w:eastAsia="宋体" w:cs="宋体"/>
                <w:sz w:val="21"/>
                <w:szCs w:val="21"/>
              </w:rPr>
              <w:br w:type="textWrapping"/>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视频画质：录播主机双向互动过程中，在3Mbps的网络带宽下可实现1920*1080P@25fps视频的播放。</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支持多种视频分辨率：QVGA、VGA、720p、1080p等。</w:t>
            </w:r>
            <w:r>
              <w:rPr>
                <w:rFonts w:hint="eastAsia" w:ascii="宋体" w:hAnsi="宋体" w:eastAsia="宋体" w:cs="宋体"/>
                <w:sz w:val="21"/>
                <w:szCs w:val="21"/>
              </w:rPr>
              <w:br w:type="textWrapping"/>
            </w: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系统具备前向纠错、丢包重传等功能，支持冗余数据（FEC）和重传策略（ARQ）的动态平衡，既保障宽带的充分利用，又可避免抢带宽造成的链路自身拥塞。</w:t>
            </w:r>
            <w:r>
              <w:rPr>
                <w:rFonts w:hint="eastAsia" w:ascii="宋体" w:hAnsi="宋体" w:eastAsia="宋体" w:cs="宋体"/>
                <w:sz w:val="21"/>
                <w:szCs w:val="21"/>
              </w:rPr>
              <w:br w:type="textWrapping"/>
            </w: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根据应用场景实现码率和帧率的智能调节，保障画质和流畅性的平衡效果。</w:t>
            </w:r>
            <w:r>
              <w:rPr>
                <w:rFonts w:hint="eastAsia" w:ascii="宋体" w:hAnsi="宋体" w:eastAsia="宋体" w:cs="宋体"/>
                <w:sz w:val="21"/>
                <w:szCs w:val="21"/>
              </w:rPr>
              <w:br w:type="textWrapping"/>
            </w: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抖动缓冲：在弱网环境下,系统能利用良好的抖动缓冲策略找到延时与流畅的最佳契合点。</w:t>
            </w:r>
            <w:r>
              <w:rPr>
                <w:rFonts w:hint="eastAsia" w:ascii="宋体" w:hAnsi="宋体" w:eastAsia="宋体" w:cs="宋体"/>
                <w:sz w:val="21"/>
                <w:szCs w:val="21"/>
              </w:rPr>
              <w:br w:type="textWrapping"/>
            </w: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Pr>
                <w:rFonts w:hint="eastAsia" w:ascii="宋体" w:hAnsi="宋体" w:eastAsia="宋体" w:cs="宋体"/>
                <w:sz w:val="21"/>
                <w:szCs w:val="21"/>
              </w:rPr>
              <w:br w:type="textWrapping"/>
            </w: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抗网络丢包率：录播主机双向互动过程中，在系统总丢包率30%的网络环境下，视频清晰，语音连贯。</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18、</w:t>
            </w:r>
            <w:r>
              <w:rPr>
                <w:rFonts w:hint="eastAsia" w:ascii="宋体" w:hAnsi="宋体" w:eastAsia="宋体" w:cs="宋体"/>
                <w:kern w:val="0"/>
                <w:sz w:val="21"/>
                <w:szCs w:val="21"/>
                <w:lang w:bidi="ar-SA"/>
              </w:rPr>
              <w:t>需提供</w:t>
            </w:r>
            <w:r>
              <w:rPr>
                <w:rFonts w:hint="eastAsia" w:ascii="宋体" w:hAnsi="宋体" w:eastAsia="宋体" w:cs="宋体"/>
                <w:kern w:val="0"/>
                <w:sz w:val="21"/>
                <w:szCs w:val="21"/>
                <w:lang w:eastAsia="zh-CN" w:bidi="ar-SA"/>
              </w:rPr>
              <w:t>符合以上</w:t>
            </w:r>
            <w:r>
              <w:rPr>
                <w:rFonts w:hint="eastAsia" w:ascii="宋体" w:hAnsi="宋体" w:eastAsia="宋体" w:cs="宋体"/>
                <w:kern w:val="0"/>
                <w:sz w:val="21"/>
                <w:szCs w:val="21"/>
                <w:lang w:val="en-US" w:eastAsia="zh-CN" w:bidi="ar-SA"/>
              </w:rPr>
              <w:t>1、3、5、11、17点</w:t>
            </w:r>
            <w:r>
              <w:rPr>
                <w:rFonts w:hint="eastAsia" w:ascii="宋体" w:hAnsi="宋体" w:eastAsia="宋体" w:cs="宋体"/>
                <w:kern w:val="0"/>
                <w:sz w:val="21"/>
                <w:szCs w:val="21"/>
                <w:lang w:eastAsia="zh-CN" w:bidi="ar-SA"/>
              </w:rPr>
              <w:t>参数要求的</w:t>
            </w:r>
            <w:r>
              <w:rPr>
                <w:rFonts w:hint="eastAsia" w:ascii="宋体" w:hAnsi="宋体" w:eastAsia="宋体" w:cs="宋体"/>
                <w:kern w:val="0"/>
                <w:sz w:val="21"/>
                <w:szCs w:val="21"/>
                <w:lang w:bidi="ar-SA"/>
              </w:rPr>
              <w:t>国家广播电视产品质量监督检验中心或国家电子计算机质量监督检验中心出具的检测报告复印件</w:t>
            </w:r>
            <w:r>
              <w:rPr>
                <w:rFonts w:hint="eastAsia" w:ascii="宋体" w:hAnsi="宋体" w:eastAsia="宋体" w:cs="宋体"/>
                <w:kern w:val="0"/>
                <w:sz w:val="21"/>
                <w:szCs w:val="21"/>
                <w:lang w:eastAsia="zh-CN" w:bidi="ar-SA"/>
              </w:rPr>
              <w:t>。</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1-5</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4K教师摄像机</w:t>
            </w:r>
          </w:p>
        </w:tc>
        <w:tc>
          <w:tcPr>
            <w:tcW w:w="6720" w:type="dxa"/>
            <w:shd w:val="clear" w:color="000000" w:fill="FFFFFF"/>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4K教师摄像机镜头水平视场角≥ 40°。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一体化集成设计，支持4K超高清，最大可提供4K@30fps图像编码输出，同时向下兼容1080p，720p等分辨率。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内置图像识别跟踪算法，无需物理转动，即可实现平滑自然的跟踪效果，避免干扰课堂教学。</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全景画面支持畸变矫正功能。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全景画面与特写画面必须采用相同图像传感器和图像处理器，确保两者图像输出亮度、颜色、风格等保持一致。</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整机接口:≥1路RJ45。</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支持POE有线网络供电，只需要1路网线，即可实现供电及信号传输，支持同时输出特写和全景等多路画面。</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传感器尺寸：≥CMOS 1/2.5英寸。</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传感器有效像素≥850万。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扫描方式：逐行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最低照度：0.5 Lux @（F2.8, AGC ON）。</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电子快门：1/30s ~ 1/10000s。</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支持自动白平衡。</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支持2D&amp;3D数字降噪，信噪比≥55dB。</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支持H.264、H.265视频编码格式。</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主码流分辨率：3840x2160, 1920x1080, 1280x720, 720x480，360x240。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辅码流分辨率：1920x1080, 1280x720, 720x480，360x240。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视频码率：128Kbps ~ 16384Kbps。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帧率：50Hz: 最大25fps； 60Hz: 最大30fps。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网络流传输协议：TCP, HTTP, UDP，RTSP, RTMP, ONVIF。</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输入电压：DC 12V/PoE（IEEE802.3af）。</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功耗：≤5W。</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净重：≤0.6kg。</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1-6</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4K学生摄像机</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4K学生摄像机镜头水平视场角≥ 80°。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一体化集成设计，支持4K超高清，最大可提供4K@30fps图像编码输出，同时向下兼容1080p，720p等分辨率。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内置图像识别跟踪算法，无需物理转动，即可实现平滑自然的跟踪效果，避免干扰课堂教学。</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全景画面支持畸变矫正功能。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全景画面与特写画面必须采用相同图像传感器和图像处理器，确保两者图像输出亮度、颜色、风格等保持一致。</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整机接口:≥1路RJ45。</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支持POE有线网络供电，只需要1路网线，即可实现供电及信号传输，支持同时输出特写和全景等多路画面。</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传感器尺寸：≥CMOS 1/2.5英寸。</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传感器有效像素≥850万。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扫描方式：逐行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最低照度：0.5 Lux @（F2.8, AGC ON）。</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电子快门：1/30s ~ 1/10000s。</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支持自动白平衡。</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支持2D&amp;3D数字降噪，信噪比≥55dB。</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支持H.264、H.265 视频编码格式;</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主码流分辨率：3840x2160, 1920x1080, 1280x720, 720x480，360x240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辅码流分辨率：1920x1080, 1280x720, 720x480，360x240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视频码率：128Kbps ~ 16384Kbps。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帧率：50Hz: 最大25fps； 60Hz: 最大30fps。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网络流传输协议：TCP, HTTP, UDP，RTSP, RTMP, ONVIF。</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输入电压：DC 12V/PoE（IEEE802.3af）。</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功耗：≤5W。</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净重：≤0.6kg。</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1-7</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全向拾音麦克风</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1)单体：背极式驻极体。</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2)指向性：全指向性。</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3)拾音半径：6米。</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4)输入电压：DC 12V。</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5)输入电流：0.5A±20%。</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6)功耗：≤5W。</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7)频率响应：40Hz-24KHz。</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8)灵敏度：-34dB ± 3dB (0dB = 1V / Pa at 1KHz)。</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9)输出阻抗：100Ω ± 10% (at 1kHz)。</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10)等效噪声级：≤13dB A (IEC 581-5)。</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11)最大声压级：110dB (THD ≤ 1.0％ at 1kHz)。</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12)支持级联，单组最大级联级数：4。</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13)上行数字口和下行数字口均采用DC12V供电。</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14)支持AEC（回声抑制）、AGC（自动增益）、ANS（噪音消除）。</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1-8</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耳戴式麦克风</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耳戴式麦克风将麦克风音频发射处理器、天线、电池、拾音麦克风高度集成在设备里，配合一体化有源音箱，帮助教师实现本地扩声功能。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麦克风和功放音箱之间采用数字U段传输技术，有效避免环境中2.4G信号干扰，例如蓝牙及WIFI设备。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采用智能红外对码方式，防止相邻教室互相串频，进入教室开机2S内即自动完成对码，无需繁琐的对码过程。</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麦克风支架长度8cm左右，麦克风距离嘴边距离3cm左右，保证拾音效果。</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设备采用轻量化设计，整机重量控制在15g之内，老师长时间佩戴舒适没有压力感。</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耳戴式佩戴方式，老师只需佩挂在耳上，无需手持，无需绕耳固定，不影响老师戴眼镜，轻松解放教师双手。同时耳塞部分采用透气式结构，不会堵塞声音穿透，不影响老师听清外界声音。</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照顾老师不同耳廓形状，配件中附带两种大小的耳塞，教师可自由选择。</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采用触点磁吸式充电方式，支持快速充电与超低功耗工作模式，课间充电10分钟，可以扩音80分钟。</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麦克风距离音箱最大有效工作距离≥10米，保证全教室覆盖。</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需配合同一品牌一体化有源音箱使用。</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1-9</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教学音箱</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采用功放与有源音箱一体化设计，内置麦克风无线接收模块，帮助教师实现多媒体扩音以及本地扩声功能。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双音箱有线连接，机箱采用塑胶材质，保护设备免受环境影响。</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输出额定功率: 2*15W，喇叭单元尺寸≥5寸。</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端口：220V电源接口*1、Line in*1、USB*1。</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麦克风和功放音箱之间采用数字U段传输技术，有效避免环境中2.4G信号干扰，例如蓝牙及WIFI设备。</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配置独立音频数字信号处理芯片，支持啸叫抑制功能。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支持教师扩声和输入音源叠加输出，可对接录播系统实现教师扩声音频的纯净采集，避免环境杂音干扰采集效果。</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为保证兼容性及稳定性，有源音箱需与交互智能平板、无线麦克风为同一品牌厂家。</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音箱具有CCC与SRRC资格认证，符合中国电子设备管理规定和技术标准。</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6</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1-10</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高清网络半球摄像机</w:t>
            </w:r>
          </w:p>
        </w:tc>
        <w:tc>
          <w:tcPr>
            <w:tcW w:w="6720" w:type="dxa"/>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1、采用不低于H.264视频压缩技术。</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2、 1/3英寸200万像素CMOS；镜头2.8mm，分辨率可达1920×1080，最大帧率≥25帧/秒。</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3、防水防尘等级不低于IP65。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4、电子彩转黑；支持红外功能。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5、自动白平衡，自动增益，自动电子快门，适用不同监控环境。</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6、支持双码流，可同时支持传输1080P和D1分辨率的视频流。</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7、支持图像翻转、镜像。</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8、内置拾音器；（提供公安部检测报告复印件，供货时进行原件核查）</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9、1路RJ45接口，1路同轴IP（非同轴模拟）接口。支持RJ45高清视频输出，支持同轴IP高清视频输出（非同轴模拟高清输出）；（提供公安部检测报告复印件，供货时进行原件核查）</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10、支持Mircro SD卡存储。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11、支持POE供电；支持MIC输入。</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12、内置WEB服务器，可通过ＩＥ浏览器观看图像并实现报警，录像及摄像机前端设置等，操作方便，界面友好。</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13、支持多种报警功能，移动侦测报警，Ｉ/Ｏ报警，磁盘报警，支持报警联动。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14、支持远程升级，一键恢复功能，操作简单。</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15、支持多级用户管理，权限自定义，安全性高。</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16、铝塑外壳，内部防雷防静电设计，可靠性高。</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17、内部三轴结构，方便摄像机角度调节。</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18、软硬件看门狗，故障自动恢复。</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w:t>
            </w:r>
          </w:p>
        </w:tc>
        <w:tc>
          <w:tcPr>
            <w:tcW w:w="720" w:type="dxa"/>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1-11</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互动显示屏</w:t>
            </w:r>
          </w:p>
        </w:tc>
        <w:tc>
          <w:tcPr>
            <w:tcW w:w="6720" w:type="dxa"/>
            <w:shd w:val="clear" w:color="auto" w:fill="auto"/>
            <w:noWrap w:val="0"/>
            <w:vAlign w:val="top"/>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尺寸：≧55寸，</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采用圆偏振光技术（自然光技术）：节能、护眼、提升画质，物理分辨率：1920*1080、屏显比例：16:9、响应速度：≤4ms、视角：H/V 178/178度、光源：LED、屏寿命：大于50000小时、声音系统：DDAS动态声谷 鹦鹉螺重低音智能环境校音系统、音效模式：DTS+，DDAS，杜比数字+、伴音输出功率：10W+10W、喇叭配置：10W+10W、机身输入接口：1路YPbPr/YCbCr、1路VGA+Audio、2路AV、2路HDMI、1路TV（RF）输入、2路USB3.0接口、1路  RJ45网络接口，机身输出接口：1路AV（CVBS+Audio）、1路SPDIF；</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系统参数：Android 4.2以上，CPU：:ARM Cortex A7, 1.2GHz四核 ，GPU：MILI 450，存储器：2GB，网络功能：10/100Mbps自适用以太网口，内置WiFi 802.11b/g/n，内置蓝光流媒体播放机：支持MPEG-1、MPEG-2、MPEG-4、H.264、RM、RMVB、MOV、MJPEG、TS、TRP格式视频；支持图片文件：支持3600万像素JPEG、BMP、PNG图片格式文件解析；支持音乐文件：MP3M4A、AAC（16K～48KHz采样率、32K～192Kbps波特率）格式音频文件、USB支持1T以上大硬盘，最高支持分辨率电脑分辨率：VGA1920*1080 YPbPr：1080P/60HZ、整机额定功率：≤130W、待机功耗：≤0.5W</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2-1</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智能准入平台</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 xml:space="preserve">一、 软件模块配置要求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 要求实现网络监控、自动生成拓扑、故障告警等功能，包含≥25个设备授权。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二、 平台基本要求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能够对网络、系统、主机、存储、应用、虚拟化等的统一监控管理（包括展现与操作）、统一告警管理；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为保障架构稳定型与数据互通性，软件产品及组件为自主研发统一产品，不得采用OEM第三方产品或组件；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系统支持部署到windows、linux平台，支持使用MS SQL、Oracle数据库，采用B/S架构。必须支持系统安装，卸载，数据同步备份、数据恢复的可视化界面；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支持基于任务的性能监控，可定制监控任务，长期监控被管对象的详细性能情况，按日报、周报、月报等报表呈现；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支持动态性能阈值，学习设备性能指标的历史数据（默认5周以上），动态自学习计算出设备该性能指标的最佳阈值，当性能指标偏离于学习到的最佳阈值时，平台产生性能告警通知运维人员；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系统支持灵活定制告警级别，并支持持续出现、重复发生以及超过规定处理时间仍未解决的告警，自动升级该告警的告警级别，支持重复告警过滤；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可发现和定位设备深度故障，可接收分析各类SNMP trap告警，完成格式的解析，并入库，系统预定义解析超过8000种的trap类型，例如光模块失效告警、硬件故障告警等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三、 技术参数要求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支持代理和免代理两种模式，可根据不同的场景选择不同的监控模式，必须支持两种模式同时使用；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支持agent程序远程推送安装升级、安装环境自检等；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可接收分析各类SNMP trap告警，完成基本格式的解析，并入库，系统预定义解析各类trap类型不小于8000条；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可提供网络设备仿真面板管理，可清晰展示设备的外观、板卡、端口。可通过不同的颜色标示端口通断状态。在设备面板上可对端口进行操作，例如查看端口详细信息、进行端口环回测试等；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设备软件智能升级。支持网络运行设备的软件版本查询功能，支持先备份后升级，保证一旦升级失败后可以恢复到原有设备软件版本，支持对整个升级过程的可靠性检查，如设备软件版本和设备是否配套，flash空间是否足够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自动发现拓扑：自动发现网络中的所有网络设备，并在拓扑中显示出来，支持拓扑图自定义修改，包括设备、链路等；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IP拓扑、自定义拓扑视图（支持网络区域的任意划分、命名、拖拽、折叠和展开）、全景拓扑等多种拓扑类型；拓扑支持多协议，包括Bridge、NDP、CDP、MSTP、STP、LLDP、DISMAN-PING等二层协议，支持聚合链路，支持第三方的设备；拓扑可融合链路状态、设备告警等多种信息。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四、 终端准入控制系统要求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配置≥2000个用户的准入控制license。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支持用户分权管理，操作员可以管理各自的用户群组和策略组，只有上级管理员才能管理全部的用户组和策略；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一体化客户端：使用同一个客户端实现网络准入、用户认证、终端安全状态检查、桌面资产管理等所有功能，避免多个客户端带来的管理不便；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准入控制：支持802.1x、Portal、L2TP IPSec VPN、无线等多种网络环境的身份认证，支持基于端口的802.1x和基于MAC地址的802.1x，可管理HUB或非智能交换机下的多个用户；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防病毒及补丁管理：支持与包括微软防病毒软件在内的主流防病毒软件联动，支持与微软WSUS/SCCM协同的自动补丁管理。与微软无缝集成，当用户安全认证时，自动检查、下载、安装补丁，实现操作系统补丁自动升级，提升系统易用性；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多元素绑定：支持用户名、密码与用户IP、MAC、VLAN、设备IP、设备端口、主机名、域用户、SSID等多种元素的绑定认证；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IP/MAC管理：支持IP分配策略控制和MAC地址变更检查，可实现一对多、多对多等绑定方式；支持自学习绑定方式，即用户第一次认证时自动获取其IP/MAC等绑定信息，不需要管理员人工输入；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黑白软件管理：支持对软件进行监控、对进程进行监控、支持对服务进行监控。支持纯白软件管理，终端用户只能安装该纯白软件列表中的软件，不能安装该纯白软件列表之外的软件。支持MD5方式进程检查，即使修改进程名也无法逃避检查；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9</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用户自助管理：可通过自助平台进行预注册申请，管理员审核后即可开通用户帐号，用户可以通过自助平台对自己的用户信息进行管理，如查询、修改和密码设置等；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10</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认证后信息管理：当接入用户认证通过后会自动弹出设置的提示信息，或者自动打开某个网页，或者自动运行某个程序；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11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访客管理：支持访客管理功能，对于临时来访的用户，访客管理员为其建立访客帐户，只可访问限定网络；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五、 承载硬件要求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 xml:space="preserve"> 单台配置要求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配置≥2颗4215(2.5GHz/8核/11MB/85W)CPU或者以上的处理器；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配置≥64GB DDR4内存；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配置≥2块960GB高性能SSD硬盘；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配置≥2块冗余支持热插拔的电源模块，电源功率不小于550W；支持6个风扇，支持N+1冗余；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配置≥4端口千兆电口网卡。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 技术参数要求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2U机架式，面板支持服务器部件，如风扇、内存等状态显示；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支持扩展RDIMM, LRDIMM类型的内存，最大可扩展内存3TB，DIMM内存插槽支持24个内存；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支持8个SFF SAS/SATA/SSD热插拔硬盘；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4</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GPU：支持≥3块双宽企业级GPU或 ≥8块单宽GPU卡；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5</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最大支持10个PCIe3.0插槽数，最大支持3个双宽GPU,提供官网截图和链接地址证明；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6</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支持配置PCIe防护模块，提供防火墙、IPS、防病毒和QoS等防护功能，须提供产品彩页证明，为防止虚假投标，保留测试权利； </w:t>
            </w:r>
            <w:r>
              <w:rPr>
                <w:rFonts w:hint="eastAsia" w:ascii="宋体" w:hAnsi="宋体" w:eastAsia="宋体" w:cs="宋体"/>
                <w:kern w:val="0"/>
                <w:sz w:val="21"/>
                <w:szCs w:val="21"/>
                <w:lang w:bidi="ar-SA"/>
              </w:rPr>
              <w:br w:type="textWrapping"/>
            </w:r>
            <w:r>
              <w:rPr>
                <w:rFonts w:hint="eastAsia" w:ascii="宋体" w:hAnsi="宋体" w:eastAsia="宋体" w:cs="宋体"/>
                <w:b/>
                <w:color w:val="auto"/>
                <w:sz w:val="21"/>
                <w:szCs w:val="21"/>
                <w:u w:val="none"/>
              </w:rPr>
              <w:t>▲</w:t>
            </w:r>
            <w:r>
              <w:rPr>
                <w:rFonts w:hint="eastAsia" w:ascii="宋体" w:hAnsi="宋体" w:eastAsia="宋体" w:cs="宋体"/>
                <w:kern w:val="0"/>
                <w:sz w:val="21"/>
                <w:szCs w:val="21"/>
                <w:lang w:bidi="ar-SA"/>
              </w:rPr>
              <w:t>7</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 xml:space="preserve"> 统一管理：配置统一管理软件，可在同一界面管理多台服务器，支持复制任意一台被管服务器的BIOS配置信息并部署到其他服务器；支持单台和批量设备固件升级、设备驱动升级，一键自动化升级本地固件和驱动；支持单台和批量安装操作系统、镜像管理；支持DHCP服务，可静态/动态分配IP地址；提供Web操作界面以及RESTful接口供第三方调用；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为保证软硬件完美兼容，所投产品软件及硬件需同一品牌。</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学生生物实验台</w:t>
            </w:r>
          </w:p>
        </w:tc>
        <w:tc>
          <w:tcPr>
            <w:tcW w:w="6720" w:type="dxa"/>
            <w:shd w:val="clear" w:color="000000" w:fill="FFFFFF"/>
            <w:noWrap w:val="0"/>
            <w:vAlign w:val="center"/>
          </w:tcPr>
          <w:p>
            <w:pPr>
              <w:keepNext w:val="0"/>
              <w:keepLines w:val="0"/>
              <w:pageBreakBefore w:val="0"/>
              <w:widowControl/>
              <w:numPr>
                <w:ilvl w:val="0"/>
                <w:numId w:val="7"/>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2800*600*780mm，</w:t>
            </w:r>
          </w:p>
          <w:p>
            <w:pPr>
              <w:keepNext w:val="0"/>
              <w:keepLines w:val="0"/>
              <w:pageBreakBefore w:val="0"/>
              <w:widowControl/>
              <w:numPr>
                <w:ilvl w:val="0"/>
                <w:numId w:val="7"/>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台面板材：一体化台面，采用 12.7mm厚实芯理化板成型制作。四周加厚至25.4mm厚，抗弯、易清洁、耐磨、耐辐射、耐高温、耐冲击、耐酸碱、耐腐蚀、防静电、防水、防火能，机械打磨,造型美观。</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台身：铝木框架结构，立柱直径50mm，横梁32*28mm，壁厚1.2mm铝合金，铝合金磷化后表面采用环氧树脂粉末喷涂，防腐耐用美观实用；预留有水槽、水嘴一整套、台身侧板、背板及吊板采用16±0.5mm厚优质环保三聚氰胺贴面板，所有板材外露端面采用高质量PVC封边条，利用机械封边机配以热溶胶高温封边，高密封性不吸水、不膨胀，外型美观、经久耐用。</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SA"/>
              </w:rPr>
              <w:t>脚垫：采用耐蚀注塑专用垫，可隐蔽固定，并且可以有效防潮，延长设备寿命。</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3-2</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化学实验准备台</w:t>
            </w:r>
          </w:p>
        </w:tc>
        <w:tc>
          <w:tcPr>
            <w:tcW w:w="6720" w:type="dxa"/>
            <w:shd w:val="clear" w:color="000000" w:fill="FFFFFF"/>
            <w:noWrap w:val="0"/>
            <w:vAlign w:val="center"/>
          </w:tcPr>
          <w:p>
            <w:pPr>
              <w:keepNext w:val="0"/>
              <w:keepLines w:val="0"/>
              <w:pageBreakBefore w:val="0"/>
              <w:widowControl/>
              <w:numPr>
                <w:ilvl w:val="0"/>
                <w:numId w:val="8"/>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约：</w:t>
            </w:r>
            <w:r>
              <w:rPr>
                <w:rFonts w:hint="eastAsia" w:ascii="宋体" w:hAnsi="宋体" w:eastAsia="宋体" w:cs="宋体"/>
                <w:kern w:val="0"/>
                <w:sz w:val="21"/>
                <w:szCs w:val="21"/>
                <w:lang w:bidi="ar-SA"/>
              </w:rPr>
              <w:t>2400*1100*850mm                                                        台</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面板材：一体化台面，采用 12.7mm厚实芯板成型制作。四周加厚至25.4mm厚，抗弯、易清洁、耐磨、耐辐射、耐高温、耐冲击、防水、防火能，机械打磨,造型美观。</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台身：铝木框架结构，立柱直径50mm，横梁32*28mm，壁厚1.2mm铝合金，铝合金磷化后表面采用环氧树脂粉末喷涂，防腐耐用美观实用；背板侧板及吊板采用16±0.5mm厚双贴面三聚氰胺板，所有板材外露端面采用高质量PVC封边条，利用机械封边机配以热溶胶高温封边，高密封性不吸水、不膨胀，外型美观、经久耐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SA"/>
              </w:rPr>
              <w:t>脚垫：采用特制模具ABS注塑脚垫，高度可调，可有效防止台身受潮，延长设备的使用寿命。</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3-3</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化学通风药品柜</w:t>
            </w:r>
          </w:p>
        </w:tc>
        <w:tc>
          <w:tcPr>
            <w:tcW w:w="6720" w:type="dxa"/>
            <w:shd w:val="clear" w:color="000000" w:fill="FFFFFF"/>
            <w:noWrap w:val="0"/>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约</w:t>
            </w:r>
            <w:r>
              <w:rPr>
                <w:rFonts w:hint="eastAsia" w:ascii="宋体" w:hAnsi="宋体" w:eastAsia="宋体" w:cs="宋体"/>
                <w:kern w:val="0"/>
                <w:sz w:val="21"/>
                <w:szCs w:val="21"/>
                <w:lang w:bidi="ar-SA"/>
              </w:rPr>
              <w:t>1000*500*2000mm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柜身：铝木结构，采用模具成型的专用铝合金方管制作，通过ABS专用连接件组装而成，保证连接牢固。前立柱、前横梁外径为27mm×38mm，后立柱、后横梁外径为38mm×38mm，铝合金管材的壁厚1.2 mm。铝合金型材带凹槽，凹槽的宽度与柜体衬板相匹配，凹槽的深度足够，保证柜体衬板与铝型材之间接缝严密，无晃动现象，不发生脱落。侧板、背板、层板采用16mm厚双贴面三聚氰胺板制作，所有板材外露端面采用高质量PVC封边条，利用机械封边机配以热溶胶高温封边，高密封性不吸水、不膨胀，外型美观、经久耐用。</w:t>
            </w:r>
          </w:p>
          <w:p>
            <w:pPr>
              <w:keepNext w:val="0"/>
              <w:keepLines w:val="0"/>
              <w:pageBreakBefore w:val="0"/>
              <w:widowControl/>
              <w:numPr>
                <w:ilvl w:val="0"/>
                <w:numId w:val="9"/>
              </w:numPr>
              <w:kinsoku/>
              <w:wordWrap/>
              <w:overflowPunct/>
              <w:topLinePunct w:val="0"/>
              <w:autoSpaceDE/>
              <w:autoSpaceDN/>
              <w:bidi w:val="0"/>
              <w:adjustRightInd w:val="0"/>
              <w:snapToGrid w:val="0"/>
              <w:spacing w:after="0"/>
              <w:ind w:left="0" w:leftChars="0" w:firstLine="0" w:firstLineChars="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结构：柜子上部双开拼接玻璃木门，内配有阶梯药品架；下部为双开木门，内设一层固定层板。</w:t>
            </w: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SA"/>
              </w:rPr>
              <w:t>脚垫：采用特制模具ABS注塑脚垫，高度可调，可有效防止台身受潮，延长设备的使用寿命。顶部带通风。</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3-4</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化学教师讲桌</w:t>
            </w:r>
          </w:p>
        </w:tc>
        <w:tc>
          <w:tcPr>
            <w:tcW w:w="6720" w:type="dxa"/>
            <w:shd w:val="clear" w:color="000000" w:fill="FFFFFF"/>
            <w:noWrap w:val="0"/>
            <w:vAlign w:val="center"/>
          </w:tcPr>
          <w:p>
            <w:pPr>
              <w:keepNext w:val="0"/>
              <w:keepLines w:val="0"/>
              <w:pageBreakBefore w:val="0"/>
              <w:widowControl/>
              <w:numPr>
                <w:ilvl w:val="0"/>
                <w:numId w:val="10"/>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约</w:t>
            </w:r>
            <w:r>
              <w:rPr>
                <w:rFonts w:hint="eastAsia" w:ascii="宋体" w:hAnsi="宋体" w:eastAsia="宋体" w:cs="宋体"/>
                <w:kern w:val="0"/>
                <w:sz w:val="21"/>
                <w:szCs w:val="21"/>
                <w:lang w:bidi="ar-SA"/>
              </w:rPr>
              <w:t xml:space="preserve">2800*700*850mm </w:t>
            </w:r>
          </w:p>
          <w:p>
            <w:pPr>
              <w:keepNext w:val="0"/>
              <w:keepLines w:val="0"/>
              <w:pageBreakBefore w:val="0"/>
              <w:widowControl/>
              <w:numPr>
                <w:ilvl w:val="0"/>
                <w:numId w:val="10"/>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台面板材：一体化台面，采用 12.7mm厚实芯理化板成型制作。四周加厚至25.4mm厚，抗弯、易清洁、耐磨、耐辐射、耐高温、耐冲击、耐酸碱、耐腐蚀、防静电、防水、防火能，机械打磨,造型美观。</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台身：铝木框架结构，立柱直径</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50mm，横梁</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32*28mm，壁厚</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1.2mm铝合金，铝合金磷化后表面采用环氧树脂粉末喷涂，防腐耐用美观实用；预留有水槽、水嘴一整套、电源总控台、多媒体位置等；台身主体背板及吊板采用16±0.5mm厚优质环保三聚氰胺贴面板，所有板材外露端面采用高质量PVC封边条，利用机械封边机配以热溶胶高温封边，高密封性不吸水、不膨胀，外型美观、经久耐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脚垫：采用耐蚀注塑专用垫，可隐蔽固定，并且可以有效防潮，延长设备寿命。</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3-5</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物理教师讲桌</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规格:2400*700*850mm，台  面：一体化台面，采用12.0mm厚抗倍特板，板精加工而成，经久耐用，造型美观，防静电、防火、耐磨、耐烟酌、抗污染等特点，台面颜色为密多里绿或湛蓝色可选。</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台身结构：铝合金框架结构,框架采用国标Ф50 mm±1.2mm 圆管为立腿，横管为32×28±1.2mm方管，铝合金型材的壁厚不小于1.0mm（±0.2 mm）。铝合金表面静电喷塑，连接件为ABS工程塑料连接件。铝合金型材带凹槽，凹槽的宽度、深度应与所采用的桌体板材相匹配，接缝严密，无晃动现象，桌架整体耐腐蚀、防火、防潮、稳固耐用；演示台预留有储藏柜、电源总控台抽屉、右边设有多媒体视频展台位置等；台身主体背板及吊板采用16mm厚优质双贴面三聚氰胺板；所有板材外露端面采用高质量PVC封边条，利用机械封边机配以热溶胶高温封边，高密封性不吸水、不膨胀，外型美观、经久耐用。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脚垫：采用特制模具ABS注塑脚垫，高度根据需要可调，可有效防止台身受潮，延长设备的使用寿命。</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仪器柜</w:t>
            </w:r>
          </w:p>
        </w:tc>
        <w:tc>
          <w:tcPr>
            <w:tcW w:w="6720" w:type="dxa"/>
            <w:shd w:val="clear" w:color="000000" w:fill="FFFFFF"/>
            <w:noWrap w:val="0"/>
            <w:vAlign w:val="center"/>
          </w:tcPr>
          <w:p>
            <w:pPr>
              <w:keepNext w:val="0"/>
              <w:keepLines w:val="0"/>
              <w:pageBreakBefore w:val="0"/>
              <w:widowControl/>
              <w:numPr>
                <w:ilvl w:val="0"/>
                <w:numId w:val="11"/>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约</w:t>
            </w:r>
            <w:r>
              <w:rPr>
                <w:rFonts w:hint="eastAsia" w:ascii="宋体" w:hAnsi="宋体" w:eastAsia="宋体" w:cs="宋体"/>
                <w:kern w:val="0"/>
                <w:sz w:val="21"/>
                <w:szCs w:val="21"/>
                <w:lang w:bidi="ar-SA"/>
              </w:rPr>
              <w:t xml:space="preserve">1050*500*2000mm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柜身：铝木结构，采用模具成型的专用铝合金方管制作，通过ABS专用连接件组装而成，保证连接牢固。前立柱、前横梁外径为27mm×38mm，后立柱、后横梁外径为38mm×38mm，铝合金管材的壁厚1.0mm。铝合金型材带凹槽，凹槽的宽度与柜体衬板相匹配，凹槽的深度足够，保证柜体衬板与铝型材之间接缝严密，无晃动现象，不发生脱落。侧板、背板、层板采用16mm厚双贴面三聚氰胺板制作，所有板材外露端面采用高质量PVC封边条，利用机械封边机配以热溶胶高温封边，高密封性不吸水、不膨胀，外型美观、经久耐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结构：柜正面为直线结构，外形美观、经久耐用；柜子上部为双开拼接式玻璃门，内设2层活动层板，下部为双开木门，内设1层固定层板。</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SA"/>
              </w:rPr>
              <w:t>脚垫：</w:t>
            </w:r>
            <w:r>
              <w:rPr>
                <w:rFonts w:hint="eastAsia" w:ascii="宋体" w:hAnsi="宋体" w:eastAsia="宋体" w:cs="宋体"/>
                <w:color w:val="C00000"/>
                <w:kern w:val="0"/>
                <w:sz w:val="21"/>
                <w:szCs w:val="21"/>
                <w:lang w:bidi="ar-SA"/>
              </w:rPr>
              <w:t>采用特制模具ABS注塑脚</w:t>
            </w:r>
            <w:r>
              <w:rPr>
                <w:rFonts w:hint="eastAsia" w:ascii="宋体" w:hAnsi="宋体" w:eastAsia="宋体" w:cs="宋体"/>
                <w:kern w:val="0"/>
                <w:sz w:val="21"/>
                <w:szCs w:val="21"/>
                <w:lang w:bidi="ar-SA"/>
              </w:rPr>
              <w:t>垫，高度可调，可有效防止台身受潮，延长设备 的使用寿命。</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14</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3-7</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抽湿机</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除湿量16L  风速高低两档可调，精华配置过滤网、负离子，安全配置水满报警、自动化霜</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3-8</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教室转椅</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规格约：600×450×850mm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升降结构：带气杆升降、气压升降最高可升至550-600mm。</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3-9</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创客中小学通用赛事套装</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(专业版)</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1、主控：UNO R3主控板,I/O传感器扩展板，Beetle控制器，beetle扩展板。</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2、编程软件：Ardublock，mixly，IDE，scratch。</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3、通信模块：蓝牙串口模块，USB to Serial 转串口，物联网模块。</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4、输入设备：自锁按钮模块，钢球倾角传感器，数字按钮，红外避障传感器，运动传感器，光线传感器，角度传感器，温度传感器,声音传感器，红外遥控器，红外接收模块，超声波传感器， ，温湿度传感器，防水温度传感器，输出设备：数字继电器，风扇，RGB LED模块，LED模块，金属9g舵机，金属齿轮减速电机,红外发射模块，蜂鸣器喇叭模块，灯带，无源音箱小喇叭 ，显示屏，机器人专用舵机。</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5、电子元器件：直插LED，直插电阻，2.54黑色双排长排针，三极管，无源蜂鸣器9mm，圆形扁平震动电机，面包板。</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6、电源配件等：USB数据线，4节5号电池盒，电源转接头-母头，电源转接头-公头，纽扣电池盒 3颗装, 双导铜箔胶带，铜芯电线，公母头杜邦线，母母头杜邦线，公公头杜邦线。</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7、工具：紧固件套装，胶枪带胶棒，美工刀，螺丝刀，电工胶带，尖嘴钳，剪刀，20cm刻度尺套装，双面胶，透明胶带，水彩笔12色一盒，铅笔，扎带，普通A4白纸，防护手套，资料U盘。</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3-10</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创客中小学通用赛事套装</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(基础版)</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主控部分:</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1、学习资料资源包（U盘）×1个：包含中小学创客挑战赛初级套件资料_V2.0配有：1.主控板；主控板-教育版；IO 传感器扩展板 V7.1；Beetle微型主控板；Beetle扩展板；2.电子元件部分传感器说明；3.软件相关：mixly；arduBlock、S4A、4Scratch、驱动补丁软件、驱动安装故障、arduino ide、等及有关创客相关使用软件及说明。</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2、主控板×1块：技术规格：控制器:ATmega328u4，工作品录:16 MHz，工作电压:5V，输入电压（推荐）:7-12V，数字IO口:23（其中D17是RX指示灯），PWM通道:7，模拟输入:12，具有1个xbee接口（Serial1），5V数字/模拟口最大允许电流:40 mA，3.3V 数字/模拟口最大允许电流:50 mA，5V最大输出电流：800mA，3.3V最大输出电流：500mA，Flash Memory:32 KB (ATmega32u4) of which 4 KB used by bootloader，SRAM: 2.5 KB (ATmega32u4)，EEPROM: 1 KB (ATmega32u4)。</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3、UNO R3-EDU主控板×1块，技术规格：电池输入电压 ： 7.0 V~12.0V，USB输入电压 ： 5.0V，直流电源：5V/3.3V直流外接电源输出，接口方式：2.54mm间距，支持Arduino IDE一键下载板子复位按钮，尺寸：68.5×53.3mm。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传感器扩展板×1块：把Arduino的端口扩展成3P接口，直插3P传感器模块。14个数字口（6个PWM口），6个模拟口。丰富的通信和存储模块接口。中部直插Xbee封装的蓝牙、WIFI和Xbee通信模块。旁边设置了普通蓝牙模块、APC和SD卡的扩展接口。外部电源扩展，为你的Arduino作品提供持久续航。扩展板角落接线柱为主控器和扩展板供电，中部接线柱为数字口上的舵机供电。5.5V的时候提供3.3V的供电，兼容更多3.3V的元件。传感器扩展板V7不断适应用户习惯，兼容Arduino的最新变化。兼容Arduino UNO，MGEA, DUE，3.3V/5V切换，具备I2C接口，支持XBEE,APC220通信模块和SD卡读写。</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5.控制器×1块：微控制器: ATmega32u4；时钟频率: 16 MHz；工作电压: 5V DC；数字口数量： 10个；PWM接口数量： 4个；模拟输入口数量： 5个；UART端口： 1组；I2C端口： 1组；Micro USB接口： 1个；电源端口：2组；Flash空间： 32 KB (4K已用于bootloader)；SRAM空间： 2.5 KB；EEPROM空间： 1 KB；物理尺寸： </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20mm*22mm*3.8mm。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6.主控器扩展板×1块：3个模拟口（A0，A1，A2)，3个数字口（D9，D10，D11)；保护电容，电源指示灯和开关；尺寸：</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36x28mm。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7.高品质 micro USB数据线×1条，技术参数：接口：Micro USB；扁平设计，方便携带不易打结；带卡扣便于存放；镀金接口及触点稳定耐用；长度：</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1.2M。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8.A-B 方口USB线×1条：一头扁口，一头方口，Arduino专用，1米。电子元器件:</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蓝牙串口模块×1块，蓝牙转换器×1块，数字继电器模块×1块，数字大按钮模块（黄色）×1块，数字食人鱼LED发光模块（R-G）×2块， LED模块 5050（送直插排针）×2块,，自锁按钮模块×1块，数字钢球倾角传感器×1块，数字红外信号发射模块×1块，红外数字避障传感器×1块，模拟角度传感器×1块，线性模拟温度传感器 ×1块，模拟环境光线传感器×1块，模拟声音传感器×1块，红外遥控套件×1块，带功放喇叭模块×1块，小舵机-塑料180度×1块，带接口金属齿轮减速电机×1套，微型双路直流电机驱动模块×1块，电机驱动扩展板×1块，3PI miniQ 小车橡胶轮×1块，数字传感器连接×(10根，模拟传感器连接线×10根，三轴加速度传感器×1块， OLED-2864 显示屏×1块， 电导开关模块×1块，彩色LED灯带×1套，音频录放模块×1套，无源音箱小喇叭×1套，130 直流电机风扇×1套，超声波测距模块×1块，无源蜂鸣器×1个，振动传感器×1个，圆形扁平震动电机×1个，三极管TO-92×5个，直插LED×15个，金属膜直插电阻×1包。</w:t>
            </w:r>
          </w:p>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辅助材料包：中型面包板 透明版×1块，4节5号电池盒×1个，公母头跳线 10根×1包，高品质面包线（30根-公公头）×1包，杜邦线(10根) 母母头×2包，电子线细线×1包，9V电池转换插头×1个，电源转接头 母头×2个，纽扣电池盒×1个，排针×1条，PVC电气绝缘胶带×1个，胶条胶纸细交带×1个，雪糕棒×2捆，学生套尺×1套，学生剪刀 ×1把，美工刀×1把，尖嘴钳×1把，一字十字手动两用螺丝刀×1把，双面导电铜箔胶带×1个，扭扭棒金葱毛条×1包，彩色丝带手工DIY彩带×1包，电工扎带×1包，珍珠针大号定型针插包×1盘，A4彩色瓦楞纸美工纸×1包，热熔胶枪×1把，热熔胶棒×1包，强力泡棉双面胶带×1个，可洗水彩笔×1盒，针线盒套装×1盒，超轻粘土×1包，铅笔×1支，基础焊接工具套装×1套，五金件套装×1套，仪器安全箱收纳箱：规格410×300×145mm工程PP料。</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3-11</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学生版3D打印机（含配套耗材）</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可自己组装成3D打印机也可自己改造为其他智能机械套件。</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运动系统:单轴机械臂结构</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装配结构:龙门式结构</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装配特色:模块化单轴组合</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固定基础：钢制机械孔位固定板</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成型尺寸:150*150*100mm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模型切片软件：pango</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智能功能：交互式打印支撑编辑系统，可实现打印复杂镂空作品并易于去除支撑，提供相关证明材料复印件加盖公章智能功能：内置3D数据模型库</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最小打印层数:0.05 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耗材直径:1.75mm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耗材类型:PLA</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喷嘴直径:0.4mm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定位精度:0.02(100mm以内）</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重复定位精度：0.05mm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供电:110-220v</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连接:SD卡</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支持系统:windows7</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操作显示屏：3.2寸触摸液晶显示屏</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包装尺寸:</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350*350*160mm</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净重:</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9KG</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供货状态：拼装散件供货                                                                                                                    含配套耗材:5卷，</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3-12</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航拍无人机</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飞行时间</w:t>
            </w:r>
            <w:r>
              <w:rPr>
                <w:rFonts w:hint="eastAsia" w:ascii="宋体" w:hAnsi="宋体" w:eastAsia="宋体" w:cs="宋体"/>
                <w:kern w:val="0"/>
                <w:sz w:val="21"/>
                <w:szCs w:val="21"/>
                <w:lang w:eastAsia="zh-CN" w:bidi="ar-SA"/>
              </w:rPr>
              <w:t>大于或等于</w:t>
            </w:r>
            <w:r>
              <w:rPr>
                <w:rFonts w:hint="eastAsia" w:ascii="宋体" w:hAnsi="宋体" w:eastAsia="宋体" w:cs="宋体"/>
                <w:kern w:val="0"/>
                <w:sz w:val="21"/>
                <w:szCs w:val="21"/>
                <w:lang w:bidi="ar-SA"/>
              </w:rPr>
              <w:t>33分钟，飞行续航</w:t>
            </w:r>
            <w:r>
              <w:rPr>
                <w:rFonts w:hint="eastAsia" w:ascii="宋体" w:hAnsi="宋体" w:eastAsia="宋体" w:cs="宋体"/>
                <w:kern w:val="0"/>
                <w:sz w:val="21"/>
                <w:szCs w:val="21"/>
                <w:lang w:eastAsia="zh-CN" w:bidi="ar-SA"/>
              </w:rPr>
              <w:t>大于或等于</w:t>
            </w:r>
            <w:r>
              <w:rPr>
                <w:rFonts w:hint="eastAsia" w:ascii="宋体" w:hAnsi="宋体" w:eastAsia="宋体" w:cs="宋体"/>
                <w:kern w:val="0"/>
                <w:sz w:val="21"/>
                <w:szCs w:val="21"/>
                <w:lang w:bidi="ar-SA"/>
              </w:rPr>
              <w:t>18.5公里。影像传感器为1/2英寸CMOS，有效像素1200万以及4800万</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3-13</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可编程无人机 </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21"/>
                <w:szCs w:val="21"/>
                <w:lang w:bidi="ar-SA"/>
              </w:rPr>
              <w:t>1、飞行器总重量≤90克，尺寸≤100×95×45 mm。</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2、飞行速度可设定，最大水平飞行速度≥25Km/h，飞行时长≥10分钟。</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3、飞行器配备红外传感器、气压计、前视及下视摄像头，支持录像拍照功能。摄像头最大分辨率≥2500×1900，支持720P高清录像，图传距离≥95m，支持一键全景拍照，电子防抖功能。</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4、飞行器支持智能飞行模式，具有手掌抛飞、全向翻滚、一键飞远、一键环绕等多种智能飞行功能。</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5、飞行器具有WIFI AP模块，支持与PC端、手机移动端及路由器等多种设备连接，同时连接指定路由器，通过PC编程同时控制多台飞行器进行多机编队任务。</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6、编程软件：scratch图形化编程、python编程控制、支持APP手机或平板上编程遥控飞行，模拟飞行器等功能，也可以编程控制坐标飞行、弧线飞行、实时获取多种传感器数据等功能。</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7、飞行器支持视觉识别配套任务卡，针对任务卡下达精准编程飞行指令。</w:t>
            </w:r>
            <w:r>
              <w:rPr>
                <w:rFonts w:hint="eastAsia" w:ascii="宋体" w:hAnsi="宋体" w:eastAsia="宋体" w:cs="宋体"/>
                <w:color w:val="000000"/>
                <w:kern w:val="0"/>
                <w:sz w:val="21"/>
                <w:szCs w:val="21"/>
                <w:lang w:bidi="ar-SA"/>
              </w:rPr>
              <w:br w:type="textWrapping"/>
            </w:r>
            <w:r>
              <w:rPr>
                <w:rFonts w:hint="eastAsia" w:ascii="宋体" w:hAnsi="宋体" w:eastAsia="宋体" w:cs="宋体"/>
                <w:color w:val="000000"/>
                <w:kern w:val="0"/>
                <w:sz w:val="21"/>
                <w:szCs w:val="21"/>
                <w:lang w:bidi="ar-SA"/>
              </w:rPr>
              <w:t>8、随机配件：每台无人机含一块电池、两套桨叶、一套桨叶保护罩、一根USB线及一套任务卡。</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3-14</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全自动电源稳压器</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输出容量：40KVA，相应速度：10%≤IS，过压保护值245±5V,输入电压;170V-270V,规格：</w:t>
            </w:r>
            <w:r>
              <w:rPr>
                <w:rFonts w:hint="eastAsia" w:ascii="宋体" w:hAnsi="宋体" w:eastAsia="宋体" w:cs="宋体"/>
                <w:kern w:val="0"/>
                <w:sz w:val="21"/>
                <w:szCs w:val="21"/>
                <w:lang w:eastAsia="zh-CN" w:bidi="ar-SA"/>
              </w:rPr>
              <w:t>约</w:t>
            </w:r>
            <w:r>
              <w:rPr>
                <w:rFonts w:hint="eastAsia" w:ascii="宋体" w:hAnsi="宋体" w:eastAsia="宋体" w:cs="宋体"/>
                <w:kern w:val="0"/>
                <w:sz w:val="21"/>
                <w:szCs w:val="21"/>
                <w:lang w:bidi="ar-SA"/>
              </w:rPr>
              <w:t>48×38×85cm</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3-15</w:t>
            </w:r>
          </w:p>
        </w:tc>
        <w:tc>
          <w:tcPr>
            <w:tcW w:w="87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激光雕刻机</w:t>
            </w:r>
          </w:p>
        </w:tc>
        <w:tc>
          <w:tcPr>
            <w:tcW w:w="6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1、专业化设计理念，针对不同行业用户量身定制，结构合理，外型美观大方，实用。</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2、稳定完善的设计理念，配备工业冷却系统，配有无水报警自动保护功能，提高了连续工作的稳定 性，安全性。完善的防尘，防污染设计，极大的提高了整机稳定性。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3、高精度模具铸造的型材组成高强度，高稳定的机械结构，数控运动平稳，速度快，精度高，长期运行不 用调整，雕刻精度不变。机体前后贯通的设计理念，可以方便前后通料，适合无限长工件加工。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4、采用飞行光路设计，结构独特，光路偏差小，稳定性高，调节方便。</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5、DSP控制：基于PC机PCI总线的上位控制单元，高速，稳定，抗干扰能力强。可选配USB控制及FlashDisk（u盘）脱机控制系统。   </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6、 激光电源：采用新型高压开关模式，PWM主控技术。</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w:t>
            </w:r>
          </w:p>
        </w:tc>
        <w:tc>
          <w:tcPr>
            <w:tcW w:w="720"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套</w:t>
            </w:r>
          </w:p>
        </w:tc>
      </w:tr>
    </w:tbl>
    <w:p>
      <w:pPr>
        <w:pStyle w:val="16"/>
        <w:jc w:val="both"/>
        <w:rPr>
          <w:rFonts w:hint="default" w:eastAsia="宋体"/>
          <w:b w:val="0"/>
          <w:bCs w:val="0"/>
          <w:color w:val="auto"/>
          <w:sz w:val="21"/>
          <w:szCs w:val="21"/>
          <w:lang w:val="en-US" w:eastAsia="zh-CN"/>
        </w:rPr>
      </w:pPr>
    </w:p>
    <w:p>
      <w:pPr>
        <w:pStyle w:val="16"/>
        <w:jc w:val="both"/>
        <w:rPr>
          <w:rFonts w:hint="default" w:eastAsia="宋体"/>
          <w:b w:val="0"/>
          <w:bCs w:val="0"/>
          <w:color w:val="auto"/>
          <w:sz w:val="21"/>
          <w:szCs w:val="21"/>
          <w:lang w:val="en-US" w:eastAsia="zh-CN"/>
        </w:rPr>
      </w:pPr>
    </w:p>
    <w:tbl>
      <w:tblPr>
        <w:tblStyle w:val="37"/>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9"/>
        <w:gridCol w:w="727"/>
        <w:gridCol w:w="6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8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为落实政府采购政策需满足的要求</w:t>
            </w:r>
          </w:p>
        </w:tc>
        <w:tc>
          <w:tcPr>
            <w:tcW w:w="6554"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具体见第二章“供应商须知”以及第四章“评审方法及评审标准”。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规范标准</w:t>
            </w:r>
          </w:p>
        </w:tc>
        <w:tc>
          <w:tcPr>
            <w:tcW w:w="6554"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采购标的需满足的质量、安全、技术规格、物理特性等</w:t>
            </w:r>
          </w:p>
        </w:tc>
        <w:tc>
          <w:tcPr>
            <w:tcW w:w="6554"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见本表“功能目标及技术指标”。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其他技术及服务要求</w:t>
            </w:r>
          </w:p>
        </w:tc>
        <w:tc>
          <w:tcPr>
            <w:tcW w:w="6554"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Theme="minorEastAsia" w:hAnsiTheme="minorEastAsia" w:eastAsiaTheme="minorEastAsia"/>
                <w:color w:val="auto"/>
              </w:rPr>
            </w:pPr>
            <w:r>
              <w:rPr>
                <w:rFonts w:hint="eastAsia" w:ascii="宋体" w:hAnsi="宋体" w:eastAsia="宋体" w:cs="宋体"/>
                <w:i w:val="0"/>
                <w:color w:val="auto"/>
                <w:sz w:val="20"/>
                <w:szCs w:val="20"/>
                <w:u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8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▲三、商务条款（不满足商务要求的竞标无效）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质保期</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hint="eastAsia" w:asciiTheme="minorEastAsia" w:hAnsiTheme="minorEastAsia" w:eastAsiaTheme="minorEastAsia"/>
                <w:color w:val="auto"/>
              </w:rPr>
            </w:pP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按国家有关产品“三包”规定执行“三包”，自货物验收合格之日起计算，产品质保期最短不少于1年。若厂家免费质保期超过此年限的，合同履行过程中按厂家规定执行。</w:t>
            </w:r>
          </w:p>
          <w:p>
            <w:pPr>
              <w:spacing w:after="0" w:line="400" w:lineRule="exact"/>
              <w:ind w:firstLine="440" w:firstLineChars="200"/>
              <w:rPr>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签订合同后3个工作日内必须出具货物来源合法且</w:t>
            </w:r>
            <w:r>
              <w:rPr>
                <w:rFonts w:hint="eastAsia" w:asciiTheme="minorEastAsia" w:hAnsiTheme="minorEastAsia" w:eastAsiaTheme="minorEastAsia"/>
                <w:color w:val="auto"/>
                <w:lang w:eastAsia="zh-CN"/>
              </w:rPr>
              <w:t>提供</w:t>
            </w:r>
            <w:r>
              <w:rPr>
                <w:rFonts w:hint="eastAsia" w:asciiTheme="minorEastAsia" w:hAnsiTheme="minorEastAsia" w:eastAsiaTheme="minorEastAsia"/>
                <w:color w:val="auto"/>
              </w:rPr>
              <w:t>售后服务的有效证明材料。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交货时间及地点</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1.交货时间：自签订合同之日起30日内(日历日)交付使用。</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2.交货地点：</w:t>
            </w:r>
            <w:r>
              <w:rPr>
                <w:rFonts w:hint="eastAsia" w:asciiTheme="minorEastAsia" w:hAnsiTheme="minorEastAsia" w:eastAsiaTheme="minorEastAsia"/>
                <w:color w:val="auto"/>
                <w:lang w:val="en-US" w:eastAsia="zh-CN"/>
              </w:rPr>
              <w:t>防城港市</w:t>
            </w:r>
            <w:r>
              <w:rPr>
                <w:rFonts w:hint="eastAsia" w:asciiTheme="minorEastAsia" w:hAnsiTheme="minorEastAsia" w:eastAsiaTheme="minorEastAsia"/>
                <w:color w:val="auto"/>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rPr>
              <w:t>售后服务要求</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负责免费送货上门。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付款条件</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lang w:eastAsia="zh-CN"/>
              </w:rPr>
              <w:t>本项目无</w:t>
            </w:r>
            <w:r>
              <w:rPr>
                <w:rFonts w:hint="eastAsia" w:asciiTheme="minorEastAsia" w:hAnsiTheme="minorEastAsia" w:eastAsiaTheme="minorEastAsia"/>
                <w:color w:val="auto"/>
                <w:lang w:val="en-US" w:eastAsia="zh-CN"/>
              </w:rPr>
              <w:t>预付款</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签订合同后</w:t>
            </w:r>
            <w:r>
              <w:rPr>
                <w:rFonts w:hint="eastAsia" w:asciiTheme="minorEastAsia" w:hAnsiTheme="minorEastAsia" w:eastAsiaTheme="minorEastAsia"/>
                <w:color w:val="auto"/>
              </w:rPr>
              <w:t>成交人将所有</w:t>
            </w:r>
            <w:r>
              <w:rPr>
                <w:rFonts w:hint="eastAsia" w:asciiTheme="minorEastAsia" w:hAnsiTheme="minorEastAsia" w:eastAsiaTheme="minorEastAsia"/>
                <w:color w:val="auto"/>
                <w:lang w:eastAsia="zh-CN"/>
              </w:rPr>
              <w:t>货物运送到采购人指定地点并验收合格</w:t>
            </w:r>
            <w:r>
              <w:rPr>
                <w:rFonts w:hint="eastAsia" w:asciiTheme="minorEastAsia" w:hAnsiTheme="minorEastAsia" w:eastAsiaTheme="minorEastAsia"/>
                <w:color w:val="auto"/>
              </w:rPr>
              <w:t>，由成交供应商出具总金额发票，采购人自收到发票之日起15个工作日内支付</w:t>
            </w:r>
            <w:r>
              <w:rPr>
                <w:rFonts w:hint="eastAsia" w:asciiTheme="minorEastAsia" w:hAnsiTheme="minorEastAsia" w:eastAsiaTheme="minorEastAsia"/>
                <w:color w:val="auto"/>
                <w:lang w:eastAsia="zh-CN"/>
              </w:rPr>
              <w:t>到</w:t>
            </w:r>
            <w:r>
              <w:rPr>
                <w:rFonts w:hint="eastAsia" w:asciiTheme="minorEastAsia" w:hAnsiTheme="minorEastAsia" w:eastAsiaTheme="minorEastAsia"/>
                <w:color w:val="auto"/>
              </w:rPr>
              <w:t>总货款的97%</w:t>
            </w:r>
            <w:r>
              <w:rPr>
                <w:rFonts w:asciiTheme="minorEastAsia" w:hAnsiTheme="minorEastAsia" w:eastAsiaTheme="minorEastAsia"/>
                <w:color w:val="auto"/>
              </w:rPr>
              <w:t>。</w:t>
            </w:r>
            <w:r>
              <w:rPr>
                <w:rFonts w:hint="eastAsia" w:asciiTheme="minorEastAsia" w:hAnsiTheme="minorEastAsia" w:eastAsiaTheme="minorEastAsia"/>
                <w:color w:val="auto"/>
              </w:rPr>
              <w:t>剩余合同总金额的3%为质保金，项目整体质保期满后5个工作日内采购人向成交人一次性付清（无息）。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竞标报价</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竞标报价中应包含货物、货物标准附件、备品备件、专用工具、设备安装辅材、施工辅材、包装、运输、装卸、保险、货到就位的各种费用以及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8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color w:val="auto"/>
              </w:rPr>
            </w:pPr>
            <w:r>
              <w:rPr>
                <w:rFonts w:hint="eastAsia" w:asciiTheme="minorEastAsia" w:hAnsiTheme="minorEastAsia" w:eastAsiaTheme="minorEastAsia"/>
                <w:b/>
                <w:color w:val="auto"/>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进口产品</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Theme="minorEastAsia" w:hAnsiTheme="minorEastAsia" w:eastAsiaTheme="minorEastAsia"/>
                <w:color w:val="auto"/>
              </w:rPr>
            </w:pPr>
            <w:r>
              <w:rPr>
                <w:rFonts w:hint="eastAsia" w:asciiTheme="minorEastAsia" w:hAnsiTheme="minorEastAsia" w:eastAsiaTheme="minorEastAsia"/>
                <w:color w:val="auto"/>
              </w:rPr>
              <w:t>是否接受进口产品：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sym w:font="Wingdings" w:char="F0FE"/>
            </w:r>
            <w:r>
              <w:rPr>
                <w:rFonts w:hint="eastAsia" w:asciiTheme="minorEastAsia" w:hAnsiTheme="minorEastAsia" w:eastAsiaTheme="minorEastAsia"/>
                <w:color w:val="auto"/>
              </w:rPr>
              <w:t>否，本项目所有采购货物均不接受进口产品。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□是，本项目第项货物接受进口产品，其余货物不接受进口产品。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□是，本项目所有采购货物均接受进口产品。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▲样品要求</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是否要求递交样品：</w:t>
            </w:r>
          </w:p>
          <w:p>
            <w:pPr>
              <w:spacing w:after="0" w:line="400" w:lineRule="exact"/>
              <w:ind w:firstLine="44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sym w:font="Wingdings" w:char="00FE"/>
            </w:r>
            <w:r>
              <w:rPr>
                <w:rFonts w:hint="eastAsia" w:cs="Times New Roman" w:asciiTheme="minorEastAsia" w:hAnsiTheme="minorEastAsia" w:eastAsiaTheme="minorEastAsia"/>
                <w:color w:val="auto"/>
                <w:kern w:val="2"/>
              </w:rPr>
              <w:t>否</w:t>
            </w:r>
          </w:p>
          <w:p>
            <w:pPr>
              <w:spacing w:after="0" w:line="400" w:lineRule="exact"/>
              <w:ind w:firstLine="440" w:firstLineChars="200"/>
              <w:rPr>
                <w:rFonts w:hint="eastAsia"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lang w:eastAsia="zh-CN"/>
              </w:rPr>
              <w:t>□</w:t>
            </w:r>
            <w:r>
              <w:rPr>
                <w:rFonts w:hint="eastAsia" w:cs="Times New Roman" w:asciiTheme="minorEastAsia" w:hAnsiTheme="minorEastAsia" w:eastAsiaTheme="minorEastAsia"/>
                <w:color w:val="auto"/>
                <w:kern w:val="2"/>
                <w:highlight w:val="none"/>
              </w:rPr>
              <w:t>是</w:t>
            </w:r>
          </w:p>
          <w:p>
            <w:pPr>
              <w:pStyle w:val="16"/>
              <w:numPr>
                <w:ilvl w:val="0"/>
                <w:numId w:val="0"/>
              </w:numPr>
              <w:jc w:val="left"/>
              <w:rPr>
                <w:rFonts w:hint="eastAsia"/>
                <w:color w:val="auto"/>
                <w:sz w:val="22"/>
                <w:szCs w:val="22"/>
                <w:highlight w:val="yellow"/>
                <w:lang w:val="en-US" w:eastAsia="zh-CN"/>
              </w:rPr>
            </w:pPr>
            <w:r>
              <w:rPr>
                <w:rFonts w:hint="eastAsia"/>
                <w:color w:val="auto"/>
                <w:sz w:val="22"/>
                <w:szCs w:val="22"/>
                <w:highlight w:val="none"/>
                <w:lang w:val="en-US" w:eastAsia="zh-CN"/>
              </w:rPr>
              <w:t>2、样品必须包装密封好并注明供应商名称及联系人，联系电话。</w:t>
            </w:r>
          </w:p>
          <w:p>
            <w:pPr>
              <w:spacing w:after="0" w:line="400" w:lineRule="exact"/>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3、样品需在提交响应文件截止时间前递交采购代理机构签收。</w:t>
            </w:r>
          </w:p>
          <w:p>
            <w:pPr>
              <w:spacing w:after="0" w:line="400" w:lineRule="exact"/>
              <w:ind w:firstLine="440" w:firstLineChars="200"/>
              <w:rPr>
                <w:rFonts w:hint="eastAsia" w:asciiTheme="minorEastAsia" w:hAnsiTheme="minorEastAsia" w:eastAsiaTheme="minorEastAsia"/>
                <w:color w:val="auto"/>
                <w:lang w:eastAsia="zh-CN"/>
              </w:rPr>
            </w:pPr>
            <w:r>
              <w:rPr>
                <w:rFonts w:hint="eastAsia" w:ascii="Times New Roman" w:hAnsi="Times New Roman" w:eastAsia="宋体" w:cs="Times New Roman"/>
                <w:color w:val="auto"/>
                <w:kern w:val="2"/>
                <w:sz w:val="22"/>
                <w:szCs w:val="22"/>
                <w:lang w:val="en-US" w:eastAsia="zh-CN" w:bidi="ar-SA"/>
              </w:rPr>
              <w:t>不满足样品评审要求的，竞标无效。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产品演示要求</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pStyle w:val="101"/>
              <w:spacing w:line="400" w:lineRule="exact"/>
              <w:jc w:val="both"/>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是否进行产品演示：</w:t>
            </w:r>
          </w:p>
          <w:p>
            <w:pPr>
              <w:pStyle w:val="101"/>
              <w:spacing w:line="400" w:lineRule="exact"/>
              <w:ind w:firstLine="440" w:firstLineChars="200"/>
              <w:jc w:val="both"/>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sym w:font="Wingdings" w:char="F0FE"/>
            </w:r>
            <w:r>
              <w:rPr>
                <w:rFonts w:hint="eastAsia" w:asciiTheme="minorEastAsia" w:hAnsiTheme="minorEastAsia" w:eastAsiaTheme="minorEastAsia"/>
                <w:color w:val="auto"/>
                <w:sz w:val="22"/>
                <w:szCs w:val="22"/>
              </w:rPr>
              <w:t>否，本项目所有采购货物均不进行产品演示。</w:t>
            </w:r>
          </w:p>
          <w:p>
            <w:pPr>
              <w:pStyle w:val="101"/>
              <w:spacing w:line="400" w:lineRule="exact"/>
              <w:ind w:firstLine="440" w:firstLineChars="200"/>
              <w:jc w:val="both"/>
              <w:rPr>
                <w:rFonts w:asciiTheme="minorEastAsia" w:hAnsiTheme="minorEastAsia" w:eastAsiaTheme="minorEastAsia"/>
                <w:color w:val="auto"/>
              </w:rPr>
            </w:pPr>
            <w:r>
              <w:rPr>
                <w:rFonts w:hint="eastAsia" w:cs="Wingdings 2" w:asciiTheme="minorEastAsia" w:hAnsiTheme="minorEastAsia" w:eastAsiaTheme="minorEastAsia"/>
                <w:color w:val="auto"/>
                <w:sz w:val="22"/>
                <w:szCs w:val="22"/>
              </w:rPr>
              <w:t>□</w:t>
            </w:r>
            <w:r>
              <w:rPr>
                <w:rFonts w:hint="eastAsia" w:asciiTheme="minorEastAsia" w:hAnsiTheme="minorEastAsia" w:eastAsiaTheme="minorEastAsia"/>
                <w:color w:val="auto"/>
                <w:sz w:val="22"/>
                <w:szCs w:val="22"/>
              </w:rPr>
              <w:t>是，本项目第**项**货物需进行产品演示，其余货物不需进行产品演示。演示要求如下：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核心产品</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“本</w:t>
            </w:r>
            <w:r>
              <w:rPr>
                <w:rFonts w:hint="eastAsia" w:asciiTheme="minorEastAsia" w:hAnsiTheme="minorEastAsia" w:eastAsiaTheme="minorEastAsia"/>
                <w:b/>
                <w:color w:val="auto"/>
                <w:highlight w:val="none"/>
                <w:lang w:eastAsia="zh-CN"/>
              </w:rPr>
              <w:t>项目</w:t>
            </w:r>
            <w:r>
              <w:rPr>
                <w:rFonts w:hint="eastAsia" w:asciiTheme="minorEastAsia" w:hAnsiTheme="minorEastAsia" w:eastAsiaTheme="minorEastAsia"/>
                <w:b/>
                <w:color w:val="auto"/>
                <w:highlight w:val="none"/>
              </w:rPr>
              <w:t>无核心产品要求。”</w:t>
            </w:r>
          </w:p>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备品备件及易损件</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highlight w:val="magenta"/>
              </w:rPr>
            </w:pPr>
            <w:r>
              <w:rPr>
                <w:rFonts w:hint="eastAsia" w:asciiTheme="minorEastAsia" w:hAnsiTheme="minorEastAsia" w:eastAsiaTheme="minorEastAsia"/>
                <w:color w:val="auto"/>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响应文件中列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▲其他</w:t>
            </w:r>
          </w:p>
        </w:tc>
        <w:tc>
          <w:tcPr>
            <w:tcW w:w="7281"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供应商响应文件中必须提供竞标产品的品牌和型号（注：如为定制、非标产品可不填写或第*项采购内容不用填写。）如不填写视为不满足。</w:t>
            </w:r>
          </w:p>
        </w:tc>
      </w:tr>
    </w:tbl>
    <w:p>
      <w:pPr>
        <w:spacing w:after="0" w:line="400" w:lineRule="exact"/>
        <w:ind w:firstLine="440" w:firstLineChars="200"/>
        <w:rPr>
          <w:rFonts w:asciiTheme="minorEastAsia" w:hAnsiTheme="minorEastAsia" w:eastAsiaTheme="minorEastAsia"/>
          <w:color w:val="auto"/>
        </w:rPr>
      </w:pPr>
    </w:p>
    <w:p>
      <w:pPr>
        <w:pStyle w:val="3"/>
        <w:spacing w:line="380" w:lineRule="exact"/>
        <w:jc w:val="both"/>
        <w:rPr>
          <w:rFonts w:hint="eastAsia" w:asciiTheme="minorEastAsia" w:hAnsiTheme="minorEastAsia" w:eastAsiaTheme="minorEastAsia"/>
          <w:color w:val="auto"/>
        </w:rPr>
      </w:pPr>
      <w:bookmarkStart w:id="76" w:name="_Toc246095462"/>
      <w:bookmarkStart w:id="77" w:name="_Toc246094918"/>
      <w:bookmarkStart w:id="78" w:name="_Toc246095524"/>
      <w:bookmarkStart w:id="79" w:name="_Toc7192552"/>
    </w:p>
    <w:p>
      <w:pPr>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2"/>
        <w:rPr>
          <w:rFonts w:hint="eastAsia" w:asciiTheme="minorEastAsia" w:hAnsiTheme="minorEastAsia" w:eastAsiaTheme="minorEastAsia"/>
          <w:color w:val="auto"/>
        </w:rPr>
      </w:pPr>
    </w:p>
    <w:p>
      <w:pPr>
        <w:pStyle w:val="3"/>
        <w:spacing w:line="380" w:lineRule="exact"/>
        <w:jc w:val="both"/>
        <w:rPr>
          <w:rFonts w:hint="eastAsia" w:asciiTheme="minorEastAsia" w:hAnsiTheme="minorEastAsia" w:eastAsiaTheme="minorEastAsia"/>
          <w:color w:val="auto"/>
        </w:rPr>
      </w:pPr>
    </w:p>
    <w:p>
      <w:pPr>
        <w:pStyle w:val="3"/>
        <w:spacing w:line="38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第四章  </w:t>
      </w:r>
      <w:bookmarkEnd w:id="76"/>
      <w:bookmarkEnd w:id="77"/>
      <w:bookmarkEnd w:id="78"/>
      <w:r>
        <w:rPr>
          <w:rFonts w:hint="eastAsia" w:asciiTheme="minorEastAsia" w:hAnsiTheme="minorEastAsia" w:eastAsiaTheme="minorEastAsia"/>
          <w:color w:val="auto"/>
        </w:rPr>
        <w:t>评审方法及评审标准</w:t>
      </w:r>
      <w:bookmarkEnd w:id="79"/>
    </w:p>
    <w:p>
      <w:pPr>
        <w:spacing w:after="0" w:line="400" w:lineRule="exact"/>
        <w:ind w:firstLine="482" w:firstLineChars="200"/>
        <w:outlineLvl w:val="1"/>
        <w:rPr>
          <w:rFonts w:cs="Arial" w:asciiTheme="minorEastAsia" w:hAnsiTheme="minorEastAsia" w:eastAsiaTheme="minorEastAsia"/>
          <w:b/>
          <w:bCs/>
          <w:color w:val="auto"/>
          <w:sz w:val="24"/>
        </w:rPr>
      </w:pPr>
      <w:bookmarkStart w:id="80" w:name="_Toc7192553"/>
      <w:r>
        <w:rPr>
          <w:rFonts w:hint="eastAsia" w:cs="Arial" w:asciiTheme="minorEastAsia" w:hAnsiTheme="minorEastAsia" w:eastAsiaTheme="minorEastAsia"/>
          <w:b/>
          <w:bCs/>
          <w:color w:val="auto"/>
          <w:sz w:val="24"/>
        </w:rPr>
        <w:t>一、评审原则</w:t>
      </w:r>
      <w:bookmarkEnd w:id="80"/>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color w:val="auto"/>
          <w:sz w:val="24"/>
        </w:rPr>
        <w:t>1．</w:t>
      </w:r>
      <w:r>
        <w:rPr>
          <w:rFonts w:hint="eastAsia" w:cs="Arial" w:asciiTheme="minorEastAsia" w:hAnsiTheme="minorEastAsia" w:eastAsiaTheme="minorEastAsia"/>
          <w:bCs/>
          <w:color w:val="auto"/>
          <w:sz w:val="24"/>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hint="eastAsia" w:cs="Arial" w:asciiTheme="minorEastAsia" w:hAnsiTheme="minorEastAsia" w:eastAsiaTheme="minorEastAsia"/>
          <w:bCs/>
          <w:color w:val="auto"/>
          <w:sz w:val="24"/>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color w:val="auto"/>
          <w:sz w:val="24"/>
        </w:rPr>
        <w:t>3．</w:t>
      </w:r>
      <w:r>
        <w:rPr>
          <w:rFonts w:hint="eastAsia" w:cs="Arial" w:asciiTheme="minorEastAsia" w:hAnsiTheme="minorEastAsia" w:eastAsiaTheme="minorEastAsia"/>
          <w:bCs/>
          <w:color w:val="auto"/>
          <w:sz w:val="24"/>
        </w:rPr>
        <w:t>评审方法：最低评标价法。</w:t>
      </w:r>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4．评审程序</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资格性检查；</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符合性检查；</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谈判；</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重新提交响应文件（如谈判文件有实质性变动或谈判后确定最终设计解决方案）；</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最后报价；</w:t>
      </w:r>
    </w:p>
    <w:p>
      <w:pPr>
        <w:widowControl w:val="0"/>
        <w:numPr>
          <w:ilvl w:val="0"/>
          <w:numId w:val="12"/>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推荐成交候选供应商名单。</w:t>
      </w:r>
    </w:p>
    <w:p>
      <w:pPr>
        <w:spacing w:after="0" w:line="400" w:lineRule="exact"/>
        <w:ind w:firstLine="482" w:firstLineChars="200"/>
        <w:outlineLvl w:val="1"/>
        <w:rPr>
          <w:rFonts w:cs="Arial" w:asciiTheme="minorEastAsia" w:hAnsiTheme="minorEastAsia" w:eastAsiaTheme="minorEastAsia"/>
          <w:b/>
          <w:bCs/>
          <w:color w:val="auto"/>
          <w:sz w:val="24"/>
        </w:rPr>
      </w:pPr>
      <w:bookmarkStart w:id="81" w:name="_Toc7192554"/>
      <w:r>
        <w:rPr>
          <w:rFonts w:hint="eastAsia" w:cs="Arial" w:asciiTheme="minorEastAsia" w:hAnsiTheme="minorEastAsia" w:eastAsiaTheme="minorEastAsia"/>
          <w:b/>
          <w:bCs/>
          <w:color w:val="auto"/>
          <w:sz w:val="24"/>
        </w:rPr>
        <w:t>二、评审标准</w:t>
      </w:r>
      <w:bookmarkEnd w:id="81"/>
    </w:p>
    <w:p>
      <w:pPr>
        <w:spacing w:after="0" w:line="400" w:lineRule="exact"/>
        <w:ind w:firstLine="482" w:firstLineChars="200"/>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1、资格性检查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由谈判小组对所有供应商的响应文件进行资格审查。以确定供应商是否具备竞标资格。资格性检查表如下，缺少任何一项或有任何一项不合格者，其资格性审查视为不合格。</w:t>
      </w:r>
    </w:p>
    <w:tbl>
      <w:tblPr>
        <w:tblStyle w:val="37"/>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审查法人或者其他组织的营业执照等证明文件、自然人的身份证明。须按以下要求提供，材料须有效。</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审查供应商2018年度</w:t>
            </w:r>
            <w:r>
              <w:rPr>
                <w:rFonts w:hint="eastAsia" w:cs="宋体" w:asciiTheme="minorEastAsia" w:hAnsiTheme="minorEastAsia" w:eastAsiaTheme="minorEastAsia"/>
                <w:color w:val="auto"/>
                <w:sz w:val="24"/>
                <w:szCs w:val="24"/>
                <w:lang w:eastAsia="zh-CN"/>
              </w:rPr>
              <w:t>或</w:t>
            </w:r>
            <w:r>
              <w:rPr>
                <w:rFonts w:hint="eastAsia" w:cs="宋体" w:asciiTheme="minorEastAsia" w:hAnsiTheme="minorEastAsia" w:eastAsiaTheme="minorEastAsia"/>
                <w:color w:val="auto"/>
                <w:sz w:val="24"/>
                <w:lang w:val="en-US" w:eastAsia="zh-CN"/>
              </w:rPr>
              <w:t>2019年度</w:t>
            </w:r>
            <w:r>
              <w:rPr>
                <w:rFonts w:hint="eastAsia" w:cs="宋体" w:asciiTheme="minorEastAsia" w:hAnsiTheme="minorEastAsia" w:eastAsiaTheme="minorEastAsia"/>
                <w:color w:val="auto"/>
                <w:sz w:val="24"/>
                <w:szCs w:val="24"/>
              </w:rPr>
              <w:t>经第三方审计的财务报表（账务报表至少包含资产负债表、利润表、现金流量表及其附注、加盖会计师事务所公章页）复印件</w:t>
            </w:r>
            <w:r>
              <w:rPr>
                <w:rFonts w:hint="eastAsia" w:cs="宋体" w:asciiTheme="minorEastAsia" w:hAnsiTheme="minorEastAsia" w:eastAsiaTheme="minorEastAsia"/>
                <w:color w:val="auto"/>
                <w:sz w:val="24"/>
              </w:rPr>
              <w:t>（新成立的公司提供公司成立日之后次月起到响应文件递交截止前一个月的财务报表复印件）</w:t>
            </w:r>
            <w:r>
              <w:rPr>
                <w:rFonts w:hint="eastAsia" w:cs="宋体" w:asciiTheme="minorEastAsia" w:hAnsiTheme="minorEastAsia" w:eastAsiaTheme="minorEastAsia"/>
                <w:color w:val="auto"/>
                <w:sz w:val="24"/>
                <w:szCs w:val="24"/>
              </w:rPr>
              <w:t>或供应商提交响应文件截止之日前三个月内其基本开户银行出具的银行资信证明</w:t>
            </w:r>
            <w:r>
              <w:rPr>
                <w:rFonts w:hint="eastAsia" w:cs="宋体" w:asciiTheme="minorEastAsia" w:hAnsiTheme="minorEastAsia" w:eastAsiaTheme="minorEastAsia"/>
                <w:color w:val="auto"/>
                <w:sz w:val="24"/>
              </w:rPr>
              <w:t>（仅提供银行出具的存款证明不能作为其银行资信证明）</w:t>
            </w:r>
            <w:r>
              <w:rPr>
                <w:rFonts w:hint="eastAsia" w:cs="宋体" w:asciiTheme="minorEastAsia" w:hAnsiTheme="minorEastAsia" w:eastAsiaTheme="minorEastAsia"/>
                <w:color w:val="auto"/>
                <w:sz w:val="24"/>
                <w:szCs w:val="24"/>
              </w:rPr>
              <w:t xml:space="preserve">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①审查提交响应文件截止之日前三个月内任意一个月的依法缴纳税费证明复印件</w:t>
            </w:r>
            <w:r>
              <w:rPr>
                <w:rFonts w:hint="eastAsia" w:cs="宋体" w:asciiTheme="minorEastAsia" w:hAnsiTheme="minorEastAsia" w:eastAsiaTheme="minorEastAsia"/>
                <w:color w:val="auto"/>
                <w:sz w:val="24"/>
              </w:rPr>
              <w:t>（新成立的且不足一个月的企业按实际提供）</w:t>
            </w:r>
            <w:r>
              <w:rPr>
                <w:rFonts w:hint="eastAsia" w:cs="宋体" w:asciiTheme="minorEastAsia" w:hAnsiTheme="minorEastAsia" w:eastAsiaTheme="minorEastAsia"/>
                <w:color w:val="auto"/>
                <w:sz w:val="24"/>
                <w:szCs w:val="24"/>
              </w:rPr>
              <w:t>。</w:t>
            </w:r>
          </w:p>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②审查提交响应文件截止之日前三个月内任意一个月的依法缴纳社会保险费证明记录复印件</w:t>
            </w:r>
            <w:r>
              <w:rPr>
                <w:rFonts w:hint="eastAsia" w:cs="宋体" w:asciiTheme="minorEastAsia" w:hAnsiTheme="minorEastAsia" w:eastAsiaTheme="minorEastAsia"/>
                <w:color w:val="auto"/>
                <w:sz w:val="24"/>
              </w:rPr>
              <w:t>（新成立的且不足一个月的企业按实际提供）</w:t>
            </w:r>
            <w:r>
              <w:rPr>
                <w:rFonts w:hint="eastAsia" w:cs="宋体" w:asciiTheme="minorEastAsia" w:hAnsiTheme="minorEastAsia" w:eastAsiaTheme="minorEastAsia"/>
                <w:color w:val="auto"/>
                <w:sz w:val="24"/>
                <w:szCs w:val="24"/>
              </w:rPr>
              <w:t>。</w:t>
            </w:r>
          </w:p>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审核要求：供应商未被列入失信被执行人、重大税收违法案件当事人名单、政府采购严重违法失信行为记录名单。</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B、审核内容：供应商在“信用中国”网站（www.creditchina.gov.cn）、中国政府采购网（www.ccgp.gov.cn）的主体信用记录</w:t>
            </w:r>
            <w:r>
              <w:rPr>
                <w:rFonts w:cs="宋体" w:asciiTheme="minorEastAsia" w:hAnsiTheme="minorEastAsia" w:eastAsiaTheme="minorEastAsia"/>
                <w:color w:val="auto"/>
                <w:sz w:val="24"/>
                <w:szCs w:val="24"/>
              </w:rPr>
              <w:t>查询结果或界面截图（</w:t>
            </w:r>
            <w:r>
              <w:rPr>
                <w:rFonts w:hint="eastAsia" w:cs="仿宋" w:asciiTheme="minorEastAsia" w:hAnsiTheme="minorEastAsia" w:eastAsiaTheme="minorEastAsia"/>
                <w:color w:val="auto"/>
                <w:sz w:val="24"/>
              </w:rPr>
              <w:t>由采购人或采购代理机构对供应商进行信用信息查询，并将查询结果提供给谈判小组</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①“信用中国”查询内容：失信被执行人、重大税收违法案件当事人名单、政府采购严重违法失信行为记录名单</w:t>
            </w:r>
            <w:r>
              <w:rPr>
                <w:rFonts w:cs="宋体" w:asciiTheme="minorEastAsia" w:hAnsiTheme="minorEastAsia" w:eastAsiaTheme="minorEastAsia"/>
                <w:color w:val="auto"/>
                <w:sz w:val="24"/>
                <w:szCs w:val="24"/>
              </w:rPr>
              <w:t>查询结果或界面截图</w:t>
            </w:r>
            <w:r>
              <w:rPr>
                <w:rFonts w:hint="eastAsia" w:cs="宋体" w:asciiTheme="minorEastAsia" w:hAnsiTheme="minorEastAsia" w:eastAsiaTheme="minorEastAsia"/>
                <w:color w:val="auto"/>
                <w:sz w:val="24"/>
                <w:szCs w:val="24"/>
              </w:rPr>
              <w:t>；查询或打印截止时点：</w:t>
            </w:r>
            <w:r>
              <w:rPr>
                <w:rFonts w:hint="eastAsia" w:cs="仿宋" w:asciiTheme="minorEastAsia" w:hAnsiTheme="minorEastAsia" w:eastAsiaTheme="minorEastAsia"/>
                <w:color w:val="auto"/>
                <w:sz w:val="24"/>
              </w:rPr>
              <w:t>递交响应文件截止时间</w:t>
            </w:r>
            <w:r>
              <w:rPr>
                <w:rFonts w:hint="eastAsia" w:cs="宋体" w:asciiTheme="minorEastAsia" w:hAnsiTheme="minorEastAsia" w:eastAsiaTheme="minorEastAsia"/>
                <w:color w:val="auto"/>
                <w:sz w:val="24"/>
                <w:szCs w:val="24"/>
              </w:rPr>
              <w:t>。</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②“中国政府采购网”的查询内容：政府采购严重违法失信行为信息记录</w:t>
            </w:r>
            <w:r>
              <w:rPr>
                <w:rFonts w:cs="宋体" w:asciiTheme="minorEastAsia" w:hAnsiTheme="minorEastAsia" w:eastAsiaTheme="minorEastAsia"/>
                <w:color w:val="auto"/>
                <w:sz w:val="24"/>
                <w:szCs w:val="24"/>
              </w:rPr>
              <w:t>（查询界面截图须显示</w:t>
            </w:r>
            <w:r>
              <w:rPr>
                <w:rFonts w:hint="eastAsia" w:cs="宋体" w:asciiTheme="minorEastAsia" w:hAnsiTheme="minorEastAsia" w:eastAsiaTheme="minorEastAsia"/>
                <w:color w:val="auto"/>
                <w:sz w:val="24"/>
                <w:szCs w:val="24"/>
              </w:rPr>
              <w:t>投标人</w:t>
            </w:r>
            <w:r>
              <w:rPr>
                <w:rFonts w:cs="宋体" w:asciiTheme="minorEastAsia" w:hAnsiTheme="minorEastAsia" w:eastAsiaTheme="minorEastAsia"/>
                <w:color w:val="auto"/>
                <w:sz w:val="24"/>
                <w:szCs w:val="24"/>
              </w:rPr>
              <w:t>名称以及查询结果）；查询时间：</w:t>
            </w:r>
            <w:r>
              <w:rPr>
                <w:rFonts w:hint="eastAsia" w:cs="仿宋" w:asciiTheme="minorEastAsia" w:hAnsiTheme="minorEastAsia" w:eastAsiaTheme="minorEastAsia"/>
                <w:color w:val="auto"/>
                <w:sz w:val="24"/>
              </w:rPr>
              <w:t>递交响应文件截止时间前</w:t>
            </w:r>
            <w:r>
              <w:rPr>
                <w:rFonts w:cs="仿宋" w:asciiTheme="minorEastAsia" w:hAnsiTheme="minorEastAsia" w:eastAsiaTheme="minorEastAsia"/>
                <w:color w:val="auto"/>
                <w:sz w:val="24"/>
              </w:rPr>
              <w:t>三年</w:t>
            </w:r>
            <w:r>
              <w:rPr>
                <w:rFonts w:hint="eastAsia" w:cs="仿宋" w:asciiTheme="minorEastAsia" w:hAnsiTheme="minorEastAsia" w:eastAsiaTheme="minorEastAsia"/>
                <w:color w:val="auto"/>
                <w:sz w:val="24"/>
              </w:rPr>
              <w:t>内</w:t>
            </w:r>
            <w:r>
              <w:rPr>
                <w:rFonts w:cs="宋体" w:asciiTheme="minorEastAsia" w:hAnsiTheme="minorEastAsia" w:eastAsiaTheme="minorEastAsia"/>
                <w:color w:val="auto"/>
                <w:sz w:val="24"/>
                <w:szCs w:val="24"/>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须符合“供应商须知前附表”3.1的要求</w:t>
            </w:r>
          </w:p>
        </w:tc>
      </w:tr>
    </w:tbl>
    <w:p>
      <w:pPr>
        <w:spacing w:after="0" w:line="400" w:lineRule="exact"/>
        <w:ind w:firstLine="480" w:firstLineChars="200"/>
        <w:rPr>
          <w:rFonts w:cs="Arial" w:asciiTheme="minorEastAsia" w:hAnsiTheme="minorEastAsia" w:eastAsiaTheme="minorEastAsia"/>
          <w:color w:val="auto"/>
          <w:sz w:val="24"/>
        </w:rPr>
      </w:pPr>
    </w:p>
    <w:p>
      <w:pPr>
        <w:spacing w:after="0" w:line="400" w:lineRule="exact"/>
        <w:ind w:firstLine="482" w:firstLineChars="200"/>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 xml:space="preserve">2、符合性检查 </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7"/>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响应文件不得含有招标不能接受的附加条件。</w:t>
            </w:r>
          </w:p>
        </w:tc>
      </w:tr>
      <w:tr>
        <w:tblPrEx>
          <w:tblCellMar>
            <w:top w:w="0" w:type="dxa"/>
            <w:left w:w="108" w:type="dxa"/>
            <w:bottom w:w="0" w:type="dxa"/>
            <w:right w:w="108" w:type="dxa"/>
          </w:tblCellMar>
        </w:tblPrEx>
        <w:trPr>
          <w:trHeight w:val="67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完整性审查</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非“▲”号要求或技术指标发生负偏离或不响应达到“项目采购需求和说明”规定的项数的，竞标无效。</w:t>
            </w:r>
          </w:p>
        </w:tc>
      </w:tr>
      <w:tr>
        <w:tblPrEx>
          <w:tblCellMar>
            <w:top w:w="0" w:type="dxa"/>
            <w:left w:w="108" w:type="dxa"/>
            <w:bottom w:w="0" w:type="dxa"/>
            <w:right w:w="108" w:type="dxa"/>
          </w:tblCellMar>
        </w:tblPrEx>
        <w:trPr>
          <w:trHeight w:val="609"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样品</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不满足样品</w:t>
            </w:r>
            <w:r>
              <w:rPr>
                <w:rFonts w:hint="eastAsia" w:cs="Arial" w:asciiTheme="minorEastAsia" w:hAnsiTheme="minorEastAsia" w:eastAsiaTheme="minorEastAsia"/>
                <w:color w:val="auto"/>
                <w:sz w:val="24"/>
                <w:lang w:eastAsia="zh-CN"/>
              </w:rPr>
              <w:t>要求</w:t>
            </w:r>
            <w:r>
              <w:rPr>
                <w:rFonts w:hint="eastAsia" w:cs="Arial" w:asciiTheme="minorEastAsia" w:hAnsiTheme="minorEastAsia" w:eastAsiaTheme="minorEastAsia"/>
                <w:color w:val="auto"/>
                <w:sz w:val="24"/>
              </w:rPr>
              <w:t>的评审标准，竞标无效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751"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both"/>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both"/>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    满足采购文件规定并在第六章“响应文件格式”谈判书做出响应的。</w:t>
            </w:r>
          </w:p>
        </w:tc>
      </w:tr>
    </w:tbl>
    <w:p>
      <w:pPr>
        <w:spacing w:after="0" w:line="400" w:lineRule="exact"/>
        <w:ind w:firstLine="241" w:firstLineChars="100"/>
        <w:rPr>
          <w:rFonts w:hint="eastAsia" w:cs="Arial" w:asciiTheme="minorEastAsia" w:hAnsiTheme="minorEastAsia" w:eastAsiaTheme="minorEastAsia"/>
          <w:b/>
          <w:color w:val="auto"/>
          <w:sz w:val="24"/>
        </w:rPr>
      </w:pPr>
    </w:p>
    <w:p>
      <w:pPr>
        <w:spacing w:after="0" w:line="400" w:lineRule="exact"/>
        <w:ind w:firstLine="241" w:firstLineChars="100"/>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3、详细评审</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谈判小组按谈判文件规定的程序与供应商进行谈判。对实质性响应谈判文件的供应商最后报价进行评审。</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（1）谈判小组将依照本谈判文件相关规定对质量和服务均能满足竞争性谈判实质性要求的供应商所提交的最后报价进行政策性扣除，即</w:t>
      </w:r>
      <w:r>
        <w:rPr>
          <w:rFonts w:hint="eastAsia" w:cs="Arial" w:asciiTheme="minorEastAsia" w:hAnsiTheme="minorEastAsia" w:eastAsiaTheme="minorEastAsia"/>
          <w:color w:val="auto"/>
          <w:sz w:val="24"/>
          <w:u w:val="single"/>
        </w:rPr>
        <w:t>评标价=最后报价×（1—小型和微型企业政策性扣除）</w:t>
      </w:r>
      <w:r>
        <w:rPr>
          <w:rFonts w:hint="eastAsia" w:cs="Arial" w:asciiTheme="minorEastAsia" w:hAnsiTheme="minorEastAsia" w:eastAsiaTheme="minorEastAsia"/>
          <w:color w:val="auto"/>
          <w:sz w:val="24"/>
        </w:rPr>
        <w:t>。依据</w:t>
      </w:r>
      <w:r>
        <w:rPr>
          <w:rFonts w:hint="eastAsia" w:cs="Arial" w:asciiTheme="minorEastAsia" w:hAnsiTheme="minorEastAsia" w:eastAsiaTheme="minorEastAsia"/>
          <w:color w:val="auto"/>
          <w:sz w:val="24"/>
          <w:u w:val="single"/>
        </w:rPr>
        <w:t>评标价</w:t>
      </w:r>
      <w:r>
        <w:rPr>
          <w:rFonts w:hint="eastAsia" w:cs="Arial" w:asciiTheme="minorEastAsia" w:hAnsiTheme="minorEastAsia" w:eastAsiaTheme="minorEastAsia"/>
          <w:color w:val="auto"/>
          <w:sz w:val="24"/>
        </w:rPr>
        <w:t>按照由低到高的顺序提出3名以上成交候选人，并编写评审报告。</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（2）小型和微型企业最终报价扣除计算</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①按照《政府采购促进中小企业发展暂行办法》（财库[2011]181号），对小型和微型企业产品的最后报价给予6%的扣除，扣除后的价格为评标报价，即评标报价=最终报价×（1-6%）；大中型企业与小型、微型企业组成联合体竞标，其中小型、微型企业的协议合同金额占到联合体协议合同总金额30%以上的，联合体最终报价给予2%的扣除，扣除后的价格为评标报价，即评标报价=最终报价×（1-2%）。</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②按照《财政部、司法部关于政府采购支持监狱企业发展有关问题的通知》（财库〔2014〕68号）之规定，监狱企业视同小型、微型企业，享受预留份额、评审中价格扣除等政府采购政策。</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除上述情况外，评标价=最后报价</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w:t>
      </w:r>
      <w:r>
        <w:rPr>
          <w:rFonts w:cs="Arial" w:asciiTheme="minorEastAsia" w:hAnsiTheme="minorEastAsia" w:eastAsiaTheme="minorEastAsia"/>
          <w:color w:val="auto"/>
          <w:sz w:val="24"/>
        </w:rPr>
        <w:t>3</w:t>
      </w:r>
      <w:r>
        <w:rPr>
          <w:rFonts w:hint="eastAsia" w:cs="Arial" w:asciiTheme="minorEastAsia" w:hAnsiTheme="minorEastAsia" w:eastAsiaTheme="minorEastAsia"/>
          <w:color w:val="auto"/>
          <w:sz w:val="24"/>
        </w:rPr>
        <w:t>）</w:t>
      </w:r>
      <w:r>
        <w:rPr>
          <w:rFonts w:cs="Arial" w:asciiTheme="minorEastAsia" w:hAnsiTheme="minorEastAsia" w:eastAsiaTheme="minorEastAsia"/>
          <w:color w:val="auto"/>
          <w:sz w:val="24"/>
        </w:rPr>
        <w:t>谈判小组从质量和服务均能满足</w:t>
      </w:r>
      <w:r>
        <w:rPr>
          <w:rFonts w:hint="eastAsia" w:cs="Arial" w:asciiTheme="minorEastAsia" w:hAnsiTheme="minorEastAsia" w:eastAsiaTheme="minorEastAsia"/>
          <w:color w:val="auto"/>
          <w:sz w:val="24"/>
        </w:rPr>
        <w:t>谈判</w:t>
      </w:r>
      <w:r>
        <w:rPr>
          <w:rFonts w:cs="Arial" w:asciiTheme="minorEastAsia" w:hAnsiTheme="minorEastAsia" w:eastAsiaTheme="minorEastAsia"/>
          <w:color w:val="auto"/>
          <w:sz w:val="24"/>
        </w:rPr>
        <w:t>文件实质性响应要求的</w:t>
      </w:r>
      <w:r>
        <w:rPr>
          <w:rFonts w:hint="eastAsia" w:cs="Arial" w:asciiTheme="minorEastAsia" w:hAnsiTheme="minorEastAsia" w:eastAsiaTheme="minorEastAsia"/>
          <w:color w:val="auto"/>
          <w:sz w:val="24"/>
        </w:rPr>
        <w:t>供应商</w:t>
      </w:r>
      <w:r>
        <w:rPr>
          <w:rFonts w:cs="Arial" w:asciiTheme="minorEastAsia" w:hAnsiTheme="minorEastAsia" w:eastAsiaTheme="minorEastAsia"/>
          <w:color w:val="auto"/>
          <w:sz w:val="24"/>
        </w:rPr>
        <w:t>中，按照</w:t>
      </w:r>
      <w:r>
        <w:rPr>
          <w:rFonts w:hint="eastAsia" w:cs="Arial" w:asciiTheme="minorEastAsia" w:hAnsiTheme="minorEastAsia" w:eastAsiaTheme="minorEastAsia"/>
          <w:color w:val="auto"/>
          <w:sz w:val="24"/>
        </w:rPr>
        <w:t>最后评标价</w:t>
      </w:r>
      <w:r>
        <w:rPr>
          <w:rFonts w:cs="Arial" w:asciiTheme="minorEastAsia" w:hAnsiTheme="minorEastAsia" w:eastAsiaTheme="minorEastAsia"/>
          <w:color w:val="auto"/>
          <w:sz w:val="24"/>
        </w:rPr>
        <w:t>由低到高的顺序提出3名以上成交候选人</w:t>
      </w:r>
      <w:r>
        <w:rPr>
          <w:rFonts w:hint="eastAsia" w:cs="Arial" w:asciiTheme="minorEastAsia" w:hAnsiTheme="minorEastAsia" w:eastAsiaTheme="minorEastAsia"/>
          <w:color w:val="auto"/>
          <w:sz w:val="24"/>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w:t>
      </w:r>
      <w:r>
        <w:rPr>
          <w:rFonts w:cs="Arial" w:asciiTheme="minorEastAsia" w:hAnsiTheme="minorEastAsia" w:eastAsiaTheme="minorEastAsia"/>
          <w:color w:val="auto"/>
          <w:sz w:val="24"/>
        </w:rPr>
        <w:t>4</w:t>
      </w:r>
      <w:r>
        <w:rPr>
          <w:rFonts w:hint="eastAsia" w:cs="Arial" w:asciiTheme="minorEastAsia" w:hAnsiTheme="minorEastAsia" w:eastAsiaTheme="minorEastAsia"/>
          <w:color w:val="auto"/>
          <w:sz w:val="24"/>
        </w:rPr>
        <w:t>）成交价格=成交供应商的最后报价。</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）谈判小组完成评标后，向采购人提交书面评审报告。</w:t>
      </w:r>
    </w:p>
    <w:p>
      <w:pPr>
        <w:spacing w:after="0" w:line="400" w:lineRule="exact"/>
        <w:ind w:firstLine="482" w:firstLineChars="200"/>
        <w:outlineLvl w:val="1"/>
        <w:rPr>
          <w:rFonts w:cs="Arial" w:asciiTheme="minorEastAsia" w:hAnsiTheme="minorEastAsia" w:eastAsiaTheme="minorEastAsia"/>
          <w:b/>
          <w:bCs/>
          <w:color w:val="auto"/>
          <w:sz w:val="24"/>
        </w:rPr>
      </w:pPr>
      <w:bookmarkStart w:id="82" w:name="_Toc7192555"/>
      <w:r>
        <w:rPr>
          <w:rFonts w:hint="eastAsia" w:cs="Arial" w:asciiTheme="minorEastAsia" w:hAnsiTheme="minorEastAsia" w:eastAsiaTheme="minorEastAsia"/>
          <w:b/>
          <w:bCs/>
          <w:color w:val="auto"/>
          <w:sz w:val="24"/>
        </w:rPr>
        <w:t>三、确定成交供应商</w:t>
      </w:r>
      <w:bookmarkEnd w:id="82"/>
    </w:p>
    <w:p>
      <w:pPr>
        <w:pStyle w:val="20"/>
        <w:tabs>
          <w:tab w:val="left" w:pos="4214"/>
        </w:tabs>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1、采购人应当确定谈判小组推荐排名第一的供应商为成交供应商。</w:t>
      </w:r>
    </w:p>
    <w:p>
      <w:pPr>
        <w:pStyle w:val="20"/>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bookmarkStart w:id="83" w:name="_Toc430011367"/>
      <w:r>
        <w:rPr>
          <w:rFonts w:hint="eastAsia" w:asciiTheme="minorEastAsia" w:hAnsiTheme="minorEastAsia" w:eastAsiaTheme="minorEastAsia"/>
          <w:color w:val="auto"/>
          <w:sz w:val="24"/>
          <w:szCs w:val="24"/>
        </w:rPr>
        <w:t>如排名第一的成交候选人拒绝与采购人签订合同的，采购人按“供应商须知”第31.3款处理。</w:t>
      </w:r>
    </w:p>
    <w:bookmarkEnd w:id="83"/>
    <w:p>
      <w:pPr>
        <w:rPr>
          <w:rFonts w:asciiTheme="minorEastAsia" w:hAnsiTheme="minorEastAsia" w:eastAsiaTheme="minorEastAsia"/>
          <w:color w:val="auto"/>
        </w:rPr>
        <w:sectPr>
          <w:pgSz w:w="11907" w:h="16840"/>
          <w:pgMar w:top="1077" w:right="1275" w:bottom="1418" w:left="1077" w:header="624" w:footer="737" w:gutter="0"/>
          <w:cols w:space="720" w:num="1"/>
          <w:docGrid w:linePitch="312" w:charSpace="0"/>
        </w:sectPr>
      </w:pPr>
      <w:bookmarkStart w:id="84" w:name="_Toc246095525"/>
      <w:bookmarkStart w:id="85" w:name="_Toc246095463"/>
      <w:bookmarkStart w:id="86" w:name="_Toc246094919"/>
    </w:p>
    <w:p>
      <w:pPr>
        <w:pStyle w:val="3"/>
        <w:jc w:val="center"/>
        <w:rPr>
          <w:rFonts w:asciiTheme="minorEastAsia" w:hAnsiTheme="minorEastAsia" w:eastAsiaTheme="minorEastAsia"/>
          <w:color w:val="auto"/>
        </w:rPr>
      </w:pPr>
      <w:bookmarkStart w:id="87" w:name="_Toc7192556"/>
      <w:r>
        <w:rPr>
          <w:rFonts w:hint="eastAsia" w:asciiTheme="minorEastAsia" w:hAnsiTheme="minorEastAsia" w:eastAsiaTheme="minorEastAsia"/>
          <w:color w:val="auto"/>
        </w:rPr>
        <w:t>第五章  合同条款</w:t>
      </w:r>
      <w:bookmarkEnd w:id="84"/>
      <w:bookmarkEnd w:id="85"/>
      <w:bookmarkEnd w:id="86"/>
      <w:bookmarkEnd w:id="87"/>
    </w:p>
    <w:p>
      <w:pPr>
        <w:spacing w:line="500" w:lineRule="exac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《广西壮族自治区政府采购合同》</w:t>
      </w:r>
    </w:p>
    <w:p>
      <w:pPr>
        <w:spacing w:line="500" w:lineRule="exact"/>
        <w:jc w:val="center"/>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合同编号：</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采购人（甲方）  采 购 计 划 号</w:t>
      </w:r>
    </w:p>
    <w:p>
      <w:pPr>
        <w:spacing w:after="0" w:line="4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供 应 商（乙方）</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项目编号：</w:t>
      </w:r>
    </w:p>
    <w:p>
      <w:pPr>
        <w:spacing w:after="0" w:line="4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签订地点：</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签订时间：</w:t>
      </w:r>
    </w:p>
    <w:p>
      <w:pPr>
        <w:spacing w:line="500" w:lineRule="exact"/>
        <w:rPr>
          <w:rFonts w:asciiTheme="minorEastAsia" w:hAnsiTheme="minorEastAsia" w:eastAsiaTheme="minorEastAsia"/>
          <w:color w:val="auto"/>
          <w:sz w:val="24"/>
          <w:u w:val="single"/>
        </w:rPr>
      </w:pP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根据《中华人民共和国政府采购法》、《中华人民共和国合同法》等法律、法规规定，按照采购文件的规定条款和中标（成交）供应商的响应文件及其承诺，甲乙双方签订本合同。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第一条　合同标的</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1、供货一览表</w:t>
      </w:r>
    </w:p>
    <w:tbl>
      <w:tblPr>
        <w:tblStyle w:val="3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23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货物名称</w:t>
            </w:r>
          </w:p>
        </w:tc>
        <w:tc>
          <w:tcPr>
            <w:tcW w:w="1059"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商标品牌</w:t>
            </w:r>
          </w:p>
        </w:tc>
        <w:tc>
          <w:tcPr>
            <w:tcW w:w="123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规格型号、参数</w:t>
            </w:r>
          </w:p>
        </w:tc>
        <w:tc>
          <w:tcPr>
            <w:tcW w:w="1210"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生产厂家</w:t>
            </w:r>
          </w:p>
        </w:tc>
        <w:tc>
          <w:tcPr>
            <w:tcW w:w="908"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668"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单位</w:t>
            </w:r>
          </w:p>
        </w:tc>
        <w:tc>
          <w:tcPr>
            <w:tcW w:w="947"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单价</w:t>
            </w:r>
          </w:p>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（元）</w:t>
            </w:r>
          </w:p>
        </w:tc>
        <w:tc>
          <w:tcPr>
            <w:tcW w:w="157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金额</w:t>
            </w:r>
          </w:p>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人民币合计金额：</w:t>
            </w:r>
          </w:p>
        </w:tc>
      </w:tr>
    </w:tbl>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2、合同合计金额包括</w:t>
      </w:r>
      <w:r>
        <w:rPr>
          <w:rFonts w:hint="eastAsia" w:asciiTheme="minorEastAsia" w:hAnsiTheme="minorEastAsia" w:eastAsiaTheme="minorEastAsia"/>
          <w:color w:val="auto"/>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Theme="minorEastAsia" w:hAnsiTheme="minorEastAsia" w:eastAsiaTheme="minorEastAsia"/>
          <w:color w:val="auto"/>
          <w:sz w:val="24"/>
        </w:rPr>
        <w:t>。如采购文件对其另有规定的，从其规定。</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第二条　权利保证</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1、乙方应保证所提供货物在使用时不会侵犯任何第三方的专利权、商标权、工业设计权或其他权利。</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、乙方应按采购文件规定的时间向甲方提供使用货物的有关技术资料。</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4、乙方保证所交付的货物的所有权完全属于乙方且无任何抵押、质押、查封等产权瑕疵。</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第三条　包装和运输</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.使用说明书、质量检验证明书、随配附件和工具以及清单一并附于货物内。</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.乙方在货物发运手续办理完毕后二十四小时内或货到甲方四十八小时前通知甲方，以准备接货。</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.货物的运输方式：</w:t>
      </w:r>
      <w:r>
        <w:rPr>
          <w:rFonts w:hint="eastAsia" w:asciiTheme="minorEastAsia" w:hAnsiTheme="minorEastAsia" w:eastAsiaTheme="minorEastAsia"/>
          <w:color w:val="auto"/>
          <w:sz w:val="24"/>
          <w:u w:val="single"/>
        </w:rPr>
        <w:t xml:space="preserve"> 不限 。</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.货物在规定的交付期限内由乙方送达甲方指定的地点视为交付，乙方同时需通知甲方货物已送达。</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.乙方负责货物运输，货物运输合理损耗及计算方法：</w:t>
      </w:r>
      <w:r>
        <w:rPr>
          <w:rFonts w:hint="eastAsia" w:asciiTheme="minorEastAsia" w:hAnsiTheme="minorEastAsia" w:eastAsiaTheme="minorEastAsia"/>
          <w:color w:val="auto"/>
          <w:sz w:val="24"/>
          <w:u w:val="single"/>
        </w:rPr>
        <w:t xml:space="preserve"> 本合同交付货物不接受损耗，由乙方自行为其货物运输办理相关保险 。</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8</w:t>
      </w:r>
      <w:r>
        <w:rPr>
          <w:rFonts w:hint="eastAsia" w:asciiTheme="minorEastAsia" w:hAnsiTheme="minorEastAsia" w:eastAsiaTheme="minorEastAsia"/>
          <w:color w:val="auto"/>
          <w:sz w:val="24"/>
        </w:rPr>
        <w:t>.货物在交付甲方前发生的风险均由乙方负责。</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第四条　交付和交付验收</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1、交货时间：</w:t>
      </w:r>
      <w:r>
        <w:rPr>
          <w:rFonts w:hint="eastAsia" w:asciiTheme="minorEastAsia" w:hAnsiTheme="minorEastAsia" w:eastAsiaTheme="minorEastAsia"/>
          <w:color w:val="auto"/>
          <w:sz w:val="24"/>
          <w:u w:val="single"/>
        </w:rPr>
        <w:t>按乙方响应文件中承诺的不超过招标要求的时间 。</w:t>
      </w: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u w:val="single"/>
        </w:rPr>
        <w:t xml:space="preserve">采购人指定地点 </w:t>
      </w:r>
      <w:r>
        <w:rPr>
          <w:rFonts w:hint="eastAsia" w:asciiTheme="minorEastAsia" w:hAnsiTheme="minorEastAsia" w:eastAsiaTheme="minorEastAsia"/>
          <w:color w:val="auto"/>
          <w:sz w:val="24"/>
        </w:rPr>
        <w:t>。</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4、甲方应当在到货后七个工作日内进行验收，逾期不验收的，乙方可视同验收合格。验收合格后由甲乙双方签署货物验收单并加盖采购人公章，甲乙双方各执一份。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、甲方对验收有异议的，在验收后五个工作日内以书面形式向乙方提出，乙方应自收到甲方书面异议后</w:t>
      </w:r>
      <w:r>
        <w:rPr>
          <w:rFonts w:hint="eastAsia" w:asciiTheme="minorEastAsia" w:hAnsiTheme="minorEastAsia" w:eastAsiaTheme="minorEastAsia"/>
          <w:color w:val="auto"/>
          <w:sz w:val="24"/>
          <w:u w:val="single"/>
        </w:rPr>
        <w:t xml:space="preserve"> 五 </w:t>
      </w:r>
      <w:r>
        <w:rPr>
          <w:rFonts w:hint="eastAsia" w:asciiTheme="minorEastAsia" w:hAnsiTheme="minorEastAsia" w:eastAsiaTheme="minorEastAsia"/>
          <w:color w:val="auto"/>
          <w:sz w:val="24"/>
        </w:rPr>
        <w:t>日内及时予以解决。</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第五条　安装和培训</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甲方应提供必要安装条件（如场地、电源、水源等）。</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乙方负责甲方有关人员的培训。培训时间、地点：</w:t>
      </w:r>
      <w:r>
        <w:rPr>
          <w:rFonts w:hint="eastAsia" w:asciiTheme="minorEastAsia" w:hAnsiTheme="minorEastAsia" w:eastAsiaTheme="minorEastAsia"/>
          <w:color w:val="auto"/>
          <w:sz w:val="24"/>
          <w:u w:val="single"/>
        </w:rPr>
        <w:t xml:space="preserve">  按乙方响应文件承诺  </w:t>
      </w:r>
      <w:r>
        <w:rPr>
          <w:rFonts w:hint="eastAsia" w:asciiTheme="minorEastAsia" w:hAnsiTheme="minorEastAsia" w:eastAsiaTheme="minorEastAsia"/>
          <w:color w:val="auto"/>
          <w:sz w:val="24"/>
        </w:rPr>
        <w:t>。</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其他按乙方响应文件承诺执行。</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第六条　付款方式、保证金</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rPr>
        <w:t xml:space="preserve">1. </w:t>
      </w:r>
      <w:r>
        <w:rPr>
          <w:rFonts w:hint="eastAsia" w:asciiTheme="minorEastAsia" w:hAnsiTheme="minorEastAsia" w:eastAsiaTheme="minorEastAsia"/>
          <w:color w:val="auto"/>
          <w:sz w:val="24"/>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资金性质：</w:t>
      </w:r>
      <w:r>
        <w:rPr>
          <w:rFonts w:hint="eastAsia" w:asciiTheme="minorEastAsia" w:hAnsiTheme="minorEastAsia" w:eastAsiaTheme="minorEastAsia"/>
          <w:color w:val="auto"/>
          <w:sz w:val="24"/>
          <w:u w:val="single"/>
        </w:rPr>
        <w:t xml:space="preserve"> 预算资金  </w:t>
      </w:r>
      <w:r>
        <w:rPr>
          <w:rFonts w:hint="eastAsia" w:asciiTheme="minorEastAsia" w:hAnsiTheme="minorEastAsia" w:eastAsiaTheme="minorEastAsia"/>
          <w:color w:val="auto"/>
          <w:sz w:val="24"/>
        </w:rPr>
        <w:t>。</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付款方式：</w:t>
      </w:r>
    </w:p>
    <w:p>
      <w:pPr>
        <w:spacing w:after="0" w:line="440" w:lineRule="exact"/>
        <w:ind w:firstLine="440" w:firstLineChars="200"/>
        <w:rPr>
          <w:rFonts w:hint="eastAsia" w:asciiTheme="minorEastAsia" w:hAnsiTheme="minorEastAsia" w:eastAsiaTheme="minorEastAsia"/>
          <w:color w:val="auto"/>
        </w:rPr>
      </w:pPr>
      <w:r>
        <w:rPr>
          <w:rFonts w:hint="eastAsia" w:asciiTheme="minorEastAsia" w:hAnsiTheme="minorEastAsia" w:eastAsiaTheme="minorEastAsia"/>
          <w:color w:val="auto"/>
          <w:lang w:eastAsia="zh-CN"/>
        </w:rPr>
        <w:t>本项目无</w:t>
      </w:r>
      <w:r>
        <w:rPr>
          <w:rFonts w:hint="eastAsia" w:asciiTheme="minorEastAsia" w:hAnsiTheme="minorEastAsia" w:eastAsiaTheme="minorEastAsia"/>
          <w:color w:val="auto"/>
          <w:lang w:val="en-US" w:eastAsia="zh-CN"/>
        </w:rPr>
        <w:t>预付款</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签订合同后</w:t>
      </w:r>
      <w:r>
        <w:rPr>
          <w:rFonts w:hint="eastAsia" w:asciiTheme="minorEastAsia" w:hAnsiTheme="minorEastAsia" w:eastAsiaTheme="minorEastAsia"/>
          <w:color w:val="auto"/>
        </w:rPr>
        <w:t>成交人将所有</w:t>
      </w:r>
      <w:r>
        <w:rPr>
          <w:rFonts w:hint="eastAsia" w:asciiTheme="minorEastAsia" w:hAnsiTheme="minorEastAsia" w:eastAsiaTheme="minorEastAsia"/>
          <w:color w:val="auto"/>
          <w:lang w:eastAsia="zh-CN"/>
        </w:rPr>
        <w:t>货物运送到采购人指定地点并验收合格</w:t>
      </w:r>
      <w:r>
        <w:rPr>
          <w:rFonts w:hint="eastAsia" w:asciiTheme="minorEastAsia" w:hAnsiTheme="minorEastAsia" w:eastAsiaTheme="minorEastAsia"/>
          <w:color w:val="auto"/>
        </w:rPr>
        <w:t>，由成交供应商出具总金额发票，采购人自收到发票之日起15个工作日内支付</w:t>
      </w:r>
      <w:r>
        <w:rPr>
          <w:rFonts w:hint="eastAsia" w:asciiTheme="minorEastAsia" w:hAnsiTheme="minorEastAsia" w:eastAsiaTheme="minorEastAsia"/>
          <w:color w:val="auto"/>
          <w:lang w:eastAsia="zh-CN"/>
        </w:rPr>
        <w:t>到</w:t>
      </w:r>
      <w:r>
        <w:rPr>
          <w:rFonts w:hint="eastAsia" w:asciiTheme="minorEastAsia" w:hAnsiTheme="minorEastAsia" w:eastAsiaTheme="minorEastAsia"/>
          <w:color w:val="auto"/>
        </w:rPr>
        <w:t>总货款的97%</w:t>
      </w:r>
      <w:r>
        <w:rPr>
          <w:rFonts w:asciiTheme="minorEastAsia" w:hAnsiTheme="minorEastAsia" w:eastAsiaTheme="minorEastAsia"/>
          <w:color w:val="auto"/>
        </w:rPr>
        <w:t>。</w:t>
      </w:r>
      <w:r>
        <w:rPr>
          <w:rFonts w:hint="eastAsia" w:asciiTheme="minorEastAsia" w:hAnsiTheme="minorEastAsia" w:eastAsiaTheme="minorEastAsia"/>
          <w:color w:val="auto"/>
        </w:rPr>
        <w:t>剩余合同总金额的3%为质保金，项目整体质保期满后5个工作日内采购人向成交人一次性付清（无息）。</w:t>
      </w:r>
    </w:p>
    <w:p>
      <w:pPr>
        <w:spacing w:after="0" w:line="440" w:lineRule="exact"/>
        <w:ind w:firstLine="480" w:firstLineChars="200"/>
        <w:rPr>
          <w:rFonts w:hint="eastAsia" w:asciiTheme="minorEastAsia" w:hAnsiTheme="minorEastAsia" w:eastAsiaTheme="minorEastAsia"/>
          <w:bCs/>
          <w:color w:val="auto"/>
          <w:sz w:val="24"/>
          <w:lang w:eastAsia="zh-CN"/>
        </w:rPr>
      </w:pPr>
      <w:r>
        <w:rPr>
          <w:rFonts w:hint="eastAsia" w:asciiTheme="minorEastAsia" w:hAnsiTheme="minorEastAsia" w:eastAsiaTheme="minorEastAsia"/>
          <w:bCs/>
          <w:color w:val="auto"/>
          <w:sz w:val="24"/>
        </w:rPr>
        <w:t>4.履约保证金：</w:t>
      </w:r>
      <w:r>
        <w:rPr>
          <w:rFonts w:hint="eastAsia" w:asciiTheme="minorEastAsia" w:hAnsiTheme="minorEastAsia" w:eastAsiaTheme="minorEastAsia"/>
          <w:bCs/>
          <w:color w:val="auto"/>
          <w:sz w:val="24"/>
          <w:lang w:eastAsia="zh-CN"/>
        </w:rPr>
        <w:t>无</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第七条  税费</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本合同执行中相关的一切税费均由乙方负担。</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第八条  质量保证及售后服务</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（1）更换：由乙方承担所发生的全部费用。</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（2）贬值处理：由甲乙双方合议定价。</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（3）退货处理：乙方应退还甲方支付的合同款，同时应承担该货物的直接费用（运输、保险、检验、货款利息及银行手续费等）。</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3.乙方应按照国家有关法律法规和“三包”规定以及采购文件、响应文件和本合同所附的《售后服务方案》，为甲方提供售后服务。</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.在质保期内，乙方应对货物出现的质量及安全问题负责处理解决并承担一切费用。</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.上述的货物免费保修期</w:t>
      </w:r>
      <w:r>
        <w:rPr>
          <w:rFonts w:hint="eastAsia" w:asciiTheme="minorEastAsia" w:hAnsiTheme="minorEastAsia" w:eastAsiaTheme="minorEastAsia"/>
          <w:color w:val="auto"/>
          <w:sz w:val="24"/>
          <w:u w:val="single"/>
        </w:rPr>
        <w:t>按乙方响应文件承诺</w:t>
      </w:r>
      <w:r>
        <w:rPr>
          <w:rFonts w:hint="eastAsia" w:asciiTheme="minorEastAsia" w:hAnsiTheme="minorEastAsia" w:eastAsiaTheme="minorEastAsia"/>
          <w:color w:val="auto"/>
          <w:sz w:val="24"/>
        </w:rPr>
        <w:t>，因人为因素出现的故障不在免费保修范围内。超过保修期的机器设备，终生维修，维修时只收部件成本费。</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6.乙方提供的服务承诺和售后服务及保修期责任等其它具体约定事项：</w:t>
      </w:r>
      <w:r>
        <w:rPr>
          <w:rFonts w:hint="eastAsia" w:asciiTheme="minorEastAsia" w:hAnsiTheme="minorEastAsia" w:eastAsiaTheme="minorEastAsia"/>
          <w:color w:val="auto"/>
          <w:sz w:val="24"/>
          <w:u w:val="single"/>
        </w:rPr>
        <w:t>（见合同附件）</w:t>
      </w:r>
      <w:r>
        <w:rPr>
          <w:rFonts w:hint="eastAsia" w:asciiTheme="minorEastAsia" w:hAnsiTheme="minorEastAsia" w:eastAsiaTheme="minorEastAsia"/>
          <w:color w:val="auto"/>
          <w:sz w:val="24"/>
        </w:rPr>
        <w:t>。</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第九条  调试和验收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 </w:t>
      </w:r>
      <w:r>
        <w:rPr>
          <w:rFonts w:hint="eastAsia" w:asciiTheme="minorEastAsia" w:hAnsiTheme="minorEastAsia" w:eastAsiaTheme="minorEastAsia"/>
          <w:color w:val="auto"/>
          <w:sz w:val="24"/>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）货物在乙方通知安装调试完毕后七个工作日内验收。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）如货物经乙方</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）验收结束后，应当出具验收书，列明各项标准的验收情况及项目总体评价，由验收双方共同签署。</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 验收时乙方必须在现场，验收完毕后作出验收结果报告；验收费用由乙方负责。</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 其他未尽事宜应严格按照《关于印发广西壮族自治区政府采购项目履约验收管理办法的通知》</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桂财采〔</w:t>
      </w:r>
      <w:r>
        <w:rPr>
          <w:rFonts w:asciiTheme="minorEastAsia" w:hAnsiTheme="minorEastAsia" w:eastAsiaTheme="minorEastAsia"/>
          <w:color w:val="auto"/>
          <w:sz w:val="24"/>
        </w:rPr>
        <w:t>2015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w:t>
      </w:r>
      <w:r>
        <w:rPr>
          <w:rFonts w:hint="eastAsia" w:asciiTheme="minorEastAsia" w:hAnsiTheme="minorEastAsia" w:eastAsiaTheme="minorEastAsia"/>
          <w:color w:val="auto"/>
          <w:sz w:val="24"/>
        </w:rPr>
        <w:t>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以及《财政部关于进一步加强政府采购需求和履约验收管理的指导意见》</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财库〔</w:t>
      </w:r>
      <w:r>
        <w:rPr>
          <w:rFonts w:asciiTheme="minorEastAsia" w:hAnsiTheme="minorEastAsia" w:eastAsiaTheme="minorEastAsia"/>
          <w:color w:val="auto"/>
          <w:sz w:val="24"/>
        </w:rPr>
        <w:t>2016</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205</w:t>
      </w:r>
      <w:r>
        <w:rPr>
          <w:rFonts w:hint="eastAsia" w:asciiTheme="minorEastAsia" w:hAnsiTheme="minorEastAsia" w:eastAsiaTheme="minorEastAsia"/>
          <w:color w:val="auto"/>
          <w:sz w:val="24"/>
        </w:rPr>
        <w:t>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规定执行。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第十条　违约责任</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乙方提供的货物如侵犯了第三方合法权益而引发的任何纠纷或诉讼，均由乙方负责交涉并承担全部责任。</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因包装、运输引起的货物损坏，按质量不合格处罚。</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 乙方未按本合同和响应文件中规定的服务承诺提供售后服务的，乙方应按本合同合计金额 5%向甲方支付违约金。</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 其它违约行为按违约货款额5%收取违约金并赔偿经济损失。</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第十一条  不可抗力事件处理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在合同有效期内，任何一方因不可抗力事件导致不能履行合同，则合同履行期可延长，其延长期与不可抗力影响期相同。</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不可抗力事件发生后，应立即通知对方，并寄送有关权威机构出具的证明。</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不可抗力事件延续一百二十天以上，双方应通过友好协商，确定是否继续履行合同。</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第十二条  合同争议解决</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诉讼期间，本合同继续履行。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第十三条  合同生效及其它</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合同经双方法定代表人或被授权代表签字并加盖单位公章后生效。</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3.本合同未尽事宜，遵照《合同法》有关条文执行。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第十四条　合同的变更、终止与转让</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除《中华人民共和国政府采购法》第五十条规定的情形外，本合同一经签订，甲乙双方不得擅自变更、中止或终止。</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未经甲方书面同意，乙方不得擅自转让（无进口资格的供应商委托进口货物除外）其应履行的合同义务。</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第十五条　签订本合同依据</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采购文件；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乙方提供的响应文件；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响应承诺书；</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 中标通知书。</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第十六条　</w:t>
      </w:r>
      <w:r>
        <w:rPr>
          <w:rFonts w:hint="eastAsia" w:asciiTheme="minorEastAsia" w:hAnsiTheme="minorEastAsia" w:eastAsiaTheme="minorEastAsia"/>
          <w:color w:val="auto"/>
          <w:sz w:val="24"/>
        </w:rPr>
        <w:t>本合同一式份，具有同等法律效力，采购代理机构、政府采购监督管理处各一份，甲方份，乙方份（可根据需要另增加）。</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本合同甲乙双方签字盖章后生效。</w:t>
      </w:r>
    </w:p>
    <w:p>
      <w:pPr>
        <w:spacing w:line="500" w:lineRule="exact"/>
        <w:rPr>
          <w:rFonts w:asciiTheme="minorEastAsia" w:hAnsiTheme="minorEastAsia" w:eastAsiaTheme="minorEastAsia"/>
          <w:color w:val="auto"/>
          <w:sz w:val="24"/>
          <w:u w:val="single"/>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甲方（章）           </w:t>
            </w: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乙方（章）              </w:t>
            </w: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单位地址：</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电话：</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电子邮箱：</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账号：</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r>
    </w:tbl>
    <w:p>
      <w:pPr>
        <w:spacing w:line="500" w:lineRule="exact"/>
        <w:rPr>
          <w:rFonts w:asciiTheme="minorEastAsia" w:hAnsiTheme="minorEastAsia" w:eastAsiaTheme="minorEastAsia"/>
          <w:color w:val="auto"/>
        </w:rPr>
      </w:pPr>
    </w:p>
    <w:p>
      <w:pPr>
        <w:pStyle w:val="101"/>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合同附件</w:t>
      </w:r>
      <w:r>
        <w:rPr>
          <w:rFonts w:cs="Times New Roman" w:asciiTheme="minorEastAsia" w:hAnsiTheme="minorEastAsia" w:eastAsiaTheme="minorEastAsia"/>
          <w:color w:val="auto"/>
          <w:kern w:val="2"/>
        </w:rPr>
        <w:t xml:space="preserve">1 </w:t>
      </w:r>
    </w:p>
    <w:p>
      <w:pPr>
        <w:pStyle w:val="101"/>
        <w:jc w:val="center"/>
        <w:rPr>
          <w:rFonts w:cs="Times New Roman" w:asciiTheme="minorEastAsia" w:hAnsiTheme="minorEastAsia" w:eastAsiaTheme="minorEastAsia"/>
          <w:b/>
          <w:color w:val="auto"/>
          <w:kern w:val="2"/>
          <w:sz w:val="28"/>
          <w:szCs w:val="28"/>
        </w:rPr>
      </w:pPr>
      <w:r>
        <w:rPr>
          <w:rFonts w:hint="eastAsia" w:cs="Times New Roman" w:asciiTheme="minorEastAsia" w:hAnsiTheme="minorEastAsia" w:eastAsiaTheme="minorEastAsia"/>
          <w:b/>
          <w:color w:val="auto"/>
          <w:kern w:val="2"/>
          <w:sz w:val="28"/>
          <w:szCs w:val="28"/>
        </w:rPr>
        <w:t>响应承诺书</w:t>
      </w:r>
    </w:p>
    <w:p>
      <w:pPr>
        <w:pStyle w:val="101"/>
        <w:rPr>
          <w:rFonts w:cs="Times New Roman" w:asciiTheme="minorEastAsia" w:hAnsiTheme="minorEastAsia" w:eastAsiaTheme="minorEastAsia"/>
          <w:b/>
          <w:color w:val="auto"/>
          <w:kern w:val="2"/>
          <w:sz w:val="28"/>
          <w:szCs w:val="28"/>
        </w:rPr>
      </w:pPr>
      <w:r>
        <w:rPr>
          <w:rFonts w:hint="eastAsia" w:cs="Times New Roman" w:asciiTheme="minorEastAsia" w:hAnsiTheme="minorEastAsia" w:eastAsiaTheme="minorEastAsia"/>
          <w:color w:val="auto"/>
          <w:kern w:val="2"/>
        </w:rPr>
        <w:t>一般货物类</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1"/>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1</w:t>
            </w:r>
            <w:r>
              <w:rPr>
                <w:rFonts w:hint="eastAsia" w:cs="Times New Roman" w:asciiTheme="minorEastAsia" w:hAnsiTheme="minorEastAsia" w:eastAsiaTheme="minorEastAsia"/>
                <w:color w:val="auto"/>
                <w:kern w:val="2"/>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1"/>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2</w:t>
            </w:r>
            <w:r>
              <w:rPr>
                <w:rFonts w:hint="eastAsia" w:cs="Times New Roman" w:asciiTheme="minorEastAsia" w:hAnsiTheme="minorEastAsia" w:eastAsiaTheme="minorEastAsia"/>
                <w:color w:val="auto"/>
                <w:kern w:val="2"/>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1"/>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3</w:t>
            </w:r>
            <w:r>
              <w:rPr>
                <w:rFonts w:hint="eastAsia" w:cs="Times New Roman" w:asciiTheme="minorEastAsia" w:hAnsiTheme="minorEastAsia" w:eastAsiaTheme="minorEastAsia"/>
                <w:color w:val="auto"/>
                <w:kern w:val="2"/>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1"/>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4</w:t>
            </w:r>
            <w:r>
              <w:rPr>
                <w:rFonts w:hint="eastAsia" w:cs="Times New Roman" w:asciiTheme="minorEastAsia" w:hAnsiTheme="minorEastAsia" w:eastAsiaTheme="minorEastAsia"/>
                <w:color w:val="auto"/>
                <w:kern w:val="2"/>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1"/>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甲方</w:t>
            </w:r>
            <w:r>
              <w:rPr>
                <w:rFonts w:cs="Times New Roman" w:asciiTheme="minorEastAsia" w:hAnsiTheme="minorEastAsia" w:eastAsiaTheme="minorEastAsia"/>
                <w:color w:val="auto"/>
                <w:kern w:val="2"/>
              </w:rPr>
              <w:t>(</w:t>
            </w:r>
            <w:r>
              <w:rPr>
                <w:rFonts w:hint="eastAsia" w:cs="Times New Roman" w:asciiTheme="minorEastAsia" w:hAnsiTheme="minorEastAsia" w:eastAsiaTheme="minorEastAsia"/>
                <w:color w:val="auto"/>
                <w:kern w:val="2"/>
              </w:rPr>
              <w:t>章</w:t>
            </w:r>
            <w:r>
              <w:rPr>
                <w:rFonts w:cs="Times New Roman" w:asciiTheme="minorEastAsia" w:hAnsiTheme="minorEastAsia" w:eastAsiaTheme="minorEastAsia"/>
                <w:color w:val="auto"/>
                <w:kern w:val="2"/>
              </w:rPr>
              <w:t>)</w:t>
            </w:r>
          </w:p>
          <w:p>
            <w:pPr>
              <w:pStyle w:val="101"/>
              <w:rPr>
                <w:rFonts w:cs="Times New Roman" w:asciiTheme="minorEastAsia" w:hAnsiTheme="minorEastAsia" w:eastAsiaTheme="minorEastAsia"/>
                <w:color w:val="auto"/>
                <w:kern w:val="2"/>
              </w:rPr>
            </w:pPr>
          </w:p>
          <w:p>
            <w:pPr>
              <w:pStyle w:val="101"/>
              <w:rPr>
                <w:rFonts w:cs="Times New Roman" w:asciiTheme="minorEastAsia" w:hAnsiTheme="minorEastAsia" w:eastAsiaTheme="minorEastAsia"/>
                <w:color w:val="auto"/>
                <w:kern w:val="2"/>
              </w:rPr>
            </w:pPr>
          </w:p>
          <w:p>
            <w:pPr>
              <w:pStyle w:val="101"/>
              <w:ind w:firstLine="2640" w:firstLineChars="11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年 月 日</w:t>
            </w:r>
          </w:p>
        </w:tc>
        <w:tc>
          <w:tcPr>
            <w:tcW w:w="4536" w:type="dxa"/>
          </w:tcPr>
          <w:p>
            <w:pPr>
              <w:pStyle w:val="101"/>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乙方</w:t>
            </w:r>
            <w:r>
              <w:rPr>
                <w:rFonts w:cs="Times New Roman" w:asciiTheme="minorEastAsia" w:hAnsiTheme="minorEastAsia" w:eastAsiaTheme="minorEastAsia"/>
                <w:color w:val="auto"/>
                <w:kern w:val="2"/>
              </w:rPr>
              <w:t>(</w:t>
            </w:r>
            <w:r>
              <w:rPr>
                <w:rFonts w:hint="eastAsia" w:cs="Times New Roman" w:asciiTheme="minorEastAsia" w:hAnsiTheme="minorEastAsia" w:eastAsiaTheme="minorEastAsia"/>
                <w:color w:val="auto"/>
                <w:kern w:val="2"/>
              </w:rPr>
              <w:t>章</w:t>
            </w:r>
            <w:r>
              <w:rPr>
                <w:rFonts w:cs="Times New Roman" w:asciiTheme="minorEastAsia" w:hAnsiTheme="minorEastAsia" w:eastAsiaTheme="minorEastAsia"/>
                <w:color w:val="auto"/>
                <w:kern w:val="2"/>
              </w:rPr>
              <w:t>)</w:t>
            </w:r>
          </w:p>
          <w:p>
            <w:pPr>
              <w:pStyle w:val="101"/>
              <w:rPr>
                <w:rFonts w:cs="Times New Roman" w:asciiTheme="minorEastAsia" w:hAnsiTheme="minorEastAsia" w:eastAsiaTheme="minorEastAsia"/>
                <w:color w:val="auto"/>
                <w:kern w:val="2"/>
              </w:rPr>
            </w:pPr>
          </w:p>
          <w:p>
            <w:pPr>
              <w:pStyle w:val="101"/>
              <w:rPr>
                <w:rFonts w:cs="Times New Roman" w:asciiTheme="minorEastAsia" w:hAnsiTheme="minorEastAsia" w:eastAsiaTheme="minorEastAsia"/>
                <w:color w:val="auto"/>
                <w:kern w:val="2"/>
              </w:rPr>
            </w:pPr>
          </w:p>
          <w:p>
            <w:pPr>
              <w:pStyle w:val="101"/>
              <w:ind w:firstLine="2880" w:firstLineChars="1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年 月 日</w:t>
            </w:r>
          </w:p>
        </w:tc>
      </w:tr>
    </w:tbl>
    <w:p>
      <w:pPr>
        <w:ind w:left="440" w:hanging="440" w:hangingChars="200"/>
        <w:rPr>
          <w:rFonts w:asciiTheme="minorEastAsia" w:hAnsiTheme="minorEastAsia" w:eastAsiaTheme="minorEastAsia"/>
          <w:color w:val="auto"/>
          <w:sz w:val="24"/>
        </w:rPr>
      </w:pPr>
      <w:r>
        <w:rPr>
          <w:rFonts w:hint="eastAsia" w:asciiTheme="minorEastAsia" w:hAnsiTheme="minorEastAsia" w:eastAsiaTheme="minorEastAsia"/>
          <w:color w:val="auto"/>
          <w:szCs w:val="21"/>
        </w:rPr>
        <w:t>注：售后服务事项填不下时可另加附页</w:t>
      </w:r>
    </w:p>
    <w:p>
      <w:pPr>
        <w:ind w:left="440" w:hanging="440" w:hangingChars="200"/>
        <w:rPr>
          <w:rFonts w:asciiTheme="minorEastAsia" w:hAnsiTheme="minorEastAsia" w:eastAsiaTheme="minorEastAsia"/>
          <w:color w:val="auto"/>
          <w:szCs w:val="21"/>
        </w:rPr>
      </w:pPr>
    </w:p>
    <w:p>
      <w:pPr>
        <w:adjustRightInd/>
        <w:snapToGrid/>
        <w:spacing w:line="220" w:lineRule="atLeast"/>
        <w:rPr>
          <w:rFonts w:asciiTheme="minorEastAsia" w:hAnsiTheme="minorEastAsia" w:eastAsiaTheme="minorEastAsia"/>
          <w:color w:val="auto"/>
          <w:sz w:val="24"/>
        </w:rPr>
      </w:pPr>
    </w:p>
    <w:p>
      <w:pPr>
        <w:adjustRightInd/>
        <w:snapToGrid/>
        <w:spacing w:line="220" w:lineRule="atLeas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附件</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p>
    <w:p>
      <w:pPr>
        <w:shd w:val="clear" w:color="auto" w:fill="FFFFFF"/>
        <w:spacing w:line="580" w:lineRule="exact"/>
        <w:jc w:val="center"/>
        <w:rPr>
          <w:rFonts w:cs="宋体" w:asciiTheme="minorEastAsia" w:hAnsiTheme="minorEastAsia" w:eastAsiaTheme="minorEastAsia"/>
          <w:color w:val="auto"/>
          <w:sz w:val="32"/>
          <w:szCs w:val="32"/>
        </w:rPr>
      </w:pPr>
      <w:r>
        <w:rPr>
          <w:rFonts w:hint="eastAsia" w:cs="黑体" w:asciiTheme="minorEastAsia" w:hAnsiTheme="minorEastAsia" w:eastAsiaTheme="minorEastAsia"/>
          <w:color w:val="auto"/>
          <w:sz w:val="32"/>
          <w:szCs w:val="32"/>
        </w:rPr>
        <w:t>广西壮族自治区政府采购项目合同验收书</w:t>
      </w:r>
      <w:r>
        <w:rPr>
          <w:rFonts w:hint="eastAsia" w:cs="宋体" w:asciiTheme="minorEastAsia" w:hAnsiTheme="minorEastAsia" w:eastAsiaTheme="minorEastAsia"/>
          <w:color w:val="auto"/>
          <w:sz w:val="32"/>
          <w:szCs w:val="32"/>
        </w:rPr>
        <w:t>（格式）</w:t>
      </w:r>
    </w:p>
    <w:p>
      <w:pPr>
        <w:shd w:val="clear" w:color="auto" w:fill="FFFFFF"/>
        <w:spacing w:line="440" w:lineRule="exact"/>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根据政府采购项目（</w:t>
      </w:r>
      <w:r>
        <w:rPr>
          <w:rFonts w:hint="eastAsia" w:cs="宋体" w:asciiTheme="minorEastAsia" w:hAnsiTheme="minorEastAsia" w:eastAsiaTheme="minorEastAsia"/>
          <w:color w:val="auto"/>
          <w:sz w:val="24"/>
          <w:u w:val="single"/>
        </w:rPr>
        <w:t>采购合同编号：</w:t>
      </w:r>
      <w:r>
        <w:rPr>
          <w:rFonts w:hint="eastAsia" w:cs="宋体" w:asciiTheme="minorEastAsia" w:hAnsiTheme="minorEastAsia" w:eastAsiaTheme="minorEastAsia"/>
          <w:color w:val="auto"/>
          <w:sz w:val="24"/>
          <w:u w:val="single"/>
        </w:rPr>
        <w:softHyphen/>
      </w:r>
      <w:r>
        <w:rPr>
          <w:rFonts w:hint="eastAsia" w:cs="宋体" w:asciiTheme="minorEastAsia" w:hAnsiTheme="minorEastAsia" w:eastAsiaTheme="minorEastAsia"/>
          <w:color w:val="auto"/>
          <w:sz w:val="24"/>
        </w:rPr>
        <w:t>）的约定，我单位对（</w:t>
      </w:r>
      <w:r>
        <w:rPr>
          <w:rFonts w:hint="eastAsia" w:cs="宋体" w:asciiTheme="minorEastAsia" w:hAnsiTheme="minorEastAsia" w:eastAsiaTheme="minorEastAsia"/>
          <w:color w:val="auto"/>
          <w:sz w:val="24"/>
          <w:u w:val="single"/>
        </w:rPr>
        <w:t xml:space="preserve"> 项目名称 </w:t>
      </w:r>
      <w:r>
        <w:rPr>
          <w:rFonts w:hint="eastAsia" w:cs="宋体" w:asciiTheme="minorEastAsia" w:hAnsiTheme="minorEastAsia" w:eastAsiaTheme="minorEastAsia"/>
          <w:color w:val="auto"/>
          <w:sz w:val="24"/>
        </w:rPr>
        <w:t>） 政府采购项目成交供应商（</w:t>
      </w:r>
      <w:r>
        <w:rPr>
          <w:rFonts w:hint="eastAsia" w:cs="宋体" w:asciiTheme="minorEastAsia" w:hAnsiTheme="minorEastAsia" w:eastAsiaTheme="minorEastAsia"/>
          <w:color w:val="auto"/>
          <w:sz w:val="24"/>
          <w:u w:val="single"/>
        </w:rPr>
        <w:t xml:space="preserve"> 公司名称 </w:t>
      </w:r>
      <w:r>
        <w:rPr>
          <w:rFonts w:hint="eastAsia" w:cs="宋体" w:asciiTheme="minorEastAsia" w:hAnsiTheme="minorEastAsia" w:eastAsiaTheme="minorEastAsia"/>
          <w:color w:val="auto"/>
          <w:sz w:val="24"/>
        </w:rPr>
        <w:t>） 提供的货物（或工程、服务）进行了验收，验收情况如下：</w:t>
      </w:r>
    </w:p>
    <w:tbl>
      <w:tblPr>
        <w:tblStyle w:val="37"/>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eastAsiaTheme="minorEastAsia"/>
                <w:color w:val="auto"/>
                <w:szCs w:val="21"/>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有异议的意见和说明理由：</w:t>
            </w:r>
          </w:p>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监督人员或其他相关人员签字：</w:t>
            </w:r>
          </w:p>
          <w:p>
            <w:pPr>
              <w:spacing w:before="100" w:beforeAutospacing="1" w:after="100" w:afterAutospacing="1" w:line="320" w:lineRule="atLeast"/>
              <w:ind w:firstLine="74"/>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中标或者成交供应商负责人签字或盖章：</w:t>
            </w:r>
          </w:p>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采购人或受托机构的意见（盖章）：</w:t>
            </w:r>
          </w:p>
          <w:p>
            <w:pPr>
              <w:spacing w:before="100" w:beforeAutospacing="1" w:after="100" w:afterAutospacing="1" w:line="320" w:lineRule="atLeast"/>
              <w:ind w:firstLine="44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联系电话： 年 月 日</w:t>
            </w:r>
          </w:p>
        </w:tc>
      </w:tr>
    </w:tbl>
    <w:p>
      <w:pPr>
        <w:rPr>
          <w:rFonts w:asciiTheme="minorEastAsia" w:hAnsiTheme="minorEastAsia" w:eastAsiaTheme="minorEastAsia"/>
          <w:color w:val="auto"/>
          <w:sz w:val="28"/>
          <w:szCs w:val="28"/>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sz w:val="28"/>
          <w:szCs w:val="28"/>
        </w:rPr>
        <w:t>附件</w:t>
      </w:r>
      <w:r>
        <w:rPr>
          <w:rFonts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t>：</w:t>
      </w:r>
    </w:p>
    <w:p>
      <w:pPr>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政府采购项目履约保证金退付意见书</w:t>
      </w:r>
    </w:p>
    <w:tbl>
      <w:tblPr>
        <w:tblStyle w:val="37"/>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应</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商</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申</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开户银行：</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帐   号：</w:t>
            </w:r>
          </w:p>
          <w:p>
            <w:pPr>
              <w:spacing w:after="0" w:line="4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联系人及电话：</w:t>
            </w:r>
          </w:p>
          <w:p>
            <w:pPr>
              <w:spacing w:after="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供应商签章：</w:t>
            </w:r>
          </w:p>
          <w:p>
            <w:pPr>
              <w:spacing w:after="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采</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购</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意</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Theme="minorEastAsia" w:hAnsiTheme="minorEastAsia" w:eastAsiaTheme="minorEastAsia"/>
                <w:color w:val="auto"/>
                <w:szCs w:val="21"/>
              </w:rPr>
            </w:pPr>
            <w:r>
              <w:rPr>
                <w:rFonts w:hint="eastAsia" w:asciiTheme="minorEastAsia" w:hAnsiTheme="minorEastAsia" w:eastAsiaTheme="minorEastAsia"/>
                <w:color w:val="auto"/>
                <w:szCs w:val="21"/>
              </w:rPr>
              <w:t>退付意见：是否同意退付履约保证金及退付金额：</w:t>
            </w:r>
          </w:p>
          <w:p>
            <w:pPr>
              <w:spacing w:after="120"/>
              <w:rPr>
                <w:rFonts w:asciiTheme="minorEastAsia" w:hAnsiTheme="minorEastAsia" w:eastAsiaTheme="minorEastAsia"/>
                <w:color w:val="auto"/>
                <w:szCs w:val="21"/>
              </w:rPr>
            </w:pPr>
          </w:p>
          <w:p>
            <w:pPr>
              <w:spacing w:after="120"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联系人及电话：                                 采购人签章</w:t>
            </w:r>
          </w:p>
          <w:p>
            <w:pPr>
              <w:spacing w:after="12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pPr>
        <w:spacing w:line="500" w:lineRule="exact"/>
        <w:rPr>
          <w:rFonts w:asciiTheme="minorEastAsia" w:hAnsiTheme="minorEastAsia" w:eastAsiaTheme="minorEastAsia"/>
          <w:color w:val="auto"/>
        </w:rPr>
      </w:pPr>
      <w:r>
        <w:rPr>
          <w:rFonts w:hint="eastAsia" w:asciiTheme="minorEastAsia" w:hAnsiTheme="minorEastAsia" w:eastAsiaTheme="minorEastAsia"/>
          <w:b/>
          <w:bCs/>
          <w:color w:val="auto"/>
          <w:szCs w:val="21"/>
        </w:rPr>
        <w:t>注：供应商凭经采购人审批的退付意见书到保证金收取单位办理履约保证金退付事宜。</w:t>
      </w:r>
    </w:p>
    <w:p>
      <w:pPr>
        <w:adjustRightInd/>
        <w:snapToGrid/>
        <w:spacing w:line="220" w:lineRule="atLeast"/>
        <w:rPr>
          <w:rFonts w:cs="Times New Roman" w:asciiTheme="minorEastAsia" w:hAnsiTheme="minorEastAsia" w:eastAsiaTheme="minorEastAsia"/>
          <w:color w:val="auto"/>
          <w:sz w:val="36"/>
          <w:szCs w:val="20"/>
        </w:rPr>
      </w:pPr>
      <w:bookmarkStart w:id="88" w:name="_Toc246094931"/>
      <w:bookmarkStart w:id="89" w:name="_Toc246095537"/>
      <w:bookmarkStart w:id="90" w:name="_Toc246095475"/>
      <w:r>
        <w:rPr>
          <w:rFonts w:asciiTheme="minorEastAsia" w:hAnsiTheme="minorEastAsia" w:eastAsiaTheme="minorEastAsia"/>
          <w:color w:val="auto"/>
        </w:rPr>
        <w:br w:type="page"/>
      </w:r>
    </w:p>
    <w:p>
      <w:pPr>
        <w:pStyle w:val="3"/>
        <w:rPr>
          <w:rFonts w:asciiTheme="minorEastAsia" w:hAnsiTheme="minorEastAsia" w:eastAsiaTheme="minorEastAsia"/>
          <w:color w:val="auto"/>
        </w:rPr>
      </w:pPr>
    </w:p>
    <w:p>
      <w:pPr>
        <w:pStyle w:val="3"/>
        <w:rPr>
          <w:rFonts w:asciiTheme="minorEastAsia" w:hAnsiTheme="minorEastAsia" w:eastAsiaTheme="minorEastAsia"/>
          <w:color w:val="auto"/>
        </w:rPr>
      </w:pPr>
      <w:bookmarkStart w:id="91" w:name="_Toc7192557"/>
      <w:r>
        <w:rPr>
          <w:rFonts w:hint="eastAsia" w:asciiTheme="minorEastAsia" w:hAnsiTheme="minorEastAsia" w:eastAsiaTheme="minorEastAsia"/>
          <w:color w:val="auto"/>
        </w:rPr>
        <w:t>第六章  响应文件格式</w:t>
      </w:r>
      <w:bookmarkEnd w:id="88"/>
      <w:bookmarkEnd w:id="89"/>
      <w:bookmarkEnd w:id="90"/>
      <w:bookmarkEnd w:id="91"/>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r>
        <w:rPr>
          <w:rFonts w:hint="eastAsia" w:asciiTheme="minorEastAsia" w:hAnsiTheme="minorEastAsia" w:eastAsiaTheme="minorEastAsia"/>
          <w:color w:val="auto"/>
        </w:rPr>
        <w:t>（用于响应文件封面）</w:t>
      </w:r>
    </w:p>
    <w:p>
      <w:pPr>
        <w:rPr>
          <w:rFonts w:asciiTheme="minorEastAsia" w:hAnsiTheme="minorEastAsia" w:eastAsiaTheme="minorEastAsia"/>
          <w:color w:val="auto"/>
        </w:rPr>
      </w:pPr>
    </w:p>
    <w:p>
      <w:pPr>
        <w:jc w:val="center"/>
        <w:rPr>
          <w:rFonts w:asciiTheme="minorEastAsia" w:hAnsiTheme="minorEastAsia" w:eastAsiaTheme="minorEastAsia"/>
          <w:color w:val="auto"/>
          <w:sz w:val="84"/>
          <w:szCs w:val="84"/>
        </w:rPr>
      </w:pPr>
      <w:r>
        <w:rPr>
          <w:rFonts w:hint="eastAsia" w:asciiTheme="minorEastAsia" w:hAnsiTheme="minorEastAsia" w:eastAsiaTheme="minorEastAsia"/>
          <w:color w:val="auto"/>
          <w:sz w:val="84"/>
          <w:szCs w:val="84"/>
        </w:rPr>
        <w:t>响应文件</w:t>
      </w:r>
    </w:p>
    <w:p>
      <w:pPr>
        <w:rPr>
          <w:rFonts w:asciiTheme="minorEastAsia" w:hAnsiTheme="minorEastAsia" w:eastAsiaTheme="minorEastAsia"/>
          <w:color w:val="auto"/>
        </w:rPr>
      </w:pPr>
    </w:p>
    <w:p>
      <w:pPr>
        <w:jc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（正/副本）</w:t>
      </w:r>
    </w:p>
    <w:p>
      <w:pPr>
        <w:rPr>
          <w:rFonts w:asciiTheme="minorEastAsia" w:hAnsiTheme="minorEastAsia" w:eastAsiaTheme="minorEastAsia"/>
          <w:color w:val="auto"/>
        </w:rPr>
      </w:pPr>
    </w:p>
    <w:p>
      <w:pPr>
        <w:rPr>
          <w:rFonts w:asciiTheme="minorEastAsia" w:hAnsiTheme="minorEastAsia" w:eastAsiaTheme="minorEastAsia"/>
          <w:color w:val="auto"/>
          <w:sz w:val="28"/>
          <w:szCs w:val="28"/>
        </w:rPr>
      </w:pPr>
    </w:p>
    <w:p>
      <w:pPr>
        <w:spacing w:line="600" w:lineRule="exact"/>
        <w:ind w:firstLine="1400" w:firstLineChars="500"/>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项目名称：</w:t>
      </w:r>
      <w:r>
        <w:rPr>
          <w:rFonts w:hint="eastAsia" w:asciiTheme="minorEastAsia" w:hAnsiTheme="minorEastAsia" w:eastAsiaTheme="minorEastAsia"/>
          <w:color w:val="auto"/>
          <w:sz w:val="28"/>
          <w:szCs w:val="28"/>
          <w:u w:val="single"/>
        </w:rPr>
        <w:t xml:space="preserve">    （项目名称）  </w:t>
      </w:r>
      <w:r>
        <w:rPr>
          <w:rFonts w:hint="eastAsia" w:asciiTheme="minorEastAsia" w:hAnsiTheme="minorEastAsia" w:eastAsiaTheme="minorEastAsia"/>
          <w:color w:val="auto"/>
          <w:sz w:val="28"/>
          <w:szCs w:val="28"/>
          <w:u w:val="single"/>
          <w:lang w:val="en-US" w:eastAsia="zh-CN"/>
        </w:rPr>
        <w:t xml:space="preserve">                 </w:t>
      </w:r>
      <w:r>
        <w:rPr>
          <w:rFonts w:hint="eastAsia" w:asciiTheme="minorEastAsia" w:hAnsiTheme="minorEastAsia" w:eastAsiaTheme="minorEastAsia"/>
          <w:color w:val="auto"/>
          <w:sz w:val="28"/>
          <w:szCs w:val="28"/>
          <w:u w:val="single"/>
        </w:rPr>
        <w:t xml:space="preserve">  </w:t>
      </w:r>
    </w:p>
    <w:p>
      <w:pPr>
        <w:spacing w:line="600" w:lineRule="exact"/>
        <w:ind w:firstLine="1400" w:firstLineChars="500"/>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项目编号：</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响应文件内容：</w:t>
      </w:r>
      <w:r>
        <w:rPr>
          <w:rFonts w:hint="eastAsia" w:asciiTheme="minorEastAsia" w:hAnsiTheme="minorEastAsia" w:eastAsiaTheme="minorEastAsia"/>
          <w:color w:val="auto"/>
          <w:sz w:val="28"/>
          <w:szCs w:val="28"/>
          <w:u w:val="single"/>
        </w:rPr>
        <w:t xml:space="preserve">        价格文件/商务技术文件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r>
        <w:rPr>
          <w:rFonts w:hint="eastAsia" w:asciiTheme="minorEastAsia" w:hAnsiTheme="minorEastAsia" w:eastAsiaTheme="minorEastAsia"/>
          <w:color w:val="auto"/>
          <w:sz w:val="28"/>
          <w:szCs w:val="28"/>
          <w:u w:val="single"/>
        </w:rPr>
        <w:t xml:space="preserve">        （盖单位公章）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法定代表人或其委托代理人：</w:t>
      </w:r>
      <w:r>
        <w:rPr>
          <w:rFonts w:hint="eastAsia" w:asciiTheme="minorEastAsia" w:hAnsiTheme="minorEastAsia" w:eastAsiaTheme="minorEastAsia"/>
          <w:color w:val="auto"/>
          <w:sz w:val="28"/>
          <w:szCs w:val="28"/>
          <w:u w:val="single"/>
        </w:rPr>
        <w:t xml:space="preserve">      （签字）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日    期：  年 </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月  日</w:t>
      </w:r>
    </w:p>
    <w:p>
      <w:pPr>
        <w:rPr>
          <w:rFonts w:asciiTheme="minorEastAsia" w:hAnsiTheme="minorEastAsia" w:eastAsiaTheme="minorEastAsia"/>
          <w:color w:val="auto"/>
        </w:rPr>
      </w:pPr>
      <w:r>
        <w:rPr>
          <w:rFonts w:asciiTheme="minorEastAsia" w:hAnsiTheme="minorEastAsia" w:eastAsiaTheme="minorEastAsia"/>
          <w:color w:val="auto"/>
        </w:rPr>
        <w:br w:type="page"/>
      </w:r>
    </w:p>
    <w:p>
      <w:pPr>
        <w:spacing w:line="30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附件一：</w:t>
      </w:r>
    </w:p>
    <w:p>
      <w:pPr>
        <w:spacing w:line="300"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谈判报价表</w:t>
      </w:r>
    </w:p>
    <w:p>
      <w:pPr>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采购项目编号:</w:t>
      </w:r>
    </w:p>
    <w:p>
      <w:pP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采购项目名称:</w:t>
      </w:r>
    </w:p>
    <w:tbl>
      <w:tblPr>
        <w:tblStyle w:val="3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27"/>
        <w:gridCol w:w="1485"/>
        <w:gridCol w:w="1805"/>
        <w:gridCol w:w="148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6"/>
            <w:vAlign w:val="center"/>
          </w:tcPr>
          <w:p>
            <w:pPr>
              <w:spacing w:after="0" w:line="360" w:lineRule="exact"/>
              <w:jc w:val="both"/>
              <w:rPr>
                <w:rFonts w:hint="eastAsia" w:ascii="宋体" w:eastAsia="宋体"/>
                <w:color w:val="auto"/>
                <w:vertAlign w:val="baseline"/>
              </w:rPr>
            </w:pPr>
            <w:r>
              <w:rPr>
                <w:rFonts w:hint="eastAsia" w:ascii="宋体" w:eastAsia="宋体"/>
                <w:color w:val="auto"/>
                <w:lang w:val="en-US" w:eastAsia="zh-CN"/>
              </w:rPr>
              <w:t>1、</w:t>
            </w:r>
            <w:r>
              <w:rPr>
                <w:rFonts w:hint="eastAsia" w:ascii="宋体" w:eastAsia="宋体"/>
                <w:color w:val="auto"/>
                <w:lang w:eastAsia="zh-CN"/>
              </w:rPr>
              <w:t>中小学图书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after="0" w:line="360" w:lineRule="exact"/>
              <w:jc w:val="center"/>
              <w:rPr>
                <w:rFonts w:hint="eastAsia" w:ascii="宋体" w:eastAsia="宋体"/>
                <w:color w:val="auto"/>
                <w:vertAlign w:val="baseline"/>
              </w:rPr>
            </w:pPr>
            <w:r>
              <w:rPr>
                <w:rFonts w:hint="eastAsia" w:ascii="宋体" w:eastAsia="宋体"/>
                <w:color w:val="auto"/>
                <w:sz w:val="24"/>
              </w:rPr>
              <w:t>序号</w:t>
            </w:r>
          </w:p>
        </w:tc>
        <w:tc>
          <w:tcPr>
            <w:tcW w:w="3412" w:type="dxa"/>
            <w:gridSpan w:val="2"/>
            <w:vAlign w:val="center"/>
          </w:tcPr>
          <w:p>
            <w:pPr>
              <w:keepNext w:val="0"/>
              <w:keepLines w:val="0"/>
              <w:widowControl/>
              <w:suppressLineNumbers w:val="0"/>
              <w:jc w:val="center"/>
              <w:textAlignment w:val="center"/>
              <w:rPr>
                <w:rFonts w:hint="eastAsia" w:ascii="宋体" w:eastAsia="宋体"/>
                <w:color w:val="auto"/>
                <w:vertAlign w:val="baseline"/>
              </w:rPr>
            </w:pPr>
            <w:r>
              <w:rPr>
                <w:rFonts w:hint="eastAsia" w:asciiTheme="minorEastAsia" w:hAnsiTheme="minorEastAsia" w:eastAsiaTheme="minorEastAsia"/>
                <w:color w:val="auto"/>
                <w:sz w:val="24"/>
              </w:rPr>
              <w:t>货物名称</w:t>
            </w:r>
            <w:r>
              <w:rPr>
                <w:rFonts w:hint="eastAsia" w:ascii="宋体" w:eastAsia="宋体" w:cs="宋体"/>
                <w:i w:val="0"/>
                <w:color w:val="auto"/>
                <w:kern w:val="0"/>
                <w:sz w:val="24"/>
                <w:szCs w:val="24"/>
                <w:u w:val="none"/>
                <w:lang w:val="en-US" w:eastAsia="zh-CN"/>
              </w:rPr>
              <w:t xml:space="preserve">  </w:t>
            </w:r>
          </w:p>
        </w:tc>
        <w:tc>
          <w:tcPr>
            <w:tcW w:w="3290" w:type="dxa"/>
            <w:gridSpan w:val="2"/>
            <w:vAlign w:val="center"/>
          </w:tcPr>
          <w:p>
            <w:pPr>
              <w:spacing w:after="0" w:line="360" w:lineRule="exact"/>
              <w:jc w:val="center"/>
              <w:rPr>
                <w:rFonts w:hint="eastAsia" w:ascii="宋体" w:eastAsia="宋体"/>
                <w:color w:val="auto"/>
                <w:vertAlign w:val="baseline"/>
              </w:rPr>
            </w:pPr>
            <w:r>
              <w:rPr>
                <w:rFonts w:hint="eastAsia" w:ascii="宋体" w:eastAsia="宋体"/>
                <w:color w:val="auto"/>
                <w:sz w:val="24"/>
              </w:rPr>
              <w:t>数量①</w:t>
            </w:r>
          </w:p>
        </w:tc>
        <w:tc>
          <w:tcPr>
            <w:tcW w:w="1545" w:type="dxa"/>
            <w:vAlign w:val="center"/>
          </w:tcPr>
          <w:p>
            <w:pPr>
              <w:spacing w:after="0" w:line="320" w:lineRule="exact"/>
              <w:jc w:val="center"/>
              <w:rPr>
                <w:rFonts w:ascii="宋体" w:eastAsia="宋体"/>
                <w:color w:val="auto"/>
                <w:sz w:val="24"/>
              </w:rPr>
            </w:pPr>
            <w:r>
              <w:rPr>
                <w:rFonts w:hint="eastAsia" w:ascii="宋体" w:eastAsia="宋体"/>
                <w:color w:val="auto"/>
                <w:sz w:val="24"/>
              </w:rPr>
              <w:t>合价（元）</w:t>
            </w:r>
          </w:p>
          <w:p>
            <w:pPr>
              <w:spacing w:after="0" w:line="360" w:lineRule="exact"/>
              <w:jc w:val="center"/>
              <w:rPr>
                <w:rFonts w:hint="eastAsia" w:asci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hint="eastAsia" w:ascii="宋体" w:eastAsia="宋体"/>
                <w:color w:val="auto"/>
                <w:vertAlign w:val="baseline"/>
              </w:rPr>
            </w:pPr>
            <w:r>
              <w:rPr>
                <w:rFonts w:hint="eastAsia" w:ascii="宋体" w:eastAsia="宋体"/>
                <w:color w:val="auto"/>
                <w:sz w:val="24"/>
              </w:rPr>
              <w:t>1</w:t>
            </w:r>
          </w:p>
        </w:tc>
        <w:tc>
          <w:tcPr>
            <w:tcW w:w="3412" w:type="dxa"/>
            <w:gridSpan w:val="2"/>
          </w:tcPr>
          <w:p>
            <w:pPr>
              <w:spacing w:after="0" w:line="360" w:lineRule="exact"/>
              <w:jc w:val="both"/>
              <w:rPr>
                <w:rFonts w:hint="eastAsia" w:ascii="宋体" w:eastAsia="宋体"/>
                <w:color w:val="auto"/>
                <w:vertAlign w:val="baseline"/>
              </w:rPr>
            </w:pPr>
          </w:p>
        </w:tc>
        <w:tc>
          <w:tcPr>
            <w:tcW w:w="3290" w:type="dxa"/>
            <w:gridSpan w:val="2"/>
          </w:tcPr>
          <w:p>
            <w:pPr>
              <w:spacing w:after="0" w:line="360" w:lineRule="exact"/>
              <w:jc w:val="both"/>
              <w:rPr>
                <w:rFonts w:hint="eastAsia" w:ascii="宋体" w:eastAsia="宋体"/>
                <w:color w:val="auto"/>
                <w:vertAlign w:val="baseline"/>
              </w:rPr>
            </w:pPr>
          </w:p>
        </w:tc>
        <w:tc>
          <w:tcPr>
            <w:tcW w:w="1545" w:type="dxa"/>
          </w:tcPr>
          <w:p>
            <w:pPr>
              <w:spacing w:after="0" w:line="360" w:lineRule="exact"/>
              <w:jc w:val="both"/>
              <w:rPr>
                <w:rFonts w:hint="eastAsia" w:asci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6"/>
            <w:vAlign w:val="center"/>
          </w:tcPr>
          <w:p>
            <w:pPr>
              <w:spacing w:after="0" w:line="360" w:lineRule="exact"/>
              <w:jc w:val="both"/>
              <w:rPr>
                <w:rFonts w:hint="eastAsia" w:ascii="宋体" w:eastAsia="宋体"/>
                <w:color w:val="auto"/>
                <w:vertAlign w:val="baseline"/>
                <w:lang w:eastAsia="zh-CN"/>
              </w:rPr>
            </w:pPr>
            <w:r>
              <w:rPr>
                <w:rFonts w:hint="eastAsia" w:ascii="宋体" w:eastAsia="宋体" w:cs="宋体"/>
                <w:color w:val="auto"/>
                <w:sz w:val="24"/>
                <w:szCs w:val="24"/>
                <w:lang w:val="en-US" w:eastAsia="zh-CN"/>
              </w:rPr>
              <w:t>2、</w:t>
            </w:r>
            <w:r>
              <w:rPr>
                <w:rFonts w:hint="eastAsia" w:ascii="宋体" w:eastAsia="宋体" w:cs="宋体"/>
                <w:color w:val="auto"/>
                <w:sz w:val="24"/>
                <w:szCs w:val="24"/>
              </w:rPr>
              <w:t>图书馆管理</w:t>
            </w:r>
            <w:r>
              <w:rPr>
                <w:rFonts w:hint="eastAsia" w:ascii="宋体" w:eastAsia="宋体" w:cs="宋体"/>
                <w:color w:val="auto"/>
                <w:sz w:val="24"/>
                <w:szCs w:val="24"/>
                <w:lang w:eastAsia="zh-CN"/>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after="0" w:line="360" w:lineRule="exact"/>
              <w:jc w:val="center"/>
              <w:rPr>
                <w:rFonts w:hint="eastAsia" w:ascii="宋体" w:eastAsia="宋体"/>
                <w:color w:val="auto"/>
                <w:sz w:val="24"/>
              </w:rPr>
            </w:pPr>
            <w:r>
              <w:rPr>
                <w:rFonts w:hint="eastAsia" w:ascii="宋体" w:eastAsia="宋体"/>
                <w:color w:val="auto"/>
                <w:sz w:val="24"/>
              </w:rPr>
              <w:t>序号</w:t>
            </w:r>
          </w:p>
        </w:tc>
        <w:tc>
          <w:tcPr>
            <w:tcW w:w="1927" w:type="dxa"/>
            <w:vAlign w:val="center"/>
          </w:tcPr>
          <w:p>
            <w:pPr>
              <w:spacing w:after="0" w:line="360" w:lineRule="exact"/>
              <w:jc w:val="center"/>
              <w:rPr>
                <w:rFonts w:hint="eastAsia" w:ascii="宋体" w:eastAsia="宋体"/>
                <w:color w:val="auto"/>
                <w:vertAlign w:val="baseline"/>
              </w:rPr>
            </w:pPr>
            <w:r>
              <w:rPr>
                <w:rFonts w:hint="eastAsia" w:ascii="宋体" w:eastAsia="宋体"/>
                <w:color w:val="auto"/>
                <w:sz w:val="24"/>
              </w:rPr>
              <w:t>货物名称</w:t>
            </w:r>
          </w:p>
        </w:tc>
        <w:tc>
          <w:tcPr>
            <w:tcW w:w="1485" w:type="dxa"/>
            <w:vAlign w:val="center"/>
          </w:tcPr>
          <w:p>
            <w:pPr>
              <w:spacing w:after="0" w:line="320" w:lineRule="exact"/>
              <w:jc w:val="center"/>
              <w:rPr>
                <w:rFonts w:hint="eastAsia" w:ascii="宋体" w:eastAsia="宋体"/>
                <w:color w:val="auto"/>
                <w:vertAlign w:val="baseline"/>
              </w:rPr>
            </w:pPr>
            <w:r>
              <w:rPr>
                <w:rFonts w:hint="eastAsia" w:asciiTheme="minorEastAsia" w:hAnsiTheme="minorEastAsia" w:eastAsiaTheme="minorEastAsia"/>
                <w:color w:val="auto"/>
                <w:sz w:val="24"/>
              </w:rPr>
              <w:t>品牌及规格型号、生产厂家及国别</w:t>
            </w:r>
          </w:p>
        </w:tc>
        <w:tc>
          <w:tcPr>
            <w:tcW w:w="1805" w:type="dxa"/>
            <w:vAlign w:val="center"/>
          </w:tcPr>
          <w:p>
            <w:pPr>
              <w:spacing w:after="0" w:line="360" w:lineRule="exact"/>
              <w:jc w:val="center"/>
              <w:rPr>
                <w:rFonts w:hint="eastAsia" w:ascii="宋体" w:eastAsia="宋体"/>
                <w:color w:val="auto"/>
                <w:vertAlign w:val="baseline"/>
              </w:rPr>
            </w:pPr>
            <w:r>
              <w:rPr>
                <w:rFonts w:hint="eastAsia" w:ascii="宋体" w:eastAsia="宋体"/>
                <w:color w:val="auto"/>
                <w:sz w:val="24"/>
              </w:rPr>
              <w:t>数量①</w:t>
            </w:r>
          </w:p>
        </w:tc>
        <w:tc>
          <w:tcPr>
            <w:tcW w:w="1485" w:type="dxa"/>
            <w:vAlign w:val="center"/>
          </w:tcPr>
          <w:p>
            <w:pPr>
              <w:spacing w:after="0" w:line="320" w:lineRule="exact"/>
              <w:jc w:val="center"/>
              <w:rPr>
                <w:rFonts w:ascii="宋体" w:eastAsia="宋体"/>
                <w:color w:val="auto"/>
                <w:sz w:val="24"/>
              </w:rPr>
            </w:pPr>
            <w:r>
              <w:rPr>
                <w:rFonts w:hint="eastAsia" w:ascii="宋体" w:eastAsia="宋体"/>
                <w:color w:val="auto"/>
                <w:sz w:val="24"/>
              </w:rPr>
              <w:t>单价（元）</w:t>
            </w:r>
          </w:p>
          <w:p>
            <w:pPr>
              <w:spacing w:after="0" w:line="360" w:lineRule="exact"/>
              <w:jc w:val="center"/>
              <w:rPr>
                <w:rFonts w:hint="eastAsia" w:ascii="宋体" w:eastAsia="宋体"/>
                <w:color w:val="auto"/>
                <w:vertAlign w:val="baseline"/>
              </w:rPr>
            </w:pPr>
            <w:r>
              <w:rPr>
                <w:rFonts w:hint="eastAsia" w:ascii="宋体" w:eastAsia="宋体"/>
                <w:color w:val="auto"/>
                <w:sz w:val="24"/>
              </w:rPr>
              <w:t>②</w:t>
            </w:r>
          </w:p>
        </w:tc>
        <w:tc>
          <w:tcPr>
            <w:tcW w:w="1545" w:type="dxa"/>
            <w:vAlign w:val="center"/>
          </w:tcPr>
          <w:p>
            <w:pPr>
              <w:spacing w:after="0" w:line="320" w:lineRule="exact"/>
              <w:jc w:val="center"/>
              <w:rPr>
                <w:rFonts w:ascii="宋体" w:eastAsia="宋体"/>
                <w:color w:val="auto"/>
                <w:sz w:val="24"/>
              </w:rPr>
            </w:pPr>
            <w:r>
              <w:rPr>
                <w:rFonts w:hint="eastAsia" w:ascii="宋体" w:eastAsia="宋体"/>
                <w:color w:val="auto"/>
                <w:sz w:val="24"/>
              </w:rPr>
              <w:t>单项合价（元）</w:t>
            </w:r>
          </w:p>
          <w:p>
            <w:pPr>
              <w:spacing w:after="0" w:line="360" w:lineRule="exact"/>
              <w:jc w:val="center"/>
              <w:rPr>
                <w:rFonts w:hint="eastAsia" w:ascii="宋体" w:eastAsia="宋体"/>
                <w:color w:val="auto"/>
                <w:vertAlign w:val="baseline"/>
              </w:rPr>
            </w:pPr>
            <w:r>
              <w:rPr>
                <w:rFonts w:hint="eastAsia" w:ascii="宋体" w:eastAsia="宋体"/>
                <w:color w:val="auto"/>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hint="eastAsia" w:ascii="宋体" w:eastAsia="宋体"/>
                <w:color w:val="auto"/>
                <w:sz w:val="24"/>
              </w:rPr>
            </w:pPr>
            <w:r>
              <w:rPr>
                <w:rFonts w:hint="eastAsia" w:ascii="宋体" w:eastAsia="宋体"/>
                <w:color w:val="auto"/>
                <w:sz w:val="24"/>
              </w:rPr>
              <w:t>1</w:t>
            </w:r>
          </w:p>
        </w:tc>
        <w:tc>
          <w:tcPr>
            <w:tcW w:w="1927" w:type="dxa"/>
          </w:tcPr>
          <w:p>
            <w:pPr>
              <w:spacing w:after="0" w:line="360" w:lineRule="exact"/>
              <w:jc w:val="both"/>
              <w:rPr>
                <w:rFonts w:hint="eastAsia" w:ascii="宋体" w:eastAsia="宋体"/>
                <w:color w:val="auto"/>
                <w:vertAlign w:val="baseline"/>
              </w:rPr>
            </w:pPr>
          </w:p>
        </w:tc>
        <w:tc>
          <w:tcPr>
            <w:tcW w:w="1485" w:type="dxa"/>
          </w:tcPr>
          <w:p>
            <w:pPr>
              <w:spacing w:after="0" w:line="360" w:lineRule="exact"/>
              <w:jc w:val="both"/>
              <w:rPr>
                <w:rFonts w:hint="eastAsia" w:ascii="宋体" w:eastAsia="宋体"/>
                <w:color w:val="auto"/>
                <w:vertAlign w:val="baseline"/>
              </w:rPr>
            </w:pPr>
          </w:p>
        </w:tc>
        <w:tc>
          <w:tcPr>
            <w:tcW w:w="1805" w:type="dxa"/>
          </w:tcPr>
          <w:p>
            <w:pPr>
              <w:spacing w:after="0" w:line="360" w:lineRule="exact"/>
              <w:jc w:val="both"/>
              <w:rPr>
                <w:rFonts w:hint="eastAsia" w:ascii="宋体" w:eastAsia="宋体"/>
                <w:color w:val="auto"/>
                <w:vertAlign w:val="baseline"/>
              </w:rPr>
            </w:pPr>
          </w:p>
        </w:tc>
        <w:tc>
          <w:tcPr>
            <w:tcW w:w="1485" w:type="dxa"/>
          </w:tcPr>
          <w:p>
            <w:pPr>
              <w:spacing w:after="0" w:line="360" w:lineRule="exact"/>
              <w:jc w:val="both"/>
              <w:rPr>
                <w:rFonts w:hint="eastAsia" w:ascii="宋体" w:eastAsia="宋体"/>
                <w:color w:val="auto"/>
                <w:vertAlign w:val="baseline"/>
              </w:rPr>
            </w:pPr>
          </w:p>
        </w:tc>
        <w:tc>
          <w:tcPr>
            <w:tcW w:w="1545" w:type="dxa"/>
          </w:tcPr>
          <w:p>
            <w:pPr>
              <w:spacing w:after="0" w:line="360" w:lineRule="exact"/>
              <w:jc w:val="both"/>
              <w:rPr>
                <w:rFonts w:hint="eastAsia" w:asci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6"/>
            <w:vAlign w:val="center"/>
          </w:tcPr>
          <w:p>
            <w:pPr>
              <w:spacing w:after="0" w:line="360" w:lineRule="exact"/>
              <w:rPr>
                <w:rFonts w:hint="eastAsia" w:ascii="宋体" w:eastAsia="宋体"/>
                <w:color w:val="auto"/>
                <w:vertAlign w:val="baseline"/>
              </w:rPr>
            </w:pPr>
            <w:r>
              <w:rPr>
                <w:rFonts w:hint="eastAsia" w:ascii="宋体" w:eastAsia="宋体"/>
                <w:color w:val="auto"/>
                <w:sz w:val="24"/>
              </w:rPr>
              <w:t>总报价：人民币</w:t>
            </w:r>
            <w:r>
              <w:rPr>
                <w:rFonts w:hint="eastAsia" w:ascii="宋体" w:eastAsia="宋体"/>
                <w:color w:val="auto"/>
                <w:sz w:val="24"/>
                <w:lang w:eastAsia="zh-CN"/>
              </w:rPr>
              <w:t>大写：</w:t>
            </w:r>
            <w:r>
              <w:rPr>
                <w:rFonts w:hint="eastAsia" w:ascii="宋体" w:eastAsia="宋体"/>
                <w:color w:val="auto"/>
                <w:sz w:val="24"/>
                <w:u w:val="single"/>
              </w:rPr>
              <w:t xml:space="preserve">              （￥</w:t>
            </w:r>
            <w:r>
              <w:rPr>
                <w:rFonts w:hint="eastAsia" w:ascii="宋体" w:eastAsia="宋体"/>
                <w:color w:val="auto"/>
                <w:sz w:val="24"/>
                <w:u w:val="single"/>
                <w:lang w:eastAsia="zh-CN"/>
              </w:rPr>
              <w:t>小写：</w:t>
            </w:r>
            <w:r>
              <w:rPr>
                <w:rFonts w:hint="eastAsia" w:ascii="宋体" w:eastAsia="宋体"/>
                <w:color w:val="auto"/>
                <w:sz w:val="24"/>
                <w:u w:val="single"/>
              </w:rPr>
              <w:t xml:space="preserve">                 </w:t>
            </w:r>
            <w:r>
              <w:rPr>
                <w:rFonts w:hint="eastAsia" w:ascii="宋体" w:eastAsia="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6"/>
            <w:vAlign w:val="center"/>
          </w:tcPr>
          <w:p>
            <w:pPr>
              <w:spacing w:after="0" w:line="360" w:lineRule="exact"/>
              <w:rPr>
                <w:rFonts w:hint="eastAsia" w:ascii="宋体" w:eastAsia="宋体"/>
                <w:color w:val="auto"/>
                <w:vertAlign w:val="baseline"/>
              </w:rPr>
            </w:pPr>
            <w:r>
              <w:rPr>
                <w:rFonts w:hint="eastAsia" w:ascii="宋体" w:eastAsia="宋体"/>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6"/>
            <w:vAlign w:val="center"/>
          </w:tcPr>
          <w:p>
            <w:pPr>
              <w:spacing w:after="0" w:line="360" w:lineRule="exact"/>
              <w:rPr>
                <w:rFonts w:hint="eastAsia" w:ascii="宋体" w:eastAsia="宋体"/>
                <w:color w:val="auto"/>
                <w:vertAlign w:val="baseline"/>
              </w:rPr>
            </w:pPr>
            <w:r>
              <w:rPr>
                <w:rFonts w:hint="eastAsia" w:ascii="宋体" w:eastAsia="宋体"/>
                <w:color w:val="auto"/>
                <w:sz w:val="24"/>
              </w:rPr>
              <w:t>交货地点：</w:t>
            </w:r>
          </w:p>
        </w:tc>
      </w:tr>
    </w:tbl>
    <w:p>
      <w:pPr>
        <w:pStyle w:val="2"/>
        <w:rPr>
          <w:color w:val="auto"/>
        </w:rPr>
      </w:pPr>
    </w:p>
    <w:p>
      <w:pPr>
        <w:spacing w:after="0" w:line="360" w:lineRule="exact"/>
        <w:jc w:val="both"/>
        <w:rPr>
          <w:rFonts w:asciiTheme="minorEastAsia" w:hAnsiTheme="minorEastAsia" w:eastAsiaTheme="minorEastAsia"/>
          <w:color w:val="auto"/>
        </w:rPr>
      </w:pPr>
      <w:r>
        <w:rPr>
          <w:rFonts w:hint="eastAsia" w:asciiTheme="minorEastAsia" w:hAnsiTheme="minorEastAsia" w:eastAsiaTheme="minorEastAsia"/>
          <w:color w:val="auto"/>
        </w:rPr>
        <w:t>注：1.所有价格均用人民币表示，单位为元，精确到小数点后两位数。</w:t>
      </w:r>
    </w:p>
    <w:p>
      <w:pPr>
        <w:spacing w:after="0" w:line="360" w:lineRule="exact"/>
        <w:ind w:firstLine="440" w:firstLineChars="200"/>
        <w:jc w:val="both"/>
        <w:rPr>
          <w:rFonts w:asciiTheme="minorEastAsia" w:hAnsiTheme="minorEastAsia" w:eastAsiaTheme="minorEastAsia"/>
          <w:color w:val="auto"/>
        </w:rPr>
      </w:pPr>
      <w:r>
        <w:rPr>
          <w:rFonts w:hint="eastAsia" w:asciiTheme="minorEastAsia" w:hAnsiTheme="minorEastAsia" w:eastAsiaTheme="minorEastAsia"/>
          <w:bCs/>
          <w:color w:val="auto"/>
        </w:rPr>
        <w:t>2.各供应商</w:t>
      </w:r>
      <w:r>
        <w:rPr>
          <w:rFonts w:hint="eastAsia" w:asciiTheme="minorEastAsia" w:hAnsiTheme="minorEastAsia" w:eastAsiaTheme="minorEastAsia"/>
          <w:color w:val="auto"/>
        </w:rPr>
        <w:t>必须就“项目采购需求和说明”中所有内容作完整唯一报价，否则，其响应文件无效。</w:t>
      </w:r>
    </w:p>
    <w:p>
      <w:pPr>
        <w:spacing w:after="0" w:line="360" w:lineRule="exact"/>
        <w:ind w:firstLine="440" w:firstLineChars="200"/>
        <w:jc w:val="both"/>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此表的总报价是所有需采购方支付的本次采购标的金额总数，即竞标总价。竞标总价须包含完成用户需求要求所有内容的全部费用。</w:t>
      </w:r>
      <w:r>
        <w:rPr>
          <w:rFonts w:asciiTheme="minorEastAsia" w:hAnsiTheme="minorEastAsia" w:eastAsiaTheme="minorEastAsia"/>
          <w:color w:val="auto"/>
        </w:rPr>
        <w:tab/>
      </w:r>
    </w:p>
    <w:p>
      <w:pPr>
        <w:spacing w:after="0" w:line="360" w:lineRule="exact"/>
        <w:ind w:firstLine="440" w:firstLineChars="200"/>
        <w:jc w:val="both"/>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若此表由多页构成的，需逐页加盖供应商公章。</w:t>
      </w:r>
    </w:p>
    <w:p>
      <w:pPr>
        <w:spacing w:after="120"/>
        <w:rPr>
          <w:rFonts w:asciiTheme="minorEastAsia" w:hAnsiTheme="minorEastAsia" w:eastAsiaTheme="minorEastAsia"/>
          <w:color w:val="auto"/>
        </w:rPr>
      </w:pPr>
    </w:p>
    <w:p>
      <w:pPr>
        <w:spacing w:after="120"/>
        <w:rPr>
          <w:rFonts w:asciiTheme="minorEastAsia" w:hAnsiTheme="minorEastAsia" w:eastAsiaTheme="minorEastAsia"/>
          <w:color w:val="auto"/>
        </w:rPr>
      </w:pP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after="120" w:line="360" w:lineRule="auto"/>
        <w:ind w:left="1320" w:leftChars="600"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地址：      </w:t>
      </w:r>
      <w:r>
        <w:rPr>
          <w:rFonts w:hint="eastAsia" w:cs="宋体" w:asciiTheme="minorEastAsia" w:hAnsiTheme="minorEastAsia" w:eastAsiaTheme="minorEastAsia"/>
          <w:color w:val="auto"/>
          <w:sz w:val="24"/>
        </w:rPr>
        <w:t>邮编</w:t>
      </w:r>
      <w:r>
        <w:rPr>
          <w:rFonts w:hint="eastAsia" w:asciiTheme="minorEastAsia" w:hAnsiTheme="minorEastAsia" w:eastAsiaTheme="minorEastAsia"/>
          <w:color w:val="auto"/>
          <w:sz w:val="24"/>
        </w:rPr>
        <w:t>：</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电话</w:t>
      </w:r>
      <w:r>
        <w:rPr>
          <w:rFonts w:hint="eastAsia"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传</w:t>
      </w:r>
      <w:r>
        <w:rPr>
          <w:rFonts w:hint="eastAsia" w:asciiTheme="minorEastAsia" w:hAnsiTheme="minorEastAsia" w:eastAsiaTheme="minorEastAsia"/>
          <w:color w:val="auto"/>
          <w:sz w:val="24"/>
        </w:rPr>
        <w:t>真：</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spacing w:line="300" w:lineRule="auto"/>
        <w:rPr>
          <w:rFonts w:asciiTheme="minorEastAsia" w:hAnsiTheme="minorEastAsia" w:eastAsiaTheme="minorEastAsia"/>
          <w:color w:val="auto"/>
          <w:sz w:val="24"/>
        </w:rPr>
      </w:pPr>
      <w:r>
        <w:rPr>
          <w:rFonts w:asciiTheme="minorEastAsia" w:hAnsiTheme="minorEastAsia" w:eastAsiaTheme="minorEastAsia"/>
          <w:color w:val="auto"/>
          <w:szCs w:val="21"/>
        </w:rPr>
        <w:br w:type="page"/>
      </w:r>
      <w:r>
        <w:rPr>
          <w:rFonts w:hint="eastAsia" w:asciiTheme="minorEastAsia" w:hAnsiTheme="minorEastAsia" w:eastAsiaTheme="minorEastAsia"/>
          <w:color w:val="auto"/>
          <w:sz w:val="24"/>
        </w:rPr>
        <w:t>附件二：</w:t>
      </w:r>
    </w:p>
    <w:p>
      <w:pPr>
        <w:spacing w:before="120" w:beforeLines="50" w:after="120" w:afterLines="50" w:line="600" w:lineRule="exact"/>
        <w:jc w:val="center"/>
        <w:rPr>
          <w:rFonts w:asciiTheme="minorEastAsia" w:hAnsiTheme="minorEastAsia" w:eastAsiaTheme="minorEastAsia"/>
          <w:color w:val="auto"/>
          <w:sz w:val="32"/>
          <w:szCs w:val="32"/>
        </w:rPr>
      </w:pPr>
      <w:bookmarkStart w:id="92" w:name="_Toc246094932"/>
      <w:bookmarkStart w:id="93" w:name="_Toc246095476"/>
      <w:bookmarkStart w:id="94" w:name="_Toc246095538"/>
      <w:r>
        <w:rPr>
          <w:rFonts w:hint="eastAsia" w:asciiTheme="minorEastAsia" w:hAnsiTheme="minorEastAsia" w:eastAsiaTheme="minorEastAsia"/>
          <w:color w:val="auto"/>
          <w:sz w:val="32"/>
          <w:szCs w:val="32"/>
        </w:rPr>
        <w:t>谈判书</w:t>
      </w:r>
      <w:bookmarkEnd w:id="92"/>
      <w:bookmarkEnd w:id="93"/>
      <w:bookmarkEnd w:id="94"/>
    </w:p>
    <w:p>
      <w:pPr>
        <w:spacing w:after="0" w:line="42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致：(采购代理机构)</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根据贵方的</w:t>
      </w:r>
      <w:r>
        <w:rPr>
          <w:rFonts w:hint="eastAsia" w:cs="Arial" w:asciiTheme="minorEastAsia" w:hAnsiTheme="minorEastAsia" w:eastAsiaTheme="minorEastAsia"/>
          <w:color w:val="auto"/>
          <w:sz w:val="24"/>
          <w:u w:val="single"/>
        </w:rPr>
        <w:t xml:space="preserve">   （项目名称） （项目编号：     ）  </w:t>
      </w:r>
      <w:r>
        <w:rPr>
          <w:rFonts w:hint="eastAsia" w:cs="Arial" w:asciiTheme="minorEastAsia" w:hAnsiTheme="minorEastAsia" w:eastAsiaTheme="minorEastAsia"/>
          <w:color w:val="auto"/>
          <w:sz w:val="24"/>
        </w:rPr>
        <w:t>项目政府采购的谈判邀请，我方授权代表</w:t>
      </w:r>
      <w:r>
        <w:rPr>
          <w:rFonts w:hint="eastAsia" w:cs="Arial" w:asciiTheme="minorEastAsia" w:hAnsiTheme="minorEastAsia" w:eastAsiaTheme="minorEastAsia"/>
          <w:color w:val="auto"/>
          <w:sz w:val="24"/>
          <w:u w:val="single"/>
        </w:rPr>
        <w:t xml:space="preserve">         （姓名和职务）</w:t>
      </w:r>
      <w:r>
        <w:rPr>
          <w:rFonts w:hint="eastAsia" w:cs="Arial" w:asciiTheme="minorEastAsia" w:hAnsiTheme="minorEastAsia" w:eastAsiaTheme="minorEastAsia"/>
          <w:color w:val="auto"/>
          <w:sz w:val="24"/>
        </w:rPr>
        <w:t>经正式授权并代表供应商</w:t>
      </w:r>
      <w:r>
        <w:rPr>
          <w:rFonts w:hint="eastAsia" w:cs="Arial" w:asciiTheme="minorEastAsia" w:hAnsiTheme="minorEastAsia" w:eastAsiaTheme="minorEastAsia"/>
          <w:color w:val="auto"/>
          <w:sz w:val="24"/>
          <w:u w:val="single"/>
        </w:rPr>
        <w:t xml:space="preserve">    （供应商名称）   </w:t>
      </w:r>
      <w:r>
        <w:rPr>
          <w:rFonts w:hint="eastAsia" w:cs="Arial" w:asciiTheme="minorEastAsia" w:hAnsiTheme="minorEastAsia" w:eastAsiaTheme="minorEastAsia"/>
          <w:color w:val="auto"/>
          <w:sz w:val="24"/>
        </w:rPr>
        <w:t>提交响应文件正本一份、副本份。</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在此，授权代表宣布同意如下：</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3．本次响应文件有效期</w:t>
      </w:r>
      <w:r>
        <w:rPr>
          <w:rFonts w:hint="eastAsia" w:cs="宋体" w:asciiTheme="minorEastAsia" w:hAnsiTheme="minorEastAsia" w:eastAsiaTheme="minorEastAsia"/>
          <w:color w:val="auto"/>
          <w:sz w:val="24"/>
        </w:rPr>
        <w:t>自响应文件提交截止之日起天（日历天）</w:t>
      </w:r>
      <w:r>
        <w:rPr>
          <w:rFonts w:hint="eastAsia" w:cs="Arial" w:asciiTheme="minorEastAsia" w:hAnsiTheme="minorEastAsia" w:eastAsiaTheme="minorEastAsia"/>
          <w:color w:val="auto"/>
          <w:sz w:val="24"/>
        </w:rPr>
        <w:t>内。</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4．如成交，供应商将按“竞争性谈判文件”及政府采购法律、法规的规定履行合同责任和义务。</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5．供应商同意按照贵方要求提供与谈判有关的一切数据或资料。</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lang w:val="en-US" w:eastAsia="zh-CN"/>
        </w:rPr>
        <w:t>6</w:t>
      </w:r>
      <w:r>
        <w:rPr>
          <w:rFonts w:hint="eastAsia" w:cs="Arial" w:asciiTheme="minorEastAsia" w:hAnsiTheme="minorEastAsia" w:eastAsiaTheme="minorEastAsia"/>
          <w:color w:val="auto"/>
          <w:sz w:val="24"/>
        </w:rPr>
        <w:t>．与本次谈判有关的一切正式往来信函请寄：</w:t>
      </w:r>
    </w:p>
    <w:p>
      <w:pPr>
        <w:spacing w:after="0" w:line="420" w:lineRule="exact"/>
        <w:ind w:left="1320" w:leftChars="600" w:firstLine="480" w:firstLineChars="200"/>
        <w:rPr>
          <w:rFonts w:asciiTheme="minorEastAsia" w:hAnsiTheme="minorEastAsia" w:eastAsiaTheme="minorEastAsia"/>
          <w:color w:val="auto"/>
          <w:sz w:val="24"/>
        </w:rPr>
      </w:pP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地址：       邮编：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电话：       传真：</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spacing w:after="0" w:line="420" w:lineRule="exact"/>
        <w:ind w:left="1320" w:leftChars="600" w:firstLine="480" w:firstLineChars="200"/>
        <w:rPr>
          <w:rFonts w:asciiTheme="minorEastAsia" w:hAnsiTheme="minorEastAsia" w:eastAsiaTheme="minorEastAsia"/>
          <w:color w:val="auto"/>
          <w:sz w:val="24"/>
        </w:rPr>
      </w:pPr>
    </w:p>
    <w:p>
      <w:pPr>
        <w:spacing w:after="0" w:line="420" w:lineRule="exact"/>
        <w:rPr>
          <w:rFonts w:asciiTheme="minorEastAsia" w:hAnsiTheme="minorEastAsia" w:eastAsiaTheme="minorEastAsia"/>
          <w:b/>
          <w:color w:val="auto"/>
          <w:sz w:val="24"/>
        </w:rPr>
      </w:pPr>
      <w:bookmarkStart w:id="95" w:name="_Toc405196519"/>
      <w:r>
        <w:rPr>
          <w:rFonts w:hint="eastAsia" w:asciiTheme="minorEastAsia" w:hAnsiTheme="minorEastAsia" w:eastAsiaTheme="minorEastAsia"/>
          <w:color w:val="auto"/>
        </w:rPr>
        <w:br w:type="page"/>
      </w:r>
      <w:r>
        <w:rPr>
          <w:rFonts w:hint="eastAsia" w:asciiTheme="minorEastAsia" w:hAnsiTheme="minorEastAsia" w:eastAsiaTheme="minorEastAsia"/>
          <w:b/>
          <w:color w:val="auto"/>
          <w:sz w:val="24"/>
        </w:rPr>
        <w:t>附件三：</w:t>
      </w:r>
    </w:p>
    <w:bookmarkEnd w:id="95"/>
    <w:p>
      <w:pPr>
        <w:spacing w:before="120" w:beforeLines="50" w:after="12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竞标声明书</w:t>
      </w:r>
    </w:p>
    <w:p>
      <w:pPr>
        <w:spacing w:after="0" w:line="400" w:lineRule="exact"/>
        <w:rPr>
          <w:rFonts w:asciiTheme="minorEastAsia" w:hAnsiTheme="minorEastAsia" w:eastAsiaTheme="minorEastAsia"/>
          <w:color w:val="auto"/>
          <w:sz w:val="24"/>
        </w:rPr>
      </w:pPr>
    </w:p>
    <w:p>
      <w:pPr>
        <w:spacing w:after="0" w:line="400" w:lineRule="exact"/>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致：(采购代理机构)</w:t>
      </w:r>
    </w:p>
    <w:p>
      <w:pPr>
        <w:spacing w:after="0" w:line="400" w:lineRule="exact"/>
        <w:ind w:firstLine="720" w:firstLineChars="3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u w:val="single"/>
        </w:rPr>
        <w:t>（供应商名称）</w:t>
      </w:r>
      <w:r>
        <w:rPr>
          <w:rFonts w:hint="eastAsia" w:asciiTheme="minorEastAsia" w:hAnsiTheme="minorEastAsia" w:eastAsiaTheme="minorEastAsia"/>
          <w:color w:val="auto"/>
          <w:sz w:val="24"/>
        </w:rPr>
        <w:t>系中华人民共和国合法企业，经营地址：</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我</w:t>
      </w:r>
      <w:r>
        <w:rPr>
          <w:rFonts w:hint="eastAsia" w:asciiTheme="minorEastAsia" w:hAnsiTheme="minorEastAsia" w:eastAsiaTheme="minorEastAsia"/>
          <w:color w:val="auto"/>
          <w:sz w:val="24"/>
          <w:u w:val="single"/>
        </w:rPr>
        <w:t>（姓名）</w:t>
      </w:r>
      <w:r>
        <w:rPr>
          <w:rFonts w:hint="eastAsia" w:asciiTheme="minorEastAsia" w:hAnsiTheme="minorEastAsia" w:eastAsiaTheme="minorEastAsia"/>
          <w:color w:val="auto"/>
          <w:sz w:val="24"/>
        </w:rPr>
        <w:t>系</w:t>
      </w:r>
      <w:r>
        <w:rPr>
          <w:rFonts w:hint="eastAsia" w:asciiTheme="minorEastAsia" w:hAnsiTheme="minorEastAsia" w:eastAsiaTheme="minorEastAsia"/>
          <w:color w:val="auto"/>
          <w:sz w:val="24"/>
          <w:u w:val="single"/>
        </w:rPr>
        <w:t>（供应商名称）</w:t>
      </w:r>
      <w:r>
        <w:rPr>
          <w:rFonts w:hint="eastAsia" w:asciiTheme="minorEastAsia" w:hAnsiTheme="minorEastAsia" w:eastAsiaTheme="minorEastAsia"/>
          <w:color w:val="auto"/>
          <w:sz w:val="24"/>
        </w:rPr>
        <w:t>的法定代表人，我方愿意参加贵方组织的</w:t>
      </w:r>
      <w:r>
        <w:rPr>
          <w:rFonts w:hint="eastAsia" w:asciiTheme="minorEastAsia" w:hAnsiTheme="minorEastAsia" w:eastAsiaTheme="minorEastAsia"/>
          <w:color w:val="auto"/>
          <w:sz w:val="24"/>
          <w:u w:val="single"/>
        </w:rPr>
        <w:t xml:space="preserve">（项目名称）（项目编号：      </w:t>
      </w:r>
      <w:r>
        <w:rPr>
          <w:rFonts w:hint="eastAsia" w:asciiTheme="minorEastAsia" w:hAnsiTheme="minorEastAsia" w:eastAsiaTheme="minorEastAsia"/>
          <w:color w:val="auto"/>
          <w:sz w:val="24"/>
        </w:rPr>
        <w:t>）的竞标，为便于贵方公正、择优地确定成交人及其服务，我方就本次竞标有关事项郑重声明如下：</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1.我方向贵方提交的所有响应文件、资料都是准确的和真实的。</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Theme="minorEastAsia" w:hAnsiTheme="minorEastAsia" w:eastAsiaTheme="minorEastAsia"/>
          <w:color w:val="auto"/>
          <w:sz w:val="24"/>
          <w:szCs w:val="20"/>
        </w:rPr>
      </w:pPr>
      <w:r>
        <w:rPr>
          <w:rFonts w:asciiTheme="minorEastAsia" w:hAnsiTheme="minorEastAsia" w:eastAsiaTheme="minorEastAsia"/>
          <w:color w:val="auto"/>
          <w:sz w:val="24"/>
          <w:szCs w:val="20"/>
        </w:rPr>
        <w:t>3</w:t>
      </w:r>
      <w:r>
        <w:rPr>
          <w:rFonts w:hint="eastAsia" w:asciiTheme="minorEastAsia" w:hAnsiTheme="minorEastAsia" w:eastAsiaTheme="minorEastAsia"/>
          <w:color w:val="auto"/>
          <w:sz w:val="24"/>
          <w:szCs w:val="20"/>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□我方本次响应文件</w:t>
      </w:r>
      <w:r>
        <w:rPr>
          <w:rFonts w:hint="eastAsia" w:cs="宋体" w:asciiTheme="minorEastAsia" w:hAnsiTheme="minorEastAsia" w:eastAsiaTheme="minorEastAsia"/>
          <w:color w:val="auto"/>
          <w:sz w:val="24"/>
        </w:rPr>
        <w:t>内容中</w:t>
      </w:r>
      <w:r>
        <w:rPr>
          <w:rFonts w:hint="eastAsia" w:asciiTheme="minorEastAsia" w:hAnsiTheme="minorEastAsia" w:eastAsiaTheme="minorEastAsia"/>
          <w:color w:val="auto"/>
          <w:sz w:val="24"/>
          <w:szCs w:val="20"/>
        </w:rPr>
        <w:t>未</w:t>
      </w:r>
      <w:r>
        <w:rPr>
          <w:rFonts w:hint="eastAsia" w:cs="宋体" w:asciiTheme="minorEastAsia" w:hAnsiTheme="minorEastAsia" w:eastAsiaTheme="minorEastAsia"/>
          <w:color w:val="auto"/>
          <w:sz w:val="24"/>
        </w:rPr>
        <w:t>涉及商业秘密；</w:t>
      </w:r>
    </w:p>
    <w:p>
      <w:pPr>
        <w:spacing w:after="0" w:line="400" w:lineRule="exact"/>
        <w:ind w:firstLine="480" w:firstLineChars="200"/>
        <w:rPr>
          <w:rFonts w:asciiTheme="minorEastAsia" w:hAnsiTheme="minorEastAsia" w:eastAsiaTheme="minorEastAsia"/>
          <w:color w:val="auto"/>
          <w:sz w:val="24"/>
          <w:szCs w:val="20"/>
          <w:u w:val="single"/>
        </w:rPr>
      </w:pPr>
      <w:r>
        <w:rPr>
          <w:rFonts w:hint="eastAsia" w:asciiTheme="minorEastAsia" w:hAnsiTheme="minorEastAsia" w:eastAsiaTheme="minorEastAsia"/>
          <w:color w:val="auto"/>
          <w:sz w:val="24"/>
          <w:szCs w:val="20"/>
        </w:rPr>
        <w:t>□我方本次响应文件</w:t>
      </w:r>
      <w:r>
        <w:rPr>
          <w:rFonts w:hint="eastAsia" w:cs="宋体" w:asciiTheme="minorEastAsia" w:hAnsiTheme="minorEastAsia" w:eastAsiaTheme="minorEastAsia"/>
          <w:color w:val="auto"/>
          <w:sz w:val="24"/>
        </w:rPr>
        <w:t>涉及商业秘密的内容有：；</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.我方在此声明，完全符合《中华人民共和国政府采购法》第二十二条规定的供应商资格条件，我方对此声明负全部法律责任。</w:t>
      </w:r>
    </w:p>
    <w:p>
      <w:pPr>
        <w:spacing w:after="0" w:line="400" w:lineRule="exact"/>
        <w:ind w:firstLine="480" w:firstLineChars="200"/>
        <w:rPr>
          <w:rFonts w:asciiTheme="minorEastAsia" w:hAnsiTheme="minorEastAsia" w:eastAsiaTheme="minorEastAsia"/>
          <w:color w:val="auto"/>
          <w:sz w:val="24"/>
          <w:szCs w:val="20"/>
          <w:u w:val="single"/>
        </w:rPr>
      </w:pPr>
      <w:r>
        <w:rPr>
          <w:rFonts w:hint="eastAsia" w:asciiTheme="minorEastAsia" w:hAnsiTheme="minorEastAsia" w:eastAsiaTheme="minorEastAsia"/>
          <w:color w:val="auto"/>
          <w:sz w:val="24"/>
          <w:lang w:val="zh-CN"/>
        </w:rPr>
        <w:t>5.以上事项如有虚假或隐瞒，我方愿意承担一切后果，并不再寻求任何旨在减轻或免除法律责任的辩解。</w:t>
      </w:r>
    </w:p>
    <w:p>
      <w:pPr>
        <w:spacing w:after="0" w:line="400" w:lineRule="exact"/>
        <w:ind w:firstLine="480" w:firstLineChars="200"/>
        <w:rPr>
          <w:rFonts w:asciiTheme="minorEastAsia" w:hAnsiTheme="minorEastAsia" w:eastAsiaTheme="minorEastAsia"/>
          <w:color w:val="auto"/>
          <w:sz w:val="24"/>
          <w:szCs w:val="20"/>
          <w:u w:val="single"/>
        </w:rPr>
      </w:pPr>
    </w:p>
    <w:p>
      <w:pPr>
        <w:spacing w:line="400" w:lineRule="exact"/>
        <w:ind w:firstLine="5476" w:firstLineChars="2282"/>
        <w:rPr>
          <w:rFonts w:asciiTheme="minorEastAsia" w:hAnsiTheme="minorEastAsia" w:eastAsiaTheme="minorEastAsia"/>
          <w:color w:val="auto"/>
          <w:sz w:val="24"/>
        </w:rPr>
      </w:pPr>
    </w:p>
    <w:p>
      <w:pPr>
        <w:spacing w:line="4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400" w:lineRule="exact"/>
        <w:ind w:firstLine="3720" w:firstLineChars="155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法定代表人签字：</w:t>
      </w:r>
    </w:p>
    <w:p>
      <w:pPr>
        <w:spacing w:line="4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adjustRightInd/>
        <w:snapToGrid/>
        <w:spacing w:line="220" w:lineRule="atLeas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pPr>
        <w:spacing w:line="300" w:lineRule="auto"/>
        <w:ind w:left="-92" w:leftChars="-42"/>
        <w:rPr>
          <w:rFonts w:asciiTheme="minorEastAsia" w:hAnsiTheme="minorEastAsia" w:eastAsiaTheme="minorEastAsia"/>
          <w:b/>
          <w:color w:val="auto"/>
          <w:sz w:val="24"/>
        </w:rPr>
      </w:pPr>
      <w:r>
        <w:rPr>
          <w:rFonts w:hint="eastAsia" w:asciiTheme="minorEastAsia" w:hAnsiTheme="minorEastAsia" w:eastAsiaTheme="minorEastAsia"/>
          <w:b/>
          <w:color w:val="auto"/>
          <w:sz w:val="24"/>
        </w:rPr>
        <w:t>附件四：</w:t>
      </w:r>
    </w:p>
    <w:p>
      <w:pPr>
        <w:spacing w:before="120" w:beforeLines="50" w:after="12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技术响应、偏离情况说明表</w:t>
      </w:r>
    </w:p>
    <w:p>
      <w:pPr>
        <w:spacing w:after="0" w:line="3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采购项目编号:</w:t>
      </w:r>
    </w:p>
    <w:p>
      <w:pPr>
        <w:spacing w:after="0" w:line="3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采购项目名称:</w:t>
      </w:r>
    </w:p>
    <w:tbl>
      <w:tblPr>
        <w:tblStyle w:val="37"/>
        <w:tblW w:w="91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783"/>
        <w:gridCol w:w="1783"/>
        <w:gridCol w:w="1783"/>
        <w:gridCol w:w="1783"/>
        <w:gridCol w:w="1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after="0" w:line="360" w:lineRule="exact"/>
              <w:rPr>
                <w:rFonts w:asciiTheme="minorEastAsia" w:hAnsiTheme="minorEastAsia" w:eastAsiaTheme="minorEastAsia"/>
                <w:color w:val="auto"/>
                <w:sz w:val="24"/>
              </w:rPr>
            </w:pPr>
            <w:bookmarkStart w:id="96" w:name="_Toc254970588"/>
            <w:bookmarkStart w:id="97" w:name="_Toc173066401"/>
            <w:bookmarkStart w:id="98" w:name="_Toc173211900"/>
            <w:bookmarkStart w:id="99" w:name="_Toc295404981"/>
            <w:bookmarkStart w:id="100" w:name="_Toc297193185"/>
            <w:bookmarkStart w:id="101" w:name="_Toc254970729"/>
            <w:bookmarkStart w:id="102" w:name="_Toc301781611"/>
            <w:bookmarkStart w:id="103" w:name="_Toc383699906"/>
            <w:bookmarkStart w:id="104" w:name="_Toc373333689"/>
            <w:r>
              <w:rPr>
                <w:rFonts w:hint="eastAsia" w:asciiTheme="minorEastAsia" w:hAnsiTheme="minorEastAsia" w:eastAsiaTheme="minorEastAsia"/>
                <w:color w:val="auto"/>
                <w:sz w:val="24"/>
              </w:rPr>
              <w:t>序号</w:t>
            </w:r>
            <w:bookmarkEnd w:id="96"/>
            <w:bookmarkEnd w:id="97"/>
            <w:bookmarkEnd w:id="98"/>
            <w:bookmarkEnd w:id="99"/>
            <w:bookmarkEnd w:id="100"/>
            <w:bookmarkEnd w:id="101"/>
            <w:bookmarkEnd w:id="102"/>
            <w:bookmarkEnd w:id="103"/>
            <w:bookmarkEnd w:id="104"/>
          </w:p>
        </w:tc>
        <w:tc>
          <w:tcPr>
            <w:tcW w:w="1783" w:type="dxa"/>
            <w:tcBorders>
              <w:right w:val="single" w:color="auto" w:sz="4" w:space="0"/>
            </w:tcBorders>
            <w:vAlign w:val="center"/>
          </w:tcPr>
          <w:p>
            <w:pPr>
              <w:spacing w:after="0" w:line="3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货物或产品名称</w:t>
            </w:r>
          </w:p>
        </w:tc>
        <w:tc>
          <w:tcPr>
            <w:tcW w:w="1783" w:type="dxa"/>
            <w:tcBorders>
              <w:left w:val="single" w:color="auto" w:sz="4" w:space="0"/>
            </w:tcBorders>
            <w:vAlign w:val="center"/>
          </w:tcPr>
          <w:p>
            <w:pPr>
              <w:spacing w:after="0" w:line="360" w:lineRule="exact"/>
              <w:jc w:val="center"/>
              <w:rPr>
                <w:rFonts w:asciiTheme="minorEastAsia" w:hAnsiTheme="minorEastAsia" w:eastAsiaTheme="minorEastAsia"/>
                <w:color w:val="auto"/>
                <w:sz w:val="24"/>
              </w:rPr>
            </w:pPr>
            <w:bookmarkStart w:id="105" w:name="_Toc373333690"/>
            <w:bookmarkStart w:id="106" w:name="_Toc383699907"/>
            <w:bookmarkStart w:id="107" w:name="_Toc297193186"/>
            <w:bookmarkStart w:id="108" w:name="_Toc254970730"/>
            <w:bookmarkStart w:id="109" w:name="_Toc301781612"/>
            <w:bookmarkStart w:id="110" w:name="_Toc173211901"/>
            <w:bookmarkStart w:id="111" w:name="_Toc173066402"/>
            <w:bookmarkStart w:id="112" w:name="_Toc254970589"/>
            <w:bookmarkStart w:id="113" w:name="_Toc295404982"/>
            <w:r>
              <w:rPr>
                <w:rFonts w:hint="eastAsia" w:asciiTheme="minorEastAsia" w:hAnsiTheme="minorEastAsia" w:eastAsiaTheme="minorEastAsia"/>
                <w:color w:val="auto"/>
                <w:sz w:val="24"/>
              </w:rPr>
              <w:t>竞争性谈判文件要求</w:t>
            </w:r>
            <w:bookmarkEnd w:id="105"/>
            <w:bookmarkEnd w:id="106"/>
            <w:bookmarkEnd w:id="107"/>
            <w:bookmarkEnd w:id="108"/>
            <w:bookmarkEnd w:id="109"/>
            <w:bookmarkEnd w:id="110"/>
            <w:bookmarkEnd w:id="111"/>
            <w:bookmarkEnd w:id="112"/>
            <w:bookmarkEnd w:id="113"/>
          </w:p>
        </w:tc>
        <w:tc>
          <w:tcPr>
            <w:tcW w:w="1783" w:type="dxa"/>
            <w:vAlign w:val="center"/>
          </w:tcPr>
          <w:p>
            <w:pPr>
              <w:spacing w:after="0" w:line="360" w:lineRule="exact"/>
              <w:jc w:val="center"/>
              <w:rPr>
                <w:rFonts w:asciiTheme="minorEastAsia" w:hAnsiTheme="minorEastAsia" w:eastAsiaTheme="minorEastAsia"/>
                <w:color w:val="auto"/>
                <w:sz w:val="24"/>
              </w:rPr>
            </w:pPr>
            <w:bookmarkStart w:id="114" w:name="_Toc254970590"/>
            <w:bookmarkStart w:id="115" w:name="_Toc173211902"/>
            <w:bookmarkStart w:id="116" w:name="_Toc254970731"/>
            <w:bookmarkStart w:id="117" w:name="_Toc373333691"/>
            <w:bookmarkStart w:id="118" w:name="_Toc301781613"/>
            <w:bookmarkStart w:id="119" w:name="_Toc173066403"/>
            <w:bookmarkStart w:id="120" w:name="_Toc383699908"/>
            <w:bookmarkStart w:id="121" w:name="_Toc295404983"/>
            <w:bookmarkStart w:id="122" w:name="_Toc297193187"/>
            <w:r>
              <w:rPr>
                <w:rFonts w:hint="eastAsia" w:asciiTheme="minorEastAsia" w:hAnsiTheme="minorEastAsia" w:eastAsiaTheme="minorEastAsia"/>
                <w:color w:val="auto"/>
                <w:sz w:val="24"/>
              </w:rPr>
              <w:t>响应文件响应</w:t>
            </w:r>
            <w:bookmarkEnd w:id="114"/>
            <w:bookmarkEnd w:id="115"/>
            <w:bookmarkEnd w:id="116"/>
            <w:bookmarkEnd w:id="117"/>
            <w:bookmarkEnd w:id="118"/>
            <w:bookmarkEnd w:id="119"/>
            <w:bookmarkEnd w:id="120"/>
            <w:bookmarkEnd w:id="121"/>
            <w:bookmarkEnd w:id="122"/>
            <w:r>
              <w:rPr>
                <w:rFonts w:hint="eastAsia" w:asciiTheme="minorEastAsia" w:hAnsiTheme="minorEastAsia" w:eastAsiaTheme="minorEastAsia"/>
                <w:color w:val="auto"/>
                <w:sz w:val="24"/>
              </w:rPr>
              <w:t>内容（</w:t>
            </w:r>
            <w:r>
              <w:rPr>
                <w:rFonts w:hint="eastAsia" w:asciiTheme="minorEastAsia" w:hAnsiTheme="minorEastAsia" w:eastAsiaTheme="minorEastAsia"/>
                <w:bCs/>
                <w:color w:val="auto"/>
                <w:sz w:val="24"/>
              </w:rPr>
              <w:t>货物的技术参数、性能指标承诺）</w:t>
            </w:r>
          </w:p>
        </w:tc>
        <w:tc>
          <w:tcPr>
            <w:tcW w:w="1783" w:type="dxa"/>
            <w:vAlign w:val="center"/>
          </w:tcPr>
          <w:p>
            <w:pPr>
              <w:spacing w:after="0" w:line="360" w:lineRule="exact"/>
              <w:jc w:val="center"/>
              <w:rPr>
                <w:rFonts w:asciiTheme="minorEastAsia" w:hAnsiTheme="minorEastAsia" w:eastAsiaTheme="minorEastAsia"/>
                <w:color w:val="auto"/>
                <w:sz w:val="24"/>
              </w:rPr>
            </w:pPr>
            <w:bookmarkStart w:id="123" w:name="_Toc173066404"/>
            <w:bookmarkStart w:id="124" w:name="_Toc173211903"/>
            <w:bookmarkStart w:id="125" w:name="_Toc254970732"/>
            <w:bookmarkStart w:id="126" w:name="_Toc297193188"/>
            <w:bookmarkStart w:id="127" w:name="_Toc295404984"/>
            <w:bookmarkStart w:id="128" w:name="_Toc254970591"/>
            <w:bookmarkStart w:id="129" w:name="_Toc301781614"/>
            <w:bookmarkStart w:id="130" w:name="_Toc373333692"/>
            <w:bookmarkStart w:id="131" w:name="_Toc383699909"/>
            <w:r>
              <w:rPr>
                <w:rFonts w:hint="eastAsia" w:asciiTheme="minorEastAsia" w:hAnsiTheme="minorEastAsia" w:eastAsiaTheme="minorEastAsia"/>
                <w:color w:val="auto"/>
                <w:sz w:val="24"/>
              </w:rPr>
              <w:t>偏离</w:t>
            </w:r>
            <w:bookmarkEnd w:id="123"/>
            <w:bookmarkEnd w:id="124"/>
            <w:bookmarkEnd w:id="125"/>
            <w:bookmarkEnd w:id="126"/>
            <w:bookmarkEnd w:id="127"/>
            <w:bookmarkEnd w:id="128"/>
            <w:bookmarkEnd w:id="129"/>
            <w:bookmarkEnd w:id="130"/>
            <w:bookmarkEnd w:id="131"/>
            <w:r>
              <w:rPr>
                <w:rFonts w:hint="eastAsia" w:asciiTheme="minorEastAsia" w:hAnsiTheme="minorEastAsia" w:eastAsiaTheme="minorEastAsia"/>
                <w:color w:val="auto"/>
                <w:sz w:val="24"/>
              </w:rPr>
              <w:t>说明</w:t>
            </w:r>
          </w:p>
        </w:tc>
        <w:tc>
          <w:tcPr>
            <w:tcW w:w="1254" w:type="dxa"/>
            <w:vAlign w:val="center"/>
          </w:tcPr>
          <w:p>
            <w:pPr>
              <w:spacing w:after="0" w:line="3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32" w:name="_Toc254970734"/>
            <w:bookmarkStart w:id="133" w:name="_Toc373333694"/>
            <w:bookmarkStart w:id="134" w:name="_Toc297193190"/>
            <w:bookmarkStart w:id="135" w:name="_Toc301781616"/>
            <w:bookmarkStart w:id="136" w:name="_Toc383699911"/>
            <w:bookmarkStart w:id="137" w:name="_Toc295404986"/>
            <w:bookmarkStart w:id="138" w:name="_Toc254970593"/>
            <w:bookmarkStart w:id="139" w:name="_Toc173066406"/>
            <w:bookmarkStart w:id="140" w:name="_Toc173211905"/>
            <w:r>
              <w:rPr>
                <w:rFonts w:hint="eastAsia" w:asciiTheme="minorEastAsia" w:hAnsiTheme="minorEastAsia" w:eastAsiaTheme="minorEastAsia"/>
                <w:color w:val="auto"/>
                <w:sz w:val="24"/>
              </w:rPr>
              <w:t>1</w:t>
            </w:r>
            <w:bookmarkEnd w:id="132"/>
            <w:bookmarkEnd w:id="133"/>
            <w:bookmarkEnd w:id="134"/>
            <w:bookmarkEnd w:id="135"/>
            <w:bookmarkEnd w:id="136"/>
            <w:bookmarkEnd w:id="137"/>
            <w:bookmarkEnd w:id="138"/>
            <w:bookmarkEnd w:id="139"/>
            <w:bookmarkEnd w:id="140"/>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254" w:type="dxa"/>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41" w:name="_Toc254970594"/>
            <w:bookmarkStart w:id="142" w:name="_Toc173066407"/>
            <w:bookmarkStart w:id="143" w:name="_Toc173211906"/>
            <w:bookmarkStart w:id="144" w:name="_Toc254970735"/>
            <w:bookmarkStart w:id="145" w:name="_Toc297193191"/>
            <w:bookmarkStart w:id="146" w:name="_Toc301781617"/>
            <w:bookmarkStart w:id="147" w:name="_Toc295404987"/>
            <w:bookmarkStart w:id="148" w:name="_Toc373333695"/>
            <w:bookmarkStart w:id="149" w:name="_Toc383699912"/>
            <w:r>
              <w:rPr>
                <w:rFonts w:hint="eastAsia" w:asciiTheme="minorEastAsia" w:hAnsiTheme="minorEastAsia" w:eastAsiaTheme="minorEastAsia"/>
                <w:color w:val="auto"/>
                <w:sz w:val="24"/>
              </w:rPr>
              <w:t>2</w:t>
            </w:r>
            <w:bookmarkEnd w:id="141"/>
            <w:bookmarkEnd w:id="142"/>
            <w:bookmarkEnd w:id="143"/>
            <w:bookmarkEnd w:id="144"/>
            <w:bookmarkEnd w:id="145"/>
            <w:bookmarkEnd w:id="146"/>
            <w:bookmarkEnd w:id="147"/>
            <w:bookmarkEnd w:id="148"/>
            <w:bookmarkEnd w:id="149"/>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254" w:type="dxa"/>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50" w:name="_Toc173211907"/>
            <w:bookmarkStart w:id="151" w:name="_Toc254970595"/>
            <w:bookmarkStart w:id="152" w:name="_Toc173066408"/>
            <w:bookmarkStart w:id="153" w:name="_Toc254970736"/>
            <w:bookmarkStart w:id="154" w:name="_Toc301781618"/>
            <w:bookmarkStart w:id="155" w:name="_Toc295404988"/>
            <w:bookmarkStart w:id="156" w:name="_Toc297193192"/>
            <w:bookmarkStart w:id="157" w:name="_Toc373333696"/>
            <w:bookmarkStart w:id="158" w:name="_Toc383699913"/>
            <w:r>
              <w:rPr>
                <w:rFonts w:hint="eastAsia" w:asciiTheme="minorEastAsia" w:hAnsiTheme="minorEastAsia" w:eastAsiaTheme="minorEastAsia"/>
                <w:color w:val="auto"/>
                <w:sz w:val="24"/>
              </w:rPr>
              <w:t>3</w:t>
            </w:r>
            <w:bookmarkEnd w:id="150"/>
            <w:bookmarkEnd w:id="151"/>
            <w:bookmarkEnd w:id="152"/>
            <w:bookmarkEnd w:id="153"/>
            <w:bookmarkEnd w:id="154"/>
            <w:bookmarkEnd w:id="155"/>
            <w:bookmarkEnd w:id="156"/>
            <w:bookmarkEnd w:id="157"/>
            <w:bookmarkEnd w:id="158"/>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254" w:type="dxa"/>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59" w:name="_Toc254970596"/>
            <w:bookmarkStart w:id="160" w:name="_Toc173211908"/>
            <w:bookmarkStart w:id="161" w:name="_Toc254970737"/>
            <w:bookmarkStart w:id="162" w:name="_Toc295404989"/>
            <w:bookmarkStart w:id="163" w:name="_Toc173066409"/>
            <w:bookmarkStart w:id="164" w:name="_Toc297193193"/>
            <w:bookmarkStart w:id="165" w:name="_Toc301781619"/>
            <w:bookmarkStart w:id="166" w:name="_Toc383699914"/>
            <w:bookmarkStart w:id="167" w:name="_Toc373333697"/>
            <w:r>
              <w:rPr>
                <w:rFonts w:hint="eastAsia" w:asciiTheme="minorEastAsia" w:hAnsiTheme="minorEastAsia" w:eastAsiaTheme="minorEastAsia"/>
                <w:color w:val="auto"/>
                <w:sz w:val="24"/>
              </w:rPr>
              <w:t>4</w:t>
            </w:r>
            <w:bookmarkEnd w:id="159"/>
            <w:bookmarkEnd w:id="160"/>
            <w:bookmarkEnd w:id="161"/>
            <w:bookmarkEnd w:id="162"/>
            <w:bookmarkEnd w:id="163"/>
            <w:bookmarkEnd w:id="164"/>
            <w:bookmarkEnd w:id="165"/>
            <w:bookmarkEnd w:id="166"/>
            <w:bookmarkEnd w:id="167"/>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254" w:type="dxa"/>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68" w:name="_Toc373333698"/>
            <w:bookmarkStart w:id="169" w:name="_Toc173066410"/>
            <w:bookmarkStart w:id="170" w:name="_Toc295404990"/>
            <w:bookmarkStart w:id="171" w:name="_Toc173211909"/>
            <w:bookmarkStart w:id="172" w:name="_Toc254970597"/>
            <w:bookmarkStart w:id="173" w:name="_Toc297193194"/>
            <w:bookmarkStart w:id="174" w:name="_Toc254970738"/>
            <w:bookmarkStart w:id="175" w:name="_Toc383699915"/>
            <w:bookmarkStart w:id="176" w:name="_Toc301781620"/>
            <w:r>
              <w:rPr>
                <w:rFonts w:hint="eastAsia" w:asciiTheme="minorEastAsia" w:hAnsiTheme="minorEastAsia" w:eastAsiaTheme="minorEastAsia"/>
                <w:color w:val="auto"/>
                <w:sz w:val="24"/>
              </w:rPr>
              <w:t>5</w:t>
            </w:r>
            <w:bookmarkEnd w:id="168"/>
            <w:bookmarkEnd w:id="169"/>
            <w:bookmarkEnd w:id="170"/>
            <w:bookmarkEnd w:id="171"/>
            <w:bookmarkEnd w:id="172"/>
            <w:bookmarkEnd w:id="173"/>
            <w:bookmarkEnd w:id="174"/>
            <w:bookmarkEnd w:id="175"/>
            <w:bookmarkEnd w:id="176"/>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254" w:type="dxa"/>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06" w:type="dxa"/>
            <w:vAlign w:val="center"/>
          </w:tcPr>
          <w:p>
            <w:pPr>
              <w:spacing w:line="300" w:lineRule="auto"/>
              <w:jc w:val="center"/>
              <w:rPr>
                <w:rFonts w:asciiTheme="minorEastAsia" w:hAnsiTheme="minorEastAsia" w:eastAsiaTheme="minorEastAsia"/>
                <w:color w:val="auto"/>
                <w:sz w:val="24"/>
              </w:rPr>
            </w:pPr>
            <w:bookmarkStart w:id="177" w:name="_Toc254970602"/>
            <w:bookmarkStart w:id="178" w:name="_Toc173211914"/>
            <w:bookmarkStart w:id="179" w:name="_Toc301781621"/>
            <w:bookmarkStart w:id="180" w:name="_Toc254970743"/>
            <w:bookmarkStart w:id="181" w:name="_Toc295404991"/>
            <w:bookmarkStart w:id="182" w:name="_Toc173066415"/>
            <w:bookmarkStart w:id="183" w:name="_Toc297193195"/>
            <w:bookmarkStart w:id="184" w:name="_Toc373333699"/>
            <w:bookmarkStart w:id="185" w:name="_Toc383699916"/>
            <w:r>
              <w:rPr>
                <w:rFonts w:hint="eastAsia" w:asciiTheme="minorEastAsia" w:hAnsiTheme="minorEastAsia" w:eastAsiaTheme="minorEastAsia"/>
                <w:color w:val="auto"/>
                <w:sz w:val="24"/>
              </w:rPr>
              <w:t>…</w:t>
            </w:r>
            <w:bookmarkEnd w:id="177"/>
            <w:bookmarkEnd w:id="178"/>
            <w:bookmarkEnd w:id="179"/>
            <w:bookmarkEnd w:id="180"/>
            <w:bookmarkEnd w:id="181"/>
            <w:bookmarkEnd w:id="182"/>
            <w:bookmarkEnd w:id="183"/>
            <w:bookmarkEnd w:id="184"/>
            <w:bookmarkEnd w:id="185"/>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1783" w:type="dxa"/>
            <w:vAlign w:val="center"/>
          </w:tcPr>
          <w:p>
            <w:pPr>
              <w:spacing w:line="300" w:lineRule="auto"/>
              <w:rPr>
                <w:rFonts w:asciiTheme="minorEastAsia" w:hAnsiTheme="minorEastAsia" w:eastAsiaTheme="minorEastAsia"/>
                <w:color w:val="auto"/>
                <w:sz w:val="24"/>
              </w:rPr>
            </w:pPr>
          </w:p>
        </w:tc>
        <w:tc>
          <w:tcPr>
            <w:tcW w:w="1783" w:type="dxa"/>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1254" w:type="dxa"/>
            <w:tcBorders>
              <w:left w:val="single" w:color="auto" w:sz="4" w:space="0"/>
            </w:tcBorders>
            <w:vAlign w:val="center"/>
          </w:tcPr>
          <w:p>
            <w:pPr>
              <w:spacing w:line="300" w:lineRule="auto"/>
              <w:rPr>
                <w:rFonts w:asciiTheme="minorEastAsia" w:hAnsiTheme="minorEastAsia" w:eastAsiaTheme="minorEastAsia"/>
                <w:color w:val="auto"/>
                <w:sz w:val="24"/>
              </w:rPr>
            </w:pPr>
          </w:p>
        </w:tc>
      </w:tr>
    </w:tbl>
    <w:p>
      <w:pPr>
        <w:pStyle w:val="17"/>
        <w:spacing w:line="300" w:lineRule="auto"/>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p>
      <w:pPr>
        <w:pStyle w:val="17"/>
        <w:spacing w:line="300" w:lineRule="auto"/>
        <w:ind w:firstLine="428"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r>
        <w:rPr>
          <w:rFonts w:asciiTheme="minorEastAsia" w:hAnsiTheme="minorEastAsia" w:eastAsiaTheme="minorEastAsia"/>
          <w:bCs/>
          <w:color w:val="auto"/>
          <w:szCs w:val="21"/>
        </w:rPr>
        <w:t>1</w:t>
      </w:r>
      <w:r>
        <w:rPr>
          <w:rFonts w:hint="eastAsia" w:asciiTheme="minorEastAsia" w:hAnsiTheme="minorEastAsia" w:eastAsiaTheme="minorEastAsia"/>
          <w:bCs/>
          <w:color w:val="auto"/>
          <w:szCs w:val="21"/>
        </w:rPr>
        <w:t>）供应商应对照第三章《</w:t>
      </w:r>
      <w:r>
        <w:rPr>
          <w:rFonts w:hint="eastAsia" w:asciiTheme="minorEastAsia" w:hAnsiTheme="minorEastAsia" w:eastAsiaTheme="minorEastAsia"/>
          <w:color w:val="auto"/>
          <w:szCs w:val="21"/>
        </w:rPr>
        <w:t>项目采购需求和说明</w:t>
      </w:r>
      <w:r>
        <w:rPr>
          <w:rFonts w:hint="eastAsia" w:asciiTheme="minorEastAsia" w:hAnsiTheme="minorEastAsia" w:eastAsiaTheme="minorEastAsia"/>
          <w:bCs/>
          <w:color w:val="auto"/>
          <w:szCs w:val="21"/>
        </w:rPr>
        <w:t>》中所列技术参数、性能指标要求逐条对应填报竞标货物的技术参数、性能指标等承诺，并在</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偏离说明</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栏注明</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正偏离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负偏离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或</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无偏离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，当出现</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正偏离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情况时应详细填写偏离情况说明及提供相应有效证明材料。</w:t>
      </w:r>
    </w:p>
    <w:p>
      <w:pPr>
        <w:pStyle w:val="17"/>
        <w:spacing w:line="300" w:lineRule="auto"/>
        <w:ind w:firstLine="428"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2</w:t>
      </w:r>
      <w:r>
        <w:rPr>
          <w:rFonts w:hint="eastAsia" w:asciiTheme="minorEastAsia" w:hAnsiTheme="minorEastAsia" w:eastAsiaTheme="minorEastAsia"/>
          <w:bCs/>
          <w:color w:val="auto"/>
          <w:szCs w:val="21"/>
        </w:rPr>
        <w:t>）技术规格与采购要求相同的为无偏离，技术规格高于采购要求的为正偏离，低于采购要求的为负偏离。</w:t>
      </w:r>
    </w:p>
    <w:p>
      <w:pPr>
        <w:pStyle w:val="17"/>
        <w:spacing w:line="300" w:lineRule="auto"/>
        <w:ind w:firstLine="428" w:firstLineChars="200"/>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3</w:t>
      </w:r>
      <w:r>
        <w:rPr>
          <w:rFonts w:hint="eastAsia" w:asciiTheme="minorEastAsia" w:hAnsiTheme="minorEastAsia" w:eastAsiaTheme="minorEastAsia"/>
          <w:bCs/>
          <w:color w:val="auto"/>
          <w:szCs w:val="21"/>
        </w:rPr>
        <w:t>）本表可扩展。</w:t>
      </w:r>
    </w:p>
    <w:p>
      <w:pPr>
        <w:pStyle w:val="20"/>
        <w:spacing w:line="300" w:lineRule="auto"/>
        <w:rPr>
          <w:rFonts w:asciiTheme="minorEastAsia" w:hAnsiTheme="minorEastAsia" w:eastAsiaTheme="minorEastAsia"/>
          <w:color w:val="auto"/>
          <w:sz w:val="24"/>
          <w:szCs w:val="24"/>
        </w:rPr>
      </w:pPr>
    </w:p>
    <w:p>
      <w:pPr>
        <w:pStyle w:val="20"/>
        <w:spacing w:line="300" w:lineRule="auto"/>
        <w:ind w:firstLine="1680" w:firstLineChars="700"/>
        <w:rPr>
          <w:rFonts w:asciiTheme="minorEastAsia" w:hAnsiTheme="minorEastAsia" w:eastAsiaTheme="minorEastAsia"/>
          <w:color w:val="auto"/>
          <w:sz w:val="24"/>
          <w:szCs w:val="24"/>
        </w:rPr>
      </w:pPr>
    </w:p>
    <w:p>
      <w:pPr>
        <w:pStyle w:val="20"/>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20"/>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adjustRightInd/>
        <w:snapToGrid/>
        <w:spacing w:line="220" w:lineRule="atLeast"/>
        <w:rPr>
          <w:rFonts w:asciiTheme="minorEastAsia" w:hAnsiTheme="minorEastAsia" w:eastAsiaTheme="minorEastAsia"/>
          <w:color w:val="auto"/>
          <w:kern w:val="2"/>
          <w:sz w:val="24"/>
        </w:rPr>
      </w:pPr>
      <w:r>
        <w:rPr>
          <w:rFonts w:asciiTheme="minorEastAsia" w:hAnsiTheme="minorEastAsia" w:eastAsiaTheme="minorEastAsia"/>
          <w:color w:val="auto"/>
          <w:sz w:val="24"/>
        </w:rPr>
        <w:br w:type="page"/>
      </w:r>
    </w:p>
    <w:p>
      <w:pPr>
        <w:pStyle w:val="20"/>
        <w:spacing w:line="44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szCs w:val="24"/>
        </w:rPr>
        <w:t>附件五：</w:t>
      </w:r>
    </w:p>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b/>
          <w:color w:val="auto"/>
          <w:sz w:val="32"/>
          <w:szCs w:val="32"/>
        </w:rPr>
        <w:t>商务响应表</w:t>
      </w:r>
    </w:p>
    <w:p>
      <w:pPr>
        <w:pStyle w:val="20"/>
        <w:spacing w:line="40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采购项目编号:</w:t>
      </w:r>
    </w:p>
    <w:p>
      <w:pPr>
        <w:pStyle w:val="20"/>
        <w:spacing w:line="40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采购项目名称:</w:t>
      </w:r>
    </w:p>
    <w:tbl>
      <w:tblPr>
        <w:tblStyle w:val="37"/>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766" w:type="dxa"/>
            <w:vAlign w:val="center"/>
          </w:tcPr>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商务条款名称</w:t>
            </w:r>
          </w:p>
        </w:tc>
        <w:tc>
          <w:tcPr>
            <w:tcW w:w="2392" w:type="dxa"/>
            <w:vAlign w:val="center"/>
          </w:tcPr>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竞争性谈判文件要求</w:t>
            </w:r>
          </w:p>
        </w:tc>
        <w:tc>
          <w:tcPr>
            <w:tcW w:w="1944" w:type="dxa"/>
            <w:vAlign w:val="center"/>
          </w:tcPr>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响应文件响应内容</w:t>
            </w:r>
          </w:p>
        </w:tc>
        <w:tc>
          <w:tcPr>
            <w:tcW w:w="1560" w:type="dxa"/>
            <w:vAlign w:val="center"/>
          </w:tcPr>
          <w:p>
            <w:pPr>
              <w:pStyle w:val="20"/>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rPr>
            </w:pPr>
          </w:p>
        </w:tc>
        <w:tc>
          <w:tcPr>
            <w:tcW w:w="1766" w:type="dxa"/>
            <w:vAlign w:val="center"/>
          </w:tcPr>
          <w:p>
            <w:pPr>
              <w:pStyle w:val="20"/>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rPr>
              <w:t>质保期</w:t>
            </w:r>
          </w:p>
        </w:tc>
        <w:tc>
          <w:tcPr>
            <w:tcW w:w="2392" w:type="dxa"/>
            <w:vAlign w:val="center"/>
          </w:tcPr>
          <w:p>
            <w:pPr>
              <w:pStyle w:val="20"/>
              <w:spacing w:line="400" w:lineRule="exact"/>
              <w:rPr>
                <w:rFonts w:asciiTheme="minorEastAsia" w:hAnsiTheme="minorEastAsia" w:eastAsiaTheme="minorEastAsia"/>
                <w:color w:val="auto"/>
                <w:sz w:val="24"/>
                <w:szCs w:val="24"/>
              </w:rPr>
            </w:pPr>
          </w:p>
        </w:tc>
        <w:tc>
          <w:tcPr>
            <w:tcW w:w="1944" w:type="dxa"/>
            <w:vAlign w:val="center"/>
          </w:tcPr>
          <w:p>
            <w:pPr>
              <w:pStyle w:val="20"/>
              <w:spacing w:line="400" w:lineRule="exact"/>
              <w:rPr>
                <w:rFonts w:asciiTheme="minorEastAsia" w:hAnsiTheme="minorEastAsia" w:eastAsiaTheme="minorEastAsia"/>
                <w:color w:val="auto"/>
                <w:sz w:val="24"/>
                <w:szCs w:val="24"/>
              </w:rPr>
            </w:pPr>
          </w:p>
        </w:tc>
        <w:tc>
          <w:tcPr>
            <w:tcW w:w="1560" w:type="dxa"/>
            <w:vAlign w:val="center"/>
          </w:tcPr>
          <w:p>
            <w:pPr>
              <w:pStyle w:val="20"/>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rPr>
            </w:pPr>
          </w:p>
        </w:tc>
        <w:tc>
          <w:tcPr>
            <w:tcW w:w="1766" w:type="dxa"/>
            <w:vAlign w:val="center"/>
          </w:tcPr>
          <w:p>
            <w:pPr>
              <w:pStyle w:val="20"/>
              <w:spacing w:line="400" w:lineRule="exac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p>
        </w:tc>
        <w:tc>
          <w:tcPr>
            <w:tcW w:w="2392" w:type="dxa"/>
          </w:tcPr>
          <w:p>
            <w:pPr>
              <w:pStyle w:val="20"/>
              <w:spacing w:line="400" w:lineRule="exact"/>
              <w:rPr>
                <w:rFonts w:asciiTheme="minorEastAsia" w:hAnsiTheme="minorEastAsia" w:eastAsiaTheme="minorEastAsia"/>
                <w:color w:val="auto"/>
                <w:sz w:val="24"/>
                <w:szCs w:val="24"/>
              </w:rPr>
            </w:pPr>
          </w:p>
        </w:tc>
        <w:tc>
          <w:tcPr>
            <w:tcW w:w="1944" w:type="dxa"/>
          </w:tcPr>
          <w:p>
            <w:pPr>
              <w:pStyle w:val="20"/>
              <w:spacing w:line="400" w:lineRule="exact"/>
              <w:rPr>
                <w:rFonts w:asciiTheme="minorEastAsia" w:hAnsiTheme="minorEastAsia" w:eastAsiaTheme="minorEastAsia"/>
                <w:color w:val="auto"/>
                <w:sz w:val="24"/>
                <w:szCs w:val="24"/>
              </w:rPr>
            </w:pPr>
          </w:p>
        </w:tc>
        <w:tc>
          <w:tcPr>
            <w:tcW w:w="1560" w:type="dxa"/>
          </w:tcPr>
          <w:p>
            <w:pPr>
              <w:pStyle w:val="20"/>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rPr>
            </w:pPr>
          </w:p>
        </w:tc>
        <w:tc>
          <w:tcPr>
            <w:tcW w:w="1766" w:type="dxa"/>
            <w:vAlign w:val="center"/>
          </w:tcPr>
          <w:p>
            <w:pPr>
              <w:pStyle w:val="20"/>
              <w:spacing w:line="400" w:lineRule="exact"/>
              <w:rPr>
                <w:rFonts w:asciiTheme="minorEastAsia" w:hAnsiTheme="minorEastAsia" w:eastAsiaTheme="minorEastAsia"/>
                <w:color w:val="auto"/>
                <w:sz w:val="24"/>
                <w:szCs w:val="24"/>
              </w:rPr>
            </w:pPr>
          </w:p>
        </w:tc>
        <w:tc>
          <w:tcPr>
            <w:tcW w:w="2392" w:type="dxa"/>
          </w:tcPr>
          <w:p>
            <w:pPr>
              <w:pStyle w:val="20"/>
              <w:spacing w:line="400" w:lineRule="exact"/>
              <w:rPr>
                <w:rFonts w:asciiTheme="minorEastAsia" w:hAnsiTheme="minorEastAsia" w:eastAsiaTheme="minorEastAsia"/>
                <w:color w:val="auto"/>
                <w:sz w:val="24"/>
                <w:szCs w:val="24"/>
              </w:rPr>
            </w:pPr>
          </w:p>
        </w:tc>
        <w:tc>
          <w:tcPr>
            <w:tcW w:w="1944" w:type="dxa"/>
          </w:tcPr>
          <w:p>
            <w:pPr>
              <w:pStyle w:val="20"/>
              <w:spacing w:line="400" w:lineRule="exact"/>
              <w:rPr>
                <w:rFonts w:asciiTheme="minorEastAsia" w:hAnsiTheme="minorEastAsia" w:eastAsiaTheme="minorEastAsia"/>
                <w:color w:val="auto"/>
                <w:sz w:val="24"/>
                <w:szCs w:val="24"/>
              </w:rPr>
            </w:pPr>
          </w:p>
        </w:tc>
        <w:tc>
          <w:tcPr>
            <w:tcW w:w="1560" w:type="dxa"/>
          </w:tcPr>
          <w:p>
            <w:pPr>
              <w:pStyle w:val="20"/>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rPr>
            </w:pPr>
          </w:p>
        </w:tc>
        <w:tc>
          <w:tcPr>
            <w:tcW w:w="1766" w:type="dxa"/>
            <w:vAlign w:val="center"/>
          </w:tcPr>
          <w:p>
            <w:pPr>
              <w:pStyle w:val="20"/>
              <w:spacing w:line="400" w:lineRule="exact"/>
              <w:rPr>
                <w:rFonts w:asciiTheme="minorEastAsia" w:hAnsiTheme="minorEastAsia" w:eastAsiaTheme="minorEastAsia"/>
                <w:color w:val="auto"/>
                <w:sz w:val="24"/>
                <w:szCs w:val="24"/>
              </w:rPr>
            </w:pPr>
          </w:p>
        </w:tc>
        <w:tc>
          <w:tcPr>
            <w:tcW w:w="2392" w:type="dxa"/>
          </w:tcPr>
          <w:p>
            <w:pPr>
              <w:pStyle w:val="20"/>
              <w:spacing w:line="400" w:lineRule="exact"/>
              <w:rPr>
                <w:rFonts w:asciiTheme="minorEastAsia" w:hAnsiTheme="minorEastAsia" w:eastAsiaTheme="minorEastAsia"/>
                <w:color w:val="auto"/>
                <w:sz w:val="24"/>
                <w:szCs w:val="24"/>
              </w:rPr>
            </w:pPr>
          </w:p>
        </w:tc>
        <w:tc>
          <w:tcPr>
            <w:tcW w:w="1944" w:type="dxa"/>
          </w:tcPr>
          <w:p>
            <w:pPr>
              <w:pStyle w:val="20"/>
              <w:spacing w:line="400" w:lineRule="exact"/>
              <w:rPr>
                <w:rFonts w:asciiTheme="minorEastAsia" w:hAnsiTheme="minorEastAsia" w:eastAsiaTheme="minorEastAsia"/>
                <w:color w:val="auto"/>
                <w:sz w:val="24"/>
                <w:szCs w:val="24"/>
              </w:rPr>
            </w:pPr>
          </w:p>
        </w:tc>
        <w:tc>
          <w:tcPr>
            <w:tcW w:w="1560" w:type="dxa"/>
          </w:tcPr>
          <w:p>
            <w:pPr>
              <w:pStyle w:val="20"/>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rPr>
            </w:pPr>
          </w:p>
        </w:tc>
        <w:tc>
          <w:tcPr>
            <w:tcW w:w="1766" w:type="dxa"/>
            <w:vAlign w:val="center"/>
          </w:tcPr>
          <w:p>
            <w:pPr>
              <w:pStyle w:val="20"/>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2392" w:type="dxa"/>
          </w:tcPr>
          <w:p>
            <w:pPr>
              <w:pStyle w:val="20"/>
              <w:spacing w:line="400" w:lineRule="exact"/>
              <w:rPr>
                <w:rFonts w:asciiTheme="minorEastAsia" w:hAnsiTheme="minorEastAsia" w:eastAsiaTheme="minorEastAsia"/>
                <w:color w:val="auto"/>
                <w:sz w:val="24"/>
                <w:szCs w:val="24"/>
              </w:rPr>
            </w:pPr>
          </w:p>
        </w:tc>
        <w:tc>
          <w:tcPr>
            <w:tcW w:w="1944" w:type="dxa"/>
          </w:tcPr>
          <w:p>
            <w:pPr>
              <w:pStyle w:val="20"/>
              <w:spacing w:line="400" w:lineRule="exact"/>
              <w:rPr>
                <w:rFonts w:asciiTheme="minorEastAsia" w:hAnsiTheme="minorEastAsia" w:eastAsiaTheme="minorEastAsia"/>
                <w:color w:val="auto"/>
                <w:sz w:val="24"/>
                <w:szCs w:val="24"/>
              </w:rPr>
            </w:pPr>
          </w:p>
        </w:tc>
        <w:tc>
          <w:tcPr>
            <w:tcW w:w="1560" w:type="dxa"/>
          </w:tcPr>
          <w:p>
            <w:pPr>
              <w:pStyle w:val="20"/>
              <w:spacing w:line="400" w:lineRule="exact"/>
              <w:rPr>
                <w:rFonts w:asciiTheme="minorEastAsia" w:hAnsiTheme="minorEastAsia" w:eastAsiaTheme="minorEastAsia"/>
                <w:color w:val="auto"/>
                <w:sz w:val="24"/>
                <w:szCs w:val="24"/>
              </w:rPr>
            </w:pPr>
          </w:p>
        </w:tc>
      </w:tr>
    </w:tbl>
    <w:p>
      <w:pPr>
        <w:pStyle w:val="2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说明：（1）应对照竞争性谈判文件“第三章  项目采购需求和说明”，</w:t>
      </w:r>
      <w:r>
        <w:rPr>
          <w:rFonts w:hint="eastAsia" w:asciiTheme="minorEastAsia" w:hAnsiTheme="minorEastAsia" w:eastAsiaTheme="minorEastAsia"/>
          <w:b/>
          <w:color w:val="auto"/>
          <w:szCs w:val="21"/>
          <w:u w:val="single"/>
        </w:rPr>
        <w:t>逐条对应</w:t>
      </w:r>
      <w:r>
        <w:rPr>
          <w:rFonts w:hint="eastAsia" w:asciiTheme="minorEastAsia" w:hAnsiTheme="minorEastAsia" w:eastAsiaTheme="minorEastAsia"/>
          <w:color w:val="auto"/>
          <w:szCs w:val="21"/>
        </w:rPr>
        <w:t>商务基本要求进行响应。</w:t>
      </w:r>
    </w:p>
    <w:p>
      <w:pPr>
        <w:pStyle w:val="20"/>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（2）本表内容必须如实填写，并根据响应情况在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偏离说明</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栏填写正偏离或负偏离及原因，完全符合的填写</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无偏离</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p>
    <w:p>
      <w:pPr>
        <w:pStyle w:val="20"/>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）本表可扩展。</w:t>
      </w:r>
    </w:p>
    <w:p>
      <w:pPr>
        <w:pStyle w:val="20"/>
        <w:spacing w:line="400" w:lineRule="exact"/>
        <w:rPr>
          <w:rFonts w:asciiTheme="minorEastAsia" w:hAnsiTheme="minorEastAsia" w:eastAsiaTheme="minorEastAsia"/>
          <w:color w:val="auto"/>
          <w:szCs w:val="21"/>
        </w:rPr>
      </w:pPr>
    </w:p>
    <w:p>
      <w:pPr>
        <w:pStyle w:val="20"/>
        <w:spacing w:line="300" w:lineRule="auto"/>
        <w:ind w:firstLine="1680" w:firstLineChars="700"/>
        <w:rPr>
          <w:rFonts w:asciiTheme="minorEastAsia" w:hAnsiTheme="minorEastAsia" w:eastAsiaTheme="minorEastAsia"/>
          <w:color w:val="auto"/>
          <w:sz w:val="24"/>
          <w:szCs w:val="24"/>
        </w:rPr>
      </w:pPr>
    </w:p>
    <w:p>
      <w:pPr>
        <w:pStyle w:val="20"/>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20"/>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pStyle w:val="20"/>
        <w:spacing w:line="400" w:lineRule="exact"/>
        <w:rPr>
          <w:rFonts w:asciiTheme="minorEastAsia" w:hAnsiTheme="minorEastAsia" w:eastAsiaTheme="minorEastAsia"/>
          <w:color w:val="auto"/>
          <w:szCs w:val="21"/>
        </w:rPr>
      </w:pPr>
    </w:p>
    <w:p>
      <w:pPr>
        <w:spacing w:before="120" w:beforeLines="50" w:after="50"/>
        <w:rPr>
          <w:rFonts w:ascii="宋体" w:hAnsi="宋体" w:eastAsia="宋体" w:cs="宋体"/>
          <w:color w:val="auto"/>
          <w:szCs w:val="21"/>
        </w:rPr>
      </w:pPr>
      <w:r>
        <w:rPr>
          <w:rFonts w:asciiTheme="minorEastAsia" w:hAnsiTheme="minorEastAsia" w:eastAsiaTheme="minorEastAsia"/>
          <w:color w:val="auto"/>
          <w:szCs w:val="21"/>
        </w:rPr>
        <w:br w:type="page"/>
      </w:r>
      <w:r>
        <w:rPr>
          <w:rFonts w:hint="eastAsia" w:asciiTheme="minorEastAsia" w:hAnsiTheme="minorEastAsia" w:eastAsiaTheme="minorEastAsia"/>
          <w:b/>
          <w:color w:val="auto"/>
          <w:kern w:val="2"/>
          <w:sz w:val="24"/>
          <w:szCs w:val="24"/>
        </w:rPr>
        <w:t>附件六</w:t>
      </w:r>
    </w:p>
    <w:p>
      <w:pPr>
        <w:spacing w:before="120" w:beforeLines="50" w:after="50"/>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具备履行合同所必需的设备和专业技术服务能力的承诺书</w:t>
      </w:r>
    </w:p>
    <w:p>
      <w:pPr>
        <w:spacing w:after="0" w:line="400" w:lineRule="exact"/>
        <w:rPr>
          <w:rFonts w:ascii="宋体" w:hAnsi="宋体" w:eastAsia="宋体" w:cs="宋体"/>
          <w:b/>
          <w:bCs/>
          <w:color w:val="auto"/>
          <w:sz w:val="24"/>
          <w:szCs w:val="24"/>
        </w:rPr>
      </w:pPr>
    </w:p>
    <w:p>
      <w:pPr>
        <w:spacing w:after="0" w:line="400" w:lineRule="exact"/>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（采购人或代理机构）     </w:t>
      </w:r>
    </w:p>
    <w:p>
      <w:pPr>
        <w:spacing w:after="0"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我单位参加贵公司组织的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特此承诺。</w:t>
      </w:r>
    </w:p>
    <w:p>
      <w:pPr>
        <w:spacing w:after="0" w:line="400" w:lineRule="exact"/>
        <w:ind w:firstLine="480" w:firstLineChars="200"/>
        <w:rPr>
          <w:rFonts w:ascii="宋体" w:hAnsi="宋体" w:eastAsia="宋体" w:cs="宋体"/>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20"/>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spacing w:before="120" w:beforeLines="50" w:after="50" w:line="360" w:lineRule="auto"/>
        <w:rPr>
          <w:rFonts w:ascii="宋体" w:hAnsi="宋体" w:eastAsia="宋体" w:cs="宋体"/>
          <w:color w:val="auto"/>
          <w:szCs w:val="21"/>
        </w:rPr>
      </w:pPr>
    </w:p>
    <w:p>
      <w:pPr>
        <w:spacing w:before="120" w:beforeLines="50" w:after="50" w:line="360" w:lineRule="auto"/>
        <w:rPr>
          <w:rFonts w:ascii="宋体" w:hAnsi="宋体" w:eastAsia="宋体" w:cs="宋体"/>
          <w:color w:val="auto"/>
          <w:szCs w:val="21"/>
        </w:rPr>
      </w:pPr>
      <w:r>
        <w:rPr>
          <w:rFonts w:hint="eastAsia" w:ascii="宋体" w:hAnsi="宋体" w:eastAsia="宋体" w:cs="宋体"/>
          <w:color w:val="auto"/>
          <w:szCs w:val="21"/>
        </w:rPr>
        <w:t>附：我单位具备履行合同所必需的设备、项目实施人员专业技术服务能力证明材料（如有可以提供）</w:t>
      </w:r>
    </w:p>
    <w:p>
      <w:pPr>
        <w:spacing w:before="120" w:beforeLines="50" w:after="50"/>
        <w:rPr>
          <w:rFonts w:ascii="宋体" w:hAnsi="宋体" w:eastAsia="宋体" w:cs="宋体"/>
          <w:b/>
          <w:bCs/>
          <w:color w:val="auto"/>
          <w:szCs w:val="21"/>
        </w:rPr>
      </w:pPr>
      <w:r>
        <w:rPr>
          <w:rFonts w:hint="eastAsia" w:ascii="宋体" w:hAnsi="宋体" w:eastAsia="宋体" w:cs="宋体"/>
          <w:b/>
          <w:bCs/>
          <w:color w:val="auto"/>
          <w:szCs w:val="21"/>
        </w:rPr>
        <w:t>（参考格式）：</w:t>
      </w:r>
    </w:p>
    <w:p>
      <w:pPr>
        <w:spacing w:before="120" w:beforeLines="50" w:after="50"/>
        <w:rPr>
          <w:rFonts w:ascii="宋体" w:hAnsi="宋体" w:eastAsia="宋体" w:cs="宋体"/>
          <w:b/>
          <w:bCs/>
          <w:color w:val="auto"/>
          <w:szCs w:val="21"/>
        </w:rPr>
      </w:pPr>
      <w:r>
        <w:rPr>
          <w:rFonts w:hint="eastAsia" w:ascii="宋体" w:hAnsi="宋体" w:eastAsia="宋体" w:cs="宋体"/>
          <w:b/>
          <w:bCs/>
          <w:color w:val="auto"/>
          <w:szCs w:val="21"/>
        </w:rPr>
        <w:t>我单位具备的履行合同所必需的设备</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3544"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设备名称</w:t>
            </w:r>
          </w:p>
        </w:tc>
        <w:tc>
          <w:tcPr>
            <w:tcW w:w="4925"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pacing w:before="120" w:beforeLines="50" w:after="50"/>
              <w:jc w:val="center"/>
              <w:rPr>
                <w:rFonts w:ascii="宋体" w:hAnsi="宋体" w:eastAsia="宋体" w:cs="宋体"/>
                <w:b/>
                <w:bCs/>
                <w:color w:val="auto"/>
                <w:szCs w:val="21"/>
              </w:rPr>
            </w:pPr>
          </w:p>
        </w:tc>
        <w:tc>
          <w:tcPr>
            <w:tcW w:w="3544" w:type="dxa"/>
          </w:tcPr>
          <w:p>
            <w:pPr>
              <w:spacing w:before="120" w:beforeLines="50" w:after="50"/>
              <w:jc w:val="center"/>
              <w:rPr>
                <w:rFonts w:ascii="宋体" w:hAnsi="宋体" w:eastAsia="宋体" w:cs="宋体"/>
                <w:b/>
                <w:bCs/>
                <w:color w:val="auto"/>
                <w:szCs w:val="21"/>
              </w:rPr>
            </w:pPr>
          </w:p>
        </w:tc>
        <w:tc>
          <w:tcPr>
            <w:tcW w:w="4925" w:type="dxa"/>
          </w:tcPr>
          <w:p>
            <w:pPr>
              <w:spacing w:before="120" w:beforeLines="50" w:after="50"/>
              <w:jc w:val="cente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auto"/>
                <w:szCs w:val="21"/>
              </w:rPr>
            </w:pPr>
          </w:p>
        </w:tc>
        <w:tc>
          <w:tcPr>
            <w:tcW w:w="3544" w:type="dxa"/>
          </w:tcPr>
          <w:p>
            <w:pPr>
              <w:spacing w:before="120" w:beforeLines="50" w:after="50"/>
              <w:jc w:val="center"/>
              <w:rPr>
                <w:rFonts w:ascii="宋体" w:hAnsi="宋体" w:eastAsia="宋体" w:cs="宋体"/>
                <w:b/>
                <w:bCs/>
                <w:color w:val="auto"/>
                <w:szCs w:val="21"/>
              </w:rPr>
            </w:pPr>
          </w:p>
        </w:tc>
        <w:tc>
          <w:tcPr>
            <w:tcW w:w="4925" w:type="dxa"/>
          </w:tcPr>
          <w:p>
            <w:pPr>
              <w:spacing w:before="120" w:beforeLines="50" w:after="50"/>
              <w:jc w:val="cente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pacing w:before="120" w:beforeLines="50" w:after="50"/>
              <w:rPr>
                <w:rFonts w:ascii="宋体" w:hAnsi="宋体" w:eastAsia="宋体" w:cs="宋体"/>
                <w:b/>
                <w:bCs/>
                <w:color w:val="auto"/>
                <w:szCs w:val="21"/>
              </w:rPr>
            </w:pPr>
          </w:p>
        </w:tc>
        <w:tc>
          <w:tcPr>
            <w:tcW w:w="3544" w:type="dxa"/>
          </w:tcPr>
          <w:p>
            <w:pPr>
              <w:spacing w:before="120" w:beforeLines="50" w:after="50"/>
              <w:rPr>
                <w:rFonts w:ascii="宋体" w:hAnsi="宋体" w:eastAsia="宋体" w:cs="宋体"/>
                <w:b/>
                <w:bCs/>
                <w:color w:val="auto"/>
                <w:szCs w:val="21"/>
              </w:rPr>
            </w:pPr>
            <w:r>
              <w:rPr>
                <w:rFonts w:hint="eastAsia" w:ascii="宋体" w:hAnsi="宋体" w:eastAsia="宋体" w:cs="宋体"/>
                <w:b/>
                <w:bCs/>
                <w:color w:val="auto"/>
                <w:szCs w:val="21"/>
              </w:rPr>
              <w:t>……</w:t>
            </w:r>
          </w:p>
        </w:tc>
        <w:tc>
          <w:tcPr>
            <w:tcW w:w="4925" w:type="dxa"/>
          </w:tcPr>
          <w:p>
            <w:pPr>
              <w:spacing w:before="120" w:beforeLines="50" w:after="50"/>
              <w:rPr>
                <w:rFonts w:ascii="宋体" w:hAnsi="宋体" w:eastAsia="宋体" w:cs="宋体"/>
                <w:b/>
                <w:bCs/>
                <w:color w:val="auto"/>
                <w:szCs w:val="21"/>
              </w:rPr>
            </w:pPr>
          </w:p>
        </w:tc>
      </w:tr>
    </w:tbl>
    <w:p>
      <w:pPr>
        <w:spacing w:before="120" w:beforeLines="50" w:after="50"/>
        <w:rPr>
          <w:rFonts w:ascii="宋体" w:hAnsi="宋体" w:eastAsia="宋体" w:cs="宋体"/>
          <w:b/>
          <w:bCs/>
          <w:color w:val="auto"/>
          <w:szCs w:val="21"/>
        </w:rPr>
      </w:pPr>
    </w:p>
    <w:p>
      <w:pPr>
        <w:spacing w:before="120" w:beforeLines="50" w:after="50"/>
        <w:rPr>
          <w:rFonts w:ascii="宋体" w:hAnsi="宋体" w:eastAsia="宋体" w:cs="宋体"/>
          <w:b/>
          <w:bCs/>
          <w:color w:val="auto"/>
          <w:szCs w:val="21"/>
        </w:rPr>
      </w:pPr>
      <w:r>
        <w:rPr>
          <w:rFonts w:hint="eastAsia" w:ascii="宋体" w:hAnsi="宋体" w:eastAsia="宋体" w:cs="宋体"/>
          <w:b/>
          <w:bCs/>
          <w:color w:val="auto"/>
          <w:szCs w:val="21"/>
        </w:rPr>
        <w:t>项目实施人员专业技术服务能力</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姓名</w:t>
            </w:r>
          </w:p>
        </w:tc>
        <w:tc>
          <w:tcPr>
            <w:tcW w:w="3119"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职务</w:t>
            </w:r>
          </w:p>
        </w:tc>
        <w:tc>
          <w:tcPr>
            <w:tcW w:w="4925" w:type="dxa"/>
          </w:tcPr>
          <w:p>
            <w:pPr>
              <w:spacing w:before="120" w:beforeLines="50" w:after="50"/>
              <w:jc w:val="center"/>
              <w:rPr>
                <w:rFonts w:ascii="宋体" w:hAnsi="宋体" w:eastAsia="宋体" w:cs="宋体"/>
                <w:b/>
                <w:bCs/>
                <w:color w:val="auto"/>
                <w:szCs w:val="21"/>
              </w:rPr>
            </w:pPr>
            <w:r>
              <w:rPr>
                <w:rFonts w:hint="eastAsia" w:ascii="宋体" w:hAnsi="宋体" w:eastAsia="宋体" w:cs="宋体"/>
                <w:b/>
                <w:bCs/>
                <w:color w:val="auto"/>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auto"/>
                <w:szCs w:val="21"/>
              </w:rPr>
            </w:pPr>
          </w:p>
        </w:tc>
        <w:tc>
          <w:tcPr>
            <w:tcW w:w="3119" w:type="dxa"/>
          </w:tcPr>
          <w:p>
            <w:pPr>
              <w:spacing w:before="120" w:beforeLines="50" w:after="50"/>
              <w:jc w:val="center"/>
              <w:rPr>
                <w:rFonts w:ascii="宋体" w:hAnsi="宋体" w:eastAsia="宋体" w:cs="宋体"/>
                <w:b/>
                <w:bCs/>
                <w:color w:val="auto"/>
                <w:szCs w:val="21"/>
              </w:rPr>
            </w:pPr>
          </w:p>
        </w:tc>
        <w:tc>
          <w:tcPr>
            <w:tcW w:w="4925" w:type="dxa"/>
          </w:tcPr>
          <w:p>
            <w:pPr>
              <w:spacing w:before="120" w:beforeLines="50" w:after="50"/>
              <w:jc w:val="center"/>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rPr>
                <w:rFonts w:ascii="宋体" w:hAnsi="宋体" w:eastAsia="宋体" w:cs="宋体"/>
                <w:b/>
                <w:bCs/>
                <w:color w:val="auto"/>
                <w:szCs w:val="21"/>
              </w:rPr>
            </w:pPr>
          </w:p>
        </w:tc>
        <w:tc>
          <w:tcPr>
            <w:tcW w:w="3119" w:type="dxa"/>
          </w:tcPr>
          <w:p>
            <w:pPr>
              <w:spacing w:before="120" w:beforeLines="50" w:after="50"/>
              <w:rPr>
                <w:rFonts w:ascii="宋体" w:hAnsi="宋体" w:eastAsia="宋体" w:cs="宋体"/>
                <w:b/>
                <w:bCs/>
                <w:color w:val="auto"/>
                <w:szCs w:val="21"/>
              </w:rPr>
            </w:pPr>
          </w:p>
        </w:tc>
        <w:tc>
          <w:tcPr>
            <w:tcW w:w="4925" w:type="dxa"/>
          </w:tcPr>
          <w:p>
            <w:pPr>
              <w:spacing w:before="120" w:beforeLines="50" w:after="50"/>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before="120" w:beforeLines="50" w:after="50"/>
              <w:rPr>
                <w:rFonts w:ascii="宋体" w:hAnsi="宋体" w:eastAsia="宋体" w:cs="宋体"/>
                <w:b/>
                <w:bCs/>
                <w:color w:val="auto"/>
                <w:szCs w:val="21"/>
              </w:rPr>
            </w:pPr>
          </w:p>
        </w:tc>
        <w:tc>
          <w:tcPr>
            <w:tcW w:w="3119" w:type="dxa"/>
          </w:tcPr>
          <w:p>
            <w:pPr>
              <w:spacing w:before="120" w:beforeLines="50" w:after="50"/>
              <w:rPr>
                <w:rFonts w:ascii="宋体" w:hAnsi="宋体" w:eastAsia="宋体" w:cs="宋体"/>
                <w:b/>
                <w:bCs/>
                <w:color w:val="auto"/>
                <w:szCs w:val="21"/>
              </w:rPr>
            </w:pPr>
            <w:r>
              <w:rPr>
                <w:rFonts w:hint="eastAsia" w:ascii="宋体" w:hAnsi="宋体" w:eastAsia="宋体" w:cs="宋体"/>
                <w:b/>
                <w:bCs/>
                <w:color w:val="auto"/>
                <w:szCs w:val="21"/>
              </w:rPr>
              <w:t>……</w:t>
            </w:r>
          </w:p>
        </w:tc>
        <w:tc>
          <w:tcPr>
            <w:tcW w:w="4925" w:type="dxa"/>
          </w:tcPr>
          <w:p>
            <w:pPr>
              <w:spacing w:before="120" w:beforeLines="50" w:after="50"/>
              <w:rPr>
                <w:rFonts w:ascii="宋体" w:hAnsi="宋体" w:eastAsia="宋体" w:cs="宋体"/>
                <w:b/>
                <w:bCs/>
                <w:color w:val="auto"/>
                <w:szCs w:val="21"/>
              </w:rPr>
            </w:pPr>
          </w:p>
        </w:tc>
      </w:tr>
    </w:tbl>
    <w:p>
      <w:pPr>
        <w:pStyle w:val="2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kern w:val="0"/>
          <w:sz w:val="22"/>
          <w:szCs w:val="21"/>
        </w:rPr>
        <w:t>（可以附上相关证明材料）</w:t>
      </w:r>
    </w:p>
    <w:p>
      <w:pPr>
        <w:adjustRightInd/>
        <w:snapToGrid/>
        <w:spacing w:line="220" w:lineRule="atLeast"/>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pPr>
        <w:adjustRightInd/>
        <w:snapToGrid/>
        <w:spacing w:line="220" w:lineRule="atLeast"/>
        <w:rPr>
          <w:rFonts w:asciiTheme="minorEastAsia" w:hAnsiTheme="minorEastAsia" w:eastAsiaTheme="minorEastAsia"/>
          <w:b/>
          <w:color w:val="auto"/>
          <w:sz w:val="24"/>
          <w:szCs w:val="24"/>
        </w:rPr>
      </w:pPr>
    </w:p>
    <w:p>
      <w:pPr>
        <w:adjustRightInd/>
        <w:snapToGrid/>
        <w:spacing w:line="220" w:lineRule="atLeas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附件七：</w:t>
      </w:r>
    </w:p>
    <w:p>
      <w:pPr>
        <w:pStyle w:val="20"/>
        <w:spacing w:line="400" w:lineRule="exact"/>
        <w:rPr>
          <w:rFonts w:asciiTheme="minorEastAsia" w:hAnsiTheme="minorEastAsia" w:eastAsiaTheme="minorEastAsia"/>
          <w:b/>
          <w:color w:val="auto"/>
          <w:szCs w:val="21"/>
        </w:rPr>
      </w:pPr>
    </w:p>
    <w:p>
      <w:pPr>
        <w:pStyle w:val="20"/>
        <w:spacing w:line="400"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参加政府采购活动前三年内在经营活动中没有重大违法记录的书面声明</w:t>
      </w:r>
    </w:p>
    <w:p>
      <w:pPr>
        <w:pStyle w:val="20"/>
        <w:spacing w:line="400" w:lineRule="exact"/>
        <w:rPr>
          <w:rFonts w:asciiTheme="minorEastAsia" w:hAnsiTheme="minorEastAsia" w:eastAsiaTheme="minorEastAsia"/>
          <w:color w:val="auto"/>
          <w:szCs w:val="21"/>
        </w:rPr>
      </w:pPr>
    </w:p>
    <w:p>
      <w:pPr>
        <w:pStyle w:val="20"/>
        <w:spacing w:line="400" w:lineRule="exact"/>
        <w:rPr>
          <w:rFonts w:asciiTheme="minorEastAsia" w:hAnsiTheme="minorEastAsia" w:eastAsiaTheme="minorEastAsia"/>
          <w:color w:val="auto"/>
          <w:szCs w:val="21"/>
        </w:rPr>
      </w:pPr>
    </w:p>
    <w:p>
      <w:pPr>
        <w:pStyle w:val="20"/>
        <w:spacing w:line="5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致：________(采购代理机构)</w:t>
      </w:r>
    </w:p>
    <w:p>
      <w:pPr>
        <w:pStyle w:val="20"/>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我单位参加贵公司组织的</w:t>
      </w:r>
      <w:r>
        <w:rPr>
          <w:rFonts w:hint="eastAsia" w:asciiTheme="minorEastAsia" w:hAnsiTheme="minorEastAsia" w:eastAsiaTheme="minorEastAsia"/>
          <w:color w:val="auto"/>
          <w:sz w:val="24"/>
          <w:szCs w:val="24"/>
          <w:u w:val="single"/>
        </w:rPr>
        <w:t>（项目名称）</w:t>
      </w:r>
      <w:r>
        <w:rPr>
          <w:rFonts w:hint="eastAsia" w:asciiTheme="minorEastAsia" w:hAnsiTheme="minorEastAsia" w:eastAsiaTheme="minorEastAsia"/>
          <w:color w:val="auto"/>
          <w:sz w:val="24"/>
          <w:szCs w:val="24"/>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特此承诺。</w:t>
      </w:r>
    </w:p>
    <w:p>
      <w:pPr>
        <w:pStyle w:val="20"/>
        <w:spacing w:line="400" w:lineRule="exact"/>
        <w:rPr>
          <w:rFonts w:asciiTheme="minorEastAsia" w:hAnsiTheme="minorEastAsia" w:eastAsiaTheme="minorEastAsia"/>
          <w:color w:val="auto"/>
          <w:szCs w:val="21"/>
        </w:rPr>
      </w:pPr>
    </w:p>
    <w:p>
      <w:pPr>
        <w:pStyle w:val="20"/>
        <w:spacing w:line="300" w:lineRule="auto"/>
        <w:ind w:firstLine="1680" w:firstLineChars="700"/>
        <w:rPr>
          <w:rFonts w:asciiTheme="minorEastAsia" w:hAnsiTheme="minorEastAsia" w:eastAsiaTheme="minorEastAsia"/>
          <w:color w:val="auto"/>
          <w:sz w:val="24"/>
          <w:szCs w:val="24"/>
        </w:rPr>
      </w:pPr>
    </w:p>
    <w:p>
      <w:pPr>
        <w:pStyle w:val="20"/>
        <w:spacing w:line="300" w:lineRule="auto"/>
        <w:ind w:firstLine="1680" w:firstLineChars="700"/>
        <w:rPr>
          <w:rFonts w:asciiTheme="minorEastAsia" w:hAnsiTheme="minorEastAsia" w:eastAsiaTheme="minorEastAsia"/>
          <w:color w:val="auto"/>
          <w:sz w:val="24"/>
          <w:szCs w:val="24"/>
        </w:rPr>
      </w:pPr>
    </w:p>
    <w:p>
      <w:pPr>
        <w:pStyle w:val="20"/>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20"/>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pStyle w:val="20"/>
        <w:spacing w:line="400" w:lineRule="exact"/>
        <w:rPr>
          <w:rFonts w:asciiTheme="minorEastAsia" w:hAnsiTheme="minorEastAsia" w:eastAsiaTheme="minorEastAsia"/>
          <w:color w:val="auto"/>
          <w:szCs w:val="21"/>
        </w:rPr>
      </w:pPr>
    </w:p>
    <w:p>
      <w:pPr>
        <w:spacing w:before="120" w:beforeLines="50" w:after="50"/>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pStyle w:val="20"/>
        <w:spacing w:line="440" w:lineRule="exac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附件八：</w:t>
      </w:r>
    </w:p>
    <w:p>
      <w:pPr>
        <w:pStyle w:val="20"/>
        <w:spacing w:line="400" w:lineRule="exact"/>
        <w:rPr>
          <w:rFonts w:asciiTheme="minorEastAsia" w:hAnsiTheme="minorEastAsia" w:eastAsiaTheme="minorEastAsia"/>
          <w:color w:val="auto"/>
          <w:szCs w:val="21"/>
        </w:rPr>
      </w:pPr>
    </w:p>
    <w:p>
      <w:pPr>
        <w:pStyle w:val="100"/>
        <w:ind w:firstLine="0" w:firstLineChars="0"/>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供应商控股及管理关系情况申报表</w:t>
      </w:r>
    </w:p>
    <w:p>
      <w:pPr>
        <w:spacing w:line="440" w:lineRule="exact"/>
        <w:rPr>
          <w:rFonts w:asciiTheme="minorEastAsia" w:hAnsiTheme="minorEastAsia" w:eastAsiaTheme="minorEastAsia"/>
          <w:color w:val="auto"/>
          <w:sz w:val="24"/>
          <w:szCs w:val="24"/>
        </w:rPr>
      </w:pPr>
    </w:p>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sz w:val="24"/>
          <w:szCs w:val="24"/>
        </w:rPr>
        <w:t>致：________(采购代理机构)</w:t>
      </w:r>
    </w:p>
    <w:p>
      <w:pPr>
        <w:spacing w:line="440" w:lineRule="exact"/>
        <w:ind w:firstLine="480" w:firstLineChars="200"/>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我单位参加</w:t>
      </w:r>
      <w:r>
        <w:rPr>
          <w:rFonts w:hint="eastAsia" w:asciiTheme="minorEastAsia" w:hAnsiTheme="minorEastAsia" w:eastAsiaTheme="minorEastAsia"/>
          <w:color w:val="auto"/>
          <w:kern w:val="2"/>
          <w:sz w:val="24"/>
          <w:szCs w:val="24"/>
          <w:u w:val="single"/>
        </w:rPr>
        <w:t xml:space="preserve">   （项目名称）      </w:t>
      </w:r>
      <w:r>
        <w:rPr>
          <w:rFonts w:hint="eastAsia" w:asciiTheme="minorEastAsia" w:hAnsiTheme="minorEastAsia" w:eastAsiaTheme="minorEastAsia"/>
          <w:color w:val="auto"/>
          <w:kern w:val="2"/>
          <w:sz w:val="24"/>
          <w:szCs w:val="24"/>
        </w:rPr>
        <w:t>的竞标，根据《中华人民共和国政府采购法》及相关规定，特就本单位控股及管理关系情况申报如下，并承担申报不实的责任。</w:t>
      </w:r>
    </w:p>
    <w:tbl>
      <w:tblPr>
        <w:tblStyle w:val="3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供应商名称</w:t>
            </w:r>
          </w:p>
        </w:tc>
        <w:tc>
          <w:tcPr>
            <w:tcW w:w="6455" w:type="dxa"/>
            <w:gridSpan w:val="2"/>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法定代表人</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单位负责人</w:t>
            </w: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姓名</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Theme="minorEastAsia" w:hAnsiTheme="minorEastAsia" w:eastAsiaTheme="minorEastAsia"/>
                <w:color w:val="auto"/>
                <w:kern w:val="2"/>
                <w:sz w:val="24"/>
                <w:szCs w:val="24"/>
              </w:rPr>
            </w:pP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身份证号</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控股股东</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投资人名称及出资比例</w:t>
            </w:r>
          </w:p>
        </w:tc>
        <w:tc>
          <w:tcPr>
            <w:tcW w:w="6455" w:type="dxa"/>
            <w:gridSpan w:val="2"/>
            <w:vAlign w:val="center"/>
          </w:tcPr>
          <w:p>
            <w:pPr>
              <w:spacing w:after="0" w:line="36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非控股股东</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投资人名称及出资比例</w:t>
            </w:r>
          </w:p>
        </w:tc>
        <w:tc>
          <w:tcPr>
            <w:tcW w:w="6455" w:type="dxa"/>
            <w:gridSpan w:val="2"/>
            <w:vAlign w:val="center"/>
          </w:tcPr>
          <w:p>
            <w:pPr>
              <w:spacing w:after="0" w:line="36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管理关系单位名称</w:t>
            </w: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管理关系单位名称</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Theme="minorEastAsia" w:hAnsiTheme="minorEastAsia" w:eastAsiaTheme="minorEastAsia"/>
                <w:color w:val="auto"/>
                <w:kern w:val="2"/>
                <w:sz w:val="24"/>
                <w:szCs w:val="24"/>
              </w:rPr>
            </w:pP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被管理关系单位名称</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备注：</w:t>
            </w:r>
          </w:p>
        </w:tc>
      </w:tr>
    </w:tbl>
    <w:p>
      <w:pPr>
        <w:spacing w:after="0" w:line="3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注：</w:t>
      </w:r>
    </w:p>
    <w:p>
      <w:pPr>
        <w:pStyle w:val="100"/>
        <w:numPr>
          <w:ilvl w:val="3"/>
          <w:numId w:val="13"/>
        </w:numPr>
        <w:adjustRightInd w:val="0"/>
        <w:snapToGrid w:val="0"/>
        <w:spacing w:line="340" w:lineRule="exact"/>
        <w:ind w:left="0"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控股股东</w:t>
      </w:r>
      <w:r>
        <w:rPr>
          <w:rFonts w:asciiTheme="minorEastAsia" w:hAnsiTheme="minorEastAsia" w:eastAsiaTheme="minorEastAsia" w:cstheme="minorBidi"/>
          <w:color w:val="auto"/>
          <w:sz w:val="24"/>
        </w:rPr>
        <w:t>/</w:t>
      </w:r>
      <w:r>
        <w:rPr>
          <w:rFonts w:hint="eastAsia" w:asciiTheme="minorEastAsia" w:hAnsiTheme="minorEastAsia" w:eastAsiaTheme="minorEastAsia" w:cstheme="minorBidi"/>
          <w:color w:val="auto"/>
          <w:sz w:val="24"/>
        </w:rPr>
        <w:t>投资人是指出资比例在</w:t>
      </w:r>
      <w:r>
        <w:rPr>
          <w:rFonts w:asciiTheme="minorEastAsia" w:hAnsiTheme="minorEastAsia" w:eastAsiaTheme="minorEastAsia" w:cstheme="minorBidi"/>
          <w:color w:val="auto"/>
          <w:sz w:val="24"/>
        </w:rPr>
        <w:t>50%</w:t>
      </w:r>
      <w:r>
        <w:rPr>
          <w:rFonts w:hint="eastAsia" w:asciiTheme="minorEastAsia" w:hAnsiTheme="minorEastAsia" w:eastAsiaTheme="minorEastAsia" w:cstheme="minorBidi"/>
          <w:color w:val="auto"/>
          <w:sz w:val="24"/>
        </w:rPr>
        <w:t>以上，或者出资比例不足</w:t>
      </w:r>
      <w:r>
        <w:rPr>
          <w:rFonts w:asciiTheme="minorEastAsia" w:hAnsiTheme="minorEastAsia" w:eastAsiaTheme="minorEastAsia" w:cstheme="minorBidi"/>
          <w:color w:val="auto"/>
          <w:sz w:val="24"/>
        </w:rPr>
        <w:t>50%</w:t>
      </w:r>
      <w:r>
        <w:rPr>
          <w:rFonts w:hint="eastAsia" w:asciiTheme="minorEastAsia" w:hAnsiTheme="minorEastAsia" w:eastAsiaTheme="minorEastAsia" w:cstheme="minorBidi"/>
          <w:color w:val="auto"/>
          <w:sz w:val="24"/>
        </w:rPr>
        <w:t>，但享有公司股东会</w:t>
      </w:r>
      <w:r>
        <w:rPr>
          <w:rFonts w:asciiTheme="minorEastAsia" w:hAnsiTheme="minorEastAsia" w:eastAsiaTheme="minorEastAsia" w:cstheme="minorBidi"/>
          <w:color w:val="auto"/>
          <w:sz w:val="24"/>
        </w:rPr>
        <w:t>/</w:t>
      </w:r>
      <w:r>
        <w:rPr>
          <w:rFonts w:hint="eastAsia" w:asciiTheme="minorEastAsia" w:hAnsiTheme="minorEastAsia" w:eastAsiaTheme="minorEastAsia" w:cstheme="minorBidi"/>
          <w:color w:val="auto"/>
          <w:sz w:val="24"/>
        </w:rPr>
        <w:t>董事会控制权的投资方（含单位或者个人）；</w:t>
      </w:r>
    </w:p>
    <w:p>
      <w:pPr>
        <w:pStyle w:val="100"/>
        <w:numPr>
          <w:ilvl w:val="3"/>
          <w:numId w:val="13"/>
        </w:numPr>
        <w:adjustRightInd w:val="0"/>
        <w:snapToGrid w:val="0"/>
        <w:spacing w:line="340" w:lineRule="exact"/>
        <w:ind w:left="0"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管理关系单位是指与不具有出资持股关系的其他单位之间存在管理与被管理关系的单位；</w:t>
      </w:r>
    </w:p>
    <w:p>
      <w:pPr>
        <w:pStyle w:val="100"/>
        <w:numPr>
          <w:ilvl w:val="3"/>
          <w:numId w:val="13"/>
        </w:numPr>
        <w:adjustRightInd w:val="0"/>
        <w:snapToGrid w:val="0"/>
        <w:spacing w:line="340" w:lineRule="exact"/>
        <w:ind w:left="0" w:firstLine="480"/>
        <w:rPr>
          <w:rFonts w:asciiTheme="minorEastAsia" w:hAnsiTheme="minorEastAsia" w:eastAsiaTheme="minorEastAsia"/>
          <w:color w:val="auto"/>
          <w:sz w:val="24"/>
        </w:rPr>
      </w:pPr>
      <w:r>
        <w:rPr>
          <w:rFonts w:hint="eastAsia" w:asciiTheme="minorEastAsia" w:hAnsiTheme="minorEastAsia" w:eastAsiaTheme="minorEastAsia" w:cstheme="minorBidi"/>
          <w:color w:val="auto"/>
          <w:sz w:val="24"/>
        </w:rPr>
        <w:t>如未有相关情况，请在相应栏填写“无”。</w:t>
      </w:r>
    </w:p>
    <w:p>
      <w:pPr>
        <w:pStyle w:val="20"/>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20"/>
        <w:spacing w:line="500" w:lineRule="exact"/>
        <w:ind w:firstLine="3720" w:firstLineChars="1550"/>
        <w:rPr>
          <w:rFonts w:asciiTheme="minorEastAsia" w:hAnsiTheme="minorEastAsia" w:eastAsiaTheme="minorEastAsia"/>
          <w:color w:val="auto"/>
          <w:szCs w:val="21"/>
        </w:rPr>
      </w:pPr>
      <w:r>
        <w:rPr>
          <w:rFonts w:hint="eastAsia" w:asciiTheme="minorEastAsia" w:hAnsiTheme="minorEastAsia" w:eastAsiaTheme="minorEastAsia"/>
          <w:color w:val="auto"/>
          <w:sz w:val="24"/>
        </w:rPr>
        <w:t>日期：  年  月  日</w:t>
      </w:r>
    </w:p>
    <w:p>
      <w:pPr>
        <w:pStyle w:val="20"/>
        <w:spacing w:line="440" w:lineRule="exact"/>
        <w:rPr>
          <w:rFonts w:asciiTheme="minorEastAsia" w:hAnsiTheme="minorEastAsia" w:eastAsiaTheme="minorEastAsia"/>
          <w:color w:val="auto"/>
          <w:sz w:val="24"/>
        </w:rPr>
      </w:pPr>
      <w:r>
        <w:rPr>
          <w:rFonts w:asciiTheme="minorEastAsia" w:hAnsiTheme="minorEastAsia" w:eastAsiaTheme="minorEastAsia"/>
          <w:color w:val="auto"/>
          <w:sz w:val="24"/>
        </w:rPr>
        <w:br w:type="page"/>
      </w:r>
      <w:r>
        <w:rPr>
          <w:rFonts w:hint="eastAsia" w:asciiTheme="minorEastAsia" w:hAnsiTheme="minorEastAsia" w:eastAsiaTheme="minorEastAsia"/>
          <w:b/>
          <w:color w:val="auto"/>
          <w:sz w:val="24"/>
          <w:szCs w:val="24"/>
        </w:rPr>
        <w:t>附件九：</w:t>
      </w:r>
    </w:p>
    <w:p>
      <w:pPr>
        <w:pStyle w:val="20"/>
        <w:spacing w:line="440" w:lineRule="exact"/>
        <w:jc w:val="center"/>
        <w:rPr>
          <w:rFonts w:asciiTheme="minorEastAsia" w:hAnsiTheme="minorEastAsia" w:eastAsiaTheme="minorEastAsia"/>
          <w:b/>
          <w:color w:val="auto"/>
          <w:sz w:val="32"/>
          <w:szCs w:val="32"/>
        </w:rPr>
      </w:pPr>
    </w:p>
    <w:p>
      <w:pPr>
        <w:spacing w:before="120" w:beforeLines="50" w:after="12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法定代表人身份证明</w:t>
      </w:r>
    </w:p>
    <w:p>
      <w:pPr>
        <w:pStyle w:val="20"/>
        <w:spacing w:line="460" w:lineRule="exact"/>
        <w:ind w:firstLine="616" w:firstLineChars="257"/>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单位性质：</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成立时间：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经营期限：</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姓    名：</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性      别：</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u w:val="single"/>
        </w:rPr>
      </w:pPr>
      <w:r>
        <w:rPr>
          <w:rFonts w:hint="eastAsia" w:asciiTheme="minorEastAsia" w:hAnsiTheme="minorEastAsia" w:eastAsiaTheme="minorEastAsia"/>
          <w:color w:val="auto"/>
          <w:sz w:val="24"/>
        </w:rPr>
        <w:t>年    龄：</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职      务：</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身份证号码：</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p>
    <w:p>
      <w:pPr>
        <w:pStyle w:val="20"/>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系</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（供应商名称）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的法定代表人。</w:t>
      </w:r>
    </w:p>
    <w:p>
      <w:pPr>
        <w:pStyle w:val="20"/>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特此证明。</w:t>
      </w:r>
    </w:p>
    <w:p>
      <w:pPr>
        <w:pStyle w:val="20"/>
        <w:spacing w:line="460" w:lineRule="exact"/>
        <w:ind w:firstLine="616" w:firstLineChars="257"/>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rPr>
        <w:t>附：法定代表人有效的身份证正反面复印件，并加盖公章。</w:t>
      </w:r>
    </w:p>
    <w:p>
      <w:pPr>
        <w:pStyle w:val="20"/>
        <w:spacing w:line="460" w:lineRule="exact"/>
        <w:ind w:firstLine="616" w:firstLineChars="257"/>
        <w:rPr>
          <w:rFonts w:asciiTheme="minorEastAsia" w:hAnsiTheme="minorEastAsia" w:eastAsiaTheme="minorEastAsia"/>
          <w:color w:val="auto"/>
          <w:sz w:val="24"/>
          <w:szCs w:val="24"/>
        </w:rPr>
      </w:pPr>
    </w:p>
    <w:p>
      <w:pPr>
        <w:pStyle w:val="20"/>
        <w:spacing w:line="460" w:lineRule="exact"/>
        <w:ind w:firstLine="616" w:firstLineChars="257"/>
        <w:rPr>
          <w:rFonts w:asciiTheme="minorEastAsia" w:hAnsiTheme="minorEastAsia" w:eastAsiaTheme="minorEastAsia"/>
          <w:color w:val="auto"/>
          <w:sz w:val="24"/>
          <w:szCs w:val="24"/>
        </w:rPr>
      </w:pPr>
    </w:p>
    <w:p>
      <w:pPr>
        <w:pStyle w:val="20"/>
        <w:spacing w:line="460" w:lineRule="exact"/>
        <w:ind w:firstLine="616" w:firstLineChars="257"/>
        <w:rPr>
          <w:rFonts w:asciiTheme="minorEastAsia" w:hAnsiTheme="minorEastAsia" w:eastAsiaTheme="minorEastAsia"/>
          <w:color w:val="auto"/>
          <w:sz w:val="24"/>
          <w:szCs w:val="24"/>
        </w:rPr>
      </w:pPr>
    </w:p>
    <w:p>
      <w:pPr>
        <w:pStyle w:val="20"/>
        <w:spacing w:line="460" w:lineRule="exact"/>
        <w:ind w:firstLine="616" w:firstLineChars="257"/>
        <w:rPr>
          <w:rFonts w:asciiTheme="minorEastAsia" w:hAnsiTheme="minorEastAsia" w:eastAsiaTheme="minorEastAsia"/>
          <w:color w:val="auto"/>
          <w:sz w:val="24"/>
          <w:szCs w:val="24"/>
        </w:rPr>
      </w:pPr>
    </w:p>
    <w:p>
      <w:pPr>
        <w:spacing w:after="0" w:line="500" w:lineRule="exact"/>
        <w:ind w:firstLine="3840" w:firstLineChars="16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pStyle w:val="20"/>
        <w:spacing w:line="460" w:lineRule="exact"/>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日期：  年  月  日</w:t>
      </w:r>
    </w:p>
    <w:p>
      <w:pPr>
        <w:adjustRightInd/>
        <w:snapToGrid/>
        <w:spacing w:line="220" w:lineRule="atLeas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spacing w:line="40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附件十：</w:t>
      </w:r>
    </w:p>
    <w:p>
      <w:pPr>
        <w:spacing w:before="120" w:beforeLines="50" w:after="120" w:afterLines="50" w:line="60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法定代表人授权委托书</w:t>
      </w:r>
    </w:p>
    <w:p>
      <w:pPr>
        <w:autoSpaceDE w:val="0"/>
        <w:rPr>
          <w:rFonts w:cs="Arial" w:asciiTheme="minorEastAsia" w:hAnsiTheme="minorEastAsia" w:eastAsiaTheme="minorEastAsia"/>
          <w:b/>
          <w:color w:val="auto"/>
          <w:szCs w:val="21"/>
        </w:rPr>
      </w:pPr>
    </w:p>
    <w:p>
      <w:pPr>
        <w:spacing w:after="0" w:line="440" w:lineRule="exact"/>
        <w:rPr>
          <w:rFonts w:cs="Arial" w:asciiTheme="minorEastAsia" w:hAnsiTheme="minorEastAsia" w:eastAsiaTheme="minorEastAsia"/>
          <w:b/>
          <w:bCs/>
          <w:color w:val="auto"/>
          <w:sz w:val="24"/>
        </w:rPr>
      </w:pPr>
      <w:r>
        <w:rPr>
          <w:rFonts w:hint="eastAsia" w:cs="Arial" w:asciiTheme="minorEastAsia" w:hAnsiTheme="minorEastAsia" w:eastAsiaTheme="minorEastAsia"/>
          <w:bCs/>
          <w:color w:val="auto"/>
          <w:sz w:val="24"/>
        </w:rPr>
        <w:t>致</w:t>
      </w:r>
      <w:r>
        <w:rPr>
          <w:rFonts w:hint="eastAsia" w:cs="Arial" w:asciiTheme="minorEastAsia" w:hAnsiTheme="minorEastAsia" w:eastAsiaTheme="minorEastAsia"/>
          <w:color w:val="auto"/>
          <w:sz w:val="24"/>
        </w:rPr>
        <w:t>：（采购代理机构）</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我</w:t>
      </w:r>
      <w:r>
        <w:rPr>
          <w:rFonts w:hint="eastAsia" w:cs="Arial" w:asciiTheme="minorEastAsia" w:hAnsiTheme="minorEastAsia" w:eastAsiaTheme="minorEastAsia"/>
          <w:color w:val="auto"/>
          <w:sz w:val="24"/>
          <w:u w:val="single"/>
        </w:rPr>
        <w:t>（姓名）</w:t>
      </w:r>
      <w:r>
        <w:rPr>
          <w:rFonts w:hint="eastAsia" w:cs="Arial" w:asciiTheme="minorEastAsia" w:hAnsiTheme="minorEastAsia" w:eastAsiaTheme="minorEastAsia"/>
          <w:color w:val="auto"/>
          <w:sz w:val="24"/>
        </w:rPr>
        <w:t>系</w:t>
      </w:r>
      <w:r>
        <w:rPr>
          <w:rFonts w:hint="eastAsia" w:cs="Arial" w:asciiTheme="minorEastAsia" w:hAnsiTheme="minorEastAsia" w:eastAsiaTheme="minorEastAsia"/>
          <w:color w:val="auto"/>
          <w:sz w:val="24"/>
          <w:u w:val="single"/>
        </w:rPr>
        <w:t>（供应商名称）</w:t>
      </w:r>
      <w:r>
        <w:rPr>
          <w:rFonts w:hint="eastAsia" w:cs="Arial" w:asciiTheme="minorEastAsia" w:hAnsiTheme="minorEastAsia" w:eastAsiaTheme="minorEastAsia"/>
          <w:color w:val="auto"/>
          <w:sz w:val="24"/>
        </w:rPr>
        <w:t>的法定代表人，现授权委托本单位在职职工</w:t>
      </w:r>
      <w:r>
        <w:rPr>
          <w:rFonts w:hint="eastAsia" w:cs="Arial" w:asciiTheme="minorEastAsia" w:hAnsiTheme="minorEastAsia" w:eastAsiaTheme="minorEastAsia"/>
          <w:color w:val="auto"/>
          <w:sz w:val="24"/>
          <w:u w:val="single"/>
        </w:rPr>
        <w:t xml:space="preserve"> （姓名）</w:t>
      </w:r>
      <w:r>
        <w:rPr>
          <w:rFonts w:hint="eastAsia" w:cs="Arial" w:asciiTheme="minorEastAsia" w:hAnsiTheme="minorEastAsia" w:eastAsiaTheme="minorEastAsia"/>
          <w:color w:val="auto"/>
          <w:sz w:val="24"/>
        </w:rPr>
        <w:t>以我方的名义参加</w:t>
      </w:r>
      <w:r>
        <w:rPr>
          <w:rFonts w:hint="eastAsia" w:asciiTheme="minorEastAsia" w:hAnsiTheme="minorEastAsia" w:eastAsiaTheme="minorEastAsia"/>
          <w:color w:val="auto"/>
          <w:sz w:val="24"/>
          <w:u w:val="single"/>
        </w:rPr>
        <w:t xml:space="preserve">（项目名称）（项目编号：      </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项目的竞标活动，并代表我方全权办理针对上述项目的响应文件签署、响应文件提交、谈判、签订合同和处理一切有关事宜等。</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我方对被授权人的签名事项负全部责任。</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授权委托期限：年月日至年月日。被授权人在授权书有效期内签署的所有文件均有效。</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被授权人无转委托权，特此委托。</w:t>
      </w:r>
    </w:p>
    <w:p>
      <w:pPr>
        <w:spacing w:after="0" w:line="440" w:lineRule="exact"/>
        <w:ind w:firstLine="480" w:firstLineChars="200"/>
        <w:rPr>
          <w:rFonts w:cs="Arial" w:asciiTheme="minorEastAsia" w:hAnsiTheme="minorEastAsia" w:eastAsiaTheme="minorEastAsia"/>
          <w:color w:val="auto"/>
          <w:sz w:val="24"/>
        </w:rPr>
      </w:pP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附：被授权人有效的身份证正反面复印件，并加盖公章。</w:t>
      </w:r>
    </w:p>
    <w:p>
      <w:pPr>
        <w:spacing w:line="440" w:lineRule="exact"/>
        <w:ind w:firstLine="480" w:firstLineChars="200"/>
        <w:rPr>
          <w:rFonts w:cs="Arial" w:asciiTheme="minorEastAsia" w:hAnsiTheme="minorEastAsia" w:eastAsiaTheme="minorEastAsia"/>
          <w:color w:val="auto"/>
          <w:sz w:val="24"/>
        </w:rPr>
      </w:pPr>
    </w:p>
    <w:p>
      <w:pPr>
        <w:spacing w:line="440" w:lineRule="exact"/>
        <w:ind w:firstLine="2760" w:firstLineChars="1150"/>
        <w:rPr>
          <w:rFonts w:cs="Arial" w:asciiTheme="minorEastAsia" w:hAnsiTheme="minorEastAsia" w:eastAsiaTheme="minorEastAsia"/>
          <w:color w:val="auto"/>
          <w:sz w:val="24"/>
          <w:u w:val="single"/>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法定代表人（签字）：</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法定代表人身份证号码：</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委托代理人（签字）：</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委托代理人身份证号码：</w:t>
      </w:r>
    </w:p>
    <w:p>
      <w:pPr>
        <w:spacing w:line="440" w:lineRule="exact"/>
        <w:ind w:firstLine="2880" w:firstLineChars="1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pPr>
        <w:spacing w:line="440" w:lineRule="exact"/>
        <w:ind w:firstLine="480" w:firstLineChars="200"/>
        <w:rPr>
          <w:rFonts w:cs="Arial" w:asciiTheme="minorEastAsia" w:hAnsiTheme="minorEastAsia" w:eastAsiaTheme="minorEastAsia"/>
          <w:color w:val="auto"/>
          <w:sz w:val="24"/>
        </w:rPr>
      </w:pPr>
    </w:p>
    <w:p>
      <w:pPr>
        <w:adjustRightInd/>
        <w:snapToGrid/>
        <w:spacing w:line="220" w:lineRule="atLeast"/>
        <w:rPr>
          <w:rFonts w:cs="Arial" w:asciiTheme="minorEastAsia" w:hAnsiTheme="minorEastAsia" w:eastAsiaTheme="minorEastAsia"/>
          <w:color w:val="auto"/>
          <w:kern w:val="2"/>
          <w:sz w:val="24"/>
          <w:szCs w:val="24"/>
        </w:rPr>
      </w:pPr>
      <w:r>
        <w:rPr>
          <w:rFonts w:cs="Arial" w:asciiTheme="minorEastAsia" w:hAnsiTheme="minorEastAsia" w:eastAsiaTheme="minorEastAsia"/>
          <w:color w:val="auto"/>
          <w:sz w:val="24"/>
          <w:szCs w:val="24"/>
        </w:rPr>
        <w:br w:type="page"/>
      </w:r>
    </w:p>
    <w:p>
      <w:pPr>
        <w:pStyle w:val="13"/>
        <w:overflowPunct w:val="0"/>
        <w:ind w:firstLine="0"/>
        <w:rPr>
          <w:rFonts w:asciiTheme="minorEastAsia" w:hAnsiTheme="minorEastAsia" w:eastAsiaTheme="minorEastAsia"/>
          <w:color w:val="auto"/>
          <w:sz w:val="24"/>
        </w:rPr>
      </w:pPr>
    </w:p>
    <w:p>
      <w:pPr>
        <w:spacing w:line="300" w:lineRule="auto"/>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附件十</w:t>
      </w:r>
      <w:r>
        <w:rPr>
          <w:rFonts w:hint="eastAsia" w:cs="Arial" w:asciiTheme="minorEastAsia" w:hAnsiTheme="minorEastAsia" w:eastAsiaTheme="minorEastAsia"/>
          <w:b/>
          <w:color w:val="auto"/>
          <w:sz w:val="24"/>
          <w:lang w:eastAsia="zh-CN"/>
        </w:rPr>
        <w:t>一</w:t>
      </w:r>
      <w:r>
        <w:rPr>
          <w:rFonts w:hint="eastAsia" w:cs="Arial" w:asciiTheme="minorEastAsia" w:hAnsiTheme="minorEastAsia" w:eastAsiaTheme="minorEastAsia"/>
          <w:b/>
          <w:color w:val="auto"/>
          <w:sz w:val="24"/>
        </w:rPr>
        <w:t>：</w:t>
      </w:r>
    </w:p>
    <w:p>
      <w:pPr>
        <w:spacing w:before="5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中小企业声明函</w:t>
      </w:r>
    </w:p>
    <w:p>
      <w:pPr>
        <w:spacing w:after="0" w:line="400" w:lineRule="exact"/>
        <w:rPr>
          <w:rFonts w:asciiTheme="minorEastAsia" w:hAnsiTheme="minorEastAsia" w:eastAsiaTheme="minorEastAsia"/>
          <w:color w:val="auto"/>
          <w:szCs w:val="21"/>
        </w:rPr>
      </w:pP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本公司对上述声明的真实性负责。如有虚假，将依法承担相应责任。</w:t>
      </w:r>
    </w:p>
    <w:p>
      <w:pPr>
        <w:spacing w:before="50" w:line="400" w:lineRule="exact"/>
        <w:rPr>
          <w:rFonts w:asciiTheme="minorEastAsia" w:hAnsiTheme="minorEastAsia" w:eastAsiaTheme="minorEastAsia"/>
          <w:color w:val="auto"/>
          <w:szCs w:val="21"/>
        </w:rPr>
      </w:pPr>
    </w:p>
    <w:p>
      <w:pPr>
        <w:spacing w:before="50" w:line="40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Cs w:val="21"/>
        </w:rPr>
        <w:t>　　　　　　　　　　　　　　　　　　　　　　　　　　</w:t>
      </w:r>
      <w:r>
        <w:rPr>
          <w:rFonts w:hint="eastAsia" w:asciiTheme="minorEastAsia" w:hAnsiTheme="minorEastAsia" w:eastAsiaTheme="minorEastAsia"/>
          <w:color w:val="auto"/>
          <w:sz w:val="28"/>
          <w:szCs w:val="28"/>
        </w:rPr>
        <w:t>　</w:t>
      </w:r>
    </w:p>
    <w:p>
      <w:pPr>
        <w:spacing w:before="50" w:line="400" w:lineRule="exact"/>
        <w:ind w:firstLine="5040" w:firstLineChars="2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企业名称（盖章）：</w:t>
      </w:r>
    </w:p>
    <w:p>
      <w:pPr>
        <w:spacing w:before="50" w:line="400" w:lineRule="exact"/>
        <w:rPr>
          <w:rFonts w:asciiTheme="minorEastAsia" w:hAnsiTheme="minorEastAsia" w:eastAsiaTheme="minorEastAsia"/>
          <w:color w:val="auto"/>
          <w:sz w:val="24"/>
          <w:szCs w:val="24"/>
        </w:rPr>
      </w:pPr>
    </w:p>
    <w:p>
      <w:pPr>
        <w:spacing w:before="50"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日期：</w:t>
      </w:r>
    </w:p>
    <w:p>
      <w:pPr>
        <w:pStyle w:val="20"/>
        <w:spacing w:line="440" w:lineRule="exact"/>
        <w:rPr>
          <w:rFonts w:asciiTheme="minorEastAsia" w:hAnsiTheme="minorEastAsia" w:eastAsiaTheme="minorEastAsia"/>
          <w:b/>
          <w:color w:val="auto"/>
          <w:szCs w:val="21"/>
        </w:rPr>
      </w:pPr>
    </w:p>
    <w:p>
      <w:pPr>
        <w:adjustRightInd/>
        <w:snapToGrid/>
        <w:spacing w:line="220" w:lineRule="atLeast"/>
        <w:rPr>
          <w:rFonts w:asciiTheme="minorEastAsia" w:hAnsiTheme="minorEastAsia" w:eastAsiaTheme="minorEastAsia"/>
          <w:b/>
          <w:color w:val="auto"/>
          <w:kern w:val="2"/>
          <w:sz w:val="21"/>
          <w:szCs w:val="21"/>
        </w:rPr>
      </w:pPr>
      <w:r>
        <w:rPr>
          <w:rFonts w:asciiTheme="minorEastAsia" w:hAnsiTheme="minorEastAsia" w:eastAsiaTheme="minorEastAsia"/>
          <w:b/>
          <w:color w:val="auto"/>
          <w:szCs w:val="21"/>
        </w:rPr>
        <w:br w:type="page"/>
      </w:r>
    </w:p>
    <w:p>
      <w:pPr>
        <w:rPr>
          <w:rFonts w:cs="仿宋" w:asciiTheme="minorEastAsia" w:hAnsiTheme="minorEastAsia" w:eastAsiaTheme="minorEastAsia"/>
          <w:b/>
          <w:color w:val="auto"/>
          <w:sz w:val="32"/>
          <w:szCs w:val="32"/>
        </w:rPr>
      </w:pPr>
      <w:r>
        <w:rPr>
          <w:rFonts w:hint="eastAsia" w:asciiTheme="minorEastAsia" w:hAnsiTheme="minorEastAsia" w:eastAsiaTheme="minorEastAsia"/>
          <w:b/>
          <w:color w:val="auto"/>
          <w:sz w:val="24"/>
          <w:szCs w:val="24"/>
        </w:rPr>
        <w:t>附件十</w:t>
      </w:r>
      <w:r>
        <w:rPr>
          <w:rFonts w:hint="eastAsia" w:asciiTheme="minorEastAsia" w:hAnsiTheme="minorEastAsia" w:eastAsiaTheme="minorEastAsia"/>
          <w:b/>
          <w:color w:val="auto"/>
          <w:sz w:val="24"/>
          <w:szCs w:val="24"/>
          <w:lang w:eastAsia="zh-CN"/>
        </w:rPr>
        <w:t>二</w:t>
      </w:r>
      <w:r>
        <w:rPr>
          <w:rFonts w:hint="eastAsia" w:asciiTheme="minorEastAsia" w:hAnsiTheme="minorEastAsia" w:eastAsiaTheme="minorEastAsia"/>
          <w:b/>
          <w:color w:val="auto"/>
          <w:sz w:val="24"/>
          <w:szCs w:val="24"/>
        </w:rPr>
        <w:t>：</w:t>
      </w:r>
    </w:p>
    <w:p>
      <w:pPr>
        <w:jc w:val="center"/>
        <w:rPr>
          <w:rFonts w:cs="仿宋" w:asciiTheme="minorEastAsia" w:hAnsiTheme="minorEastAsia" w:eastAsiaTheme="minorEastAsia"/>
          <w:b/>
          <w:color w:val="auto"/>
          <w:sz w:val="32"/>
          <w:szCs w:val="32"/>
        </w:rPr>
      </w:pPr>
    </w:p>
    <w:p>
      <w:pPr>
        <w:spacing w:line="588" w:lineRule="exact"/>
        <w:jc w:val="center"/>
        <w:rPr>
          <w:rFonts w:asciiTheme="minorEastAsia" w:hAnsiTheme="minorEastAsia" w:eastAsiaTheme="minorEastAsia"/>
          <w:b/>
          <w:color w:val="auto"/>
          <w:spacing w:val="6"/>
          <w:sz w:val="32"/>
          <w:szCs w:val="32"/>
        </w:rPr>
      </w:pPr>
      <w:bookmarkStart w:id="186" w:name="OLE_LINK13"/>
      <w:bookmarkStart w:id="187" w:name="OLE_LINK14"/>
      <w:r>
        <w:rPr>
          <w:rFonts w:hint="eastAsia" w:asciiTheme="minorEastAsia" w:hAnsiTheme="minorEastAsia" w:eastAsiaTheme="minorEastAsia"/>
          <w:b/>
          <w:color w:val="auto"/>
          <w:spacing w:val="6"/>
          <w:sz w:val="32"/>
          <w:szCs w:val="32"/>
        </w:rPr>
        <w:t>残疾人福利性单位声明函</w:t>
      </w:r>
    </w:p>
    <w:bookmarkEnd w:id="186"/>
    <w:bookmarkEnd w:id="187"/>
    <w:p>
      <w:pPr>
        <w:spacing w:line="588" w:lineRule="exact"/>
        <w:ind w:firstLine="504" w:firstLineChars="200"/>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本单位郑重声明，根据《财政部、民政部、中国残疾人联合会关于促进残疾人就业政府采购政策的通知》（财库</w:t>
      </w:r>
      <w:r>
        <w:rPr>
          <w:rFonts w:hint="eastAsia" w:cs="仿宋" w:asciiTheme="minorEastAsia" w:hAnsiTheme="minorEastAsia" w:eastAsiaTheme="minorEastAsia"/>
          <w:color w:val="auto"/>
          <w:sz w:val="24"/>
          <w:szCs w:val="24"/>
        </w:rPr>
        <w:t>〔2017〕 141</w:t>
      </w:r>
      <w:r>
        <w:rPr>
          <w:rFonts w:hint="eastAsia" w:cs="仿宋" w:asciiTheme="minorEastAsia" w:hAnsiTheme="minorEastAsia" w:eastAsia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本单位对上述声明的真实性负责。如有虚假，将依法承担相应责任。</w:t>
      </w:r>
    </w:p>
    <w:p>
      <w:pPr>
        <w:spacing w:line="588" w:lineRule="exact"/>
        <w:ind w:firstLine="504" w:firstLineChars="200"/>
        <w:rPr>
          <w:rFonts w:cs="仿宋" w:asciiTheme="minorEastAsia" w:hAnsiTheme="minorEastAsia" w:eastAsiaTheme="minorEastAsia"/>
          <w:color w:val="auto"/>
          <w:spacing w:val="6"/>
          <w:sz w:val="24"/>
          <w:szCs w:val="24"/>
        </w:rPr>
      </w:pPr>
    </w:p>
    <w:p>
      <w:pPr>
        <w:spacing w:line="588" w:lineRule="exact"/>
        <w:ind w:firstLine="504" w:firstLineChars="200"/>
        <w:rPr>
          <w:rFonts w:cs="仿宋" w:asciiTheme="minorEastAsia" w:hAnsiTheme="minorEastAsia" w:eastAsiaTheme="minorEastAsia"/>
          <w:color w:val="auto"/>
          <w:spacing w:val="6"/>
          <w:sz w:val="24"/>
          <w:szCs w:val="24"/>
        </w:rPr>
      </w:pP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 xml:space="preserve">                        单位名称（盖章）：</w:t>
      </w: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 xml:space="preserve">              日  期：</w:t>
      </w: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pStyle w:val="20"/>
        <w:ind w:firstLine="281" w:firstLineChars="100"/>
        <w:outlineLvl w:val="2"/>
        <w:rPr>
          <w:rFonts w:cs="仿宋" w:asciiTheme="minorEastAsia" w:hAnsiTheme="minorEastAsia" w:eastAsiaTheme="minorEastAsia"/>
          <w:b/>
          <w:bCs/>
          <w:color w:val="auto"/>
          <w:sz w:val="28"/>
          <w:szCs w:val="28"/>
        </w:rPr>
      </w:pPr>
    </w:p>
    <w:p>
      <w:pPr>
        <w:spacing w:after="0" w:line="360" w:lineRule="exact"/>
        <w:ind w:firstLine="446" w:firstLineChars="200"/>
        <w:rPr>
          <w:rFonts w:asciiTheme="minorEastAsia" w:hAnsiTheme="minorEastAsia" w:eastAsiaTheme="minorEastAsia"/>
          <w:b/>
          <w:color w:val="auto"/>
          <w:spacing w:val="6"/>
          <w:sz w:val="21"/>
          <w:szCs w:val="21"/>
        </w:rPr>
      </w:pPr>
      <w:r>
        <w:rPr>
          <w:rFonts w:hint="eastAsia" w:asciiTheme="minorEastAsia" w:hAnsiTheme="minorEastAsia" w:eastAsiaTheme="minorEastAsia"/>
          <w:b/>
          <w:color w:val="auto"/>
          <w:spacing w:val="6"/>
          <w:sz w:val="21"/>
          <w:szCs w:val="21"/>
        </w:rPr>
        <w:t>注：1、</w:t>
      </w:r>
      <w:r>
        <w:rPr>
          <w:rFonts w:hint="eastAsia" w:asciiTheme="minorEastAsia" w:hAnsiTheme="minorEastAsia" w:eastAsiaTheme="minorEastAsia"/>
          <w:b/>
          <w:color w:val="auto"/>
          <w:spacing w:val="6"/>
          <w:sz w:val="21"/>
          <w:szCs w:val="21"/>
          <w:u w:val="single"/>
        </w:rPr>
        <w:t>成交供应商为残疾人福利性单位的，成交结果将同时公告其《残疾人福利性单位声明函》，接受社会监督</w:t>
      </w:r>
      <w:r>
        <w:rPr>
          <w:rFonts w:hint="eastAsia" w:asciiTheme="minorEastAsia" w:hAnsiTheme="minorEastAsia" w:eastAsiaTheme="minorEastAsia"/>
          <w:b/>
          <w:color w:val="auto"/>
          <w:spacing w:val="6"/>
          <w:sz w:val="21"/>
          <w:szCs w:val="21"/>
        </w:rPr>
        <w:t>。</w:t>
      </w:r>
    </w:p>
    <w:p>
      <w:pPr>
        <w:spacing w:after="0" w:line="360" w:lineRule="exact"/>
        <w:ind w:firstLine="446" w:firstLineChars="200"/>
        <w:rPr>
          <w:rFonts w:asciiTheme="minorEastAsia" w:hAnsiTheme="minorEastAsia" w:eastAsiaTheme="minorEastAsia"/>
          <w:b/>
          <w:color w:val="auto"/>
          <w:spacing w:val="6"/>
          <w:sz w:val="21"/>
          <w:szCs w:val="21"/>
        </w:rPr>
      </w:pPr>
      <w:r>
        <w:rPr>
          <w:rFonts w:hint="eastAsia" w:asciiTheme="minorEastAsia" w:hAnsiTheme="minorEastAsia" w:eastAsiaTheme="minorEastAsia"/>
          <w:b/>
          <w:color w:val="auto"/>
          <w:spacing w:val="6"/>
          <w:sz w:val="21"/>
          <w:szCs w:val="21"/>
        </w:rPr>
        <w:t>2、</w:t>
      </w:r>
      <w:r>
        <w:rPr>
          <w:rFonts w:hint="eastAsia" w:asciiTheme="minorEastAsia" w:hAnsiTheme="minorEastAsia" w:eastAsiaTheme="minorEastAsia"/>
          <w:b/>
          <w:color w:val="auto"/>
          <w:spacing w:val="6"/>
          <w:sz w:val="21"/>
          <w:szCs w:val="21"/>
          <w:u w:val="single"/>
        </w:rPr>
        <w:t>供应商提供的《残疾人福利性单位声明函》与事实不符的，依照《政府采购法》第七十七条第一款的规定追究法律责任</w:t>
      </w:r>
      <w:r>
        <w:rPr>
          <w:rFonts w:hint="eastAsia" w:asciiTheme="minorEastAsia" w:hAnsiTheme="minorEastAsia" w:eastAsiaTheme="minorEastAsia"/>
          <w:b/>
          <w:color w:val="auto"/>
          <w:spacing w:val="6"/>
          <w:sz w:val="21"/>
          <w:szCs w:val="21"/>
        </w:rPr>
        <w:t>。</w:t>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广西建通工程咨询有限责任公司</w:t>
    </w:r>
    <w:r>
      <w:rPr>
        <w:rFonts w:hint="eastAsia"/>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57</w:t>
    </w:r>
    <w:r>
      <w:fldChar w:fldCharType="end"/>
    </w:r>
  </w:p>
  <w:p>
    <w:pPr>
      <w:pStyle w:val="25"/>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double" w:color="auto" w:sz="4" w:space="1"/>
      </w:pBdr>
      <w:rPr>
        <w:rFonts w:hint="eastAsia" w:ascii="宋体" w:hAnsi="宋体" w:eastAsia="微软雅黑"/>
        <w:lang w:eastAsia="zh-CN"/>
      </w:rPr>
    </w:pPr>
    <w:r>
      <w:rPr>
        <w:rFonts w:hint="eastAsia"/>
      </w:rPr>
      <w:t>项目名称：</w:t>
    </w:r>
    <w:r>
      <w:rPr>
        <w:rFonts w:hint="eastAsia"/>
        <w:lang w:eastAsia="zh-CN"/>
      </w:rPr>
      <w:t>2019年义教薄改和能力提升中小学教学设备采购</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微软雅黑"/>
        <w:lang w:eastAsia="zh-CN"/>
      </w:rPr>
    </w:pPr>
    <w:r>
      <w:rPr>
        <w:rFonts w:hint="eastAsia" w:ascii="宋体" w:hAnsi="宋体"/>
        <w:color w:val="000000"/>
        <w:szCs w:val="21"/>
      </w:rPr>
      <w:t>田东县平马镇东区小学项目地质勘察服务</w:t>
    </w:r>
    <w:r>
      <w:rPr>
        <w:rFonts w:hint="eastAsia" w:ascii="宋体" w:hAnsi="宋体"/>
        <w:lang w:eastAsia="zh-CN"/>
      </w:rPr>
      <w:t>FCZC2020-J1-20002-GXJT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33826"/>
    <w:multiLevelType w:val="singleLevel"/>
    <w:tmpl w:val="A9133826"/>
    <w:lvl w:ilvl="0" w:tentative="0">
      <w:start w:val="1"/>
      <w:numFmt w:val="decimal"/>
      <w:suff w:val="nothing"/>
      <w:lvlText w:val="%1、"/>
      <w:lvlJc w:val="left"/>
    </w:lvl>
  </w:abstractNum>
  <w:abstractNum w:abstractNumId="1">
    <w:nsid w:val="B2B320D9"/>
    <w:multiLevelType w:val="singleLevel"/>
    <w:tmpl w:val="B2B320D9"/>
    <w:lvl w:ilvl="0" w:tentative="0">
      <w:start w:val="1"/>
      <w:numFmt w:val="decimal"/>
      <w:suff w:val="nothing"/>
      <w:lvlText w:val="%1、"/>
      <w:lvlJc w:val="left"/>
    </w:lvl>
  </w:abstractNum>
  <w:abstractNum w:abstractNumId="2">
    <w:nsid w:val="CECF196F"/>
    <w:multiLevelType w:val="singleLevel"/>
    <w:tmpl w:val="CECF196F"/>
    <w:lvl w:ilvl="0" w:tentative="0">
      <w:start w:val="4"/>
      <w:numFmt w:val="decimal"/>
      <w:suff w:val="nothing"/>
      <w:lvlText w:val="%1、"/>
      <w:lvlJc w:val="left"/>
    </w:lvl>
  </w:abstractNum>
  <w:abstractNum w:abstractNumId="3">
    <w:nsid w:val="F46CBEEF"/>
    <w:multiLevelType w:val="singleLevel"/>
    <w:tmpl w:val="F46CBEEF"/>
    <w:lvl w:ilvl="0" w:tentative="0">
      <w:start w:val="1"/>
      <w:numFmt w:val="decimal"/>
      <w:suff w:val="nothing"/>
      <w:lvlText w:val="%1、"/>
      <w:lvlJc w:val="left"/>
    </w:lvl>
  </w:abstractNum>
  <w:abstractNum w:abstractNumId="4">
    <w:nsid w:val="F94E9D41"/>
    <w:multiLevelType w:val="singleLevel"/>
    <w:tmpl w:val="F94E9D41"/>
    <w:lvl w:ilvl="0" w:tentative="0">
      <w:start w:val="1"/>
      <w:numFmt w:val="decimal"/>
      <w:suff w:val="nothing"/>
      <w:lvlText w:val="%1、"/>
      <w:lvlJc w:val="left"/>
    </w:lvl>
  </w:abstractNum>
  <w:abstractNum w:abstractNumId="5">
    <w:nsid w:val="0D08148C"/>
    <w:multiLevelType w:val="singleLevel"/>
    <w:tmpl w:val="0D08148C"/>
    <w:lvl w:ilvl="0" w:tentative="0">
      <w:start w:val="6"/>
      <w:numFmt w:val="chineseCounting"/>
      <w:suff w:val="nothing"/>
      <w:lvlText w:val="%1、"/>
      <w:lvlJc w:val="left"/>
      <w:rPr>
        <w:rFonts w:hint="eastAsia"/>
      </w:rPr>
    </w:lvl>
  </w:abstractNum>
  <w:abstractNum w:abstractNumId="6">
    <w:nsid w:val="1CF2B8EE"/>
    <w:multiLevelType w:val="singleLevel"/>
    <w:tmpl w:val="1CF2B8EE"/>
    <w:lvl w:ilvl="0" w:tentative="0">
      <w:start w:val="2"/>
      <w:numFmt w:val="decimal"/>
      <w:lvlText w:val="%1."/>
      <w:lvlJc w:val="left"/>
      <w:pPr>
        <w:tabs>
          <w:tab w:val="left" w:pos="312"/>
        </w:tabs>
      </w:pPr>
    </w:lvl>
  </w:abstractNum>
  <w:abstractNum w:abstractNumId="7">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35DFDF7B"/>
    <w:multiLevelType w:val="singleLevel"/>
    <w:tmpl w:val="35DFDF7B"/>
    <w:lvl w:ilvl="0" w:tentative="0">
      <w:start w:val="1"/>
      <w:numFmt w:val="decimal"/>
      <w:suff w:val="nothing"/>
      <w:lvlText w:val="（%1）"/>
      <w:lvlJc w:val="left"/>
    </w:lvl>
  </w:abstractNum>
  <w:abstractNum w:abstractNumId="9">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6EB40A6"/>
    <w:multiLevelType w:val="singleLevel"/>
    <w:tmpl w:val="76EB40A6"/>
    <w:lvl w:ilvl="0" w:tentative="0">
      <w:start w:val="1"/>
      <w:numFmt w:val="decimal"/>
      <w:suff w:val="nothing"/>
      <w:lvlText w:val="%1、"/>
      <w:lvlJc w:val="left"/>
    </w:lvl>
  </w:abstractNum>
  <w:num w:numId="1">
    <w:abstractNumId w:val="5"/>
  </w:num>
  <w:num w:numId="2">
    <w:abstractNumId w:val="6"/>
  </w:num>
  <w:num w:numId="3">
    <w:abstractNumId w:val="9"/>
  </w:num>
  <w:num w:numId="4">
    <w:abstractNumId w:val="11"/>
  </w:num>
  <w:num w:numId="5">
    <w:abstractNumId w:val="8"/>
  </w:num>
  <w:num w:numId="6">
    <w:abstractNumId w:val="2"/>
  </w:num>
  <w:num w:numId="7">
    <w:abstractNumId w:val="3"/>
  </w:num>
  <w:num w:numId="8">
    <w:abstractNumId w:val="0"/>
  </w:num>
  <w:num w:numId="9">
    <w:abstractNumId w:val="4"/>
  </w:num>
  <w:num w:numId="10">
    <w:abstractNumId w:val="1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compressPunctuation"/>
  <w:compat>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42D"/>
    <w:rsid w:val="00006497"/>
    <w:rsid w:val="00011BD1"/>
    <w:rsid w:val="00012F29"/>
    <w:rsid w:val="00014CFD"/>
    <w:rsid w:val="00025E43"/>
    <w:rsid w:val="00027B3D"/>
    <w:rsid w:val="0003115D"/>
    <w:rsid w:val="00047131"/>
    <w:rsid w:val="000476A1"/>
    <w:rsid w:val="00052612"/>
    <w:rsid w:val="0006381C"/>
    <w:rsid w:val="00063996"/>
    <w:rsid w:val="000661B9"/>
    <w:rsid w:val="00072E71"/>
    <w:rsid w:val="00084BC7"/>
    <w:rsid w:val="0009116B"/>
    <w:rsid w:val="000C7966"/>
    <w:rsid w:val="000D6913"/>
    <w:rsid w:val="000D6DB4"/>
    <w:rsid w:val="000E6841"/>
    <w:rsid w:val="0010330F"/>
    <w:rsid w:val="00116902"/>
    <w:rsid w:val="00120BD6"/>
    <w:rsid w:val="00127D2F"/>
    <w:rsid w:val="001374B9"/>
    <w:rsid w:val="001400BE"/>
    <w:rsid w:val="001437AA"/>
    <w:rsid w:val="00157D15"/>
    <w:rsid w:val="00161DA4"/>
    <w:rsid w:val="001621C3"/>
    <w:rsid w:val="001629DF"/>
    <w:rsid w:val="00163CFE"/>
    <w:rsid w:val="001666AB"/>
    <w:rsid w:val="00180C61"/>
    <w:rsid w:val="00187741"/>
    <w:rsid w:val="00191ABE"/>
    <w:rsid w:val="001B3834"/>
    <w:rsid w:val="001B4468"/>
    <w:rsid w:val="001B7744"/>
    <w:rsid w:val="001D01E1"/>
    <w:rsid w:val="001D5599"/>
    <w:rsid w:val="001E2141"/>
    <w:rsid w:val="001E6B61"/>
    <w:rsid w:val="001F2213"/>
    <w:rsid w:val="001F7C0B"/>
    <w:rsid w:val="0020543F"/>
    <w:rsid w:val="00206998"/>
    <w:rsid w:val="002136A2"/>
    <w:rsid w:val="002144A7"/>
    <w:rsid w:val="00227DFE"/>
    <w:rsid w:val="00231D59"/>
    <w:rsid w:val="002320C7"/>
    <w:rsid w:val="00251D3F"/>
    <w:rsid w:val="00263902"/>
    <w:rsid w:val="002646FC"/>
    <w:rsid w:val="00266240"/>
    <w:rsid w:val="002711FB"/>
    <w:rsid w:val="002770A6"/>
    <w:rsid w:val="002772CF"/>
    <w:rsid w:val="0028604F"/>
    <w:rsid w:val="002965D3"/>
    <w:rsid w:val="002D59E1"/>
    <w:rsid w:val="002D6B72"/>
    <w:rsid w:val="002E4844"/>
    <w:rsid w:val="002E5EFB"/>
    <w:rsid w:val="002F4F85"/>
    <w:rsid w:val="003050DF"/>
    <w:rsid w:val="003072BA"/>
    <w:rsid w:val="00312326"/>
    <w:rsid w:val="0031468E"/>
    <w:rsid w:val="00317F98"/>
    <w:rsid w:val="00321947"/>
    <w:rsid w:val="00323B43"/>
    <w:rsid w:val="003401E1"/>
    <w:rsid w:val="00346D8D"/>
    <w:rsid w:val="00346E52"/>
    <w:rsid w:val="00356975"/>
    <w:rsid w:val="00365BCA"/>
    <w:rsid w:val="00380E67"/>
    <w:rsid w:val="003A3794"/>
    <w:rsid w:val="003C548A"/>
    <w:rsid w:val="003C74DD"/>
    <w:rsid w:val="003D1FAF"/>
    <w:rsid w:val="003D37D8"/>
    <w:rsid w:val="003E1940"/>
    <w:rsid w:val="003E56B7"/>
    <w:rsid w:val="003E660B"/>
    <w:rsid w:val="003E6750"/>
    <w:rsid w:val="003F7A8C"/>
    <w:rsid w:val="004029B5"/>
    <w:rsid w:val="00402CFE"/>
    <w:rsid w:val="00404E91"/>
    <w:rsid w:val="00407742"/>
    <w:rsid w:val="004104E3"/>
    <w:rsid w:val="00426133"/>
    <w:rsid w:val="00430375"/>
    <w:rsid w:val="00432317"/>
    <w:rsid w:val="004358AB"/>
    <w:rsid w:val="004430DB"/>
    <w:rsid w:val="004477C5"/>
    <w:rsid w:val="00453CA5"/>
    <w:rsid w:val="00465AFC"/>
    <w:rsid w:val="00470522"/>
    <w:rsid w:val="004A1AAF"/>
    <w:rsid w:val="004A3DE7"/>
    <w:rsid w:val="004B7674"/>
    <w:rsid w:val="004D0110"/>
    <w:rsid w:val="004D2CFC"/>
    <w:rsid w:val="004E02F7"/>
    <w:rsid w:val="004E5913"/>
    <w:rsid w:val="004E7B57"/>
    <w:rsid w:val="004F14CF"/>
    <w:rsid w:val="004F7961"/>
    <w:rsid w:val="00511335"/>
    <w:rsid w:val="00514CED"/>
    <w:rsid w:val="00515724"/>
    <w:rsid w:val="0051714C"/>
    <w:rsid w:val="00517A92"/>
    <w:rsid w:val="005200CC"/>
    <w:rsid w:val="00523BE9"/>
    <w:rsid w:val="005278F2"/>
    <w:rsid w:val="005318C5"/>
    <w:rsid w:val="0054143E"/>
    <w:rsid w:val="00541BC8"/>
    <w:rsid w:val="00544657"/>
    <w:rsid w:val="00544BB9"/>
    <w:rsid w:val="00547052"/>
    <w:rsid w:val="00556798"/>
    <w:rsid w:val="0056288F"/>
    <w:rsid w:val="00570D3C"/>
    <w:rsid w:val="005721D0"/>
    <w:rsid w:val="00586769"/>
    <w:rsid w:val="00591382"/>
    <w:rsid w:val="005A64F3"/>
    <w:rsid w:val="005A6C96"/>
    <w:rsid w:val="005B0581"/>
    <w:rsid w:val="005B0C14"/>
    <w:rsid w:val="005B2EA3"/>
    <w:rsid w:val="005C56F2"/>
    <w:rsid w:val="005F001B"/>
    <w:rsid w:val="005F25BA"/>
    <w:rsid w:val="006013A4"/>
    <w:rsid w:val="0060404C"/>
    <w:rsid w:val="00610990"/>
    <w:rsid w:val="00614096"/>
    <w:rsid w:val="00617327"/>
    <w:rsid w:val="00634868"/>
    <w:rsid w:val="00637A8A"/>
    <w:rsid w:val="006415BD"/>
    <w:rsid w:val="00643D21"/>
    <w:rsid w:val="00644EE8"/>
    <w:rsid w:val="00645D9B"/>
    <w:rsid w:val="00647694"/>
    <w:rsid w:val="00651EFC"/>
    <w:rsid w:val="00656AD0"/>
    <w:rsid w:val="00664F84"/>
    <w:rsid w:val="00673589"/>
    <w:rsid w:val="00697BF1"/>
    <w:rsid w:val="006A4319"/>
    <w:rsid w:val="006B1AF6"/>
    <w:rsid w:val="006C1AEA"/>
    <w:rsid w:val="006C665A"/>
    <w:rsid w:val="006D4EC7"/>
    <w:rsid w:val="006D4FA3"/>
    <w:rsid w:val="006E0736"/>
    <w:rsid w:val="006E11BE"/>
    <w:rsid w:val="006E4679"/>
    <w:rsid w:val="006F1C37"/>
    <w:rsid w:val="006F2607"/>
    <w:rsid w:val="006F6263"/>
    <w:rsid w:val="0070306B"/>
    <w:rsid w:val="0071222A"/>
    <w:rsid w:val="007407ED"/>
    <w:rsid w:val="0074108A"/>
    <w:rsid w:val="00743365"/>
    <w:rsid w:val="00747D6F"/>
    <w:rsid w:val="00754BAC"/>
    <w:rsid w:val="00761FAD"/>
    <w:rsid w:val="00764728"/>
    <w:rsid w:val="007654A4"/>
    <w:rsid w:val="00790DEF"/>
    <w:rsid w:val="00795F52"/>
    <w:rsid w:val="007B2C90"/>
    <w:rsid w:val="007B33D0"/>
    <w:rsid w:val="007B691C"/>
    <w:rsid w:val="007B7D96"/>
    <w:rsid w:val="007F3EE4"/>
    <w:rsid w:val="007F7FCB"/>
    <w:rsid w:val="00802B9A"/>
    <w:rsid w:val="00803360"/>
    <w:rsid w:val="008042EE"/>
    <w:rsid w:val="00812CFB"/>
    <w:rsid w:val="008227AF"/>
    <w:rsid w:val="008233FF"/>
    <w:rsid w:val="0082344F"/>
    <w:rsid w:val="00833C8B"/>
    <w:rsid w:val="00842401"/>
    <w:rsid w:val="00844F3A"/>
    <w:rsid w:val="00846E83"/>
    <w:rsid w:val="008609A7"/>
    <w:rsid w:val="00871A16"/>
    <w:rsid w:val="00872578"/>
    <w:rsid w:val="00875111"/>
    <w:rsid w:val="00891DF6"/>
    <w:rsid w:val="00896825"/>
    <w:rsid w:val="008969C5"/>
    <w:rsid w:val="008A338C"/>
    <w:rsid w:val="008A7344"/>
    <w:rsid w:val="008A7FF3"/>
    <w:rsid w:val="008B7726"/>
    <w:rsid w:val="008C4FD8"/>
    <w:rsid w:val="008C5AB5"/>
    <w:rsid w:val="008C6005"/>
    <w:rsid w:val="008C7B90"/>
    <w:rsid w:val="008D4A71"/>
    <w:rsid w:val="008E05CC"/>
    <w:rsid w:val="008E56A2"/>
    <w:rsid w:val="008E5E66"/>
    <w:rsid w:val="009071F4"/>
    <w:rsid w:val="00910BAD"/>
    <w:rsid w:val="009111BB"/>
    <w:rsid w:val="00912DBC"/>
    <w:rsid w:val="00912EEF"/>
    <w:rsid w:val="00914C06"/>
    <w:rsid w:val="00916B70"/>
    <w:rsid w:val="00921430"/>
    <w:rsid w:val="00936118"/>
    <w:rsid w:val="00937A6D"/>
    <w:rsid w:val="0094392D"/>
    <w:rsid w:val="00957F62"/>
    <w:rsid w:val="009617FC"/>
    <w:rsid w:val="00961D5F"/>
    <w:rsid w:val="00964E44"/>
    <w:rsid w:val="00973C11"/>
    <w:rsid w:val="009750E8"/>
    <w:rsid w:val="00985035"/>
    <w:rsid w:val="009901F5"/>
    <w:rsid w:val="009903D9"/>
    <w:rsid w:val="009920BA"/>
    <w:rsid w:val="009958C6"/>
    <w:rsid w:val="009A0891"/>
    <w:rsid w:val="009A4747"/>
    <w:rsid w:val="009B5AFE"/>
    <w:rsid w:val="009B6493"/>
    <w:rsid w:val="009D19FD"/>
    <w:rsid w:val="009D2B7D"/>
    <w:rsid w:val="009D46C5"/>
    <w:rsid w:val="009D779F"/>
    <w:rsid w:val="009E4EEB"/>
    <w:rsid w:val="009F067F"/>
    <w:rsid w:val="009F1863"/>
    <w:rsid w:val="009F7F5F"/>
    <w:rsid w:val="00A30543"/>
    <w:rsid w:val="00A34005"/>
    <w:rsid w:val="00A3684E"/>
    <w:rsid w:val="00A4059B"/>
    <w:rsid w:val="00A43840"/>
    <w:rsid w:val="00A44999"/>
    <w:rsid w:val="00A550BA"/>
    <w:rsid w:val="00A737DC"/>
    <w:rsid w:val="00A74EEE"/>
    <w:rsid w:val="00A764E7"/>
    <w:rsid w:val="00A7685F"/>
    <w:rsid w:val="00A843E9"/>
    <w:rsid w:val="00A87EB2"/>
    <w:rsid w:val="00A93C09"/>
    <w:rsid w:val="00A9417D"/>
    <w:rsid w:val="00A949C2"/>
    <w:rsid w:val="00AC758B"/>
    <w:rsid w:val="00AD4F15"/>
    <w:rsid w:val="00AE0A6E"/>
    <w:rsid w:val="00AF37E6"/>
    <w:rsid w:val="00B01CA8"/>
    <w:rsid w:val="00B03356"/>
    <w:rsid w:val="00B141D5"/>
    <w:rsid w:val="00B17B59"/>
    <w:rsid w:val="00B20C57"/>
    <w:rsid w:val="00B23E19"/>
    <w:rsid w:val="00B244B5"/>
    <w:rsid w:val="00B378AA"/>
    <w:rsid w:val="00B40E79"/>
    <w:rsid w:val="00B41008"/>
    <w:rsid w:val="00B4198E"/>
    <w:rsid w:val="00B44C9C"/>
    <w:rsid w:val="00B51CAE"/>
    <w:rsid w:val="00B6039E"/>
    <w:rsid w:val="00B64C7F"/>
    <w:rsid w:val="00B7257B"/>
    <w:rsid w:val="00B75025"/>
    <w:rsid w:val="00B812C5"/>
    <w:rsid w:val="00B81932"/>
    <w:rsid w:val="00B93178"/>
    <w:rsid w:val="00B979AF"/>
    <w:rsid w:val="00BA3E69"/>
    <w:rsid w:val="00BA6E86"/>
    <w:rsid w:val="00BB4C08"/>
    <w:rsid w:val="00BB7092"/>
    <w:rsid w:val="00BD50EC"/>
    <w:rsid w:val="00BE3423"/>
    <w:rsid w:val="00BF6D7F"/>
    <w:rsid w:val="00C05221"/>
    <w:rsid w:val="00C052F8"/>
    <w:rsid w:val="00C21DE7"/>
    <w:rsid w:val="00C22AB5"/>
    <w:rsid w:val="00C308C7"/>
    <w:rsid w:val="00C32396"/>
    <w:rsid w:val="00C43870"/>
    <w:rsid w:val="00C439EE"/>
    <w:rsid w:val="00C53AF2"/>
    <w:rsid w:val="00C55031"/>
    <w:rsid w:val="00C57964"/>
    <w:rsid w:val="00C6358A"/>
    <w:rsid w:val="00C7158A"/>
    <w:rsid w:val="00C74193"/>
    <w:rsid w:val="00C903B4"/>
    <w:rsid w:val="00C93A97"/>
    <w:rsid w:val="00CA0471"/>
    <w:rsid w:val="00CA0D37"/>
    <w:rsid w:val="00CA72C6"/>
    <w:rsid w:val="00CB1135"/>
    <w:rsid w:val="00CB2A90"/>
    <w:rsid w:val="00CB34E6"/>
    <w:rsid w:val="00CC37BD"/>
    <w:rsid w:val="00CC5F65"/>
    <w:rsid w:val="00CC74C3"/>
    <w:rsid w:val="00CE08E0"/>
    <w:rsid w:val="00D005C7"/>
    <w:rsid w:val="00D063A0"/>
    <w:rsid w:val="00D10CEE"/>
    <w:rsid w:val="00D220A6"/>
    <w:rsid w:val="00D26D4D"/>
    <w:rsid w:val="00D31D50"/>
    <w:rsid w:val="00D32522"/>
    <w:rsid w:val="00D55E0D"/>
    <w:rsid w:val="00D56B0D"/>
    <w:rsid w:val="00D609AD"/>
    <w:rsid w:val="00D635E9"/>
    <w:rsid w:val="00D63737"/>
    <w:rsid w:val="00D63D9E"/>
    <w:rsid w:val="00D76A20"/>
    <w:rsid w:val="00D905AF"/>
    <w:rsid w:val="00D943AE"/>
    <w:rsid w:val="00D952EB"/>
    <w:rsid w:val="00D97F1B"/>
    <w:rsid w:val="00DB08A0"/>
    <w:rsid w:val="00DC3409"/>
    <w:rsid w:val="00DC4E36"/>
    <w:rsid w:val="00DD3BD9"/>
    <w:rsid w:val="00DD5776"/>
    <w:rsid w:val="00DE1F54"/>
    <w:rsid w:val="00DE2A89"/>
    <w:rsid w:val="00E00207"/>
    <w:rsid w:val="00E12FEC"/>
    <w:rsid w:val="00E16BEE"/>
    <w:rsid w:val="00E22940"/>
    <w:rsid w:val="00E26CD6"/>
    <w:rsid w:val="00E30355"/>
    <w:rsid w:val="00E335A7"/>
    <w:rsid w:val="00E443B0"/>
    <w:rsid w:val="00E44911"/>
    <w:rsid w:val="00E47518"/>
    <w:rsid w:val="00E47E16"/>
    <w:rsid w:val="00E54ED4"/>
    <w:rsid w:val="00E6613B"/>
    <w:rsid w:val="00E81436"/>
    <w:rsid w:val="00E93D95"/>
    <w:rsid w:val="00E94A42"/>
    <w:rsid w:val="00E95A95"/>
    <w:rsid w:val="00E97DC9"/>
    <w:rsid w:val="00EA6A66"/>
    <w:rsid w:val="00EA7A3F"/>
    <w:rsid w:val="00EA7D96"/>
    <w:rsid w:val="00EB029A"/>
    <w:rsid w:val="00EB30FD"/>
    <w:rsid w:val="00EB3D1F"/>
    <w:rsid w:val="00EB77CF"/>
    <w:rsid w:val="00EC3B4B"/>
    <w:rsid w:val="00EC4C02"/>
    <w:rsid w:val="00ED4171"/>
    <w:rsid w:val="00ED761F"/>
    <w:rsid w:val="00EE4031"/>
    <w:rsid w:val="00EE5366"/>
    <w:rsid w:val="00EF1593"/>
    <w:rsid w:val="00EF1A5F"/>
    <w:rsid w:val="00EF4BDE"/>
    <w:rsid w:val="00EF792F"/>
    <w:rsid w:val="00F03791"/>
    <w:rsid w:val="00F07C5A"/>
    <w:rsid w:val="00F12ECC"/>
    <w:rsid w:val="00F13538"/>
    <w:rsid w:val="00F1499B"/>
    <w:rsid w:val="00F32DB4"/>
    <w:rsid w:val="00F3663D"/>
    <w:rsid w:val="00F42B01"/>
    <w:rsid w:val="00F53E19"/>
    <w:rsid w:val="00F60605"/>
    <w:rsid w:val="00F63395"/>
    <w:rsid w:val="00F67A39"/>
    <w:rsid w:val="00F70D82"/>
    <w:rsid w:val="00F70D94"/>
    <w:rsid w:val="00F86BE9"/>
    <w:rsid w:val="00F872A5"/>
    <w:rsid w:val="00F9160E"/>
    <w:rsid w:val="00F941EA"/>
    <w:rsid w:val="00F9740E"/>
    <w:rsid w:val="00F977E6"/>
    <w:rsid w:val="00FB362C"/>
    <w:rsid w:val="00FB429A"/>
    <w:rsid w:val="00FC0085"/>
    <w:rsid w:val="00FC0265"/>
    <w:rsid w:val="00FC0821"/>
    <w:rsid w:val="00FC2CB8"/>
    <w:rsid w:val="00FC70D5"/>
    <w:rsid w:val="00FE4D30"/>
    <w:rsid w:val="00FE6C0D"/>
    <w:rsid w:val="01351A1B"/>
    <w:rsid w:val="01417A85"/>
    <w:rsid w:val="01D111FB"/>
    <w:rsid w:val="028E108E"/>
    <w:rsid w:val="02B46BAE"/>
    <w:rsid w:val="03C21162"/>
    <w:rsid w:val="03E17ABF"/>
    <w:rsid w:val="03FE2ADB"/>
    <w:rsid w:val="041D0BE5"/>
    <w:rsid w:val="048340BE"/>
    <w:rsid w:val="0654724E"/>
    <w:rsid w:val="06734001"/>
    <w:rsid w:val="069E08DC"/>
    <w:rsid w:val="06BC1886"/>
    <w:rsid w:val="090816BC"/>
    <w:rsid w:val="0D96367F"/>
    <w:rsid w:val="0E1E3708"/>
    <w:rsid w:val="11A1070F"/>
    <w:rsid w:val="11DF4D9A"/>
    <w:rsid w:val="12570B0E"/>
    <w:rsid w:val="12EA6A1C"/>
    <w:rsid w:val="14CB77D8"/>
    <w:rsid w:val="15B80737"/>
    <w:rsid w:val="187B1796"/>
    <w:rsid w:val="1921231C"/>
    <w:rsid w:val="1F087E3B"/>
    <w:rsid w:val="1F7B416E"/>
    <w:rsid w:val="1FCF4008"/>
    <w:rsid w:val="228F6A9D"/>
    <w:rsid w:val="2425030D"/>
    <w:rsid w:val="263775AE"/>
    <w:rsid w:val="26990830"/>
    <w:rsid w:val="27325BAF"/>
    <w:rsid w:val="281639A9"/>
    <w:rsid w:val="28752634"/>
    <w:rsid w:val="28BF7CC9"/>
    <w:rsid w:val="29CD456C"/>
    <w:rsid w:val="2AE3222B"/>
    <w:rsid w:val="2CB75F5D"/>
    <w:rsid w:val="2CE724F1"/>
    <w:rsid w:val="2D720986"/>
    <w:rsid w:val="2E4A20C3"/>
    <w:rsid w:val="2E594ECD"/>
    <w:rsid w:val="3069301C"/>
    <w:rsid w:val="34373671"/>
    <w:rsid w:val="37225887"/>
    <w:rsid w:val="380D32E1"/>
    <w:rsid w:val="38495A4A"/>
    <w:rsid w:val="39E7314A"/>
    <w:rsid w:val="3A0C6EB2"/>
    <w:rsid w:val="3ACF0BAF"/>
    <w:rsid w:val="3B047602"/>
    <w:rsid w:val="3B0E3DBA"/>
    <w:rsid w:val="3C7470E1"/>
    <w:rsid w:val="3D296C9B"/>
    <w:rsid w:val="3FD32FF3"/>
    <w:rsid w:val="409822E7"/>
    <w:rsid w:val="4177563F"/>
    <w:rsid w:val="417C7B97"/>
    <w:rsid w:val="425D37A0"/>
    <w:rsid w:val="45B9035F"/>
    <w:rsid w:val="4834345D"/>
    <w:rsid w:val="498251C4"/>
    <w:rsid w:val="49C60BEE"/>
    <w:rsid w:val="4A2323E9"/>
    <w:rsid w:val="4C425294"/>
    <w:rsid w:val="4C751985"/>
    <w:rsid w:val="4D802341"/>
    <w:rsid w:val="4DB153D0"/>
    <w:rsid w:val="4FB57304"/>
    <w:rsid w:val="50AB5B5C"/>
    <w:rsid w:val="50E1463A"/>
    <w:rsid w:val="518E2F5D"/>
    <w:rsid w:val="51D755CE"/>
    <w:rsid w:val="51E760DF"/>
    <w:rsid w:val="53447004"/>
    <w:rsid w:val="53C224AE"/>
    <w:rsid w:val="562340C0"/>
    <w:rsid w:val="56A56034"/>
    <w:rsid w:val="57214D55"/>
    <w:rsid w:val="57891596"/>
    <w:rsid w:val="58576D32"/>
    <w:rsid w:val="5ACC101A"/>
    <w:rsid w:val="5BC4681D"/>
    <w:rsid w:val="5D2A5D52"/>
    <w:rsid w:val="5D5059DF"/>
    <w:rsid w:val="5D6747BB"/>
    <w:rsid w:val="5EB439E9"/>
    <w:rsid w:val="5EFC290C"/>
    <w:rsid w:val="5F1F471E"/>
    <w:rsid w:val="601F0BA0"/>
    <w:rsid w:val="606B7E29"/>
    <w:rsid w:val="60E039CD"/>
    <w:rsid w:val="619768B9"/>
    <w:rsid w:val="6232038A"/>
    <w:rsid w:val="640A7108"/>
    <w:rsid w:val="648866AE"/>
    <w:rsid w:val="67270F35"/>
    <w:rsid w:val="67DC7844"/>
    <w:rsid w:val="67F0272A"/>
    <w:rsid w:val="68F011F1"/>
    <w:rsid w:val="6AC71136"/>
    <w:rsid w:val="6D360450"/>
    <w:rsid w:val="6E2D3938"/>
    <w:rsid w:val="6E852AA7"/>
    <w:rsid w:val="6EEC7CBC"/>
    <w:rsid w:val="6F270F39"/>
    <w:rsid w:val="707E0D2E"/>
    <w:rsid w:val="722C7362"/>
    <w:rsid w:val="72B531EC"/>
    <w:rsid w:val="731D12AB"/>
    <w:rsid w:val="742313F4"/>
    <w:rsid w:val="743C0474"/>
    <w:rsid w:val="74E03EB7"/>
    <w:rsid w:val="75170DF0"/>
    <w:rsid w:val="7570390D"/>
    <w:rsid w:val="767B5F9B"/>
    <w:rsid w:val="76F94330"/>
    <w:rsid w:val="7729007E"/>
    <w:rsid w:val="77440630"/>
    <w:rsid w:val="78237188"/>
    <w:rsid w:val="794873B4"/>
    <w:rsid w:val="797547C3"/>
    <w:rsid w:val="7A6B3EC6"/>
    <w:rsid w:val="7D331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6"/>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49"/>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0"/>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1"/>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52"/>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53"/>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54"/>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55"/>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Normal Indent"/>
    <w:basedOn w:val="1"/>
    <w:link w:val="97"/>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4">
    <w:name w:val="Document Map"/>
    <w:basedOn w:val="1"/>
    <w:link w:val="74"/>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annotation text"/>
    <w:basedOn w:val="1"/>
    <w:link w:val="64"/>
    <w:qFormat/>
    <w:uiPriority w:val="0"/>
    <w:pPr>
      <w:widowControl w:val="0"/>
      <w:adjustRightInd/>
      <w:snapToGrid/>
      <w:spacing w:after="0"/>
    </w:pPr>
    <w:rPr>
      <w:rFonts w:ascii="Times New Roman" w:hAnsi="Times New Roman" w:eastAsia="宋体" w:cs="Times New Roman"/>
      <w:kern w:val="2"/>
      <w:sz w:val="21"/>
      <w:szCs w:val="24"/>
    </w:rPr>
  </w:style>
  <w:style w:type="paragraph" w:styleId="16">
    <w:name w:val="Body Text"/>
    <w:basedOn w:val="1"/>
    <w:link w:val="73"/>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7">
    <w:name w:val="Body Text Indent"/>
    <w:basedOn w:val="1"/>
    <w:link w:val="65"/>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next w:val="1"/>
    <w:link w:val="60"/>
    <w:qFormat/>
    <w:uiPriority w:val="0"/>
    <w:pPr>
      <w:widowControl w:val="0"/>
      <w:adjustRightInd/>
      <w:snapToGrid/>
      <w:spacing w:after="0"/>
      <w:jc w:val="both"/>
    </w:pPr>
    <w:rPr>
      <w:rFonts w:ascii="宋体" w:hAnsi="Courier New" w:eastAsia="宋体"/>
      <w:kern w:val="2"/>
      <w:sz w:val="21"/>
    </w:rPr>
  </w:style>
  <w:style w:type="paragraph" w:styleId="21">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2">
    <w:name w:val="Date"/>
    <w:basedOn w:val="1"/>
    <w:next w:val="1"/>
    <w:link w:val="75"/>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3">
    <w:name w:val="Body Text Indent 2"/>
    <w:basedOn w:val="1"/>
    <w:link w:val="69"/>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70"/>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footer"/>
    <w:basedOn w:val="1"/>
    <w:link w:val="46"/>
    <w:unhideWhenUsed/>
    <w:qFormat/>
    <w:uiPriority w:val="0"/>
    <w:pPr>
      <w:tabs>
        <w:tab w:val="center" w:pos="4153"/>
        <w:tab w:val="right" w:pos="8306"/>
      </w:tabs>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8">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9">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0">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1">
    <w:name w:val="Body Text Indent 3"/>
    <w:basedOn w:val="1"/>
    <w:link w:val="72"/>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2">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3">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4">
    <w:name w:val="Body Text 2"/>
    <w:basedOn w:val="1"/>
    <w:link w:val="63"/>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6">
    <w:name w:val="annotation subject"/>
    <w:basedOn w:val="15"/>
    <w:next w:val="15"/>
    <w:link w:val="71"/>
    <w:semiHidden/>
    <w:qFormat/>
    <w:uiPriority w:val="0"/>
    <w:rPr>
      <w:b/>
      <w:bCs/>
    </w:rPr>
  </w:style>
  <w:style w:type="table" w:styleId="38">
    <w:name w:val="Table Grid"/>
    <w:basedOn w:val="3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页眉 字符"/>
    <w:basedOn w:val="39"/>
    <w:link w:val="26"/>
    <w:semiHidden/>
    <w:qFormat/>
    <w:uiPriority w:val="99"/>
    <w:rPr>
      <w:rFonts w:ascii="Tahoma" w:hAnsi="Tahoma"/>
      <w:sz w:val="18"/>
      <w:szCs w:val="18"/>
    </w:rPr>
  </w:style>
  <w:style w:type="character" w:customStyle="1" w:styleId="46">
    <w:name w:val="页脚 字符"/>
    <w:basedOn w:val="39"/>
    <w:link w:val="25"/>
    <w:semiHidden/>
    <w:qFormat/>
    <w:uiPriority w:val="99"/>
    <w:rPr>
      <w:rFonts w:ascii="Tahoma" w:hAnsi="Tahoma"/>
      <w:sz w:val="18"/>
      <w:szCs w:val="18"/>
    </w:rPr>
  </w:style>
  <w:style w:type="character" w:customStyle="1" w:styleId="47">
    <w:name w:val="标题 1 字符"/>
    <w:basedOn w:val="39"/>
    <w:link w:val="3"/>
    <w:qFormat/>
    <w:uiPriority w:val="0"/>
    <w:rPr>
      <w:rFonts w:ascii="黑体" w:hAnsi="Times New Roman" w:eastAsia="黑体" w:cs="Times New Roman"/>
      <w:sz w:val="36"/>
      <w:szCs w:val="20"/>
    </w:rPr>
  </w:style>
  <w:style w:type="character" w:customStyle="1" w:styleId="48">
    <w:name w:val="标题 2 Char"/>
    <w:basedOn w:val="39"/>
    <w:qFormat/>
    <w:uiPriority w:val="0"/>
    <w:rPr>
      <w:rFonts w:asciiTheme="majorHAnsi" w:hAnsiTheme="majorHAnsi" w:eastAsiaTheme="majorEastAsia" w:cstheme="majorBidi"/>
      <w:b/>
      <w:bCs/>
      <w:sz w:val="32"/>
      <w:szCs w:val="32"/>
    </w:rPr>
  </w:style>
  <w:style w:type="character" w:customStyle="1" w:styleId="49">
    <w:name w:val="标题 3 字符"/>
    <w:basedOn w:val="39"/>
    <w:link w:val="5"/>
    <w:qFormat/>
    <w:uiPriority w:val="0"/>
    <w:rPr>
      <w:rFonts w:ascii="宋体" w:hAnsi="宋体" w:eastAsia="宋体" w:cs="Times New Roman"/>
      <w:bCs/>
      <w:sz w:val="30"/>
      <w:szCs w:val="32"/>
    </w:rPr>
  </w:style>
  <w:style w:type="character" w:customStyle="1" w:styleId="50">
    <w:name w:val="标题 4 字符"/>
    <w:basedOn w:val="39"/>
    <w:link w:val="6"/>
    <w:qFormat/>
    <w:uiPriority w:val="0"/>
    <w:rPr>
      <w:rFonts w:ascii="Cambria" w:hAnsi="Cambria" w:eastAsia="宋体" w:cs="Times New Roman"/>
      <w:b/>
      <w:bCs/>
      <w:kern w:val="2"/>
      <w:sz w:val="28"/>
      <w:szCs w:val="28"/>
    </w:rPr>
  </w:style>
  <w:style w:type="character" w:customStyle="1" w:styleId="51">
    <w:name w:val="标题 5 字符"/>
    <w:basedOn w:val="39"/>
    <w:link w:val="7"/>
    <w:qFormat/>
    <w:uiPriority w:val="0"/>
    <w:rPr>
      <w:rFonts w:ascii="Times New Roman" w:hAnsi="Times New Roman" w:eastAsia="宋体" w:cs="Times New Roman"/>
      <w:b/>
      <w:bCs/>
      <w:kern w:val="2"/>
      <w:sz w:val="28"/>
      <w:szCs w:val="28"/>
    </w:rPr>
  </w:style>
  <w:style w:type="character" w:customStyle="1" w:styleId="52">
    <w:name w:val="标题 6 字符"/>
    <w:basedOn w:val="39"/>
    <w:link w:val="8"/>
    <w:qFormat/>
    <w:uiPriority w:val="0"/>
    <w:rPr>
      <w:rFonts w:ascii="Arial" w:hAnsi="Arial" w:eastAsia="黑体" w:cs="Times New Roman"/>
      <w:b/>
      <w:bCs/>
      <w:sz w:val="24"/>
      <w:szCs w:val="24"/>
    </w:rPr>
  </w:style>
  <w:style w:type="character" w:customStyle="1" w:styleId="53">
    <w:name w:val="标题 7 字符"/>
    <w:basedOn w:val="39"/>
    <w:link w:val="9"/>
    <w:qFormat/>
    <w:uiPriority w:val="0"/>
    <w:rPr>
      <w:rFonts w:ascii="Times New Roman" w:hAnsi="Times New Roman" w:eastAsia="宋体" w:cs="Times New Roman"/>
      <w:b/>
      <w:bCs/>
      <w:sz w:val="24"/>
      <w:szCs w:val="24"/>
    </w:rPr>
  </w:style>
  <w:style w:type="character" w:customStyle="1" w:styleId="54">
    <w:name w:val="标题 8 字符"/>
    <w:basedOn w:val="39"/>
    <w:link w:val="10"/>
    <w:qFormat/>
    <w:uiPriority w:val="0"/>
    <w:rPr>
      <w:rFonts w:ascii="Arial" w:hAnsi="Arial" w:eastAsia="黑体" w:cs="Times New Roman"/>
      <w:sz w:val="24"/>
      <w:szCs w:val="24"/>
    </w:rPr>
  </w:style>
  <w:style w:type="character" w:customStyle="1" w:styleId="55">
    <w:name w:val="标题 9 字符"/>
    <w:basedOn w:val="39"/>
    <w:link w:val="11"/>
    <w:qFormat/>
    <w:uiPriority w:val="0"/>
    <w:rPr>
      <w:rFonts w:ascii="Arial" w:hAnsi="Arial" w:eastAsia="黑体" w:cs="Times New Roman"/>
      <w:sz w:val="21"/>
      <w:szCs w:val="21"/>
    </w:rPr>
  </w:style>
  <w:style w:type="character" w:customStyle="1" w:styleId="56">
    <w:name w:val="标题 2 字符"/>
    <w:link w:val="4"/>
    <w:qFormat/>
    <w:uiPriority w:val="0"/>
    <w:rPr>
      <w:rFonts w:ascii="Arial" w:hAnsi="Arial" w:eastAsia="黑体" w:cs="Times New Roman"/>
      <w:bCs/>
      <w:sz w:val="32"/>
      <w:szCs w:val="32"/>
    </w:rPr>
  </w:style>
  <w:style w:type="character" w:customStyle="1" w:styleId="57">
    <w:name w:val="样式 标题 3 + 五号 黑色 Char"/>
    <w:link w:val="58"/>
    <w:qFormat/>
    <w:uiPriority w:val="0"/>
    <w:rPr>
      <w:rFonts w:ascii="宋体" w:hAnsi="宋体"/>
      <w:bCs/>
      <w:color w:val="000000"/>
      <w:sz w:val="28"/>
      <w:szCs w:val="32"/>
    </w:rPr>
  </w:style>
  <w:style w:type="paragraph" w:customStyle="1" w:styleId="58">
    <w:name w:val="样式 标题 3 + 五号 黑色"/>
    <w:basedOn w:val="5"/>
    <w:link w:val="57"/>
    <w:qFormat/>
    <w:uiPriority w:val="0"/>
    <w:rPr>
      <w:rFonts w:hint="default" w:eastAsia="微软雅黑" w:cstheme="minorBidi"/>
      <w:color w:val="000000"/>
      <w:sz w:val="28"/>
    </w:rPr>
  </w:style>
  <w:style w:type="character" w:customStyle="1" w:styleId="59">
    <w:name w:val="标题 2 Char Char"/>
    <w:qFormat/>
    <w:uiPriority w:val="0"/>
    <w:rPr>
      <w:rFonts w:ascii="Arial" w:hAnsi="Arial" w:eastAsia="黑体"/>
      <w:bCs/>
      <w:sz w:val="32"/>
      <w:szCs w:val="32"/>
      <w:lang w:val="en-US" w:eastAsia="zh-CN" w:bidi="ar-SA"/>
    </w:rPr>
  </w:style>
  <w:style w:type="character" w:customStyle="1" w:styleId="60">
    <w:name w:val="纯文本 字符"/>
    <w:link w:val="20"/>
    <w:qFormat/>
    <w:uiPriority w:val="99"/>
    <w:rPr>
      <w:rFonts w:ascii="宋体" w:hAnsi="Courier New" w:eastAsia="宋体"/>
      <w:kern w:val="2"/>
      <w:sz w:val="21"/>
    </w:rPr>
  </w:style>
  <w:style w:type="character" w:customStyle="1" w:styleId="61">
    <w:name w:val="样式 标题 2 Char"/>
    <w:basedOn w:val="56"/>
    <w:link w:val="62"/>
    <w:qFormat/>
    <w:uiPriority w:val="0"/>
    <w:rPr>
      <w:rFonts w:ascii="Arial" w:hAnsi="Arial" w:eastAsia="黑体" w:cs="Times New Roman"/>
      <w:sz w:val="32"/>
      <w:szCs w:val="32"/>
    </w:rPr>
  </w:style>
  <w:style w:type="paragraph" w:customStyle="1" w:styleId="62">
    <w:name w:val="样式 标题 2"/>
    <w:basedOn w:val="4"/>
    <w:link w:val="61"/>
    <w:qFormat/>
    <w:uiPriority w:val="0"/>
  </w:style>
  <w:style w:type="character" w:customStyle="1" w:styleId="63">
    <w:name w:val="正文文本 2 字符"/>
    <w:basedOn w:val="39"/>
    <w:link w:val="34"/>
    <w:qFormat/>
    <w:uiPriority w:val="0"/>
    <w:rPr>
      <w:rFonts w:ascii="Times New Roman" w:hAnsi="Times New Roman" w:eastAsia="宋体" w:cs="Times New Roman"/>
      <w:kern w:val="2"/>
      <w:sz w:val="21"/>
      <w:szCs w:val="24"/>
    </w:rPr>
  </w:style>
  <w:style w:type="character" w:customStyle="1" w:styleId="64">
    <w:name w:val="批注文字 字符"/>
    <w:basedOn w:val="39"/>
    <w:link w:val="15"/>
    <w:qFormat/>
    <w:uiPriority w:val="0"/>
    <w:rPr>
      <w:rFonts w:ascii="Times New Roman" w:hAnsi="Times New Roman" w:eastAsia="宋体" w:cs="Times New Roman"/>
      <w:kern w:val="2"/>
      <w:sz w:val="21"/>
      <w:szCs w:val="24"/>
    </w:rPr>
  </w:style>
  <w:style w:type="character" w:customStyle="1" w:styleId="65">
    <w:name w:val="正文文本缩进 字符"/>
    <w:basedOn w:val="39"/>
    <w:link w:val="17"/>
    <w:qFormat/>
    <w:uiPriority w:val="0"/>
    <w:rPr>
      <w:rFonts w:ascii="宋体" w:hAnsi="宋体" w:eastAsia="宋体" w:cs="Courier New"/>
      <w:spacing w:val="2"/>
      <w:kern w:val="2"/>
      <w:sz w:val="21"/>
      <w:szCs w:val="24"/>
    </w:rPr>
  </w:style>
  <w:style w:type="paragraph" w:customStyle="1" w:styleId="66">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7">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8">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9">
    <w:name w:val="正文文本缩进 2 字符"/>
    <w:basedOn w:val="39"/>
    <w:link w:val="23"/>
    <w:qFormat/>
    <w:uiPriority w:val="0"/>
    <w:rPr>
      <w:rFonts w:ascii="Times New Roman" w:hAnsi="Times New Roman" w:eastAsia="宋体" w:cs="Times New Roman"/>
      <w:kern w:val="2"/>
      <w:sz w:val="21"/>
      <w:szCs w:val="24"/>
    </w:rPr>
  </w:style>
  <w:style w:type="character" w:customStyle="1" w:styleId="70">
    <w:name w:val="批注框文本 字符"/>
    <w:basedOn w:val="39"/>
    <w:link w:val="24"/>
    <w:qFormat/>
    <w:uiPriority w:val="0"/>
    <w:rPr>
      <w:rFonts w:ascii="Times New Roman" w:hAnsi="Times New Roman" w:eastAsia="宋体" w:cs="Times New Roman"/>
      <w:kern w:val="2"/>
      <w:sz w:val="18"/>
      <w:szCs w:val="18"/>
    </w:rPr>
  </w:style>
  <w:style w:type="character" w:customStyle="1" w:styleId="71">
    <w:name w:val="批注主题 字符"/>
    <w:basedOn w:val="64"/>
    <w:link w:val="36"/>
    <w:semiHidden/>
    <w:qFormat/>
    <w:uiPriority w:val="0"/>
    <w:rPr>
      <w:rFonts w:ascii="Times New Roman" w:hAnsi="Times New Roman" w:eastAsia="宋体" w:cs="Times New Roman"/>
      <w:b/>
      <w:bCs/>
      <w:kern w:val="2"/>
      <w:sz w:val="21"/>
      <w:szCs w:val="24"/>
    </w:rPr>
  </w:style>
  <w:style w:type="character" w:customStyle="1" w:styleId="72">
    <w:name w:val="正文文本缩进 3 字符"/>
    <w:basedOn w:val="39"/>
    <w:link w:val="31"/>
    <w:qFormat/>
    <w:uiPriority w:val="0"/>
    <w:rPr>
      <w:rFonts w:ascii="宋体" w:hAnsi="Courier New" w:eastAsia="宋体" w:cs="Courier New"/>
      <w:kern w:val="2"/>
      <w:sz w:val="21"/>
      <w:szCs w:val="24"/>
    </w:rPr>
  </w:style>
  <w:style w:type="character" w:customStyle="1" w:styleId="73">
    <w:name w:val="正文文本 字符"/>
    <w:basedOn w:val="39"/>
    <w:link w:val="16"/>
    <w:qFormat/>
    <w:uiPriority w:val="0"/>
    <w:rPr>
      <w:rFonts w:ascii="Times New Roman" w:hAnsi="Times New Roman" w:eastAsia="宋体" w:cs="Times New Roman"/>
      <w:kern w:val="2"/>
      <w:sz w:val="52"/>
      <w:szCs w:val="24"/>
    </w:rPr>
  </w:style>
  <w:style w:type="character" w:customStyle="1" w:styleId="74">
    <w:name w:val="文档结构图 字符"/>
    <w:basedOn w:val="39"/>
    <w:link w:val="14"/>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9"/>
    <w:link w:val="22"/>
    <w:qFormat/>
    <w:uiPriority w:val="0"/>
    <w:rPr>
      <w:rFonts w:ascii="Times New Roman" w:hAnsi="Times New Roman" w:eastAsia="宋体" w:cs="Times New Roman"/>
      <w:kern w:val="2"/>
      <w:sz w:val="21"/>
      <w:szCs w:val="24"/>
    </w:rPr>
  </w:style>
  <w:style w:type="character" w:customStyle="1" w:styleId="76">
    <w:name w:val="纯文本 Char"/>
    <w:basedOn w:val="39"/>
    <w:qFormat/>
    <w:uiPriority w:val="0"/>
    <w:rPr>
      <w:rFonts w:ascii="宋体" w:hAnsi="Courier New" w:eastAsia="宋体" w:cs="Courier New"/>
      <w:sz w:val="21"/>
      <w:szCs w:val="21"/>
    </w:rPr>
  </w:style>
  <w:style w:type="paragraph" w:customStyle="1" w:styleId="7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8">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0">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1">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2">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3">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4">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5">
    <w:name w:val="Char Char Char Char"/>
    <w:basedOn w:val="14"/>
    <w:qFormat/>
    <w:uiPriority w:val="0"/>
    <w:rPr>
      <w:rFonts w:ascii="宋体" w:hAnsi="Courier New"/>
      <w:szCs w:val="20"/>
    </w:rPr>
  </w:style>
  <w:style w:type="paragraph" w:customStyle="1" w:styleId="86">
    <w:name w:val="样式3"/>
    <w:basedOn w:val="20"/>
    <w:qFormat/>
    <w:uiPriority w:val="0"/>
    <w:pPr>
      <w:adjustRightInd w:val="0"/>
      <w:spacing w:line="0" w:lineRule="atLeast"/>
      <w:textAlignment w:val="baseline"/>
      <w:outlineLvl w:val="0"/>
    </w:pPr>
    <w:rPr>
      <w:sz w:val="28"/>
    </w:rPr>
  </w:style>
  <w:style w:type="paragraph" w:customStyle="1" w:styleId="87">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8">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9">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0">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1">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character" w:customStyle="1" w:styleId="92">
    <w:name w:val="Char Char2"/>
    <w:qFormat/>
    <w:uiPriority w:val="0"/>
    <w:rPr>
      <w:rFonts w:ascii="宋体" w:hAnsi="Courier New" w:eastAsia="宋体" w:cs="Courier New"/>
      <w:szCs w:val="21"/>
    </w:rPr>
  </w:style>
  <w:style w:type="character" w:customStyle="1" w:styleId="93">
    <w:name w:val="普通文字 Char Char2"/>
    <w:qFormat/>
    <w:uiPriority w:val="0"/>
    <w:rPr>
      <w:rFonts w:ascii="宋体" w:hAnsi="宋体"/>
      <w:kern w:val="1"/>
      <w:sz w:val="21"/>
      <w:lang w:eastAsia="ar-SA"/>
    </w:rPr>
  </w:style>
  <w:style w:type="paragraph" w:styleId="94">
    <w:name w:val="List Paragraph"/>
    <w:basedOn w:val="1"/>
    <w:qFormat/>
    <w:uiPriority w:val="34"/>
    <w:pPr>
      <w:ind w:firstLine="420" w:firstLineChars="200"/>
    </w:pPr>
  </w:style>
  <w:style w:type="paragraph" w:customStyle="1" w:styleId="9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6">
    <w:name w:val="纯文本 Char1"/>
    <w:qFormat/>
    <w:uiPriority w:val="0"/>
    <w:rPr>
      <w:rFonts w:ascii="宋体" w:hAnsi="Courier New" w:eastAsia="宋体" w:cs="Courier New"/>
      <w:szCs w:val="21"/>
    </w:rPr>
  </w:style>
  <w:style w:type="character" w:customStyle="1" w:styleId="97">
    <w:name w:val="正文缩进 字符"/>
    <w:link w:val="13"/>
    <w:qFormat/>
    <w:uiPriority w:val="0"/>
    <w:rPr>
      <w:rFonts w:ascii="Times New Roman" w:hAnsi="Times New Roman" w:eastAsia="宋体" w:cs="Times New Roman"/>
      <w:kern w:val="2"/>
      <w:sz w:val="21"/>
      <w:szCs w:val="20"/>
    </w:rPr>
  </w:style>
  <w:style w:type="character" w:customStyle="1" w:styleId="98">
    <w:name w:val="Char Char10"/>
    <w:qFormat/>
    <w:uiPriority w:val="0"/>
    <w:rPr>
      <w:rFonts w:ascii="宋体" w:hAnsi="Courier New" w:eastAsia="宋体" w:cs="Courier New"/>
      <w:kern w:val="2"/>
      <w:sz w:val="21"/>
      <w:szCs w:val="21"/>
      <w:lang w:val="en-US" w:eastAsia="zh-CN" w:bidi="ar-SA"/>
    </w:rPr>
  </w:style>
  <w:style w:type="character" w:customStyle="1" w:styleId="99">
    <w:name w:val="日期 Char1"/>
    <w:qFormat/>
    <w:uiPriority w:val="0"/>
    <w:rPr>
      <w:kern w:val="2"/>
      <w:sz w:val="21"/>
      <w:szCs w:val="24"/>
    </w:rPr>
  </w:style>
  <w:style w:type="paragraph" w:customStyle="1" w:styleId="100">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1">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02">
    <w:name w:val="font01"/>
    <w:basedOn w:val="39"/>
    <w:qFormat/>
    <w:uiPriority w:val="0"/>
    <w:rPr>
      <w:rFonts w:hint="eastAsia" w:ascii="宋体" w:hAnsi="宋体" w:eastAsia="宋体" w:cs="宋体"/>
      <w:color w:val="000000"/>
      <w:sz w:val="20"/>
      <w:szCs w:val="20"/>
      <w:u w:val="none"/>
    </w:rPr>
  </w:style>
  <w:style w:type="character" w:customStyle="1" w:styleId="103">
    <w:name w:val="font11"/>
    <w:basedOn w:val="39"/>
    <w:qFormat/>
    <w:uiPriority w:val="0"/>
    <w:rPr>
      <w:rFonts w:hint="default" w:ascii="Arial" w:hAnsi="Arial" w:cs="Arial"/>
      <w:color w:val="000000"/>
      <w:sz w:val="20"/>
      <w:szCs w:val="20"/>
      <w:u w:val="none"/>
    </w:rPr>
  </w:style>
  <w:style w:type="character" w:customStyle="1" w:styleId="104">
    <w:name w:val="font21"/>
    <w:basedOn w:val="3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EFAF1-315B-47F7-A022-148483DAB0F7}">
  <ds:schemaRefs/>
</ds:datastoreItem>
</file>

<file path=docProps/app.xml><?xml version="1.0" encoding="utf-8"?>
<Properties xmlns="http://schemas.openxmlformats.org/officeDocument/2006/extended-properties" xmlns:vt="http://schemas.openxmlformats.org/officeDocument/2006/docPropsVTypes">
  <Template>Normal</Template>
  <Pages>63</Pages>
  <Words>6390</Words>
  <Characters>36424</Characters>
  <Lines>303</Lines>
  <Paragraphs>85</Paragraphs>
  <TotalTime>3</TotalTime>
  <ScaleCrop>false</ScaleCrop>
  <LinksUpToDate>false</LinksUpToDate>
  <CharactersWithSpaces>42729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NTKO</cp:lastModifiedBy>
  <cp:lastPrinted>2019-06-04T09:20:00Z</cp:lastPrinted>
  <dcterms:modified xsi:type="dcterms:W3CDTF">2020-07-16T00:47:26Z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