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right="-143" w:rightChars="-68"/>
        <w:rPr>
          <w:rFonts w:ascii="宋体" w:hAnsi="宋体" w:cs="宋体"/>
          <w:b/>
          <w:color w:val="auto"/>
          <w:spacing w:val="4"/>
          <w:sz w:val="36"/>
          <w:szCs w:val="36"/>
          <w:highlight w:val="none"/>
          <w:lang w:bidi="ar"/>
        </w:rPr>
      </w:pPr>
      <w:r>
        <w:rPr>
          <w:rFonts w:hint="eastAsia" w:hAnsi="宋体"/>
          <w:b/>
          <w:color w:val="auto"/>
          <w:spacing w:val="20"/>
          <w:sz w:val="44"/>
          <w:szCs w:val="44"/>
          <w:highlight w:val="none"/>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260350</wp:posOffset>
                </wp:positionV>
                <wp:extent cx="6048375" cy="0"/>
                <wp:effectExtent l="0" t="28575" r="9525" b="28575"/>
                <wp:wrapNone/>
                <wp:docPr id="6" name="直接连接符 6"/>
                <wp:cNvGraphicFramePr/>
                <a:graphic xmlns:a="http://schemas.openxmlformats.org/drawingml/2006/main">
                  <a:graphicData uri="http://schemas.microsoft.com/office/word/2010/wordprocessingShape">
                    <wps:wsp>
                      <wps:cNvCnPr/>
                      <wps:spPr>
                        <a:xfrm>
                          <a:off x="0" y="0"/>
                          <a:ext cx="6048375" cy="0"/>
                        </a:xfrm>
                        <a:prstGeom prst="line">
                          <a:avLst/>
                        </a:prstGeom>
                        <a:ln w="57150" cap="flat" cmpd="thickThin">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55pt;margin-top:20.5pt;height:0pt;width:476.25pt;z-index:251659264;mso-width-relative:page;mso-height-relative:page;" filled="f" stroked="t" coordsize="21600,21600" o:gfxdata="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z7eHo1AAAAAkBAAAPAAAAAAAAAAEAIAAA&#10;ACIAAABkcnMvZG93bnJldi54bWxQSwECFAAUAAAACACHTuJAvSG9wdcBAACRAwAADgAAAAAAAAAB&#10;ACAAAAAjAQAAZHJzL2Uyb0RvYy54bWxQSwUGAAAAAAYABgBZAQAAbAUAAAAA&#10;">
                <v:fill on="f" focussize="0,0"/>
                <v:stroke weight="4.5pt" color="#000000" linestyle="thickThin" joinstyle="round"/>
                <v:imagedata o:title=""/>
                <o:lock v:ext="edit" aspectratio="f"/>
              </v:line>
            </w:pict>
          </mc:Fallback>
        </mc:AlternateContent>
      </w:r>
    </w:p>
    <w:p>
      <w:pPr>
        <w:spacing w:line="600" w:lineRule="exact"/>
        <w:ind w:right="-143" w:rightChars="-68"/>
        <w:jc w:val="center"/>
        <w:rPr>
          <w:rFonts w:ascii="宋体" w:hAnsi="宋体" w:cs="宋体"/>
          <w:b/>
          <w:color w:val="auto"/>
          <w:spacing w:val="4"/>
          <w:sz w:val="52"/>
          <w:szCs w:val="52"/>
          <w:highlight w:val="none"/>
          <w:lang w:bidi="ar"/>
        </w:rPr>
      </w:pPr>
      <w:r>
        <w:rPr>
          <w:rFonts w:hint="eastAsia" w:ascii="宋体" w:hAnsi="宋体" w:cs="宋体"/>
          <w:b/>
          <w:color w:val="auto"/>
          <w:spacing w:val="4"/>
          <w:sz w:val="40"/>
          <w:szCs w:val="40"/>
          <w:highlight w:val="none"/>
          <w:lang w:eastAsia="zh-CN" w:bidi="ar"/>
        </w:rPr>
        <w:t>百色市田阳区2020年坡洪镇及五村镇乡村风貌提升基本整治型村庄片区建设工程(2标)</w:t>
      </w:r>
      <w:r>
        <w:rPr>
          <w:rFonts w:hint="eastAsia" w:ascii="宋体" w:hAnsi="宋体" w:cs="宋体"/>
          <w:b/>
          <w:color w:val="auto"/>
          <w:spacing w:val="4"/>
          <w:sz w:val="52"/>
          <w:szCs w:val="52"/>
          <w:highlight w:val="none"/>
          <w:lang w:bidi="ar"/>
        </w:rPr>
        <w:t xml:space="preserve"> </w:t>
      </w:r>
    </w:p>
    <w:p>
      <w:pPr>
        <w:spacing w:line="600" w:lineRule="exact"/>
        <w:ind w:right="-143" w:rightChars="-68"/>
        <w:jc w:val="center"/>
        <w:rPr>
          <w:rFonts w:ascii="宋体" w:hAnsi="宋体" w:cs="宋体"/>
          <w:b/>
          <w:color w:val="auto"/>
          <w:spacing w:val="4"/>
          <w:sz w:val="52"/>
          <w:szCs w:val="52"/>
          <w:highlight w:val="none"/>
          <w:lang w:bidi="ar"/>
        </w:rPr>
      </w:pPr>
    </w:p>
    <w:p>
      <w:pPr>
        <w:pStyle w:val="32"/>
        <w:widowControl w:val="0"/>
        <w:spacing w:before="0" w:beforeAutospacing="0" w:after="0" w:afterAutospacing="0" w:line="360" w:lineRule="auto"/>
        <w:ind w:firstLine="5019" w:firstLineChars="500"/>
        <w:jc w:val="both"/>
        <w:rPr>
          <w:rFonts w:ascii="黑体" w:hAnsi="Courier New" w:eastAsia="黑体" w:cs="黑体"/>
          <w:b/>
          <w:color w:val="auto"/>
          <w:sz w:val="52"/>
          <w:szCs w:val="52"/>
          <w:highlight w:val="none"/>
        </w:rPr>
      </w:pPr>
      <w:r>
        <w:rPr>
          <w:rFonts w:hint="eastAsia"/>
          <w:b/>
          <w:color w:val="auto"/>
          <w:spacing w:val="20"/>
          <w:sz w:val="96"/>
          <w:szCs w:val="96"/>
          <w:highlight w:val="none"/>
        </w:rPr>
        <w:drawing>
          <wp:anchor distT="0" distB="0" distL="114300" distR="114300" simplePos="0" relativeHeight="251664384" behindDoc="1" locked="0" layoutInCell="1" allowOverlap="1">
            <wp:simplePos x="0" y="0"/>
            <wp:positionH relativeFrom="column">
              <wp:posOffset>1501775</wp:posOffset>
            </wp:positionH>
            <wp:positionV relativeFrom="paragraph">
              <wp:posOffset>120015</wp:posOffset>
            </wp:positionV>
            <wp:extent cx="2609850" cy="1962150"/>
            <wp:effectExtent l="0" t="0" r="0" b="0"/>
            <wp:wrapNone/>
            <wp:docPr id="1" name="图片 2" descr="6df5d44be1f4d921bb371d5f9bb6d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df5d44be1f4d921bb371d5f9bb6d75"/>
                    <pic:cNvPicPr>
                      <a:picLocks noChangeAspect="1"/>
                    </pic:cNvPicPr>
                  </pic:nvPicPr>
                  <pic:blipFill>
                    <a:blip r:embed="rId14"/>
                    <a:stretch>
                      <a:fillRect/>
                    </a:stretch>
                  </pic:blipFill>
                  <pic:spPr>
                    <a:xfrm>
                      <a:off x="0" y="0"/>
                      <a:ext cx="2609850" cy="1962150"/>
                    </a:xfrm>
                    <a:prstGeom prst="rect">
                      <a:avLst/>
                    </a:prstGeom>
                    <a:noFill/>
                    <a:ln>
                      <a:noFill/>
                    </a:ln>
                  </pic:spPr>
                </pic:pic>
              </a:graphicData>
            </a:graphic>
          </wp:anchor>
        </w:drawing>
      </w:r>
    </w:p>
    <w:p>
      <w:pPr>
        <w:pStyle w:val="32"/>
        <w:widowControl w:val="0"/>
        <w:spacing w:before="0" w:beforeAutospacing="0" w:after="0" w:afterAutospacing="0" w:line="360" w:lineRule="auto"/>
        <w:ind w:firstLine="2610" w:firstLineChars="500"/>
        <w:jc w:val="both"/>
        <w:rPr>
          <w:rFonts w:ascii="黑体" w:hAnsi="Courier New" w:eastAsia="黑体" w:cs="黑体"/>
          <w:b/>
          <w:color w:val="auto"/>
          <w:sz w:val="52"/>
          <w:szCs w:val="52"/>
          <w:highlight w:val="none"/>
        </w:rPr>
      </w:pPr>
    </w:p>
    <w:p>
      <w:pPr>
        <w:pStyle w:val="32"/>
        <w:widowControl w:val="0"/>
        <w:spacing w:before="0" w:beforeAutospacing="0" w:after="0" w:afterAutospacing="0" w:line="360" w:lineRule="auto"/>
        <w:jc w:val="both"/>
        <w:rPr>
          <w:b/>
          <w:color w:val="auto"/>
          <w:spacing w:val="20"/>
          <w:sz w:val="96"/>
          <w:szCs w:val="96"/>
          <w:highlight w:val="none"/>
        </w:rPr>
      </w:pPr>
    </w:p>
    <w:p>
      <w:pPr>
        <w:pStyle w:val="32"/>
        <w:widowControl w:val="0"/>
        <w:spacing w:before="0" w:beforeAutospacing="0" w:after="0" w:afterAutospacing="0" w:line="360" w:lineRule="auto"/>
        <w:jc w:val="center"/>
        <w:rPr>
          <w:b/>
          <w:color w:val="auto"/>
          <w:spacing w:val="20"/>
          <w:kern w:val="2"/>
          <w:sz w:val="52"/>
          <w:szCs w:val="52"/>
          <w:highlight w:val="none"/>
          <w:lang w:bidi="ar"/>
        </w:rPr>
      </w:pPr>
    </w:p>
    <w:p>
      <w:pPr>
        <w:pStyle w:val="32"/>
        <w:widowControl w:val="0"/>
        <w:spacing w:before="0" w:beforeAutospacing="0" w:after="0" w:afterAutospacing="0" w:line="360" w:lineRule="auto"/>
        <w:jc w:val="center"/>
        <w:rPr>
          <w:rFonts w:hint="eastAsia" w:eastAsia="宋体"/>
          <w:color w:val="auto"/>
          <w:sz w:val="30"/>
          <w:szCs w:val="20"/>
          <w:highlight w:val="none"/>
          <w:lang w:eastAsia="zh-CN"/>
        </w:rPr>
      </w:pPr>
      <w:r>
        <w:rPr>
          <w:b/>
          <w:color w:val="auto"/>
          <w:spacing w:val="20"/>
          <w:kern w:val="2"/>
          <w:sz w:val="52"/>
          <w:szCs w:val="52"/>
          <w:highlight w:val="none"/>
          <w:lang w:bidi="ar"/>
        </w:rPr>
        <w:t>竞争性谈判</w:t>
      </w:r>
      <w:r>
        <w:rPr>
          <w:rFonts w:hint="eastAsia"/>
          <w:b/>
          <w:color w:val="auto"/>
          <w:spacing w:val="20"/>
          <w:kern w:val="2"/>
          <w:sz w:val="52"/>
          <w:szCs w:val="52"/>
          <w:highlight w:val="none"/>
          <w:lang w:eastAsia="zh-CN" w:bidi="ar"/>
        </w:rPr>
        <w:t>文件</w:t>
      </w:r>
    </w:p>
    <w:p>
      <w:pPr>
        <w:adjustRightInd w:val="0"/>
        <w:snapToGrid w:val="0"/>
        <w:jc w:val="center"/>
        <w:rPr>
          <w:rFonts w:hint="eastAsia"/>
          <w:b/>
          <w:color w:val="auto"/>
          <w:sz w:val="28"/>
          <w:szCs w:val="28"/>
          <w:highlight w:val="none"/>
          <w:lang w:eastAsia="zh-CN" w:bidi="ar"/>
        </w:rPr>
      </w:pPr>
      <w:r>
        <w:rPr>
          <w:b/>
          <w:color w:val="auto"/>
          <w:sz w:val="28"/>
          <w:szCs w:val="28"/>
          <w:highlight w:val="none"/>
          <w:lang w:bidi="ar"/>
        </w:rPr>
        <w:t>项目编号：</w:t>
      </w:r>
      <w:r>
        <w:rPr>
          <w:rFonts w:hint="eastAsia"/>
          <w:b/>
          <w:color w:val="auto"/>
          <w:sz w:val="28"/>
          <w:szCs w:val="28"/>
          <w:highlight w:val="none"/>
          <w:lang w:eastAsia="zh-CN" w:bidi="ar"/>
        </w:rPr>
        <w:t>BSZC2020-J2-210541-ZJGC</w:t>
      </w:r>
    </w:p>
    <w:p>
      <w:pPr>
        <w:spacing w:line="680" w:lineRule="exact"/>
        <w:ind w:firstLine="551" w:firstLineChars="196"/>
        <w:rPr>
          <w:rFonts w:ascii="宋体" w:hAnsi="宋体" w:cs="宋体"/>
          <w:b/>
          <w:snapToGrid w:val="0"/>
          <w:color w:val="auto"/>
          <w:kern w:val="0"/>
          <w:sz w:val="28"/>
          <w:szCs w:val="28"/>
          <w:highlight w:val="none"/>
          <w:lang w:bidi="ar"/>
        </w:rPr>
      </w:pPr>
    </w:p>
    <w:p>
      <w:pPr>
        <w:spacing w:line="680" w:lineRule="exact"/>
        <w:rPr>
          <w:rFonts w:ascii="宋体" w:hAnsi="宋体" w:cs="宋体"/>
          <w:b/>
          <w:snapToGrid w:val="0"/>
          <w:color w:val="auto"/>
          <w:kern w:val="0"/>
          <w:sz w:val="36"/>
          <w:highlight w:val="none"/>
          <w:lang w:bidi="ar"/>
        </w:rPr>
      </w:pPr>
    </w:p>
    <w:p>
      <w:pPr>
        <w:pStyle w:val="13"/>
        <w:jc w:val="both"/>
        <w:rPr>
          <w:color w:val="auto"/>
          <w:highlight w:val="none"/>
        </w:rPr>
      </w:pPr>
    </w:p>
    <w:p>
      <w:pPr>
        <w:spacing w:line="680" w:lineRule="exact"/>
        <w:ind w:firstLine="1494" w:firstLineChars="496"/>
        <w:rPr>
          <w:rFonts w:ascii="宋体" w:hAnsi="宋体" w:cs="宋体"/>
          <w:b/>
          <w:snapToGrid w:val="0"/>
          <w:color w:val="auto"/>
          <w:kern w:val="0"/>
          <w:sz w:val="30"/>
          <w:szCs w:val="30"/>
          <w:highlight w:val="none"/>
          <w:lang w:bidi="ar"/>
        </w:rPr>
      </w:pPr>
    </w:p>
    <w:p>
      <w:pPr>
        <w:spacing w:line="680" w:lineRule="exact"/>
        <w:ind w:firstLine="1494" w:firstLineChars="496"/>
        <w:rPr>
          <w:rFonts w:ascii="宋体" w:hAnsi="宋体" w:cs="宋体"/>
          <w:b/>
          <w:snapToGrid w:val="0"/>
          <w:color w:val="auto"/>
          <w:kern w:val="0"/>
          <w:sz w:val="30"/>
          <w:szCs w:val="30"/>
          <w:highlight w:val="none"/>
          <w:lang w:bidi="ar"/>
        </w:rPr>
      </w:pPr>
      <w:r>
        <w:rPr>
          <w:rFonts w:hint="eastAsia" w:ascii="宋体" w:hAnsi="宋体" w:cs="宋体"/>
          <w:b/>
          <w:snapToGrid w:val="0"/>
          <w:color w:val="auto"/>
          <w:kern w:val="0"/>
          <w:sz w:val="30"/>
          <w:szCs w:val="30"/>
          <w:highlight w:val="none"/>
          <w:lang w:bidi="ar"/>
        </w:rPr>
        <w:t>采 购</w:t>
      </w:r>
      <w:r>
        <w:rPr>
          <w:rFonts w:hint="eastAsia" w:ascii="宋体" w:hAnsi="宋体" w:cs="宋体"/>
          <w:b/>
          <w:color w:val="auto"/>
          <w:kern w:val="0"/>
          <w:sz w:val="30"/>
          <w:szCs w:val="30"/>
          <w:highlight w:val="none"/>
          <w:lang w:bidi="ar"/>
        </w:rPr>
        <w:t xml:space="preserve">  </w:t>
      </w:r>
      <w:r>
        <w:rPr>
          <w:rFonts w:hint="eastAsia" w:ascii="宋体" w:hAnsi="宋体" w:cs="宋体"/>
          <w:b/>
          <w:snapToGrid w:val="0"/>
          <w:color w:val="auto"/>
          <w:kern w:val="0"/>
          <w:sz w:val="30"/>
          <w:szCs w:val="30"/>
          <w:highlight w:val="none"/>
          <w:lang w:bidi="ar"/>
        </w:rPr>
        <w:t>单 位：</w:t>
      </w:r>
      <w:r>
        <w:rPr>
          <w:rFonts w:hint="eastAsia" w:ascii="宋体" w:hAnsi="宋体" w:cs="宋体"/>
          <w:b/>
          <w:snapToGrid w:val="0"/>
          <w:color w:val="auto"/>
          <w:kern w:val="0"/>
          <w:sz w:val="30"/>
          <w:szCs w:val="30"/>
          <w:highlight w:val="none"/>
          <w:lang w:eastAsia="zh-CN" w:bidi="ar"/>
        </w:rPr>
        <w:t>百色市田阳区住房和城乡建设局</w:t>
      </w:r>
    </w:p>
    <w:p>
      <w:pPr>
        <w:spacing w:line="680" w:lineRule="exact"/>
        <w:jc w:val="center"/>
        <w:rPr>
          <w:rFonts w:hint="eastAsia" w:ascii="宋体" w:hAnsi="宋体" w:cs="宋体"/>
          <w:b/>
          <w:snapToGrid w:val="0"/>
          <w:color w:val="auto"/>
          <w:kern w:val="0"/>
          <w:sz w:val="30"/>
          <w:szCs w:val="30"/>
          <w:highlight w:val="none"/>
          <w:lang w:bidi="ar"/>
        </w:rPr>
      </w:pPr>
      <w:r>
        <w:rPr>
          <w:rFonts w:hint="eastAsia" w:ascii="宋体" w:hAnsi="宋体" w:cs="宋体"/>
          <w:b/>
          <w:snapToGrid w:val="0"/>
          <w:color w:val="auto"/>
          <w:kern w:val="0"/>
          <w:sz w:val="30"/>
          <w:szCs w:val="30"/>
          <w:highlight w:val="none"/>
          <w:lang w:bidi="ar"/>
        </w:rPr>
        <w:t xml:space="preserve"> </w:t>
      </w:r>
    </w:p>
    <w:p>
      <w:pPr>
        <w:spacing w:line="680" w:lineRule="exact"/>
        <w:jc w:val="center"/>
        <w:rPr>
          <w:rFonts w:hint="eastAsia" w:ascii="宋体" w:hAnsi="宋体" w:eastAsia="宋体" w:cs="宋体"/>
          <w:b/>
          <w:snapToGrid w:val="0"/>
          <w:color w:val="auto"/>
          <w:kern w:val="0"/>
          <w:sz w:val="30"/>
          <w:szCs w:val="30"/>
          <w:highlight w:val="none"/>
          <w:lang w:eastAsia="zh-CN"/>
        </w:rPr>
      </w:pPr>
      <w:r>
        <w:rPr>
          <w:rFonts w:hint="eastAsia" w:ascii="宋体" w:hAnsi="宋体" w:cs="宋体"/>
          <w:b/>
          <w:snapToGrid w:val="0"/>
          <w:color w:val="auto"/>
          <w:kern w:val="0"/>
          <w:sz w:val="30"/>
          <w:szCs w:val="30"/>
          <w:highlight w:val="none"/>
          <w:lang w:bidi="ar"/>
        </w:rPr>
        <w:t>采购代理单位：</w:t>
      </w:r>
      <w:r>
        <w:rPr>
          <w:rFonts w:hint="eastAsia" w:ascii="宋体" w:hAnsi="宋体" w:cs="宋体"/>
          <w:b/>
          <w:bCs/>
          <w:color w:val="auto"/>
          <w:kern w:val="0"/>
          <w:sz w:val="30"/>
          <w:szCs w:val="30"/>
          <w:highlight w:val="none"/>
          <w:lang w:eastAsia="zh-CN" w:bidi="ar"/>
        </w:rPr>
        <w:t>广西壮锦工程管理咨询有限公司</w:t>
      </w:r>
    </w:p>
    <w:p>
      <w:pPr>
        <w:spacing w:line="680" w:lineRule="exact"/>
        <w:ind w:firstLine="630" w:firstLineChars="196"/>
        <w:jc w:val="center"/>
        <w:rPr>
          <w:rFonts w:ascii="宋体" w:hAnsi="宋体"/>
          <w:b/>
          <w:bCs/>
          <w:color w:val="auto"/>
          <w:sz w:val="44"/>
          <w:szCs w:val="44"/>
          <w:highlight w:val="none"/>
        </w:rPr>
        <w:sectPr>
          <w:headerReference r:id="rId4" w:type="first"/>
          <w:footerReference r:id="rId6" w:type="first"/>
          <w:headerReference r:id="rId3" w:type="default"/>
          <w:footerReference r:id="rId5" w:type="even"/>
          <w:pgSz w:w="11906" w:h="16838"/>
          <w:pgMar w:top="1440" w:right="1418" w:bottom="1440" w:left="1418" w:header="851" w:footer="992" w:gutter="0"/>
          <w:cols w:space="720" w:num="1"/>
          <w:docGrid w:type="lines" w:linePitch="312" w:charSpace="0"/>
        </w:sectPr>
      </w:pPr>
      <w:r>
        <w:rPr>
          <w:rFonts w:hint="eastAsia" w:ascii="宋体" w:hAnsi="宋体" w:cs="宋体"/>
          <w:b/>
          <w:snapToGrid w:val="0"/>
          <w:color w:val="auto"/>
          <w:kern w:val="0"/>
          <w:sz w:val="32"/>
          <w:highlight w:val="none"/>
          <w:lang w:bidi="ar"/>
        </w:rPr>
        <w:t>日</w:t>
      </w:r>
      <w:r>
        <w:rPr>
          <w:rFonts w:hint="eastAsia" w:ascii="宋体" w:hAnsi="宋体" w:cs="宋体"/>
          <w:b/>
          <w:color w:val="auto"/>
          <w:kern w:val="0"/>
          <w:sz w:val="32"/>
          <w:highlight w:val="none"/>
          <w:lang w:bidi="ar"/>
        </w:rPr>
        <w:t xml:space="preserve">   </w:t>
      </w:r>
      <w:r>
        <w:rPr>
          <w:rFonts w:hint="eastAsia" w:ascii="宋体" w:hAnsi="宋体" w:cs="宋体"/>
          <w:b/>
          <w:snapToGrid w:val="0"/>
          <w:color w:val="auto"/>
          <w:kern w:val="0"/>
          <w:sz w:val="32"/>
          <w:highlight w:val="none"/>
          <w:lang w:bidi="ar"/>
        </w:rPr>
        <w:t>期：二〇二〇年</w:t>
      </w:r>
      <w:r>
        <w:rPr>
          <w:rFonts w:hint="eastAsia" w:ascii="宋体" w:hAnsi="宋体" w:cs="宋体"/>
          <w:b/>
          <w:snapToGrid w:val="0"/>
          <w:color w:val="auto"/>
          <w:kern w:val="0"/>
          <w:sz w:val="32"/>
          <w:highlight w:val="none"/>
          <w:lang w:eastAsia="zh-CN" w:bidi="ar"/>
        </w:rPr>
        <w:t>十二</w:t>
      </w:r>
      <w:r>
        <w:rPr>
          <w:rFonts w:hint="eastAsia" w:ascii="宋体" w:hAnsi="宋体" w:cs="宋体"/>
          <w:b/>
          <w:snapToGrid w:val="0"/>
          <w:color w:val="auto"/>
          <w:kern w:val="0"/>
          <w:sz w:val="32"/>
          <w:highlight w:val="none"/>
          <w:lang w:bidi="ar"/>
        </w:rPr>
        <w:t>月</w:t>
      </w:r>
    </w:p>
    <w:p>
      <w:pPr>
        <w:pStyle w:val="17"/>
        <w:spacing w:line="400" w:lineRule="exact"/>
        <w:jc w:val="center"/>
        <w:outlineLvl w:val="0"/>
        <w:rPr>
          <w:color w:val="auto"/>
          <w:highlight w:val="none"/>
        </w:rPr>
      </w:pPr>
      <w:bookmarkStart w:id="0" w:name="_Toc24720"/>
      <w:bookmarkStart w:id="1" w:name="_Toc5863"/>
      <w:bookmarkStart w:id="2" w:name="_Toc462395381"/>
      <w:r>
        <w:rPr>
          <w:rFonts w:hint="eastAsia" w:ascii="Courier New" w:cs="Courier New"/>
          <w:b/>
          <w:bCs/>
          <w:color w:val="auto"/>
          <w:sz w:val="32"/>
          <w:szCs w:val="32"/>
          <w:highlight w:val="none"/>
        </w:rPr>
        <w:t>目  录</w:t>
      </w:r>
      <w:bookmarkEnd w:id="0"/>
      <w:bookmarkEnd w:id="1"/>
      <w:bookmarkEnd w:id="2"/>
      <w:r>
        <w:rPr>
          <w:rFonts w:ascii="宋体" w:hAnsi="宋体" w:cs="Courier New"/>
          <w:color w:val="auto"/>
          <w:spacing w:val="4"/>
          <w:sz w:val="22"/>
          <w:highlight w:val="none"/>
        </w:rPr>
        <w:fldChar w:fldCharType="begin"/>
      </w:r>
      <w:r>
        <w:rPr>
          <w:rFonts w:ascii="宋体" w:hAnsi="宋体" w:cs="Courier New"/>
          <w:color w:val="auto"/>
          <w:spacing w:val="4"/>
          <w:sz w:val="22"/>
          <w:highlight w:val="none"/>
        </w:rPr>
        <w:instrText xml:space="preserve"> </w:instrText>
      </w:r>
      <w:r>
        <w:rPr>
          <w:rFonts w:hint="eastAsia" w:ascii="宋体" w:hAnsi="宋体" w:cs="Courier New"/>
          <w:color w:val="auto"/>
          <w:spacing w:val="4"/>
          <w:sz w:val="22"/>
          <w:highlight w:val="none"/>
        </w:rPr>
        <w:instrText xml:space="preserve">TOC \o "1-3" \h \z \u</w:instrText>
      </w:r>
      <w:r>
        <w:rPr>
          <w:rFonts w:ascii="宋体" w:hAnsi="宋体" w:cs="Courier New"/>
          <w:color w:val="auto"/>
          <w:spacing w:val="4"/>
          <w:sz w:val="22"/>
          <w:highlight w:val="none"/>
        </w:rPr>
        <w:instrText xml:space="preserve"> </w:instrText>
      </w:r>
      <w:r>
        <w:rPr>
          <w:rFonts w:ascii="宋体" w:hAnsi="宋体" w:cs="Courier New"/>
          <w:color w:val="auto"/>
          <w:spacing w:val="4"/>
          <w:sz w:val="22"/>
          <w:highlight w:val="none"/>
        </w:rPr>
        <w:fldChar w:fldCharType="separate"/>
      </w:r>
    </w:p>
    <w:p>
      <w:pPr>
        <w:pStyle w:val="29"/>
        <w:tabs>
          <w:tab w:val="right" w:leader="dot" w:pos="9666"/>
          <w:tab w:val="clear" w:pos="9174"/>
        </w:tabs>
        <w:rPr>
          <w:b/>
          <w:bCs/>
          <w:color w:val="auto"/>
          <w:highlight w:val="none"/>
        </w:rPr>
      </w:pPr>
      <w:r>
        <w:rPr>
          <w:rFonts w:ascii="宋体" w:hAnsi="宋体" w:cs="Courier New"/>
          <w:b/>
          <w:bCs/>
          <w:color w:val="auto"/>
          <w:spacing w:val="4"/>
          <w:highlight w:val="none"/>
        </w:rPr>
        <w:fldChar w:fldCharType="begin"/>
      </w:r>
      <w:r>
        <w:rPr>
          <w:rFonts w:ascii="宋体" w:hAnsi="宋体" w:cs="Courier New"/>
          <w:b/>
          <w:bCs/>
          <w:color w:val="auto"/>
          <w:spacing w:val="4"/>
          <w:highlight w:val="none"/>
        </w:rPr>
        <w:instrText xml:space="preserve"> HYPERLINK \l _Toc30389 </w:instrText>
      </w:r>
      <w:r>
        <w:rPr>
          <w:rFonts w:ascii="宋体" w:hAnsi="宋体" w:cs="Courier New"/>
          <w:b/>
          <w:bCs/>
          <w:color w:val="auto"/>
          <w:spacing w:val="4"/>
          <w:highlight w:val="none"/>
        </w:rPr>
        <w:fldChar w:fldCharType="separate"/>
      </w:r>
      <w:r>
        <w:rPr>
          <w:rFonts w:hint="eastAsia"/>
          <w:b/>
          <w:bCs/>
          <w:color w:val="auto"/>
          <w:szCs w:val="32"/>
          <w:highlight w:val="none"/>
        </w:rPr>
        <w:t>竞争性谈判公告</w:t>
      </w:r>
      <w:r>
        <w:rPr>
          <w:b/>
          <w:bCs/>
          <w:color w:val="auto"/>
          <w:highlight w:val="none"/>
        </w:rPr>
        <w:tab/>
      </w:r>
      <w:r>
        <w:rPr>
          <w:b/>
          <w:bCs/>
          <w:color w:val="auto"/>
          <w:highlight w:val="none"/>
        </w:rPr>
        <w:fldChar w:fldCharType="begin"/>
      </w:r>
      <w:r>
        <w:rPr>
          <w:b/>
          <w:bCs/>
          <w:color w:val="auto"/>
          <w:highlight w:val="none"/>
        </w:rPr>
        <w:instrText xml:space="preserve"> PAGEREF _Toc30389 </w:instrText>
      </w:r>
      <w:r>
        <w:rPr>
          <w:b/>
          <w:bCs/>
          <w:color w:val="auto"/>
          <w:highlight w:val="none"/>
        </w:rPr>
        <w:fldChar w:fldCharType="separate"/>
      </w:r>
      <w:r>
        <w:rPr>
          <w:b/>
          <w:bCs/>
          <w:color w:val="auto"/>
          <w:highlight w:val="none"/>
        </w:rPr>
        <w:t>2</w:t>
      </w:r>
      <w:r>
        <w:rPr>
          <w:b/>
          <w:bCs/>
          <w:color w:val="auto"/>
          <w:highlight w:val="none"/>
        </w:rPr>
        <w:fldChar w:fldCharType="end"/>
      </w:r>
      <w:r>
        <w:rPr>
          <w:rFonts w:ascii="宋体" w:hAnsi="宋体" w:cs="Courier New"/>
          <w:b/>
          <w:bCs/>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b/>
          <w:bCs/>
          <w:color w:val="auto"/>
          <w:spacing w:val="4"/>
          <w:highlight w:val="none"/>
        </w:rPr>
        <w:fldChar w:fldCharType="begin"/>
      </w:r>
      <w:r>
        <w:rPr>
          <w:rFonts w:ascii="宋体" w:hAnsi="宋体" w:cs="Courier New"/>
          <w:b/>
          <w:bCs/>
          <w:color w:val="auto"/>
          <w:spacing w:val="4"/>
          <w:highlight w:val="none"/>
        </w:rPr>
        <w:instrText xml:space="preserve"> HYPERLINK \l _Toc29856 </w:instrText>
      </w:r>
      <w:r>
        <w:rPr>
          <w:rFonts w:ascii="宋体" w:hAnsi="宋体" w:cs="Courier New"/>
          <w:b/>
          <w:bCs/>
          <w:color w:val="auto"/>
          <w:spacing w:val="4"/>
          <w:highlight w:val="none"/>
        </w:rPr>
        <w:fldChar w:fldCharType="separate"/>
      </w:r>
      <w:r>
        <w:rPr>
          <w:rFonts w:hint="eastAsia" w:ascii="宋体" w:hAnsi="宋体"/>
          <w:b/>
          <w:bCs/>
          <w:color w:val="auto"/>
          <w:szCs w:val="36"/>
          <w:highlight w:val="none"/>
          <w:lang w:eastAsia="zh-CN"/>
        </w:rPr>
        <w:t>第一章</w:t>
      </w:r>
      <w:r>
        <w:rPr>
          <w:rFonts w:hint="eastAsia" w:ascii="宋体" w:hAnsi="宋体"/>
          <w:b/>
          <w:bCs/>
          <w:color w:val="auto"/>
          <w:szCs w:val="36"/>
          <w:highlight w:val="none"/>
          <w:lang w:val="en-US" w:eastAsia="zh-CN"/>
        </w:rPr>
        <w:t xml:space="preserve">  </w:t>
      </w:r>
      <w:r>
        <w:rPr>
          <w:rFonts w:hint="eastAsia" w:ascii="宋体" w:hAnsi="宋体"/>
          <w:b/>
          <w:bCs/>
          <w:color w:val="auto"/>
          <w:szCs w:val="36"/>
          <w:highlight w:val="none"/>
        </w:rPr>
        <w:t xml:space="preserve"> 竞标须知前附表</w:t>
      </w:r>
      <w:r>
        <w:rPr>
          <w:b/>
          <w:bCs/>
          <w:color w:val="auto"/>
          <w:highlight w:val="none"/>
        </w:rPr>
        <w:tab/>
      </w:r>
      <w:r>
        <w:rPr>
          <w:b/>
          <w:bCs/>
          <w:color w:val="auto"/>
          <w:highlight w:val="none"/>
        </w:rPr>
        <w:fldChar w:fldCharType="begin"/>
      </w:r>
      <w:r>
        <w:rPr>
          <w:b/>
          <w:bCs/>
          <w:color w:val="auto"/>
          <w:highlight w:val="none"/>
        </w:rPr>
        <w:instrText xml:space="preserve"> PAGEREF _Toc29856 </w:instrText>
      </w:r>
      <w:r>
        <w:rPr>
          <w:b/>
          <w:bCs/>
          <w:color w:val="auto"/>
          <w:highlight w:val="none"/>
        </w:rPr>
        <w:fldChar w:fldCharType="separate"/>
      </w:r>
      <w:r>
        <w:rPr>
          <w:b/>
          <w:bCs/>
          <w:color w:val="auto"/>
          <w:highlight w:val="none"/>
        </w:rPr>
        <w:t>4</w:t>
      </w:r>
      <w:r>
        <w:rPr>
          <w:b/>
          <w:bCs/>
          <w:color w:val="auto"/>
          <w:highlight w:val="none"/>
        </w:rPr>
        <w:fldChar w:fldCharType="end"/>
      </w:r>
      <w:r>
        <w:rPr>
          <w:rFonts w:ascii="宋体" w:hAnsi="宋体" w:cs="Courier New"/>
          <w:b/>
          <w:bCs/>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_Toc9820 </w:instrText>
      </w:r>
      <w:r>
        <w:rPr>
          <w:rFonts w:ascii="宋体" w:hAnsi="宋体" w:cs="Courier New"/>
          <w:color w:val="auto"/>
          <w:spacing w:val="4"/>
          <w:highlight w:val="none"/>
        </w:rPr>
        <w:fldChar w:fldCharType="separate"/>
      </w:r>
      <w:r>
        <w:rPr>
          <w:color w:val="auto"/>
          <w:highlight w:val="none"/>
        </w:rPr>
        <w:t>l.项</w:t>
      </w:r>
      <w:r>
        <w:rPr>
          <w:rFonts w:hAnsi="Courier New"/>
          <w:color w:val="auto"/>
          <w:szCs w:val="20"/>
          <w:highlight w:val="none"/>
        </w:rPr>
        <w:t>目</w:t>
      </w:r>
      <w:r>
        <w:rPr>
          <w:color w:val="auto"/>
          <w:highlight w:val="none"/>
        </w:rPr>
        <w:t>说明</w:t>
      </w:r>
      <w:r>
        <w:rPr>
          <w:color w:val="auto"/>
          <w:highlight w:val="none"/>
        </w:rPr>
        <w:tab/>
      </w:r>
      <w:r>
        <w:rPr>
          <w:color w:val="auto"/>
          <w:highlight w:val="none"/>
        </w:rPr>
        <w:fldChar w:fldCharType="begin"/>
      </w:r>
      <w:r>
        <w:rPr>
          <w:color w:val="auto"/>
          <w:highlight w:val="none"/>
        </w:rPr>
        <w:instrText xml:space="preserve"> PAGEREF _Toc9820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_Toc19198 </w:instrText>
      </w:r>
      <w:r>
        <w:rPr>
          <w:rFonts w:ascii="宋体" w:hAnsi="宋体" w:cs="Courier New"/>
          <w:color w:val="auto"/>
          <w:spacing w:val="4"/>
          <w:highlight w:val="none"/>
        </w:rPr>
        <w:fldChar w:fldCharType="separate"/>
      </w:r>
      <w:r>
        <w:rPr>
          <w:color w:val="auto"/>
          <w:highlight w:val="none"/>
        </w:rPr>
        <w:t>2.资金情况</w:t>
      </w:r>
      <w:r>
        <w:rPr>
          <w:color w:val="auto"/>
          <w:highlight w:val="none"/>
        </w:rPr>
        <w:tab/>
      </w:r>
      <w:r>
        <w:rPr>
          <w:color w:val="auto"/>
          <w:highlight w:val="none"/>
        </w:rPr>
        <w:fldChar w:fldCharType="begin"/>
      </w:r>
      <w:r>
        <w:rPr>
          <w:color w:val="auto"/>
          <w:highlight w:val="none"/>
        </w:rPr>
        <w:instrText xml:space="preserve"> PAGEREF _Toc19198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_Toc27335 </w:instrText>
      </w:r>
      <w:r>
        <w:rPr>
          <w:rFonts w:ascii="宋体" w:hAnsi="宋体" w:cs="Courier New"/>
          <w:color w:val="auto"/>
          <w:spacing w:val="4"/>
          <w:highlight w:val="none"/>
        </w:rPr>
        <w:fldChar w:fldCharType="separate"/>
      </w:r>
      <w:r>
        <w:rPr>
          <w:color w:val="auto"/>
          <w:highlight w:val="none"/>
        </w:rPr>
        <w:t>3.竞标费用</w:t>
      </w:r>
      <w:r>
        <w:rPr>
          <w:color w:val="auto"/>
          <w:highlight w:val="none"/>
        </w:rPr>
        <w:tab/>
      </w:r>
      <w:r>
        <w:rPr>
          <w:color w:val="auto"/>
          <w:highlight w:val="none"/>
        </w:rPr>
        <w:fldChar w:fldCharType="begin"/>
      </w:r>
      <w:r>
        <w:rPr>
          <w:color w:val="auto"/>
          <w:highlight w:val="none"/>
        </w:rPr>
        <w:instrText xml:space="preserve"> PAGEREF _Toc27335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_Toc28874 </w:instrText>
      </w:r>
      <w:r>
        <w:rPr>
          <w:rFonts w:ascii="宋体" w:hAnsi="宋体" w:cs="Courier New"/>
          <w:color w:val="auto"/>
          <w:spacing w:val="4"/>
          <w:highlight w:val="none"/>
        </w:rPr>
        <w:fldChar w:fldCharType="separate"/>
      </w:r>
      <w:r>
        <w:rPr>
          <w:color w:val="auto"/>
          <w:highlight w:val="none"/>
        </w:rPr>
        <w:t>4.竞争性谈判文件的组成</w:t>
      </w:r>
      <w:r>
        <w:rPr>
          <w:color w:val="auto"/>
          <w:highlight w:val="none"/>
        </w:rPr>
        <w:tab/>
      </w:r>
      <w:r>
        <w:rPr>
          <w:color w:val="auto"/>
          <w:highlight w:val="none"/>
        </w:rPr>
        <w:fldChar w:fldCharType="begin"/>
      </w:r>
      <w:r>
        <w:rPr>
          <w:color w:val="auto"/>
          <w:highlight w:val="none"/>
        </w:rPr>
        <w:instrText xml:space="preserve"> PAGEREF _Toc28874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_Toc17242 </w:instrText>
      </w:r>
      <w:r>
        <w:rPr>
          <w:rFonts w:ascii="宋体" w:hAnsi="宋体" w:cs="Courier New"/>
          <w:color w:val="auto"/>
          <w:spacing w:val="4"/>
          <w:highlight w:val="none"/>
        </w:rPr>
        <w:fldChar w:fldCharType="separate"/>
      </w:r>
      <w:r>
        <w:rPr>
          <w:color w:val="auto"/>
          <w:highlight w:val="none"/>
        </w:rPr>
        <w:t>5.竞争性谈判文件的解释</w:t>
      </w:r>
      <w:r>
        <w:rPr>
          <w:color w:val="auto"/>
          <w:highlight w:val="none"/>
        </w:rPr>
        <w:tab/>
      </w:r>
      <w:r>
        <w:rPr>
          <w:color w:val="auto"/>
          <w:highlight w:val="none"/>
        </w:rPr>
        <w:fldChar w:fldCharType="begin"/>
      </w:r>
      <w:r>
        <w:rPr>
          <w:color w:val="auto"/>
          <w:highlight w:val="none"/>
        </w:rPr>
        <w:instrText xml:space="preserve"> PAGEREF _Toc17242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_Toc8146 </w:instrText>
      </w:r>
      <w:r>
        <w:rPr>
          <w:rFonts w:ascii="宋体" w:hAnsi="宋体" w:cs="Courier New"/>
          <w:color w:val="auto"/>
          <w:spacing w:val="4"/>
          <w:highlight w:val="none"/>
        </w:rPr>
        <w:fldChar w:fldCharType="separate"/>
      </w:r>
      <w:r>
        <w:rPr>
          <w:color w:val="auto"/>
          <w:highlight w:val="none"/>
        </w:rPr>
        <w:t>6.竞争性谈判文件的修改</w:t>
      </w:r>
      <w:r>
        <w:rPr>
          <w:color w:val="auto"/>
          <w:highlight w:val="none"/>
        </w:rPr>
        <w:tab/>
      </w:r>
      <w:r>
        <w:rPr>
          <w:color w:val="auto"/>
          <w:highlight w:val="none"/>
        </w:rPr>
        <w:fldChar w:fldCharType="begin"/>
      </w:r>
      <w:r>
        <w:rPr>
          <w:color w:val="auto"/>
          <w:highlight w:val="none"/>
        </w:rPr>
        <w:instrText xml:space="preserve"> PAGEREF _Toc8146 </w:instrText>
      </w:r>
      <w:r>
        <w:rPr>
          <w:color w:val="auto"/>
          <w:highlight w:val="none"/>
        </w:rPr>
        <w:fldChar w:fldCharType="separate"/>
      </w:r>
      <w:r>
        <w:rPr>
          <w:color w:val="auto"/>
          <w:highlight w:val="none"/>
        </w:rPr>
        <w:t>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_Toc18465 </w:instrText>
      </w:r>
      <w:r>
        <w:rPr>
          <w:rFonts w:ascii="宋体" w:hAnsi="宋体" w:cs="Courier New"/>
          <w:color w:val="auto"/>
          <w:spacing w:val="4"/>
          <w:highlight w:val="none"/>
        </w:rPr>
        <w:fldChar w:fldCharType="separate"/>
      </w:r>
      <w:r>
        <w:rPr>
          <w:color w:val="auto"/>
          <w:highlight w:val="none"/>
        </w:rPr>
        <w:t>7.竞标报价及控制价</w:t>
      </w:r>
      <w:r>
        <w:rPr>
          <w:color w:val="auto"/>
          <w:highlight w:val="none"/>
        </w:rPr>
        <w:tab/>
      </w:r>
      <w:r>
        <w:rPr>
          <w:color w:val="auto"/>
          <w:highlight w:val="none"/>
        </w:rPr>
        <w:fldChar w:fldCharType="begin"/>
      </w:r>
      <w:r>
        <w:rPr>
          <w:color w:val="auto"/>
          <w:highlight w:val="none"/>
        </w:rPr>
        <w:instrText xml:space="preserve"> PAGEREF _Toc18465 </w:instrText>
      </w:r>
      <w:r>
        <w:rPr>
          <w:color w:val="auto"/>
          <w:highlight w:val="none"/>
        </w:rPr>
        <w:fldChar w:fldCharType="separate"/>
      </w:r>
      <w:r>
        <w:rPr>
          <w:color w:val="auto"/>
          <w:highlight w:val="none"/>
        </w:rPr>
        <w:t>7</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_Toc10114 </w:instrText>
      </w:r>
      <w:r>
        <w:rPr>
          <w:rFonts w:ascii="宋体" w:hAnsi="宋体" w:cs="Courier New"/>
          <w:color w:val="auto"/>
          <w:spacing w:val="4"/>
          <w:highlight w:val="none"/>
        </w:rPr>
        <w:fldChar w:fldCharType="separate"/>
      </w:r>
      <w:r>
        <w:rPr>
          <w:color w:val="auto"/>
          <w:highlight w:val="none"/>
        </w:rPr>
        <w:t>8.竞标文件的语言</w:t>
      </w:r>
      <w:r>
        <w:rPr>
          <w:color w:val="auto"/>
          <w:highlight w:val="none"/>
        </w:rPr>
        <w:tab/>
      </w:r>
      <w:r>
        <w:rPr>
          <w:color w:val="auto"/>
          <w:highlight w:val="none"/>
        </w:rPr>
        <w:fldChar w:fldCharType="begin"/>
      </w:r>
      <w:r>
        <w:rPr>
          <w:color w:val="auto"/>
          <w:highlight w:val="none"/>
        </w:rPr>
        <w:instrText xml:space="preserve"> PAGEREF _Toc10114 </w:instrText>
      </w:r>
      <w:r>
        <w:rPr>
          <w:color w:val="auto"/>
          <w:highlight w:val="none"/>
        </w:rPr>
        <w:fldChar w:fldCharType="separate"/>
      </w:r>
      <w:r>
        <w:rPr>
          <w:color w:val="auto"/>
          <w:highlight w:val="none"/>
        </w:rPr>
        <w:t>9</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_Toc3107 </w:instrText>
      </w:r>
      <w:r>
        <w:rPr>
          <w:rFonts w:ascii="宋体" w:hAnsi="宋体" w:cs="Courier New"/>
          <w:color w:val="auto"/>
          <w:spacing w:val="4"/>
          <w:highlight w:val="none"/>
        </w:rPr>
        <w:fldChar w:fldCharType="separate"/>
      </w:r>
      <w:r>
        <w:rPr>
          <w:color w:val="auto"/>
          <w:highlight w:val="none"/>
        </w:rPr>
        <w:t>9.竞标文件的组成</w:t>
      </w:r>
      <w:r>
        <w:rPr>
          <w:color w:val="auto"/>
          <w:highlight w:val="none"/>
        </w:rPr>
        <w:tab/>
      </w:r>
      <w:r>
        <w:rPr>
          <w:color w:val="auto"/>
          <w:highlight w:val="none"/>
        </w:rPr>
        <w:fldChar w:fldCharType="begin"/>
      </w:r>
      <w:r>
        <w:rPr>
          <w:color w:val="auto"/>
          <w:highlight w:val="none"/>
        </w:rPr>
        <w:instrText xml:space="preserve"> PAGEREF _Toc3107 </w:instrText>
      </w:r>
      <w:r>
        <w:rPr>
          <w:color w:val="auto"/>
          <w:highlight w:val="none"/>
        </w:rPr>
        <w:fldChar w:fldCharType="separate"/>
      </w:r>
      <w:r>
        <w:rPr>
          <w:color w:val="auto"/>
          <w:highlight w:val="none"/>
        </w:rPr>
        <w:t>9</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_Toc29416 </w:instrText>
      </w:r>
      <w:r>
        <w:rPr>
          <w:rFonts w:ascii="宋体" w:hAnsi="宋体" w:cs="Courier New"/>
          <w:color w:val="auto"/>
          <w:spacing w:val="4"/>
          <w:highlight w:val="none"/>
        </w:rPr>
        <w:fldChar w:fldCharType="separate"/>
      </w:r>
      <w:r>
        <w:rPr>
          <w:color w:val="auto"/>
          <w:highlight w:val="none"/>
        </w:rPr>
        <w:t>10.竞标有效期</w:t>
      </w:r>
      <w:r>
        <w:rPr>
          <w:color w:val="auto"/>
          <w:highlight w:val="none"/>
        </w:rPr>
        <w:tab/>
      </w:r>
      <w:r>
        <w:rPr>
          <w:color w:val="auto"/>
          <w:highlight w:val="none"/>
        </w:rPr>
        <w:fldChar w:fldCharType="begin"/>
      </w:r>
      <w:r>
        <w:rPr>
          <w:color w:val="auto"/>
          <w:highlight w:val="none"/>
        </w:rPr>
        <w:instrText xml:space="preserve"> PAGEREF _Toc29416 </w:instrText>
      </w:r>
      <w:r>
        <w:rPr>
          <w:color w:val="auto"/>
          <w:highlight w:val="none"/>
        </w:rPr>
        <w:fldChar w:fldCharType="separate"/>
      </w:r>
      <w:r>
        <w:rPr>
          <w:color w:val="auto"/>
          <w:highlight w:val="none"/>
        </w:rPr>
        <w:t>7</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_Toc27087 </w:instrText>
      </w:r>
      <w:r>
        <w:rPr>
          <w:rFonts w:ascii="宋体" w:hAnsi="宋体" w:cs="Courier New"/>
          <w:color w:val="auto"/>
          <w:spacing w:val="4"/>
          <w:highlight w:val="none"/>
        </w:rPr>
        <w:fldChar w:fldCharType="separate"/>
      </w:r>
      <w:r>
        <w:rPr>
          <w:color w:val="auto"/>
          <w:highlight w:val="none"/>
        </w:rPr>
        <w:t>11.竞标保证金</w:t>
      </w:r>
      <w:r>
        <w:rPr>
          <w:color w:val="auto"/>
          <w:highlight w:val="none"/>
        </w:rPr>
        <w:tab/>
      </w:r>
      <w:r>
        <w:rPr>
          <w:color w:val="auto"/>
          <w:highlight w:val="none"/>
        </w:rPr>
        <w:fldChar w:fldCharType="begin"/>
      </w:r>
      <w:r>
        <w:rPr>
          <w:color w:val="auto"/>
          <w:highlight w:val="none"/>
        </w:rPr>
        <w:instrText xml:space="preserve"> PAGEREF _Toc27087 </w:instrText>
      </w:r>
      <w:r>
        <w:rPr>
          <w:color w:val="auto"/>
          <w:highlight w:val="none"/>
        </w:rPr>
        <w:fldChar w:fldCharType="separate"/>
      </w:r>
      <w:r>
        <w:rPr>
          <w:color w:val="auto"/>
          <w:highlight w:val="none"/>
        </w:rPr>
        <w:t>10</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_Toc2024 </w:instrText>
      </w:r>
      <w:r>
        <w:rPr>
          <w:rFonts w:ascii="宋体" w:hAnsi="宋体" w:cs="Courier New"/>
          <w:color w:val="auto"/>
          <w:spacing w:val="4"/>
          <w:highlight w:val="none"/>
        </w:rPr>
        <w:fldChar w:fldCharType="separate"/>
      </w:r>
      <w:r>
        <w:rPr>
          <w:color w:val="auto"/>
          <w:highlight w:val="none"/>
        </w:rPr>
        <w:t>12.竞标预备</w:t>
      </w:r>
      <w:r>
        <w:rPr>
          <w:color w:val="auto"/>
          <w:highlight w:val="none"/>
        </w:rPr>
        <w:tab/>
      </w:r>
      <w:r>
        <w:rPr>
          <w:color w:val="auto"/>
          <w:highlight w:val="none"/>
        </w:rPr>
        <w:fldChar w:fldCharType="begin"/>
      </w:r>
      <w:r>
        <w:rPr>
          <w:color w:val="auto"/>
          <w:highlight w:val="none"/>
        </w:rPr>
        <w:instrText xml:space="preserve"> PAGEREF _Toc2024 </w:instrText>
      </w:r>
      <w:r>
        <w:rPr>
          <w:color w:val="auto"/>
          <w:highlight w:val="none"/>
        </w:rPr>
        <w:fldChar w:fldCharType="separate"/>
      </w:r>
      <w:r>
        <w:rPr>
          <w:color w:val="auto"/>
          <w:highlight w:val="none"/>
        </w:rPr>
        <w:t>11</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_Toc22502 </w:instrText>
      </w:r>
      <w:r>
        <w:rPr>
          <w:rFonts w:ascii="宋体" w:hAnsi="宋体" w:cs="Courier New"/>
          <w:color w:val="auto"/>
          <w:spacing w:val="4"/>
          <w:highlight w:val="none"/>
        </w:rPr>
        <w:fldChar w:fldCharType="separate"/>
      </w:r>
      <w:r>
        <w:rPr>
          <w:color w:val="auto"/>
          <w:highlight w:val="none"/>
        </w:rPr>
        <w:t>13.竞标文件的份数和签署</w:t>
      </w:r>
      <w:r>
        <w:rPr>
          <w:color w:val="auto"/>
          <w:highlight w:val="none"/>
        </w:rPr>
        <w:tab/>
      </w:r>
      <w:r>
        <w:rPr>
          <w:color w:val="auto"/>
          <w:highlight w:val="none"/>
        </w:rPr>
        <w:fldChar w:fldCharType="begin"/>
      </w:r>
      <w:r>
        <w:rPr>
          <w:color w:val="auto"/>
          <w:highlight w:val="none"/>
        </w:rPr>
        <w:instrText xml:space="preserve"> PAGEREF _Toc22502 </w:instrText>
      </w:r>
      <w:r>
        <w:rPr>
          <w:color w:val="auto"/>
          <w:highlight w:val="none"/>
        </w:rPr>
        <w:fldChar w:fldCharType="separate"/>
      </w:r>
      <w:r>
        <w:rPr>
          <w:color w:val="auto"/>
          <w:highlight w:val="none"/>
        </w:rPr>
        <w:t>11</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_Toc4353 </w:instrText>
      </w:r>
      <w:r>
        <w:rPr>
          <w:rFonts w:ascii="宋体" w:hAnsi="宋体" w:cs="Courier New"/>
          <w:color w:val="auto"/>
          <w:spacing w:val="4"/>
          <w:highlight w:val="none"/>
        </w:rPr>
        <w:fldChar w:fldCharType="separate"/>
      </w:r>
      <w:r>
        <w:rPr>
          <w:color w:val="auto"/>
          <w:highlight w:val="none"/>
        </w:rPr>
        <w:t>14.竞标文件提交截止时间</w:t>
      </w:r>
      <w:bookmarkStart w:id="218" w:name="_GoBack"/>
      <w:bookmarkEnd w:id="218"/>
      <w:r>
        <w:rPr>
          <w:color w:val="auto"/>
          <w:highlight w:val="none"/>
        </w:rPr>
        <w:tab/>
      </w:r>
      <w:r>
        <w:rPr>
          <w:color w:val="auto"/>
          <w:highlight w:val="none"/>
        </w:rPr>
        <w:fldChar w:fldCharType="begin"/>
      </w:r>
      <w:r>
        <w:rPr>
          <w:color w:val="auto"/>
          <w:highlight w:val="none"/>
        </w:rPr>
        <w:instrText xml:space="preserve"> PAGEREF _Toc4353 </w:instrText>
      </w:r>
      <w:r>
        <w:rPr>
          <w:color w:val="auto"/>
          <w:highlight w:val="none"/>
        </w:rPr>
        <w:fldChar w:fldCharType="separate"/>
      </w:r>
      <w:r>
        <w:rPr>
          <w:color w:val="auto"/>
          <w:highlight w:val="none"/>
        </w:rPr>
        <w:t>11</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_Toc12963 </w:instrText>
      </w:r>
      <w:r>
        <w:rPr>
          <w:rFonts w:ascii="宋体" w:hAnsi="宋体" w:cs="Courier New"/>
          <w:color w:val="auto"/>
          <w:spacing w:val="4"/>
          <w:highlight w:val="none"/>
        </w:rPr>
        <w:fldChar w:fldCharType="separate"/>
      </w:r>
      <w:r>
        <w:rPr>
          <w:color w:val="auto"/>
          <w:highlight w:val="none"/>
        </w:rPr>
        <w:t>15.竞标文件的装订、密封、标志与提交</w:t>
      </w:r>
      <w:r>
        <w:rPr>
          <w:color w:val="auto"/>
          <w:highlight w:val="none"/>
        </w:rPr>
        <w:tab/>
      </w:r>
      <w:r>
        <w:rPr>
          <w:color w:val="auto"/>
          <w:highlight w:val="none"/>
        </w:rPr>
        <w:fldChar w:fldCharType="begin"/>
      </w:r>
      <w:r>
        <w:rPr>
          <w:color w:val="auto"/>
          <w:highlight w:val="none"/>
        </w:rPr>
        <w:instrText xml:space="preserve"> PAGEREF _Toc12963 </w:instrText>
      </w:r>
      <w:r>
        <w:rPr>
          <w:color w:val="auto"/>
          <w:highlight w:val="none"/>
        </w:rPr>
        <w:fldChar w:fldCharType="separate"/>
      </w:r>
      <w:r>
        <w:rPr>
          <w:color w:val="auto"/>
          <w:highlight w:val="none"/>
        </w:rPr>
        <w:t>11</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_Toc20051 </w:instrText>
      </w:r>
      <w:r>
        <w:rPr>
          <w:rFonts w:ascii="宋体" w:hAnsi="宋体" w:cs="Courier New"/>
          <w:color w:val="auto"/>
          <w:spacing w:val="4"/>
          <w:highlight w:val="none"/>
        </w:rPr>
        <w:fldChar w:fldCharType="separate"/>
      </w:r>
      <w:r>
        <w:rPr>
          <w:color w:val="auto"/>
          <w:highlight w:val="none"/>
        </w:rPr>
        <w:t>16.竞标文件的修改与撤回</w:t>
      </w:r>
      <w:r>
        <w:rPr>
          <w:color w:val="auto"/>
          <w:highlight w:val="none"/>
        </w:rPr>
        <w:tab/>
      </w:r>
      <w:r>
        <w:rPr>
          <w:color w:val="auto"/>
          <w:highlight w:val="none"/>
        </w:rPr>
        <w:fldChar w:fldCharType="begin"/>
      </w:r>
      <w:r>
        <w:rPr>
          <w:color w:val="auto"/>
          <w:highlight w:val="none"/>
        </w:rPr>
        <w:instrText xml:space="preserve"> PAGEREF _Toc20051 </w:instrText>
      </w:r>
      <w:r>
        <w:rPr>
          <w:color w:val="auto"/>
          <w:highlight w:val="none"/>
        </w:rPr>
        <w:fldChar w:fldCharType="separate"/>
      </w:r>
      <w:r>
        <w:rPr>
          <w:color w:val="auto"/>
          <w:highlight w:val="none"/>
        </w:rPr>
        <w:t>12</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_Toc813 </w:instrText>
      </w:r>
      <w:r>
        <w:rPr>
          <w:rFonts w:ascii="宋体" w:hAnsi="宋体" w:cs="Courier New"/>
          <w:color w:val="auto"/>
          <w:spacing w:val="4"/>
          <w:highlight w:val="none"/>
        </w:rPr>
        <w:fldChar w:fldCharType="separate"/>
      </w:r>
      <w:r>
        <w:rPr>
          <w:color w:val="auto"/>
          <w:highlight w:val="none"/>
        </w:rPr>
        <w:t>17.开标</w:t>
      </w:r>
      <w:r>
        <w:rPr>
          <w:color w:val="auto"/>
          <w:highlight w:val="none"/>
        </w:rPr>
        <w:tab/>
      </w:r>
      <w:r>
        <w:rPr>
          <w:color w:val="auto"/>
          <w:highlight w:val="none"/>
        </w:rPr>
        <w:fldChar w:fldCharType="begin"/>
      </w:r>
      <w:r>
        <w:rPr>
          <w:color w:val="auto"/>
          <w:highlight w:val="none"/>
        </w:rPr>
        <w:instrText xml:space="preserve"> PAGEREF _Toc813 </w:instrText>
      </w:r>
      <w:r>
        <w:rPr>
          <w:color w:val="auto"/>
          <w:highlight w:val="none"/>
        </w:rPr>
        <w:fldChar w:fldCharType="separate"/>
      </w:r>
      <w:r>
        <w:rPr>
          <w:color w:val="auto"/>
          <w:highlight w:val="none"/>
        </w:rPr>
        <w:t>12</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_Toc28619 </w:instrText>
      </w:r>
      <w:r>
        <w:rPr>
          <w:rFonts w:ascii="宋体" w:hAnsi="宋体" w:cs="Courier New"/>
          <w:color w:val="auto"/>
          <w:spacing w:val="4"/>
          <w:highlight w:val="none"/>
        </w:rPr>
        <w:fldChar w:fldCharType="separate"/>
      </w:r>
      <w:r>
        <w:rPr>
          <w:rFonts w:ascii="宋体" w:eastAsia="宋体"/>
          <w:bCs w:val="0"/>
          <w:color w:val="auto"/>
          <w:kern w:val="2"/>
          <w:szCs w:val="21"/>
          <w:highlight w:val="none"/>
        </w:rPr>
        <w:t>17.6.4、谈判人员不得私下与竞标单位接触。</w:t>
      </w:r>
      <w:r>
        <w:rPr>
          <w:color w:val="auto"/>
          <w:highlight w:val="none"/>
        </w:rPr>
        <w:tab/>
      </w:r>
      <w:r>
        <w:rPr>
          <w:color w:val="auto"/>
          <w:highlight w:val="none"/>
        </w:rPr>
        <w:fldChar w:fldCharType="begin"/>
      </w:r>
      <w:r>
        <w:rPr>
          <w:color w:val="auto"/>
          <w:highlight w:val="none"/>
        </w:rPr>
        <w:instrText xml:space="preserve"> PAGEREF _Toc28619 </w:instrText>
      </w:r>
      <w:r>
        <w:rPr>
          <w:color w:val="auto"/>
          <w:highlight w:val="none"/>
        </w:rPr>
        <w:fldChar w:fldCharType="separate"/>
      </w:r>
      <w:r>
        <w:rPr>
          <w:color w:val="auto"/>
          <w:highlight w:val="none"/>
        </w:rPr>
        <w:t>13</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_Toc24476 </w:instrText>
      </w:r>
      <w:r>
        <w:rPr>
          <w:rFonts w:ascii="宋体" w:hAnsi="宋体" w:cs="Courier New"/>
          <w:color w:val="auto"/>
          <w:spacing w:val="4"/>
          <w:highlight w:val="none"/>
        </w:rPr>
        <w:fldChar w:fldCharType="separate"/>
      </w:r>
      <w:r>
        <w:rPr>
          <w:color w:val="auto"/>
          <w:highlight w:val="none"/>
        </w:rPr>
        <w:t>18.开标内容的保密</w:t>
      </w:r>
      <w:r>
        <w:rPr>
          <w:color w:val="auto"/>
          <w:highlight w:val="none"/>
        </w:rPr>
        <w:tab/>
      </w:r>
      <w:r>
        <w:rPr>
          <w:color w:val="auto"/>
          <w:highlight w:val="none"/>
        </w:rPr>
        <w:fldChar w:fldCharType="begin"/>
      </w:r>
      <w:r>
        <w:rPr>
          <w:color w:val="auto"/>
          <w:highlight w:val="none"/>
        </w:rPr>
        <w:instrText xml:space="preserve"> PAGEREF _Toc24476 </w:instrText>
      </w:r>
      <w:r>
        <w:rPr>
          <w:color w:val="auto"/>
          <w:highlight w:val="none"/>
        </w:rPr>
        <w:fldChar w:fldCharType="separate"/>
      </w:r>
      <w:r>
        <w:rPr>
          <w:color w:val="auto"/>
          <w:highlight w:val="none"/>
        </w:rPr>
        <w:t>13</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_Toc10646 </w:instrText>
      </w:r>
      <w:r>
        <w:rPr>
          <w:rFonts w:ascii="宋体" w:hAnsi="宋体" w:cs="Courier New"/>
          <w:color w:val="auto"/>
          <w:spacing w:val="4"/>
          <w:highlight w:val="none"/>
        </w:rPr>
        <w:fldChar w:fldCharType="separate"/>
      </w:r>
      <w:r>
        <w:rPr>
          <w:color w:val="auto"/>
          <w:highlight w:val="none"/>
        </w:rPr>
        <w:t>19.竞标文件计算错误的修正</w:t>
      </w:r>
      <w:r>
        <w:rPr>
          <w:color w:val="auto"/>
          <w:highlight w:val="none"/>
        </w:rPr>
        <w:tab/>
      </w:r>
      <w:r>
        <w:rPr>
          <w:color w:val="auto"/>
          <w:highlight w:val="none"/>
        </w:rPr>
        <w:fldChar w:fldCharType="begin"/>
      </w:r>
      <w:r>
        <w:rPr>
          <w:color w:val="auto"/>
          <w:highlight w:val="none"/>
        </w:rPr>
        <w:instrText xml:space="preserve"> PAGEREF _Toc10646 </w:instrText>
      </w:r>
      <w:r>
        <w:rPr>
          <w:color w:val="auto"/>
          <w:highlight w:val="none"/>
        </w:rPr>
        <w:fldChar w:fldCharType="separate"/>
      </w:r>
      <w:r>
        <w:rPr>
          <w:color w:val="auto"/>
          <w:highlight w:val="none"/>
        </w:rPr>
        <w:t>13</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_Toc4114 </w:instrText>
      </w:r>
      <w:r>
        <w:rPr>
          <w:rFonts w:ascii="宋体" w:hAnsi="宋体" w:cs="Courier New"/>
          <w:color w:val="auto"/>
          <w:spacing w:val="4"/>
          <w:highlight w:val="none"/>
        </w:rPr>
        <w:fldChar w:fldCharType="separate"/>
      </w:r>
      <w:r>
        <w:rPr>
          <w:color w:val="auto"/>
          <w:highlight w:val="none"/>
        </w:rPr>
        <w:t>21.竞标文件的评价与比较</w:t>
      </w:r>
      <w:r>
        <w:rPr>
          <w:color w:val="auto"/>
          <w:highlight w:val="none"/>
        </w:rPr>
        <w:tab/>
      </w:r>
      <w:r>
        <w:rPr>
          <w:color w:val="auto"/>
          <w:highlight w:val="none"/>
        </w:rPr>
        <w:fldChar w:fldCharType="begin"/>
      </w:r>
      <w:r>
        <w:rPr>
          <w:color w:val="auto"/>
          <w:highlight w:val="none"/>
        </w:rPr>
        <w:instrText xml:space="preserve"> PAGEREF _Toc4114 </w:instrText>
      </w:r>
      <w:r>
        <w:rPr>
          <w:color w:val="auto"/>
          <w:highlight w:val="none"/>
        </w:rPr>
        <w:fldChar w:fldCharType="separate"/>
      </w:r>
      <w:r>
        <w:rPr>
          <w:color w:val="auto"/>
          <w:highlight w:val="none"/>
        </w:rPr>
        <w:t>14</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_Toc7502 </w:instrText>
      </w:r>
      <w:r>
        <w:rPr>
          <w:rFonts w:ascii="宋体" w:hAnsi="宋体" w:cs="Courier New"/>
          <w:color w:val="auto"/>
          <w:spacing w:val="4"/>
          <w:highlight w:val="none"/>
        </w:rPr>
        <w:fldChar w:fldCharType="separate"/>
      </w:r>
      <w:r>
        <w:rPr>
          <w:color w:val="auto"/>
          <w:highlight w:val="none"/>
        </w:rPr>
        <w:t>20.竞标人资格审查</w:t>
      </w:r>
      <w:r>
        <w:rPr>
          <w:color w:val="auto"/>
          <w:highlight w:val="none"/>
        </w:rPr>
        <w:tab/>
      </w:r>
      <w:r>
        <w:rPr>
          <w:color w:val="auto"/>
          <w:highlight w:val="none"/>
        </w:rPr>
        <w:fldChar w:fldCharType="begin"/>
      </w:r>
      <w:r>
        <w:rPr>
          <w:color w:val="auto"/>
          <w:highlight w:val="none"/>
        </w:rPr>
        <w:instrText xml:space="preserve"> PAGEREF _Toc7502 </w:instrText>
      </w:r>
      <w:r>
        <w:rPr>
          <w:color w:val="auto"/>
          <w:highlight w:val="none"/>
        </w:rPr>
        <w:fldChar w:fldCharType="separate"/>
      </w:r>
      <w:r>
        <w:rPr>
          <w:color w:val="auto"/>
          <w:highlight w:val="none"/>
        </w:rPr>
        <w:t>14</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_Toc18875 </w:instrText>
      </w:r>
      <w:r>
        <w:rPr>
          <w:rFonts w:ascii="宋体" w:hAnsi="宋体" w:cs="Courier New"/>
          <w:color w:val="auto"/>
          <w:spacing w:val="4"/>
          <w:highlight w:val="none"/>
        </w:rPr>
        <w:fldChar w:fldCharType="separate"/>
      </w:r>
      <w:r>
        <w:rPr>
          <w:color w:val="auto"/>
          <w:highlight w:val="none"/>
        </w:rPr>
        <w:t>22.评标</w:t>
      </w:r>
      <w:r>
        <w:rPr>
          <w:color w:val="auto"/>
          <w:highlight w:val="none"/>
        </w:rPr>
        <w:tab/>
      </w:r>
      <w:r>
        <w:rPr>
          <w:color w:val="auto"/>
          <w:highlight w:val="none"/>
        </w:rPr>
        <w:fldChar w:fldCharType="begin"/>
      </w:r>
      <w:r>
        <w:rPr>
          <w:color w:val="auto"/>
          <w:highlight w:val="none"/>
        </w:rPr>
        <w:instrText xml:space="preserve"> PAGEREF _Toc18875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_Toc17795 </w:instrText>
      </w:r>
      <w:r>
        <w:rPr>
          <w:rFonts w:ascii="宋体" w:hAnsi="宋体" w:cs="Courier New"/>
          <w:color w:val="auto"/>
          <w:spacing w:val="4"/>
          <w:highlight w:val="none"/>
        </w:rPr>
        <w:fldChar w:fldCharType="separate"/>
      </w:r>
      <w:r>
        <w:rPr>
          <w:color w:val="auto"/>
          <w:highlight w:val="none"/>
        </w:rPr>
        <w:t>23.成交公告</w:t>
      </w:r>
      <w:r>
        <w:rPr>
          <w:color w:val="auto"/>
          <w:highlight w:val="none"/>
        </w:rPr>
        <w:tab/>
      </w:r>
      <w:r>
        <w:rPr>
          <w:color w:val="auto"/>
          <w:highlight w:val="none"/>
        </w:rPr>
        <w:fldChar w:fldCharType="begin"/>
      </w:r>
      <w:r>
        <w:rPr>
          <w:color w:val="auto"/>
          <w:highlight w:val="none"/>
        </w:rPr>
        <w:instrText xml:space="preserve"> PAGEREF _Toc17795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_Toc5808 </w:instrText>
      </w:r>
      <w:r>
        <w:rPr>
          <w:rFonts w:ascii="宋体" w:hAnsi="宋体" w:cs="Courier New"/>
          <w:color w:val="auto"/>
          <w:spacing w:val="4"/>
          <w:highlight w:val="none"/>
        </w:rPr>
        <w:fldChar w:fldCharType="separate"/>
      </w:r>
      <w:r>
        <w:rPr>
          <w:color w:val="auto"/>
          <w:highlight w:val="none"/>
        </w:rPr>
        <w:t>24.成交通知书</w:t>
      </w:r>
      <w:r>
        <w:rPr>
          <w:color w:val="auto"/>
          <w:highlight w:val="none"/>
        </w:rPr>
        <w:tab/>
      </w:r>
      <w:r>
        <w:rPr>
          <w:color w:val="auto"/>
          <w:highlight w:val="none"/>
        </w:rPr>
        <w:fldChar w:fldCharType="begin"/>
      </w:r>
      <w:r>
        <w:rPr>
          <w:color w:val="auto"/>
          <w:highlight w:val="none"/>
        </w:rPr>
        <w:instrText xml:space="preserve"> PAGEREF _Toc5808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_Toc16008 </w:instrText>
      </w:r>
      <w:r>
        <w:rPr>
          <w:rFonts w:ascii="宋体" w:hAnsi="宋体" w:cs="Courier New"/>
          <w:color w:val="auto"/>
          <w:spacing w:val="4"/>
          <w:highlight w:val="none"/>
        </w:rPr>
        <w:fldChar w:fldCharType="separate"/>
      </w:r>
      <w:r>
        <w:rPr>
          <w:color w:val="auto"/>
          <w:highlight w:val="none"/>
        </w:rPr>
        <w:t>25.合同签订</w:t>
      </w:r>
      <w:r>
        <w:rPr>
          <w:color w:val="auto"/>
          <w:highlight w:val="none"/>
        </w:rPr>
        <w:tab/>
      </w:r>
      <w:r>
        <w:rPr>
          <w:color w:val="auto"/>
          <w:highlight w:val="none"/>
        </w:rPr>
        <w:fldChar w:fldCharType="begin"/>
      </w:r>
      <w:r>
        <w:rPr>
          <w:color w:val="auto"/>
          <w:highlight w:val="none"/>
        </w:rPr>
        <w:instrText xml:space="preserve"> PAGEREF _Toc16008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_Toc31251 </w:instrText>
      </w:r>
      <w:r>
        <w:rPr>
          <w:rFonts w:ascii="宋体" w:hAnsi="宋体" w:cs="Courier New"/>
          <w:color w:val="auto"/>
          <w:spacing w:val="4"/>
          <w:highlight w:val="none"/>
        </w:rPr>
        <w:fldChar w:fldCharType="separate"/>
      </w:r>
      <w:r>
        <w:rPr>
          <w:color w:val="auto"/>
          <w:szCs w:val="21"/>
          <w:highlight w:val="none"/>
        </w:rPr>
        <w:t>26.</w:t>
      </w:r>
      <w:r>
        <w:rPr>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_Toc31251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_Toc24238 </w:instrText>
      </w:r>
      <w:r>
        <w:rPr>
          <w:rFonts w:ascii="宋体" w:hAnsi="宋体" w:cs="Courier New"/>
          <w:color w:val="auto"/>
          <w:spacing w:val="4"/>
          <w:highlight w:val="none"/>
        </w:rPr>
        <w:fldChar w:fldCharType="separate"/>
      </w:r>
      <w:r>
        <w:rPr>
          <w:color w:val="auto"/>
          <w:highlight w:val="none"/>
        </w:rPr>
        <w:t>27.废标</w:t>
      </w:r>
      <w:r>
        <w:rPr>
          <w:color w:val="auto"/>
          <w:highlight w:val="none"/>
        </w:rPr>
        <w:tab/>
      </w:r>
      <w:r>
        <w:rPr>
          <w:color w:val="auto"/>
          <w:highlight w:val="none"/>
        </w:rPr>
        <w:fldChar w:fldCharType="begin"/>
      </w:r>
      <w:r>
        <w:rPr>
          <w:color w:val="auto"/>
          <w:highlight w:val="none"/>
        </w:rPr>
        <w:instrText xml:space="preserve"> PAGEREF _Toc24238 </w:instrText>
      </w:r>
      <w:r>
        <w:rPr>
          <w:color w:val="auto"/>
          <w:highlight w:val="none"/>
        </w:rPr>
        <w:fldChar w:fldCharType="separate"/>
      </w:r>
      <w:r>
        <w:rPr>
          <w:color w:val="auto"/>
          <w:highlight w:val="none"/>
        </w:rPr>
        <w:t>15</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_Toc6617 </w:instrText>
      </w:r>
      <w:r>
        <w:rPr>
          <w:rFonts w:ascii="宋体" w:hAnsi="宋体" w:cs="Courier New"/>
          <w:color w:val="auto"/>
          <w:spacing w:val="4"/>
          <w:highlight w:val="none"/>
        </w:rPr>
        <w:fldChar w:fldCharType="separate"/>
      </w:r>
      <w:r>
        <w:rPr>
          <w:color w:val="auto"/>
          <w:highlight w:val="none"/>
        </w:rPr>
        <w:t>28.投诉</w:t>
      </w:r>
      <w:r>
        <w:rPr>
          <w:color w:val="auto"/>
          <w:highlight w:val="none"/>
        </w:rPr>
        <w:tab/>
      </w:r>
      <w:r>
        <w:rPr>
          <w:color w:val="auto"/>
          <w:highlight w:val="none"/>
        </w:rPr>
        <w:fldChar w:fldCharType="begin"/>
      </w:r>
      <w:r>
        <w:rPr>
          <w:color w:val="auto"/>
          <w:highlight w:val="none"/>
        </w:rPr>
        <w:instrText xml:space="preserve"> PAGEREF _Toc6617 </w:instrText>
      </w:r>
      <w:r>
        <w:rPr>
          <w:color w:val="auto"/>
          <w:highlight w:val="none"/>
        </w:rPr>
        <w:fldChar w:fldCharType="separate"/>
      </w:r>
      <w:r>
        <w:rPr>
          <w:color w:val="auto"/>
          <w:highlight w:val="none"/>
        </w:rPr>
        <w:t>16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_Toc24916 </w:instrText>
      </w:r>
      <w:r>
        <w:rPr>
          <w:rFonts w:ascii="宋体" w:hAnsi="宋体" w:cs="Courier New"/>
          <w:color w:val="auto"/>
          <w:spacing w:val="4"/>
          <w:highlight w:val="none"/>
        </w:rPr>
        <w:fldChar w:fldCharType="separate"/>
      </w:r>
      <w:r>
        <w:rPr>
          <w:color w:val="auto"/>
          <w:highlight w:val="none"/>
        </w:rPr>
        <w:t>29.质疑及投诉的书面要求</w:t>
      </w:r>
      <w:r>
        <w:rPr>
          <w:color w:val="auto"/>
          <w:highlight w:val="none"/>
        </w:rPr>
        <w:tab/>
      </w:r>
      <w:r>
        <w:rPr>
          <w:color w:val="auto"/>
          <w:highlight w:val="none"/>
        </w:rPr>
        <w:fldChar w:fldCharType="begin"/>
      </w:r>
      <w:r>
        <w:rPr>
          <w:color w:val="auto"/>
          <w:highlight w:val="none"/>
        </w:rPr>
        <w:instrText xml:space="preserve"> PAGEREF _Toc24916 </w:instrText>
      </w:r>
      <w:r>
        <w:rPr>
          <w:color w:val="auto"/>
          <w:highlight w:val="none"/>
        </w:rPr>
        <w:fldChar w:fldCharType="separate"/>
      </w:r>
      <w:r>
        <w:rPr>
          <w:color w:val="auto"/>
          <w:highlight w:val="none"/>
        </w:rPr>
        <w:t>16</w:t>
      </w:r>
      <w:r>
        <w:rPr>
          <w:color w:val="auto"/>
          <w:highlight w:val="none"/>
        </w:rPr>
        <w:fldChar w:fldCharType="end"/>
      </w:r>
      <w:r>
        <w:rPr>
          <w:rFonts w:ascii="宋体" w:hAnsi="宋体" w:cs="Courier New"/>
          <w:color w:val="auto"/>
          <w:spacing w:val="4"/>
          <w:highlight w:val="none"/>
        </w:rPr>
        <w:fldChar w:fldCharType="end"/>
      </w:r>
    </w:p>
    <w:p>
      <w:pPr>
        <w:pStyle w:val="16"/>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_Toc17440 </w:instrText>
      </w:r>
      <w:r>
        <w:rPr>
          <w:rFonts w:ascii="宋体" w:hAnsi="宋体" w:cs="Courier New"/>
          <w:color w:val="auto"/>
          <w:spacing w:val="4"/>
          <w:highlight w:val="none"/>
        </w:rPr>
        <w:fldChar w:fldCharType="separate"/>
      </w:r>
      <w:r>
        <w:rPr>
          <w:color w:val="auto"/>
          <w:highlight w:val="none"/>
        </w:rPr>
        <w:t>30.解释权</w:t>
      </w:r>
      <w:r>
        <w:rPr>
          <w:color w:val="auto"/>
          <w:highlight w:val="none"/>
        </w:rPr>
        <w:tab/>
      </w:r>
      <w:r>
        <w:rPr>
          <w:color w:val="auto"/>
          <w:highlight w:val="none"/>
        </w:rPr>
        <w:fldChar w:fldCharType="begin"/>
      </w:r>
      <w:r>
        <w:rPr>
          <w:color w:val="auto"/>
          <w:highlight w:val="none"/>
        </w:rPr>
        <w:instrText xml:space="preserve"> PAGEREF _Toc17440 </w:instrText>
      </w:r>
      <w:r>
        <w:rPr>
          <w:color w:val="auto"/>
          <w:highlight w:val="none"/>
        </w:rPr>
        <w:fldChar w:fldCharType="separate"/>
      </w:r>
      <w:r>
        <w:rPr>
          <w:color w:val="auto"/>
          <w:highlight w:val="none"/>
        </w:rPr>
        <w:t>16</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_Toc17268 </w:instrText>
      </w:r>
      <w:r>
        <w:rPr>
          <w:rFonts w:ascii="宋体" w:hAnsi="宋体" w:cs="Courier New"/>
          <w:color w:val="auto"/>
          <w:spacing w:val="4"/>
          <w:highlight w:val="none"/>
        </w:rPr>
        <w:fldChar w:fldCharType="separate"/>
      </w:r>
      <w:r>
        <w:rPr>
          <w:rFonts w:hint="eastAsia" w:hAnsi="宋体"/>
          <w:bCs/>
          <w:color w:val="auto"/>
          <w:highlight w:val="none"/>
        </w:rPr>
        <w:t>第</w:t>
      </w:r>
      <w:r>
        <w:rPr>
          <w:rFonts w:hint="eastAsia" w:hAnsi="宋体"/>
          <w:bCs/>
          <w:color w:val="auto"/>
          <w:highlight w:val="none"/>
          <w:lang w:eastAsia="zh-CN"/>
        </w:rPr>
        <w:t>二</w:t>
      </w:r>
      <w:r>
        <w:rPr>
          <w:rFonts w:hint="eastAsia" w:hAnsi="宋体"/>
          <w:bCs/>
          <w:color w:val="auto"/>
          <w:highlight w:val="none"/>
        </w:rPr>
        <w:t>章   合同格式</w:t>
      </w:r>
      <w:r>
        <w:rPr>
          <w:color w:val="auto"/>
          <w:highlight w:val="none"/>
        </w:rPr>
        <w:tab/>
      </w:r>
      <w:r>
        <w:rPr>
          <w:color w:val="auto"/>
          <w:highlight w:val="none"/>
        </w:rPr>
        <w:fldChar w:fldCharType="begin"/>
      </w:r>
      <w:r>
        <w:rPr>
          <w:color w:val="auto"/>
          <w:highlight w:val="none"/>
        </w:rPr>
        <w:instrText xml:space="preserve"> PAGEREF _Toc17268 </w:instrText>
      </w:r>
      <w:r>
        <w:rPr>
          <w:color w:val="auto"/>
          <w:highlight w:val="none"/>
        </w:rPr>
        <w:fldChar w:fldCharType="separate"/>
      </w:r>
      <w:r>
        <w:rPr>
          <w:color w:val="auto"/>
          <w:highlight w:val="none"/>
        </w:rPr>
        <w:t>17</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_Toc5127 </w:instrText>
      </w:r>
      <w:r>
        <w:rPr>
          <w:rFonts w:ascii="宋体" w:hAnsi="宋体" w:cs="Courier New"/>
          <w:color w:val="auto"/>
          <w:spacing w:val="4"/>
          <w:highlight w:val="none"/>
        </w:rPr>
        <w:fldChar w:fldCharType="separate"/>
      </w:r>
      <w:r>
        <w:rPr>
          <w:rFonts w:hint="eastAsia" w:ascii="宋体" w:hAnsi="宋体" w:eastAsia="宋体"/>
          <w:bCs w:val="0"/>
          <w:color w:val="auto"/>
          <w:highlight w:val="none"/>
        </w:rPr>
        <w:t>一　协议书（格式）</w:t>
      </w:r>
      <w:r>
        <w:rPr>
          <w:color w:val="auto"/>
          <w:highlight w:val="none"/>
        </w:rPr>
        <w:tab/>
      </w:r>
      <w:r>
        <w:rPr>
          <w:color w:val="auto"/>
          <w:highlight w:val="none"/>
        </w:rPr>
        <w:fldChar w:fldCharType="begin"/>
      </w:r>
      <w:r>
        <w:rPr>
          <w:color w:val="auto"/>
          <w:highlight w:val="none"/>
        </w:rPr>
        <w:instrText xml:space="preserve"> PAGEREF _Toc5127 </w:instrText>
      </w:r>
      <w:r>
        <w:rPr>
          <w:color w:val="auto"/>
          <w:highlight w:val="none"/>
        </w:rPr>
        <w:fldChar w:fldCharType="separate"/>
      </w:r>
      <w:r>
        <w:rPr>
          <w:color w:val="auto"/>
          <w:highlight w:val="none"/>
        </w:rPr>
        <w:t>19</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_Toc9617 </w:instrText>
      </w:r>
      <w:r>
        <w:rPr>
          <w:rFonts w:ascii="宋体" w:hAnsi="宋体" w:cs="Courier New"/>
          <w:color w:val="auto"/>
          <w:spacing w:val="4"/>
          <w:highlight w:val="none"/>
        </w:rPr>
        <w:fldChar w:fldCharType="separate"/>
      </w:r>
      <w:r>
        <w:rPr>
          <w:rFonts w:hint="eastAsia" w:ascii="宋体" w:hAnsi="宋体" w:eastAsia="宋体"/>
          <w:bCs w:val="0"/>
          <w:color w:val="auto"/>
          <w:highlight w:val="none"/>
        </w:rPr>
        <w:t>二  通用合同条款</w:t>
      </w:r>
      <w:r>
        <w:rPr>
          <w:color w:val="auto"/>
          <w:highlight w:val="none"/>
        </w:rPr>
        <w:tab/>
      </w:r>
      <w:r>
        <w:rPr>
          <w:color w:val="auto"/>
          <w:highlight w:val="none"/>
        </w:rPr>
        <w:fldChar w:fldCharType="begin"/>
      </w:r>
      <w:r>
        <w:rPr>
          <w:color w:val="auto"/>
          <w:highlight w:val="none"/>
        </w:rPr>
        <w:instrText xml:space="preserve"> PAGEREF _Toc9617 </w:instrText>
      </w:r>
      <w:r>
        <w:rPr>
          <w:color w:val="auto"/>
          <w:highlight w:val="none"/>
        </w:rPr>
        <w:fldChar w:fldCharType="separate"/>
      </w:r>
      <w:r>
        <w:rPr>
          <w:color w:val="auto"/>
          <w:highlight w:val="none"/>
        </w:rPr>
        <w:t>21</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_Toc26171 </w:instrText>
      </w:r>
      <w:r>
        <w:rPr>
          <w:rFonts w:ascii="宋体" w:hAnsi="宋体" w:cs="Courier New"/>
          <w:color w:val="auto"/>
          <w:spacing w:val="4"/>
          <w:highlight w:val="none"/>
        </w:rPr>
        <w:fldChar w:fldCharType="separate"/>
      </w:r>
      <w:r>
        <w:rPr>
          <w:rFonts w:hint="eastAsia" w:ascii="宋体" w:hAnsi="宋体" w:eastAsia="宋体"/>
          <w:bCs w:val="0"/>
          <w:color w:val="auto"/>
          <w:highlight w:val="none"/>
        </w:rPr>
        <w:t>三　专用合同条款</w:t>
      </w:r>
      <w:r>
        <w:rPr>
          <w:color w:val="auto"/>
          <w:highlight w:val="none"/>
        </w:rPr>
        <w:tab/>
      </w:r>
      <w:r>
        <w:rPr>
          <w:color w:val="auto"/>
          <w:highlight w:val="none"/>
        </w:rPr>
        <w:fldChar w:fldCharType="begin"/>
      </w:r>
      <w:r>
        <w:rPr>
          <w:color w:val="auto"/>
          <w:highlight w:val="none"/>
        </w:rPr>
        <w:instrText xml:space="preserve"> PAGEREF _Toc26171 </w:instrText>
      </w:r>
      <w:r>
        <w:rPr>
          <w:color w:val="auto"/>
          <w:highlight w:val="none"/>
        </w:rPr>
        <w:fldChar w:fldCharType="separate"/>
      </w:r>
      <w:r>
        <w:rPr>
          <w:color w:val="auto"/>
          <w:highlight w:val="none"/>
        </w:rPr>
        <w:t>22</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_Toc20628 </w:instrText>
      </w:r>
      <w:r>
        <w:rPr>
          <w:rFonts w:ascii="宋体" w:hAnsi="宋体" w:cs="Courier New"/>
          <w:color w:val="auto"/>
          <w:spacing w:val="4"/>
          <w:highlight w:val="none"/>
        </w:rPr>
        <w:fldChar w:fldCharType="separate"/>
      </w:r>
      <w:r>
        <w:rPr>
          <w:rFonts w:hint="eastAsia"/>
          <w:color w:val="auto"/>
          <w:highlight w:val="none"/>
        </w:rPr>
        <w:t>第</w:t>
      </w:r>
      <w:r>
        <w:rPr>
          <w:rFonts w:hint="eastAsia"/>
          <w:color w:val="auto"/>
          <w:highlight w:val="none"/>
          <w:lang w:eastAsia="zh-CN"/>
        </w:rPr>
        <w:t>三</w:t>
      </w:r>
      <w:r>
        <w:rPr>
          <w:rFonts w:hint="eastAsia"/>
          <w:color w:val="auto"/>
          <w:highlight w:val="none"/>
        </w:rPr>
        <w:t>章  图纸及工程量清单</w:t>
      </w:r>
      <w:r>
        <w:rPr>
          <w:color w:val="auto"/>
          <w:highlight w:val="none"/>
        </w:rPr>
        <w:tab/>
      </w:r>
      <w:r>
        <w:rPr>
          <w:color w:val="auto"/>
          <w:highlight w:val="none"/>
        </w:rPr>
        <w:fldChar w:fldCharType="begin"/>
      </w:r>
      <w:r>
        <w:rPr>
          <w:color w:val="auto"/>
          <w:highlight w:val="none"/>
        </w:rPr>
        <w:instrText xml:space="preserve"> PAGEREF _Toc20628 </w:instrText>
      </w:r>
      <w:r>
        <w:rPr>
          <w:color w:val="auto"/>
          <w:highlight w:val="none"/>
        </w:rPr>
        <w:fldChar w:fldCharType="separate"/>
      </w:r>
      <w:r>
        <w:rPr>
          <w:color w:val="auto"/>
          <w:highlight w:val="none"/>
        </w:rPr>
        <w:t>35</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_Toc383 </w:instrText>
      </w:r>
      <w:r>
        <w:rPr>
          <w:rFonts w:ascii="宋体" w:hAnsi="宋体" w:cs="Courier New"/>
          <w:color w:val="auto"/>
          <w:spacing w:val="4"/>
          <w:highlight w:val="none"/>
        </w:rPr>
        <w:fldChar w:fldCharType="separate"/>
      </w:r>
      <w:r>
        <w:rPr>
          <w:rFonts w:hint="eastAsia"/>
          <w:color w:val="auto"/>
          <w:highlight w:val="none"/>
        </w:rPr>
        <w:t>第</w:t>
      </w:r>
      <w:r>
        <w:rPr>
          <w:rFonts w:hint="eastAsia"/>
          <w:color w:val="auto"/>
          <w:highlight w:val="none"/>
          <w:lang w:eastAsia="zh-CN"/>
        </w:rPr>
        <w:t>四</w:t>
      </w:r>
      <w:r>
        <w:rPr>
          <w:rFonts w:hint="eastAsia"/>
          <w:color w:val="auto"/>
          <w:highlight w:val="none"/>
        </w:rPr>
        <w:t>章  技术规范</w:t>
      </w:r>
      <w:r>
        <w:rPr>
          <w:color w:val="auto"/>
          <w:highlight w:val="none"/>
        </w:rPr>
        <w:tab/>
      </w:r>
      <w:r>
        <w:rPr>
          <w:color w:val="auto"/>
          <w:highlight w:val="none"/>
        </w:rPr>
        <w:fldChar w:fldCharType="begin"/>
      </w:r>
      <w:r>
        <w:rPr>
          <w:color w:val="auto"/>
          <w:highlight w:val="none"/>
        </w:rPr>
        <w:instrText xml:space="preserve"> PAGEREF _Toc383 </w:instrText>
      </w:r>
      <w:r>
        <w:rPr>
          <w:color w:val="auto"/>
          <w:highlight w:val="none"/>
        </w:rPr>
        <w:fldChar w:fldCharType="separate"/>
      </w:r>
      <w:r>
        <w:rPr>
          <w:color w:val="auto"/>
          <w:highlight w:val="none"/>
        </w:rPr>
        <w:t>35</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_Toc4360 </w:instrText>
      </w:r>
      <w:r>
        <w:rPr>
          <w:rFonts w:ascii="宋体" w:hAnsi="宋体" w:cs="Courier New"/>
          <w:color w:val="auto"/>
          <w:spacing w:val="4"/>
          <w:highlight w:val="none"/>
        </w:rPr>
        <w:fldChar w:fldCharType="separate"/>
      </w:r>
      <w:r>
        <w:rPr>
          <w:color w:val="auto"/>
          <w:highlight w:val="none"/>
        </w:rPr>
        <w:t>第</w:t>
      </w:r>
      <w:r>
        <w:rPr>
          <w:rFonts w:hint="eastAsia"/>
          <w:color w:val="auto"/>
          <w:highlight w:val="none"/>
          <w:lang w:eastAsia="zh-CN"/>
        </w:rPr>
        <w:t>五</w:t>
      </w:r>
      <w:r>
        <w:rPr>
          <w:color w:val="auto"/>
          <w:highlight w:val="none"/>
        </w:rPr>
        <w:t>章</w:t>
      </w:r>
      <w:r>
        <w:rPr>
          <w:rFonts w:hint="eastAsia"/>
          <w:color w:val="auto"/>
          <w:highlight w:val="none"/>
        </w:rPr>
        <w:t xml:space="preserve">  </w:t>
      </w:r>
      <w:r>
        <w:rPr>
          <w:color w:val="auto"/>
          <w:highlight w:val="none"/>
        </w:rPr>
        <w:t>工程量清单报价说明</w:t>
      </w:r>
      <w:r>
        <w:rPr>
          <w:color w:val="auto"/>
          <w:highlight w:val="none"/>
        </w:rPr>
        <w:tab/>
      </w:r>
      <w:r>
        <w:rPr>
          <w:color w:val="auto"/>
          <w:highlight w:val="none"/>
        </w:rPr>
        <w:fldChar w:fldCharType="begin"/>
      </w:r>
      <w:r>
        <w:rPr>
          <w:color w:val="auto"/>
          <w:highlight w:val="none"/>
        </w:rPr>
        <w:instrText xml:space="preserve"> PAGEREF _Toc4360 </w:instrText>
      </w:r>
      <w:r>
        <w:rPr>
          <w:color w:val="auto"/>
          <w:highlight w:val="none"/>
        </w:rPr>
        <w:fldChar w:fldCharType="separate"/>
      </w:r>
      <w:r>
        <w:rPr>
          <w:color w:val="auto"/>
          <w:highlight w:val="none"/>
        </w:rPr>
        <w:t>36</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_Toc25850 </w:instrText>
      </w:r>
      <w:r>
        <w:rPr>
          <w:rFonts w:ascii="宋体" w:hAnsi="宋体" w:cs="Courier New"/>
          <w:color w:val="auto"/>
          <w:spacing w:val="4"/>
          <w:highlight w:val="none"/>
        </w:rPr>
        <w:fldChar w:fldCharType="separate"/>
      </w:r>
      <w:r>
        <w:rPr>
          <w:rFonts w:hint="eastAsia"/>
          <w:color w:val="auto"/>
          <w:highlight w:val="none"/>
        </w:rPr>
        <w:t>第</w:t>
      </w:r>
      <w:r>
        <w:rPr>
          <w:rFonts w:hint="eastAsia"/>
          <w:color w:val="auto"/>
          <w:highlight w:val="none"/>
          <w:lang w:eastAsia="zh-CN"/>
        </w:rPr>
        <w:t>六</w:t>
      </w:r>
      <w:r>
        <w:rPr>
          <w:rFonts w:hint="eastAsia"/>
          <w:color w:val="auto"/>
          <w:highlight w:val="none"/>
        </w:rPr>
        <w:t>章  竞标文件格式</w:t>
      </w:r>
      <w:r>
        <w:rPr>
          <w:color w:val="auto"/>
          <w:highlight w:val="none"/>
        </w:rPr>
        <w:tab/>
      </w:r>
      <w:r>
        <w:rPr>
          <w:color w:val="auto"/>
          <w:highlight w:val="none"/>
        </w:rPr>
        <w:fldChar w:fldCharType="begin"/>
      </w:r>
      <w:r>
        <w:rPr>
          <w:color w:val="auto"/>
          <w:highlight w:val="none"/>
        </w:rPr>
        <w:instrText xml:space="preserve"> PAGEREF _Toc25850 </w:instrText>
      </w:r>
      <w:r>
        <w:rPr>
          <w:color w:val="auto"/>
          <w:highlight w:val="none"/>
        </w:rPr>
        <w:fldChar w:fldCharType="separate"/>
      </w:r>
      <w:r>
        <w:rPr>
          <w:color w:val="auto"/>
          <w:highlight w:val="none"/>
        </w:rPr>
        <w:t>37</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_Toc25901 </w:instrText>
      </w:r>
      <w:r>
        <w:rPr>
          <w:rFonts w:ascii="宋体" w:hAnsi="宋体" w:cs="Courier New"/>
          <w:color w:val="auto"/>
          <w:spacing w:val="4"/>
          <w:highlight w:val="none"/>
        </w:rPr>
        <w:fldChar w:fldCharType="separate"/>
      </w:r>
      <w:r>
        <w:rPr>
          <w:rFonts w:hint="eastAsia"/>
          <w:color w:val="auto"/>
          <w:highlight w:val="none"/>
        </w:rPr>
        <w:t>资格审查部分</w:t>
      </w:r>
      <w:r>
        <w:rPr>
          <w:color w:val="auto"/>
          <w:highlight w:val="none"/>
        </w:rPr>
        <w:tab/>
      </w:r>
      <w:r>
        <w:rPr>
          <w:color w:val="auto"/>
          <w:highlight w:val="none"/>
        </w:rPr>
        <w:fldChar w:fldCharType="begin"/>
      </w:r>
      <w:r>
        <w:rPr>
          <w:color w:val="auto"/>
          <w:highlight w:val="none"/>
        </w:rPr>
        <w:instrText xml:space="preserve"> PAGEREF _Toc25901 </w:instrText>
      </w:r>
      <w:r>
        <w:rPr>
          <w:color w:val="auto"/>
          <w:highlight w:val="none"/>
        </w:rPr>
        <w:fldChar w:fldCharType="separate"/>
      </w:r>
      <w:r>
        <w:rPr>
          <w:color w:val="auto"/>
          <w:highlight w:val="none"/>
        </w:rPr>
        <w:t>37</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_Toc9580 </w:instrText>
      </w:r>
      <w:r>
        <w:rPr>
          <w:rFonts w:ascii="宋体" w:hAnsi="宋体" w:cs="Courier New"/>
          <w:color w:val="auto"/>
          <w:spacing w:val="4"/>
          <w:highlight w:val="none"/>
        </w:rPr>
        <w:fldChar w:fldCharType="separate"/>
      </w:r>
      <w:r>
        <w:rPr>
          <w:rFonts w:hint="eastAsia"/>
          <w:color w:val="auto"/>
          <w:highlight w:val="none"/>
        </w:rPr>
        <w:t>商务部分</w:t>
      </w:r>
      <w:r>
        <w:rPr>
          <w:color w:val="auto"/>
          <w:highlight w:val="none"/>
        </w:rPr>
        <w:tab/>
      </w:r>
      <w:r>
        <w:rPr>
          <w:color w:val="auto"/>
          <w:highlight w:val="none"/>
        </w:rPr>
        <w:fldChar w:fldCharType="begin"/>
      </w:r>
      <w:r>
        <w:rPr>
          <w:color w:val="auto"/>
          <w:highlight w:val="none"/>
        </w:rPr>
        <w:instrText xml:space="preserve"> PAGEREF _Toc9580 </w:instrText>
      </w:r>
      <w:r>
        <w:rPr>
          <w:color w:val="auto"/>
          <w:highlight w:val="none"/>
        </w:rPr>
        <w:fldChar w:fldCharType="separate"/>
      </w:r>
      <w:r>
        <w:rPr>
          <w:color w:val="auto"/>
          <w:highlight w:val="none"/>
        </w:rPr>
        <w:t>48</w:t>
      </w:r>
      <w:r>
        <w:rPr>
          <w:color w:val="auto"/>
          <w:highlight w:val="none"/>
        </w:rPr>
        <w:fldChar w:fldCharType="end"/>
      </w:r>
      <w:r>
        <w:rPr>
          <w:rFonts w:ascii="宋体" w:hAnsi="宋体" w:cs="Courier New"/>
          <w:color w:val="auto"/>
          <w:spacing w:val="4"/>
          <w:highlight w:val="none"/>
        </w:rPr>
        <w:fldChar w:fldCharType="end"/>
      </w:r>
    </w:p>
    <w:p>
      <w:pPr>
        <w:pStyle w:val="29"/>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_Toc10749 </w:instrText>
      </w:r>
      <w:r>
        <w:rPr>
          <w:rFonts w:ascii="宋体" w:hAnsi="宋体" w:cs="Courier New"/>
          <w:color w:val="auto"/>
          <w:spacing w:val="4"/>
          <w:highlight w:val="none"/>
        </w:rPr>
        <w:fldChar w:fldCharType="separate"/>
      </w:r>
      <w:r>
        <w:rPr>
          <w:rFonts w:hint="eastAsia"/>
          <w:color w:val="auto"/>
          <w:highlight w:val="none"/>
        </w:rPr>
        <w:t>技术部分</w:t>
      </w:r>
      <w:r>
        <w:rPr>
          <w:color w:val="auto"/>
          <w:highlight w:val="none"/>
        </w:rPr>
        <w:tab/>
      </w:r>
      <w:r>
        <w:rPr>
          <w:color w:val="auto"/>
          <w:highlight w:val="none"/>
        </w:rPr>
        <w:fldChar w:fldCharType="begin"/>
      </w:r>
      <w:r>
        <w:rPr>
          <w:color w:val="auto"/>
          <w:highlight w:val="none"/>
        </w:rPr>
        <w:instrText xml:space="preserve"> PAGEREF _Toc10749 </w:instrText>
      </w:r>
      <w:r>
        <w:rPr>
          <w:color w:val="auto"/>
          <w:highlight w:val="none"/>
        </w:rPr>
        <w:fldChar w:fldCharType="separate"/>
      </w:r>
      <w:r>
        <w:rPr>
          <w:color w:val="auto"/>
          <w:highlight w:val="none"/>
        </w:rPr>
        <w:t>52</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_Toc24452 </w:instrText>
      </w:r>
      <w:r>
        <w:rPr>
          <w:rFonts w:ascii="宋体" w:hAnsi="宋体" w:cs="Courier New"/>
          <w:color w:val="auto"/>
          <w:spacing w:val="4"/>
          <w:highlight w:val="none"/>
        </w:rPr>
        <w:fldChar w:fldCharType="separate"/>
      </w:r>
      <w:r>
        <w:rPr>
          <w:rFonts w:hint="eastAsia"/>
          <w:color w:val="auto"/>
          <w:highlight w:val="none"/>
        </w:rPr>
        <w:t>第</w:t>
      </w:r>
      <w:r>
        <w:rPr>
          <w:rFonts w:hint="eastAsia"/>
          <w:color w:val="auto"/>
          <w:highlight w:val="none"/>
          <w:lang w:eastAsia="zh-CN"/>
        </w:rPr>
        <w:t>七</w:t>
      </w:r>
      <w:r>
        <w:rPr>
          <w:rFonts w:hint="eastAsia"/>
          <w:color w:val="auto"/>
          <w:highlight w:val="none"/>
        </w:rPr>
        <w:t>章  评标办法</w:t>
      </w:r>
      <w:r>
        <w:rPr>
          <w:color w:val="auto"/>
          <w:highlight w:val="none"/>
        </w:rPr>
        <w:tab/>
      </w:r>
      <w:r>
        <w:rPr>
          <w:color w:val="auto"/>
          <w:highlight w:val="none"/>
        </w:rPr>
        <w:fldChar w:fldCharType="begin"/>
      </w:r>
      <w:r>
        <w:rPr>
          <w:color w:val="auto"/>
          <w:highlight w:val="none"/>
        </w:rPr>
        <w:instrText xml:space="preserve"> PAGEREF _Toc24452 </w:instrText>
      </w:r>
      <w:r>
        <w:rPr>
          <w:color w:val="auto"/>
          <w:highlight w:val="none"/>
        </w:rPr>
        <w:fldChar w:fldCharType="separate"/>
      </w:r>
      <w:r>
        <w:rPr>
          <w:color w:val="auto"/>
          <w:highlight w:val="none"/>
        </w:rPr>
        <w:t>62</w:t>
      </w:r>
      <w:r>
        <w:rPr>
          <w:color w:val="auto"/>
          <w:highlight w:val="none"/>
        </w:rPr>
        <w:fldChar w:fldCharType="end"/>
      </w:r>
      <w:r>
        <w:rPr>
          <w:rFonts w:ascii="宋体" w:hAnsi="宋体" w:cs="Courier New"/>
          <w:color w:val="auto"/>
          <w:spacing w:val="4"/>
          <w:highlight w:val="none"/>
        </w:rPr>
        <w:fldChar w:fldCharType="end"/>
      </w:r>
    </w:p>
    <w:p>
      <w:pPr>
        <w:pStyle w:val="24"/>
        <w:tabs>
          <w:tab w:val="right" w:leader="dot" w:pos="9666"/>
          <w:tab w:val="clear" w:pos="9174"/>
        </w:tabs>
        <w:rPr>
          <w:color w:val="auto"/>
          <w:highlight w:val="none"/>
        </w:rPr>
      </w:pPr>
      <w:r>
        <w:rPr>
          <w:rFonts w:ascii="宋体" w:hAnsi="宋体" w:cs="Courier New"/>
          <w:color w:val="auto"/>
          <w:spacing w:val="4"/>
          <w:highlight w:val="none"/>
        </w:rPr>
        <w:fldChar w:fldCharType="begin"/>
      </w:r>
      <w:r>
        <w:rPr>
          <w:rFonts w:ascii="宋体" w:hAnsi="宋体" w:cs="Courier New"/>
          <w:color w:val="auto"/>
          <w:spacing w:val="4"/>
          <w:highlight w:val="none"/>
        </w:rPr>
        <w:instrText xml:space="preserve"> HYPERLINK \l _Toc17041 </w:instrText>
      </w:r>
      <w:r>
        <w:rPr>
          <w:rFonts w:ascii="宋体" w:hAnsi="宋体" w:cs="Courier New"/>
          <w:color w:val="auto"/>
          <w:spacing w:val="4"/>
          <w:highlight w:val="none"/>
        </w:rPr>
        <w:fldChar w:fldCharType="separate"/>
      </w:r>
      <w:r>
        <w:rPr>
          <w:rFonts w:hint="eastAsia" w:hAnsi="宋体"/>
          <w:color w:val="auto"/>
          <w:szCs w:val="24"/>
          <w:highlight w:val="none"/>
        </w:rPr>
        <w:t>关于退还投标保证金的函(格式)</w:t>
      </w:r>
      <w:r>
        <w:rPr>
          <w:color w:val="auto"/>
          <w:highlight w:val="none"/>
        </w:rPr>
        <w:tab/>
      </w:r>
      <w:r>
        <w:rPr>
          <w:color w:val="auto"/>
          <w:highlight w:val="none"/>
        </w:rPr>
        <w:fldChar w:fldCharType="begin"/>
      </w:r>
      <w:r>
        <w:rPr>
          <w:color w:val="auto"/>
          <w:highlight w:val="none"/>
        </w:rPr>
        <w:instrText xml:space="preserve"> PAGEREF _Toc17041 </w:instrText>
      </w:r>
      <w:r>
        <w:rPr>
          <w:color w:val="auto"/>
          <w:highlight w:val="none"/>
        </w:rPr>
        <w:fldChar w:fldCharType="separate"/>
      </w:r>
      <w:r>
        <w:rPr>
          <w:color w:val="auto"/>
          <w:highlight w:val="none"/>
        </w:rPr>
        <w:t>65</w:t>
      </w:r>
      <w:r>
        <w:rPr>
          <w:color w:val="auto"/>
          <w:highlight w:val="none"/>
        </w:rPr>
        <w:fldChar w:fldCharType="end"/>
      </w:r>
      <w:r>
        <w:rPr>
          <w:rFonts w:ascii="宋体" w:hAnsi="宋体" w:cs="Courier New"/>
          <w:color w:val="auto"/>
          <w:spacing w:val="4"/>
          <w:highlight w:val="none"/>
        </w:rPr>
        <w:fldChar w:fldCharType="end"/>
      </w:r>
    </w:p>
    <w:p>
      <w:pPr>
        <w:spacing w:line="320" w:lineRule="exact"/>
        <w:outlineLvl w:val="0"/>
        <w:rPr>
          <w:rFonts w:ascii="宋体" w:hAnsi="宋体" w:cs="Courier New"/>
          <w:b/>
          <w:color w:val="auto"/>
          <w:spacing w:val="4"/>
          <w:sz w:val="28"/>
          <w:szCs w:val="28"/>
          <w:highlight w:val="none"/>
        </w:rPr>
        <w:sectPr>
          <w:headerReference r:id="rId8" w:type="first"/>
          <w:footerReference r:id="rId10" w:type="first"/>
          <w:headerReference r:id="rId7" w:type="default"/>
          <w:footerReference r:id="rId9" w:type="default"/>
          <w:pgSz w:w="11906" w:h="16838"/>
          <w:pgMar w:top="902" w:right="1049" w:bottom="970" w:left="1134" w:header="851" w:footer="737" w:gutter="57"/>
          <w:pgNumType w:start="1"/>
          <w:cols w:space="720" w:num="1"/>
          <w:titlePg/>
          <w:docGrid w:type="lines" w:linePitch="312" w:charSpace="0"/>
        </w:sectPr>
      </w:pPr>
      <w:r>
        <w:rPr>
          <w:rFonts w:ascii="宋体" w:hAnsi="宋体" w:cs="Courier New"/>
          <w:color w:val="auto"/>
          <w:spacing w:val="4"/>
          <w:highlight w:val="none"/>
        </w:rPr>
        <w:fldChar w:fldCharType="end"/>
      </w:r>
      <w:bookmarkStart w:id="3" w:name="_Toc24998"/>
      <w:bookmarkStart w:id="4" w:name="_Toc826"/>
      <w:r>
        <w:rPr>
          <w:rFonts w:ascii="宋体" w:hAnsi="宋体" w:cs="Courier New"/>
          <w:color w:val="auto"/>
          <w:spacing w:val="4"/>
          <w:highlight w:val="none"/>
        </w:rPr>
        <w:br w:type="page"/>
      </w:r>
      <w:bookmarkEnd w:id="3"/>
    </w:p>
    <w:bookmarkEnd w:id="4"/>
    <w:p>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color w:val="auto"/>
          <w:kern w:val="2"/>
          <w:sz w:val="24"/>
          <w:szCs w:val="24"/>
          <w:highlight w:val="none"/>
          <w:lang w:val="en-US" w:eastAsia="zh-CN" w:bidi="ar-SA"/>
        </w:rPr>
      </w:pPr>
      <w:bookmarkStart w:id="5" w:name="_Toc30389"/>
      <w:bookmarkStart w:id="6" w:name="_Toc27650"/>
      <w:bookmarkStart w:id="7" w:name="_Toc28734"/>
      <w:r>
        <w:rPr>
          <w:rFonts w:hint="eastAsia" w:ascii="宋体" w:hAnsi="宋体" w:eastAsia="宋体" w:cs="宋体"/>
          <w:b/>
          <w:bCs/>
          <w:color w:val="auto"/>
          <w:kern w:val="2"/>
          <w:sz w:val="24"/>
          <w:szCs w:val="24"/>
          <w:highlight w:val="none"/>
          <w:lang w:val="en-US" w:eastAsia="zh-CN" w:bidi="ar-SA"/>
        </w:rPr>
        <w:t>百色市田阳区2020年坡洪镇及五村镇乡村风貌提升基本整治型村庄片区建设工程(2标)</w:t>
      </w:r>
    </w:p>
    <w:p>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竞争性谈判公告</w:t>
      </w:r>
      <w:bookmarkEnd w:id="5"/>
      <w:bookmarkEnd w:id="6"/>
      <w:bookmarkEnd w:id="7"/>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百色市田阳区2020年坡洪镇及五村镇乡村风貌提升基本整治型村庄片区建设工程(2标)</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 xml:space="preserve"> 采购项目的潜在供应商应在</w:t>
      </w:r>
      <w:r>
        <w:rPr>
          <w:rFonts w:hint="eastAsia" w:ascii="宋体" w:hAnsi="宋体" w:eastAsia="宋体" w:cs="宋体"/>
          <w:color w:val="auto"/>
          <w:sz w:val="21"/>
          <w:szCs w:val="21"/>
          <w:highlight w:val="none"/>
          <w:u w:val="single"/>
        </w:rPr>
        <w:t>（百色市右江区前程路4号长乐星城第一幢10层1006号）</w:t>
      </w:r>
      <w:r>
        <w:rPr>
          <w:rFonts w:hint="eastAsia" w:ascii="宋体" w:hAnsi="宋体" w:eastAsia="宋体" w:cs="宋体"/>
          <w:color w:val="auto"/>
          <w:sz w:val="21"/>
          <w:szCs w:val="21"/>
          <w:highlight w:val="none"/>
        </w:rPr>
        <w:t>获取采购文件，并于</w:t>
      </w:r>
      <w:r>
        <w:rPr>
          <w:rFonts w:hint="eastAsia" w:ascii="宋体" w:hAnsi="宋体" w:cs="宋体"/>
          <w:b/>
          <w:bCs/>
          <w:color w:val="auto"/>
          <w:sz w:val="21"/>
          <w:szCs w:val="21"/>
          <w:highlight w:val="none"/>
          <w:u w:val="single"/>
          <w:lang w:val="en-US" w:eastAsia="zh-CN"/>
        </w:rPr>
        <w:t>2021年01月07日11点00分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bookmarkStart w:id="8" w:name="_Toc28359089"/>
      <w:bookmarkStart w:id="9" w:name="_Toc28359012"/>
      <w:bookmarkStart w:id="10" w:name="_Toc35393798"/>
      <w:bookmarkStart w:id="11" w:name="_Toc35393629"/>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12" w:name="_Toc21996"/>
      <w:bookmarkStart w:id="13" w:name="_Toc15943"/>
      <w:bookmarkStart w:id="14" w:name="_Toc19762"/>
      <w:r>
        <w:rPr>
          <w:rFonts w:hint="eastAsia" w:ascii="宋体" w:hAnsi="宋体" w:eastAsia="宋体" w:cs="宋体"/>
          <w:b/>
          <w:bCs w:val="0"/>
          <w:color w:val="auto"/>
          <w:sz w:val="21"/>
          <w:szCs w:val="21"/>
          <w:highlight w:val="none"/>
        </w:rPr>
        <w:t>一、项目基本情况</w:t>
      </w:r>
      <w:bookmarkEnd w:id="8"/>
      <w:bookmarkEnd w:id="9"/>
      <w:bookmarkEnd w:id="10"/>
      <w:bookmarkEnd w:id="11"/>
      <w:bookmarkEnd w:id="12"/>
      <w:bookmarkEnd w:id="13"/>
      <w:bookmarkEnd w:id="14"/>
    </w:p>
    <w:p>
      <w:pPr>
        <w:adjustRightInd w:val="0"/>
        <w:snapToGrid w:val="0"/>
        <w:ind w:firstLine="420" w:firstLineChars="200"/>
        <w:jc w:val="both"/>
        <w:rPr>
          <w:rFonts w:hint="eastAsia" w:eastAsia="宋体" w:asciiTheme="minorEastAsia" w:hAnsiTheme="minorEastAsia" w:cstheme="minorEastAsia"/>
          <w:i w:val="0"/>
          <w:caps w:val="0"/>
          <w:color w:val="auto"/>
          <w:spacing w:val="0"/>
          <w:sz w:val="21"/>
          <w:szCs w:val="21"/>
          <w:highlight w:val="none"/>
          <w:shd w:val="clear" w:fill="FFFFFF"/>
          <w:lang w:eastAsia="zh-CN"/>
        </w:rPr>
      </w:pPr>
      <w:r>
        <w:rPr>
          <w:rFonts w:hint="eastAsia" w:ascii="宋体" w:hAnsi="宋体" w:eastAsia="宋体" w:cs="宋体"/>
          <w:color w:val="auto"/>
          <w:sz w:val="21"/>
          <w:szCs w:val="21"/>
          <w:highlight w:val="none"/>
        </w:rPr>
        <w:t>项目编号：</w:t>
      </w:r>
      <w:r>
        <w:rPr>
          <w:rFonts w:hint="eastAsia" w:asciiTheme="minorEastAsia" w:hAnsiTheme="minorEastAsia" w:eastAsiaTheme="minorEastAsia" w:cstheme="minorEastAsia"/>
          <w:i w:val="0"/>
          <w:caps w:val="0"/>
          <w:color w:val="auto"/>
          <w:spacing w:val="0"/>
          <w:sz w:val="21"/>
          <w:szCs w:val="21"/>
          <w:highlight w:val="none"/>
          <w:shd w:val="clear" w:fill="FFFFFF"/>
          <w:lang w:eastAsia="zh-CN"/>
        </w:rPr>
        <w:t>BSZC2020-J2-210541-ZJGC</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百色市田阳区2020年坡洪镇及五村镇乡村风貌提升基本整治型村庄片区建设工程(2标)</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 xml:space="preserve">竞争性谈判 □竞争性磋商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询价</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98.859962万元</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98.859962万元</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eastAsia="zh-CN"/>
        </w:rPr>
        <w:t>百色市田阳区2020年坡洪镇及五村镇乡村风貌提升基本整治型村庄片区建设工程(2标)1项，该项目涉及五村镇百谷村、雷圩村，坡洪镇坡丹村、新洞村、百合村共5个村16个屯的基本整治建设，建设内容包括新建太阳能路灯、拆除危旧房、道路硬化、完善污水管网，本项目具体内容及各项技术指标以该工程项目施工设计图纸及工程量清单为准。</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FF0000"/>
          <w:sz w:val="21"/>
          <w:szCs w:val="21"/>
          <w:highlight w:val="none"/>
          <w:u w:val="single"/>
          <w:lang w:val="en-US" w:eastAsia="zh-CN"/>
        </w:rPr>
      </w:pPr>
      <w:r>
        <w:rPr>
          <w:rFonts w:hint="eastAsia" w:ascii="宋体" w:hAnsi="宋体" w:eastAsia="宋体" w:cs="宋体"/>
          <w:color w:val="FF0000"/>
          <w:sz w:val="21"/>
          <w:szCs w:val="21"/>
          <w:highlight w:val="none"/>
        </w:rPr>
        <w:t>合同履行期限：</w:t>
      </w:r>
      <w:r>
        <w:rPr>
          <w:rFonts w:hint="eastAsia" w:ascii="宋体" w:hAnsi="宋体" w:cs="宋体"/>
          <w:color w:val="FF0000"/>
          <w:sz w:val="21"/>
          <w:szCs w:val="21"/>
          <w:highlight w:val="none"/>
          <w:lang w:val="en-US" w:eastAsia="zh-CN"/>
        </w:rPr>
        <w:t>30</w:t>
      </w:r>
      <w:r>
        <w:rPr>
          <w:rFonts w:hint="eastAsia" w:ascii="宋体" w:hAnsi="宋体" w:cs="宋体"/>
          <w:color w:val="FF0000"/>
          <w:sz w:val="21"/>
          <w:szCs w:val="21"/>
          <w:highlight w:val="none"/>
          <w:lang w:eastAsia="zh-CN"/>
        </w:rPr>
        <w:t>日历天</w:t>
      </w:r>
      <w:r>
        <w:rPr>
          <w:rFonts w:hint="eastAsia" w:ascii="宋体" w:hAnsi="宋体" w:eastAsia="宋体" w:cs="宋体"/>
          <w:color w:val="FF0000"/>
          <w:sz w:val="21"/>
          <w:szCs w:val="21"/>
          <w:highlight w:val="none"/>
          <w:lang w:eastAsia="zh-CN"/>
        </w:rPr>
        <w:t>。</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接受联合体。</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15" w:name="_Toc1906"/>
      <w:bookmarkStart w:id="16" w:name="_Toc35393799"/>
      <w:bookmarkStart w:id="17" w:name="_Toc28359013"/>
      <w:bookmarkStart w:id="18" w:name="_Toc35393630"/>
      <w:bookmarkStart w:id="19" w:name="_Toc22078"/>
      <w:bookmarkStart w:id="20" w:name="_Toc9283"/>
      <w:bookmarkStart w:id="21" w:name="_Toc28359090"/>
      <w:r>
        <w:rPr>
          <w:rFonts w:hint="eastAsia" w:ascii="宋体" w:hAnsi="宋体" w:eastAsia="宋体" w:cs="宋体"/>
          <w:b/>
          <w:bCs w:val="0"/>
          <w:color w:val="auto"/>
          <w:sz w:val="21"/>
          <w:szCs w:val="21"/>
          <w:highlight w:val="none"/>
        </w:rPr>
        <w:t>二、申请人的资格要求：</w:t>
      </w:r>
      <w:bookmarkEnd w:id="15"/>
      <w:bookmarkEnd w:id="16"/>
      <w:bookmarkEnd w:id="17"/>
      <w:bookmarkEnd w:id="18"/>
      <w:bookmarkEnd w:id="19"/>
      <w:bookmarkEnd w:id="20"/>
      <w:bookmarkEnd w:id="21"/>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bookmarkStart w:id="22" w:name="_Toc28359091"/>
      <w:bookmarkStart w:id="23" w:name="_Toc28359014"/>
      <w:r>
        <w:rPr>
          <w:rFonts w:hint="eastAsia" w:ascii="宋体" w:hAnsi="宋体" w:eastAsia="宋体" w:cs="宋体"/>
          <w:color w:val="auto"/>
          <w:sz w:val="21"/>
          <w:szCs w:val="21"/>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及节能环保等有关政策。</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3.1具有国内独立法人资格，符合《中华人民共和国政府采购法》的相关规定，具备建筑工程施工或市政公用工程</w:t>
      </w:r>
      <w:r>
        <w:rPr>
          <w:rFonts w:hint="eastAsia" w:ascii="宋体" w:hAnsi="宋体" w:cs="宋体"/>
          <w:color w:val="auto"/>
          <w:kern w:val="2"/>
          <w:sz w:val="21"/>
          <w:szCs w:val="21"/>
          <w:highlight w:val="none"/>
          <w:lang w:val="en-US" w:eastAsia="zh-CN" w:bidi="ar-SA"/>
        </w:rPr>
        <w:t>施工总承包</w:t>
      </w:r>
      <w:r>
        <w:rPr>
          <w:rFonts w:hint="eastAsia" w:ascii="宋体" w:hAnsi="宋体" w:eastAsia="宋体" w:cs="宋体"/>
          <w:color w:val="auto"/>
          <w:kern w:val="2"/>
          <w:sz w:val="21"/>
          <w:szCs w:val="21"/>
          <w:highlight w:val="none"/>
          <w:lang w:val="en-US" w:eastAsia="zh-CN" w:bidi="ar-SA"/>
        </w:rPr>
        <w:t>三级以上（含三级）资质，并在人员、设备、资金等方面具有相应的施工能力的施工单位。</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3.2拟投入本工程的项目经理须具备建筑工程施工或市政公用工程</w:t>
      </w:r>
      <w:r>
        <w:rPr>
          <w:rFonts w:hint="eastAsia" w:ascii="宋体" w:hAnsi="宋体" w:cs="宋体"/>
          <w:color w:val="auto"/>
          <w:kern w:val="2"/>
          <w:sz w:val="21"/>
          <w:szCs w:val="21"/>
          <w:highlight w:val="none"/>
          <w:lang w:val="en-US" w:eastAsia="zh-CN" w:bidi="ar-SA"/>
        </w:rPr>
        <w:t>专业贰级</w:t>
      </w:r>
      <w:r>
        <w:rPr>
          <w:rFonts w:hint="eastAsia" w:ascii="宋体" w:hAnsi="宋体" w:eastAsia="宋体" w:cs="宋体"/>
          <w:color w:val="auto"/>
          <w:kern w:val="2"/>
          <w:sz w:val="21"/>
          <w:szCs w:val="21"/>
          <w:highlight w:val="none"/>
          <w:lang w:val="en-US" w:eastAsia="zh-CN" w:bidi="ar-SA"/>
        </w:rPr>
        <w:t>（含贰级）以上建造师执业证书，并具备有效的安全生产考核合格证书（B证）。</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3.3已经依法获得采购人和评审专家分别书面推荐并在规定时间内购买竞争性谈判文件的竞标人才有资格参与谈判；</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
        <w:rPr>
          <w:rFonts w:hint="eastAsia"/>
          <w:color w:val="auto"/>
          <w:highlight w:val="none"/>
        </w:rPr>
      </w:pPr>
      <w:r>
        <w:rPr>
          <w:rFonts w:hint="eastAsia" w:ascii="宋体" w:hAnsi="宋体" w:eastAsia="宋体" w:cs="宋体"/>
          <w:color w:val="auto"/>
          <w:kern w:val="2"/>
          <w:sz w:val="21"/>
          <w:szCs w:val="21"/>
          <w:highlight w:val="none"/>
          <w:lang w:val="en-US" w:eastAsia="zh-CN" w:bidi="ar-SA"/>
        </w:rPr>
        <w:t>3.5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line="320" w:lineRule="exact"/>
        <w:ind w:left="0" w:leftChars="0"/>
        <w:textAlignment w:val="auto"/>
        <w:rPr>
          <w:rFonts w:hint="eastAsia" w:ascii="宋体" w:hAnsi="宋体" w:eastAsia="宋体" w:cs="宋体"/>
          <w:b/>
          <w:bCs/>
          <w:color w:val="auto"/>
          <w:sz w:val="21"/>
          <w:szCs w:val="21"/>
          <w:highlight w:val="none"/>
        </w:rPr>
      </w:pPr>
      <w:bookmarkStart w:id="24" w:name="_Toc35393800"/>
      <w:bookmarkStart w:id="25" w:name="_Toc35393631"/>
      <w:r>
        <w:rPr>
          <w:rFonts w:hint="eastAsia" w:ascii="宋体" w:hAnsi="宋体" w:eastAsia="宋体" w:cs="宋体"/>
          <w:b/>
          <w:bCs/>
          <w:color w:val="auto"/>
          <w:sz w:val="21"/>
          <w:szCs w:val="21"/>
          <w:highlight w:val="none"/>
        </w:rPr>
        <w:t>三、获取采购文件</w:t>
      </w:r>
      <w:bookmarkEnd w:id="22"/>
      <w:bookmarkEnd w:id="23"/>
      <w:bookmarkEnd w:id="24"/>
      <w:bookmarkEnd w:id="25"/>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01</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04</w:t>
      </w:r>
      <w:r>
        <w:rPr>
          <w:rFonts w:hint="eastAsia" w:ascii="宋体" w:hAnsi="宋体" w:eastAsia="宋体" w:cs="宋体"/>
          <w:b/>
          <w:bCs/>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b/>
          <w:bCs/>
          <w:color w:val="auto"/>
          <w:sz w:val="21"/>
          <w:szCs w:val="21"/>
          <w:highlight w:val="none"/>
          <w:u w:val="single"/>
          <w:lang w:val="en-US" w:eastAsia="zh-CN"/>
        </w:rPr>
        <w:t>202</w:t>
      </w:r>
      <w:r>
        <w:rPr>
          <w:rFonts w:hint="eastAsia" w:ascii="宋体" w:hAnsi="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01</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06</w:t>
      </w:r>
      <w:r>
        <w:rPr>
          <w:rFonts w:hint="eastAsia" w:ascii="宋体" w:hAnsi="宋体" w:eastAsia="宋体" w:cs="宋体"/>
          <w:b/>
          <w:bCs/>
          <w:color w:val="auto"/>
          <w:sz w:val="21"/>
          <w:szCs w:val="21"/>
          <w:highlight w:val="none"/>
          <w:u w:val="single"/>
        </w:rPr>
        <w:t>日</w:t>
      </w:r>
      <w:r>
        <w:rPr>
          <w:rFonts w:hint="eastAsia" w:ascii="宋体" w:hAnsi="宋体" w:eastAsia="宋体" w:cs="宋体"/>
          <w:color w:val="auto"/>
          <w:sz w:val="21"/>
          <w:szCs w:val="21"/>
          <w:highlight w:val="none"/>
        </w:rPr>
        <w:t>，每天上午</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u w:val="none"/>
        </w:rPr>
        <w:t>至</w:t>
      </w:r>
      <w:r>
        <w:rPr>
          <w:rFonts w:hint="eastAsia" w:ascii="宋体" w:hAnsi="宋体" w:eastAsia="宋体" w:cs="宋体"/>
          <w:color w:val="auto"/>
          <w:sz w:val="21"/>
          <w:szCs w:val="21"/>
          <w:highlight w:val="none"/>
          <w:u w:val="single"/>
        </w:rPr>
        <w:t>12：00</w:t>
      </w:r>
      <w:r>
        <w:rPr>
          <w:rFonts w:hint="eastAsia" w:ascii="宋体" w:hAnsi="宋体" w:eastAsia="宋体" w:cs="宋体"/>
          <w:color w:val="auto"/>
          <w:sz w:val="21"/>
          <w:szCs w:val="21"/>
          <w:highlight w:val="none"/>
        </w:rPr>
        <w:t>，下午</w:t>
      </w:r>
      <w:r>
        <w:rPr>
          <w:rFonts w:hint="eastAsia" w:ascii="宋体" w:hAnsi="宋体" w:eastAsia="宋体" w:cs="宋体"/>
          <w:i w:val="0"/>
          <w:iCs w:val="0"/>
          <w:color w:val="auto"/>
          <w:sz w:val="21"/>
          <w:szCs w:val="21"/>
          <w:highlight w:val="none"/>
          <w:u w:val="single"/>
        </w:rPr>
        <w:t>15:00</w:t>
      </w:r>
      <w:r>
        <w:rPr>
          <w:rFonts w:hint="eastAsia" w:ascii="宋体" w:hAnsi="宋体" w:eastAsia="宋体" w:cs="宋体"/>
          <w:i w:val="0"/>
          <w:iCs w:val="0"/>
          <w:color w:val="auto"/>
          <w:sz w:val="21"/>
          <w:szCs w:val="21"/>
          <w:highlight w:val="none"/>
          <w:u w:val="none"/>
        </w:rPr>
        <w:t>至</w:t>
      </w:r>
      <w:r>
        <w:rPr>
          <w:rFonts w:hint="eastAsia" w:ascii="宋体" w:hAnsi="宋体" w:eastAsia="宋体" w:cs="宋体"/>
          <w:i w:val="0"/>
          <w:iCs w:val="0"/>
          <w:color w:val="auto"/>
          <w:sz w:val="21"/>
          <w:szCs w:val="21"/>
          <w:highlight w:val="none"/>
          <w:u w:val="single"/>
        </w:rPr>
        <w:t>18:00</w:t>
      </w:r>
      <w:r>
        <w:rPr>
          <w:rFonts w:hint="eastAsia" w:ascii="宋体" w:hAnsi="宋体" w:eastAsia="宋体" w:cs="宋体"/>
          <w:color w:val="auto"/>
          <w:sz w:val="21"/>
          <w:szCs w:val="21"/>
          <w:highlight w:val="none"/>
        </w:rPr>
        <w:t>（北京时间，法定节假日除外 ）</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地点：百色市右江区前程路4号长乐星城第一幢10层1006号</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方式：请已经依法获得采购人和评审专家分别书面推荐的供应商的法定代表人或授权委托人在报名时间内携带以下资料，并携带原件核查：(1)授权委托书原件</w:t>
      </w:r>
      <w:r>
        <w:rPr>
          <w:rFonts w:hint="eastAsia" w:ascii="宋体" w:hAnsi="宋体" w:cs="宋体"/>
          <w:color w:val="auto"/>
          <w:sz w:val="21"/>
          <w:szCs w:val="21"/>
          <w:highlight w:val="none"/>
          <w:lang w:eastAsia="zh-CN"/>
        </w:rPr>
        <w:t>、身份证原件及复印件</w:t>
      </w:r>
      <w:r>
        <w:rPr>
          <w:rFonts w:hint="eastAsia" w:ascii="宋体" w:hAnsi="宋体" w:eastAsia="宋体" w:cs="宋体"/>
          <w:color w:val="auto"/>
          <w:sz w:val="21"/>
          <w:szCs w:val="21"/>
          <w:highlight w:val="none"/>
        </w:rPr>
        <w:t>（委托人报名时提供）；（2）有效的营业执照副本</w:t>
      </w:r>
      <w:r>
        <w:rPr>
          <w:rFonts w:hint="eastAsia" w:ascii="宋体" w:hAnsi="宋体" w:cs="宋体"/>
          <w:color w:val="auto"/>
          <w:sz w:val="21"/>
          <w:szCs w:val="21"/>
          <w:highlight w:val="none"/>
          <w:lang w:eastAsia="zh-CN"/>
        </w:rPr>
        <w:t>复印件</w:t>
      </w:r>
      <w:r>
        <w:rPr>
          <w:rFonts w:hint="eastAsia" w:ascii="宋体" w:hAnsi="宋体" w:eastAsia="宋体" w:cs="宋体"/>
          <w:color w:val="auto"/>
          <w:sz w:val="21"/>
          <w:szCs w:val="21"/>
          <w:highlight w:val="none"/>
        </w:rPr>
        <w:t>、资质证书副本</w:t>
      </w:r>
      <w:r>
        <w:rPr>
          <w:rFonts w:hint="eastAsia" w:ascii="宋体" w:hAnsi="宋体" w:cs="宋体"/>
          <w:color w:val="auto"/>
          <w:sz w:val="21"/>
          <w:szCs w:val="21"/>
          <w:highlight w:val="none"/>
          <w:lang w:eastAsia="zh-CN"/>
        </w:rPr>
        <w:t>复印件、安全生产许可证复印件</w:t>
      </w:r>
      <w:r>
        <w:rPr>
          <w:rFonts w:hint="eastAsia" w:ascii="宋体" w:hAnsi="宋体" w:eastAsia="宋体" w:cs="宋体"/>
          <w:color w:val="auto"/>
          <w:sz w:val="21"/>
          <w:szCs w:val="21"/>
          <w:highlight w:val="none"/>
        </w:rPr>
        <w:t>；（3）法定代表人身份证明原件及</w:t>
      </w:r>
      <w:r>
        <w:rPr>
          <w:rFonts w:hint="eastAsia" w:ascii="宋体" w:hAnsi="宋体" w:cs="宋体"/>
          <w:color w:val="auto"/>
          <w:sz w:val="21"/>
          <w:szCs w:val="21"/>
          <w:highlight w:val="none"/>
          <w:lang w:eastAsia="zh-CN"/>
        </w:rPr>
        <w:t>本人</w:t>
      </w:r>
      <w:r>
        <w:rPr>
          <w:rFonts w:hint="eastAsia" w:ascii="宋体" w:hAnsi="宋体" w:eastAsia="宋体" w:cs="宋体"/>
          <w:color w:val="auto"/>
          <w:sz w:val="21"/>
          <w:szCs w:val="21"/>
          <w:highlight w:val="none"/>
        </w:rPr>
        <w:t>身份证</w:t>
      </w:r>
      <w:r>
        <w:rPr>
          <w:rFonts w:hint="eastAsia" w:ascii="宋体" w:hAnsi="宋体" w:cs="宋体"/>
          <w:color w:val="auto"/>
          <w:sz w:val="21"/>
          <w:szCs w:val="21"/>
          <w:highlight w:val="none"/>
          <w:lang w:eastAsia="zh-CN"/>
        </w:rPr>
        <w:t>原件、复印件</w:t>
      </w:r>
      <w:r>
        <w:rPr>
          <w:rFonts w:hint="eastAsia" w:ascii="宋体" w:hAnsi="宋体" w:eastAsia="宋体" w:cs="宋体"/>
          <w:color w:val="auto"/>
          <w:sz w:val="21"/>
          <w:szCs w:val="21"/>
          <w:highlight w:val="none"/>
        </w:rPr>
        <w:t>(法</w:t>
      </w:r>
      <w:r>
        <w:rPr>
          <w:rFonts w:hint="eastAsia" w:ascii="宋体" w:hAnsi="宋体" w:cs="宋体"/>
          <w:color w:val="auto"/>
          <w:sz w:val="21"/>
          <w:szCs w:val="21"/>
          <w:highlight w:val="none"/>
          <w:lang w:eastAsia="zh-CN"/>
        </w:rPr>
        <w:t>定代表</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lang w:eastAsia="zh-CN"/>
        </w:rPr>
        <w:t>报名时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）竞争性谈判邀请书原件</w:t>
      </w:r>
      <w:r>
        <w:rPr>
          <w:rFonts w:hint="eastAsia" w:ascii="宋体" w:hAnsi="宋体" w:eastAsia="宋体" w:cs="宋体"/>
          <w:color w:val="auto"/>
          <w:sz w:val="21"/>
          <w:szCs w:val="21"/>
          <w:highlight w:val="none"/>
        </w:rPr>
        <w:t>。注明原件的请提交原件、未注明原件的请提交盖单位公章的复印件，资料齐全并经审查合格后方可受理报名。</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售价：</w:t>
      </w:r>
      <w:r>
        <w:rPr>
          <w:rFonts w:hint="eastAsia" w:ascii="宋体" w:hAnsi="宋体" w:eastAsia="宋体" w:cs="宋体"/>
          <w:color w:val="auto"/>
          <w:sz w:val="21"/>
          <w:szCs w:val="21"/>
          <w:highlight w:val="none"/>
          <w:lang w:val="en-US" w:eastAsia="zh-CN"/>
        </w:rPr>
        <w:t>0元</w:t>
      </w:r>
      <w:r>
        <w:rPr>
          <w:rFonts w:hint="eastAsia" w:ascii="宋体" w:hAnsi="宋体" w:eastAsia="宋体" w:cs="宋体"/>
          <w:color w:val="auto"/>
          <w:sz w:val="21"/>
          <w:szCs w:val="21"/>
          <w:highlight w:val="none"/>
          <w:lang w:eastAsia="zh-CN"/>
        </w:rPr>
        <w:t>。采购文件不代办邮寄、不提供电子文件。</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26" w:name="_Toc35393632"/>
      <w:bookmarkStart w:id="27" w:name="_Toc15582"/>
      <w:bookmarkStart w:id="28" w:name="_Toc2408"/>
      <w:bookmarkStart w:id="29" w:name="_Toc28359092"/>
      <w:bookmarkStart w:id="30" w:name="_Toc5554"/>
      <w:bookmarkStart w:id="31" w:name="_Toc35393801"/>
      <w:bookmarkStart w:id="32" w:name="_Toc28359015"/>
      <w:r>
        <w:rPr>
          <w:rFonts w:hint="eastAsia" w:ascii="宋体" w:hAnsi="宋体" w:eastAsia="宋体" w:cs="宋体"/>
          <w:b/>
          <w:bCs w:val="0"/>
          <w:color w:val="auto"/>
          <w:sz w:val="21"/>
          <w:szCs w:val="21"/>
          <w:highlight w:val="none"/>
        </w:rPr>
        <w:t>四、响应文件提交</w:t>
      </w:r>
      <w:bookmarkEnd w:id="26"/>
      <w:bookmarkEnd w:id="27"/>
      <w:bookmarkEnd w:id="28"/>
      <w:bookmarkEnd w:id="29"/>
      <w:bookmarkEnd w:id="30"/>
      <w:bookmarkEnd w:id="31"/>
      <w:bookmarkEnd w:id="32"/>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截止时间：</w:t>
      </w:r>
      <w:r>
        <w:rPr>
          <w:rFonts w:hint="eastAsia" w:ascii="宋体" w:hAnsi="宋体" w:cs="宋体"/>
          <w:b/>
          <w:bCs/>
          <w:color w:val="auto"/>
          <w:sz w:val="21"/>
          <w:szCs w:val="21"/>
          <w:highlight w:val="none"/>
          <w:u w:val="single"/>
          <w:lang w:val="en-US" w:eastAsia="zh-CN"/>
        </w:rPr>
        <w:t>2021年01月07日11点00分</w:t>
      </w:r>
      <w:r>
        <w:rPr>
          <w:rFonts w:hint="eastAsia" w:ascii="宋体" w:hAnsi="宋体" w:eastAsia="宋体" w:cs="宋体"/>
          <w:bCs/>
          <w:color w:val="auto"/>
          <w:sz w:val="21"/>
          <w:szCs w:val="21"/>
          <w:highlight w:val="none"/>
        </w:rPr>
        <w:t>（北京时间）</w:t>
      </w:r>
      <w:r>
        <w:rPr>
          <w:rFonts w:hint="eastAsia" w:ascii="宋体" w:hAnsi="宋体" w:eastAsia="宋体" w:cs="宋体"/>
          <w:bCs/>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地点：百色市右江区前程路4号长乐星城第一幢10层1006号</w:t>
      </w:r>
      <w:r>
        <w:rPr>
          <w:rFonts w:hint="eastAsia" w:ascii="宋体" w:hAnsi="宋体" w:eastAsia="宋体" w:cs="宋体"/>
          <w:color w:val="auto"/>
          <w:sz w:val="21"/>
          <w:szCs w:val="21"/>
          <w:highlight w:val="none"/>
          <w:lang w:eastAsia="zh-CN"/>
        </w:rPr>
        <w:t>。</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val="0"/>
          <w:color w:val="auto"/>
          <w:sz w:val="21"/>
          <w:szCs w:val="21"/>
          <w:highlight w:val="none"/>
        </w:rPr>
      </w:pPr>
      <w:bookmarkStart w:id="33" w:name="_Toc27928"/>
      <w:bookmarkStart w:id="34" w:name="_Toc35393633"/>
      <w:bookmarkStart w:id="35" w:name="_Toc35393802"/>
      <w:bookmarkStart w:id="36" w:name="_Toc28359016"/>
      <w:bookmarkStart w:id="37" w:name="_Toc26175"/>
      <w:bookmarkStart w:id="38" w:name="_Toc28359093"/>
      <w:bookmarkStart w:id="39" w:name="_Toc10641"/>
      <w:r>
        <w:rPr>
          <w:rFonts w:hint="eastAsia" w:ascii="宋体" w:hAnsi="宋体" w:eastAsia="宋体" w:cs="宋体"/>
          <w:b/>
          <w:bCs w:val="0"/>
          <w:color w:val="auto"/>
          <w:sz w:val="21"/>
          <w:szCs w:val="21"/>
          <w:highlight w:val="none"/>
        </w:rPr>
        <w:t>五、开启</w:t>
      </w:r>
      <w:bookmarkEnd w:id="33"/>
      <w:bookmarkEnd w:id="34"/>
      <w:bookmarkEnd w:id="35"/>
      <w:bookmarkEnd w:id="36"/>
      <w:bookmarkEnd w:id="37"/>
      <w:bookmarkEnd w:id="38"/>
      <w:bookmarkEnd w:id="39"/>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时间：</w:t>
      </w:r>
      <w:r>
        <w:rPr>
          <w:rFonts w:hint="eastAsia" w:ascii="宋体" w:hAnsi="宋体" w:cs="宋体"/>
          <w:b/>
          <w:bCs/>
          <w:color w:val="auto"/>
          <w:sz w:val="21"/>
          <w:szCs w:val="21"/>
          <w:highlight w:val="none"/>
          <w:u w:val="single"/>
          <w:lang w:val="en-US" w:eastAsia="zh-CN"/>
        </w:rPr>
        <w:t>2021年01月07日11点00分</w:t>
      </w:r>
      <w:r>
        <w:rPr>
          <w:rFonts w:hint="eastAsia" w:ascii="宋体" w:hAnsi="宋体" w:eastAsia="宋体" w:cs="宋体"/>
          <w:bCs/>
          <w:color w:val="auto"/>
          <w:sz w:val="21"/>
          <w:szCs w:val="21"/>
          <w:highlight w:val="none"/>
        </w:rPr>
        <w:t>（北京时间）</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地点：百色市右江区前程路4号长乐星城第一幢10层1006号</w:t>
      </w:r>
      <w:r>
        <w:rPr>
          <w:rFonts w:hint="eastAsia" w:ascii="宋体" w:hAnsi="宋体" w:eastAsia="宋体" w:cs="宋体"/>
          <w:color w:val="auto"/>
          <w:sz w:val="21"/>
          <w:szCs w:val="21"/>
          <w:highlight w:val="none"/>
          <w:lang w:eastAsia="zh-CN"/>
        </w:rPr>
        <w:t>。</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40" w:name="_Toc28359094"/>
      <w:bookmarkStart w:id="41" w:name="_Toc16221"/>
      <w:bookmarkStart w:id="42" w:name="_Toc35393803"/>
      <w:bookmarkStart w:id="43" w:name="_Toc11215"/>
      <w:bookmarkStart w:id="44" w:name="_Toc15303"/>
      <w:bookmarkStart w:id="45" w:name="_Toc35393634"/>
      <w:bookmarkStart w:id="46" w:name="_Toc28359017"/>
      <w:r>
        <w:rPr>
          <w:rFonts w:hint="eastAsia" w:ascii="宋体" w:hAnsi="宋体" w:eastAsia="宋体" w:cs="宋体"/>
          <w:b/>
          <w:bCs w:val="0"/>
          <w:color w:val="auto"/>
          <w:sz w:val="21"/>
          <w:szCs w:val="21"/>
          <w:highlight w:val="none"/>
        </w:rPr>
        <w:t>六、公告期限</w:t>
      </w:r>
      <w:bookmarkEnd w:id="40"/>
      <w:bookmarkEnd w:id="41"/>
      <w:bookmarkEnd w:id="42"/>
      <w:bookmarkEnd w:id="43"/>
      <w:bookmarkEnd w:id="44"/>
      <w:bookmarkEnd w:id="45"/>
      <w:bookmarkEnd w:id="46"/>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自本公告发布之日起3个工作日。</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47" w:name="_Toc18856"/>
      <w:bookmarkStart w:id="48" w:name="_Toc35393635"/>
      <w:bookmarkStart w:id="49" w:name="_Toc16043"/>
      <w:bookmarkStart w:id="50" w:name="_Toc27772"/>
      <w:bookmarkStart w:id="51" w:name="_Toc35393804"/>
      <w:r>
        <w:rPr>
          <w:rFonts w:hint="eastAsia" w:ascii="宋体" w:hAnsi="宋体" w:eastAsia="宋体" w:cs="宋体"/>
          <w:b/>
          <w:bCs w:val="0"/>
          <w:color w:val="auto"/>
          <w:sz w:val="21"/>
          <w:szCs w:val="21"/>
          <w:highlight w:val="none"/>
        </w:rPr>
        <w:t>七、其他补充事宜</w:t>
      </w:r>
      <w:bookmarkEnd w:id="47"/>
      <w:bookmarkEnd w:id="48"/>
      <w:bookmarkEnd w:id="49"/>
      <w:bookmarkEnd w:id="50"/>
      <w:bookmarkEnd w:id="51"/>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1.根据《政府采购非招标采购方式管理办法》第十二条相关规定，本项目由采购人和评审专家分别书面推荐的方式推荐及邀请不少于3家符合相应资格条件的供应商参与竞争性谈判采购活动。</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2.竞标保证金</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竞标保证金：</w:t>
      </w:r>
      <w:r>
        <w:rPr>
          <w:rFonts w:hint="eastAsia" w:ascii="宋体" w:hAnsi="宋体" w:cs="宋体"/>
          <w:color w:val="auto"/>
          <w:sz w:val="21"/>
          <w:szCs w:val="21"/>
          <w:highlight w:val="none"/>
          <w:lang w:eastAsia="zh-CN"/>
        </w:rPr>
        <w:t>人民币壹万元整（￥10000.00）</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竞标保证金的形式：竞标人应于截标前将</w:t>
      </w:r>
      <w:r>
        <w:rPr>
          <w:rFonts w:hint="eastAsia" w:ascii="宋体" w:hAnsi="宋体" w:cs="宋体"/>
          <w:color w:val="auto"/>
          <w:sz w:val="21"/>
          <w:szCs w:val="21"/>
          <w:highlight w:val="none"/>
          <w:lang w:eastAsia="zh-CN"/>
        </w:rPr>
        <w:t>竞标</w:t>
      </w:r>
      <w:r>
        <w:rPr>
          <w:rFonts w:hint="eastAsia" w:ascii="宋体" w:hAnsi="宋体" w:eastAsia="宋体" w:cs="宋体"/>
          <w:color w:val="auto"/>
          <w:sz w:val="21"/>
          <w:szCs w:val="21"/>
          <w:highlight w:val="none"/>
        </w:rPr>
        <w:t>谈判保证金从竞标人的基本账户以电汇、转帐、汇票等非现金形式交至以下账户：</w:t>
      </w:r>
    </w:p>
    <w:p>
      <w:pPr>
        <w:pageBreakBefore w:val="0"/>
        <w:widowControl w:val="0"/>
        <w:kinsoku/>
        <w:wordWrap/>
        <w:overflowPunct/>
        <w:topLinePunct w:val="0"/>
        <w:autoSpaceDE/>
        <w:autoSpaceDN/>
        <w:bidi w:val="0"/>
        <w:adjustRightInd/>
        <w:snapToGrid/>
        <w:spacing w:line="32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 户 名：广西壮锦工程管理咨询有限公司</w:t>
      </w:r>
    </w:p>
    <w:p>
      <w:pPr>
        <w:pageBreakBefore w:val="0"/>
        <w:widowControl w:val="0"/>
        <w:kinsoku/>
        <w:wordWrap/>
        <w:overflowPunct/>
        <w:topLinePunct w:val="0"/>
        <w:autoSpaceDE/>
        <w:autoSpaceDN/>
        <w:bidi w:val="0"/>
        <w:adjustRightInd/>
        <w:snapToGrid/>
        <w:spacing w:line="32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开户银行：广西北部湾银行百色分行营业部</w:t>
      </w:r>
    </w:p>
    <w:p>
      <w:pPr>
        <w:pageBreakBefore w:val="0"/>
        <w:widowControl w:val="0"/>
        <w:kinsoku/>
        <w:wordWrap/>
        <w:overflowPunct/>
        <w:topLinePunct w:val="0"/>
        <w:autoSpaceDE/>
        <w:autoSpaceDN/>
        <w:bidi w:val="0"/>
        <w:adjustRightInd/>
        <w:snapToGrid/>
        <w:spacing w:line="32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银行账号：800133911488883</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注：办理竞标保证金手续时，请务必在银行底单用途栏或空白栏上注明竞标项目名称（可简称）或项目编号。</w:t>
      </w:r>
    </w:p>
    <w:p>
      <w:pPr>
        <w:pStyle w:val="2"/>
        <w:pageBreakBefore w:val="0"/>
        <w:kinsoku/>
        <w:wordWrap/>
        <w:overflowPunct/>
        <w:topLinePunct w:val="0"/>
        <w:autoSpaceDE/>
        <w:autoSpaceDN/>
        <w:bidi w:val="0"/>
        <w:adjustRightInd/>
        <w:snapToGrid/>
        <w:spacing w:line="320" w:lineRule="exact"/>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3.网上公告媒体：中国政府采购网http://www.ccgp.gov.cn、广西壮族自治区政府采购网http://www.gxzfcg.gov.cn。</w:t>
      </w:r>
    </w:p>
    <w:p>
      <w:pPr>
        <w:pStyle w:val="4"/>
        <w:pageBreakBefore w:val="0"/>
        <w:widowControl w:val="0"/>
        <w:kinsoku/>
        <w:wordWrap/>
        <w:overflowPunct/>
        <w:topLinePunct w:val="0"/>
        <w:autoSpaceDE/>
        <w:autoSpaceDN/>
        <w:bidi w:val="0"/>
        <w:adjustRightInd/>
        <w:snapToGrid/>
        <w:spacing w:before="0" w:after="0" w:line="320" w:lineRule="exact"/>
        <w:ind w:left="0" w:leftChars="0"/>
        <w:jc w:val="both"/>
        <w:textAlignment w:val="auto"/>
        <w:rPr>
          <w:rFonts w:hint="eastAsia" w:ascii="宋体" w:hAnsi="宋体" w:eastAsia="宋体" w:cs="宋体"/>
          <w:b/>
          <w:bCs w:val="0"/>
          <w:color w:val="auto"/>
          <w:sz w:val="21"/>
          <w:szCs w:val="21"/>
          <w:highlight w:val="none"/>
        </w:rPr>
      </w:pPr>
      <w:bookmarkStart w:id="52" w:name="_Toc28359095"/>
      <w:bookmarkStart w:id="53" w:name="_Toc10224"/>
      <w:bookmarkStart w:id="54" w:name="_Toc28359018"/>
      <w:bookmarkStart w:id="55" w:name="_Toc25990"/>
      <w:bookmarkStart w:id="56" w:name="_Toc35393805"/>
      <w:bookmarkStart w:id="57" w:name="_Toc35393636"/>
      <w:bookmarkStart w:id="58" w:name="_Toc538"/>
      <w:r>
        <w:rPr>
          <w:rFonts w:hint="eastAsia" w:ascii="宋体" w:hAnsi="宋体" w:eastAsia="宋体" w:cs="宋体"/>
          <w:b/>
          <w:bCs w:val="0"/>
          <w:color w:val="auto"/>
          <w:sz w:val="21"/>
          <w:szCs w:val="21"/>
          <w:highlight w:val="none"/>
        </w:rPr>
        <w:t>八、凡对本次采购提出询问，请按以下方式联系。</w:t>
      </w:r>
      <w:bookmarkEnd w:id="52"/>
      <w:bookmarkEnd w:id="53"/>
      <w:bookmarkEnd w:id="54"/>
      <w:bookmarkEnd w:id="55"/>
      <w:bookmarkEnd w:id="56"/>
      <w:bookmarkEnd w:id="57"/>
      <w:bookmarkEnd w:id="58"/>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bookmarkStart w:id="59" w:name="_Toc6995"/>
      <w:bookmarkStart w:id="60" w:name="_Toc35393637"/>
      <w:bookmarkStart w:id="61" w:name="_Toc10599"/>
      <w:bookmarkStart w:id="62" w:name="_Toc28359096"/>
      <w:bookmarkStart w:id="63" w:name="_Toc35393806"/>
      <w:bookmarkStart w:id="64" w:name="_Toc28359019"/>
      <w:r>
        <w:rPr>
          <w:rFonts w:hint="eastAsia" w:ascii="宋体" w:hAnsi="宋体" w:eastAsia="宋体" w:cs="宋体"/>
          <w:color w:val="auto"/>
          <w:sz w:val="21"/>
          <w:szCs w:val="21"/>
          <w:highlight w:val="none"/>
        </w:rPr>
        <w:t>1.采购人信息</w:t>
      </w:r>
      <w:bookmarkEnd w:id="59"/>
      <w:bookmarkEnd w:id="60"/>
      <w:bookmarkEnd w:id="61"/>
      <w:bookmarkEnd w:id="62"/>
      <w:bookmarkEnd w:id="63"/>
      <w:bookmarkEnd w:id="64"/>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百色市田阳区住房和城乡建设局</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eastAsia="zh-CN"/>
        </w:rPr>
        <w:t>田阳县田州镇金狮街5号</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联系方式：黄</w:t>
      </w:r>
      <w:r>
        <w:rPr>
          <w:rFonts w:hint="eastAsia" w:ascii="宋体" w:hAnsi="宋体" w:cs="宋体"/>
          <w:color w:val="auto"/>
          <w:sz w:val="21"/>
          <w:szCs w:val="21"/>
          <w:highlight w:val="none"/>
          <w:lang w:val="en-US" w:eastAsia="zh-CN"/>
        </w:rPr>
        <w:t>剑扬</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0776-3388096</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bookmarkStart w:id="65" w:name="_Toc28359097"/>
      <w:bookmarkStart w:id="66" w:name="_Toc35393807"/>
      <w:bookmarkStart w:id="67" w:name="_Toc28359020"/>
      <w:bookmarkStart w:id="68" w:name="_Toc7396"/>
      <w:bookmarkStart w:id="69" w:name="_Toc13673"/>
      <w:bookmarkStart w:id="70" w:name="_Toc35393638"/>
      <w:r>
        <w:rPr>
          <w:rFonts w:hint="eastAsia" w:ascii="宋体" w:hAnsi="宋体" w:eastAsia="宋体" w:cs="宋体"/>
          <w:color w:val="auto"/>
          <w:sz w:val="21"/>
          <w:szCs w:val="21"/>
          <w:highlight w:val="none"/>
        </w:rPr>
        <w:t>2.采购代理机构信息</w:t>
      </w:r>
      <w:bookmarkEnd w:id="65"/>
      <w:bookmarkEnd w:id="66"/>
      <w:bookmarkEnd w:id="67"/>
      <w:bookmarkEnd w:id="68"/>
      <w:bookmarkEnd w:id="69"/>
      <w:bookmarkEnd w:id="70"/>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称：广西壮锦工程管理咨询有限公司</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址：百色市右江区前程路4号长乐星城第一幢10层1006号</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黄诚</w:t>
      </w:r>
      <w:r>
        <w:rPr>
          <w:rFonts w:hint="eastAsia" w:ascii="宋体" w:hAnsi="宋体" w:eastAsia="宋体" w:cs="宋体"/>
          <w:color w:val="auto"/>
          <w:sz w:val="21"/>
          <w:szCs w:val="21"/>
          <w:highlight w:val="none"/>
          <w:lang w:val="en-US" w:eastAsia="zh-CN"/>
        </w:rPr>
        <w:t xml:space="preserve">  0776-2964446</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bookmarkStart w:id="71" w:name="_Toc28058"/>
      <w:bookmarkStart w:id="72" w:name="_Toc28359021"/>
      <w:bookmarkStart w:id="73" w:name="_Toc28359098"/>
      <w:bookmarkStart w:id="74" w:name="_Toc35393639"/>
      <w:bookmarkStart w:id="75" w:name="_Toc35393808"/>
      <w:bookmarkStart w:id="76" w:name="_Toc2996"/>
      <w:r>
        <w:rPr>
          <w:rFonts w:hint="eastAsia" w:ascii="宋体" w:hAnsi="宋体" w:eastAsia="宋体" w:cs="宋体"/>
          <w:color w:val="auto"/>
          <w:sz w:val="21"/>
          <w:szCs w:val="21"/>
          <w:highlight w:val="none"/>
        </w:rPr>
        <w:t>3.项目联系方式</w:t>
      </w:r>
      <w:bookmarkEnd w:id="71"/>
      <w:bookmarkEnd w:id="72"/>
      <w:bookmarkEnd w:id="73"/>
      <w:bookmarkEnd w:id="74"/>
      <w:bookmarkEnd w:id="75"/>
      <w:bookmarkEnd w:id="76"/>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val="en-US" w:eastAsia="zh-CN"/>
        </w:rPr>
        <w:t>黄诚</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话：0776-2964446</w:t>
      </w:r>
    </w:p>
    <w:p>
      <w:pPr>
        <w:pageBreakBefore w:val="0"/>
        <w:widowControl w:val="0"/>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监督部门：</w:t>
      </w:r>
      <w:r>
        <w:rPr>
          <w:rFonts w:hint="eastAsia" w:ascii="宋体" w:hAnsi="宋体" w:cs="宋体"/>
          <w:color w:val="auto"/>
          <w:sz w:val="21"/>
          <w:szCs w:val="21"/>
          <w:highlight w:val="none"/>
          <w:lang w:eastAsia="zh-CN"/>
        </w:rPr>
        <w:t>百色市田阳区政府采购服务中心</w:t>
      </w:r>
      <w:r>
        <w:rPr>
          <w:rFonts w:hint="eastAsia" w:ascii="宋体" w:hAnsi="宋体" w:eastAsia="宋体" w:cs="宋体"/>
          <w:color w:val="auto"/>
          <w:sz w:val="21"/>
          <w:szCs w:val="21"/>
          <w:highlight w:val="none"/>
        </w:rPr>
        <w:t> 电话：</w:t>
      </w:r>
      <w:r>
        <w:rPr>
          <w:rFonts w:hint="eastAsia" w:ascii="宋体" w:hAnsi="宋体" w:cs="宋体"/>
          <w:color w:val="auto"/>
          <w:sz w:val="21"/>
          <w:szCs w:val="21"/>
          <w:highlight w:val="none"/>
          <w:lang w:eastAsia="zh-CN"/>
        </w:rPr>
        <w:t>0776-3280823</w:t>
      </w:r>
    </w:p>
    <w:p>
      <w:pPr>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Arial"/>
          <w:color w:val="auto"/>
          <w:szCs w:val="21"/>
          <w:highlight w:val="none"/>
          <w:lang w:eastAsia="zh-CN"/>
        </w:rPr>
      </w:pPr>
    </w:p>
    <w:p>
      <w:pPr>
        <w:pageBreakBefore w:val="0"/>
        <w:widowControl w:val="0"/>
        <w:kinsoku/>
        <w:wordWrap/>
        <w:overflowPunct/>
        <w:topLinePunct w:val="0"/>
        <w:autoSpaceDE/>
        <w:autoSpaceDN/>
        <w:bidi w:val="0"/>
        <w:adjustRightInd/>
        <w:snapToGrid/>
        <w:spacing w:line="360" w:lineRule="exact"/>
        <w:ind w:left="0" w:leftChars="0" w:firstLine="1680" w:firstLineChars="800"/>
        <w:jc w:val="right"/>
        <w:textAlignment w:val="auto"/>
        <w:rPr>
          <w:rFonts w:hint="eastAsia" w:ascii="宋体" w:hAnsi="宋体" w:cs="Arial"/>
          <w:color w:val="auto"/>
          <w:szCs w:val="21"/>
          <w:highlight w:val="none"/>
        </w:rPr>
      </w:pPr>
      <w:r>
        <w:rPr>
          <w:rFonts w:hint="eastAsia" w:ascii="宋体" w:hAnsi="宋体" w:cs="Arial"/>
          <w:color w:val="auto"/>
          <w:szCs w:val="21"/>
          <w:highlight w:val="none"/>
          <w:lang w:eastAsia="zh-CN"/>
        </w:rPr>
        <w:t>广西壮锦工程管理咨询有限公司</w:t>
      </w:r>
      <w:r>
        <w:rPr>
          <w:rFonts w:hint="eastAsia" w:ascii="宋体" w:hAnsi="宋体" w:cs="Arial"/>
          <w:color w:val="auto"/>
          <w:szCs w:val="21"/>
          <w:highlight w:val="none"/>
        </w:rPr>
        <w:t xml:space="preserve"> </w:t>
      </w:r>
    </w:p>
    <w:p>
      <w:pPr>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olor w:val="0000FF"/>
          <w:szCs w:val="21"/>
          <w:highlight w:val="none"/>
        </w:rPr>
      </w:pPr>
      <w:r>
        <w:rPr>
          <w:rFonts w:hint="eastAsia" w:ascii="宋体" w:hAnsi="宋体"/>
          <w:color w:val="auto"/>
          <w:szCs w:val="21"/>
          <w:highlight w:val="none"/>
        </w:rPr>
        <w:t xml:space="preserve">                                                          </w:t>
      </w:r>
      <w:r>
        <w:rPr>
          <w:rFonts w:hint="eastAsia" w:ascii="宋体" w:hAnsi="宋体"/>
          <w:color w:val="0000FF"/>
          <w:szCs w:val="21"/>
          <w:highlight w:val="none"/>
          <w:lang w:val="en-US" w:eastAsia="zh-CN"/>
        </w:rPr>
        <w:t xml:space="preserve">  </w:t>
      </w:r>
      <w:r>
        <w:rPr>
          <w:rFonts w:hint="eastAsia" w:ascii="宋体" w:hAnsi="宋体"/>
          <w:color w:val="0000FF"/>
          <w:szCs w:val="21"/>
          <w:highlight w:val="none"/>
        </w:rPr>
        <w:t>20</w:t>
      </w:r>
      <w:r>
        <w:rPr>
          <w:rFonts w:hint="eastAsia" w:ascii="宋体" w:hAnsi="宋体"/>
          <w:color w:val="0000FF"/>
          <w:szCs w:val="21"/>
          <w:highlight w:val="none"/>
          <w:lang w:val="en-US" w:eastAsia="zh-CN"/>
        </w:rPr>
        <w:t>20</w:t>
      </w:r>
      <w:r>
        <w:rPr>
          <w:rFonts w:hint="eastAsia" w:ascii="宋体" w:hAnsi="宋体"/>
          <w:color w:val="0000FF"/>
          <w:szCs w:val="21"/>
          <w:highlight w:val="none"/>
        </w:rPr>
        <w:t>年</w:t>
      </w:r>
      <w:r>
        <w:rPr>
          <w:rFonts w:hint="eastAsia" w:ascii="宋体" w:hAnsi="宋体"/>
          <w:color w:val="0000FF"/>
          <w:szCs w:val="21"/>
          <w:highlight w:val="none"/>
          <w:lang w:val="en-US" w:eastAsia="zh-CN"/>
        </w:rPr>
        <w:t>12</w:t>
      </w:r>
      <w:r>
        <w:rPr>
          <w:rFonts w:hint="eastAsia" w:ascii="宋体" w:hAnsi="宋体"/>
          <w:color w:val="0000FF"/>
          <w:szCs w:val="21"/>
          <w:highlight w:val="none"/>
        </w:rPr>
        <w:t>月</w:t>
      </w:r>
      <w:r>
        <w:rPr>
          <w:rFonts w:hint="eastAsia" w:ascii="宋体" w:hAnsi="宋体"/>
          <w:color w:val="0000FF"/>
          <w:szCs w:val="21"/>
          <w:highlight w:val="none"/>
          <w:lang w:val="en-US" w:eastAsia="zh-CN"/>
        </w:rPr>
        <w:t>25</w:t>
      </w:r>
      <w:r>
        <w:rPr>
          <w:rFonts w:hint="eastAsia" w:ascii="宋体" w:hAnsi="宋体"/>
          <w:color w:val="0000FF"/>
          <w:szCs w:val="21"/>
          <w:highlight w:val="none"/>
        </w:rPr>
        <w:t>日</w:t>
      </w:r>
    </w:p>
    <w:p>
      <w:pPr>
        <w:pStyle w:val="4"/>
        <w:numPr>
          <w:ilvl w:val="0"/>
          <w:numId w:val="0"/>
        </w:numPr>
        <w:jc w:val="center"/>
        <w:rPr>
          <w:rFonts w:ascii="宋体" w:hAnsi="宋体"/>
          <w:b/>
          <w:bCs w:val="0"/>
          <w:color w:val="auto"/>
          <w:sz w:val="36"/>
          <w:szCs w:val="36"/>
          <w:highlight w:val="none"/>
        </w:rPr>
      </w:pPr>
      <w:bookmarkStart w:id="77" w:name="_Toc29856"/>
      <w:r>
        <w:rPr>
          <w:rFonts w:hint="eastAsia" w:ascii="宋体" w:hAnsi="宋体"/>
          <w:b/>
          <w:bCs w:val="0"/>
          <w:color w:val="auto"/>
          <w:sz w:val="36"/>
          <w:szCs w:val="36"/>
          <w:highlight w:val="none"/>
          <w:lang w:eastAsia="zh-CN"/>
        </w:rPr>
        <w:t>第一章</w:t>
      </w:r>
      <w:r>
        <w:rPr>
          <w:rFonts w:hint="eastAsia" w:ascii="宋体" w:hAnsi="宋体"/>
          <w:b/>
          <w:bCs w:val="0"/>
          <w:color w:val="auto"/>
          <w:sz w:val="36"/>
          <w:szCs w:val="36"/>
          <w:highlight w:val="none"/>
          <w:lang w:val="en-US" w:eastAsia="zh-CN"/>
        </w:rPr>
        <w:t xml:space="preserve">  </w:t>
      </w:r>
      <w:r>
        <w:rPr>
          <w:rFonts w:hint="eastAsia" w:ascii="宋体" w:hAnsi="宋体"/>
          <w:b/>
          <w:bCs w:val="0"/>
          <w:color w:val="auto"/>
          <w:sz w:val="36"/>
          <w:szCs w:val="36"/>
          <w:highlight w:val="none"/>
        </w:rPr>
        <w:t xml:space="preserve"> 竞标须知前附表</w:t>
      </w:r>
      <w:bookmarkEnd w:id="77"/>
    </w:p>
    <w:p>
      <w:pPr>
        <w:rPr>
          <w:color w:val="auto"/>
          <w:highlight w:val="none"/>
        </w:rPr>
      </w:pPr>
    </w:p>
    <w:tbl>
      <w:tblPr>
        <w:tblStyle w:val="3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904"/>
        <w:gridCol w:w="1825"/>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blHeader/>
        </w:trPr>
        <w:tc>
          <w:tcPr>
            <w:tcW w:w="721" w:type="dxa"/>
            <w:vAlign w:val="center"/>
          </w:tcPr>
          <w:p>
            <w:pPr>
              <w:spacing w:line="300" w:lineRule="exact"/>
              <w:jc w:val="center"/>
              <w:rPr>
                <w:rFonts w:ascii="宋体" w:hAnsi="宋体" w:cs="Courier New"/>
                <w:b/>
                <w:bCs/>
                <w:color w:val="auto"/>
                <w:spacing w:val="2"/>
                <w:szCs w:val="21"/>
                <w:highlight w:val="none"/>
              </w:rPr>
            </w:pPr>
            <w:r>
              <w:rPr>
                <w:rFonts w:hint="eastAsia" w:ascii="宋体" w:hAnsi="宋体" w:cs="Courier New"/>
                <w:b/>
                <w:bCs/>
                <w:color w:val="auto"/>
                <w:spacing w:val="2"/>
                <w:szCs w:val="21"/>
                <w:highlight w:val="none"/>
              </w:rPr>
              <w:t>项号</w:t>
            </w:r>
          </w:p>
        </w:tc>
        <w:tc>
          <w:tcPr>
            <w:tcW w:w="904" w:type="dxa"/>
            <w:vAlign w:val="center"/>
          </w:tcPr>
          <w:p>
            <w:pPr>
              <w:spacing w:line="300" w:lineRule="exact"/>
              <w:jc w:val="center"/>
              <w:rPr>
                <w:rFonts w:ascii="宋体" w:hAnsi="宋体" w:cs="Courier New"/>
                <w:b/>
                <w:bCs/>
                <w:color w:val="auto"/>
                <w:spacing w:val="2"/>
                <w:szCs w:val="21"/>
                <w:highlight w:val="none"/>
              </w:rPr>
            </w:pPr>
            <w:r>
              <w:rPr>
                <w:rFonts w:hint="eastAsia" w:ascii="宋体" w:hAnsi="宋体" w:cs="Courier New"/>
                <w:b/>
                <w:bCs/>
                <w:color w:val="auto"/>
                <w:spacing w:val="2"/>
                <w:szCs w:val="21"/>
                <w:highlight w:val="none"/>
              </w:rPr>
              <w:t>条款号</w:t>
            </w:r>
          </w:p>
        </w:tc>
        <w:tc>
          <w:tcPr>
            <w:tcW w:w="1825" w:type="dxa"/>
            <w:vAlign w:val="center"/>
          </w:tcPr>
          <w:p>
            <w:pPr>
              <w:spacing w:line="300" w:lineRule="exact"/>
              <w:jc w:val="center"/>
              <w:rPr>
                <w:rFonts w:ascii="宋体" w:hAnsi="宋体" w:cs="Courier New"/>
                <w:b/>
                <w:bCs/>
                <w:color w:val="auto"/>
                <w:spacing w:val="2"/>
                <w:szCs w:val="21"/>
                <w:highlight w:val="none"/>
              </w:rPr>
            </w:pPr>
            <w:r>
              <w:rPr>
                <w:rFonts w:hint="eastAsia" w:ascii="宋体" w:hAnsi="宋体" w:cs="Courier New"/>
                <w:b/>
                <w:bCs/>
                <w:color w:val="auto"/>
                <w:spacing w:val="2"/>
                <w:szCs w:val="21"/>
                <w:highlight w:val="none"/>
              </w:rPr>
              <w:t>内容</w:t>
            </w:r>
          </w:p>
        </w:tc>
        <w:tc>
          <w:tcPr>
            <w:tcW w:w="6265" w:type="dxa"/>
            <w:vAlign w:val="center"/>
          </w:tcPr>
          <w:p>
            <w:pPr>
              <w:spacing w:line="300" w:lineRule="exact"/>
              <w:jc w:val="center"/>
              <w:rPr>
                <w:rFonts w:ascii="宋体" w:hAnsi="宋体" w:cs="Courier New"/>
                <w:b/>
                <w:bCs/>
                <w:color w:val="auto"/>
                <w:spacing w:val="2"/>
                <w:szCs w:val="21"/>
                <w:highlight w:val="none"/>
              </w:rPr>
            </w:pPr>
            <w:r>
              <w:rPr>
                <w:rFonts w:hint="eastAsia" w:ascii="宋体" w:hAnsi="宋体" w:cs="Courier New"/>
                <w:b/>
                <w:bCs/>
                <w:color w:val="auto"/>
                <w:spacing w:val="2"/>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w:t>
            </w:r>
          </w:p>
        </w:tc>
        <w:tc>
          <w:tcPr>
            <w:tcW w:w="904" w:type="dxa"/>
            <w:vAlign w:val="center"/>
          </w:tcPr>
          <w:p>
            <w:pPr>
              <w:spacing w:line="440" w:lineRule="exact"/>
              <w:jc w:val="center"/>
              <w:rPr>
                <w:rFonts w:ascii="宋体" w:hAnsi="宋体" w:cs="Courier New"/>
                <w:color w:val="auto"/>
                <w:spacing w:val="2"/>
                <w:szCs w:val="21"/>
                <w:highlight w:val="none"/>
              </w:rPr>
            </w:pPr>
            <w:r>
              <w:rPr>
                <w:rFonts w:ascii="宋体" w:hAnsi="宋体" w:cs="Courier New"/>
                <w:color w:val="auto"/>
                <w:spacing w:val="2"/>
                <w:sz w:val="24"/>
                <w:highlight w:val="none"/>
              </w:rPr>
              <w:t>1.1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项目名称</w:t>
            </w:r>
          </w:p>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项目编号</w:t>
            </w:r>
          </w:p>
        </w:tc>
        <w:tc>
          <w:tcPr>
            <w:tcW w:w="6265" w:type="dxa"/>
          </w:tcPr>
          <w:p>
            <w:pPr>
              <w:spacing w:line="300" w:lineRule="exact"/>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olor w:val="auto"/>
                <w:highlight w:val="none"/>
                <w:lang w:eastAsia="zh-CN"/>
              </w:rPr>
              <w:t>百色市田阳区2020年坡洪镇及五村镇乡村风貌提升基本整治型村庄片区建设工程(2标)</w:t>
            </w:r>
          </w:p>
          <w:p>
            <w:pPr>
              <w:adjustRightInd w:val="0"/>
              <w:snapToGrid w:val="0"/>
              <w:jc w:val="both"/>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Theme="minorEastAsia" w:hAnsiTheme="minorEastAsia" w:eastAsiaTheme="minorEastAsia" w:cstheme="minorEastAsia"/>
                <w:i w:val="0"/>
                <w:caps w:val="0"/>
                <w:color w:val="auto"/>
                <w:spacing w:val="0"/>
                <w:sz w:val="21"/>
                <w:szCs w:val="21"/>
                <w:highlight w:val="none"/>
                <w:shd w:val="clear" w:fill="FFFFFF"/>
                <w:lang w:eastAsia="zh-CN"/>
              </w:rPr>
              <w:t>BSZC2020-J2-210541-ZJGC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2</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2</w:t>
            </w:r>
            <w:r>
              <w:rPr>
                <w:rFonts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建设地点</w:t>
            </w:r>
          </w:p>
        </w:tc>
        <w:tc>
          <w:tcPr>
            <w:tcW w:w="6265" w:type="dxa"/>
            <w:vAlign w:val="center"/>
          </w:tcPr>
          <w:p>
            <w:pPr>
              <w:spacing w:line="300" w:lineRule="exact"/>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田阳区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3</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3</w:t>
            </w:r>
            <w:r>
              <w:rPr>
                <w:rFonts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质量标准</w:t>
            </w:r>
          </w:p>
        </w:tc>
        <w:tc>
          <w:tcPr>
            <w:tcW w:w="6265" w:type="dxa"/>
            <w:vAlign w:val="center"/>
          </w:tcPr>
          <w:p>
            <w:pPr>
              <w:spacing w:line="300" w:lineRule="exact"/>
              <w:rPr>
                <w:rFonts w:ascii="宋体" w:hAnsi="Courier New"/>
                <w:color w:val="auto"/>
                <w:szCs w:val="21"/>
                <w:highlight w:val="none"/>
              </w:rPr>
            </w:pPr>
            <w:r>
              <w:rPr>
                <w:rFonts w:hint="eastAsia" w:ascii="宋体" w:hAnsi="Courier New"/>
                <w:color w:val="auto"/>
                <w:szCs w:val="21"/>
                <w:highlight w:val="none"/>
              </w:rPr>
              <w:t>符合国家现行工程施工质量验收规范合格标准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4</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4</w:t>
            </w:r>
            <w:r>
              <w:rPr>
                <w:rFonts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竞标范围</w:t>
            </w:r>
          </w:p>
        </w:tc>
        <w:tc>
          <w:tcPr>
            <w:tcW w:w="6265" w:type="dxa"/>
            <w:vAlign w:val="center"/>
          </w:tcPr>
          <w:p>
            <w:pPr>
              <w:spacing w:line="300" w:lineRule="exact"/>
              <w:jc w:val="left"/>
              <w:rPr>
                <w:rFonts w:ascii="宋体" w:hAnsi="宋体" w:cs="Courier New"/>
                <w:color w:val="auto"/>
                <w:spacing w:val="2"/>
                <w:szCs w:val="21"/>
                <w:highlight w:val="none"/>
              </w:rPr>
            </w:pPr>
            <w:r>
              <w:rPr>
                <w:rFonts w:hint="eastAsia" w:ascii="宋体" w:hAnsi="宋体" w:cs="Courier New"/>
                <w:color w:val="auto"/>
                <w:spacing w:val="2"/>
                <w:szCs w:val="21"/>
                <w:highlight w:val="none"/>
                <w:lang w:eastAsia="zh-CN"/>
              </w:rPr>
              <w:t>百色市田阳区2020年坡洪镇及五村镇乡村风貌提升基本整治型村庄片区建设工程(2标)</w:t>
            </w:r>
            <w:r>
              <w:rPr>
                <w:rFonts w:hint="eastAsia" w:ascii="宋体" w:hAnsi="宋体" w:cs="Courier New"/>
                <w:color w:val="auto"/>
                <w:spacing w:val="2"/>
                <w:szCs w:val="21"/>
                <w:highlight w:val="none"/>
              </w:rPr>
              <w:t>1项，</w:t>
            </w:r>
            <w:r>
              <w:rPr>
                <w:rFonts w:hint="eastAsia" w:ascii="宋体" w:hAnsi="宋体" w:cs="Courier New"/>
                <w:color w:val="auto"/>
                <w:spacing w:val="2"/>
                <w:szCs w:val="21"/>
                <w:highlight w:val="none"/>
                <w:lang w:eastAsia="zh-CN"/>
              </w:rPr>
              <w:t>该项目涉及五村镇百谷村、雷圩村，坡洪镇坡丹村、新洞村、百合村共5个村16个屯的基本整治建设，建设内容包括新建太阳能路灯、拆除危旧房、道路硬化、完善污水管网</w:t>
            </w:r>
            <w:r>
              <w:rPr>
                <w:rFonts w:hint="eastAsia" w:ascii="宋体" w:hAnsi="宋体" w:cs="Courier New"/>
                <w:color w:val="auto"/>
                <w:spacing w:val="2"/>
                <w:szCs w:val="21"/>
                <w:highlight w:val="none"/>
              </w:rPr>
              <w:t>，本项目具体内容及各项技术指标以该工程项目施工设计图纸及工程量清单为准。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5</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5</w:t>
            </w:r>
            <w:r>
              <w:rPr>
                <w:rFonts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工期要求</w:t>
            </w:r>
          </w:p>
        </w:tc>
        <w:tc>
          <w:tcPr>
            <w:tcW w:w="6265" w:type="dxa"/>
            <w:vAlign w:val="center"/>
          </w:tcPr>
          <w:p>
            <w:pPr>
              <w:spacing w:line="300" w:lineRule="exact"/>
              <w:rPr>
                <w:rFonts w:ascii="宋体" w:hAnsi="Courier New"/>
                <w:color w:val="auto"/>
                <w:szCs w:val="21"/>
                <w:highlight w:val="none"/>
              </w:rPr>
            </w:pPr>
            <w:r>
              <w:rPr>
                <w:rFonts w:hint="eastAsia" w:ascii="宋体" w:hAnsi="宋体"/>
                <w:color w:val="FF0000"/>
                <w:szCs w:val="21"/>
                <w:highlight w:val="none"/>
                <w:u w:val="single"/>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7"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6</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6.1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hAnsi="宋体" w:cs="Courier New"/>
                <w:color w:val="auto"/>
                <w:spacing w:val="2"/>
                <w:szCs w:val="21"/>
                <w:highlight w:val="none"/>
              </w:rPr>
              <w:t>竞标人资格要求</w:t>
            </w:r>
          </w:p>
        </w:tc>
        <w:tc>
          <w:tcPr>
            <w:tcW w:w="6265" w:type="dxa"/>
            <w:vAlign w:val="center"/>
          </w:tcPr>
          <w:p>
            <w:pPr>
              <w:spacing w:line="300" w:lineRule="exact"/>
              <w:jc w:val="left"/>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及节能环保等有关政策。</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3.本项目的特定资格要求：</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3.1具有国内独立法人资格，符合《中华人民共和国政府采购法》的相关规定，具备建筑工程施工或市政公用工程</w:t>
            </w:r>
            <w:r>
              <w:rPr>
                <w:rFonts w:hint="eastAsia" w:ascii="宋体" w:hAnsi="宋体"/>
                <w:color w:val="auto"/>
                <w:szCs w:val="21"/>
                <w:highlight w:val="none"/>
                <w:lang w:eastAsia="zh-CN"/>
              </w:rPr>
              <w:t>施工总承包</w:t>
            </w:r>
            <w:r>
              <w:rPr>
                <w:rFonts w:hint="eastAsia" w:ascii="宋体" w:hAnsi="宋体"/>
                <w:color w:val="auto"/>
                <w:szCs w:val="21"/>
                <w:highlight w:val="none"/>
              </w:rPr>
              <w:t>三级以上（含三级）资质，并在人员、设备、资金等方面具有相应的施工能力的施工单位。</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3.2拟投入本工程的项目经理须具备</w:t>
            </w:r>
            <w:r>
              <w:rPr>
                <w:rFonts w:hint="eastAsia" w:ascii="宋体" w:hAnsi="宋体" w:eastAsia="宋体" w:cs="宋体"/>
                <w:color w:val="auto"/>
                <w:kern w:val="2"/>
                <w:sz w:val="21"/>
                <w:szCs w:val="21"/>
                <w:highlight w:val="none"/>
                <w:lang w:val="en-US" w:eastAsia="zh-CN" w:bidi="ar-SA"/>
              </w:rPr>
              <w:t>建筑工程施工或市政公用工程</w:t>
            </w:r>
            <w:r>
              <w:rPr>
                <w:rFonts w:hint="eastAsia" w:ascii="宋体" w:hAnsi="宋体"/>
                <w:color w:val="auto"/>
                <w:szCs w:val="21"/>
                <w:highlight w:val="none"/>
                <w:lang w:eastAsia="zh-CN"/>
              </w:rPr>
              <w:t>专业贰级</w:t>
            </w:r>
            <w:r>
              <w:rPr>
                <w:rFonts w:hint="eastAsia" w:ascii="宋体" w:hAnsi="宋体"/>
                <w:color w:val="auto"/>
                <w:szCs w:val="21"/>
                <w:highlight w:val="none"/>
              </w:rPr>
              <w:t>（含贰级）以上建造师执业证书，并具备有效的安全生产考核合格证书（B证）。</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3.3已经依法获得采购人和评审专家分别书面推荐并在规定时间内购买竞争性谈判文件的竞标人才有资格参与谈判；</w:t>
            </w:r>
          </w:p>
          <w:p>
            <w:pPr>
              <w:spacing w:line="300" w:lineRule="exact"/>
              <w:jc w:val="left"/>
              <w:rPr>
                <w:rFonts w:hint="eastAsia" w:ascii="宋体" w:hAnsi="宋体"/>
                <w:color w:val="auto"/>
                <w:szCs w:val="21"/>
                <w:highlight w:val="none"/>
              </w:rPr>
            </w:pPr>
            <w:r>
              <w:rPr>
                <w:rFonts w:hint="eastAsia" w:ascii="宋体" w:hAnsi="宋体"/>
                <w:color w:val="auto"/>
                <w:szCs w:val="21"/>
                <w:highlight w:val="none"/>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00" w:lineRule="exact"/>
              <w:jc w:val="left"/>
              <w:rPr>
                <w:rFonts w:ascii="宋体" w:hAnsi="宋体"/>
                <w:color w:val="auto"/>
                <w:szCs w:val="21"/>
                <w:highlight w:val="none"/>
              </w:rPr>
            </w:pPr>
            <w:r>
              <w:rPr>
                <w:rFonts w:hint="eastAsia" w:ascii="宋体" w:hAnsi="宋体"/>
                <w:color w:val="auto"/>
                <w:szCs w:val="21"/>
                <w:highlight w:val="none"/>
              </w:rPr>
              <w:t>3.5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7</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7</w:t>
            </w:r>
            <w:r>
              <w:rPr>
                <w:rFonts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报价方式</w:t>
            </w:r>
          </w:p>
        </w:tc>
        <w:tc>
          <w:tcPr>
            <w:tcW w:w="6265" w:type="dxa"/>
            <w:vAlign w:val="center"/>
          </w:tcPr>
          <w:p>
            <w:pPr>
              <w:pStyle w:val="48"/>
              <w:spacing w:line="300" w:lineRule="exact"/>
              <w:rPr>
                <w:color w:val="auto"/>
                <w:szCs w:val="21"/>
                <w:highlight w:val="none"/>
              </w:rPr>
            </w:pPr>
            <w:r>
              <w:rPr>
                <w:rFonts w:hint="eastAsia" w:hAnsi="宋体"/>
                <w:bCs/>
                <w:color w:val="auto"/>
                <w:szCs w:val="21"/>
                <w:highlight w:val="none"/>
              </w:rPr>
              <w:t>工程量清单报价（</w:t>
            </w:r>
            <w:r>
              <w:rPr>
                <w:rFonts w:hint="eastAsia" w:hAnsi="宋体"/>
                <w:b/>
                <w:bCs/>
                <w:color w:val="auto"/>
                <w:szCs w:val="21"/>
                <w:highlight w:val="none"/>
              </w:rPr>
              <w:t>清单计价法）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8</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8.1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竞标有效期</w:t>
            </w:r>
          </w:p>
        </w:tc>
        <w:tc>
          <w:tcPr>
            <w:tcW w:w="6265" w:type="dxa"/>
            <w:vAlign w:val="center"/>
          </w:tcPr>
          <w:p>
            <w:pPr>
              <w:spacing w:line="3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竞标截止之日后</w:t>
            </w:r>
            <w:r>
              <w:rPr>
                <w:rFonts w:hint="eastAsia" w:ascii="宋体" w:hAnsi="宋体" w:cs="Courier New"/>
                <w:color w:val="auto"/>
                <w:spacing w:val="2"/>
                <w:szCs w:val="21"/>
                <w:highlight w:val="none"/>
                <w:u w:val="single"/>
              </w:rPr>
              <w:t xml:space="preserve"> 60</w:t>
            </w:r>
            <w:r>
              <w:rPr>
                <w:rFonts w:hint="eastAsia" w:ascii="宋体" w:hAnsi="宋体" w:cs="Courier New"/>
                <w:color w:val="auto"/>
                <w:spacing w:val="2"/>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9</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9.1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竞标保证金</w:t>
            </w:r>
          </w:p>
        </w:tc>
        <w:tc>
          <w:tcPr>
            <w:tcW w:w="6265" w:type="dxa"/>
            <w:vAlign w:val="center"/>
          </w:tcPr>
          <w:p>
            <w:pPr>
              <w:widowControl/>
              <w:autoSpaceDE w:val="0"/>
              <w:autoSpaceDN w:val="0"/>
              <w:spacing w:line="320" w:lineRule="exact"/>
              <w:rPr>
                <w:rFonts w:hint="eastAsia" w:ascii="宋体" w:hAnsi="宋体" w:eastAsia="宋体" w:cs="Arial"/>
                <w:bCs/>
                <w:color w:val="auto"/>
                <w:szCs w:val="21"/>
                <w:highlight w:val="none"/>
                <w:lang w:eastAsia="zh-CN"/>
              </w:rPr>
            </w:pPr>
            <w:r>
              <w:rPr>
                <w:rFonts w:hint="eastAsia" w:ascii="宋体" w:hAnsi="宋体" w:cs="Arial"/>
                <w:bCs/>
                <w:color w:val="auto"/>
                <w:szCs w:val="21"/>
                <w:highlight w:val="none"/>
              </w:rPr>
              <w:t>本项目竞标保证金为</w:t>
            </w:r>
            <w:r>
              <w:rPr>
                <w:rFonts w:hint="eastAsia" w:ascii="宋体" w:hAnsi="宋体" w:cs="Arial"/>
                <w:b/>
                <w:bCs w:val="0"/>
                <w:color w:val="auto"/>
                <w:szCs w:val="21"/>
                <w:highlight w:val="none"/>
                <w:u w:val="single"/>
                <w:lang w:eastAsia="zh-CN"/>
              </w:rPr>
              <w:t>人民币壹万元整（￥10000.00）；</w:t>
            </w:r>
          </w:p>
          <w:p>
            <w:pPr>
              <w:widowControl/>
              <w:autoSpaceDE w:val="0"/>
              <w:autoSpaceDN w:val="0"/>
              <w:spacing w:line="320" w:lineRule="exact"/>
              <w:rPr>
                <w:rFonts w:ascii="宋体" w:hAnsi="宋体" w:cs="Arial"/>
                <w:bCs/>
                <w:color w:val="auto"/>
                <w:szCs w:val="21"/>
                <w:highlight w:val="none"/>
              </w:rPr>
            </w:pPr>
            <w:r>
              <w:rPr>
                <w:rFonts w:hint="eastAsia" w:ascii="宋体" w:hAnsi="宋体" w:cs="Arial"/>
                <w:bCs/>
                <w:color w:val="auto"/>
                <w:szCs w:val="21"/>
                <w:highlight w:val="none"/>
              </w:rPr>
              <w:t>竞标人应在竞标截止日期前将竞标保证金从竞标人单位基本账户汇到以下银行账户上：</w:t>
            </w:r>
          </w:p>
          <w:p>
            <w:pPr>
              <w:widowControl/>
              <w:autoSpaceDE w:val="0"/>
              <w:autoSpaceDN w:val="0"/>
              <w:spacing w:line="320" w:lineRule="exact"/>
              <w:rPr>
                <w:rFonts w:hint="eastAsia" w:ascii="宋体" w:hAnsi="宋体" w:cs="Arial"/>
                <w:b/>
                <w:color w:val="auto"/>
                <w:szCs w:val="21"/>
                <w:highlight w:val="none"/>
              </w:rPr>
            </w:pPr>
            <w:r>
              <w:rPr>
                <w:rFonts w:hint="eastAsia" w:ascii="宋体" w:hAnsi="宋体" w:cs="Arial"/>
                <w:b/>
                <w:color w:val="auto"/>
                <w:szCs w:val="21"/>
                <w:highlight w:val="none"/>
              </w:rPr>
              <w:t>开 户 名：广西壮锦工程管理咨询有限公司</w:t>
            </w:r>
          </w:p>
          <w:p>
            <w:pPr>
              <w:widowControl/>
              <w:autoSpaceDE w:val="0"/>
              <w:autoSpaceDN w:val="0"/>
              <w:spacing w:line="320" w:lineRule="exact"/>
              <w:rPr>
                <w:rFonts w:hint="eastAsia" w:ascii="宋体" w:hAnsi="宋体" w:cs="Arial"/>
                <w:b/>
                <w:color w:val="auto"/>
                <w:szCs w:val="21"/>
                <w:highlight w:val="none"/>
              </w:rPr>
            </w:pPr>
            <w:r>
              <w:rPr>
                <w:rFonts w:hint="eastAsia" w:ascii="宋体" w:hAnsi="宋体" w:cs="Arial"/>
                <w:b/>
                <w:color w:val="auto"/>
                <w:szCs w:val="21"/>
                <w:highlight w:val="none"/>
              </w:rPr>
              <w:t>开户银行：广西北部湾银行百色分行营业部</w:t>
            </w:r>
          </w:p>
          <w:p>
            <w:pPr>
              <w:widowControl/>
              <w:autoSpaceDE w:val="0"/>
              <w:autoSpaceDN w:val="0"/>
              <w:spacing w:line="320" w:lineRule="exact"/>
              <w:rPr>
                <w:rFonts w:hint="eastAsia" w:ascii="宋体" w:hAnsi="宋体" w:cs="Arial"/>
                <w:b/>
                <w:color w:val="auto"/>
                <w:szCs w:val="21"/>
                <w:highlight w:val="none"/>
              </w:rPr>
            </w:pPr>
            <w:r>
              <w:rPr>
                <w:rFonts w:hint="eastAsia" w:ascii="宋体" w:hAnsi="宋体" w:cs="Arial"/>
                <w:b/>
                <w:color w:val="auto"/>
                <w:szCs w:val="21"/>
                <w:highlight w:val="none"/>
              </w:rPr>
              <w:t>银行账号：800133911488883</w:t>
            </w:r>
          </w:p>
          <w:p>
            <w:pPr>
              <w:widowControl/>
              <w:autoSpaceDE w:val="0"/>
              <w:autoSpaceDN w:val="0"/>
              <w:spacing w:line="320" w:lineRule="exact"/>
              <w:rPr>
                <w:rFonts w:hint="eastAsia" w:ascii="宋体" w:hAnsi="宋体" w:cs="Arial"/>
                <w:b/>
                <w:color w:val="auto"/>
                <w:szCs w:val="21"/>
                <w:highlight w:val="none"/>
              </w:rPr>
            </w:pPr>
            <w:r>
              <w:rPr>
                <w:rFonts w:hint="eastAsia" w:ascii="宋体" w:hAnsi="宋体" w:cs="Arial"/>
                <w:b/>
                <w:color w:val="auto"/>
                <w:szCs w:val="21"/>
                <w:highlight w:val="none"/>
              </w:rPr>
              <w:t>注：办理投标保证金手续时，请务必在银行转账单或电汇单上注明项目名称或项目编号的竞标保证金。</w:t>
            </w:r>
          </w:p>
          <w:p>
            <w:pPr>
              <w:widowControl/>
              <w:autoSpaceDE w:val="0"/>
              <w:autoSpaceDN w:val="0"/>
              <w:spacing w:line="320" w:lineRule="exact"/>
              <w:rPr>
                <w:rFonts w:ascii="宋体" w:hAnsi="宋体"/>
                <w:b/>
                <w:bCs/>
                <w:color w:val="auto"/>
                <w:highlight w:val="none"/>
              </w:rPr>
            </w:pPr>
            <w:r>
              <w:rPr>
                <w:rFonts w:hint="eastAsia" w:ascii="宋体" w:hAnsi="宋体" w:cs="Arial"/>
                <w:b/>
                <w:color w:val="auto"/>
                <w:szCs w:val="21"/>
                <w:highlight w:val="none"/>
              </w:rPr>
              <w:t>申请退保证所需要材料</w:t>
            </w:r>
            <w:r>
              <w:rPr>
                <w:rFonts w:hint="eastAsia" w:ascii="宋体" w:hAnsi="宋体"/>
                <w:b/>
                <w:bCs/>
                <w:color w:val="auto"/>
                <w:highlight w:val="none"/>
              </w:rPr>
              <w:t>:</w:t>
            </w:r>
          </w:p>
          <w:p>
            <w:pPr>
              <w:snapToGrid w:val="0"/>
              <w:spacing w:line="320" w:lineRule="exact"/>
              <w:rPr>
                <w:rFonts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b/>
                <w:color w:val="auto"/>
                <w:szCs w:val="21"/>
                <w:highlight w:val="none"/>
              </w:rPr>
              <w:t>落标单位：</w:t>
            </w:r>
            <w:r>
              <w:rPr>
                <w:rFonts w:hint="eastAsia" w:ascii="宋体" w:hAnsi="宋体" w:cs="Arial"/>
                <w:color w:val="auto"/>
                <w:szCs w:val="21"/>
                <w:highlight w:val="none"/>
              </w:rPr>
              <w:t>退保函原件，保证金银行底单（到账证明，若有），开户许可证</w:t>
            </w:r>
            <w:r>
              <w:rPr>
                <w:rFonts w:hint="eastAsia" w:ascii="宋体" w:hAnsi="宋体"/>
                <w:color w:val="auto"/>
                <w:sz w:val="24"/>
                <w:highlight w:val="none"/>
              </w:rPr>
              <w:t>（或基本存款账户信息）</w:t>
            </w:r>
            <w:r>
              <w:rPr>
                <w:rFonts w:hint="eastAsia" w:ascii="宋体" w:hAnsi="宋体" w:cs="Arial"/>
                <w:color w:val="auto"/>
                <w:szCs w:val="21"/>
                <w:highlight w:val="none"/>
              </w:rPr>
              <w:t>。</w:t>
            </w:r>
          </w:p>
          <w:p>
            <w:pPr>
              <w:autoSpaceDE w:val="0"/>
              <w:autoSpaceDN w:val="0"/>
              <w:adjustRightInd w:val="0"/>
              <w:snapToGrid w:val="0"/>
              <w:spacing w:line="300" w:lineRule="exact"/>
              <w:jc w:val="left"/>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b/>
                <w:color w:val="auto"/>
                <w:szCs w:val="21"/>
                <w:highlight w:val="none"/>
              </w:rPr>
              <w:t>成交单位：</w:t>
            </w:r>
            <w:r>
              <w:rPr>
                <w:rFonts w:hint="eastAsia" w:ascii="宋体" w:hAnsi="宋体" w:cs="Arial"/>
                <w:color w:val="auto"/>
                <w:szCs w:val="21"/>
                <w:highlight w:val="none"/>
              </w:rPr>
              <w:t>退保函原件，保证金银行底单（到账证明，若有），开户许可证</w:t>
            </w:r>
            <w:r>
              <w:rPr>
                <w:rFonts w:hint="eastAsia" w:ascii="宋体" w:hAnsi="宋体"/>
                <w:color w:val="auto"/>
                <w:sz w:val="24"/>
                <w:highlight w:val="none"/>
              </w:rPr>
              <w:t>（或基本存款账户信息）</w:t>
            </w:r>
            <w:r>
              <w:rPr>
                <w:rFonts w:hint="eastAsia" w:ascii="宋体" w:hAnsi="宋体" w:cs="Arial"/>
                <w:color w:val="auto"/>
                <w:szCs w:val="21"/>
                <w:highlight w:val="none"/>
              </w:rPr>
              <w:t>，合同书。</w:t>
            </w:r>
          </w:p>
          <w:p>
            <w:pPr>
              <w:autoSpaceDE w:val="0"/>
              <w:autoSpaceDN w:val="0"/>
              <w:adjustRightInd w:val="0"/>
              <w:snapToGrid w:val="0"/>
              <w:spacing w:line="300" w:lineRule="exact"/>
              <w:jc w:val="left"/>
              <w:rPr>
                <w:rFonts w:hint="eastAsia" w:ascii="宋体" w:hAnsi="宋体" w:eastAsia="宋体" w:cs="Arial"/>
                <w:color w:val="auto"/>
                <w:szCs w:val="21"/>
                <w:highlight w:val="none"/>
                <w:lang w:eastAsia="zh-CN"/>
              </w:rPr>
            </w:pPr>
            <w:r>
              <w:rPr>
                <w:rFonts w:hint="eastAsia" w:ascii="宋体" w:hAnsi="宋体" w:cs="Arial"/>
                <w:b/>
                <w:bCs/>
                <w:color w:val="auto"/>
                <w:szCs w:val="21"/>
                <w:highlight w:val="none"/>
              </w:rPr>
              <w:t>退保证金财务电话：</w:t>
            </w:r>
            <w:r>
              <w:rPr>
                <w:rFonts w:hint="eastAsia" w:ascii="宋体" w:hAnsi="宋体" w:cs="Arial"/>
                <w:b/>
                <w:bCs/>
                <w:color w:val="auto"/>
                <w:szCs w:val="21"/>
                <w:highlight w:val="none"/>
                <w:lang w:eastAsia="zh-CN"/>
              </w:rPr>
              <w:t>0776-2964446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10</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10</w:t>
            </w:r>
            <w:r>
              <w:rPr>
                <w:rFonts w:ascii="宋体" w:hAnsi="宋体" w:cs="Courier New"/>
                <w:color w:val="auto"/>
                <w:spacing w:val="2"/>
                <w:sz w:val="24"/>
                <w:highlight w:val="none"/>
              </w:rPr>
              <w:t>.</w:t>
            </w:r>
            <w:r>
              <w:rPr>
                <w:rFonts w:hint="eastAsia" w:ascii="宋体" w:hAnsi="宋体" w:cs="Courier New"/>
                <w:color w:val="auto"/>
                <w:spacing w:val="2"/>
                <w:sz w:val="24"/>
                <w:highlight w:val="none"/>
              </w:rPr>
              <w:t>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bCs/>
                <w:color w:val="auto"/>
                <w:spacing w:val="2"/>
                <w:szCs w:val="21"/>
                <w:highlight w:val="none"/>
              </w:rPr>
              <w:t>现场勘查</w:t>
            </w:r>
          </w:p>
        </w:tc>
        <w:tc>
          <w:tcPr>
            <w:tcW w:w="6265" w:type="dxa"/>
            <w:vAlign w:val="center"/>
          </w:tcPr>
          <w:p>
            <w:pPr>
              <w:spacing w:line="300" w:lineRule="exact"/>
              <w:rPr>
                <w:rFonts w:ascii="宋体" w:hAnsi="宋体" w:cs="Courier New"/>
                <w:bCs/>
                <w:color w:val="auto"/>
                <w:spacing w:val="2"/>
                <w:szCs w:val="21"/>
                <w:highlight w:val="none"/>
              </w:rPr>
            </w:pPr>
            <w:r>
              <w:rPr>
                <w:rFonts w:hint="eastAsia" w:ascii="宋体" w:hAnsi="宋体" w:cs="Courier New"/>
                <w:bCs/>
                <w:color w:val="auto"/>
                <w:spacing w:val="2"/>
                <w:szCs w:val="21"/>
                <w:highlight w:val="none"/>
              </w:rPr>
              <w:t>竞标人自行现场勘查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11</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11.1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竞标文件份数</w:t>
            </w:r>
          </w:p>
        </w:tc>
        <w:tc>
          <w:tcPr>
            <w:tcW w:w="6265" w:type="dxa"/>
            <w:vAlign w:val="center"/>
          </w:tcPr>
          <w:p>
            <w:pPr>
              <w:spacing w:line="30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壹份正本，</w:t>
            </w:r>
            <w:r>
              <w:rPr>
                <w:rFonts w:hint="eastAsia" w:ascii="宋体" w:hAnsi="宋体" w:cs="Courier New"/>
                <w:color w:val="auto"/>
                <w:spacing w:val="2"/>
                <w:szCs w:val="21"/>
                <w:highlight w:val="none"/>
                <w:lang w:eastAsia="zh-CN"/>
              </w:rPr>
              <w:t>叁</w:t>
            </w:r>
            <w:r>
              <w:rPr>
                <w:rFonts w:hint="eastAsia" w:ascii="宋体" w:hAnsi="宋体" w:cs="Courier New"/>
                <w:color w:val="auto"/>
                <w:spacing w:val="2"/>
                <w:szCs w:val="21"/>
                <w:highlight w:val="none"/>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12</w:t>
            </w:r>
          </w:p>
        </w:tc>
        <w:tc>
          <w:tcPr>
            <w:tcW w:w="904" w:type="dxa"/>
            <w:vAlign w:val="center"/>
          </w:tcPr>
          <w:p>
            <w:pPr>
              <w:spacing w:line="440" w:lineRule="exact"/>
              <w:jc w:val="center"/>
              <w:rPr>
                <w:rFonts w:ascii="宋体" w:hAnsi="宋体" w:cs="Courier New"/>
                <w:color w:val="auto"/>
                <w:spacing w:val="2"/>
                <w:szCs w:val="21"/>
                <w:highlight w:val="none"/>
              </w:rPr>
            </w:pPr>
            <w:r>
              <w:rPr>
                <w:rFonts w:ascii="宋体" w:hAnsi="宋体" w:cs="Courier New"/>
                <w:color w:val="auto"/>
                <w:spacing w:val="2"/>
                <w:sz w:val="24"/>
                <w:highlight w:val="none"/>
              </w:rPr>
              <w:t>1</w:t>
            </w:r>
            <w:r>
              <w:rPr>
                <w:rFonts w:hint="eastAsia" w:ascii="宋体" w:hAnsi="宋体" w:cs="Courier New"/>
                <w:color w:val="auto"/>
                <w:spacing w:val="2"/>
                <w:sz w:val="24"/>
                <w:highlight w:val="none"/>
              </w:rPr>
              <w:t>2.1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竞标文件提交地点及截止时间</w:t>
            </w:r>
          </w:p>
        </w:tc>
        <w:tc>
          <w:tcPr>
            <w:tcW w:w="6265" w:type="dxa"/>
            <w:vAlign w:val="center"/>
          </w:tcPr>
          <w:p>
            <w:pPr>
              <w:spacing w:line="300" w:lineRule="exact"/>
              <w:rPr>
                <w:rFonts w:hint="eastAsia" w:ascii="宋体" w:hAnsi="宋体" w:eastAsia="宋体"/>
                <w:color w:val="auto"/>
                <w:szCs w:val="21"/>
                <w:highlight w:val="none"/>
                <w:lang w:eastAsia="zh-CN"/>
              </w:rPr>
            </w:pPr>
            <w:r>
              <w:rPr>
                <w:rFonts w:hint="eastAsia" w:ascii="宋体" w:hAnsi="宋体"/>
                <w:color w:val="auto"/>
                <w:szCs w:val="21"/>
                <w:highlight w:val="none"/>
              </w:rPr>
              <w:t>收件人：</w:t>
            </w:r>
            <w:r>
              <w:rPr>
                <w:rFonts w:hint="eastAsia" w:hAnsi="宋体"/>
                <w:color w:val="auto"/>
                <w:highlight w:val="none"/>
                <w:lang w:eastAsia="zh-CN"/>
              </w:rPr>
              <w:t>广西壮锦工程管理咨询有限公司</w:t>
            </w:r>
          </w:p>
          <w:p>
            <w:pPr>
              <w:spacing w:line="30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地点：</w:t>
            </w:r>
            <w:r>
              <w:rPr>
                <w:rFonts w:hint="eastAsia" w:ascii="宋体" w:hAnsi="宋体"/>
                <w:color w:val="auto"/>
                <w:szCs w:val="21"/>
                <w:highlight w:val="none"/>
                <w:lang w:eastAsia="zh-CN"/>
              </w:rPr>
              <w:t>百色市右江区前程路4号长乐星城第一幢10层1006号</w:t>
            </w:r>
          </w:p>
          <w:p>
            <w:pPr>
              <w:spacing w:line="300" w:lineRule="exact"/>
              <w:rPr>
                <w:rFonts w:hint="eastAsia" w:ascii="宋体" w:hAnsi="宋体" w:eastAsia="宋体" w:cs="Courier New"/>
                <w:color w:val="auto"/>
                <w:spacing w:val="2"/>
                <w:szCs w:val="21"/>
                <w:highlight w:val="none"/>
                <w:lang w:eastAsia="zh-CN"/>
              </w:rPr>
            </w:pPr>
            <w:r>
              <w:rPr>
                <w:rFonts w:hint="eastAsia" w:ascii="宋体" w:hAnsi="宋体" w:cs="Courier New"/>
                <w:color w:val="auto"/>
                <w:spacing w:val="2"/>
                <w:szCs w:val="21"/>
                <w:highlight w:val="none"/>
              </w:rPr>
              <w:t>时间：</w:t>
            </w:r>
            <w:r>
              <w:rPr>
                <w:rFonts w:hint="eastAsia" w:ascii="宋体" w:hAnsi="宋体" w:cs="Courier New"/>
                <w:b/>
                <w:bCs/>
                <w:color w:val="auto"/>
                <w:spacing w:val="2"/>
                <w:szCs w:val="21"/>
                <w:highlight w:val="none"/>
                <w:lang w:eastAsia="zh-CN"/>
              </w:rPr>
              <w:t>2021年01月07日11点00分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13</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13.1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color w:val="auto"/>
                <w:szCs w:val="21"/>
                <w:highlight w:val="none"/>
              </w:rPr>
              <w:t>谈判时间及</w:t>
            </w:r>
            <w:r>
              <w:rPr>
                <w:rFonts w:hint="eastAsia" w:ascii="宋体" w:hAnsi="宋体" w:cs="Courier New"/>
                <w:color w:val="auto"/>
                <w:spacing w:val="2"/>
                <w:szCs w:val="21"/>
                <w:highlight w:val="none"/>
              </w:rPr>
              <w:t>谈判地点</w:t>
            </w:r>
          </w:p>
        </w:tc>
        <w:tc>
          <w:tcPr>
            <w:tcW w:w="6265" w:type="dxa"/>
            <w:vAlign w:val="center"/>
          </w:tcPr>
          <w:p>
            <w:pPr>
              <w:spacing w:line="300" w:lineRule="exact"/>
              <w:rPr>
                <w:rFonts w:hint="eastAsia" w:eastAsia="宋体"/>
                <w:color w:val="auto"/>
                <w:szCs w:val="21"/>
                <w:highlight w:val="none"/>
                <w:lang w:eastAsia="zh-CN"/>
              </w:rPr>
            </w:pPr>
            <w:r>
              <w:rPr>
                <w:rFonts w:hint="eastAsia"/>
                <w:color w:val="auto"/>
                <w:szCs w:val="21"/>
                <w:highlight w:val="none"/>
              </w:rPr>
              <w:t>谈判时间：</w:t>
            </w:r>
            <w:r>
              <w:rPr>
                <w:rFonts w:hint="eastAsia"/>
                <w:b/>
                <w:bCs/>
                <w:color w:val="auto"/>
                <w:szCs w:val="21"/>
                <w:highlight w:val="none"/>
                <w:lang w:eastAsia="zh-CN"/>
              </w:rPr>
              <w:t>2021年01月07日11点00分</w:t>
            </w:r>
          </w:p>
          <w:p>
            <w:pPr>
              <w:spacing w:line="300" w:lineRule="exact"/>
              <w:rPr>
                <w:rFonts w:hint="eastAsia" w:ascii="宋体" w:hAnsi="宋体" w:eastAsia="宋体"/>
                <w:color w:val="auto"/>
                <w:kern w:val="0"/>
                <w:szCs w:val="21"/>
                <w:highlight w:val="none"/>
                <w:lang w:eastAsia="zh-CN"/>
              </w:rPr>
            </w:pPr>
            <w:r>
              <w:rPr>
                <w:rFonts w:hint="eastAsia" w:ascii="宋体" w:hAnsi="宋体" w:cs="Courier New"/>
                <w:color w:val="auto"/>
                <w:spacing w:val="2"/>
                <w:szCs w:val="21"/>
                <w:highlight w:val="none"/>
              </w:rPr>
              <w:t>谈判地点：</w:t>
            </w:r>
            <w:r>
              <w:rPr>
                <w:rFonts w:hint="eastAsia" w:ascii="宋体" w:hAnsi="宋体"/>
                <w:color w:val="auto"/>
                <w:szCs w:val="21"/>
                <w:highlight w:val="none"/>
                <w:lang w:eastAsia="zh-CN"/>
              </w:rPr>
              <w:t>百色市右江区前程路4号长乐星城第一幢10层1006号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14</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14.1</w:t>
            </w:r>
          </w:p>
        </w:tc>
        <w:tc>
          <w:tcPr>
            <w:tcW w:w="1825" w:type="dxa"/>
            <w:vAlign w:val="center"/>
          </w:tcPr>
          <w:p>
            <w:pPr>
              <w:spacing w:line="300" w:lineRule="exact"/>
              <w:jc w:val="center"/>
              <w:rPr>
                <w:color w:val="auto"/>
                <w:szCs w:val="21"/>
                <w:highlight w:val="none"/>
              </w:rPr>
            </w:pPr>
            <w:r>
              <w:rPr>
                <w:rFonts w:hint="eastAsia"/>
                <w:color w:val="auto"/>
                <w:szCs w:val="21"/>
                <w:highlight w:val="none"/>
              </w:rPr>
              <w:t>资格审查方式</w:t>
            </w:r>
          </w:p>
        </w:tc>
        <w:tc>
          <w:tcPr>
            <w:tcW w:w="6265" w:type="dxa"/>
            <w:vAlign w:val="center"/>
          </w:tcPr>
          <w:p>
            <w:pPr>
              <w:spacing w:line="300" w:lineRule="exact"/>
              <w:rPr>
                <w:color w:val="auto"/>
                <w:szCs w:val="21"/>
                <w:highlight w:val="none"/>
              </w:rPr>
            </w:pPr>
            <w:r>
              <w:rPr>
                <w:rFonts w:hint="eastAsia"/>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15</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15.1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履约保证金</w:t>
            </w:r>
          </w:p>
        </w:tc>
        <w:tc>
          <w:tcPr>
            <w:tcW w:w="6265" w:type="dxa"/>
            <w:vAlign w:val="center"/>
          </w:tcPr>
          <w:p>
            <w:pPr>
              <w:spacing w:line="300" w:lineRule="exact"/>
              <w:rPr>
                <w:rFonts w:hint="eastAsia" w:ascii="宋体" w:hAnsi="宋体" w:eastAsia="宋体" w:cs="Courier New"/>
                <w:color w:val="auto"/>
                <w:spacing w:val="2"/>
                <w:szCs w:val="21"/>
                <w:highlight w:val="none"/>
                <w:lang w:eastAsia="zh-CN"/>
              </w:rPr>
            </w:pPr>
            <w:r>
              <w:rPr>
                <w:rFonts w:hint="eastAsia" w:ascii="宋体" w:hAnsi="宋体" w:cs="Courier New"/>
                <w:color w:val="auto"/>
                <w:spacing w:val="2"/>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exact"/>
        </w:trPr>
        <w:tc>
          <w:tcPr>
            <w:tcW w:w="721"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16</w:t>
            </w:r>
          </w:p>
        </w:tc>
        <w:tc>
          <w:tcPr>
            <w:tcW w:w="904" w:type="dxa"/>
            <w:vAlign w:val="center"/>
          </w:tcPr>
          <w:p>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 w:val="24"/>
                <w:highlight w:val="none"/>
              </w:rPr>
              <w:t>16.1</w:t>
            </w:r>
          </w:p>
        </w:tc>
        <w:tc>
          <w:tcPr>
            <w:tcW w:w="1825" w:type="dxa"/>
            <w:vAlign w:val="center"/>
          </w:tcPr>
          <w:p>
            <w:pPr>
              <w:spacing w:line="30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代理服务费</w:t>
            </w:r>
          </w:p>
        </w:tc>
        <w:tc>
          <w:tcPr>
            <w:tcW w:w="6265" w:type="dxa"/>
            <w:vAlign w:val="center"/>
          </w:tcPr>
          <w:p>
            <w:pPr>
              <w:spacing w:line="300" w:lineRule="exact"/>
              <w:rPr>
                <w:rFonts w:ascii="宋体"/>
                <w:bCs/>
                <w:color w:val="auto"/>
                <w:highlight w:val="none"/>
              </w:rPr>
            </w:pPr>
            <w:r>
              <w:rPr>
                <w:rFonts w:ascii="宋体"/>
                <w:bCs/>
                <w:color w:val="auto"/>
                <w:highlight w:val="none"/>
              </w:rPr>
              <w:t>①</w:t>
            </w:r>
            <w:r>
              <w:rPr>
                <w:rFonts w:hint="eastAsia" w:ascii="宋体"/>
                <w:bCs/>
                <w:color w:val="auto"/>
                <w:highlight w:val="none"/>
              </w:rPr>
              <w:t>代理服务费按计价格[2002]1980号文件及发改办价格[2003]857号文件规定收取，由成交人在领取通知书时向招标代理机构一次性支付。</w:t>
            </w:r>
            <w:r>
              <w:rPr>
                <w:rFonts w:ascii="宋体"/>
                <w:bCs/>
                <w:color w:val="auto"/>
                <w:highlight w:val="none"/>
              </w:rPr>
              <w:t>②本项目评审专家劳务费标准按照广西区财政厅桂财采〔2017〕15号《关于印发广西壮族自治区政府采购评审专家劳务报酬支付标准暂行规定的通知》文件规定执行。</w:t>
            </w:r>
          </w:p>
        </w:tc>
      </w:tr>
    </w:tbl>
    <w:p>
      <w:pPr>
        <w:pStyle w:val="5"/>
        <w:widowControl/>
        <w:rPr>
          <w:rFonts w:hint="default"/>
          <w:color w:val="auto"/>
          <w:highlight w:val="none"/>
        </w:rPr>
      </w:pPr>
      <w:r>
        <w:rPr>
          <w:rFonts w:hint="default"/>
          <w:color w:val="auto"/>
          <w:highlight w:val="none"/>
        </w:rPr>
        <w:br w:type="page"/>
      </w:r>
      <w:bookmarkStart w:id="78" w:name="_Toc5530"/>
      <w:bookmarkStart w:id="79" w:name="_Toc9820"/>
      <w:r>
        <w:rPr>
          <w:color w:val="auto"/>
          <w:highlight w:val="none"/>
        </w:rPr>
        <w:t>l.项</w:t>
      </w:r>
      <w:r>
        <w:rPr>
          <w:rFonts w:hAnsi="Courier New"/>
          <w:color w:val="auto"/>
          <w:szCs w:val="20"/>
          <w:highlight w:val="none"/>
        </w:rPr>
        <w:t>目</w:t>
      </w:r>
      <w:r>
        <w:rPr>
          <w:color w:val="auto"/>
          <w:highlight w:val="none"/>
        </w:rPr>
        <w:t>说明</w:t>
      </w:r>
      <w:bookmarkEnd w:id="78"/>
      <w:bookmarkEnd w:id="79"/>
    </w:p>
    <w:p>
      <w:pPr>
        <w:spacing w:line="380" w:lineRule="exact"/>
        <w:ind w:firstLine="420" w:firstLineChars="200"/>
        <w:rPr>
          <w:rFonts w:ascii="宋体" w:hAnsi="宋体"/>
          <w:color w:val="auto"/>
          <w:szCs w:val="21"/>
          <w:highlight w:val="none"/>
          <w:u w:val="single"/>
        </w:rPr>
      </w:pPr>
      <w:r>
        <w:rPr>
          <w:rFonts w:ascii="宋体" w:hAnsi="宋体"/>
          <w:color w:val="auto"/>
          <w:szCs w:val="21"/>
          <w:highlight w:val="none"/>
        </w:rPr>
        <w:t>1.1</w:t>
      </w:r>
      <w:r>
        <w:rPr>
          <w:rFonts w:hint="eastAsia" w:ascii="宋体" w:hAnsi="宋体"/>
          <w:color w:val="auto"/>
          <w:szCs w:val="21"/>
          <w:highlight w:val="none"/>
        </w:rPr>
        <w:t xml:space="preserve"> </w:t>
      </w:r>
      <w:r>
        <w:rPr>
          <w:rFonts w:ascii="宋体" w:hAnsi="宋体"/>
          <w:color w:val="auto"/>
          <w:szCs w:val="21"/>
          <w:highlight w:val="none"/>
        </w:rPr>
        <w:t>工程综合说明</w:t>
      </w:r>
      <w:r>
        <w:rPr>
          <w:rFonts w:hint="eastAsia" w:ascii="宋体" w:hAnsi="宋体"/>
          <w:color w:val="auto"/>
          <w:szCs w:val="21"/>
          <w:highlight w:val="none"/>
        </w:rPr>
        <w:t>见竞标须知</w:t>
      </w:r>
      <w:r>
        <w:rPr>
          <w:rFonts w:ascii="宋体" w:hAnsi="宋体"/>
          <w:color w:val="auto"/>
          <w:szCs w:val="21"/>
          <w:highlight w:val="none"/>
        </w:rPr>
        <w:t>“</w:t>
      </w:r>
      <w:r>
        <w:rPr>
          <w:rFonts w:hint="eastAsia" w:ascii="宋体" w:hAnsi="宋体"/>
          <w:color w:val="auto"/>
          <w:szCs w:val="21"/>
          <w:highlight w:val="none"/>
        </w:rPr>
        <w:t>竞标须知</w:t>
      </w:r>
      <w:r>
        <w:rPr>
          <w:rFonts w:ascii="宋体" w:hAnsi="宋体"/>
          <w:color w:val="auto"/>
          <w:szCs w:val="21"/>
          <w:highlight w:val="none"/>
        </w:rPr>
        <w:t>前附表”</w:t>
      </w:r>
      <w:r>
        <w:rPr>
          <w:rFonts w:hint="eastAsia" w:ascii="宋体" w:hAnsi="宋体"/>
          <w:color w:val="auto"/>
          <w:szCs w:val="21"/>
          <w:highlight w:val="none"/>
        </w:rPr>
        <w:t>。</w:t>
      </w:r>
    </w:p>
    <w:p>
      <w:pPr>
        <w:spacing w:line="380" w:lineRule="exact"/>
        <w:ind w:firstLine="435"/>
        <w:rPr>
          <w:rFonts w:ascii="宋体" w:hAnsi="宋体"/>
          <w:color w:val="auto"/>
          <w:szCs w:val="21"/>
          <w:highlight w:val="none"/>
        </w:rPr>
      </w:pPr>
      <w:r>
        <w:rPr>
          <w:rFonts w:ascii="宋体" w:hAnsi="宋体"/>
          <w:color w:val="auto"/>
          <w:szCs w:val="21"/>
          <w:highlight w:val="none"/>
        </w:rPr>
        <w:t>1.2 上述</w:t>
      </w:r>
      <w:r>
        <w:rPr>
          <w:rFonts w:hint="eastAsia" w:ascii="宋体" w:hAnsi="宋体"/>
          <w:color w:val="auto"/>
          <w:szCs w:val="21"/>
          <w:highlight w:val="none"/>
        </w:rPr>
        <w:t>工程</w:t>
      </w:r>
      <w:r>
        <w:rPr>
          <w:rFonts w:ascii="宋体" w:hAnsi="宋体"/>
          <w:color w:val="auto"/>
          <w:szCs w:val="21"/>
          <w:highlight w:val="none"/>
        </w:rPr>
        <w:t>按照《</w:t>
      </w:r>
      <w:r>
        <w:rPr>
          <w:rFonts w:ascii="宋体" w:hAnsi="宋体"/>
          <w:color w:val="auto"/>
          <w:highlight w:val="none"/>
        </w:rPr>
        <w:t>中华人民共和国政府采购法</w:t>
      </w:r>
      <w:r>
        <w:rPr>
          <w:rFonts w:ascii="宋体" w:hAnsi="宋体"/>
          <w:color w:val="auto"/>
          <w:szCs w:val="21"/>
          <w:highlight w:val="none"/>
        </w:rPr>
        <w:t>》</w:t>
      </w:r>
      <w:r>
        <w:rPr>
          <w:rFonts w:hint="eastAsia" w:ascii="宋体" w:hAnsi="宋体"/>
          <w:color w:val="auto"/>
          <w:szCs w:val="21"/>
          <w:highlight w:val="none"/>
        </w:rPr>
        <w:t>、</w:t>
      </w:r>
      <w:r>
        <w:rPr>
          <w:rFonts w:hint="eastAsia" w:ascii="宋体" w:hAnsi="Courier New"/>
          <w:color w:val="auto"/>
          <w:szCs w:val="21"/>
          <w:highlight w:val="none"/>
        </w:rPr>
        <w:t>及《中华人民共和国招标投标法》</w:t>
      </w:r>
      <w:r>
        <w:rPr>
          <w:rFonts w:ascii="宋体" w:hAnsi="宋体"/>
          <w:color w:val="auto"/>
          <w:szCs w:val="21"/>
          <w:highlight w:val="none"/>
        </w:rPr>
        <w:t>以及有关法律、法规和规章，现通过</w:t>
      </w:r>
      <w:r>
        <w:rPr>
          <w:rFonts w:hint="eastAsia" w:ascii="宋体" w:hAnsi="宋体"/>
          <w:color w:val="auto"/>
          <w:szCs w:val="21"/>
          <w:highlight w:val="none"/>
        </w:rPr>
        <w:t>竞争性谈判采购方式</w:t>
      </w:r>
      <w:r>
        <w:rPr>
          <w:rFonts w:ascii="宋体" w:hAnsi="宋体"/>
          <w:color w:val="auto"/>
          <w:szCs w:val="21"/>
          <w:highlight w:val="none"/>
        </w:rPr>
        <w:t>来择优选定施工单位。</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 竞标人资格要求：符合竞标须知前附表规定。</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rPr>
        <w:t>1.4 本项目不接受联合体进行竞标。</w:t>
      </w:r>
    </w:p>
    <w:p>
      <w:pPr>
        <w:pStyle w:val="5"/>
        <w:rPr>
          <w:rFonts w:hint="default"/>
          <w:color w:val="auto"/>
          <w:highlight w:val="none"/>
        </w:rPr>
      </w:pPr>
      <w:bookmarkStart w:id="80" w:name="_Toc24335"/>
      <w:bookmarkStart w:id="81" w:name="_Toc19198"/>
      <w:r>
        <w:rPr>
          <w:color w:val="auto"/>
          <w:highlight w:val="none"/>
        </w:rPr>
        <w:t>2.资金情况</w:t>
      </w:r>
      <w:bookmarkEnd w:id="80"/>
      <w:bookmarkEnd w:id="81"/>
    </w:p>
    <w:p>
      <w:pPr>
        <w:spacing w:line="38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2.1资金来源：</w:t>
      </w:r>
      <w:r>
        <w:rPr>
          <w:rFonts w:hint="eastAsia" w:ascii="宋体" w:hAnsi="宋体" w:cs="Courier New"/>
          <w:color w:val="auto"/>
          <w:spacing w:val="2"/>
          <w:highlight w:val="none"/>
          <w:lang w:eastAsia="zh-CN"/>
        </w:rPr>
        <w:t>上级补助资金及本级财政补助资金</w:t>
      </w:r>
      <w:r>
        <w:rPr>
          <w:rFonts w:hint="eastAsia" w:ascii="宋体" w:hAnsi="宋体" w:cs="Courier New"/>
          <w:color w:val="auto"/>
          <w:spacing w:val="2"/>
          <w:highlight w:val="none"/>
        </w:rPr>
        <w:t>。</w:t>
      </w:r>
    </w:p>
    <w:p>
      <w:pPr>
        <w:spacing w:line="38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2.2资金到位及落实情况：已落实。</w:t>
      </w:r>
    </w:p>
    <w:p>
      <w:pPr>
        <w:pStyle w:val="5"/>
        <w:rPr>
          <w:rFonts w:hint="default"/>
          <w:color w:val="auto"/>
          <w:highlight w:val="none"/>
        </w:rPr>
      </w:pPr>
      <w:bookmarkStart w:id="82" w:name="_Toc27335"/>
      <w:bookmarkStart w:id="83" w:name="_Toc6611"/>
      <w:r>
        <w:rPr>
          <w:color w:val="auto"/>
          <w:highlight w:val="none"/>
        </w:rPr>
        <w:t>3.竞标费用</w:t>
      </w:r>
      <w:bookmarkEnd w:id="82"/>
      <w:bookmarkEnd w:id="83"/>
    </w:p>
    <w:p>
      <w:pPr>
        <w:pStyle w:val="14"/>
        <w:spacing w:line="380" w:lineRule="exact"/>
        <w:ind w:firstLine="417" w:firstLineChars="195"/>
        <w:rPr>
          <w:color w:val="auto"/>
          <w:highlight w:val="none"/>
        </w:rPr>
      </w:pPr>
      <w:r>
        <w:rPr>
          <w:rFonts w:hint="eastAsia"/>
          <w:color w:val="auto"/>
          <w:highlight w:val="none"/>
        </w:rPr>
        <w:t>竞标人准备和参加竞标活动所发生的一切费用自理，不管竞标结果如何，采购人及采购代理机构对上述费用不承担任何责任。</w:t>
      </w:r>
    </w:p>
    <w:p>
      <w:pPr>
        <w:pStyle w:val="5"/>
        <w:rPr>
          <w:rFonts w:hint="default"/>
          <w:color w:val="auto"/>
          <w:highlight w:val="none"/>
        </w:rPr>
      </w:pPr>
      <w:bookmarkStart w:id="84" w:name="_Toc28687"/>
      <w:bookmarkStart w:id="85" w:name="_Toc28874"/>
      <w:r>
        <w:rPr>
          <w:color w:val="auto"/>
          <w:highlight w:val="none"/>
        </w:rPr>
        <w:t>4.竞争性谈判文件的组成</w:t>
      </w:r>
      <w:bookmarkEnd w:id="84"/>
      <w:bookmarkEnd w:id="85"/>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rPr>
        <w:t>4.1 竞争性谈判文件包括下列内容：</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竞标公告</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一</w:t>
      </w:r>
      <w:r>
        <w:rPr>
          <w:rFonts w:hint="eastAsia" w:ascii="宋体" w:hAnsi="宋体" w:cs="Courier New"/>
          <w:bCs/>
          <w:color w:val="auto"/>
          <w:spacing w:val="2"/>
          <w:highlight w:val="none"/>
        </w:rPr>
        <w:t>章 竞标须知</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rPr>
        <w:t>第</w:t>
      </w:r>
      <w:r>
        <w:rPr>
          <w:rFonts w:hint="eastAsia" w:ascii="宋体" w:hAnsi="宋体" w:cs="Courier New"/>
          <w:color w:val="auto"/>
          <w:spacing w:val="2"/>
          <w:highlight w:val="none"/>
          <w:lang w:eastAsia="zh-CN"/>
        </w:rPr>
        <w:t>二</w:t>
      </w:r>
      <w:r>
        <w:rPr>
          <w:rFonts w:hint="eastAsia" w:ascii="宋体" w:hAnsi="宋体" w:cs="Courier New"/>
          <w:color w:val="auto"/>
          <w:spacing w:val="2"/>
          <w:highlight w:val="none"/>
        </w:rPr>
        <w:t xml:space="preserve">章 </w:t>
      </w:r>
      <w:r>
        <w:rPr>
          <w:rFonts w:hint="eastAsia" w:ascii="宋体" w:hAnsi="宋体" w:cs="Courier New"/>
          <w:bCs/>
          <w:color w:val="auto"/>
          <w:spacing w:val="2"/>
          <w:highlight w:val="none"/>
        </w:rPr>
        <w:t>合同格式</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三</w:t>
      </w:r>
      <w:r>
        <w:rPr>
          <w:rFonts w:hint="eastAsia" w:ascii="宋体" w:hAnsi="宋体" w:cs="Courier New"/>
          <w:bCs/>
          <w:color w:val="auto"/>
          <w:spacing w:val="2"/>
          <w:highlight w:val="none"/>
        </w:rPr>
        <w:t xml:space="preserve">章 </w:t>
      </w:r>
      <w:r>
        <w:rPr>
          <w:rFonts w:hint="eastAsia" w:ascii="宋体" w:hAnsi="宋体" w:cs="Courier New"/>
          <w:color w:val="auto"/>
          <w:spacing w:val="2"/>
          <w:highlight w:val="none"/>
        </w:rPr>
        <w:t>图纸及工程量清单</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四</w:t>
      </w:r>
      <w:r>
        <w:rPr>
          <w:rFonts w:hint="eastAsia" w:ascii="宋体" w:hAnsi="宋体" w:cs="Courier New"/>
          <w:bCs/>
          <w:color w:val="auto"/>
          <w:spacing w:val="2"/>
          <w:highlight w:val="none"/>
        </w:rPr>
        <w:t>章 技术规范</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五</w:t>
      </w:r>
      <w:r>
        <w:rPr>
          <w:rFonts w:hint="eastAsia" w:ascii="宋体" w:hAnsi="宋体" w:cs="Courier New"/>
          <w:bCs/>
          <w:color w:val="auto"/>
          <w:spacing w:val="2"/>
          <w:highlight w:val="none"/>
        </w:rPr>
        <w:t xml:space="preserve">章 </w:t>
      </w:r>
      <w:r>
        <w:rPr>
          <w:rFonts w:hint="eastAsia" w:ascii="宋体" w:hAnsi="宋体" w:cs="Courier New"/>
          <w:color w:val="auto"/>
          <w:spacing w:val="2"/>
          <w:highlight w:val="none"/>
        </w:rPr>
        <w:t>工程量清单报价说明</w:t>
      </w:r>
    </w:p>
    <w:p>
      <w:pPr>
        <w:spacing w:line="380" w:lineRule="exact"/>
        <w:ind w:firstLine="428" w:firstLineChars="200"/>
        <w:rPr>
          <w:rFonts w:ascii="宋体" w:hAnsi="宋体" w:cs="Courier New"/>
          <w:bCs/>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六</w:t>
      </w:r>
      <w:r>
        <w:rPr>
          <w:rFonts w:hint="eastAsia" w:ascii="宋体" w:hAnsi="宋体" w:cs="Courier New"/>
          <w:bCs/>
          <w:color w:val="auto"/>
          <w:spacing w:val="2"/>
          <w:highlight w:val="none"/>
        </w:rPr>
        <w:t>章 竞标文件格式</w:t>
      </w:r>
    </w:p>
    <w:p>
      <w:pPr>
        <w:spacing w:line="380" w:lineRule="exact"/>
        <w:ind w:firstLine="428" w:firstLineChars="200"/>
        <w:rPr>
          <w:rFonts w:ascii="宋体" w:hAnsi="宋体" w:cs="Courier New"/>
          <w:color w:val="auto"/>
          <w:spacing w:val="2"/>
          <w:highlight w:val="none"/>
        </w:rPr>
      </w:pPr>
      <w:r>
        <w:rPr>
          <w:rFonts w:hint="eastAsia" w:ascii="宋体" w:hAnsi="宋体" w:cs="Courier New"/>
          <w:bCs/>
          <w:color w:val="auto"/>
          <w:spacing w:val="2"/>
          <w:highlight w:val="none"/>
        </w:rPr>
        <w:t>第</w:t>
      </w:r>
      <w:r>
        <w:rPr>
          <w:rFonts w:hint="eastAsia" w:ascii="宋体" w:hAnsi="宋体" w:cs="Courier New"/>
          <w:bCs/>
          <w:color w:val="auto"/>
          <w:spacing w:val="2"/>
          <w:highlight w:val="none"/>
          <w:lang w:eastAsia="zh-CN"/>
        </w:rPr>
        <w:t>七</w:t>
      </w:r>
      <w:r>
        <w:rPr>
          <w:rFonts w:hint="eastAsia" w:ascii="宋体" w:hAnsi="宋体" w:cs="Courier New"/>
          <w:bCs/>
          <w:color w:val="auto"/>
          <w:spacing w:val="2"/>
          <w:highlight w:val="none"/>
        </w:rPr>
        <w:t xml:space="preserve">章 </w:t>
      </w:r>
      <w:r>
        <w:rPr>
          <w:rFonts w:hint="eastAsia" w:ascii="宋体" w:hAnsi="宋体" w:cs="Courier New"/>
          <w:color w:val="auto"/>
          <w:spacing w:val="2"/>
          <w:highlight w:val="none"/>
        </w:rPr>
        <w:t>谈判办法</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rPr>
        <w:t>根据本章第5条、第6条对竞争性谈判文件所作的澄清、修改，构成竞争性谈判文件组成部分。</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rPr>
        <w:t>4.2</w:t>
      </w:r>
      <w:r>
        <w:rPr>
          <w:rFonts w:ascii="宋体" w:hAnsi="宋体" w:cs="Courier New"/>
          <w:color w:val="auto"/>
          <w:spacing w:val="2"/>
          <w:highlight w:val="none"/>
        </w:rPr>
        <w:t xml:space="preserve"> </w:t>
      </w:r>
      <w:r>
        <w:rPr>
          <w:rFonts w:hint="eastAsia" w:ascii="宋体" w:hAnsi="宋体" w:cs="Courier New"/>
          <w:color w:val="auto"/>
          <w:spacing w:val="2"/>
          <w:highlight w:val="none"/>
        </w:rPr>
        <w:t>竞标人应认真审阅竞争性谈判文件中所有的竞标须知、合同格式、技术规范和图纸。如果竞标人编制的竞标文件不符合竞争性谈判文件的要求，实质上不响应竞争性谈判文件要求的竞标文件，将作无效竞标处理。</w:t>
      </w:r>
    </w:p>
    <w:p>
      <w:pPr>
        <w:pStyle w:val="5"/>
        <w:rPr>
          <w:rFonts w:hint="default"/>
          <w:color w:val="auto"/>
          <w:highlight w:val="none"/>
        </w:rPr>
      </w:pPr>
      <w:bookmarkStart w:id="86" w:name="_Toc17242"/>
      <w:bookmarkStart w:id="87" w:name="_Toc13808"/>
      <w:r>
        <w:rPr>
          <w:color w:val="auto"/>
          <w:highlight w:val="none"/>
        </w:rPr>
        <w:t>5.竞争性谈判文件的解释</w:t>
      </w:r>
      <w:bookmarkEnd w:id="86"/>
      <w:bookmarkEnd w:id="87"/>
    </w:p>
    <w:p>
      <w:pPr>
        <w:spacing w:line="380" w:lineRule="exact"/>
        <w:ind w:firstLine="420" w:firstLineChars="200"/>
        <w:rPr>
          <w:rFonts w:ascii="宋体" w:hAnsi="宋体" w:cs="Courier New"/>
          <w:color w:val="auto"/>
          <w:spacing w:val="2"/>
          <w:highlight w:val="none"/>
        </w:rPr>
      </w:pPr>
      <w:r>
        <w:rPr>
          <w:rFonts w:hint="eastAsia" w:ascii="宋体" w:hAnsi="宋体"/>
          <w:color w:val="auto"/>
          <w:szCs w:val="21"/>
          <w:highlight w:val="none"/>
        </w:rPr>
        <w:t>竞标人</w:t>
      </w:r>
      <w:r>
        <w:rPr>
          <w:rFonts w:ascii="宋体" w:hAnsi="宋体"/>
          <w:color w:val="auto"/>
          <w:szCs w:val="21"/>
          <w:highlight w:val="none"/>
        </w:rPr>
        <w:t>在收到</w:t>
      </w:r>
      <w:r>
        <w:rPr>
          <w:rFonts w:hint="eastAsia" w:ascii="宋体" w:hAnsi="宋体"/>
          <w:color w:val="auto"/>
          <w:szCs w:val="21"/>
          <w:highlight w:val="none"/>
        </w:rPr>
        <w:t>竞争性谈判文件</w:t>
      </w:r>
      <w:r>
        <w:rPr>
          <w:rFonts w:ascii="宋体" w:hAnsi="宋体"/>
          <w:color w:val="auto"/>
          <w:szCs w:val="21"/>
          <w:highlight w:val="none"/>
        </w:rPr>
        <w:t>后，若有问题需要澄清，应于</w:t>
      </w:r>
      <w:r>
        <w:rPr>
          <w:rFonts w:hint="eastAsia" w:ascii="宋体" w:hAnsi="宋体"/>
          <w:color w:val="auto"/>
          <w:szCs w:val="21"/>
          <w:highlight w:val="none"/>
        </w:rPr>
        <w:t>获取竞争性谈判文件后</w:t>
      </w:r>
      <w:r>
        <w:rPr>
          <w:rFonts w:ascii="宋体" w:hAnsi="宋体"/>
          <w:color w:val="auto"/>
          <w:szCs w:val="21"/>
          <w:highlight w:val="none"/>
          <w:u w:val="single"/>
        </w:rPr>
        <w:t xml:space="preserve"> </w:t>
      </w:r>
      <w:r>
        <w:rPr>
          <w:rFonts w:hint="eastAsia" w:ascii="宋体" w:hAnsi="宋体"/>
          <w:color w:val="auto"/>
          <w:szCs w:val="21"/>
          <w:highlight w:val="none"/>
          <w:u w:val="single"/>
        </w:rPr>
        <w:t>1</w:t>
      </w:r>
      <w:r>
        <w:rPr>
          <w:rFonts w:hint="eastAsia" w:ascii="宋体" w:hAnsi="宋体"/>
          <w:color w:val="auto"/>
          <w:szCs w:val="21"/>
          <w:highlight w:val="none"/>
        </w:rPr>
        <w:t>日</w:t>
      </w:r>
      <w:r>
        <w:rPr>
          <w:rFonts w:ascii="宋体" w:hAnsi="宋体"/>
          <w:color w:val="auto"/>
          <w:szCs w:val="21"/>
          <w:highlight w:val="none"/>
        </w:rPr>
        <w:t>内，以书面形式（包括书面文字、电传、传真、电报等，下同）向</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或采购代理机构</w:t>
      </w:r>
      <w:r>
        <w:rPr>
          <w:rFonts w:ascii="宋体" w:hAnsi="宋体"/>
          <w:color w:val="auto"/>
          <w:szCs w:val="21"/>
          <w:highlight w:val="none"/>
        </w:rPr>
        <w:t>提出，</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或采购代理机构</w:t>
      </w:r>
      <w:r>
        <w:rPr>
          <w:rFonts w:ascii="宋体" w:hAnsi="宋体"/>
          <w:color w:val="auto"/>
          <w:szCs w:val="21"/>
          <w:highlight w:val="none"/>
        </w:rPr>
        <w:t>将以书面形式予以解答，答复将送</w:t>
      </w:r>
      <w:r>
        <w:rPr>
          <w:rFonts w:hint="eastAsia" w:ascii="宋体" w:hAnsi="宋体"/>
          <w:color w:val="auto"/>
          <w:szCs w:val="21"/>
          <w:highlight w:val="none"/>
        </w:rPr>
        <w:t>达</w:t>
      </w:r>
      <w:r>
        <w:rPr>
          <w:rFonts w:ascii="宋体" w:hAnsi="宋体"/>
          <w:color w:val="auto"/>
          <w:szCs w:val="21"/>
          <w:highlight w:val="none"/>
        </w:rPr>
        <w:t>所有获得</w:t>
      </w:r>
      <w:r>
        <w:rPr>
          <w:rFonts w:hint="eastAsia" w:ascii="宋体" w:hAnsi="宋体"/>
          <w:color w:val="auto"/>
          <w:szCs w:val="21"/>
          <w:highlight w:val="none"/>
        </w:rPr>
        <w:t>竞争性谈判文件</w:t>
      </w:r>
      <w:r>
        <w:rPr>
          <w:rFonts w:ascii="宋体" w:hAnsi="宋体"/>
          <w:color w:val="auto"/>
          <w:szCs w:val="21"/>
          <w:highlight w:val="none"/>
        </w:rPr>
        <w:t>的</w:t>
      </w:r>
      <w:r>
        <w:rPr>
          <w:rFonts w:hint="eastAsia" w:ascii="宋体" w:hAnsi="宋体"/>
          <w:color w:val="auto"/>
          <w:szCs w:val="21"/>
          <w:highlight w:val="none"/>
        </w:rPr>
        <w:t>竞标人</w:t>
      </w:r>
      <w:r>
        <w:rPr>
          <w:rFonts w:ascii="宋体" w:hAnsi="宋体"/>
          <w:color w:val="auto"/>
          <w:szCs w:val="21"/>
          <w:highlight w:val="none"/>
        </w:rPr>
        <w:t>。</w:t>
      </w:r>
    </w:p>
    <w:p>
      <w:pPr>
        <w:pStyle w:val="5"/>
        <w:rPr>
          <w:rFonts w:hint="default"/>
          <w:color w:val="auto"/>
          <w:highlight w:val="none"/>
        </w:rPr>
      </w:pPr>
      <w:bookmarkStart w:id="88" w:name="_Toc13823"/>
      <w:bookmarkStart w:id="89" w:name="_Toc8146"/>
      <w:r>
        <w:rPr>
          <w:color w:val="auto"/>
          <w:highlight w:val="none"/>
        </w:rPr>
        <w:t>6.竞争性谈判文件的修改</w:t>
      </w:r>
      <w:bookmarkEnd w:id="88"/>
      <w:bookmarkEnd w:id="89"/>
    </w:p>
    <w:p>
      <w:pPr>
        <w:spacing w:line="380" w:lineRule="exact"/>
        <w:ind w:firstLine="214" w:firstLineChars="100"/>
        <w:rPr>
          <w:rFonts w:ascii="宋体" w:hAnsi="宋体" w:cs="Courier New"/>
          <w:color w:val="auto"/>
          <w:spacing w:val="2"/>
          <w:highlight w:val="none"/>
        </w:rPr>
      </w:pPr>
      <w:r>
        <w:rPr>
          <w:rFonts w:hint="eastAsia" w:ascii="宋体" w:hAnsi="宋体" w:cs="Courier New"/>
          <w:color w:val="auto"/>
          <w:spacing w:val="2"/>
          <w:highlight w:val="none"/>
        </w:rPr>
        <w:t xml:space="preserve">  6</w:t>
      </w:r>
      <w:r>
        <w:rPr>
          <w:rFonts w:ascii="宋体" w:hAnsi="宋体" w:cs="Courier New"/>
          <w:color w:val="auto"/>
          <w:spacing w:val="2"/>
          <w:highlight w:val="none"/>
        </w:rPr>
        <w:t>.</w:t>
      </w:r>
      <w:r>
        <w:rPr>
          <w:rFonts w:hint="eastAsia" w:ascii="宋体" w:hAnsi="宋体" w:cs="Courier New"/>
          <w:color w:val="auto"/>
          <w:spacing w:val="2"/>
          <w:highlight w:val="none"/>
        </w:rPr>
        <w:t>1</w:t>
      </w:r>
      <w:r>
        <w:rPr>
          <w:rFonts w:ascii="宋体" w:hAnsi="宋体" w:cs="Courier New"/>
          <w:color w:val="auto"/>
          <w:spacing w:val="2"/>
          <w:highlight w:val="none"/>
        </w:rPr>
        <w:t xml:space="preserve"> </w:t>
      </w:r>
      <w:r>
        <w:rPr>
          <w:rFonts w:hint="eastAsia" w:ascii="宋体" w:hAnsi="宋体" w:cs="Courier New"/>
          <w:color w:val="auto"/>
          <w:spacing w:val="2"/>
          <w:highlight w:val="none"/>
        </w:rPr>
        <w:t>采购人或采购代理机构对已发出的竞争性谈判文件进行必要澄清或者修改的，须在竞标截止时间</w:t>
      </w:r>
      <w:r>
        <w:rPr>
          <w:rFonts w:hint="eastAsia" w:ascii="宋体" w:hAnsi="宋体" w:cs="Courier New"/>
          <w:color w:val="auto"/>
          <w:spacing w:val="2"/>
          <w:highlight w:val="none"/>
          <w:u w:val="single"/>
        </w:rPr>
        <w:t xml:space="preserve"> 1 </w:t>
      </w:r>
      <w:r>
        <w:rPr>
          <w:rFonts w:hint="eastAsia" w:ascii="宋体" w:hAnsi="宋体" w:cs="Courier New"/>
          <w:color w:val="auto"/>
          <w:spacing w:val="2"/>
          <w:highlight w:val="none"/>
        </w:rPr>
        <w:t>日前，在信息发布媒体上发布，网址：</w:t>
      </w:r>
      <w:r>
        <w:rPr>
          <w:rFonts w:hint="eastAsia"/>
          <w:color w:val="auto"/>
          <w:highlight w:val="none"/>
        </w:rPr>
        <w:t>中国政府采购网</w:t>
      </w:r>
      <w:r>
        <w:rPr>
          <w:color w:val="auto"/>
          <w:highlight w:val="none"/>
        </w:rPr>
        <w:t>http://www.ccgp.gov.cn</w:t>
      </w:r>
      <w:r>
        <w:rPr>
          <w:rFonts w:hint="eastAsia"/>
          <w:color w:val="auto"/>
          <w:highlight w:val="none"/>
        </w:rPr>
        <w:t>、广西壮族自治区政府采购网http://zfcg.gxzf.gov.cn/</w:t>
      </w:r>
      <w:r>
        <w:rPr>
          <w:rFonts w:hint="eastAsia" w:ascii="宋体" w:hAnsi="宋体" w:cs="Courier New"/>
          <w:color w:val="auto"/>
          <w:spacing w:val="2"/>
          <w:highlight w:val="none"/>
        </w:rPr>
        <w:t>，所有竞争性谈判文件的收受人自行查看。该澄清或者修改内容做为竞争性谈判文件的组成部分，</w:t>
      </w:r>
      <w:r>
        <w:rPr>
          <w:rFonts w:ascii="宋体" w:hAnsi="宋体"/>
          <w:color w:val="auto"/>
          <w:szCs w:val="21"/>
          <w:highlight w:val="none"/>
        </w:rPr>
        <w:t>对</w:t>
      </w:r>
      <w:r>
        <w:rPr>
          <w:rFonts w:hint="eastAsia" w:ascii="宋体" w:hAnsi="宋体"/>
          <w:color w:val="auto"/>
          <w:szCs w:val="21"/>
          <w:highlight w:val="none"/>
        </w:rPr>
        <w:t>竞标人</w:t>
      </w:r>
      <w:r>
        <w:rPr>
          <w:rFonts w:ascii="宋体" w:hAnsi="宋体"/>
          <w:color w:val="auto"/>
          <w:szCs w:val="21"/>
          <w:highlight w:val="none"/>
        </w:rPr>
        <w:t>起约束作用。</w:t>
      </w:r>
    </w:p>
    <w:p>
      <w:pPr>
        <w:spacing w:line="380" w:lineRule="exact"/>
        <w:ind w:firstLine="420" w:firstLineChars="200"/>
        <w:rPr>
          <w:rFonts w:ascii="宋体" w:hAnsi="宋体" w:cs="Courier New"/>
          <w:color w:val="auto"/>
          <w:spacing w:val="2"/>
          <w:highlight w:val="none"/>
        </w:rPr>
      </w:pPr>
      <w:r>
        <w:rPr>
          <w:rFonts w:hint="eastAsia" w:ascii="宋体" w:hAnsi="宋体"/>
          <w:color w:val="auto"/>
          <w:szCs w:val="21"/>
          <w:highlight w:val="none"/>
        </w:rPr>
        <w:t xml:space="preserve">6.2 </w:t>
      </w:r>
      <w:r>
        <w:rPr>
          <w:rFonts w:ascii="宋体" w:hAnsi="宋体"/>
          <w:color w:val="auto"/>
          <w:szCs w:val="21"/>
          <w:highlight w:val="none"/>
        </w:rPr>
        <w:t>如果</w:t>
      </w:r>
      <w:r>
        <w:rPr>
          <w:rFonts w:hint="eastAsia" w:ascii="宋体" w:hAnsi="宋体"/>
          <w:color w:val="auto"/>
          <w:szCs w:val="21"/>
          <w:highlight w:val="none"/>
        </w:rPr>
        <w:t>竞争性谈判文件</w:t>
      </w:r>
      <w:r>
        <w:rPr>
          <w:rFonts w:ascii="宋体" w:hAnsi="宋体"/>
          <w:color w:val="auto"/>
          <w:szCs w:val="21"/>
          <w:highlight w:val="none"/>
        </w:rPr>
        <w:t>原定的编制</w:t>
      </w:r>
      <w:r>
        <w:rPr>
          <w:rFonts w:hint="eastAsia" w:ascii="宋体" w:hAnsi="宋体"/>
          <w:color w:val="auto"/>
          <w:szCs w:val="21"/>
          <w:highlight w:val="none"/>
        </w:rPr>
        <w:t>竞标文件</w:t>
      </w:r>
      <w:r>
        <w:rPr>
          <w:rFonts w:ascii="宋体" w:hAnsi="宋体"/>
          <w:color w:val="auto"/>
          <w:szCs w:val="21"/>
          <w:highlight w:val="none"/>
        </w:rPr>
        <w:t>的时间没有考虑因</w:t>
      </w:r>
      <w:r>
        <w:rPr>
          <w:rFonts w:hint="eastAsia" w:ascii="宋体" w:hAnsi="宋体"/>
          <w:color w:val="auto"/>
          <w:szCs w:val="21"/>
          <w:highlight w:val="none"/>
        </w:rPr>
        <w:t>竞争性谈判文件</w:t>
      </w:r>
      <w:r>
        <w:rPr>
          <w:rFonts w:ascii="宋体" w:hAnsi="宋体"/>
          <w:color w:val="auto"/>
          <w:szCs w:val="21"/>
          <w:highlight w:val="none"/>
        </w:rPr>
        <w:t>修改而引起</w:t>
      </w:r>
      <w:r>
        <w:rPr>
          <w:rFonts w:hint="eastAsia" w:ascii="宋体" w:hAnsi="宋体"/>
          <w:color w:val="auto"/>
          <w:szCs w:val="21"/>
          <w:highlight w:val="none"/>
        </w:rPr>
        <w:t>竞标文件</w:t>
      </w:r>
      <w:r>
        <w:rPr>
          <w:rFonts w:ascii="宋体" w:hAnsi="宋体"/>
          <w:color w:val="auto"/>
          <w:szCs w:val="21"/>
          <w:highlight w:val="none"/>
        </w:rPr>
        <w:t>修改所必须的时间，</w:t>
      </w:r>
      <w:r>
        <w:rPr>
          <w:rFonts w:hint="eastAsia" w:ascii="宋体" w:hAnsi="宋体"/>
          <w:color w:val="auto"/>
          <w:szCs w:val="21"/>
          <w:highlight w:val="none"/>
        </w:rPr>
        <w:t>采购</w:t>
      </w:r>
      <w:r>
        <w:rPr>
          <w:rFonts w:ascii="宋体" w:hAnsi="宋体"/>
          <w:color w:val="auto"/>
          <w:szCs w:val="21"/>
          <w:highlight w:val="none"/>
        </w:rPr>
        <w:t>单位可酌情延长提交</w:t>
      </w:r>
      <w:r>
        <w:rPr>
          <w:rFonts w:hint="eastAsia" w:ascii="宋体" w:hAnsi="宋体"/>
          <w:color w:val="auto"/>
          <w:szCs w:val="21"/>
          <w:highlight w:val="none"/>
        </w:rPr>
        <w:t>竞标文件</w:t>
      </w:r>
      <w:r>
        <w:rPr>
          <w:rFonts w:ascii="宋体" w:hAnsi="宋体"/>
          <w:color w:val="auto"/>
          <w:szCs w:val="21"/>
          <w:highlight w:val="none"/>
        </w:rPr>
        <w:t>的截止日期。</w:t>
      </w:r>
      <w:r>
        <w:rPr>
          <w:rFonts w:hint="eastAsia" w:ascii="宋体" w:hAnsi="宋体"/>
          <w:color w:val="auto"/>
          <w:szCs w:val="21"/>
          <w:highlight w:val="none"/>
        </w:rPr>
        <w:t>但至少应当在竞争性谈判文件要求提交竞标文件的截止时间</w:t>
      </w:r>
      <w:r>
        <w:rPr>
          <w:rFonts w:hint="eastAsia" w:ascii="宋体" w:hAnsi="宋体" w:cs="Courier New"/>
          <w:color w:val="auto"/>
          <w:spacing w:val="2"/>
          <w:highlight w:val="none"/>
          <w:u w:val="single"/>
        </w:rPr>
        <w:t xml:space="preserve"> 1 </w:t>
      </w:r>
      <w:r>
        <w:rPr>
          <w:rFonts w:hint="eastAsia" w:ascii="宋体" w:hAnsi="宋体" w:cs="Courier New"/>
          <w:color w:val="auto"/>
          <w:spacing w:val="2"/>
          <w:highlight w:val="none"/>
        </w:rPr>
        <w:t>日前</w:t>
      </w:r>
      <w:r>
        <w:rPr>
          <w:rFonts w:hint="eastAsia" w:ascii="宋体" w:hAnsi="宋体"/>
          <w:color w:val="auto"/>
          <w:szCs w:val="21"/>
          <w:highlight w:val="none"/>
        </w:rPr>
        <w:t>，在</w:t>
      </w:r>
      <w:r>
        <w:rPr>
          <w:rFonts w:hint="eastAsia"/>
          <w:color w:val="auto"/>
          <w:highlight w:val="none"/>
        </w:rPr>
        <w:t>中国政府采购网</w:t>
      </w:r>
      <w:r>
        <w:rPr>
          <w:color w:val="auto"/>
          <w:highlight w:val="none"/>
        </w:rPr>
        <w:t>http://www.ccgp.gov.cn</w:t>
      </w:r>
      <w:r>
        <w:rPr>
          <w:rFonts w:hint="eastAsia"/>
          <w:color w:val="auto"/>
          <w:highlight w:val="none"/>
        </w:rPr>
        <w:t>、广西壮族自治区政府采购网http://zfcg.gxzf.gov.cn/</w:t>
      </w:r>
      <w:r>
        <w:rPr>
          <w:rFonts w:hint="eastAsia" w:ascii="宋体" w:hAnsi="宋体"/>
          <w:color w:val="auto"/>
          <w:szCs w:val="21"/>
          <w:highlight w:val="none"/>
        </w:rPr>
        <w:t>上发布变更公告，</w:t>
      </w:r>
      <w:r>
        <w:rPr>
          <w:rFonts w:hint="eastAsia" w:ascii="宋体" w:hAnsi="宋体" w:cs="Courier New"/>
          <w:color w:val="auto"/>
          <w:spacing w:val="2"/>
          <w:highlight w:val="none"/>
        </w:rPr>
        <w:t>所有竞争性谈判文件的收受人自行查看。</w:t>
      </w:r>
    </w:p>
    <w:p>
      <w:pPr>
        <w:pStyle w:val="5"/>
        <w:rPr>
          <w:rFonts w:hint="default"/>
          <w:color w:val="auto"/>
          <w:highlight w:val="none"/>
        </w:rPr>
      </w:pPr>
      <w:bookmarkStart w:id="90" w:name="_Toc22154"/>
      <w:bookmarkStart w:id="91" w:name="_Toc29416"/>
      <w:bookmarkStart w:id="92" w:name="_Toc239659102"/>
      <w:bookmarkStart w:id="93" w:name="_Toc239659099"/>
      <w:bookmarkStart w:id="94" w:name="_Toc174353362"/>
      <w:bookmarkStart w:id="95" w:name="_Toc32360"/>
      <w:bookmarkStart w:id="96" w:name="_Toc18465"/>
      <w:r>
        <w:rPr>
          <w:color w:val="auto"/>
          <w:highlight w:val="none"/>
        </w:rPr>
        <w:t>10.竞标有效期</w:t>
      </w:r>
      <w:bookmarkEnd w:id="90"/>
      <w:bookmarkEnd w:id="91"/>
      <w:bookmarkEnd w:id="92"/>
    </w:p>
    <w:p>
      <w:pPr>
        <w:spacing w:line="380" w:lineRule="exact"/>
        <w:rPr>
          <w:rFonts w:ascii="宋体" w:hAnsi="宋体"/>
          <w:color w:val="auto"/>
          <w:szCs w:val="21"/>
          <w:highlight w:val="none"/>
        </w:rPr>
      </w:pPr>
      <w:r>
        <w:rPr>
          <w:rFonts w:ascii="宋体" w:hAnsi="宋体"/>
          <w:color w:val="auto"/>
          <w:szCs w:val="21"/>
          <w:highlight w:val="none"/>
        </w:rPr>
        <w:t xml:space="preserve">    10.1 竞标文件在本须知第</w:t>
      </w:r>
      <w:r>
        <w:rPr>
          <w:rFonts w:hint="eastAsia" w:ascii="宋体" w:hAnsi="宋体"/>
          <w:color w:val="auto"/>
          <w:szCs w:val="21"/>
          <w:highlight w:val="none"/>
          <w:lang w:val="en-US" w:eastAsia="zh-CN"/>
        </w:rPr>
        <w:t>8</w:t>
      </w:r>
      <w:r>
        <w:rPr>
          <w:rFonts w:ascii="宋体" w:hAnsi="宋体"/>
          <w:color w:val="auto"/>
          <w:szCs w:val="21"/>
          <w:highlight w:val="none"/>
        </w:rPr>
        <w:t>条规定的</w:t>
      </w:r>
      <w:r>
        <w:rPr>
          <w:rFonts w:hint="eastAsia" w:ascii="宋体" w:hAnsi="宋体"/>
          <w:color w:val="auto"/>
          <w:szCs w:val="21"/>
          <w:highlight w:val="none"/>
        </w:rPr>
        <w:t>竞</w:t>
      </w:r>
      <w:r>
        <w:rPr>
          <w:rFonts w:ascii="宋体" w:hAnsi="宋体"/>
          <w:color w:val="auto"/>
          <w:szCs w:val="21"/>
          <w:highlight w:val="none"/>
        </w:rPr>
        <w:t>标截止日期之后的</w:t>
      </w:r>
      <w:r>
        <w:rPr>
          <w:rFonts w:ascii="宋体" w:hAnsi="宋体"/>
          <w:color w:val="auto"/>
          <w:szCs w:val="21"/>
          <w:highlight w:val="none"/>
          <w:u w:val="single"/>
        </w:rPr>
        <w:t xml:space="preserve"> </w:t>
      </w:r>
      <w:r>
        <w:rPr>
          <w:rFonts w:hint="eastAsia" w:ascii="宋体" w:hAnsi="宋体"/>
          <w:color w:val="auto"/>
          <w:szCs w:val="21"/>
          <w:highlight w:val="none"/>
          <w:u w:val="single"/>
        </w:rPr>
        <w:t>60</w:t>
      </w:r>
      <w:r>
        <w:rPr>
          <w:rFonts w:ascii="宋体" w:hAnsi="宋体"/>
          <w:color w:val="auto"/>
          <w:szCs w:val="21"/>
          <w:highlight w:val="none"/>
        </w:rPr>
        <w:t>天（日历天）内有效。</w:t>
      </w:r>
    </w:p>
    <w:p>
      <w:pPr>
        <w:spacing w:line="380" w:lineRule="exact"/>
        <w:ind w:firstLine="435"/>
        <w:rPr>
          <w:rFonts w:ascii="宋体" w:hAnsi="宋体"/>
          <w:color w:val="auto"/>
          <w:szCs w:val="21"/>
          <w:highlight w:val="none"/>
        </w:rPr>
      </w:pPr>
      <w:r>
        <w:rPr>
          <w:rFonts w:ascii="宋体" w:hAnsi="宋体"/>
          <w:color w:val="auto"/>
          <w:szCs w:val="21"/>
          <w:highlight w:val="none"/>
        </w:rPr>
        <w:t>10.2 在原定竞标有效期满之前，如果出现特殊情况，经</w:t>
      </w:r>
      <w:r>
        <w:rPr>
          <w:rFonts w:hint="eastAsia" w:ascii="宋体" w:hAnsi="宋体"/>
          <w:color w:val="auto"/>
          <w:szCs w:val="21"/>
          <w:highlight w:val="none"/>
        </w:rPr>
        <w:t>政府采购监督管理部门</w:t>
      </w:r>
      <w:r>
        <w:rPr>
          <w:rFonts w:ascii="宋体" w:hAnsi="宋体"/>
          <w:color w:val="auto"/>
          <w:szCs w:val="21"/>
          <w:highlight w:val="none"/>
        </w:rPr>
        <w:t>核准，</w:t>
      </w:r>
      <w:r>
        <w:rPr>
          <w:rFonts w:hint="eastAsia" w:ascii="宋体" w:hAnsi="宋体"/>
          <w:color w:val="auto"/>
          <w:szCs w:val="21"/>
          <w:highlight w:val="none"/>
        </w:rPr>
        <w:t>采购</w:t>
      </w:r>
      <w:r>
        <w:rPr>
          <w:rFonts w:ascii="宋体" w:hAnsi="宋体"/>
          <w:color w:val="auto"/>
          <w:szCs w:val="21"/>
          <w:highlight w:val="none"/>
        </w:rPr>
        <w:t>人可以书面形式向竞标人提出延长竞标有效期的要求，竞标人须以书面形式予以答复。竞标人可以拒绝这种要求而不被没收保证金。同意延长竞标有效期的竞标人不允许修改其竞标文件，但需要相应地延长竞标保证金的有效期，在延长期内本须知第11条的规定仍然适用。</w:t>
      </w:r>
    </w:p>
    <w:p>
      <w:pPr>
        <w:pStyle w:val="5"/>
        <w:rPr>
          <w:rFonts w:hint="default"/>
          <w:color w:val="auto"/>
          <w:highlight w:val="none"/>
        </w:rPr>
      </w:pPr>
      <w:r>
        <w:rPr>
          <w:color w:val="auto"/>
          <w:highlight w:val="none"/>
        </w:rPr>
        <w:t>7.竞标报价</w:t>
      </w:r>
      <w:bookmarkEnd w:id="93"/>
      <w:bookmarkEnd w:id="94"/>
      <w:r>
        <w:rPr>
          <w:color w:val="auto"/>
          <w:highlight w:val="none"/>
        </w:rPr>
        <w:t>及控制价</w:t>
      </w:r>
      <w:bookmarkEnd w:id="95"/>
      <w:bookmarkEnd w:id="96"/>
    </w:p>
    <w:p>
      <w:pPr>
        <w:spacing w:line="380" w:lineRule="exact"/>
        <w:ind w:firstLine="451" w:firstLineChars="215"/>
        <w:rPr>
          <w:rFonts w:ascii="宋体" w:hAnsi="宋体"/>
          <w:color w:val="auto"/>
          <w:szCs w:val="21"/>
          <w:highlight w:val="none"/>
        </w:rPr>
      </w:pPr>
      <w:r>
        <w:rPr>
          <w:rFonts w:ascii="宋体" w:hAnsi="宋体"/>
          <w:color w:val="auto"/>
          <w:szCs w:val="21"/>
          <w:highlight w:val="none"/>
        </w:rPr>
        <w:t xml:space="preserve">7.1 </w:t>
      </w:r>
      <w:r>
        <w:rPr>
          <w:rFonts w:hint="eastAsia" w:ascii="宋体" w:hAnsi="宋体"/>
          <w:color w:val="auto"/>
          <w:szCs w:val="21"/>
          <w:highlight w:val="none"/>
        </w:rPr>
        <w:t>本工程竞标报价采用</w:t>
      </w:r>
      <w:r>
        <w:rPr>
          <w:rFonts w:hint="eastAsia" w:ascii="宋体" w:hAnsi="宋体"/>
          <w:b/>
          <w:color w:val="auto"/>
          <w:szCs w:val="21"/>
          <w:highlight w:val="none"/>
          <w:u w:val="single"/>
        </w:rPr>
        <w:t>工程量清单报价</w:t>
      </w:r>
      <w:r>
        <w:rPr>
          <w:rFonts w:hint="eastAsia" w:ascii="宋体" w:hAnsi="宋体"/>
          <w:color w:val="auto"/>
          <w:szCs w:val="21"/>
          <w:highlight w:val="none"/>
        </w:rPr>
        <w:t>。</w:t>
      </w:r>
    </w:p>
    <w:p>
      <w:pPr>
        <w:spacing w:line="380" w:lineRule="exact"/>
        <w:ind w:firstLine="451" w:firstLineChars="215"/>
        <w:rPr>
          <w:rFonts w:ascii="宋体" w:hAnsi="宋体"/>
          <w:color w:val="auto"/>
          <w:szCs w:val="21"/>
          <w:highlight w:val="none"/>
        </w:rPr>
      </w:pPr>
      <w:r>
        <w:rPr>
          <w:rFonts w:ascii="宋体" w:hAnsi="宋体"/>
          <w:color w:val="auto"/>
          <w:szCs w:val="21"/>
          <w:highlight w:val="none"/>
        </w:rPr>
        <w:t>7.1.1 本工程采用</w:t>
      </w:r>
      <w:r>
        <w:rPr>
          <w:rFonts w:hint="eastAsia" w:ascii="宋体" w:hAnsi="宋体"/>
          <w:b/>
          <w:color w:val="auto"/>
          <w:szCs w:val="21"/>
          <w:highlight w:val="none"/>
          <w:u w:val="single"/>
        </w:rPr>
        <w:t>固定综合单价合同</w:t>
      </w:r>
      <w:r>
        <w:rPr>
          <w:rFonts w:ascii="宋体" w:hAnsi="宋体"/>
          <w:color w:val="auto"/>
          <w:szCs w:val="21"/>
          <w:highlight w:val="none"/>
        </w:rPr>
        <w:t>，竞标报价为竞标人在竞标文件中提出的各项支付金额的总和。</w:t>
      </w:r>
    </w:p>
    <w:p>
      <w:pPr>
        <w:spacing w:line="380" w:lineRule="exact"/>
        <w:ind w:firstLine="451" w:firstLineChars="215"/>
        <w:rPr>
          <w:rFonts w:ascii="宋体" w:hAnsi="宋体"/>
          <w:color w:val="auto"/>
          <w:szCs w:val="21"/>
          <w:highlight w:val="none"/>
        </w:rPr>
      </w:pPr>
      <w:r>
        <w:rPr>
          <w:rFonts w:ascii="宋体" w:hAnsi="宋体"/>
          <w:color w:val="auto"/>
          <w:szCs w:val="21"/>
          <w:highlight w:val="none"/>
        </w:rPr>
        <w:t>7.1.2 竞标人所填报的各项基价中的各种材料单价在合同实施期间不因市场价格变化因素而变动</w:t>
      </w:r>
      <w:r>
        <w:rPr>
          <w:rFonts w:hint="eastAsia" w:ascii="宋体" w:hAnsi="宋体"/>
          <w:color w:val="auto"/>
          <w:szCs w:val="21"/>
          <w:highlight w:val="none"/>
        </w:rPr>
        <w:t>（工程变更、政策性调整除外），</w:t>
      </w:r>
      <w:r>
        <w:rPr>
          <w:rFonts w:ascii="宋体" w:hAnsi="宋体"/>
          <w:color w:val="auto"/>
          <w:szCs w:val="21"/>
          <w:highlight w:val="none"/>
        </w:rPr>
        <w:t>竞标人在报综合单价时应考虑各种风险因素和自己的承受能力。</w:t>
      </w:r>
    </w:p>
    <w:p>
      <w:pPr>
        <w:pStyle w:val="17"/>
        <w:spacing w:line="380" w:lineRule="exact"/>
        <w:ind w:firstLine="451" w:firstLineChars="215"/>
        <w:rPr>
          <w:rFonts w:hint="eastAsia" w:hAnsi="宋体"/>
          <w:b/>
          <w:bCs/>
          <w:color w:val="auto"/>
          <w:szCs w:val="21"/>
          <w:highlight w:val="none"/>
          <w:u w:val="single"/>
          <w:lang w:eastAsia="zh-CN"/>
        </w:rPr>
      </w:pPr>
      <w:r>
        <w:rPr>
          <w:rFonts w:hAnsi="宋体"/>
          <w:color w:val="auto"/>
          <w:szCs w:val="21"/>
          <w:highlight w:val="none"/>
        </w:rPr>
        <w:t>7.1.3</w:t>
      </w:r>
      <w:r>
        <w:rPr>
          <w:rFonts w:hint="eastAsia" w:hAnsi="宋体"/>
          <w:color w:val="auto"/>
          <w:szCs w:val="21"/>
          <w:highlight w:val="none"/>
        </w:rPr>
        <w:t xml:space="preserve"> </w:t>
      </w:r>
      <w:r>
        <w:rPr>
          <w:rFonts w:hAnsi="宋体"/>
          <w:color w:val="auto"/>
          <w:szCs w:val="21"/>
          <w:highlight w:val="none"/>
        </w:rPr>
        <w:t>因设计变更引起</w:t>
      </w:r>
      <w:r>
        <w:rPr>
          <w:rFonts w:hint="eastAsia" w:hAnsi="宋体"/>
          <w:color w:val="auto"/>
          <w:szCs w:val="21"/>
          <w:highlight w:val="none"/>
        </w:rPr>
        <w:t>工程项目、</w:t>
      </w:r>
      <w:r>
        <w:rPr>
          <w:rFonts w:hAnsi="宋体"/>
          <w:color w:val="auto"/>
          <w:szCs w:val="21"/>
          <w:highlight w:val="none"/>
        </w:rPr>
        <w:t>工程量变化的，变更合同价款按下列方法进行：</w:t>
      </w:r>
      <w:r>
        <w:rPr>
          <w:rFonts w:hint="eastAsia" w:hAnsi="宋体"/>
          <w:color w:val="auto"/>
          <w:szCs w:val="21"/>
          <w:highlight w:val="none"/>
          <w:u w:val="single"/>
        </w:rPr>
        <w:t>⑴</w:t>
      </w:r>
      <w:r>
        <w:rPr>
          <w:rFonts w:hAnsi="宋体"/>
          <w:color w:val="auto"/>
          <w:szCs w:val="21"/>
          <w:highlight w:val="none"/>
          <w:u w:val="single"/>
        </w:rPr>
        <w:t>合同中已有适用于变更工程的价格，按合同已有的价格变更合同价款；</w:t>
      </w:r>
      <w:r>
        <w:rPr>
          <w:rFonts w:hint="eastAsia" w:hAnsi="宋体"/>
          <w:color w:val="auto"/>
          <w:szCs w:val="21"/>
          <w:highlight w:val="none"/>
          <w:u w:val="single"/>
        </w:rPr>
        <w:t>⑵</w:t>
      </w:r>
      <w:r>
        <w:rPr>
          <w:rFonts w:hAnsi="宋体"/>
          <w:color w:val="auto"/>
          <w:szCs w:val="21"/>
          <w:highlight w:val="none"/>
          <w:u w:val="single"/>
        </w:rPr>
        <w:t>合同中只有类似于</w:t>
      </w:r>
      <w:r>
        <w:rPr>
          <w:rFonts w:hint="eastAsia" w:hAnsi="宋体"/>
          <w:color w:val="auto"/>
          <w:szCs w:val="21"/>
          <w:highlight w:val="none"/>
          <w:u w:val="single"/>
        </w:rPr>
        <w:t>变更</w:t>
      </w:r>
      <w:r>
        <w:rPr>
          <w:rFonts w:hAnsi="宋体"/>
          <w:color w:val="auto"/>
          <w:szCs w:val="21"/>
          <w:highlight w:val="none"/>
          <w:u w:val="single"/>
        </w:rPr>
        <w:t>工程的价格，可以参照类似价格变更合同价款；</w:t>
      </w:r>
      <w:r>
        <w:rPr>
          <w:rFonts w:hint="eastAsia" w:hAnsi="宋体"/>
          <w:color w:val="auto"/>
          <w:szCs w:val="21"/>
          <w:highlight w:val="none"/>
          <w:u w:val="single"/>
        </w:rPr>
        <w:t>⑶</w:t>
      </w:r>
      <w:r>
        <w:rPr>
          <w:rFonts w:hAnsi="宋体"/>
          <w:color w:val="auto"/>
          <w:szCs w:val="21"/>
          <w:highlight w:val="none"/>
          <w:u w:val="single"/>
        </w:rPr>
        <w:t>合同中没有适用或类似于变更工程的价格，则有定额的套定额计算（</w:t>
      </w:r>
      <w:r>
        <w:rPr>
          <w:rFonts w:hint="eastAsia" w:hAnsi="宋体"/>
          <w:color w:val="auto"/>
          <w:szCs w:val="21"/>
          <w:highlight w:val="none"/>
          <w:u w:val="single"/>
        </w:rPr>
        <w:t>土石方</w:t>
      </w:r>
      <w:r>
        <w:rPr>
          <w:rFonts w:hAnsi="宋体"/>
          <w:color w:val="auto"/>
          <w:szCs w:val="21"/>
          <w:highlight w:val="none"/>
          <w:u w:val="single"/>
        </w:rPr>
        <w:t>除外），并乘以</w:t>
      </w:r>
      <w:r>
        <w:rPr>
          <w:rFonts w:hint="eastAsia" w:hAnsi="宋体"/>
          <w:color w:val="auto"/>
          <w:szCs w:val="21"/>
          <w:highlight w:val="none"/>
          <w:u w:val="single"/>
        </w:rPr>
        <w:t>竞标</w:t>
      </w:r>
      <w:r>
        <w:rPr>
          <w:rFonts w:hAnsi="宋体"/>
          <w:color w:val="auto"/>
          <w:szCs w:val="21"/>
          <w:highlight w:val="none"/>
          <w:u w:val="single"/>
        </w:rPr>
        <w:t>下浮系数（</w:t>
      </w:r>
      <w:r>
        <w:rPr>
          <w:rFonts w:hint="eastAsia" w:hAnsi="宋体"/>
          <w:color w:val="auto"/>
          <w:szCs w:val="21"/>
          <w:highlight w:val="none"/>
          <w:u w:val="single"/>
        </w:rPr>
        <w:t>成交</w:t>
      </w:r>
      <w:r>
        <w:rPr>
          <w:rFonts w:hAnsi="宋体"/>
          <w:color w:val="auto"/>
          <w:szCs w:val="21"/>
          <w:highlight w:val="none"/>
          <w:u w:val="single"/>
        </w:rPr>
        <w:t>价/</w:t>
      </w:r>
      <w:r>
        <w:rPr>
          <w:rFonts w:hint="eastAsia" w:hAnsi="宋体"/>
          <w:color w:val="auto"/>
          <w:szCs w:val="21"/>
          <w:highlight w:val="none"/>
          <w:u w:val="single"/>
        </w:rPr>
        <w:t>经相关部门审定的</w:t>
      </w:r>
      <w:r>
        <w:rPr>
          <w:rFonts w:hAnsi="宋体"/>
          <w:color w:val="auto"/>
          <w:szCs w:val="21"/>
          <w:highlight w:val="none"/>
          <w:u w:val="single"/>
        </w:rPr>
        <w:t>工程</w:t>
      </w:r>
      <w:r>
        <w:rPr>
          <w:rFonts w:hint="eastAsia" w:hAnsi="宋体"/>
          <w:color w:val="auto"/>
          <w:szCs w:val="21"/>
          <w:highlight w:val="none"/>
          <w:u w:val="single"/>
        </w:rPr>
        <w:t>采购</w:t>
      </w:r>
      <w:r>
        <w:rPr>
          <w:rFonts w:hAnsi="宋体"/>
          <w:color w:val="auto"/>
          <w:szCs w:val="21"/>
          <w:highlight w:val="none"/>
          <w:u w:val="single"/>
        </w:rPr>
        <w:t>控制价）计算，</w:t>
      </w:r>
      <w:r>
        <w:rPr>
          <w:rFonts w:hint="eastAsia" w:hAnsi="宋体"/>
          <w:b/>
          <w:bCs/>
          <w:color w:val="auto"/>
          <w:szCs w:val="21"/>
          <w:highlight w:val="none"/>
          <w:u w:val="single"/>
          <w:lang w:eastAsia="zh-CN"/>
        </w:rPr>
        <w:t>主要材料单价按照2020年第八期《百色市建设工程造价信息》发布价格信息；对于造价信息没有发布价格信息的材料，其价格参照市场工地价(除税价)，无价格公布的参照同期百色信息价及市场询价，材料单价已含到施工工地的运费。</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7.1.4 竞标人应认真填写工程量清单中所列的所有各细目的单价和合价，填写时应注意：</w:t>
      </w:r>
    </w:p>
    <w:p>
      <w:pPr>
        <w:tabs>
          <w:tab w:val="left" w:pos="1026"/>
        </w:tabs>
        <w:adjustRightIn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⑴有</w:t>
      </w:r>
      <w:r>
        <w:rPr>
          <w:rFonts w:ascii="宋体" w:hAnsi="宋体"/>
          <w:color w:val="auto"/>
          <w:szCs w:val="21"/>
          <w:highlight w:val="none"/>
        </w:rPr>
        <w:t>工程数量的</w:t>
      </w:r>
      <w:r>
        <w:rPr>
          <w:rFonts w:hint="eastAsia" w:ascii="宋体" w:hAnsi="宋体"/>
          <w:color w:val="auto"/>
          <w:szCs w:val="21"/>
          <w:highlight w:val="none"/>
        </w:rPr>
        <w:t>项目</w:t>
      </w:r>
      <w:r>
        <w:rPr>
          <w:rFonts w:ascii="宋体" w:hAnsi="宋体"/>
          <w:color w:val="auto"/>
          <w:szCs w:val="21"/>
          <w:highlight w:val="none"/>
        </w:rPr>
        <w:t>应报单价和合价</w:t>
      </w:r>
      <w:r>
        <w:rPr>
          <w:rFonts w:hint="eastAsia" w:ascii="宋体" w:hAnsi="宋体"/>
          <w:color w:val="auto"/>
          <w:szCs w:val="21"/>
          <w:highlight w:val="none"/>
        </w:rPr>
        <w:t>；</w:t>
      </w:r>
    </w:p>
    <w:p>
      <w:pPr>
        <w:tabs>
          <w:tab w:val="left" w:pos="1026"/>
          <w:tab w:val="left" w:pos="1116"/>
        </w:tabs>
        <w:adjustRightIn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w:t>
      </w:r>
      <w:r>
        <w:rPr>
          <w:rFonts w:ascii="宋体" w:hAnsi="宋体"/>
          <w:color w:val="auto"/>
          <w:szCs w:val="21"/>
          <w:highlight w:val="none"/>
        </w:rPr>
        <w:t>无工程数量的项目不报价</w:t>
      </w:r>
      <w:r>
        <w:rPr>
          <w:rFonts w:hint="eastAsia" w:ascii="宋体" w:hAnsi="宋体"/>
          <w:color w:val="auto"/>
          <w:szCs w:val="21"/>
          <w:highlight w:val="none"/>
        </w:rPr>
        <w:t>；</w:t>
      </w:r>
    </w:p>
    <w:p>
      <w:pPr>
        <w:tabs>
          <w:tab w:val="left" w:pos="-8"/>
          <w:tab w:val="left" w:pos="1026"/>
        </w:tabs>
        <w:adjustRightIn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w:t>
      </w:r>
      <w:r>
        <w:rPr>
          <w:rFonts w:ascii="宋体" w:hAnsi="宋体"/>
          <w:color w:val="auto"/>
          <w:szCs w:val="21"/>
          <w:highlight w:val="none"/>
        </w:rPr>
        <w:t>除非</w:t>
      </w:r>
      <w:r>
        <w:rPr>
          <w:rFonts w:hint="eastAsia" w:ascii="宋体" w:hAnsi="宋体"/>
          <w:color w:val="auto"/>
          <w:szCs w:val="21"/>
          <w:highlight w:val="none"/>
        </w:rPr>
        <w:t>采购</w:t>
      </w:r>
      <w:r>
        <w:rPr>
          <w:rFonts w:ascii="宋体" w:hAnsi="宋体"/>
          <w:color w:val="auto"/>
          <w:szCs w:val="21"/>
          <w:highlight w:val="none"/>
        </w:rPr>
        <w:t>人对竞争性谈判文件予以修改，竞标人应按</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或采购代理机构</w:t>
      </w:r>
      <w:r>
        <w:rPr>
          <w:rFonts w:ascii="宋体" w:hAnsi="宋体"/>
          <w:color w:val="auto"/>
          <w:szCs w:val="21"/>
          <w:highlight w:val="none"/>
        </w:rPr>
        <w:t>提供的工程量清单中列出的工程项目和工程量填报单价和合价。每一项目只允许有一个报价。任何有选择的报价将不予接受。竞标人未填单价或合价的工程项目，在实施后，</w:t>
      </w:r>
      <w:r>
        <w:rPr>
          <w:rFonts w:hint="eastAsia" w:ascii="宋体" w:hAnsi="宋体"/>
          <w:color w:val="auto"/>
          <w:szCs w:val="21"/>
          <w:highlight w:val="none"/>
        </w:rPr>
        <w:t>采购</w:t>
      </w:r>
      <w:r>
        <w:rPr>
          <w:rFonts w:ascii="宋体" w:hAnsi="宋体"/>
          <w:color w:val="auto"/>
          <w:szCs w:val="21"/>
          <w:highlight w:val="none"/>
        </w:rPr>
        <w:t>人将不予以支付，并视为该项费用已包括在其他有价款的单价或合价内，承包人必须按监理工程师的指令完成工程量清单中未填入单价或总额价的工程细目，但不能得到支付与结算。</w:t>
      </w:r>
    </w:p>
    <w:p>
      <w:pPr>
        <w:spacing w:line="380" w:lineRule="exact"/>
        <w:ind w:firstLine="451" w:firstLineChars="215"/>
        <w:rPr>
          <w:rFonts w:ascii="宋体" w:hAnsi="宋体"/>
          <w:color w:val="auto"/>
          <w:szCs w:val="21"/>
          <w:highlight w:val="none"/>
        </w:rPr>
      </w:pPr>
      <w:r>
        <w:rPr>
          <w:rFonts w:ascii="宋体" w:hAnsi="宋体"/>
          <w:color w:val="auto"/>
          <w:szCs w:val="21"/>
          <w:highlight w:val="none"/>
        </w:rPr>
        <w:t xml:space="preserve">7.1.5 </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或采购代理机构</w:t>
      </w:r>
      <w:r>
        <w:rPr>
          <w:rFonts w:ascii="宋体" w:hAnsi="宋体"/>
          <w:color w:val="auto"/>
          <w:szCs w:val="21"/>
          <w:highlight w:val="none"/>
        </w:rPr>
        <w:t>所提供的工程量清单,应认为已包括完成本工程的所有项目。凡设计图纸已指明的工程或图纸所示的附属工程、相关工程、衔接与后续工程所需的费用，竞标人应计入相关项目的单价中。</w:t>
      </w:r>
    </w:p>
    <w:p>
      <w:pPr>
        <w:spacing w:line="380" w:lineRule="exact"/>
        <w:ind w:firstLine="451" w:firstLineChars="215"/>
        <w:rPr>
          <w:rFonts w:ascii="宋体" w:hAnsi="宋体"/>
          <w:color w:val="auto"/>
          <w:szCs w:val="21"/>
          <w:highlight w:val="none"/>
        </w:rPr>
      </w:pPr>
      <w:r>
        <w:rPr>
          <w:rFonts w:ascii="宋体" w:hAnsi="宋体"/>
          <w:color w:val="auto"/>
          <w:szCs w:val="21"/>
          <w:highlight w:val="none"/>
        </w:rPr>
        <w:t>7.1.6 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竞标价中自行考虑。</w:t>
      </w:r>
    </w:p>
    <w:p>
      <w:pPr>
        <w:spacing w:line="380" w:lineRule="exact"/>
        <w:ind w:firstLine="315" w:firstLineChars="150"/>
        <w:rPr>
          <w:rFonts w:ascii="宋体" w:hAnsi="宋体"/>
          <w:color w:val="auto"/>
          <w:szCs w:val="21"/>
          <w:highlight w:val="none"/>
        </w:rPr>
      </w:pPr>
      <w:r>
        <w:rPr>
          <w:rFonts w:ascii="宋体" w:hAnsi="宋体"/>
          <w:color w:val="auto"/>
          <w:szCs w:val="21"/>
          <w:highlight w:val="none"/>
        </w:rPr>
        <w:t>7.1.7</w:t>
      </w:r>
      <w:r>
        <w:rPr>
          <w:rFonts w:hint="eastAsia" w:ascii="宋体" w:hAnsi="宋体"/>
          <w:color w:val="auto"/>
          <w:szCs w:val="21"/>
          <w:highlight w:val="none"/>
        </w:rPr>
        <w:t xml:space="preserve"> 竞标人在报价中所报的单价和合价，以及竞标报价汇总表中的价格均包括完成该工程项目的成本、利润、税金、开办费、技术措施、大型机械进出场费、风险费、政策性文件规定费用等所有费用。</w:t>
      </w:r>
    </w:p>
    <w:p>
      <w:pPr>
        <w:spacing w:line="380" w:lineRule="exact"/>
        <w:ind w:firstLine="315" w:firstLineChars="150"/>
        <w:rPr>
          <w:rFonts w:ascii="宋体" w:hAnsi="宋体"/>
          <w:color w:val="auto"/>
          <w:szCs w:val="21"/>
          <w:highlight w:val="none"/>
        </w:rPr>
      </w:pPr>
      <w:r>
        <w:rPr>
          <w:rFonts w:hint="eastAsia" w:ascii="宋体" w:hAnsi="宋体"/>
          <w:color w:val="auto"/>
          <w:szCs w:val="21"/>
          <w:highlight w:val="none"/>
        </w:rPr>
        <w:t>7.1.7.1</w:t>
      </w:r>
      <w:r>
        <w:rPr>
          <w:rFonts w:ascii="宋体" w:hAnsi="宋体"/>
          <w:color w:val="auto"/>
          <w:szCs w:val="21"/>
          <w:highlight w:val="none"/>
        </w:rPr>
        <w:t>发包人不提供取土点、弃土点，土石方单价包含</w:t>
      </w:r>
      <w:r>
        <w:rPr>
          <w:rFonts w:hint="eastAsia" w:ascii="宋体" w:hAnsi="宋体"/>
          <w:color w:val="auto"/>
          <w:szCs w:val="21"/>
          <w:highlight w:val="none"/>
        </w:rPr>
        <w:t>但不限于以下费用</w:t>
      </w:r>
      <w:r>
        <w:rPr>
          <w:rFonts w:ascii="宋体" w:hAnsi="宋体"/>
          <w:color w:val="auto"/>
          <w:szCs w:val="21"/>
          <w:highlight w:val="none"/>
        </w:rPr>
        <w:t>：</w:t>
      </w:r>
    </w:p>
    <w:p>
      <w:pPr>
        <w:tabs>
          <w:tab w:val="left" w:pos="914"/>
          <w:tab w:val="left" w:pos="1034"/>
          <w:tab w:val="left" w:pos="1320"/>
        </w:tabs>
        <w:adjustRightInd w:val="0"/>
        <w:spacing w:line="3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⑴</w:t>
      </w:r>
      <w:r>
        <w:rPr>
          <w:rFonts w:ascii="宋体" w:hAnsi="宋体"/>
          <w:color w:val="auto"/>
          <w:szCs w:val="21"/>
          <w:highlight w:val="none"/>
        </w:rPr>
        <w:t>有关土石方挖、填、弃（含超运）等一切作业的费用；</w:t>
      </w:r>
    </w:p>
    <w:p>
      <w:pPr>
        <w:tabs>
          <w:tab w:val="left" w:pos="914"/>
          <w:tab w:val="left" w:pos="1034"/>
          <w:tab w:val="left" w:pos="1320"/>
        </w:tabs>
        <w:adjustRightInd w:val="0"/>
        <w:spacing w:line="3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⑵</w:t>
      </w:r>
      <w:r>
        <w:rPr>
          <w:rFonts w:ascii="宋体" w:hAnsi="宋体"/>
          <w:color w:val="auto"/>
          <w:szCs w:val="21"/>
          <w:highlight w:val="none"/>
        </w:rPr>
        <w:t>取、弃土场的租用、青苗补偿、场地的恢复、平整、压实、检测等一切作业的费用；</w:t>
      </w:r>
    </w:p>
    <w:p>
      <w:pPr>
        <w:tabs>
          <w:tab w:val="left" w:pos="914"/>
          <w:tab w:val="left" w:pos="1034"/>
          <w:tab w:val="left" w:pos="1320"/>
        </w:tabs>
        <w:adjustRightInd w:val="0"/>
        <w:spacing w:line="3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⑶</w:t>
      </w:r>
      <w:r>
        <w:rPr>
          <w:rFonts w:ascii="宋体" w:hAnsi="宋体"/>
          <w:color w:val="auto"/>
          <w:szCs w:val="21"/>
          <w:highlight w:val="none"/>
        </w:rPr>
        <w:t>土石方作业的其他费用</w:t>
      </w:r>
      <w:r>
        <w:rPr>
          <w:rFonts w:hint="eastAsia" w:ascii="宋体" w:hAnsi="宋体"/>
          <w:color w:val="auto"/>
          <w:szCs w:val="21"/>
          <w:highlight w:val="none"/>
        </w:rPr>
        <w:t>，含政府临时性管制政策影响因素而发生的费用，如城乡清洁工程管理要求等因素；</w:t>
      </w:r>
    </w:p>
    <w:p>
      <w:pPr>
        <w:tabs>
          <w:tab w:val="left" w:pos="914"/>
          <w:tab w:val="left" w:pos="1034"/>
          <w:tab w:val="left" w:pos="1320"/>
        </w:tabs>
        <w:adjustRightInd w:val="0"/>
        <w:spacing w:line="3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⑷土石方单价按市场报价。</w:t>
      </w:r>
    </w:p>
    <w:p>
      <w:pPr>
        <w:spacing w:line="380" w:lineRule="exact"/>
        <w:ind w:firstLine="434" w:firstLineChars="206"/>
        <w:rPr>
          <w:rFonts w:ascii="宋体" w:hAnsi="宋体"/>
          <w:b/>
          <w:color w:val="auto"/>
          <w:szCs w:val="21"/>
          <w:highlight w:val="none"/>
          <w:u w:val="single"/>
        </w:rPr>
      </w:pPr>
      <w:r>
        <w:rPr>
          <w:rFonts w:hint="eastAsia" w:ascii="宋体" w:hAnsi="宋体"/>
          <w:b/>
          <w:color w:val="auto"/>
          <w:szCs w:val="21"/>
          <w:highlight w:val="none"/>
          <w:u w:val="single"/>
        </w:rPr>
        <w:t>土石方单价以综合单价包干，结算时不对运距进行费用签证。</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8 承包人承建本工程所需的水电报装（含设备的购买、安装、维修、使用、拆除、维护及场地租用、恢复等一切与此相关的费用）由承包人负责，以上费用在竞标报价中综合考虑。</w:t>
      </w:r>
    </w:p>
    <w:p>
      <w:pPr>
        <w:spacing w:line="380" w:lineRule="exact"/>
        <w:ind w:firstLine="480"/>
        <w:rPr>
          <w:rFonts w:ascii="宋体" w:hAns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9</w:t>
      </w:r>
      <w:r>
        <w:rPr>
          <w:rFonts w:ascii="宋体" w:hAnsi="宋体"/>
          <w:color w:val="auto"/>
          <w:szCs w:val="21"/>
          <w:highlight w:val="none"/>
        </w:rPr>
        <w:t>工程量清单中涉及混凝土的细目,竞标人应综合考虑现行地方政府有关规定,自行报价。</w:t>
      </w:r>
    </w:p>
    <w:p>
      <w:pPr>
        <w:spacing w:line="380" w:lineRule="exact"/>
        <w:ind w:firstLine="480"/>
        <w:rPr>
          <w:rFonts w:ascii="宋体" w:hAnsi="宋体"/>
          <w:b/>
          <w:color w:val="auto"/>
          <w:szCs w:val="21"/>
          <w:highlight w:val="none"/>
        </w:rPr>
      </w:pPr>
      <w:r>
        <w:rPr>
          <w:rFonts w:ascii="宋体" w:hAnsi="宋体"/>
          <w:b/>
          <w:color w:val="auto"/>
          <w:szCs w:val="21"/>
          <w:highlight w:val="none"/>
        </w:rPr>
        <w:t>7.1.1</w:t>
      </w:r>
      <w:r>
        <w:rPr>
          <w:rFonts w:hint="eastAsia" w:ascii="宋体" w:hAnsi="宋体"/>
          <w:b/>
          <w:color w:val="auto"/>
          <w:szCs w:val="21"/>
          <w:highlight w:val="none"/>
        </w:rPr>
        <w:t>0</w:t>
      </w:r>
      <w:r>
        <w:rPr>
          <w:rFonts w:ascii="宋体" w:hAnsi="宋体"/>
          <w:b/>
          <w:color w:val="auto"/>
          <w:szCs w:val="21"/>
          <w:highlight w:val="none"/>
        </w:rPr>
        <w:t>竞标人在进行工程量清单竞标时，应按照</w:t>
      </w:r>
      <w:r>
        <w:rPr>
          <w:rFonts w:hint="eastAsia" w:ascii="宋体" w:hAnsi="宋体"/>
          <w:b/>
          <w:color w:val="auto"/>
          <w:szCs w:val="21"/>
          <w:highlight w:val="none"/>
        </w:rPr>
        <w:t>采购</w:t>
      </w:r>
      <w:r>
        <w:rPr>
          <w:rFonts w:ascii="宋体" w:hAnsi="宋体"/>
          <w:b/>
          <w:color w:val="auto"/>
          <w:szCs w:val="21"/>
          <w:highlight w:val="none"/>
        </w:rPr>
        <w:t>人的</w:t>
      </w:r>
      <w:r>
        <w:rPr>
          <w:rFonts w:hint="eastAsia" w:ascii="宋体" w:hAnsi="宋体"/>
          <w:b/>
          <w:color w:val="auto"/>
          <w:szCs w:val="21"/>
          <w:highlight w:val="none"/>
        </w:rPr>
        <w:t>工</w:t>
      </w:r>
      <w:r>
        <w:rPr>
          <w:rFonts w:ascii="宋体" w:hAnsi="宋体"/>
          <w:b/>
          <w:color w:val="auto"/>
          <w:szCs w:val="21"/>
          <w:highlight w:val="none"/>
        </w:rPr>
        <w:t>程量清单进行报价。竞标人对自己所填写的项目编码、项目名称、</w:t>
      </w:r>
      <w:r>
        <w:rPr>
          <w:rFonts w:hint="eastAsia" w:ascii="宋体" w:hAnsi="宋体"/>
          <w:b/>
          <w:color w:val="auto"/>
          <w:szCs w:val="21"/>
          <w:highlight w:val="none"/>
        </w:rPr>
        <w:t>项目特征、</w:t>
      </w:r>
      <w:r>
        <w:rPr>
          <w:rFonts w:ascii="宋体" w:hAnsi="宋体"/>
          <w:b/>
          <w:color w:val="auto"/>
          <w:szCs w:val="21"/>
          <w:highlight w:val="none"/>
        </w:rPr>
        <w:t>计量单位、工程数量负责。谈判中，如项目编码与项目名称、</w:t>
      </w:r>
      <w:r>
        <w:rPr>
          <w:rFonts w:hint="eastAsia" w:ascii="宋体" w:hAnsi="宋体"/>
          <w:b/>
          <w:color w:val="auto"/>
          <w:szCs w:val="21"/>
          <w:highlight w:val="none"/>
        </w:rPr>
        <w:t>项目特征</w:t>
      </w:r>
      <w:r>
        <w:rPr>
          <w:rFonts w:ascii="宋体" w:hAnsi="宋体"/>
          <w:b/>
          <w:color w:val="auto"/>
          <w:szCs w:val="21"/>
          <w:highlight w:val="none"/>
        </w:rPr>
        <w:t>不一致，以项目编码为准；如项目编码与</w:t>
      </w:r>
      <w:r>
        <w:rPr>
          <w:rFonts w:hint="eastAsia" w:ascii="宋体" w:hAnsi="宋体"/>
          <w:b/>
          <w:color w:val="auto"/>
          <w:szCs w:val="21"/>
          <w:highlight w:val="none"/>
        </w:rPr>
        <w:t>项目特征、</w:t>
      </w:r>
      <w:r>
        <w:rPr>
          <w:rFonts w:ascii="宋体" w:hAnsi="宋体"/>
          <w:b/>
          <w:color w:val="auto"/>
          <w:szCs w:val="21"/>
          <w:highlight w:val="none"/>
        </w:rPr>
        <w:t>计量单位、工程数量无法一一对应，该清单项目作废，该清单项目的费用视为包含在其他清单中；如作废的清单项目达到3项以上（含本数）或作废的清单项目造价累计超过单位工程竞标报价的2%（含本数），视为不响应竞争性谈判文件实质性内容，作</w:t>
      </w:r>
      <w:r>
        <w:rPr>
          <w:rFonts w:hint="eastAsia" w:ascii="宋体" w:hAnsi="宋体"/>
          <w:b/>
          <w:color w:val="auto"/>
          <w:szCs w:val="21"/>
          <w:highlight w:val="none"/>
        </w:rPr>
        <w:t>无效竞标</w:t>
      </w:r>
      <w:r>
        <w:rPr>
          <w:rFonts w:ascii="宋体" w:hAnsi="宋体"/>
          <w:b/>
          <w:color w:val="auto"/>
          <w:szCs w:val="21"/>
          <w:highlight w:val="none"/>
        </w:rPr>
        <w:t>处理。</w:t>
      </w:r>
    </w:p>
    <w:p>
      <w:pPr>
        <w:spacing w:line="380" w:lineRule="exact"/>
        <w:ind w:firstLine="480"/>
        <w:rPr>
          <w:rFonts w:ascii="宋体" w:hAnsi="宋体"/>
          <w:b/>
          <w:color w:val="auto"/>
          <w:szCs w:val="21"/>
          <w:highlight w:val="none"/>
        </w:rPr>
      </w:pPr>
      <w:r>
        <w:rPr>
          <w:rFonts w:ascii="宋体" w:hAnsi="宋体"/>
          <w:b/>
          <w:color w:val="auto"/>
          <w:szCs w:val="21"/>
          <w:highlight w:val="none"/>
        </w:rPr>
        <w:t>7.1.1</w:t>
      </w:r>
      <w:r>
        <w:rPr>
          <w:rFonts w:hint="eastAsia" w:ascii="宋体" w:hAnsi="宋体"/>
          <w:b/>
          <w:color w:val="auto"/>
          <w:szCs w:val="21"/>
          <w:highlight w:val="none"/>
        </w:rPr>
        <w:t>1竞标人必须按照采购人提供的工程量清单中的工程量来填报报价，工程量清单必须应用不褪色的材料手抄填写或打印。若竞标文件中的工程量与采购人提供的工程量不一致，将作无效竞标处理。</w:t>
      </w:r>
    </w:p>
    <w:p>
      <w:pPr>
        <w:spacing w:line="380" w:lineRule="exact"/>
        <w:ind w:firstLine="420" w:firstLineChars="200"/>
        <w:rPr>
          <w:rFonts w:ascii="宋体" w:hAnsi="宋体"/>
          <w:b/>
          <w:color w:val="auto"/>
          <w:szCs w:val="21"/>
          <w:highlight w:val="none"/>
        </w:rPr>
      </w:pPr>
      <w:r>
        <w:rPr>
          <w:rFonts w:hint="eastAsia" w:ascii="宋体" w:hAnsi="宋体"/>
          <w:color w:val="auto"/>
          <w:szCs w:val="21"/>
          <w:highlight w:val="none"/>
        </w:rPr>
        <w:t>7.1.12竞标人不得采用总价优惠、总价百分比优惠或以报价调整函的方式进行竞标报价，其优惠应直接体现在各项竞标报价的单价中，竞标函中的报价必须与工程量清单汇总表一致，否则作废标处理。</w:t>
      </w:r>
    </w:p>
    <w:p>
      <w:pPr>
        <w:spacing w:line="380" w:lineRule="exact"/>
        <w:ind w:firstLine="480"/>
        <w:rPr>
          <w:rFonts w:ascii="宋体" w:hAnsi="宋体"/>
          <w:color w:val="auto"/>
          <w:szCs w:val="21"/>
          <w:highlight w:val="none"/>
        </w:rPr>
      </w:pPr>
      <w:r>
        <w:rPr>
          <w:rFonts w:ascii="宋体" w:hAnsi="宋体"/>
          <w:color w:val="auto"/>
          <w:szCs w:val="21"/>
          <w:highlight w:val="none"/>
        </w:rPr>
        <w:t>7.1.1</w:t>
      </w:r>
      <w:r>
        <w:rPr>
          <w:rFonts w:hint="eastAsia" w:ascii="宋体" w:hAnsi="宋体"/>
          <w:color w:val="auto"/>
          <w:szCs w:val="21"/>
          <w:highlight w:val="none"/>
        </w:rPr>
        <w:t>3 因施工产生的污水、废水、建筑垃圾以及噪音扰民等的处置由承包人负责，相关费用结合工程量清单综合考虑。</w:t>
      </w:r>
    </w:p>
    <w:p>
      <w:pPr>
        <w:spacing w:line="380" w:lineRule="exact"/>
        <w:ind w:firstLine="480"/>
        <w:rPr>
          <w:rFonts w:ascii="宋体" w:hAnsi="宋体"/>
          <w:color w:val="auto"/>
          <w:szCs w:val="21"/>
          <w:highlight w:val="none"/>
        </w:rPr>
      </w:pPr>
      <w:r>
        <w:rPr>
          <w:rFonts w:hint="eastAsia" w:ascii="宋体" w:hAnsi="宋体"/>
          <w:color w:val="auto"/>
          <w:szCs w:val="21"/>
          <w:highlight w:val="none"/>
        </w:rPr>
        <w:t>7.1.14</w:t>
      </w:r>
      <w:r>
        <w:rPr>
          <w:rFonts w:ascii="宋体" w:hAnsi="宋体"/>
          <w:color w:val="auto"/>
          <w:szCs w:val="21"/>
          <w:highlight w:val="none"/>
        </w:rPr>
        <w:t>竞标人可先到工地踏勘以充分了解工地位置、情况、道路、储存空间、装卸限制及任何其他足以影响承包价的情况，任何因忽视或误解工地情况而导致的索赔或工期延长申请将不被批准。</w:t>
      </w:r>
      <w:r>
        <w:rPr>
          <w:rFonts w:hint="eastAsia" w:ascii="宋体" w:hAnsi="宋体"/>
          <w:color w:val="auto"/>
          <w:szCs w:val="21"/>
          <w:highlight w:val="none"/>
        </w:rPr>
        <w:t>由竞标人自行考虑主要材料价格涨跌的风险。因征地拆迁影响及重大设计变更等建设单位原因，在竞标后延迟开工或中途停建重新复工的施工工期内，按有关政府规定执行。</w:t>
      </w:r>
    </w:p>
    <w:p>
      <w:pPr>
        <w:spacing w:line="380" w:lineRule="exact"/>
        <w:ind w:firstLine="480"/>
        <w:rPr>
          <w:rFonts w:ascii="宋体" w:hAnsi="宋体"/>
          <w:color w:val="auto"/>
          <w:szCs w:val="21"/>
          <w:highlight w:val="none"/>
        </w:rPr>
      </w:pPr>
      <w:r>
        <w:rPr>
          <w:rFonts w:hint="eastAsia" w:ascii="宋体" w:hAnsi="宋体"/>
          <w:color w:val="auto"/>
          <w:szCs w:val="21"/>
          <w:highlight w:val="none"/>
        </w:rPr>
        <w:t>7.1.15竞标人应充分考虑沿路单位及过路车辆、行人的交通疏导问题，因交通管理导致的费用由竞标人自行承担。</w:t>
      </w:r>
    </w:p>
    <w:p>
      <w:pPr>
        <w:tabs>
          <w:tab w:val="left" w:pos="742"/>
        </w:tabs>
        <w:spacing w:line="380" w:lineRule="exact"/>
        <w:ind w:firstLine="81" w:firstLineChars="39"/>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7.2 计算依据：</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7.2.1.</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bCs/>
          <w:color w:val="0000FF"/>
          <w:szCs w:val="21"/>
          <w:highlight w:val="none"/>
        </w:rPr>
      </w:pPr>
      <w:r>
        <w:rPr>
          <w:rFonts w:hint="eastAsia" w:ascii="宋体" w:hAnsi="宋体"/>
          <w:b/>
          <w:bCs/>
          <w:color w:val="0000FF"/>
          <w:szCs w:val="21"/>
          <w:highlight w:val="none"/>
          <w:lang w:eastAsia="zh-CN"/>
        </w:rPr>
        <w:t>（</w:t>
      </w:r>
      <w:r>
        <w:rPr>
          <w:rFonts w:hint="eastAsia" w:ascii="宋体" w:hAnsi="宋体"/>
          <w:b/>
          <w:bCs/>
          <w:color w:val="0000FF"/>
          <w:szCs w:val="21"/>
          <w:highlight w:val="none"/>
          <w:lang w:val="en-US" w:eastAsia="zh-CN"/>
        </w:rPr>
        <w:t>1</w:t>
      </w:r>
      <w:r>
        <w:rPr>
          <w:rFonts w:hint="eastAsia" w:ascii="宋体" w:hAnsi="宋体"/>
          <w:b/>
          <w:bCs/>
          <w:color w:val="0000FF"/>
          <w:szCs w:val="21"/>
          <w:highlight w:val="none"/>
          <w:lang w:eastAsia="zh-CN"/>
        </w:rPr>
        <w:t>）</w:t>
      </w:r>
      <w:r>
        <w:rPr>
          <w:rFonts w:hint="eastAsia" w:ascii="宋体" w:hAnsi="宋体"/>
          <w:b/>
          <w:bCs/>
          <w:color w:val="0000FF"/>
          <w:szCs w:val="21"/>
          <w:highlight w:val="none"/>
        </w:rPr>
        <w:t>《建设工程工程量清单计价规范》(GB50500-2013)及《建设工程工程量清单计价规范》(GB50500-2013)广西壮族自治区实施细则》；</w:t>
      </w:r>
    </w:p>
    <w:p>
      <w:pPr>
        <w:keepNext w:val="0"/>
        <w:keepLines w:val="0"/>
        <w:pageBreakBefore w:val="0"/>
        <w:widowControl w:val="0"/>
        <w:kinsoku/>
        <w:wordWrap/>
        <w:overflowPunct/>
        <w:topLinePunct w:val="0"/>
        <w:autoSpaceDE/>
        <w:autoSpaceDN/>
        <w:bidi w:val="0"/>
        <w:adjustRightInd/>
        <w:snapToGrid/>
        <w:spacing w:line="380" w:lineRule="exact"/>
        <w:ind w:left="420" w:leftChars="200" w:firstLine="0" w:firstLineChars="0"/>
        <w:textAlignment w:val="auto"/>
        <w:rPr>
          <w:rFonts w:hint="eastAsia" w:ascii="宋体" w:hAnsi="宋体"/>
          <w:b/>
          <w:bCs/>
          <w:color w:val="0000FF"/>
          <w:szCs w:val="21"/>
          <w:highlight w:val="none"/>
        </w:rPr>
      </w:pPr>
      <w:r>
        <w:rPr>
          <w:rFonts w:hint="eastAsia" w:ascii="宋体" w:hAnsi="宋体"/>
          <w:b/>
          <w:bCs/>
          <w:color w:val="0000FF"/>
          <w:szCs w:val="21"/>
          <w:highlight w:val="none"/>
          <w:lang w:eastAsia="zh-CN"/>
        </w:rPr>
        <w:t>（</w:t>
      </w:r>
      <w:r>
        <w:rPr>
          <w:rFonts w:hint="eastAsia" w:ascii="宋体" w:hAnsi="宋体"/>
          <w:b/>
          <w:bCs/>
          <w:color w:val="0000FF"/>
          <w:szCs w:val="21"/>
          <w:highlight w:val="none"/>
          <w:lang w:val="en-US" w:eastAsia="zh-CN"/>
        </w:rPr>
        <w:t>2</w:t>
      </w:r>
      <w:r>
        <w:rPr>
          <w:rFonts w:hint="eastAsia" w:ascii="宋体" w:hAnsi="宋体"/>
          <w:b/>
          <w:bCs/>
          <w:color w:val="0000FF"/>
          <w:szCs w:val="21"/>
          <w:highlight w:val="none"/>
          <w:lang w:eastAsia="zh-CN"/>
        </w:rPr>
        <w:t>）</w:t>
      </w:r>
      <w:r>
        <w:rPr>
          <w:rFonts w:hint="eastAsia" w:ascii="宋体" w:hAnsi="宋体"/>
          <w:b/>
          <w:bCs/>
          <w:color w:val="0000FF"/>
          <w:szCs w:val="21"/>
          <w:highlight w:val="none"/>
        </w:rPr>
        <w:t>《建设工程工程量计算规范》（GB50854～50862-2013）及其广西壮族自治区实施细则（修订本）；</w:t>
      </w:r>
      <w:r>
        <w:rPr>
          <w:rFonts w:hint="eastAsia" w:ascii="宋体" w:hAnsi="宋体"/>
          <w:b/>
          <w:bCs/>
          <w:color w:val="0000FF"/>
          <w:szCs w:val="21"/>
          <w:highlight w:val="none"/>
          <w:lang w:eastAsia="zh-CN"/>
        </w:rPr>
        <w:t>（</w:t>
      </w:r>
      <w:r>
        <w:rPr>
          <w:rFonts w:hint="eastAsia" w:ascii="宋体" w:hAnsi="宋体"/>
          <w:b/>
          <w:bCs/>
          <w:color w:val="0000FF"/>
          <w:szCs w:val="21"/>
          <w:highlight w:val="none"/>
          <w:lang w:val="en-US" w:eastAsia="zh-CN"/>
        </w:rPr>
        <w:t>3</w:t>
      </w:r>
      <w:r>
        <w:rPr>
          <w:rFonts w:hint="eastAsia" w:ascii="宋体" w:hAnsi="宋体"/>
          <w:b/>
          <w:bCs/>
          <w:color w:val="0000FF"/>
          <w:szCs w:val="21"/>
          <w:highlight w:val="none"/>
          <w:lang w:eastAsia="zh-CN"/>
        </w:rPr>
        <w:t>）</w:t>
      </w:r>
      <w:r>
        <w:rPr>
          <w:rFonts w:hint="eastAsia" w:ascii="宋体" w:hAnsi="宋体"/>
          <w:b/>
          <w:bCs/>
          <w:color w:val="0000FF"/>
          <w:szCs w:val="21"/>
          <w:highlight w:val="none"/>
        </w:rPr>
        <w:t>2013年《广西壮族自治区建筑装饰装修工程消耗量定额》及计价相关规定；</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bCs/>
          <w:color w:val="0000FF"/>
          <w:szCs w:val="21"/>
          <w:highlight w:val="none"/>
        </w:rPr>
      </w:pPr>
      <w:r>
        <w:rPr>
          <w:rFonts w:hint="eastAsia" w:ascii="宋体" w:hAnsi="宋体"/>
          <w:b/>
          <w:bCs/>
          <w:color w:val="0000FF"/>
          <w:szCs w:val="21"/>
          <w:highlight w:val="none"/>
          <w:lang w:eastAsia="zh-CN"/>
        </w:rPr>
        <w:t>（</w:t>
      </w:r>
      <w:r>
        <w:rPr>
          <w:rFonts w:hint="eastAsia" w:ascii="宋体" w:hAnsi="宋体"/>
          <w:b/>
          <w:bCs/>
          <w:color w:val="0000FF"/>
          <w:szCs w:val="21"/>
          <w:highlight w:val="none"/>
          <w:lang w:val="en-US" w:eastAsia="zh-CN"/>
        </w:rPr>
        <w:t>4</w:t>
      </w:r>
      <w:r>
        <w:rPr>
          <w:rFonts w:hint="eastAsia" w:ascii="宋体" w:hAnsi="宋体"/>
          <w:b/>
          <w:bCs/>
          <w:color w:val="0000FF"/>
          <w:szCs w:val="21"/>
          <w:highlight w:val="none"/>
          <w:lang w:eastAsia="zh-CN"/>
        </w:rPr>
        <w:t>）</w:t>
      </w:r>
      <w:r>
        <w:rPr>
          <w:rFonts w:hint="eastAsia" w:ascii="宋体" w:hAnsi="宋体"/>
          <w:b/>
          <w:bCs/>
          <w:color w:val="0000FF"/>
          <w:szCs w:val="21"/>
          <w:highlight w:val="none"/>
        </w:rPr>
        <w:t>2013年《广西壮族自治区建筑装饰装修工程造价要素基期价》；</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bCs/>
          <w:color w:val="0000FF"/>
          <w:szCs w:val="21"/>
          <w:highlight w:val="none"/>
        </w:rPr>
      </w:pPr>
      <w:r>
        <w:rPr>
          <w:rFonts w:hint="eastAsia" w:ascii="宋体" w:hAnsi="宋体"/>
          <w:b/>
          <w:bCs/>
          <w:color w:val="0000FF"/>
          <w:szCs w:val="21"/>
          <w:highlight w:val="none"/>
          <w:lang w:eastAsia="zh-CN"/>
        </w:rPr>
        <w:t>（</w:t>
      </w:r>
      <w:r>
        <w:rPr>
          <w:rFonts w:hint="eastAsia" w:ascii="宋体" w:hAnsi="宋体"/>
          <w:b/>
          <w:bCs/>
          <w:color w:val="0000FF"/>
          <w:szCs w:val="21"/>
          <w:highlight w:val="none"/>
          <w:lang w:val="en-US" w:eastAsia="zh-CN"/>
        </w:rPr>
        <w:t>5</w:t>
      </w:r>
      <w:r>
        <w:rPr>
          <w:rFonts w:hint="eastAsia" w:ascii="宋体" w:hAnsi="宋体"/>
          <w:b/>
          <w:bCs/>
          <w:color w:val="0000FF"/>
          <w:szCs w:val="21"/>
          <w:highlight w:val="none"/>
          <w:lang w:eastAsia="zh-CN"/>
        </w:rPr>
        <w:t>）</w:t>
      </w:r>
      <w:r>
        <w:rPr>
          <w:rFonts w:hint="eastAsia" w:ascii="宋体" w:hAnsi="宋体"/>
          <w:b/>
          <w:bCs/>
          <w:color w:val="0000FF"/>
          <w:szCs w:val="21"/>
          <w:highlight w:val="none"/>
        </w:rPr>
        <w:t>2015版《广西壮族自治区安装工程消耗量定额》及计价相关规定；</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bCs/>
          <w:color w:val="0000FF"/>
          <w:szCs w:val="21"/>
          <w:highlight w:val="none"/>
        </w:rPr>
      </w:pPr>
      <w:r>
        <w:rPr>
          <w:rFonts w:hint="eastAsia" w:ascii="宋体" w:hAnsi="宋体"/>
          <w:b/>
          <w:bCs/>
          <w:color w:val="0000FF"/>
          <w:szCs w:val="21"/>
          <w:highlight w:val="none"/>
          <w:lang w:eastAsia="zh-CN"/>
        </w:rPr>
        <w:t>（</w:t>
      </w:r>
      <w:r>
        <w:rPr>
          <w:rFonts w:hint="eastAsia" w:ascii="宋体" w:hAnsi="宋体"/>
          <w:b/>
          <w:bCs/>
          <w:color w:val="0000FF"/>
          <w:szCs w:val="21"/>
          <w:highlight w:val="none"/>
          <w:lang w:val="en-US" w:eastAsia="zh-CN"/>
        </w:rPr>
        <w:t>6</w:t>
      </w:r>
      <w:r>
        <w:rPr>
          <w:rFonts w:hint="eastAsia" w:ascii="宋体" w:hAnsi="宋体"/>
          <w:b/>
          <w:bCs/>
          <w:color w:val="0000FF"/>
          <w:szCs w:val="21"/>
          <w:highlight w:val="none"/>
          <w:lang w:eastAsia="zh-CN"/>
        </w:rPr>
        <w:t>）</w:t>
      </w:r>
      <w:r>
        <w:rPr>
          <w:rFonts w:hint="eastAsia" w:ascii="宋体" w:hAnsi="宋体"/>
          <w:b/>
          <w:bCs/>
          <w:color w:val="0000FF"/>
          <w:szCs w:val="21"/>
          <w:highlight w:val="none"/>
        </w:rPr>
        <w:t>2016年《广西壮族自治区建设工程费用定额》及计价相关规定；</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bCs/>
          <w:color w:val="0000FF"/>
          <w:szCs w:val="21"/>
          <w:highlight w:val="none"/>
        </w:rPr>
      </w:pPr>
      <w:r>
        <w:rPr>
          <w:rFonts w:hint="eastAsia" w:ascii="宋体" w:hAnsi="宋体"/>
          <w:b/>
          <w:bCs/>
          <w:color w:val="0000FF"/>
          <w:szCs w:val="21"/>
          <w:highlight w:val="none"/>
          <w:lang w:eastAsia="zh-CN"/>
        </w:rPr>
        <w:t>（</w:t>
      </w:r>
      <w:r>
        <w:rPr>
          <w:rFonts w:hint="eastAsia" w:ascii="宋体" w:hAnsi="宋体"/>
          <w:b/>
          <w:bCs/>
          <w:color w:val="0000FF"/>
          <w:szCs w:val="21"/>
          <w:highlight w:val="none"/>
          <w:lang w:val="en-US" w:eastAsia="zh-CN"/>
        </w:rPr>
        <w:t>7</w:t>
      </w:r>
      <w:r>
        <w:rPr>
          <w:rFonts w:hint="eastAsia" w:ascii="宋体" w:hAnsi="宋体"/>
          <w:b/>
          <w:bCs/>
          <w:color w:val="0000FF"/>
          <w:szCs w:val="21"/>
          <w:highlight w:val="none"/>
          <w:lang w:eastAsia="zh-CN"/>
        </w:rPr>
        <w:t>）</w:t>
      </w:r>
      <w:r>
        <w:rPr>
          <w:rFonts w:hint="eastAsia" w:ascii="宋体" w:hAnsi="宋体"/>
          <w:b/>
          <w:bCs/>
          <w:color w:val="0000FF"/>
          <w:szCs w:val="21"/>
          <w:highlight w:val="none"/>
        </w:rPr>
        <w:t>关于调整建设工程定额人工费及有关费率的通知（桂建标[2015]5号)；；</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b/>
          <w:bCs/>
          <w:color w:val="0000FF"/>
          <w:szCs w:val="21"/>
          <w:highlight w:val="none"/>
        </w:rPr>
      </w:pPr>
      <w:r>
        <w:rPr>
          <w:rFonts w:hint="eastAsia" w:ascii="宋体" w:hAnsi="宋体"/>
          <w:b/>
          <w:bCs/>
          <w:color w:val="0000FF"/>
          <w:szCs w:val="21"/>
          <w:highlight w:val="none"/>
          <w:lang w:eastAsia="zh-CN"/>
        </w:rPr>
        <w:t>（</w:t>
      </w:r>
      <w:r>
        <w:rPr>
          <w:rFonts w:hint="eastAsia" w:ascii="宋体" w:hAnsi="宋体"/>
          <w:b/>
          <w:bCs/>
          <w:color w:val="0000FF"/>
          <w:szCs w:val="21"/>
          <w:highlight w:val="none"/>
          <w:lang w:val="en-US" w:eastAsia="zh-CN"/>
        </w:rPr>
        <w:t>8</w:t>
      </w:r>
      <w:r>
        <w:rPr>
          <w:rFonts w:hint="eastAsia" w:ascii="宋体" w:hAnsi="宋体"/>
          <w:b/>
          <w:bCs/>
          <w:color w:val="0000FF"/>
          <w:szCs w:val="21"/>
          <w:highlight w:val="none"/>
          <w:lang w:eastAsia="zh-CN"/>
        </w:rPr>
        <w:t>）</w:t>
      </w:r>
      <w:r>
        <w:rPr>
          <w:rFonts w:hint="eastAsia" w:ascii="宋体" w:hAnsi="宋体"/>
          <w:b/>
          <w:bCs/>
          <w:color w:val="0000FF"/>
          <w:szCs w:val="21"/>
          <w:highlight w:val="none"/>
        </w:rPr>
        <w:t>材料价格采用2020年第八期《百色市建设工程造价信息》发布价格信息；对于造价信息没有发布价格信息的材料，其价格参照市场工地价。</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7.2.2根据桂建管字[1999]第2号文件规定，竞标报价中不含劳动保险费。</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7.2.3工程措施项目中的安全施工费、文明施工费、环境保护费、临时设施费，按桂建质[2006]22号文规定的规费标准计取执行，不进行采购采购竞争。该四项费用经检查考核符合要求后，每月支付一次，但总价不得超出该四项费用的总费用。</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7.2.4 竞标人工程量清单中原有项目的工程量结算无论增减多少，均按原单价支付，承包人必须按发包人的指令进行施工，不得以任何理由拒绝，否则将视为违约，竞标人必须在报价中充分考虑由工程量变化带来的风险。</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7.2.5工伤保险费按桂建管[2008]37号文执行。建设工程检验试验费和检验试验配合费按桂建标[2009]7号文计取。检验试验费和检验试验配合费若竞标人不按桂建标[2009]7号文规定的计费标准报价或少报价、零报价的，工程结算时超过报价部分的及零报价的不给予计算。</w:t>
      </w:r>
    </w:p>
    <w:p>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7.2.6本工程的竞标报价不准使用报价调整函、竞标函中的报价必须与工程量清单汇总表一致，否则作无效竞标处理。</w:t>
      </w:r>
    </w:p>
    <w:p>
      <w:pPr>
        <w:spacing w:line="380" w:lineRule="exact"/>
        <w:ind w:firstLine="452"/>
        <w:rPr>
          <w:rFonts w:ascii="宋体" w:hAnsi="宋体"/>
          <w:b/>
          <w:color w:val="auto"/>
          <w:szCs w:val="21"/>
          <w:highlight w:val="none"/>
        </w:rPr>
      </w:pPr>
      <w:bookmarkStart w:id="97" w:name="_Toc71782115"/>
      <w:r>
        <w:rPr>
          <w:rFonts w:ascii="宋体" w:hAnsi="宋体"/>
          <w:b/>
          <w:color w:val="auto"/>
          <w:szCs w:val="21"/>
          <w:highlight w:val="none"/>
        </w:rPr>
        <w:t>7.3</w:t>
      </w:r>
      <w:r>
        <w:rPr>
          <w:rFonts w:hint="eastAsia" w:ascii="宋体" w:hAnsi="宋体"/>
          <w:b/>
          <w:color w:val="auto"/>
          <w:szCs w:val="21"/>
          <w:highlight w:val="none"/>
        </w:rPr>
        <w:t xml:space="preserve"> 上限</w:t>
      </w:r>
      <w:r>
        <w:rPr>
          <w:rFonts w:ascii="宋体" w:hAnsi="宋体"/>
          <w:b/>
          <w:color w:val="auto"/>
          <w:szCs w:val="21"/>
          <w:highlight w:val="none"/>
        </w:rPr>
        <w:t>控制价</w:t>
      </w:r>
      <w:bookmarkEnd w:id="97"/>
      <w:r>
        <w:rPr>
          <w:rFonts w:hint="eastAsia" w:ascii="宋体" w:hAnsi="宋体"/>
          <w:b/>
          <w:color w:val="auto"/>
          <w:szCs w:val="21"/>
          <w:highlight w:val="none"/>
        </w:rPr>
        <w:t>。</w:t>
      </w:r>
    </w:p>
    <w:p>
      <w:pPr>
        <w:snapToGrid w:val="0"/>
        <w:spacing w:line="380" w:lineRule="exact"/>
        <w:ind w:firstLine="420" w:firstLineChars="200"/>
        <w:rPr>
          <w:rFonts w:ascii="宋体" w:hAnsi="宋体"/>
          <w:color w:val="auto"/>
          <w:szCs w:val="21"/>
          <w:highlight w:val="none"/>
        </w:rPr>
      </w:pPr>
      <w:r>
        <w:rPr>
          <w:rFonts w:ascii="宋体" w:hAnsi="宋体"/>
          <w:color w:val="auto"/>
          <w:szCs w:val="21"/>
          <w:highlight w:val="none"/>
        </w:rPr>
        <w:t>7.3.1</w:t>
      </w:r>
      <w:r>
        <w:rPr>
          <w:rFonts w:hint="eastAsia" w:ascii="宋体" w:hAnsi="宋体"/>
          <w:color w:val="auto"/>
          <w:szCs w:val="21"/>
          <w:highlight w:val="none"/>
        </w:rPr>
        <w:t xml:space="preserve"> </w:t>
      </w:r>
      <w:r>
        <w:rPr>
          <w:rFonts w:ascii="宋体" w:hAnsi="宋体"/>
          <w:color w:val="auto"/>
          <w:szCs w:val="21"/>
          <w:highlight w:val="none"/>
        </w:rPr>
        <w:t>本工程的</w:t>
      </w:r>
      <w:r>
        <w:rPr>
          <w:rFonts w:hint="eastAsia" w:ascii="宋体" w:hAnsi="宋体"/>
          <w:color w:val="auto"/>
          <w:szCs w:val="21"/>
          <w:highlight w:val="none"/>
        </w:rPr>
        <w:t>上限控制价为</w:t>
      </w:r>
      <w:r>
        <w:rPr>
          <w:rFonts w:hint="eastAsia" w:ascii="宋体" w:hAnsi="宋体" w:cs="宋体"/>
          <w:b/>
          <w:bCs/>
          <w:color w:val="0000FF"/>
          <w:kern w:val="0"/>
          <w:szCs w:val="21"/>
          <w:highlight w:val="none"/>
          <w:lang w:bidi="ar"/>
        </w:rPr>
        <w:t>人民币</w:t>
      </w:r>
      <w:r>
        <w:rPr>
          <w:rFonts w:hint="eastAsia" w:ascii="宋体" w:hAnsi="宋体" w:cs="宋体"/>
          <w:b/>
          <w:bCs/>
          <w:color w:val="0000FF"/>
          <w:kern w:val="0"/>
          <w:szCs w:val="21"/>
          <w:highlight w:val="none"/>
          <w:lang w:eastAsia="zh-CN" w:bidi="ar"/>
        </w:rPr>
        <w:t>玖拾捌万捌仟伍佰玖拾玖元陆角贰分（￥988599.62元）</w:t>
      </w:r>
      <w:r>
        <w:rPr>
          <w:rFonts w:hint="eastAsia" w:ascii="宋体" w:hAnsi="宋体" w:cs="宋体"/>
          <w:color w:val="auto"/>
          <w:kern w:val="0"/>
          <w:szCs w:val="21"/>
          <w:highlight w:val="none"/>
          <w:lang w:bidi="ar"/>
        </w:rPr>
        <w:t>，具体</w:t>
      </w:r>
      <w:r>
        <w:rPr>
          <w:rFonts w:hint="eastAsia" w:ascii="宋体" w:hAnsi="宋体"/>
          <w:color w:val="auto"/>
          <w:szCs w:val="21"/>
          <w:highlight w:val="none"/>
        </w:rPr>
        <w:t>详见第</w:t>
      </w:r>
      <w:r>
        <w:rPr>
          <w:rFonts w:hint="eastAsia" w:ascii="宋体" w:hAnsi="宋体"/>
          <w:color w:val="auto"/>
          <w:szCs w:val="21"/>
          <w:highlight w:val="none"/>
          <w:lang w:eastAsia="zh-CN"/>
        </w:rPr>
        <w:t>七</w:t>
      </w:r>
      <w:r>
        <w:rPr>
          <w:rFonts w:hint="eastAsia" w:ascii="宋体" w:hAnsi="宋体"/>
          <w:color w:val="auto"/>
          <w:szCs w:val="21"/>
          <w:highlight w:val="none"/>
        </w:rPr>
        <w:t>章《评标办法》。</w:t>
      </w:r>
    </w:p>
    <w:p>
      <w:pPr>
        <w:spacing w:line="380" w:lineRule="exact"/>
        <w:ind w:firstLine="452"/>
        <w:rPr>
          <w:rFonts w:ascii="宋体" w:hAnsi="宋体"/>
          <w:color w:val="auto"/>
          <w:szCs w:val="21"/>
          <w:highlight w:val="none"/>
        </w:rPr>
      </w:pPr>
      <w:r>
        <w:rPr>
          <w:rFonts w:ascii="宋体" w:hAnsi="宋体"/>
          <w:color w:val="auto"/>
          <w:szCs w:val="21"/>
          <w:highlight w:val="none"/>
        </w:rPr>
        <w:t>7.3.2竞标人应认真对照施工设计图纸等文件核对</w:t>
      </w:r>
      <w:r>
        <w:rPr>
          <w:rFonts w:hint="eastAsia" w:ascii="宋体" w:hAnsi="宋体"/>
          <w:color w:val="auto"/>
          <w:szCs w:val="21"/>
          <w:highlight w:val="none"/>
        </w:rPr>
        <w:t>采购</w:t>
      </w:r>
      <w:r>
        <w:rPr>
          <w:rFonts w:ascii="宋体" w:hAnsi="宋体"/>
          <w:color w:val="auto"/>
          <w:szCs w:val="21"/>
          <w:highlight w:val="none"/>
        </w:rPr>
        <w:t>人公布的工程</w:t>
      </w:r>
      <w:r>
        <w:rPr>
          <w:rFonts w:hint="eastAsia" w:ascii="宋体" w:hAnsi="宋体"/>
          <w:color w:val="auto"/>
          <w:szCs w:val="21"/>
          <w:highlight w:val="none"/>
        </w:rPr>
        <w:t>上限控制价</w:t>
      </w:r>
      <w:r>
        <w:rPr>
          <w:rFonts w:ascii="宋体" w:hAnsi="宋体"/>
          <w:color w:val="auto"/>
          <w:szCs w:val="21"/>
          <w:highlight w:val="none"/>
        </w:rPr>
        <w:t>，发现工程</w:t>
      </w:r>
      <w:r>
        <w:rPr>
          <w:rFonts w:hint="eastAsia" w:ascii="宋体" w:hAnsi="宋体"/>
          <w:color w:val="auto"/>
          <w:szCs w:val="21"/>
          <w:highlight w:val="none"/>
        </w:rPr>
        <w:t>上限控制价</w:t>
      </w:r>
      <w:r>
        <w:rPr>
          <w:rFonts w:ascii="宋体" w:hAnsi="宋体"/>
          <w:color w:val="auto"/>
          <w:szCs w:val="21"/>
          <w:highlight w:val="none"/>
        </w:rPr>
        <w:t>明显误差的，必须在</w:t>
      </w:r>
      <w:r>
        <w:rPr>
          <w:rFonts w:hint="eastAsia" w:ascii="宋体" w:hAnsi="宋体"/>
          <w:color w:val="auto"/>
          <w:szCs w:val="21"/>
          <w:highlight w:val="none"/>
        </w:rPr>
        <w:t>竞</w:t>
      </w:r>
      <w:r>
        <w:rPr>
          <w:rFonts w:ascii="宋体" w:hAnsi="宋体"/>
          <w:color w:val="auto"/>
          <w:szCs w:val="21"/>
          <w:highlight w:val="none"/>
        </w:rPr>
        <w:t>标截止时间</w:t>
      </w:r>
      <w:r>
        <w:rPr>
          <w:rFonts w:hint="eastAsia" w:ascii="宋体" w:hAnsi="宋体"/>
          <w:color w:val="auto"/>
          <w:szCs w:val="21"/>
          <w:highlight w:val="none"/>
          <w:u w:val="single"/>
        </w:rPr>
        <w:t xml:space="preserve"> 1 </w:t>
      </w:r>
      <w:r>
        <w:rPr>
          <w:rFonts w:ascii="宋体" w:hAnsi="宋体"/>
          <w:color w:val="auto"/>
          <w:szCs w:val="21"/>
          <w:highlight w:val="none"/>
        </w:rPr>
        <w:t>天前向</w:t>
      </w:r>
      <w:r>
        <w:rPr>
          <w:rFonts w:hint="eastAsia" w:ascii="宋体" w:hAnsi="宋体"/>
          <w:color w:val="auto"/>
          <w:szCs w:val="21"/>
          <w:highlight w:val="none"/>
        </w:rPr>
        <w:t>采购代理机构</w:t>
      </w:r>
      <w:r>
        <w:rPr>
          <w:rFonts w:ascii="宋体" w:hAnsi="宋体"/>
          <w:color w:val="auto"/>
          <w:szCs w:val="21"/>
          <w:highlight w:val="none"/>
        </w:rPr>
        <w:t>提出书面异议或修正要求。</w:t>
      </w:r>
    </w:p>
    <w:p>
      <w:pPr>
        <w:spacing w:line="380" w:lineRule="exact"/>
        <w:ind w:firstLine="452"/>
        <w:rPr>
          <w:rFonts w:ascii="宋体" w:hAnsi="宋体"/>
          <w:color w:val="auto"/>
          <w:szCs w:val="21"/>
          <w:highlight w:val="none"/>
        </w:rPr>
      </w:pPr>
      <w:r>
        <w:rPr>
          <w:rFonts w:ascii="宋体" w:hAnsi="宋体"/>
          <w:color w:val="auto"/>
          <w:szCs w:val="21"/>
          <w:highlight w:val="none"/>
        </w:rPr>
        <w:t>7.3.3</w:t>
      </w:r>
      <w:r>
        <w:rPr>
          <w:rFonts w:hint="eastAsia" w:ascii="宋体" w:hAnsi="宋体"/>
          <w:color w:val="auto"/>
          <w:szCs w:val="21"/>
          <w:highlight w:val="none"/>
        </w:rPr>
        <w:t>采购代理机构</w:t>
      </w:r>
      <w:r>
        <w:rPr>
          <w:rFonts w:ascii="宋体" w:hAnsi="宋体"/>
          <w:color w:val="auto"/>
          <w:szCs w:val="21"/>
          <w:highlight w:val="none"/>
        </w:rPr>
        <w:t>在收到竞标人提出的书面异议或修正要求后，将对异议或修正要求进行核实。如</w:t>
      </w:r>
      <w:r>
        <w:rPr>
          <w:rFonts w:hint="eastAsia" w:ascii="宋体" w:hAnsi="宋体"/>
          <w:color w:val="auto"/>
          <w:szCs w:val="21"/>
          <w:highlight w:val="none"/>
        </w:rPr>
        <w:t>采购</w:t>
      </w:r>
      <w:r>
        <w:rPr>
          <w:rFonts w:ascii="宋体" w:hAnsi="宋体"/>
          <w:color w:val="auto"/>
          <w:szCs w:val="21"/>
          <w:highlight w:val="none"/>
        </w:rPr>
        <w:t>人认为有必要对工程</w:t>
      </w:r>
      <w:r>
        <w:rPr>
          <w:rFonts w:hint="eastAsia" w:ascii="宋体" w:hAnsi="宋体"/>
          <w:color w:val="auto"/>
          <w:szCs w:val="21"/>
          <w:highlight w:val="none"/>
        </w:rPr>
        <w:t>上限控制价</w:t>
      </w:r>
      <w:r>
        <w:rPr>
          <w:rFonts w:ascii="宋体" w:hAnsi="宋体"/>
          <w:color w:val="auto"/>
          <w:szCs w:val="21"/>
          <w:highlight w:val="none"/>
        </w:rPr>
        <w:t>进行修正的，将在</w:t>
      </w:r>
      <w:r>
        <w:rPr>
          <w:rFonts w:hint="eastAsia" w:ascii="宋体" w:hAnsi="宋体"/>
          <w:color w:val="auto"/>
          <w:szCs w:val="21"/>
          <w:highlight w:val="none"/>
        </w:rPr>
        <w:t>竞</w:t>
      </w:r>
      <w:r>
        <w:rPr>
          <w:rFonts w:ascii="宋体" w:hAnsi="宋体"/>
          <w:color w:val="auto"/>
          <w:szCs w:val="21"/>
          <w:highlight w:val="none"/>
        </w:rPr>
        <w:t>标截止时间</w:t>
      </w:r>
      <w:r>
        <w:rPr>
          <w:rFonts w:hint="eastAsia" w:ascii="宋体" w:hAnsi="宋体"/>
          <w:color w:val="auto"/>
          <w:szCs w:val="21"/>
          <w:highlight w:val="none"/>
          <w:u w:val="single"/>
        </w:rPr>
        <w:t xml:space="preserve"> 3</w:t>
      </w:r>
      <w:r>
        <w:rPr>
          <w:rFonts w:ascii="宋体" w:hAnsi="宋体"/>
          <w:color w:val="auto"/>
          <w:szCs w:val="21"/>
          <w:highlight w:val="none"/>
        </w:rPr>
        <w:t>天前重新公布修正后的工程</w:t>
      </w:r>
      <w:r>
        <w:rPr>
          <w:rFonts w:hint="eastAsia" w:ascii="宋体" w:hAnsi="宋体"/>
          <w:color w:val="auto"/>
          <w:szCs w:val="21"/>
          <w:highlight w:val="none"/>
        </w:rPr>
        <w:t>上限控制价</w:t>
      </w:r>
      <w:r>
        <w:rPr>
          <w:rFonts w:ascii="宋体" w:hAnsi="宋体"/>
          <w:color w:val="auto"/>
          <w:szCs w:val="21"/>
          <w:highlight w:val="none"/>
        </w:rPr>
        <w:t>。</w:t>
      </w:r>
    </w:p>
    <w:p>
      <w:pPr>
        <w:spacing w:line="380" w:lineRule="exact"/>
        <w:ind w:firstLine="452"/>
        <w:rPr>
          <w:rFonts w:ascii="宋体" w:hAnsi="宋体"/>
          <w:color w:val="auto"/>
          <w:szCs w:val="21"/>
          <w:highlight w:val="none"/>
        </w:rPr>
      </w:pPr>
      <w:r>
        <w:rPr>
          <w:rFonts w:ascii="宋体" w:hAnsi="宋体"/>
          <w:color w:val="auto"/>
          <w:szCs w:val="21"/>
          <w:highlight w:val="none"/>
        </w:rPr>
        <w:t>7.3.4根据《广西壮族自治区房屋建筑和市政基础设施工程工程量清单计价施工</w:t>
      </w:r>
      <w:r>
        <w:rPr>
          <w:rFonts w:hint="eastAsia" w:ascii="宋体" w:hAnsi="宋体"/>
          <w:color w:val="auto"/>
          <w:szCs w:val="21"/>
          <w:highlight w:val="none"/>
        </w:rPr>
        <w:t>采购</w:t>
      </w:r>
      <w:r>
        <w:rPr>
          <w:rFonts w:ascii="宋体" w:hAnsi="宋体"/>
          <w:color w:val="auto"/>
          <w:szCs w:val="21"/>
          <w:highlight w:val="none"/>
        </w:rPr>
        <w:t>谈判暂行规定》，</w:t>
      </w:r>
      <w:r>
        <w:rPr>
          <w:rFonts w:hint="eastAsia" w:ascii="宋体" w:hAnsi="宋体"/>
          <w:color w:val="auto"/>
          <w:szCs w:val="21"/>
          <w:highlight w:val="none"/>
        </w:rPr>
        <w:t>采购</w:t>
      </w:r>
      <w:r>
        <w:rPr>
          <w:rFonts w:ascii="宋体" w:hAnsi="宋体"/>
          <w:color w:val="auto"/>
          <w:szCs w:val="21"/>
          <w:highlight w:val="none"/>
        </w:rPr>
        <w:t>人最多只能对工程</w:t>
      </w:r>
      <w:r>
        <w:rPr>
          <w:rFonts w:hint="eastAsia" w:ascii="宋体" w:hAnsi="宋体"/>
          <w:color w:val="auto"/>
          <w:szCs w:val="21"/>
          <w:highlight w:val="none"/>
        </w:rPr>
        <w:t>上限控制价</w:t>
      </w:r>
      <w:r>
        <w:rPr>
          <w:rFonts w:ascii="宋体" w:hAnsi="宋体"/>
          <w:color w:val="auto"/>
          <w:szCs w:val="21"/>
          <w:highlight w:val="none"/>
        </w:rPr>
        <w:t>进行一次修正。</w:t>
      </w:r>
    </w:p>
    <w:p>
      <w:pPr>
        <w:spacing w:line="380" w:lineRule="exact"/>
        <w:rPr>
          <w:rFonts w:ascii="宋体" w:hAnsi="宋体"/>
          <w:color w:val="auto"/>
          <w:szCs w:val="21"/>
          <w:highlight w:val="none"/>
        </w:rPr>
      </w:pPr>
      <w:r>
        <w:rPr>
          <w:rFonts w:ascii="宋体" w:hAnsi="宋体"/>
          <w:color w:val="auto"/>
          <w:szCs w:val="21"/>
          <w:highlight w:val="none"/>
        </w:rPr>
        <w:t xml:space="preserve">    7.4 </w:t>
      </w:r>
      <w:r>
        <w:rPr>
          <w:rFonts w:hint="eastAsia" w:ascii="宋体" w:hAnsi="宋体"/>
          <w:color w:val="auto"/>
          <w:szCs w:val="21"/>
          <w:highlight w:val="none"/>
        </w:rPr>
        <w:t>竞</w:t>
      </w:r>
      <w:r>
        <w:rPr>
          <w:rFonts w:ascii="宋体" w:hAnsi="宋体"/>
          <w:color w:val="auto"/>
          <w:szCs w:val="21"/>
          <w:highlight w:val="none"/>
        </w:rPr>
        <w:t>标货币</w:t>
      </w:r>
    </w:p>
    <w:p>
      <w:pPr>
        <w:spacing w:line="380" w:lineRule="exact"/>
        <w:ind w:firstLine="420" w:firstLineChars="200"/>
        <w:rPr>
          <w:rFonts w:ascii="宋体"/>
          <w:b/>
          <w:bCs/>
          <w:color w:val="auto"/>
          <w:highlight w:val="none"/>
        </w:rPr>
      </w:pPr>
      <w:r>
        <w:rPr>
          <w:rFonts w:ascii="宋体" w:hAnsi="宋体"/>
          <w:color w:val="auto"/>
          <w:szCs w:val="21"/>
          <w:highlight w:val="none"/>
        </w:rPr>
        <w:t>竞标文件报价中的单价和合价全部采用人民币表示。</w:t>
      </w:r>
    </w:p>
    <w:p>
      <w:pPr>
        <w:pStyle w:val="5"/>
        <w:rPr>
          <w:rFonts w:hint="default"/>
          <w:color w:val="auto"/>
          <w:highlight w:val="none"/>
        </w:rPr>
      </w:pPr>
      <w:bookmarkStart w:id="98" w:name="_Toc21087"/>
      <w:bookmarkStart w:id="99" w:name="_Toc239659100"/>
      <w:bookmarkStart w:id="100" w:name="_Toc10114"/>
      <w:r>
        <w:rPr>
          <w:color w:val="auto"/>
          <w:highlight w:val="none"/>
        </w:rPr>
        <w:t>8.竞标文件的语言</w:t>
      </w:r>
      <w:bookmarkEnd w:id="98"/>
      <w:bookmarkEnd w:id="99"/>
      <w:bookmarkEnd w:id="100"/>
    </w:p>
    <w:p>
      <w:pPr>
        <w:spacing w:line="380" w:lineRule="exact"/>
        <w:ind w:firstLine="435"/>
        <w:rPr>
          <w:rFonts w:ascii="宋体" w:hAnsi="宋体"/>
          <w:color w:val="auto"/>
          <w:szCs w:val="21"/>
          <w:highlight w:val="none"/>
        </w:rPr>
      </w:pPr>
      <w:r>
        <w:rPr>
          <w:rFonts w:ascii="宋体" w:hAnsi="宋体"/>
          <w:color w:val="auto"/>
          <w:szCs w:val="21"/>
          <w:highlight w:val="none"/>
        </w:rPr>
        <w:t>竞标文件及竞标人与</w:t>
      </w:r>
      <w:r>
        <w:rPr>
          <w:rFonts w:hint="eastAsia" w:ascii="宋体" w:hAnsi="宋体"/>
          <w:color w:val="auto"/>
          <w:szCs w:val="21"/>
          <w:highlight w:val="none"/>
        </w:rPr>
        <w:t>采购</w:t>
      </w:r>
      <w:r>
        <w:rPr>
          <w:rFonts w:ascii="宋体" w:hAnsi="宋体"/>
          <w:color w:val="auto"/>
          <w:szCs w:val="21"/>
          <w:highlight w:val="none"/>
        </w:rPr>
        <w:t>人之间与</w:t>
      </w:r>
      <w:r>
        <w:rPr>
          <w:rFonts w:hint="eastAsia" w:ascii="宋体" w:hAnsi="宋体"/>
          <w:color w:val="auto"/>
          <w:szCs w:val="21"/>
          <w:highlight w:val="none"/>
        </w:rPr>
        <w:t>竞</w:t>
      </w:r>
      <w:r>
        <w:rPr>
          <w:rFonts w:ascii="宋体" w:hAnsi="宋体"/>
          <w:color w:val="auto"/>
          <w:szCs w:val="21"/>
          <w:highlight w:val="none"/>
        </w:rPr>
        <w:t>标有关的来往通知、函件和文件均应使用中文。</w:t>
      </w:r>
    </w:p>
    <w:p>
      <w:pPr>
        <w:pStyle w:val="5"/>
        <w:rPr>
          <w:rFonts w:hint="default"/>
          <w:color w:val="auto"/>
          <w:highlight w:val="none"/>
        </w:rPr>
      </w:pPr>
      <w:bookmarkStart w:id="101" w:name="_Toc239659101"/>
      <w:bookmarkStart w:id="102" w:name="_Toc31254"/>
      <w:bookmarkStart w:id="103" w:name="_Toc3107"/>
      <w:r>
        <w:rPr>
          <w:color w:val="auto"/>
          <w:highlight w:val="none"/>
        </w:rPr>
        <w:t>9.竞标文件的组成</w:t>
      </w:r>
      <w:bookmarkEnd w:id="101"/>
      <w:bookmarkEnd w:id="102"/>
      <w:bookmarkEnd w:id="103"/>
    </w:p>
    <w:p>
      <w:pPr>
        <w:spacing w:line="380" w:lineRule="exact"/>
        <w:ind w:firstLine="452"/>
        <w:rPr>
          <w:rFonts w:ascii="宋体" w:hAnsi="宋体"/>
          <w:color w:val="auto"/>
          <w:szCs w:val="21"/>
          <w:highlight w:val="none"/>
        </w:rPr>
      </w:pPr>
      <w:r>
        <w:rPr>
          <w:rFonts w:ascii="宋体" w:hAnsi="宋体"/>
          <w:color w:val="auto"/>
          <w:szCs w:val="21"/>
          <w:highlight w:val="none"/>
        </w:rPr>
        <w:t>9.1 竞标文件由竞标人资格审查部分、商务部分</w:t>
      </w:r>
      <w:r>
        <w:rPr>
          <w:rFonts w:hint="eastAsia" w:ascii="宋体" w:hAnsi="宋体"/>
          <w:color w:val="auto"/>
          <w:szCs w:val="21"/>
          <w:highlight w:val="none"/>
        </w:rPr>
        <w:t>、技术部分三</w:t>
      </w:r>
      <w:r>
        <w:rPr>
          <w:rFonts w:ascii="宋体" w:hAnsi="宋体"/>
          <w:color w:val="auto"/>
          <w:szCs w:val="21"/>
          <w:highlight w:val="none"/>
        </w:rPr>
        <w:t>部分组成。</w:t>
      </w:r>
    </w:p>
    <w:p>
      <w:pPr>
        <w:spacing w:line="380" w:lineRule="exact"/>
        <w:ind w:firstLine="452"/>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.2</w:t>
      </w:r>
      <w:r>
        <w:rPr>
          <w:rFonts w:hint="eastAsia" w:ascii="宋体" w:hAnsi="宋体"/>
          <w:b/>
          <w:color w:val="auto"/>
          <w:szCs w:val="21"/>
          <w:highlight w:val="none"/>
        </w:rPr>
        <w:t xml:space="preserve"> </w:t>
      </w:r>
      <w:r>
        <w:rPr>
          <w:rFonts w:ascii="宋体" w:hAnsi="宋体"/>
          <w:b/>
          <w:color w:val="auto"/>
          <w:szCs w:val="21"/>
          <w:highlight w:val="none"/>
        </w:rPr>
        <w:t>资格</w:t>
      </w:r>
      <w:r>
        <w:rPr>
          <w:rFonts w:hint="eastAsia" w:ascii="宋体" w:hAnsi="宋体"/>
          <w:b/>
          <w:color w:val="auto"/>
          <w:szCs w:val="21"/>
          <w:highlight w:val="none"/>
        </w:rPr>
        <w:t>审查</w:t>
      </w:r>
      <w:r>
        <w:rPr>
          <w:rFonts w:ascii="宋体" w:hAnsi="宋体"/>
          <w:b/>
          <w:color w:val="auto"/>
          <w:szCs w:val="21"/>
          <w:highlight w:val="none"/>
        </w:rPr>
        <w:t>部分主要包括下列内容：</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⑴竞标人基本情况</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⑵诚信声明；</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⑶竞标文件签署授权委托书；</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⑷农民工工资保障金承诺书；</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⑸竞标保证金交款凭证；</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⑹安全防护、文明施工措施方案的承诺书；</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⑺项目管理机构及机械设备承诺函；</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⑻竞标人需要说明的其他资料；</w:t>
      </w:r>
    </w:p>
    <w:p>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.3</w:t>
      </w:r>
      <w:r>
        <w:rPr>
          <w:rFonts w:hint="eastAsia" w:ascii="宋体" w:hAnsi="宋体"/>
          <w:b/>
          <w:color w:val="auto"/>
          <w:szCs w:val="21"/>
          <w:highlight w:val="none"/>
        </w:rPr>
        <w:t xml:space="preserve"> </w:t>
      </w:r>
      <w:r>
        <w:rPr>
          <w:rFonts w:ascii="宋体" w:hAnsi="宋体"/>
          <w:b/>
          <w:color w:val="auto"/>
          <w:szCs w:val="21"/>
          <w:highlight w:val="none"/>
        </w:rPr>
        <w:t xml:space="preserve"> 商务部分主要包括下列内容：</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⑴竞标函；</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⑵已标价工程量清单。</w:t>
      </w:r>
    </w:p>
    <w:p>
      <w:pPr>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9.4 技术部分主要包括下列内容：</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9.4.1施工组织设计</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⑴拟投入的主要施工机械设备表；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⑵劳动力计划表；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⑶计划开、竣工日期和施工进度网络图；</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⑷施工总平面图；</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⑸临时用地表。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9.4.2项目管理机构</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⑴项目管理机构配备情况表；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⑵项目经理简历表；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⑶项目总工简历表；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⑷项目其它主要人员简历表；</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⑸项目管理机构配备情况辅助说明资料。</w:t>
      </w:r>
    </w:p>
    <w:p>
      <w:pPr>
        <w:spacing w:line="380" w:lineRule="exact"/>
        <w:ind w:firstLine="464" w:firstLineChars="221"/>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 xml:space="preserve">5 </w:t>
      </w:r>
      <w:r>
        <w:rPr>
          <w:rFonts w:ascii="宋体" w:hAnsi="宋体"/>
          <w:color w:val="auto"/>
          <w:szCs w:val="21"/>
          <w:highlight w:val="none"/>
        </w:rPr>
        <w:t>根据有关规定，竞标人在</w:t>
      </w:r>
      <w:r>
        <w:rPr>
          <w:rFonts w:hint="eastAsia" w:ascii="宋体" w:hAnsi="宋体"/>
          <w:color w:val="auto"/>
          <w:szCs w:val="21"/>
          <w:highlight w:val="none"/>
        </w:rPr>
        <w:t>竞</w:t>
      </w:r>
      <w:r>
        <w:rPr>
          <w:rFonts w:ascii="宋体" w:hAnsi="宋体"/>
          <w:color w:val="auto"/>
          <w:szCs w:val="21"/>
          <w:highlight w:val="none"/>
        </w:rPr>
        <w:t>标时必须在竞标文件中承诺，在发出成交通知书之日起7个工作日内足额将农民工工资保障金转入</w:t>
      </w:r>
      <w:r>
        <w:rPr>
          <w:rFonts w:hint="eastAsia" w:ascii="宋体" w:hAnsi="宋体"/>
          <w:color w:val="auto"/>
          <w:szCs w:val="21"/>
          <w:highlight w:val="none"/>
        </w:rPr>
        <w:t>有关</w:t>
      </w:r>
      <w:r>
        <w:rPr>
          <w:rFonts w:ascii="宋体" w:hAnsi="宋体"/>
          <w:color w:val="auto"/>
          <w:szCs w:val="21"/>
          <w:highlight w:val="none"/>
        </w:rPr>
        <w:t>部门设立的农民工工资保障金专用</w:t>
      </w:r>
      <w:r>
        <w:rPr>
          <w:rFonts w:hint="eastAsia" w:ascii="宋体" w:hAnsi="宋体"/>
          <w:color w:val="auto"/>
          <w:szCs w:val="21"/>
          <w:highlight w:val="none"/>
        </w:rPr>
        <w:t>账</w:t>
      </w:r>
      <w:r>
        <w:rPr>
          <w:rFonts w:ascii="宋体" w:hAnsi="宋体"/>
          <w:color w:val="auto"/>
          <w:szCs w:val="21"/>
          <w:highlight w:val="none"/>
        </w:rPr>
        <w:t>户。一旦其承包的建设工程项目中出现拖欠农民工和工人工资情况的，由</w:t>
      </w:r>
      <w:r>
        <w:rPr>
          <w:rFonts w:hint="eastAsia" w:ascii="宋体" w:hAnsi="宋体"/>
          <w:color w:val="auto"/>
          <w:szCs w:val="21"/>
          <w:highlight w:val="none"/>
        </w:rPr>
        <w:t>有关</w:t>
      </w:r>
      <w:r>
        <w:rPr>
          <w:rFonts w:ascii="宋体" w:hAnsi="宋体"/>
          <w:color w:val="auto"/>
          <w:szCs w:val="21"/>
          <w:highlight w:val="none"/>
        </w:rPr>
        <w:t>部门从其农民工工资保障金中先予划支。如竞标人的竞标文件</w:t>
      </w:r>
      <w:r>
        <w:rPr>
          <w:rFonts w:hint="eastAsia" w:ascii="宋体" w:hAnsi="宋体"/>
          <w:color w:val="auto"/>
          <w:szCs w:val="21"/>
          <w:highlight w:val="none"/>
        </w:rPr>
        <w:t>没有提交上述</w:t>
      </w:r>
      <w:r>
        <w:rPr>
          <w:rFonts w:ascii="宋体" w:hAnsi="宋体"/>
          <w:color w:val="auto"/>
          <w:szCs w:val="21"/>
          <w:highlight w:val="none"/>
        </w:rPr>
        <w:t>承诺的，视为无效竞标文件，取消其</w:t>
      </w:r>
      <w:r>
        <w:rPr>
          <w:rFonts w:hint="eastAsia" w:ascii="宋体" w:hAnsi="宋体"/>
          <w:color w:val="auto"/>
          <w:szCs w:val="21"/>
          <w:highlight w:val="none"/>
        </w:rPr>
        <w:t>竞</w:t>
      </w:r>
      <w:r>
        <w:rPr>
          <w:rFonts w:ascii="宋体" w:hAnsi="宋体"/>
          <w:color w:val="auto"/>
          <w:szCs w:val="21"/>
          <w:highlight w:val="none"/>
        </w:rPr>
        <w:t>标资格。</w:t>
      </w:r>
    </w:p>
    <w:p>
      <w:pPr>
        <w:pStyle w:val="5"/>
        <w:rPr>
          <w:rFonts w:hint="default"/>
          <w:color w:val="auto"/>
          <w:highlight w:val="none"/>
        </w:rPr>
      </w:pPr>
      <w:bookmarkStart w:id="104" w:name="_Toc27087"/>
      <w:bookmarkStart w:id="105" w:name="_Toc19220"/>
      <w:bookmarkStart w:id="106" w:name="_Toc239659103"/>
      <w:r>
        <w:rPr>
          <w:color w:val="auto"/>
          <w:highlight w:val="none"/>
        </w:rPr>
        <w:t>11.竞标保证金</w:t>
      </w:r>
      <w:bookmarkEnd w:id="104"/>
      <w:bookmarkEnd w:id="105"/>
      <w:bookmarkEnd w:id="106"/>
    </w:p>
    <w:p>
      <w:pPr>
        <w:pStyle w:val="17"/>
        <w:spacing w:line="380" w:lineRule="exact"/>
        <w:rPr>
          <w:rFonts w:hAnsi="宋体"/>
          <w:b/>
          <w:color w:val="auto"/>
          <w:szCs w:val="21"/>
          <w:highlight w:val="none"/>
        </w:rPr>
      </w:pPr>
      <w:r>
        <w:rPr>
          <w:rFonts w:hint="eastAsia" w:hAnsi="宋体"/>
          <w:b/>
          <w:color w:val="auto"/>
          <w:szCs w:val="21"/>
          <w:highlight w:val="none"/>
        </w:rPr>
        <w:t xml:space="preserve">    11.1竞标人应提供</w:t>
      </w:r>
      <w:r>
        <w:rPr>
          <w:rFonts w:hint="eastAsia" w:hAnsi="宋体"/>
          <w:b/>
          <w:color w:val="auto"/>
          <w:szCs w:val="21"/>
          <w:highlight w:val="none"/>
          <w:u w:val="single"/>
        </w:rPr>
        <w:t>竞标须知前附表第</w:t>
      </w:r>
      <w:r>
        <w:rPr>
          <w:rFonts w:hint="eastAsia" w:hAnsi="宋体"/>
          <w:b/>
          <w:color w:val="auto"/>
          <w:szCs w:val="21"/>
          <w:highlight w:val="none"/>
          <w:u w:val="single"/>
          <w:lang w:val="en-US" w:eastAsia="zh-CN"/>
        </w:rPr>
        <w:t>9</w:t>
      </w:r>
      <w:r>
        <w:rPr>
          <w:rFonts w:hint="eastAsia" w:hAnsi="宋体"/>
          <w:b/>
          <w:color w:val="auto"/>
          <w:szCs w:val="21"/>
          <w:highlight w:val="none"/>
          <w:u w:val="single"/>
        </w:rPr>
        <w:t>项规定</w:t>
      </w:r>
      <w:r>
        <w:rPr>
          <w:rFonts w:hint="eastAsia" w:hAnsi="宋体"/>
          <w:b/>
          <w:color w:val="auto"/>
          <w:szCs w:val="21"/>
          <w:highlight w:val="none"/>
        </w:rPr>
        <w:t>的竞标保证金，竞标保证金缴款凭据是竞标文件的一个组成部分。竞标人在办理竞标保证金交纳手续时，请务必在银行转账单或汇款单的用途或空白栏中注明项目名称及项目编号，并且交款单位名称必须与竞标人名称保持一致，不按以上要求作无效竞标保证金。</w:t>
      </w:r>
    </w:p>
    <w:p>
      <w:pPr>
        <w:spacing w:line="380" w:lineRule="exact"/>
        <w:rPr>
          <w:rFonts w:ascii="宋体" w:hAnsi="宋体"/>
          <w:b/>
          <w:color w:val="auto"/>
          <w:szCs w:val="21"/>
          <w:highlight w:val="none"/>
        </w:rPr>
      </w:pPr>
      <w:r>
        <w:rPr>
          <w:rFonts w:ascii="宋体" w:hAnsi="宋体"/>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11.2</w:t>
      </w:r>
      <w:r>
        <w:rPr>
          <w:rFonts w:hint="eastAsia" w:ascii="宋体" w:hAnsi="宋体"/>
          <w:b/>
          <w:color w:val="auto"/>
          <w:szCs w:val="21"/>
          <w:highlight w:val="none"/>
        </w:rPr>
        <w:t xml:space="preserve"> 对于未能按</w:t>
      </w:r>
      <w:r>
        <w:rPr>
          <w:rFonts w:hint="eastAsia" w:ascii="宋体" w:hAnsi="宋体"/>
          <w:b/>
          <w:color w:val="auto"/>
          <w:szCs w:val="21"/>
          <w:highlight w:val="none"/>
          <w:lang w:val="en-US" w:eastAsia="zh-CN"/>
        </w:rPr>
        <w:t>9</w:t>
      </w:r>
      <w:r>
        <w:rPr>
          <w:rFonts w:hint="eastAsia" w:ascii="宋体" w:hAnsi="宋体"/>
          <w:b/>
          <w:color w:val="auto"/>
          <w:szCs w:val="21"/>
          <w:highlight w:val="none"/>
        </w:rPr>
        <w:t>.1要求提交竞标保证金的竞标人，将视为不响应竞争性谈判文件要求而作无效竞标处理。</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3</w:t>
      </w:r>
      <w:r>
        <w:rPr>
          <w:rFonts w:ascii="宋体" w:hAnsi="宋体"/>
          <w:color w:val="auto"/>
          <w:szCs w:val="21"/>
          <w:highlight w:val="none"/>
        </w:rPr>
        <w:t xml:space="preserve"> 未成交的竞标人的竞标保证金将尽快退还（无息），最迟不超过成交通知发出后的</w:t>
      </w:r>
      <w:r>
        <w:rPr>
          <w:rFonts w:hint="eastAsia" w:ascii="宋体" w:hAnsi="宋体"/>
          <w:color w:val="auto"/>
          <w:szCs w:val="21"/>
          <w:highlight w:val="none"/>
        </w:rPr>
        <w:t>5</w:t>
      </w:r>
      <w:r>
        <w:rPr>
          <w:rFonts w:ascii="宋体" w:hAnsi="宋体"/>
          <w:color w:val="auto"/>
          <w:szCs w:val="21"/>
          <w:highlight w:val="none"/>
        </w:rPr>
        <w:t>天。</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4</w:t>
      </w:r>
      <w:r>
        <w:rPr>
          <w:rFonts w:ascii="宋体" w:hAnsi="宋体"/>
          <w:color w:val="auto"/>
          <w:szCs w:val="21"/>
          <w:highlight w:val="none"/>
        </w:rPr>
        <w:t xml:space="preserve"> 成交单位按要求签署合同后</w:t>
      </w:r>
      <w:r>
        <w:rPr>
          <w:rFonts w:hint="eastAsia" w:ascii="宋体" w:hAnsi="宋体"/>
          <w:color w:val="auto"/>
          <w:szCs w:val="21"/>
          <w:highlight w:val="none"/>
        </w:rPr>
        <w:t>5</w:t>
      </w:r>
      <w:r>
        <w:rPr>
          <w:rFonts w:ascii="宋体" w:hAnsi="宋体"/>
          <w:color w:val="auto"/>
          <w:szCs w:val="21"/>
          <w:highlight w:val="none"/>
        </w:rPr>
        <w:t>日内，将退还其竞标保证金（无息）。</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5</w:t>
      </w:r>
      <w:r>
        <w:rPr>
          <w:rFonts w:ascii="宋体" w:hAnsi="宋体"/>
          <w:color w:val="auto"/>
          <w:szCs w:val="21"/>
          <w:highlight w:val="none"/>
        </w:rPr>
        <w:t xml:space="preserve"> 如竞标人有下列情况，将被没收竞标保证金：</w:t>
      </w:r>
    </w:p>
    <w:p>
      <w:pPr>
        <w:tabs>
          <w:tab w:val="left" w:pos="458"/>
        </w:tabs>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5</w:t>
      </w:r>
      <w:r>
        <w:rPr>
          <w:rFonts w:ascii="宋体" w:hAnsi="宋体"/>
          <w:color w:val="auto"/>
          <w:szCs w:val="21"/>
          <w:highlight w:val="none"/>
        </w:rPr>
        <w:t>.1 竞标人在竞标有效期内撤回其竞标文件；</w:t>
      </w:r>
    </w:p>
    <w:p>
      <w:pPr>
        <w:tabs>
          <w:tab w:val="left" w:pos="458"/>
        </w:tabs>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5</w:t>
      </w:r>
      <w:r>
        <w:rPr>
          <w:rFonts w:ascii="宋体" w:hAnsi="宋体"/>
          <w:color w:val="auto"/>
          <w:szCs w:val="21"/>
          <w:highlight w:val="none"/>
        </w:rPr>
        <w:t>.2 成交单位未能在规定期限内签署合同；</w:t>
      </w:r>
    </w:p>
    <w:p>
      <w:pPr>
        <w:tabs>
          <w:tab w:val="left" w:pos="458"/>
        </w:tabs>
        <w:spacing w:line="380" w:lineRule="exact"/>
        <w:ind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竞标人拒绝按本须知第19条规定修正报价。</w:t>
      </w:r>
    </w:p>
    <w:p>
      <w:pPr>
        <w:pStyle w:val="5"/>
        <w:rPr>
          <w:rFonts w:hint="default"/>
          <w:color w:val="auto"/>
          <w:highlight w:val="none"/>
        </w:rPr>
      </w:pPr>
      <w:bookmarkStart w:id="107" w:name="_Toc239659104"/>
      <w:bookmarkStart w:id="108" w:name="_Toc443"/>
      <w:bookmarkStart w:id="109" w:name="_Toc2024"/>
      <w:r>
        <w:rPr>
          <w:color w:val="auto"/>
          <w:highlight w:val="none"/>
        </w:rPr>
        <w:t>12.竞标预备</w:t>
      </w:r>
      <w:bookmarkEnd w:id="107"/>
      <w:bookmarkEnd w:id="108"/>
      <w:bookmarkEnd w:id="109"/>
    </w:p>
    <w:p>
      <w:pPr>
        <w:spacing w:line="380" w:lineRule="exact"/>
        <w:rPr>
          <w:rFonts w:ascii="宋体" w:hAnsi="宋体"/>
          <w:color w:val="auto"/>
          <w:szCs w:val="21"/>
          <w:highlight w:val="none"/>
        </w:rPr>
      </w:pPr>
      <w:r>
        <w:rPr>
          <w:rFonts w:ascii="宋体" w:hAnsi="宋体"/>
          <w:color w:val="auto"/>
          <w:szCs w:val="21"/>
          <w:highlight w:val="none"/>
        </w:rPr>
        <w:t xml:space="preserve">    12.1 勘察现场</w:t>
      </w:r>
    </w:p>
    <w:p>
      <w:pPr>
        <w:spacing w:line="380" w:lineRule="exact"/>
        <w:rPr>
          <w:rFonts w:ascii="宋体" w:hAnsi="宋体"/>
          <w:color w:val="auto"/>
          <w:szCs w:val="21"/>
          <w:highlight w:val="none"/>
        </w:rPr>
      </w:pPr>
      <w:r>
        <w:rPr>
          <w:rFonts w:ascii="宋体" w:hAnsi="宋体"/>
          <w:color w:val="auto"/>
          <w:szCs w:val="21"/>
          <w:highlight w:val="none"/>
        </w:rPr>
        <w:t xml:space="preserve">    12.1.1 竞标人可自行对工程施工现场和周围环境进行勘察，以获取编制竞标文件和签署合同所需的资料。勘察现场所发生的费用由竞标人自</w:t>
      </w:r>
      <w:r>
        <w:rPr>
          <w:rFonts w:hint="eastAsia" w:ascii="宋体" w:hAnsi="宋体"/>
          <w:color w:val="auto"/>
          <w:szCs w:val="21"/>
          <w:highlight w:val="none"/>
        </w:rPr>
        <w:t>行</w:t>
      </w:r>
      <w:r>
        <w:rPr>
          <w:rFonts w:ascii="宋体" w:hAnsi="宋体"/>
          <w:color w:val="auto"/>
          <w:szCs w:val="21"/>
          <w:highlight w:val="none"/>
        </w:rPr>
        <w:t>承担。</w:t>
      </w:r>
    </w:p>
    <w:p>
      <w:pPr>
        <w:spacing w:line="380" w:lineRule="exact"/>
        <w:ind w:firstLine="480"/>
        <w:rPr>
          <w:rFonts w:ascii="宋体" w:hAnsi="宋体"/>
          <w:strike w:val="0"/>
          <w:dstrike w:val="0"/>
          <w:color w:val="auto"/>
          <w:szCs w:val="21"/>
          <w:highlight w:val="none"/>
        </w:rPr>
      </w:pPr>
      <w:r>
        <w:rPr>
          <w:rFonts w:ascii="宋体" w:hAnsi="宋体"/>
          <w:color w:val="auto"/>
          <w:szCs w:val="21"/>
          <w:highlight w:val="none"/>
        </w:rPr>
        <w:t xml:space="preserve">12.1.2 </w:t>
      </w:r>
      <w:r>
        <w:rPr>
          <w:rFonts w:hint="eastAsia" w:ascii="宋体" w:hAnsi="宋体"/>
          <w:color w:val="auto"/>
          <w:szCs w:val="21"/>
          <w:highlight w:val="none"/>
        </w:rPr>
        <w:t>采购</w:t>
      </w:r>
      <w:r>
        <w:rPr>
          <w:rFonts w:ascii="宋体" w:hAnsi="宋体"/>
          <w:color w:val="auto"/>
          <w:szCs w:val="21"/>
          <w:highlight w:val="none"/>
        </w:rPr>
        <w:t>人向竞标人提供的有关施工现场的</w:t>
      </w:r>
      <w:r>
        <w:rPr>
          <w:rFonts w:hint="eastAsia" w:ascii="宋体" w:hAnsi="宋体"/>
          <w:color w:val="auto"/>
          <w:szCs w:val="21"/>
          <w:highlight w:val="none"/>
        </w:rPr>
        <w:t>地质勘察资料及现场的市政管线资料均是以诚实可信的态度提供的</w:t>
      </w:r>
      <w:r>
        <w:rPr>
          <w:rFonts w:ascii="宋体" w:hAnsi="宋体"/>
          <w:color w:val="auto"/>
          <w:szCs w:val="21"/>
          <w:highlight w:val="none"/>
        </w:rPr>
        <w:t>，是</w:t>
      </w:r>
      <w:r>
        <w:rPr>
          <w:rFonts w:hint="eastAsia" w:ascii="宋体" w:hAnsi="宋体"/>
          <w:color w:val="auto"/>
          <w:szCs w:val="21"/>
          <w:highlight w:val="none"/>
        </w:rPr>
        <w:t>采购</w:t>
      </w:r>
      <w:r>
        <w:rPr>
          <w:rFonts w:ascii="宋体" w:hAnsi="宋体"/>
          <w:color w:val="auto"/>
          <w:szCs w:val="21"/>
          <w:highlight w:val="none"/>
        </w:rPr>
        <w:t>人现有的能使竞标人利用的资料。</w:t>
      </w:r>
      <w:r>
        <w:rPr>
          <w:rFonts w:hint="eastAsia" w:ascii="宋体" w:hAnsi="宋体"/>
          <w:strike w:val="0"/>
          <w:dstrike w:val="0"/>
          <w:color w:val="auto"/>
          <w:szCs w:val="21"/>
          <w:highlight w:val="none"/>
        </w:rPr>
        <w:t>竞标人有义务核实市政管线的真实性。采购</w:t>
      </w:r>
      <w:r>
        <w:rPr>
          <w:rFonts w:ascii="宋体" w:hAnsi="宋体"/>
          <w:strike w:val="0"/>
          <w:dstrike w:val="0"/>
          <w:color w:val="auto"/>
          <w:szCs w:val="21"/>
          <w:highlight w:val="none"/>
        </w:rPr>
        <w:t>人对竞标人由此而做出的推论、理解和结论概不负责。</w:t>
      </w:r>
    </w:p>
    <w:p>
      <w:pPr>
        <w:spacing w:line="380" w:lineRule="exact"/>
        <w:ind w:firstLine="480"/>
        <w:rPr>
          <w:rFonts w:ascii="宋体" w:hAnsi="宋体"/>
          <w:color w:val="auto"/>
          <w:szCs w:val="21"/>
          <w:highlight w:val="none"/>
        </w:rPr>
      </w:pPr>
      <w:r>
        <w:rPr>
          <w:rFonts w:ascii="宋体" w:hAnsi="宋体"/>
          <w:color w:val="auto"/>
          <w:szCs w:val="21"/>
          <w:highlight w:val="none"/>
        </w:rPr>
        <w:t xml:space="preserve">12.2 </w:t>
      </w:r>
      <w:r>
        <w:rPr>
          <w:rFonts w:hint="eastAsia" w:ascii="宋体" w:hAnsi="宋体"/>
          <w:color w:val="auto"/>
          <w:szCs w:val="21"/>
          <w:highlight w:val="none"/>
        </w:rPr>
        <w:t>竞</w:t>
      </w:r>
      <w:r>
        <w:rPr>
          <w:rFonts w:ascii="宋体" w:hAnsi="宋体"/>
          <w:color w:val="auto"/>
          <w:szCs w:val="21"/>
          <w:highlight w:val="none"/>
        </w:rPr>
        <w:t>标答疑</w:t>
      </w:r>
    </w:p>
    <w:p>
      <w:pPr>
        <w:spacing w:line="380" w:lineRule="exact"/>
        <w:ind w:firstLine="480"/>
        <w:rPr>
          <w:rFonts w:ascii="宋体" w:hAnsi="宋体"/>
          <w:color w:val="auto"/>
          <w:szCs w:val="21"/>
          <w:highlight w:val="none"/>
        </w:rPr>
      </w:pPr>
      <w:r>
        <w:rPr>
          <w:rFonts w:ascii="宋体" w:hAnsi="宋体"/>
          <w:color w:val="auto"/>
          <w:szCs w:val="21"/>
          <w:highlight w:val="none"/>
        </w:rPr>
        <w:t>12.2.1 竞标人提出的与</w:t>
      </w:r>
      <w:r>
        <w:rPr>
          <w:rFonts w:hint="eastAsia" w:ascii="宋体" w:hAnsi="宋体"/>
          <w:color w:val="auto"/>
          <w:szCs w:val="21"/>
          <w:highlight w:val="none"/>
        </w:rPr>
        <w:t>竞</w:t>
      </w:r>
      <w:r>
        <w:rPr>
          <w:rFonts w:ascii="宋体" w:hAnsi="宋体"/>
          <w:color w:val="auto"/>
          <w:szCs w:val="21"/>
          <w:highlight w:val="none"/>
        </w:rPr>
        <w:t>标有关的任何问题须在</w:t>
      </w:r>
      <w:r>
        <w:rPr>
          <w:rFonts w:hint="eastAsia" w:ascii="宋体" w:hAnsi="宋体"/>
          <w:color w:val="auto"/>
          <w:szCs w:val="21"/>
          <w:highlight w:val="none"/>
        </w:rPr>
        <w:t>竞</w:t>
      </w:r>
      <w:r>
        <w:rPr>
          <w:rFonts w:ascii="宋体" w:hAnsi="宋体"/>
          <w:color w:val="auto"/>
          <w:szCs w:val="21"/>
          <w:highlight w:val="none"/>
        </w:rPr>
        <w:t>标截止日期前</w:t>
      </w:r>
      <w:r>
        <w:rPr>
          <w:rFonts w:hint="eastAsia" w:ascii="宋体" w:hAnsi="宋体"/>
          <w:color w:val="auto"/>
          <w:szCs w:val="21"/>
          <w:highlight w:val="none"/>
          <w:u w:val="single"/>
        </w:rPr>
        <w:t xml:space="preserve"> 1</w:t>
      </w:r>
      <w:r>
        <w:rPr>
          <w:rFonts w:ascii="宋体" w:hAnsi="宋体"/>
          <w:color w:val="auto"/>
          <w:szCs w:val="21"/>
          <w:highlight w:val="none"/>
        </w:rPr>
        <w:t>天，以书面形式送达</w:t>
      </w:r>
      <w:r>
        <w:rPr>
          <w:rFonts w:hint="eastAsia" w:ascii="宋体" w:hAnsi="宋体"/>
          <w:color w:val="auto"/>
          <w:szCs w:val="21"/>
          <w:highlight w:val="none"/>
        </w:rPr>
        <w:t>采购</w:t>
      </w:r>
      <w:r>
        <w:rPr>
          <w:rFonts w:ascii="宋体" w:hAnsi="宋体"/>
          <w:color w:val="auto"/>
          <w:szCs w:val="21"/>
          <w:highlight w:val="none"/>
        </w:rPr>
        <w:t>人处。如果竞标人在规定的时间内提出的问题在</w:t>
      </w:r>
      <w:r>
        <w:rPr>
          <w:rFonts w:hint="eastAsia" w:ascii="宋体" w:hAnsi="宋体"/>
          <w:color w:val="auto"/>
          <w:szCs w:val="21"/>
          <w:highlight w:val="none"/>
        </w:rPr>
        <w:t>竞争性谈判</w:t>
      </w:r>
      <w:r>
        <w:rPr>
          <w:rFonts w:ascii="宋体" w:hAnsi="宋体"/>
          <w:color w:val="auto"/>
          <w:szCs w:val="21"/>
          <w:highlight w:val="none"/>
        </w:rPr>
        <w:t>补遗文件中未得到书面解答的，应立即以书面形式报告</w:t>
      </w:r>
      <w:r>
        <w:rPr>
          <w:rFonts w:hint="eastAsia" w:ascii="宋体" w:hAnsi="宋体"/>
          <w:color w:val="auto"/>
          <w:szCs w:val="21"/>
          <w:highlight w:val="none"/>
        </w:rPr>
        <w:t>政府采购监督管理部门</w:t>
      </w:r>
      <w:r>
        <w:rPr>
          <w:rFonts w:ascii="宋体" w:hAnsi="宋体"/>
          <w:color w:val="auto"/>
          <w:szCs w:val="21"/>
          <w:highlight w:val="none"/>
        </w:rPr>
        <w:t>，否则将视为提出的问题不再需要答复。</w:t>
      </w:r>
    </w:p>
    <w:p>
      <w:pPr>
        <w:spacing w:line="380" w:lineRule="exact"/>
        <w:ind w:firstLine="435"/>
        <w:rPr>
          <w:rFonts w:ascii="宋体" w:hAnsi="宋体"/>
          <w:color w:val="auto"/>
          <w:szCs w:val="21"/>
          <w:highlight w:val="none"/>
        </w:rPr>
      </w:pPr>
      <w:r>
        <w:rPr>
          <w:rFonts w:ascii="宋体" w:hAnsi="宋体"/>
          <w:color w:val="auto"/>
          <w:szCs w:val="21"/>
          <w:highlight w:val="none"/>
        </w:rPr>
        <w:t>12.2.</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竞争性谈判</w:t>
      </w:r>
      <w:r>
        <w:rPr>
          <w:rFonts w:ascii="宋体" w:hAnsi="宋体"/>
          <w:color w:val="auto"/>
          <w:szCs w:val="21"/>
          <w:highlight w:val="none"/>
        </w:rPr>
        <w:t>补遗文件包括所有问题和答复，补遗文件将迅速提供给所有获得竞争性谈判文件的竞标人。由于竞标人书面提出而产生的对本须知4.1款中所列竞争性谈判文件的修改，由</w:t>
      </w:r>
      <w:r>
        <w:rPr>
          <w:rFonts w:hint="eastAsia" w:ascii="宋体" w:hAnsi="宋体"/>
          <w:color w:val="auto"/>
          <w:szCs w:val="21"/>
          <w:highlight w:val="none"/>
        </w:rPr>
        <w:t>采购</w:t>
      </w:r>
      <w:r>
        <w:rPr>
          <w:rFonts w:ascii="宋体" w:hAnsi="宋体"/>
          <w:color w:val="auto"/>
          <w:szCs w:val="21"/>
          <w:highlight w:val="none"/>
        </w:rPr>
        <w:t>人按照本须知第6条的规定，以补充通知的方式发出。</w:t>
      </w:r>
    </w:p>
    <w:p>
      <w:pPr>
        <w:pStyle w:val="5"/>
        <w:rPr>
          <w:rFonts w:hint="default"/>
          <w:color w:val="auto"/>
          <w:highlight w:val="none"/>
        </w:rPr>
      </w:pPr>
      <w:bookmarkStart w:id="110" w:name="_Toc239659105"/>
      <w:bookmarkStart w:id="111" w:name="_Toc19238"/>
      <w:bookmarkStart w:id="112" w:name="_Toc22502"/>
      <w:r>
        <w:rPr>
          <w:color w:val="auto"/>
          <w:highlight w:val="none"/>
        </w:rPr>
        <w:t>13.竞标文件的份数和签署</w:t>
      </w:r>
      <w:bookmarkEnd w:id="110"/>
      <w:bookmarkEnd w:id="111"/>
      <w:bookmarkEnd w:id="112"/>
    </w:p>
    <w:p>
      <w:pPr>
        <w:spacing w:line="380" w:lineRule="exact"/>
        <w:ind w:firstLine="457" w:firstLineChars="218"/>
        <w:rPr>
          <w:rFonts w:ascii="宋体" w:hAnsi="宋体"/>
          <w:color w:val="auto"/>
          <w:szCs w:val="21"/>
          <w:highlight w:val="none"/>
        </w:rPr>
      </w:pPr>
      <w:r>
        <w:rPr>
          <w:rFonts w:ascii="宋体" w:hAnsi="宋体"/>
          <w:color w:val="auto"/>
          <w:szCs w:val="21"/>
          <w:highlight w:val="none"/>
        </w:rPr>
        <w:t>13.1 竞标人按本须知“前附表第</w:t>
      </w:r>
      <w:r>
        <w:rPr>
          <w:rFonts w:hint="eastAsia" w:ascii="宋体" w:hAnsi="宋体"/>
          <w:color w:val="auto"/>
          <w:szCs w:val="21"/>
          <w:highlight w:val="none"/>
          <w:lang w:val="en-US" w:eastAsia="zh-CN"/>
        </w:rPr>
        <w:t>11</w:t>
      </w:r>
      <w:r>
        <w:rPr>
          <w:rFonts w:ascii="宋体" w:hAnsi="宋体"/>
          <w:color w:val="auto"/>
          <w:szCs w:val="21"/>
          <w:highlight w:val="none"/>
        </w:rPr>
        <w:t>项”的规定，编制所需竞标文件“正本”和竞标文件“副本”份数，并明确标明“正本”和“副本”。</w:t>
      </w:r>
    </w:p>
    <w:p>
      <w:pPr>
        <w:spacing w:line="380" w:lineRule="exact"/>
        <w:ind w:firstLine="457" w:firstLineChars="218"/>
        <w:rPr>
          <w:rFonts w:ascii="宋体" w:hAnsi="宋体"/>
          <w:color w:val="auto"/>
          <w:szCs w:val="21"/>
          <w:highlight w:val="none"/>
        </w:rPr>
      </w:pPr>
      <w:r>
        <w:rPr>
          <w:rFonts w:ascii="宋体" w:hAnsi="宋体"/>
          <w:color w:val="auto"/>
          <w:szCs w:val="21"/>
          <w:highlight w:val="none"/>
        </w:rPr>
        <w:t>13.2 竞标文件正本与副本均应使用不能擦去的墨水书写或打印，</w:t>
      </w:r>
      <w:r>
        <w:rPr>
          <w:rFonts w:hint="eastAsia" w:ascii="宋体" w:hAnsi="宋体"/>
          <w:color w:val="auto"/>
          <w:szCs w:val="21"/>
          <w:highlight w:val="none"/>
        </w:rPr>
        <w:t>竞标文件副本也可使用正本的复印件，</w:t>
      </w:r>
      <w:r>
        <w:rPr>
          <w:rFonts w:ascii="宋体" w:hAnsi="宋体"/>
          <w:color w:val="auto"/>
          <w:szCs w:val="21"/>
          <w:highlight w:val="none"/>
        </w:rPr>
        <w:t>竞标文件正本与副本均由竞标人</w:t>
      </w:r>
      <w:r>
        <w:rPr>
          <w:rFonts w:hint="eastAsia" w:ascii="宋体" w:hAnsi="宋体"/>
          <w:color w:val="auto"/>
          <w:szCs w:val="21"/>
          <w:highlight w:val="none"/>
        </w:rPr>
        <w:t>在相关位置</w:t>
      </w:r>
      <w:r>
        <w:rPr>
          <w:rFonts w:ascii="宋体" w:hAnsi="宋体"/>
          <w:color w:val="auto"/>
          <w:szCs w:val="21"/>
          <w:highlight w:val="none"/>
        </w:rPr>
        <w:t>加盖单位章，法定代表人或其委托代理人签</w:t>
      </w:r>
      <w:r>
        <w:rPr>
          <w:rFonts w:hint="eastAsia" w:ascii="宋体" w:hAnsi="宋体"/>
          <w:color w:val="auto"/>
          <w:szCs w:val="21"/>
          <w:highlight w:val="none"/>
        </w:rPr>
        <w:t>字</w:t>
      </w:r>
      <w:r>
        <w:rPr>
          <w:rFonts w:ascii="宋体" w:hAnsi="宋体"/>
          <w:color w:val="auto"/>
          <w:szCs w:val="21"/>
          <w:highlight w:val="none"/>
        </w:rPr>
        <w:t>署</w:t>
      </w:r>
      <w:r>
        <w:rPr>
          <w:rFonts w:hint="eastAsia" w:ascii="宋体" w:hAnsi="宋体"/>
          <w:color w:val="auto"/>
          <w:szCs w:val="21"/>
          <w:highlight w:val="none"/>
        </w:rPr>
        <w:t>名</w:t>
      </w:r>
      <w:r>
        <w:rPr>
          <w:rFonts w:ascii="宋体" w:hAnsi="宋体"/>
          <w:color w:val="auto"/>
          <w:szCs w:val="21"/>
          <w:highlight w:val="none"/>
        </w:rPr>
        <w:t>。</w:t>
      </w:r>
    </w:p>
    <w:p>
      <w:pPr>
        <w:spacing w:line="380" w:lineRule="exact"/>
        <w:ind w:firstLine="457" w:firstLineChars="218"/>
        <w:rPr>
          <w:rFonts w:ascii="宋体" w:hAnsi="宋体"/>
          <w:color w:val="auto"/>
          <w:szCs w:val="21"/>
          <w:highlight w:val="none"/>
        </w:rPr>
      </w:pPr>
      <w:r>
        <w:rPr>
          <w:rFonts w:ascii="宋体" w:hAnsi="宋体"/>
          <w:color w:val="auto"/>
          <w:szCs w:val="21"/>
          <w:highlight w:val="none"/>
        </w:rPr>
        <w:t>13.3</w:t>
      </w:r>
      <w:r>
        <w:rPr>
          <w:rFonts w:hint="eastAsia" w:ascii="宋体" w:hAnsi="宋体"/>
          <w:color w:val="auto"/>
          <w:szCs w:val="21"/>
          <w:highlight w:val="none"/>
        </w:rPr>
        <w:t xml:space="preserve"> </w:t>
      </w:r>
      <w:r>
        <w:rPr>
          <w:rFonts w:ascii="宋体" w:hAnsi="宋体"/>
          <w:color w:val="auto"/>
          <w:szCs w:val="21"/>
          <w:highlight w:val="none"/>
        </w:rPr>
        <w:t>全套竞标文件应无涂改和行间插字，除非这些删改是根据</w:t>
      </w:r>
      <w:r>
        <w:rPr>
          <w:rFonts w:hint="eastAsia" w:ascii="宋体" w:hAnsi="宋体"/>
          <w:color w:val="auto"/>
          <w:szCs w:val="21"/>
          <w:highlight w:val="none"/>
        </w:rPr>
        <w:t>采购</w:t>
      </w:r>
      <w:r>
        <w:rPr>
          <w:rFonts w:ascii="宋体" w:hAnsi="宋体"/>
          <w:color w:val="auto"/>
          <w:szCs w:val="21"/>
          <w:highlight w:val="none"/>
        </w:rPr>
        <w:t>人指示进行的或者是竞标人造成的必须修改的错误。但修改处应由竞标文件签字人签字证明</w:t>
      </w:r>
      <w:r>
        <w:rPr>
          <w:rFonts w:hint="eastAsia" w:ascii="宋体" w:hAnsi="宋体"/>
          <w:color w:val="auto"/>
          <w:szCs w:val="21"/>
          <w:highlight w:val="none"/>
        </w:rPr>
        <w:t>并</w:t>
      </w:r>
      <w:r>
        <w:rPr>
          <w:rFonts w:ascii="宋体" w:hAnsi="宋体"/>
          <w:color w:val="auto"/>
          <w:szCs w:val="21"/>
          <w:highlight w:val="none"/>
        </w:rPr>
        <w:t>加盖</w:t>
      </w:r>
      <w:r>
        <w:rPr>
          <w:rFonts w:hint="eastAsia" w:ascii="宋体" w:hAnsi="宋体"/>
          <w:color w:val="auto"/>
          <w:szCs w:val="21"/>
          <w:highlight w:val="none"/>
        </w:rPr>
        <w:t>单位章</w:t>
      </w:r>
      <w:r>
        <w:rPr>
          <w:rFonts w:ascii="宋体" w:hAnsi="宋体"/>
          <w:color w:val="auto"/>
          <w:szCs w:val="21"/>
          <w:highlight w:val="none"/>
        </w:rPr>
        <w:t>，否则修改无效。</w:t>
      </w:r>
    </w:p>
    <w:p>
      <w:pPr>
        <w:pStyle w:val="5"/>
        <w:rPr>
          <w:rFonts w:hint="default"/>
          <w:color w:val="auto"/>
          <w:highlight w:val="none"/>
        </w:rPr>
      </w:pPr>
      <w:bookmarkStart w:id="113" w:name="_Toc4353"/>
      <w:bookmarkStart w:id="114" w:name="_Toc239659106"/>
      <w:bookmarkStart w:id="115" w:name="_Toc26671"/>
      <w:r>
        <w:rPr>
          <w:color w:val="auto"/>
          <w:highlight w:val="none"/>
        </w:rPr>
        <w:t>14.竞标文件提交截止时间</w:t>
      </w:r>
      <w:bookmarkEnd w:id="113"/>
      <w:bookmarkEnd w:id="114"/>
      <w:bookmarkEnd w:id="115"/>
    </w:p>
    <w:p>
      <w:pPr>
        <w:spacing w:line="380" w:lineRule="exact"/>
        <w:rPr>
          <w:rFonts w:ascii="宋体" w:hAnsi="宋体"/>
          <w:color w:val="auto"/>
          <w:szCs w:val="21"/>
          <w:highlight w:val="none"/>
        </w:rPr>
      </w:pPr>
      <w:r>
        <w:rPr>
          <w:rFonts w:ascii="宋体" w:hAnsi="宋体"/>
          <w:color w:val="auto"/>
          <w:szCs w:val="21"/>
          <w:highlight w:val="none"/>
        </w:rPr>
        <w:t xml:space="preserve">    14.1 竞标文件提交截止时间：</w:t>
      </w:r>
      <w:r>
        <w:rPr>
          <w:rFonts w:hint="eastAsia" w:ascii="宋体" w:hAnsi="宋体"/>
          <w:color w:val="auto"/>
          <w:szCs w:val="21"/>
          <w:highlight w:val="none"/>
        </w:rPr>
        <w:t>按</w:t>
      </w:r>
      <w:r>
        <w:rPr>
          <w:rFonts w:ascii="宋体" w:hAnsi="宋体"/>
          <w:color w:val="auto"/>
          <w:szCs w:val="21"/>
          <w:highlight w:val="none"/>
        </w:rPr>
        <w:t>本须知“前附表第</w:t>
      </w:r>
      <w:r>
        <w:rPr>
          <w:rFonts w:hint="eastAsia" w:ascii="宋体" w:hAnsi="宋体"/>
          <w:color w:val="auto"/>
          <w:szCs w:val="21"/>
          <w:highlight w:val="none"/>
          <w:lang w:val="en-US" w:eastAsia="zh-CN"/>
        </w:rPr>
        <w:t>12</w:t>
      </w:r>
      <w:r>
        <w:rPr>
          <w:rFonts w:ascii="宋体" w:hAnsi="宋体"/>
          <w:color w:val="auto"/>
          <w:szCs w:val="21"/>
          <w:highlight w:val="none"/>
        </w:rPr>
        <w:t>项”的规定。</w:t>
      </w:r>
    </w:p>
    <w:p>
      <w:pPr>
        <w:spacing w:line="380" w:lineRule="exact"/>
        <w:ind w:firstLine="435"/>
        <w:rPr>
          <w:rFonts w:ascii="宋体" w:hAnsi="宋体"/>
          <w:color w:val="auto"/>
          <w:szCs w:val="21"/>
          <w:highlight w:val="none"/>
        </w:rPr>
      </w:pPr>
      <w:r>
        <w:rPr>
          <w:rFonts w:ascii="宋体" w:hAnsi="宋体"/>
          <w:color w:val="auto"/>
          <w:szCs w:val="21"/>
          <w:highlight w:val="none"/>
        </w:rPr>
        <w:t xml:space="preserve">14.2 </w:t>
      </w:r>
      <w:r>
        <w:rPr>
          <w:rFonts w:hint="eastAsia" w:ascii="宋体" w:hAnsi="宋体"/>
          <w:color w:val="auto"/>
          <w:szCs w:val="21"/>
          <w:highlight w:val="none"/>
        </w:rPr>
        <w:t>采购</w:t>
      </w:r>
      <w:r>
        <w:rPr>
          <w:rFonts w:ascii="宋体" w:hAnsi="宋体"/>
          <w:color w:val="auto"/>
          <w:szCs w:val="21"/>
          <w:highlight w:val="none"/>
        </w:rPr>
        <w:t>人可按本须知第6条规定以补充通知的方式，酌情延长提交竞标文件的截止时间。在上述情况下，</w:t>
      </w:r>
      <w:r>
        <w:rPr>
          <w:rFonts w:hint="eastAsia" w:ascii="宋体" w:hAnsi="宋体"/>
          <w:color w:val="auto"/>
          <w:szCs w:val="21"/>
          <w:highlight w:val="none"/>
        </w:rPr>
        <w:t>采购</w:t>
      </w:r>
      <w:r>
        <w:rPr>
          <w:rFonts w:ascii="宋体" w:hAnsi="宋体"/>
          <w:color w:val="auto"/>
          <w:szCs w:val="21"/>
          <w:highlight w:val="none"/>
        </w:rPr>
        <w:t>人与竞标人的全部</w:t>
      </w:r>
      <w:r>
        <w:rPr>
          <w:rFonts w:hint="eastAsia" w:ascii="宋体" w:hAnsi="宋体"/>
          <w:color w:val="auto"/>
          <w:szCs w:val="21"/>
          <w:highlight w:val="none"/>
          <w:lang w:eastAsia="zh-CN"/>
        </w:rPr>
        <w:t>权利</w:t>
      </w:r>
      <w:r>
        <w:rPr>
          <w:rFonts w:ascii="宋体" w:hAnsi="宋体"/>
          <w:color w:val="auto"/>
          <w:szCs w:val="21"/>
          <w:highlight w:val="none"/>
        </w:rPr>
        <w:t>、责任和义务，将适用于延长后新的竞标文件提交截止时间。</w:t>
      </w:r>
    </w:p>
    <w:p>
      <w:pPr>
        <w:pStyle w:val="5"/>
        <w:rPr>
          <w:rFonts w:hint="default"/>
          <w:color w:val="auto"/>
          <w:highlight w:val="none"/>
        </w:rPr>
      </w:pPr>
      <w:bookmarkStart w:id="116" w:name="_Toc12963"/>
      <w:bookmarkStart w:id="117" w:name="_Toc8420"/>
      <w:bookmarkStart w:id="118" w:name="_Toc239659107"/>
      <w:r>
        <w:rPr>
          <w:color w:val="auto"/>
          <w:highlight w:val="none"/>
        </w:rPr>
        <w:t>15.竞标文件的装订、密封、标志与提交</w:t>
      </w:r>
      <w:bookmarkEnd w:id="116"/>
      <w:bookmarkEnd w:id="117"/>
      <w:bookmarkEnd w:id="118"/>
    </w:p>
    <w:p>
      <w:pPr>
        <w:spacing w:line="380" w:lineRule="exact"/>
        <w:ind w:firstLine="480"/>
        <w:rPr>
          <w:rFonts w:ascii="宋体" w:hAnsi="宋体"/>
          <w:color w:val="auto"/>
          <w:szCs w:val="21"/>
          <w:highlight w:val="none"/>
        </w:rPr>
      </w:pPr>
      <w:r>
        <w:rPr>
          <w:rFonts w:ascii="宋体" w:hAnsi="宋体"/>
          <w:color w:val="auto"/>
          <w:szCs w:val="21"/>
          <w:highlight w:val="none"/>
        </w:rPr>
        <w:t>15.1 竞标文件装订要求：竞标文件中</w:t>
      </w:r>
      <w:r>
        <w:rPr>
          <w:rFonts w:hint="eastAsia" w:ascii="宋体" w:hAnsi="宋体"/>
          <w:color w:val="auto"/>
          <w:szCs w:val="21"/>
          <w:highlight w:val="none"/>
        </w:rPr>
        <w:t>资格审查部分</w:t>
      </w:r>
      <w:r>
        <w:rPr>
          <w:rFonts w:ascii="宋体" w:hAnsi="宋体"/>
          <w:color w:val="auto"/>
          <w:szCs w:val="21"/>
          <w:highlight w:val="none"/>
        </w:rPr>
        <w:t>、商务部分</w:t>
      </w:r>
      <w:r>
        <w:rPr>
          <w:rFonts w:hint="eastAsia" w:ascii="宋体" w:hAnsi="宋体"/>
          <w:color w:val="auto"/>
          <w:szCs w:val="21"/>
          <w:highlight w:val="none"/>
        </w:rPr>
        <w:t>、技术部分</w:t>
      </w:r>
      <w:r>
        <w:rPr>
          <w:rFonts w:ascii="宋体" w:hAnsi="宋体"/>
          <w:color w:val="auto"/>
          <w:szCs w:val="21"/>
          <w:highlight w:val="none"/>
        </w:rPr>
        <w:t>分开装订。</w:t>
      </w:r>
    </w:p>
    <w:p>
      <w:pPr>
        <w:spacing w:line="380" w:lineRule="exact"/>
        <w:ind w:firstLine="480"/>
        <w:rPr>
          <w:rFonts w:ascii="宋体" w:hAnsi="宋体"/>
          <w:color w:val="auto"/>
          <w:szCs w:val="21"/>
          <w:highlight w:val="none"/>
        </w:rPr>
      </w:pPr>
      <w:r>
        <w:rPr>
          <w:rFonts w:ascii="宋体" w:hAnsi="宋体"/>
          <w:color w:val="auto"/>
          <w:szCs w:val="21"/>
          <w:highlight w:val="none"/>
        </w:rPr>
        <w:t>15.2竞标人应将</w:t>
      </w:r>
      <w:r>
        <w:rPr>
          <w:rFonts w:hint="eastAsia" w:ascii="宋体" w:hAnsi="宋体"/>
          <w:color w:val="auto"/>
          <w:szCs w:val="21"/>
          <w:highlight w:val="none"/>
        </w:rPr>
        <w:t>资格审查部分、</w:t>
      </w:r>
      <w:r>
        <w:rPr>
          <w:rFonts w:ascii="宋体" w:hAnsi="宋体"/>
          <w:color w:val="auto"/>
          <w:szCs w:val="21"/>
          <w:highlight w:val="none"/>
        </w:rPr>
        <w:t>商务部分</w:t>
      </w:r>
      <w:r>
        <w:rPr>
          <w:rFonts w:hint="eastAsia" w:ascii="宋体" w:hAnsi="宋体"/>
          <w:color w:val="auto"/>
          <w:szCs w:val="21"/>
          <w:highlight w:val="none"/>
        </w:rPr>
        <w:t>、技术部分</w:t>
      </w:r>
      <w:r>
        <w:rPr>
          <w:rFonts w:ascii="宋体" w:hAnsi="宋体"/>
          <w:color w:val="auto"/>
          <w:szCs w:val="21"/>
          <w:highlight w:val="none"/>
        </w:rPr>
        <w:t>密封在同</w:t>
      </w:r>
      <w:r>
        <w:rPr>
          <w:rFonts w:hint="eastAsia" w:ascii="宋体" w:hAnsi="宋体"/>
          <w:color w:val="auto"/>
          <w:szCs w:val="21"/>
          <w:highlight w:val="none"/>
        </w:rPr>
        <w:t>1</w:t>
      </w:r>
      <w:r>
        <w:rPr>
          <w:rFonts w:ascii="宋体" w:hAnsi="宋体"/>
          <w:color w:val="auto"/>
          <w:szCs w:val="21"/>
          <w:highlight w:val="none"/>
        </w:rPr>
        <w:t>个</w:t>
      </w:r>
      <w:r>
        <w:rPr>
          <w:rFonts w:hint="eastAsia" w:ascii="宋体" w:hAnsi="宋体"/>
          <w:color w:val="auto"/>
          <w:szCs w:val="21"/>
          <w:highlight w:val="none"/>
        </w:rPr>
        <w:t>竞标文件</w:t>
      </w:r>
      <w:r>
        <w:rPr>
          <w:rFonts w:ascii="宋体" w:hAnsi="宋体"/>
          <w:color w:val="auto"/>
          <w:szCs w:val="21"/>
          <w:highlight w:val="none"/>
        </w:rPr>
        <w:t>密封袋中</w:t>
      </w:r>
      <w:r>
        <w:rPr>
          <w:rFonts w:hint="eastAsia" w:ascii="宋体" w:hAnsi="宋体" w:cs="Courier New"/>
          <w:color w:val="auto"/>
          <w:spacing w:val="2"/>
          <w:highlight w:val="none"/>
        </w:rPr>
        <w:t>，外层包装封口处须帖密封条</w:t>
      </w:r>
      <w:r>
        <w:rPr>
          <w:rFonts w:hint="eastAsia" w:ascii="宋体" w:hAnsi="宋体" w:cs="Courier New"/>
          <w:color w:val="auto"/>
          <w:spacing w:val="2"/>
          <w:highlight w:val="none"/>
          <w:lang w:eastAsia="zh-CN"/>
        </w:rPr>
        <w:t>且在</w:t>
      </w:r>
      <w:r>
        <w:rPr>
          <w:rFonts w:hint="eastAsia" w:ascii="宋体" w:hAnsi="宋体" w:eastAsia="宋体" w:cs="宋体"/>
          <w:color w:val="auto"/>
          <w:sz w:val="21"/>
          <w:szCs w:val="21"/>
          <w:highlight w:val="none"/>
        </w:rPr>
        <w:t>所有封贴处必须密封签章（公章、密封章均可）</w:t>
      </w:r>
      <w:r>
        <w:rPr>
          <w:rFonts w:hint="eastAsia" w:ascii="宋体" w:hAnsi="宋体"/>
          <w:color w:val="auto"/>
          <w:szCs w:val="21"/>
          <w:highlight w:val="none"/>
        </w:rPr>
        <w:t>。</w:t>
      </w:r>
    </w:p>
    <w:p>
      <w:pPr>
        <w:spacing w:line="380" w:lineRule="exact"/>
        <w:ind w:firstLine="417" w:firstLineChars="195"/>
        <w:rPr>
          <w:rFonts w:ascii="宋体" w:hAnsi="宋体" w:cs="Courier New"/>
          <w:color w:val="auto"/>
          <w:spacing w:val="2"/>
          <w:highlight w:val="none"/>
        </w:rPr>
      </w:pPr>
      <w:r>
        <w:rPr>
          <w:rFonts w:hint="eastAsia" w:ascii="宋体" w:hAnsi="宋体" w:cs="Courier New"/>
          <w:color w:val="auto"/>
          <w:spacing w:val="2"/>
          <w:highlight w:val="none"/>
        </w:rPr>
        <w:t>15.3包封应写明竞标人名称和地址、邮政编码、项目名称、项目编号、采购代理机构名称，并注明谈判时间以前不得开封，以便竞标出现逾期送达时能原封退回。</w:t>
      </w:r>
    </w:p>
    <w:p>
      <w:pPr>
        <w:spacing w:line="380" w:lineRule="exact"/>
        <w:ind w:firstLine="480"/>
        <w:rPr>
          <w:rFonts w:ascii="宋体" w:hAnsi="宋体"/>
          <w:color w:val="auto"/>
          <w:szCs w:val="21"/>
          <w:highlight w:val="none"/>
        </w:rPr>
      </w:pPr>
      <w:r>
        <w:rPr>
          <w:rFonts w:hint="eastAsia" w:ascii="宋体" w:hAnsi="宋体" w:cs="Courier New"/>
          <w:color w:val="auto"/>
          <w:spacing w:val="2"/>
          <w:highlight w:val="none"/>
        </w:rPr>
        <w:t>15.4 未按本章</w:t>
      </w:r>
      <w:r>
        <w:rPr>
          <w:rFonts w:ascii="宋体" w:hAnsi="宋体"/>
          <w:color w:val="auto"/>
          <w:szCs w:val="21"/>
          <w:highlight w:val="none"/>
        </w:rPr>
        <w:t>第15.1款、第15.2款和第15.3 款的规定装订和密封及加写标记</w:t>
      </w:r>
      <w:r>
        <w:rPr>
          <w:rFonts w:hint="eastAsia" w:ascii="宋体" w:hAnsi="宋体" w:cs="Courier New"/>
          <w:color w:val="auto"/>
          <w:spacing w:val="2"/>
          <w:highlight w:val="none"/>
        </w:rPr>
        <w:t>，将作无效竞标处理。</w:t>
      </w:r>
    </w:p>
    <w:p>
      <w:pPr>
        <w:spacing w:line="380" w:lineRule="exact"/>
        <w:ind w:firstLine="48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 xml:space="preserve">5 </w:t>
      </w:r>
      <w:r>
        <w:rPr>
          <w:rFonts w:ascii="宋体" w:hAnsi="宋体"/>
          <w:color w:val="auto"/>
          <w:szCs w:val="21"/>
          <w:highlight w:val="none"/>
        </w:rPr>
        <w:t>在本须知第14条规定的</w:t>
      </w:r>
      <w:r>
        <w:rPr>
          <w:rFonts w:hint="eastAsia" w:ascii="宋体" w:hAnsi="宋体"/>
          <w:color w:val="auto"/>
          <w:szCs w:val="21"/>
          <w:highlight w:val="none"/>
        </w:rPr>
        <w:t>竞标</w:t>
      </w:r>
      <w:r>
        <w:rPr>
          <w:rFonts w:ascii="宋体" w:hAnsi="宋体"/>
          <w:color w:val="auto"/>
          <w:szCs w:val="21"/>
          <w:highlight w:val="none"/>
        </w:rPr>
        <w:t>截止时间以后</w:t>
      </w:r>
      <w:r>
        <w:rPr>
          <w:rFonts w:hint="eastAsia" w:ascii="宋体" w:hAnsi="宋体"/>
          <w:color w:val="auto"/>
          <w:szCs w:val="21"/>
          <w:highlight w:val="none"/>
        </w:rPr>
        <w:t>递交</w:t>
      </w:r>
      <w:r>
        <w:rPr>
          <w:rFonts w:ascii="宋体" w:hAnsi="宋体"/>
          <w:color w:val="auto"/>
          <w:szCs w:val="21"/>
          <w:highlight w:val="none"/>
        </w:rPr>
        <w:t>的竞标文件，将</w:t>
      </w:r>
      <w:r>
        <w:rPr>
          <w:rFonts w:hint="eastAsia" w:ascii="宋体" w:hAnsi="宋体"/>
          <w:color w:val="auto"/>
          <w:szCs w:val="21"/>
          <w:highlight w:val="none"/>
        </w:rPr>
        <w:t>作无效竞标处理</w:t>
      </w:r>
      <w:r>
        <w:rPr>
          <w:rFonts w:ascii="宋体" w:hAnsi="宋体"/>
          <w:color w:val="auto"/>
          <w:szCs w:val="21"/>
          <w:highlight w:val="none"/>
        </w:rPr>
        <w:t>并退回给竞标人。</w:t>
      </w:r>
    </w:p>
    <w:p>
      <w:pPr>
        <w:pStyle w:val="5"/>
        <w:rPr>
          <w:rFonts w:hint="default"/>
          <w:color w:val="auto"/>
          <w:highlight w:val="none"/>
        </w:rPr>
      </w:pPr>
      <w:bookmarkStart w:id="119" w:name="_Toc20051"/>
      <w:bookmarkStart w:id="120" w:name="_Toc239659108"/>
      <w:bookmarkStart w:id="121" w:name="_Toc5192"/>
      <w:r>
        <w:rPr>
          <w:color w:val="auto"/>
          <w:highlight w:val="none"/>
        </w:rPr>
        <w:t>16.竞标文件的修改与撤回</w:t>
      </w:r>
      <w:bookmarkEnd w:id="119"/>
      <w:bookmarkEnd w:id="120"/>
      <w:bookmarkEnd w:id="121"/>
    </w:p>
    <w:p>
      <w:pPr>
        <w:spacing w:line="380" w:lineRule="exact"/>
        <w:rPr>
          <w:rFonts w:ascii="宋体" w:hAnsi="宋体"/>
          <w:color w:val="auto"/>
          <w:szCs w:val="21"/>
          <w:highlight w:val="none"/>
        </w:rPr>
      </w:pPr>
      <w:r>
        <w:rPr>
          <w:rFonts w:ascii="宋体" w:hAnsi="宋体"/>
          <w:color w:val="auto"/>
          <w:szCs w:val="21"/>
          <w:highlight w:val="none"/>
        </w:rPr>
        <w:t xml:space="preserve">    16.1 竞标人可以在提交竞标文件以后，在规定的竞标文件提交截止时间之前，以书面形式向</w:t>
      </w:r>
      <w:r>
        <w:rPr>
          <w:rFonts w:hint="eastAsia" w:ascii="宋体" w:hAnsi="宋体"/>
          <w:color w:val="auto"/>
          <w:szCs w:val="21"/>
          <w:highlight w:val="none"/>
        </w:rPr>
        <w:t>采购</w:t>
      </w:r>
      <w:r>
        <w:rPr>
          <w:rFonts w:ascii="宋体" w:hAnsi="宋体"/>
          <w:color w:val="auto"/>
          <w:szCs w:val="21"/>
          <w:highlight w:val="none"/>
        </w:rPr>
        <w:t>人提交</w:t>
      </w:r>
      <w:r>
        <w:rPr>
          <w:rFonts w:hint="eastAsia" w:ascii="宋体" w:hAnsi="宋体"/>
          <w:color w:val="auto"/>
          <w:szCs w:val="21"/>
          <w:highlight w:val="none"/>
        </w:rPr>
        <w:t>补充、</w:t>
      </w:r>
      <w:r>
        <w:rPr>
          <w:rFonts w:ascii="宋体" w:hAnsi="宋体"/>
          <w:color w:val="auto"/>
          <w:szCs w:val="21"/>
          <w:highlight w:val="none"/>
        </w:rPr>
        <w:t>修改其竞标文件的通知。在竞标文件提交截止时间以后，不能更改竞标文件。</w:t>
      </w:r>
    </w:p>
    <w:p>
      <w:pPr>
        <w:spacing w:line="380" w:lineRule="exact"/>
        <w:ind w:firstLine="420"/>
        <w:rPr>
          <w:rFonts w:ascii="宋体" w:hAnsi="宋体"/>
          <w:color w:val="auto"/>
          <w:szCs w:val="21"/>
          <w:highlight w:val="none"/>
        </w:rPr>
      </w:pPr>
      <w:r>
        <w:rPr>
          <w:rFonts w:ascii="宋体" w:hAnsi="宋体"/>
          <w:color w:val="auto"/>
          <w:szCs w:val="21"/>
          <w:highlight w:val="none"/>
        </w:rPr>
        <w:t>16.2 竞标人的修改通知，应按本须知第15条规定编制、密封、标志和提交（在内封包上标明“修改”字样）。</w:t>
      </w:r>
    </w:p>
    <w:p>
      <w:pPr>
        <w:spacing w:line="380" w:lineRule="exact"/>
        <w:ind w:firstLine="420"/>
        <w:rPr>
          <w:rFonts w:ascii="宋体" w:hAnsi="宋体"/>
          <w:color w:val="auto"/>
          <w:szCs w:val="21"/>
          <w:highlight w:val="none"/>
        </w:rPr>
      </w:pPr>
      <w:r>
        <w:rPr>
          <w:rFonts w:hint="eastAsia" w:ascii="宋体" w:hAnsi="宋体"/>
          <w:color w:val="auto"/>
          <w:szCs w:val="21"/>
          <w:highlight w:val="none"/>
        </w:rPr>
        <w:t>16.3竞标人在竞争性谈判文件要求提交竞标文件截止日期之前，可以撤回已提交的竞标文件，并书面通知采购人。竞标截止日期之后至竞标有效期满之前，竞标人对竞标文件的任何补充、修改，采购人不予接受，撤回竞标文件的还将被没收竞标保证金。</w:t>
      </w:r>
    </w:p>
    <w:p>
      <w:pPr>
        <w:pStyle w:val="5"/>
        <w:rPr>
          <w:rFonts w:hint="default"/>
          <w:color w:val="auto"/>
          <w:highlight w:val="none"/>
        </w:rPr>
      </w:pPr>
      <w:bookmarkStart w:id="122" w:name="_Toc239659109"/>
      <w:bookmarkStart w:id="123" w:name="_Toc15039"/>
      <w:bookmarkStart w:id="124" w:name="_Toc813"/>
      <w:r>
        <w:rPr>
          <w:color w:val="auto"/>
          <w:highlight w:val="none"/>
        </w:rPr>
        <w:t>17.</w:t>
      </w:r>
      <w:bookmarkEnd w:id="122"/>
      <w:r>
        <w:rPr>
          <w:color w:val="auto"/>
          <w:highlight w:val="none"/>
        </w:rPr>
        <w:t>开标</w:t>
      </w:r>
      <w:bookmarkEnd w:id="123"/>
      <w:bookmarkEnd w:id="124"/>
    </w:p>
    <w:p>
      <w:pPr>
        <w:spacing w:line="380" w:lineRule="exact"/>
        <w:ind w:firstLine="435"/>
        <w:rPr>
          <w:rFonts w:ascii="宋体" w:hAnsi="宋体"/>
          <w:color w:val="auto"/>
          <w:szCs w:val="21"/>
          <w:highlight w:val="none"/>
        </w:rPr>
      </w:pPr>
      <w:r>
        <w:rPr>
          <w:rFonts w:ascii="宋体" w:hAnsi="宋体"/>
          <w:color w:val="auto"/>
          <w:szCs w:val="21"/>
          <w:highlight w:val="none"/>
        </w:rPr>
        <w:t xml:space="preserve">17.1 </w:t>
      </w:r>
      <w:r>
        <w:rPr>
          <w:rFonts w:hint="eastAsia" w:ascii="宋体" w:hAnsi="宋体"/>
          <w:color w:val="auto"/>
          <w:szCs w:val="21"/>
          <w:highlight w:val="none"/>
        </w:rPr>
        <w:t>采购</w:t>
      </w:r>
      <w:r>
        <w:rPr>
          <w:rFonts w:ascii="宋体" w:hAnsi="宋体"/>
          <w:color w:val="auto"/>
          <w:szCs w:val="21"/>
          <w:highlight w:val="none"/>
        </w:rPr>
        <w:t>人将</w:t>
      </w:r>
      <w:r>
        <w:rPr>
          <w:rFonts w:hint="eastAsia" w:ascii="宋体" w:hAnsi="宋体"/>
          <w:color w:val="auto"/>
          <w:szCs w:val="21"/>
          <w:highlight w:val="none"/>
        </w:rPr>
        <w:t>竞标须知前附表要求的时间及地址举行开标会</w:t>
      </w:r>
      <w:r>
        <w:rPr>
          <w:rFonts w:ascii="宋体" w:hAnsi="宋体"/>
          <w:color w:val="auto"/>
          <w:szCs w:val="21"/>
          <w:highlight w:val="none"/>
        </w:rPr>
        <w:t>，竞标人的法定代表人或其委托代理人</w:t>
      </w:r>
      <w:r>
        <w:rPr>
          <w:rFonts w:hint="eastAsia" w:ascii="宋体" w:hAnsi="宋体"/>
          <w:color w:val="auto"/>
          <w:highlight w:val="none"/>
        </w:rPr>
        <w:t>必须持以下证件依时</w:t>
      </w:r>
      <w:r>
        <w:rPr>
          <w:rFonts w:hint="eastAsia" w:ascii="宋体" w:hAnsi="宋体"/>
          <w:color w:val="auto"/>
          <w:szCs w:val="21"/>
          <w:highlight w:val="none"/>
        </w:rPr>
        <w:t>到现场参加竞标，否则其竞标文件作无效竞标处理</w:t>
      </w:r>
      <w:r>
        <w:rPr>
          <w:rFonts w:ascii="宋体" w:hAnsi="宋体"/>
          <w:color w:val="auto"/>
          <w:szCs w:val="21"/>
          <w:highlight w:val="none"/>
        </w:rPr>
        <w:t>。</w:t>
      </w:r>
    </w:p>
    <w:p>
      <w:pPr>
        <w:pStyle w:val="13"/>
        <w:spacing w:line="380" w:lineRule="exact"/>
        <w:ind w:firstLine="422" w:firstLineChars="200"/>
        <w:jc w:val="both"/>
        <w:rPr>
          <w:rFonts w:ascii="宋体" w:hAnsi="宋体"/>
          <w:b/>
          <w:color w:val="auto"/>
          <w:sz w:val="21"/>
          <w:highlight w:val="none"/>
        </w:rPr>
      </w:pPr>
      <w:r>
        <w:rPr>
          <w:rFonts w:hint="eastAsia" w:ascii="宋体" w:hAnsi="宋体"/>
          <w:b/>
          <w:color w:val="auto"/>
          <w:sz w:val="21"/>
          <w:highlight w:val="none"/>
        </w:rPr>
        <w:t>（</w:t>
      </w:r>
      <w:r>
        <w:rPr>
          <w:rFonts w:hint="eastAsia" w:ascii="宋体" w:hAnsi="宋体"/>
          <w:b/>
          <w:color w:val="auto"/>
          <w:sz w:val="21"/>
          <w:highlight w:val="none"/>
          <w:lang w:val="en-US" w:eastAsia="zh-CN"/>
        </w:rPr>
        <w:t>1</w:t>
      </w:r>
      <w:r>
        <w:rPr>
          <w:rFonts w:hint="eastAsia" w:ascii="宋体" w:hAnsi="宋体"/>
          <w:b/>
          <w:color w:val="auto"/>
          <w:sz w:val="21"/>
          <w:highlight w:val="none"/>
        </w:rPr>
        <w:t>）法定代表人参加竞标：应提供法定代表人资格证明书和法定代表人身份证复印件、身份证原件；委托代理参加竞标：应提供法</w:t>
      </w:r>
      <w:r>
        <w:rPr>
          <w:rFonts w:hint="eastAsia" w:ascii="宋体" w:hAnsi="宋体"/>
          <w:b/>
          <w:color w:val="auto"/>
          <w:sz w:val="21"/>
          <w:highlight w:val="none"/>
          <w:lang w:eastAsia="zh-CN"/>
        </w:rPr>
        <w:t>定代表</w:t>
      </w:r>
      <w:r>
        <w:rPr>
          <w:rFonts w:hint="eastAsia" w:ascii="宋体" w:hAnsi="宋体"/>
          <w:b/>
          <w:color w:val="auto"/>
          <w:sz w:val="21"/>
          <w:highlight w:val="none"/>
        </w:rPr>
        <w:t>人授权委托书原件和委托代理人身份证复印件、委托代理人身份证原件、法</w:t>
      </w:r>
      <w:r>
        <w:rPr>
          <w:rFonts w:hint="eastAsia" w:ascii="宋体" w:hAnsi="宋体"/>
          <w:b/>
          <w:color w:val="auto"/>
          <w:sz w:val="21"/>
          <w:highlight w:val="none"/>
          <w:lang w:eastAsia="zh-CN"/>
        </w:rPr>
        <w:t>定代表</w:t>
      </w:r>
      <w:r>
        <w:rPr>
          <w:rFonts w:hint="eastAsia" w:ascii="宋体" w:hAnsi="宋体"/>
          <w:b/>
          <w:color w:val="auto"/>
          <w:sz w:val="21"/>
          <w:highlight w:val="none"/>
        </w:rPr>
        <w:t>人身份证复印件；</w:t>
      </w:r>
    </w:p>
    <w:p>
      <w:pPr>
        <w:pStyle w:val="13"/>
        <w:tabs>
          <w:tab w:val="left" w:pos="347"/>
        </w:tabs>
        <w:spacing w:line="380" w:lineRule="exact"/>
        <w:ind w:firstLine="422" w:firstLineChars="200"/>
        <w:jc w:val="both"/>
        <w:rPr>
          <w:rFonts w:ascii="宋体" w:hAnsi="宋体"/>
          <w:b/>
          <w:color w:val="auto"/>
          <w:sz w:val="21"/>
          <w:highlight w:val="none"/>
        </w:rPr>
      </w:pPr>
      <w:r>
        <w:rPr>
          <w:rFonts w:hint="eastAsia" w:ascii="宋体" w:hAnsi="宋体"/>
          <w:b/>
          <w:color w:val="auto"/>
          <w:sz w:val="21"/>
          <w:highlight w:val="none"/>
        </w:rPr>
        <w:t>（2）竞标保证金交款凭证；</w:t>
      </w:r>
    </w:p>
    <w:p>
      <w:pPr>
        <w:pStyle w:val="13"/>
        <w:spacing w:line="380" w:lineRule="exact"/>
        <w:ind w:firstLine="422" w:firstLineChars="200"/>
        <w:jc w:val="both"/>
        <w:rPr>
          <w:rFonts w:ascii="宋体" w:hAnsi="宋体"/>
          <w:b/>
          <w:color w:val="auto"/>
          <w:sz w:val="21"/>
          <w:highlight w:val="none"/>
        </w:rPr>
      </w:pPr>
      <w:r>
        <w:rPr>
          <w:rFonts w:hint="eastAsia" w:ascii="宋体" w:hAnsi="宋体"/>
          <w:b/>
          <w:color w:val="auto"/>
          <w:sz w:val="21"/>
          <w:highlight w:val="none"/>
        </w:rPr>
        <w:t>（3）有效的企业营业执照副本复印件、有效的资质证书副本复印件；</w:t>
      </w:r>
    </w:p>
    <w:p>
      <w:pPr>
        <w:spacing w:line="380" w:lineRule="exact"/>
        <w:ind w:firstLine="435"/>
        <w:rPr>
          <w:rFonts w:ascii="宋体" w:hAnsi="宋体"/>
          <w:b/>
          <w:color w:val="auto"/>
          <w:szCs w:val="21"/>
          <w:highlight w:val="none"/>
        </w:rPr>
      </w:pPr>
      <w:r>
        <w:rPr>
          <w:rFonts w:hint="eastAsia" w:ascii="宋体"/>
          <w:b/>
          <w:color w:val="auto"/>
          <w:highlight w:val="none"/>
        </w:rPr>
        <w:t>申请退保证</w:t>
      </w:r>
      <w:r>
        <w:rPr>
          <w:rFonts w:hint="eastAsia" w:ascii="宋体"/>
          <w:b/>
          <w:color w:val="auto"/>
          <w:highlight w:val="none"/>
          <w:lang w:eastAsia="zh-CN"/>
        </w:rPr>
        <w:t>金</w:t>
      </w:r>
      <w:r>
        <w:rPr>
          <w:rFonts w:hint="eastAsia" w:ascii="宋体"/>
          <w:b/>
          <w:color w:val="auto"/>
          <w:highlight w:val="none"/>
        </w:rPr>
        <w:t>所需要材料：</w:t>
      </w:r>
      <w:r>
        <w:rPr>
          <w:rFonts w:hint="eastAsia" w:ascii="宋体"/>
          <w:color w:val="auto"/>
          <w:highlight w:val="none"/>
        </w:rPr>
        <w:t>退保函原件，保证金银行底单（到账证明，若有），</w:t>
      </w:r>
      <w:r>
        <w:rPr>
          <w:rFonts w:hint="eastAsia" w:ascii="宋体" w:hAnsi="宋体" w:cs="Arial"/>
          <w:color w:val="auto"/>
          <w:szCs w:val="21"/>
          <w:highlight w:val="none"/>
        </w:rPr>
        <w:t>开户许可证</w:t>
      </w:r>
      <w:r>
        <w:rPr>
          <w:rFonts w:hint="eastAsia" w:ascii="宋体" w:hAnsi="宋体"/>
          <w:color w:val="auto"/>
          <w:szCs w:val="21"/>
          <w:highlight w:val="none"/>
        </w:rPr>
        <w:t>。</w:t>
      </w:r>
    </w:p>
    <w:p>
      <w:pPr>
        <w:spacing w:line="380" w:lineRule="exact"/>
        <w:rPr>
          <w:rFonts w:ascii="宋体" w:hAnsi="宋体"/>
          <w:color w:val="auto"/>
          <w:szCs w:val="21"/>
          <w:highlight w:val="none"/>
        </w:rPr>
      </w:pPr>
      <w:r>
        <w:rPr>
          <w:rFonts w:hint="eastAsia" w:ascii="宋体" w:hAnsi="宋体"/>
          <w:color w:val="auto"/>
          <w:szCs w:val="21"/>
          <w:highlight w:val="none"/>
        </w:rPr>
        <w:t xml:space="preserve">    竞标人报名时的项目经理必须和竞标文件里面的项目经理一致，不一致的竞标文件无效。上述证件材料在开标时由采购人代表及监督部门代表进行核验，如上述材料缺项将按无效竞标文件处理，其竞标文件将退还竞标人。</w:t>
      </w:r>
    </w:p>
    <w:p>
      <w:pPr>
        <w:spacing w:line="380" w:lineRule="exact"/>
        <w:rPr>
          <w:rFonts w:ascii="宋体" w:hAnsi="宋体"/>
          <w:color w:val="auto"/>
          <w:szCs w:val="21"/>
          <w:highlight w:val="none"/>
        </w:rPr>
      </w:pPr>
      <w:r>
        <w:rPr>
          <w:rFonts w:ascii="宋体" w:hAnsi="宋体"/>
          <w:color w:val="auto"/>
          <w:szCs w:val="21"/>
          <w:highlight w:val="none"/>
        </w:rPr>
        <w:t xml:space="preserve">    17.</w:t>
      </w:r>
      <w:r>
        <w:rPr>
          <w:rFonts w:hint="eastAsia" w:ascii="宋体" w:hAnsi="宋体"/>
          <w:color w:val="auto"/>
          <w:szCs w:val="21"/>
          <w:highlight w:val="none"/>
        </w:rPr>
        <w:t>2开标</w:t>
      </w:r>
      <w:r>
        <w:rPr>
          <w:rFonts w:ascii="宋体" w:hAnsi="宋体"/>
          <w:color w:val="auto"/>
          <w:szCs w:val="21"/>
          <w:highlight w:val="none"/>
        </w:rPr>
        <w:t>会由</w:t>
      </w:r>
      <w:r>
        <w:rPr>
          <w:rFonts w:hint="eastAsia" w:ascii="宋体" w:hAnsi="宋体"/>
          <w:color w:val="auto"/>
          <w:szCs w:val="21"/>
          <w:highlight w:val="none"/>
          <w:lang w:eastAsia="zh-CN"/>
        </w:rPr>
        <w:t>广西壮锦工程管理咨询有限公司</w:t>
      </w:r>
      <w:r>
        <w:rPr>
          <w:rFonts w:ascii="宋体" w:hAnsi="宋体"/>
          <w:color w:val="auto"/>
          <w:szCs w:val="21"/>
          <w:highlight w:val="none"/>
        </w:rPr>
        <w:t>组织并主持，对竞标文件进行检查，确定它们是否完整，是否按要求提供了竞标保证金，文件签署是否正确，以及是否按本须知规定编制。但按规定提交合格撤回通知的竞标文件不予开封。</w:t>
      </w:r>
    </w:p>
    <w:p>
      <w:pPr>
        <w:spacing w:line="380" w:lineRule="exact"/>
        <w:ind w:firstLine="420" w:firstLineChars="200"/>
        <w:rPr>
          <w:rFonts w:ascii="宋体" w:hAnsi="宋体"/>
          <w:color w:val="auto"/>
          <w:szCs w:val="21"/>
          <w:highlight w:val="none"/>
        </w:rPr>
      </w:pPr>
      <w:bookmarkStart w:id="125" w:name="_Toc239659110"/>
      <w:bookmarkStart w:id="126" w:name="_Toc31202"/>
      <w:r>
        <w:rPr>
          <w:rFonts w:ascii="宋体" w:hAnsi="宋体"/>
          <w:color w:val="auto"/>
          <w:szCs w:val="21"/>
          <w:highlight w:val="none"/>
        </w:rPr>
        <w:t>17.</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开标</w:t>
      </w:r>
      <w:r>
        <w:rPr>
          <w:rFonts w:ascii="宋体" w:hAnsi="宋体"/>
          <w:color w:val="auto"/>
          <w:szCs w:val="21"/>
          <w:highlight w:val="none"/>
        </w:rPr>
        <w:t>会议程序</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（1）开标会议开始，主持人宣布谈判与评标期间的有关事项；</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（2）介绍参加开标会议的人员名单；</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（3）采购人代表和监标人员一同检验参加开标会的各竞标人是否按要求提交证明材料，同时检验各竞标单位是否按要求提交了竞标保证金，对证件不齐或无效或无法提交证件材料的作无效竞标处理；</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（4）采购代理机构当众宣布核查结果，并宣读有效竞标的竞标人名称以及采购代理机构认为需要宣布的其他内容；</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（5）各竞标人的代表交叉检验各竞标文件密封的完整性；</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 xml:space="preserve">（6）由采购人代表和监标人员一同检验竞标文件密封情况是否完整，文件签署是否正确，并宣读核查结果，请竞标人书面确认后退场。竞标人退场后移步谈判等候区，等待下一阶段的技术方案谈判及商务谈判。 </w:t>
      </w:r>
    </w:p>
    <w:p>
      <w:pPr>
        <w:tabs>
          <w:tab w:val="left" w:pos="-10"/>
          <w:tab w:val="left" w:pos="1054"/>
          <w:tab w:val="left" w:pos="1130"/>
        </w:tabs>
        <w:adjustRightInd w:val="0"/>
        <w:spacing w:line="380" w:lineRule="exact"/>
        <w:textAlignment w:val="baseline"/>
        <w:rPr>
          <w:rFonts w:ascii="宋体" w:hAnsi="宋体"/>
          <w:color w:val="auto"/>
          <w:szCs w:val="21"/>
          <w:highlight w:val="none"/>
        </w:rPr>
      </w:pPr>
      <w:r>
        <w:rPr>
          <w:rFonts w:hint="eastAsia" w:ascii="宋体" w:hAnsi="宋体"/>
          <w:color w:val="auto"/>
          <w:szCs w:val="21"/>
          <w:highlight w:val="none"/>
        </w:rPr>
        <w:t>（7）开标会议结束</w:t>
      </w:r>
      <w:r>
        <w:rPr>
          <w:rFonts w:ascii="宋体" w:hAnsi="宋体"/>
          <w:color w:val="auto"/>
          <w:szCs w:val="21"/>
          <w:highlight w:val="none"/>
        </w:rPr>
        <w:t>。</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lang w:bidi="ar"/>
        </w:rPr>
        <w:t>17.4谈判准备</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lang w:bidi="ar"/>
        </w:rPr>
        <w:t>（1）采购代理机构组织谈判小组、采购人代表签到，核对谈判小组身份和采购人代表或监督授权函后发放评标、监督等标识证件。谈判小组将手机等通讯工具或相关电子设备关闭或设置为静音状态，或寄存在指定专用储物柜（盒）内统一集中保管。</w:t>
      </w:r>
    </w:p>
    <w:p>
      <w:pPr>
        <w:spacing w:line="380" w:lineRule="exact"/>
        <w:ind w:firstLine="428" w:firstLineChars="200"/>
        <w:rPr>
          <w:rFonts w:ascii="宋体" w:hAnsi="宋体" w:cs="Courier New"/>
          <w:color w:val="auto"/>
          <w:spacing w:val="2"/>
          <w:highlight w:val="none"/>
        </w:rPr>
      </w:pPr>
      <w:r>
        <w:rPr>
          <w:rFonts w:hint="eastAsia" w:ascii="宋体" w:hAnsi="宋体" w:cs="Courier New"/>
          <w:color w:val="auto"/>
          <w:spacing w:val="2"/>
          <w:highlight w:val="none"/>
          <w:lang w:bidi="ar"/>
        </w:rPr>
        <w:t>（2）采购代理机构告知回避要求，宣布评标工作纪律和程序，介绍政府采购相关政策法规，组织评审专家及采购人代表签署《政府采购评标委员会成员承诺书》，明确评审专家权利和义务以及应负的法律责任。</w:t>
      </w:r>
    </w:p>
    <w:p>
      <w:pPr>
        <w:spacing w:line="380" w:lineRule="exact"/>
        <w:ind w:firstLine="428" w:firstLineChars="200"/>
        <w:rPr>
          <w:rFonts w:ascii="宋体" w:hAnsi="宋体" w:cs="Courier New"/>
          <w:color w:val="auto"/>
          <w:spacing w:val="2"/>
          <w:highlight w:val="none"/>
          <w:lang w:bidi="ar"/>
        </w:rPr>
      </w:pPr>
      <w:r>
        <w:rPr>
          <w:rFonts w:hint="eastAsia" w:ascii="宋体" w:hAnsi="宋体" w:cs="Courier New"/>
          <w:color w:val="auto"/>
          <w:spacing w:val="2"/>
          <w:highlight w:val="none"/>
          <w:lang w:bidi="ar"/>
        </w:rPr>
        <w:t>（3）采购代理机构工作人员介绍谈判流程，公布竞谈采购项目上限控制价，现场拆封竞标文件交由评标委员会。</w:t>
      </w:r>
    </w:p>
    <w:p>
      <w:pPr>
        <w:spacing w:line="380" w:lineRule="exact"/>
        <w:ind w:firstLine="420"/>
        <w:rPr>
          <w:rFonts w:ascii="宋体" w:hAnsi="宋体"/>
          <w:color w:val="auto"/>
          <w:szCs w:val="21"/>
          <w:highlight w:val="none"/>
        </w:rPr>
      </w:pPr>
      <w:r>
        <w:rPr>
          <w:rFonts w:hint="eastAsia" w:ascii="宋体" w:hAnsi="宋体"/>
          <w:color w:val="auto"/>
          <w:szCs w:val="21"/>
          <w:highlight w:val="none"/>
        </w:rPr>
        <w:t>17.5谈判：</w:t>
      </w:r>
    </w:p>
    <w:p>
      <w:pPr>
        <w:spacing w:line="380" w:lineRule="exact"/>
        <w:ind w:firstLine="420"/>
        <w:rPr>
          <w:rFonts w:ascii="宋体" w:hAnsi="宋体"/>
          <w:color w:val="auto"/>
          <w:szCs w:val="21"/>
          <w:highlight w:val="none"/>
        </w:rPr>
      </w:pPr>
      <w:r>
        <w:rPr>
          <w:rFonts w:hint="eastAsia" w:ascii="宋体" w:hAnsi="宋体"/>
          <w:color w:val="auto"/>
          <w:szCs w:val="21"/>
          <w:highlight w:val="none"/>
        </w:rPr>
        <w:t xml:space="preserve">①出席评审的有关人员为谈判小组成员。竞标单位在谈判期间提交的密封的所有竞标文件须经谈判小组成员和监督人员同时验证后方能拆封，任何个人不得私自拆封。 </w:t>
      </w:r>
    </w:p>
    <w:p>
      <w:pPr>
        <w:spacing w:line="380" w:lineRule="exact"/>
        <w:ind w:firstLine="420"/>
        <w:rPr>
          <w:rFonts w:ascii="宋体" w:hAnsi="宋体"/>
          <w:color w:val="auto"/>
          <w:szCs w:val="21"/>
          <w:highlight w:val="none"/>
        </w:rPr>
      </w:pPr>
      <w:r>
        <w:rPr>
          <w:rFonts w:hint="eastAsia" w:ascii="宋体" w:hAnsi="宋体"/>
          <w:color w:val="auto"/>
          <w:szCs w:val="21"/>
          <w:highlight w:val="none"/>
        </w:rPr>
        <w:t>②谈判时，竞标单位的法人代表或委托代理人必须参加谈判。</w:t>
      </w:r>
    </w:p>
    <w:p>
      <w:pPr>
        <w:spacing w:line="380" w:lineRule="exact"/>
        <w:ind w:firstLine="420"/>
        <w:rPr>
          <w:rFonts w:ascii="宋体" w:hAnsi="宋体"/>
          <w:color w:val="auto"/>
          <w:szCs w:val="21"/>
          <w:highlight w:val="none"/>
        </w:rPr>
      </w:pPr>
      <w:r>
        <w:rPr>
          <w:rFonts w:hint="eastAsia" w:ascii="宋体" w:hAnsi="宋体"/>
          <w:color w:val="auto"/>
          <w:szCs w:val="21"/>
          <w:highlight w:val="none"/>
        </w:rPr>
        <w:t>③谈判小组通过对各竞标单位的竞标文件进行初步审查后，谈判双方以竞争性谈判条件为依据，由竞标单位对提交的竞标文件及服务承诺等做出陈述。谈判小组将根据竞标单位的竞标文件、陈述尚未明晰或需要进一步了解的细节列出与各竞标单位谈判的提纲并向竞标单位询问，竞标单位应依次对谈判小组提出的问题做出答复，必要时要求竞标单位对其竞标内容、补充方案或修改意见做出书面澄清。同时代理机构工作人员对谈判内容做好记录并将此记录交由谈判小组及竞标单位核实，核实无误后由竞标单位代表签字作为书面应答文件（将作为合同的组成部分）。</w:t>
      </w:r>
    </w:p>
    <w:p>
      <w:pPr>
        <w:spacing w:line="380" w:lineRule="exact"/>
        <w:ind w:firstLine="420"/>
        <w:rPr>
          <w:color w:val="auto"/>
          <w:highlight w:val="none"/>
        </w:rPr>
      </w:pPr>
      <w:r>
        <w:rPr>
          <w:rFonts w:hint="eastAsia" w:ascii="宋体" w:hAnsi="宋体"/>
          <w:color w:val="auto"/>
          <w:szCs w:val="21"/>
          <w:highlight w:val="none"/>
        </w:rPr>
        <w:t>④二次报价：谈判小组应在商务、技术和服务条件谈判后，邀请能满足竞争性谈判条件书所规定实质性要求的质量和服务的所有竞标人进行二次报价，并告知竞标人二次报价截止时间及二次报价文件编写有关规范。原则上，二次报价为最终报价。（注：竞标人的二次报价有所变动时，须提前做好相关准备并按时递交报价文件，报价高于采购人工程采购预算控制价的竞争性谈判响应文件将被拒绝。）</w:t>
      </w:r>
    </w:p>
    <w:p>
      <w:pPr>
        <w:spacing w:line="380" w:lineRule="exact"/>
        <w:ind w:firstLine="420"/>
        <w:rPr>
          <w:rFonts w:ascii="宋体" w:hAnsi="宋体"/>
          <w:color w:val="auto"/>
          <w:szCs w:val="21"/>
          <w:highlight w:val="none"/>
        </w:rPr>
      </w:pPr>
      <w:r>
        <w:rPr>
          <w:rFonts w:hint="eastAsia" w:ascii="宋体" w:hAnsi="宋体"/>
          <w:color w:val="auto"/>
          <w:szCs w:val="21"/>
          <w:highlight w:val="none"/>
        </w:rPr>
        <w:t>17.6谈判原则</w:t>
      </w:r>
    </w:p>
    <w:p>
      <w:pPr>
        <w:spacing w:line="380" w:lineRule="exact"/>
        <w:ind w:firstLine="420"/>
        <w:rPr>
          <w:rFonts w:ascii="宋体" w:hAnsi="宋体"/>
          <w:color w:val="auto"/>
          <w:szCs w:val="21"/>
          <w:highlight w:val="none"/>
        </w:rPr>
      </w:pPr>
      <w:r>
        <w:rPr>
          <w:rFonts w:hint="eastAsia" w:ascii="宋体" w:hAnsi="宋体"/>
          <w:color w:val="auto"/>
          <w:szCs w:val="21"/>
          <w:highlight w:val="none"/>
        </w:rPr>
        <w:t>17.6.1、必须公平、公正、客观，不带任何倾向性和启发性；</w:t>
      </w:r>
    </w:p>
    <w:p>
      <w:pPr>
        <w:spacing w:line="380" w:lineRule="exact"/>
        <w:ind w:firstLine="420"/>
        <w:rPr>
          <w:rFonts w:ascii="宋体" w:hAnsi="宋体"/>
          <w:color w:val="auto"/>
          <w:szCs w:val="21"/>
          <w:highlight w:val="none"/>
        </w:rPr>
      </w:pPr>
      <w:r>
        <w:rPr>
          <w:rFonts w:hint="eastAsia" w:ascii="宋体" w:hAnsi="宋体"/>
          <w:color w:val="auto"/>
          <w:szCs w:val="21"/>
          <w:highlight w:val="none"/>
        </w:rPr>
        <w:t xml:space="preserve">17.6.2、谈判人员不得向外界透露任何与谈判有关的内容； </w:t>
      </w:r>
    </w:p>
    <w:p>
      <w:pPr>
        <w:spacing w:line="380" w:lineRule="exact"/>
        <w:ind w:firstLine="420"/>
        <w:rPr>
          <w:rFonts w:ascii="宋体" w:hAnsi="宋体"/>
          <w:color w:val="auto"/>
          <w:szCs w:val="21"/>
          <w:highlight w:val="none"/>
        </w:rPr>
      </w:pPr>
      <w:r>
        <w:rPr>
          <w:rFonts w:hint="eastAsia" w:ascii="宋体" w:hAnsi="宋体"/>
          <w:color w:val="auto"/>
          <w:szCs w:val="21"/>
          <w:highlight w:val="none"/>
        </w:rPr>
        <w:t>17.6.3、任何单位和个人不得干扰、影响谈判的正常进行；</w:t>
      </w:r>
    </w:p>
    <w:p>
      <w:pPr>
        <w:pStyle w:val="5"/>
        <w:ind w:firstLine="420" w:firstLineChars="200"/>
        <w:rPr>
          <w:rFonts w:hint="default" w:ascii="宋体" w:eastAsia="宋体"/>
          <w:bCs w:val="0"/>
          <w:color w:val="auto"/>
          <w:kern w:val="2"/>
          <w:sz w:val="21"/>
          <w:szCs w:val="21"/>
          <w:highlight w:val="none"/>
        </w:rPr>
      </w:pPr>
      <w:bookmarkStart w:id="127" w:name="_Toc28619"/>
      <w:r>
        <w:rPr>
          <w:rFonts w:ascii="宋体" w:eastAsia="宋体"/>
          <w:bCs w:val="0"/>
          <w:color w:val="auto"/>
          <w:kern w:val="2"/>
          <w:sz w:val="21"/>
          <w:szCs w:val="21"/>
          <w:highlight w:val="none"/>
        </w:rPr>
        <w:t>17.6.4、谈判人员不得私下与竞标单位接触。</w:t>
      </w:r>
      <w:bookmarkEnd w:id="127"/>
    </w:p>
    <w:p>
      <w:pPr>
        <w:pStyle w:val="5"/>
        <w:rPr>
          <w:rFonts w:hint="default"/>
          <w:color w:val="auto"/>
          <w:highlight w:val="none"/>
        </w:rPr>
      </w:pPr>
      <w:bookmarkStart w:id="128" w:name="_Toc24476"/>
      <w:r>
        <w:rPr>
          <w:color w:val="auto"/>
          <w:highlight w:val="none"/>
        </w:rPr>
        <w:t>18.开标内容的保密</w:t>
      </w:r>
      <w:bookmarkEnd w:id="125"/>
      <w:bookmarkEnd w:id="126"/>
      <w:bookmarkEnd w:id="128"/>
    </w:p>
    <w:p>
      <w:pPr>
        <w:spacing w:line="380" w:lineRule="exact"/>
        <w:rPr>
          <w:rFonts w:ascii="宋体" w:hAnsi="宋体"/>
          <w:color w:val="auto"/>
          <w:szCs w:val="21"/>
          <w:highlight w:val="none"/>
        </w:rPr>
      </w:pPr>
      <w:r>
        <w:rPr>
          <w:rFonts w:ascii="宋体" w:hAnsi="宋体"/>
          <w:color w:val="auto"/>
          <w:szCs w:val="21"/>
          <w:highlight w:val="none"/>
        </w:rPr>
        <w:t xml:space="preserve">    18.1</w:t>
      </w:r>
      <w:r>
        <w:rPr>
          <w:rFonts w:hint="eastAsia" w:ascii="宋体" w:hAnsi="宋体"/>
          <w:color w:val="auto"/>
          <w:szCs w:val="21"/>
          <w:highlight w:val="none"/>
        </w:rPr>
        <w:t>开标</w:t>
      </w:r>
      <w:r>
        <w:rPr>
          <w:rFonts w:ascii="宋体" w:hAnsi="宋体"/>
          <w:color w:val="auto"/>
          <w:szCs w:val="21"/>
          <w:highlight w:val="none"/>
        </w:rPr>
        <w:t>后，直到宣布授予成交单位合同为止，凡属于审查、澄清、评价和比较的所有资料，有关授予合同的信息，都不应向竞标人或与</w:t>
      </w:r>
      <w:r>
        <w:rPr>
          <w:rFonts w:hint="eastAsia" w:ascii="宋体" w:hAnsi="宋体"/>
          <w:color w:val="auto"/>
          <w:szCs w:val="21"/>
          <w:highlight w:val="none"/>
        </w:rPr>
        <w:t>评标</w:t>
      </w:r>
      <w:r>
        <w:rPr>
          <w:rFonts w:ascii="宋体" w:hAnsi="宋体"/>
          <w:color w:val="auto"/>
          <w:szCs w:val="21"/>
          <w:highlight w:val="none"/>
        </w:rPr>
        <w:t>无关的其他人泄露。</w:t>
      </w:r>
    </w:p>
    <w:p>
      <w:pPr>
        <w:spacing w:line="380" w:lineRule="exact"/>
        <w:ind w:firstLine="435"/>
        <w:rPr>
          <w:rFonts w:ascii="宋体" w:hAnsi="宋体"/>
          <w:color w:val="auto"/>
          <w:szCs w:val="21"/>
          <w:highlight w:val="none"/>
        </w:rPr>
      </w:pPr>
      <w:r>
        <w:rPr>
          <w:rFonts w:ascii="宋体" w:hAnsi="宋体"/>
          <w:color w:val="auto"/>
          <w:szCs w:val="21"/>
          <w:highlight w:val="none"/>
        </w:rPr>
        <w:t>18.2 在竞标文件的审查、澄清、评价和比较以及授予合同的过程中，竞标人对</w:t>
      </w:r>
      <w:r>
        <w:rPr>
          <w:rFonts w:hint="eastAsia" w:ascii="宋体" w:hAnsi="宋体"/>
          <w:color w:val="auto"/>
          <w:szCs w:val="21"/>
          <w:highlight w:val="none"/>
        </w:rPr>
        <w:t>采购</w:t>
      </w:r>
      <w:r>
        <w:rPr>
          <w:rFonts w:ascii="宋体" w:hAnsi="宋体"/>
          <w:color w:val="auto"/>
          <w:szCs w:val="21"/>
          <w:highlight w:val="none"/>
        </w:rPr>
        <w:t>人和</w:t>
      </w:r>
      <w:r>
        <w:rPr>
          <w:rFonts w:hint="eastAsia" w:ascii="宋体" w:hAnsi="宋体"/>
          <w:color w:val="auto"/>
          <w:szCs w:val="21"/>
          <w:highlight w:val="none"/>
        </w:rPr>
        <w:t>谈判</w:t>
      </w:r>
      <w:r>
        <w:rPr>
          <w:rFonts w:ascii="宋体" w:hAnsi="宋体"/>
          <w:color w:val="auto"/>
          <w:szCs w:val="21"/>
          <w:highlight w:val="none"/>
        </w:rPr>
        <w:t>小组成员施加影响的任何行为，都将导致取消其</w:t>
      </w:r>
      <w:r>
        <w:rPr>
          <w:rFonts w:hint="eastAsia" w:ascii="宋体" w:hAnsi="宋体"/>
          <w:color w:val="auto"/>
          <w:szCs w:val="21"/>
          <w:highlight w:val="none"/>
        </w:rPr>
        <w:t>竞</w:t>
      </w:r>
      <w:r>
        <w:rPr>
          <w:rFonts w:ascii="宋体" w:hAnsi="宋体"/>
          <w:color w:val="auto"/>
          <w:szCs w:val="21"/>
          <w:highlight w:val="none"/>
        </w:rPr>
        <w:t>标资格。</w:t>
      </w:r>
    </w:p>
    <w:p>
      <w:pPr>
        <w:pStyle w:val="5"/>
        <w:rPr>
          <w:rFonts w:hint="default"/>
          <w:color w:val="auto"/>
          <w:highlight w:val="none"/>
        </w:rPr>
      </w:pPr>
      <w:bookmarkStart w:id="129" w:name="_Toc239659111"/>
      <w:bookmarkStart w:id="130" w:name="_Toc18319"/>
      <w:bookmarkStart w:id="131" w:name="_Toc10646"/>
      <w:r>
        <w:rPr>
          <w:color w:val="auto"/>
          <w:highlight w:val="none"/>
        </w:rPr>
        <w:t>19.竞标文件计算错误的修正</w:t>
      </w:r>
      <w:bookmarkEnd w:id="129"/>
      <w:bookmarkEnd w:id="130"/>
      <w:bookmarkEnd w:id="131"/>
    </w:p>
    <w:p>
      <w:pPr>
        <w:spacing w:line="380" w:lineRule="exact"/>
        <w:ind w:firstLine="388" w:firstLineChars="185"/>
        <w:rPr>
          <w:rFonts w:ascii="宋体" w:hAnsi="宋体"/>
          <w:color w:val="auto"/>
          <w:szCs w:val="21"/>
          <w:highlight w:val="none"/>
        </w:rPr>
      </w:pPr>
      <w:r>
        <w:rPr>
          <w:rFonts w:ascii="宋体" w:hAnsi="宋体"/>
          <w:color w:val="auto"/>
          <w:szCs w:val="21"/>
          <w:highlight w:val="none"/>
        </w:rPr>
        <w:t>19.1</w:t>
      </w:r>
      <w:r>
        <w:rPr>
          <w:rFonts w:hint="eastAsia" w:ascii="宋体" w:hAnsi="宋体"/>
          <w:color w:val="auto"/>
          <w:szCs w:val="21"/>
          <w:highlight w:val="none"/>
        </w:rPr>
        <w:t xml:space="preserve"> </w:t>
      </w:r>
      <w:r>
        <w:rPr>
          <w:rFonts w:ascii="宋体" w:hAnsi="宋体"/>
          <w:color w:val="auto"/>
          <w:szCs w:val="21"/>
          <w:highlight w:val="none"/>
        </w:rPr>
        <w:t>谈判小组将对确定为实质上响应竞争性谈判文件要求的竞标文件进行校核，看其是否有计算或表达上的错误，修正错误的原则如下：</w:t>
      </w:r>
    </w:p>
    <w:p>
      <w:pPr>
        <w:spacing w:line="380" w:lineRule="exact"/>
        <w:ind w:firstLine="388" w:firstLineChars="185"/>
        <w:rPr>
          <w:rFonts w:ascii="宋体" w:hAnsi="宋体"/>
          <w:color w:val="auto"/>
          <w:szCs w:val="21"/>
          <w:highlight w:val="none"/>
        </w:rPr>
      </w:pPr>
      <w:r>
        <w:rPr>
          <w:rFonts w:ascii="宋体" w:hAnsi="宋体"/>
          <w:color w:val="auto"/>
          <w:szCs w:val="21"/>
          <w:highlight w:val="none"/>
        </w:rPr>
        <w:t>19.1.1</w:t>
      </w:r>
      <w:r>
        <w:rPr>
          <w:rFonts w:hint="eastAsia" w:ascii="宋体" w:hAnsi="宋体"/>
          <w:color w:val="auto"/>
          <w:szCs w:val="21"/>
          <w:highlight w:val="none"/>
        </w:rPr>
        <w:t xml:space="preserve"> </w:t>
      </w:r>
      <w:r>
        <w:rPr>
          <w:rFonts w:ascii="宋体" w:hAnsi="宋体"/>
          <w:color w:val="auto"/>
          <w:szCs w:val="21"/>
          <w:highlight w:val="none"/>
        </w:rPr>
        <w:t>如果数字表示的金额和用文字表示的金额不一致时，应以文字表示的金额为准；</w:t>
      </w:r>
    </w:p>
    <w:p>
      <w:pPr>
        <w:spacing w:line="380" w:lineRule="exact"/>
        <w:ind w:firstLine="388" w:firstLineChars="185"/>
        <w:rPr>
          <w:rFonts w:ascii="宋体" w:hAnsi="宋体"/>
          <w:color w:val="auto"/>
          <w:szCs w:val="21"/>
          <w:highlight w:val="none"/>
        </w:rPr>
      </w:pPr>
      <w:r>
        <w:rPr>
          <w:rFonts w:ascii="宋体" w:hAnsi="宋体"/>
          <w:color w:val="auto"/>
          <w:szCs w:val="21"/>
          <w:highlight w:val="none"/>
        </w:rPr>
        <w:t>19.1.2</w:t>
      </w:r>
      <w:r>
        <w:rPr>
          <w:rFonts w:hint="eastAsia" w:ascii="宋体" w:hAnsi="宋体"/>
          <w:color w:val="auto"/>
          <w:szCs w:val="21"/>
          <w:highlight w:val="none"/>
        </w:rPr>
        <w:t xml:space="preserve"> </w:t>
      </w:r>
      <w:r>
        <w:rPr>
          <w:rFonts w:ascii="宋体" w:hAnsi="宋体"/>
          <w:color w:val="auto"/>
          <w:szCs w:val="21"/>
          <w:highlight w:val="none"/>
        </w:rPr>
        <w:t>当单价与数量的乘积与合价不一致时，以单价为准，除非谈判小组认为单价有明显的小数点错误，此时应以标出的合价为准，并修改单价</w:t>
      </w:r>
      <w:r>
        <w:rPr>
          <w:rFonts w:hint="eastAsia" w:ascii="宋体" w:hAnsi="宋体"/>
          <w:color w:val="auto"/>
          <w:szCs w:val="21"/>
          <w:highlight w:val="none"/>
        </w:rPr>
        <w:t>；</w:t>
      </w:r>
    </w:p>
    <w:p>
      <w:pPr>
        <w:spacing w:line="380" w:lineRule="exact"/>
        <w:ind w:firstLine="388" w:firstLineChars="185"/>
        <w:rPr>
          <w:rFonts w:ascii="宋体" w:hAnsi="宋体"/>
          <w:color w:val="auto"/>
          <w:szCs w:val="21"/>
          <w:highlight w:val="none"/>
        </w:rPr>
      </w:pPr>
      <w:r>
        <w:rPr>
          <w:rFonts w:hint="eastAsia" w:ascii="宋体" w:hAnsi="宋体"/>
          <w:color w:val="auto"/>
          <w:szCs w:val="21"/>
          <w:highlight w:val="none"/>
        </w:rPr>
        <w:t>19.1.3 当分项乘积累计得出的总额与标出的总额不一致时，以标出的分项乘积为准，并修改标出的总额；</w:t>
      </w:r>
    </w:p>
    <w:p>
      <w:pPr>
        <w:spacing w:line="380" w:lineRule="exact"/>
        <w:ind w:firstLine="388" w:firstLineChars="185"/>
        <w:rPr>
          <w:rFonts w:ascii="宋体" w:hAnsi="宋体"/>
          <w:color w:val="auto"/>
          <w:szCs w:val="21"/>
          <w:highlight w:val="none"/>
        </w:rPr>
      </w:pPr>
      <w:r>
        <w:rPr>
          <w:rFonts w:ascii="宋体" w:hAnsi="宋体"/>
          <w:color w:val="auto"/>
          <w:szCs w:val="21"/>
          <w:highlight w:val="none"/>
        </w:rPr>
        <w:t>19.</w:t>
      </w:r>
      <w:r>
        <w:rPr>
          <w:rFonts w:hint="eastAsia" w:ascii="宋体" w:hAnsi="宋体"/>
          <w:color w:val="auto"/>
          <w:szCs w:val="21"/>
          <w:highlight w:val="none"/>
        </w:rPr>
        <w:t>1.4</w:t>
      </w:r>
      <w:r>
        <w:rPr>
          <w:rFonts w:ascii="宋体" w:hAnsi="宋体"/>
          <w:color w:val="auto"/>
          <w:szCs w:val="21"/>
          <w:highlight w:val="none"/>
        </w:rPr>
        <w:t xml:space="preserve"> 竞标文件正本与竞标文件副本不符的以正本为准。</w:t>
      </w:r>
    </w:p>
    <w:p>
      <w:pPr>
        <w:spacing w:line="380" w:lineRule="exact"/>
        <w:ind w:firstLine="388" w:firstLineChars="185"/>
        <w:rPr>
          <w:rFonts w:ascii="宋体" w:hAnsi="宋体"/>
          <w:color w:val="auto"/>
          <w:szCs w:val="21"/>
          <w:highlight w:val="none"/>
        </w:rPr>
      </w:pPr>
      <w:r>
        <w:rPr>
          <w:rFonts w:ascii="宋体" w:hAnsi="宋体"/>
          <w:color w:val="auto"/>
          <w:szCs w:val="21"/>
          <w:highlight w:val="none"/>
        </w:rPr>
        <w:t>19.2 按上述修正错误的原则及方法调整或修正竞标文件的竞标报价，</w:t>
      </w:r>
      <w:r>
        <w:rPr>
          <w:rFonts w:hint="eastAsia" w:ascii="宋体" w:hAnsi="宋体"/>
          <w:color w:val="auto"/>
          <w:szCs w:val="21"/>
          <w:highlight w:val="none"/>
        </w:rPr>
        <w:t>在</w:t>
      </w:r>
      <w:r>
        <w:rPr>
          <w:rFonts w:ascii="宋体" w:hAnsi="宋体"/>
          <w:color w:val="auto"/>
          <w:szCs w:val="21"/>
          <w:highlight w:val="none"/>
        </w:rPr>
        <w:t>竞标人</w:t>
      </w:r>
      <w:r>
        <w:rPr>
          <w:rFonts w:hint="eastAsia" w:ascii="宋体" w:hAnsi="宋体"/>
          <w:color w:val="auto"/>
          <w:szCs w:val="21"/>
          <w:highlight w:val="none"/>
        </w:rPr>
        <w:t>确认</w:t>
      </w:r>
      <w:r>
        <w:rPr>
          <w:rFonts w:ascii="宋体" w:hAnsi="宋体"/>
          <w:color w:val="auto"/>
          <w:szCs w:val="21"/>
          <w:highlight w:val="none"/>
        </w:rPr>
        <w:t>后，调整或修正后的竞标报价对竞标人起约束作用。如果竞标人不接受调整或修正后的报价，则其竞标文件将被拒绝并且其竞标保证金也将被没收，并不影响谈判工作。</w:t>
      </w:r>
    </w:p>
    <w:p>
      <w:pPr>
        <w:pStyle w:val="5"/>
        <w:rPr>
          <w:rFonts w:hint="default"/>
          <w:color w:val="auto"/>
          <w:highlight w:val="none"/>
        </w:rPr>
      </w:pPr>
      <w:bookmarkStart w:id="132" w:name="_Toc120331586"/>
      <w:bookmarkStart w:id="133" w:name="_Toc16472"/>
      <w:bookmarkStart w:id="134" w:name="_Toc239659113"/>
      <w:bookmarkStart w:id="135" w:name="_Toc174353376"/>
      <w:bookmarkStart w:id="136" w:name="_Toc4114"/>
      <w:bookmarkStart w:id="137" w:name="_Toc239659112"/>
      <w:bookmarkStart w:id="138" w:name="_Toc5434"/>
      <w:r>
        <w:rPr>
          <w:color w:val="auto"/>
          <w:highlight w:val="none"/>
        </w:rPr>
        <w:t>21.竞标文件的评价与比较</w:t>
      </w:r>
      <w:bookmarkEnd w:id="132"/>
      <w:bookmarkEnd w:id="133"/>
      <w:bookmarkEnd w:id="134"/>
      <w:bookmarkEnd w:id="135"/>
      <w:bookmarkEnd w:id="136"/>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21.1 对竞标文件进行符合性鉴定。竞标文件应实质上响应竞争性谈判文件的要求，应与竞争性谈判文件所有条款、条件和规定，无明显差异或保留。谈判小组对实质上不响应竞争性谈判文件要求的竞标予以拒绝。并且不允许通过修正或撤消其不符合要求的差异或保留，使之成为具有响应性的竞标文件。</w:t>
      </w:r>
    </w:p>
    <w:p>
      <w:pPr>
        <w:spacing w:line="380" w:lineRule="exact"/>
        <w:ind w:firstLine="413" w:firstLineChars="196"/>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2 竞标人或其竞标文件有</w:t>
      </w:r>
      <w:r>
        <w:rPr>
          <w:rFonts w:ascii="宋体" w:hAnsi="宋体"/>
          <w:b/>
          <w:color w:val="auto"/>
          <w:szCs w:val="21"/>
          <w:highlight w:val="none"/>
        </w:rPr>
        <w:t>下列情况之一者</w:t>
      </w:r>
      <w:r>
        <w:rPr>
          <w:rFonts w:hint="eastAsia" w:ascii="宋体" w:hAnsi="宋体"/>
          <w:b/>
          <w:color w:val="auto"/>
          <w:szCs w:val="21"/>
          <w:highlight w:val="none"/>
        </w:rPr>
        <w:t>，其竞标文件</w:t>
      </w:r>
      <w:r>
        <w:rPr>
          <w:rFonts w:ascii="宋体" w:hAnsi="宋体"/>
          <w:b/>
          <w:color w:val="auto"/>
          <w:szCs w:val="21"/>
          <w:highlight w:val="none"/>
        </w:rPr>
        <w:t>将视为无效</w:t>
      </w:r>
      <w:r>
        <w:rPr>
          <w:rFonts w:hint="eastAsia" w:ascii="宋体" w:hAnsi="宋体"/>
          <w:b/>
          <w:color w:val="auto"/>
          <w:szCs w:val="21"/>
          <w:highlight w:val="none"/>
        </w:rPr>
        <w:t>或作废标处理</w:t>
      </w:r>
      <w:r>
        <w:rPr>
          <w:rFonts w:ascii="宋体" w:hAnsi="宋体"/>
          <w:b/>
          <w:color w:val="auto"/>
          <w:szCs w:val="21"/>
          <w:highlight w:val="none"/>
        </w:rPr>
        <w:t>：</w:t>
      </w:r>
    </w:p>
    <w:p>
      <w:pPr>
        <w:spacing w:line="380" w:lineRule="exact"/>
        <w:ind w:firstLine="413" w:firstLineChars="196"/>
        <w:rPr>
          <w:rFonts w:ascii="宋体" w:hAnsi="宋体"/>
          <w:b/>
          <w:color w:val="auto"/>
          <w:szCs w:val="21"/>
          <w:highlight w:val="none"/>
        </w:rPr>
      </w:pPr>
      <w:r>
        <w:rPr>
          <w:rFonts w:ascii="宋体" w:hAnsi="宋体"/>
          <w:b/>
          <w:color w:val="auto"/>
          <w:szCs w:val="21"/>
          <w:highlight w:val="none"/>
        </w:rPr>
        <w:t>21.2.1</w:t>
      </w:r>
      <w:r>
        <w:rPr>
          <w:rFonts w:hint="eastAsia" w:ascii="宋体" w:hAnsi="宋体"/>
          <w:b/>
          <w:color w:val="auto"/>
          <w:szCs w:val="21"/>
          <w:highlight w:val="none"/>
        </w:rPr>
        <w:t xml:space="preserve"> </w:t>
      </w:r>
      <w:r>
        <w:rPr>
          <w:rFonts w:ascii="宋体" w:hAnsi="宋体"/>
          <w:b/>
          <w:color w:val="auto"/>
          <w:szCs w:val="21"/>
          <w:highlight w:val="none"/>
        </w:rPr>
        <w:t>竞标人的法定代表人或委托代理人未按时参加开标会议的</w:t>
      </w:r>
      <w:r>
        <w:rPr>
          <w:rFonts w:hint="eastAsia" w:ascii="宋体" w:hAnsi="宋体"/>
          <w:b/>
          <w:color w:val="auto"/>
          <w:szCs w:val="21"/>
          <w:highlight w:val="none"/>
        </w:rPr>
        <w:t>；</w:t>
      </w:r>
    </w:p>
    <w:p>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 xml:space="preserve">21.2.2 </w:t>
      </w:r>
      <w:r>
        <w:rPr>
          <w:rFonts w:ascii="宋体" w:hAnsi="宋体"/>
          <w:b/>
          <w:color w:val="auto"/>
          <w:szCs w:val="21"/>
          <w:highlight w:val="none"/>
        </w:rPr>
        <w:t>竞标文件未按照本须知第15条的要求装订、密封和标记的；</w:t>
      </w:r>
    </w:p>
    <w:p>
      <w:pPr>
        <w:spacing w:line="380" w:lineRule="exact"/>
        <w:ind w:firstLine="413" w:firstLineChars="196"/>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 xml:space="preserve">3 </w:t>
      </w:r>
      <w:r>
        <w:rPr>
          <w:rFonts w:ascii="宋体" w:hAnsi="宋体"/>
          <w:b/>
          <w:color w:val="auto"/>
          <w:szCs w:val="21"/>
          <w:highlight w:val="none"/>
        </w:rPr>
        <w:t>本须知第9条规定的竞标文件有关内容未按本须知第13</w:t>
      </w:r>
      <w:r>
        <w:rPr>
          <w:rFonts w:hint="eastAsia" w:ascii="宋体" w:hAnsi="宋体"/>
          <w:b/>
          <w:color w:val="auto"/>
          <w:szCs w:val="21"/>
          <w:highlight w:val="none"/>
        </w:rPr>
        <w:t>条</w:t>
      </w:r>
      <w:r>
        <w:rPr>
          <w:rFonts w:ascii="宋体" w:hAnsi="宋体"/>
          <w:b/>
          <w:color w:val="auto"/>
          <w:szCs w:val="21"/>
          <w:highlight w:val="none"/>
        </w:rPr>
        <w:t>规定加盖竞标人</w:t>
      </w:r>
      <w:r>
        <w:rPr>
          <w:rFonts w:hint="eastAsia" w:ascii="宋体" w:hAnsi="宋体"/>
          <w:b/>
          <w:color w:val="auto"/>
          <w:szCs w:val="21"/>
          <w:highlight w:val="none"/>
        </w:rPr>
        <w:t>单位公</w:t>
      </w:r>
      <w:r>
        <w:rPr>
          <w:rFonts w:ascii="宋体" w:hAnsi="宋体"/>
          <w:b/>
          <w:color w:val="auto"/>
          <w:szCs w:val="21"/>
          <w:highlight w:val="none"/>
        </w:rPr>
        <w:t>章</w:t>
      </w:r>
      <w:r>
        <w:rPr>
          <w:rFonts w:hint="eastAsia" w:ascii="宋体" w:hAnsi="宋体"/>
          <w:b/>
          <w:color w:val="auto"/>
          <w:szCs w:val="21"/>
          <w:highlight w:val="none"/>
        </w:rPr>
        <w:t>、</w:t>
      </w:r>
      <w:r>
        <w:rPr>
          <w:rFonts w:ascii="宋体" w:hAnsi="宋体"/>
          <w:b/>
          <w:color w:val="auto"/>
          <w:szCs w:val="21"/>
          <w:highlight w:val="none"/>
        </w:rPr>
        <w:t>未经法定代表人或其委托代理人签字的</w:t>
      </w:r>
      <w:r>
        <w:rPr>
          <w:rFonts w:hint="eastAsia" w:ascii="宋体" w:hAnsi="宋体"/>
          <w:b/>
          <w:color w:val="auto"/>
          <w:szCs w:val="21"/>
          <w:highlight w:val="none"/>
        </w:rPr>
        <w:t>；</w:t>
      </w:r>
    </w:p>
    <w:p>
      <w:pPr>
        <w:spacing w:line="380" w:lineRule="exact"/>
        <w:ind w:firstLine="413" w:firstLineChars="196"/>
        <w:rPr>
          <w:rFonts w:ascii="宋体" w:hAnsi="宋体"/>
          <w:b/>
          <w:color w:val="auto"/>
          <w:szCs w:val="21"/>
          <w:highlight w:val="none"/>
        </w:rPr>
      </w:pPr>
      <w:r>
        <w:rPr>
          <w:rFonts w:hint="eastAsia" w:ascii="宋体" w:hAnsi="宋体"/>
          <w:b/>
          <w:color w:val="auto"/>
          <w:szCs w:val="21"/>
          <w:highlight w:val="none"/>
        </w:rPr>
        <w:t xml:space="preserve">21.2.4 </w:t>
      </w:r>
      <w:r>
        <w:rPr>
          <w:rFonts w:ascii="宋体" w:hAnsi="宋体"/>
          <w:b/>
          <w:color w:val="auto"/>
          <w:szCs w:val="21"/>
          <w:highlight w:val="none"/>
        </w:rPr>
        <w:t>由委托代理人签字，但未随竞标文件一起提交有效的“授权委托书”原件的；</w:t>
      </w:r>
    </w:p>
    <w:p>
      <w:pPr>
        <w:spacing w:line="380" w:lineRule="exact"/>
        <w:rPr>
          <w:rFonts w:ascii="宋体" w:hAnsi="宋体"/>
          <w:b/>
          <w:color w:val="auto"/>
          <w:szCs w:val="21"/>
          <w:highlight w:val="none"/>
        </w:rPr>
      </w:pPr>
      <w:r>
        <w:rPr>
          <w:rFonts w:ascii="宋体" w:hAnsi="宋体"/>
          <w:b/>
          <w:color w:val="auto"/>
          <w:szCs w:val="21"/>
          <w:highlight w:val="none"/>
        </w:rPr>
        <w:t xml:space="preserve">    21.2.</w:t>
      </w:r>
      <w:r>
        <w:rPr>
          <w:rFonts w:hint="eastAsia" w:ascii="宋体" w:hAnsi="宋体"/>
          <w:b/>
          <w:color w:val="auto"/>
          <w:szCs w:val="21"/>
          <w:highlight w:val="none"/>
        </w:rPr>
        <w:t xml:space="preserve">5 </w:t>
      </w:r>
      <w:r>
        <w:rPr>
          <w:rFonts w:ascii="宋体" w:hAnsi="宋体"/>
          <w:b/>
          <w:color w:val="auto"/>
          <w:szCs w:val="21"/>
          <w:highlight w:val="none"/>
        </w:rPr>
        <w:t>竞标人未按照竞争性谈判文件</w:t>
      </w:r>
      <w:r>
        <w:rPr>
          <w:rFonts w:hint="eastAsia" w:ascii="宋体" w:hAnsi="宋体"/>
          <w:b/>
          <w:color w:val="auto"/>
          <w:szCs w:val="21"/>
          <w:highlight w:val="none"/>
        </w:rPr>
        <w:t>第11条</w:t>
      </w:r>
      <w:r>
        <w:rPr>
          <w:rFonts w:ascii="宋体" w:hAnsi="宋体"/>
          <w:b/>
          <w:color w:val="auto"/>
          <w:szCs w:val="21"/>
          <w:highlight w:val="none"/>
        </w:rPr>
        <w:t>的要求提供竞标保证金</w:t>
      </w:r>
      <w:r>
        <w:rPr>
          <w:rFonts w:hint="eastAsia" w:ascii="宋体" w:hAnsi="宋体"/>
          <w:b/>
          <w:color w:val="auto"/>
          <w:szCs w:val="21"/>
          <w:highlight w:val="none"/>
        </w:rPr>
        <w:t>的；</w:t>
      </w:r>
    </w:p>
    <w:p>
      <w:pPr>
        <w:spacing w:line="380" w:lineRule="exact"/>
        <w:rPr>
          <w:rFonts w:ascii="宋体" w:hAnsi="宋体"/>
          <w:b/>
          <w:color w:val="auto"/>
          <w:szCs w:val="21"/>
          <w:highlight w:val="none"/>
        </w:rPr>
      </w:pPr>
      <w:r>
        <w:rPr>
          <w:rFonts w:ascii="宋体" w:hAnsi="宋体"/>
          <w:b/>
          <w:color w:val="auto"/>
          <w:szCs w:val="21"/>
          <w:highlight w:val="none"/>
        </w:rPr>
        <w:t xml:space="preserve">    21.2.</w:t>
      </w:r>
      <w:r>
        <w:rPr>
          <w:rFonts w:hint="eastAsia" w:ascii="宋体" w:hAnsi="宋体"/>
          <w:b/>
          <w:color w:val="auto"/>
          <w:szCs w:val="21"/>
          <w:highlight w:val="none"/>
        </w:rPr>
        <w:t>6</w:t>
      </w:r>
      <w:r>
        <w:rPr>
          <w:rFonts w:ascii="宋体" w:hAnsi="宋体"/>
          <w:b/>
          <w:color w:val="auto"/>
          <w:szCs w:val="21"/>
          <w:highlight w:val="none"/>
        </w:rPr>
        <w:t xml:space="preserve"> 竞标文件的关键内容字迹模糊、</w:t>
      </w:r>
      <w:r>
        <w:rPr>
          <w:rFonts w:hint="eastAsia" w:ascii="宋体" w:hAnsi="宋体"/>
          <w:b/>
          <w:color w:val="auto"/>
          <w:szCs w:val="21"/>
          <w:highlight w:val="none"/>
        </w:rPr>
        <w:t>辨认</w:t>
      </w:r>
      <w:r>
        <w:rPr>
          <w:rFonts w:ascii="宋体" w:hAnsi="宋体"/>
          <w:b/>
          <w:color w:val="auto"/>
          <w:szCs w:val="21"/>
          <w:highlight w:val="none"/>
        </w:rPr>
        <w:t>不清</w:t>
      </w:r>
      <w:r>
        <w:rPr>
          <w:rFonts w:hint="eastAsia" w:ascii="宋体" w:hAnsi="宋体"/>
          <w:b/>
          <w:color w:val="auto"/>
          <w:szCs w:val="21"/>
          <w:highlight w:val="none"/>
        </w:rPr>
        <w:t>的</w:t>
      </w:r>
      <w:r>
        <w:rPr>
          <w:rFonts w:ascii="宋体" w:hAnsi="宋体"/>
          <w:b/>
          <w:color w:val="auto"/>
          <w:szCs w:val="21"/>
          <w:highlight w:val="none"/>
        </w:rPr>
        <w:t>；</w:t>
      </w:r>
    </w:p>
    <w:p>
      <w:pPr>
        <w:spacing w:line="380" w:lineRule="exact"/>
        <w:rPr>
          <w:rFonts w:ascii="宋体" w:hAnsi="宋体"/>
          <w:b/>
          <w:color w:val="auto"/>
          <w:szCs w:val="21"/>
          <w:highlight w:val="none"/>
        </w:rPr>
      </w:pPr>
      <w:r>
        <w:rPr>
          <w:rFonts w:hint="eastAsia" w:ascii="宋体" w:hAnsi="宋体"/>
          <w:b/>
          <w:color w:val="auto"/>
          <w:szCs w:val="21"/>
          <w:highlight w:val="none"/>
        </w:rPr>
        <w:t xml:space="preserve">    21.2.7 不按本须知第9条内容提供资料的；</w:t>
      </w:r>
      <w:r>
        <w:rPr>
          <w:rFonts w:hint="eastAsia" w:ascii="宋体" w:hAnsi="宋体"/>
          <w:b/>
          <w:color w:val="auto"/>
          <w:szCs w:val="21"/>
          <w:highlight w:val="none"/>
        </w:rPr>
        <w:tab/>
      </w:r>
    </w:p>
    <w:p>
      <w:pPr>
        <w:spacing w:line="380" w:lineRule="exact"/>
        <w:ind w:firstLine="436"/>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8</w:t>
      </w:r>
      <w:r>
        <w:rPr>
          <w:rFonts w:ascii="宋体" w:hAnsi="宋体"/>
          <w:b/>
          <w:color w:val="auto"/>
          <w:szCs w:val="21"/>
          <w:highlight w:val="none"/>
        </w:rPr>
        <w:t xml:space="preserve"> 竞标文件内容不真实</w:t>
      </w:r>
      <w:r>
        <w:rPr>
          <w:rFonts w:hint="eastAsia" w:ascii="宋体" w:hAnsi="宋体"/>
          <w:b/>
          <w:color w:val="auto"/>
          <w:szCs w:val="21"/>
          <w:highlight w:val="none"/>
        </w:rPr>
        <w:t>的；</w:t>
      </w:r>
    </w:p>
    <w:p>
      <w:pPr>
        <w:spacing w:line="380" w:lineRule="exact"/>
        <w:ind w:firstLine="436"/>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9</w:t>
      </w:r>
      <w:r>
        <w:rPr>
          <w:rFonts w:ascii="宋体" w:hAnsi="宋体"/>
          <w:b/>
          <w:color w:val="auto"/>
          <w:szCs w:val="21"/>
          <w:highlight w:val="none"/>
        </w:rPr>
        <w:t xml:space="preserve"> 竞标人无对农民工工资保障金的交纳与使用</w:t>
      </w:r>
      <w:r>
        <w:rPr>
          <w:rFonts w:hint="eastAsia" w:ascii="宋体" w:hAnsi="宋体"/>
          <w:b/>
          <w:color w:val="auto"/>
          <w:szCs w:val="21"/>
          <w:highlight w:val="none"/>
        </w:rPr>
        <w:t>作出</w:t>
      </w:r>
      <w:r>
        <w:rPr>
          <w:rFonts w:ascii="宋体" w:hAnsi="宋体"/>
          <w:b/>
          <w:color w:val="auto"/>
          <w:szCs w:val="21"/>
          <w:highlight w:val="none"/>
        </w:rPr>
        <w:t>承诺</w:t>
      </w:r>
      <w:r>
        <w:rPr>
          <w:rFonts w:hint="eastAsia" w:ascii="宋体" w:hAnsi="宋体"/>
          <w:b/>
          <w:color w:val="auto"/>
          <w:szCs w:val="21"/>
          <w:highlight w:val="none"/>
        </w:rPr>
        <w:t>和诚信声明的</w:t>
      </w:r>
      <w:r>
        <w:rPr>
          <w:rFonts w:ascii="宋体" w:hAnsi="宋体"/>
          <w:b/>
          <w:color w:val="auto"/>
          <w:szCs w:val="21"/>
          <w:highlight w:val="none"/>
        </w:rPr>
        <w:t>；</w:t>
      </w:r>
    </w:p>
    <w:p>
      <w:pPr>
        <w:spacing w:line="380" w:lineRule="exact"/>
        <w:ind w:firstLine="420"/>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10</w:t>
      </w:r>
      <w:r>
        <w:rPr>
          <w:rFonts w:ascii="宋体" w:hAnsi="宋体"/>
          <w:b/>
          <w:color w:val="auto"/>
          <w:szCs w:val="21"/>
          <w:highlight w:val="none"/>
        </w:rPr>
        <w:t xml:space="preserve"> 竞标文件实质上没有响应竞争性谈判文件的要求</w:t>
      </w:r>
      <w:r>
        <w:rPr>
          <w:rFonts w:hint="eastAsia" w:ascii="宋体" w:hAnsi="宋体"/>
          <w:b/>
          <w:color w:val="auto"/>
          <w:szCs w:val="21"/>
          <w:highlight w:val="none"/>
        </w:rPr>
        <w:t>的</w:t>
      </w:r>
      <w:r>
        <w:rPr>
          <w:rFonts w:ascii="宋体" w:hAnsi="宋体"/>
          <w:b/>
          <w:color w:val="auto"/>
          <w:szCs w:val="21"/>
          <w:highlight w:val="none"/>
        </w:rPr>
        <w:t>；</w:t>
      </w:r>
    </w:p>
    <w:p>
      <w:pPr>
        <w:spacing w:line="380" w:lineRule="exact"/>
        <w:ind w:firstLine="420"/>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11 作废的清单项目达到3项以上（含本数）或作废的清单项目造价累计超过单位工程竞标报价的2%（含本数）的；</w:t>
      </w:r>
    </w:p>
    <w:p>
      <w:pPr>
        <w:spacing w:line="380" w:lineRule="exact"/>
        <w:ind w:firstLine="420"/>
        <w:rPr>
          <w:rFonts w:ascii="宋体" w:hAnsi="宋体"/>
          <w:b/>
          <w:color w:val="auto"/>
          <w:szCs w:val="21"/>
          <w:highlight w:val="none"/>
        </w:rPr>
      </w:pPr>
      <w:r>
        <w:rPr>
          <w:rFonts w:hint="eastAsia" w:ascii="宋体" w:hAnsi="宋体"/>
          <w:b/>
          <w:color w:val="auto"/>
          <w:szCs w:val="21"/>
          <w:highlight w:val="none"/>
        </w:rPr>
        <w:t>21.2.12竞标人采用总价优惠或以总价百分比优惠的方式进行竞标报价的；</w:t>
      </w:r>
    </w:p>
    <w:p>
      <w:pPr>
        <w:spacing w:line="380" w:lineRule="exact"/>
        <w:ind w:firstLine="420"/>
        <w:rPr>
          <w:rFonts w:ascii="宋体" w:hAnsi="宋体"/>
          <w:b/>
          <w:color w:val="auto"/>
          <w:szCs w:val="21"/>
          <w:highlight w:val="none"/>
        </w:rPr>
      </w:pPr>
      <w:r>
        <w:rPr>
          <w:rFonts w:hint="eastAsia" w:ascii="宋体" w:hAnsi="宋体"/>
          <w:b/>
          <w:color w:val="auto"/>
          <w:szCs w:val="21"/>
          <w:highlight w:val="none"/>
        </w:rPr>
        <w:t>21.2.13竞标人拟投入本工程的项目经理在在建项目中任项目经理的；</w:t>
      </w:r>
    </w:p>
    <w:p>
      <w:pPr>
        <w:spacing w:line="380" w:lineRule="exact"/>
        <w:ind w:firstLine="420"/>
        <w:rPr>
          <w:rFonts w:ascii="宋体" w:hAnsi="宋体"/>
          <w:b/>
          <w:color w:val="auto"/>
          <w:szCs w:val="21"/>
          <w:highlight w:val="none"/>
        </w:rPr>
      </w:pPr>
      <w:r>
        <w:rPr>
          <w:rFonts w:ascii="宋体" w:hAnsi="宋体"/>
          <w:b/>
          <w:color w:val="auto"/>
          <w:szCs w:val="21"/>
          <w:highlight w:val="none"/>
        </w:rPr>
        <w:t>21.2.</w:t>
      </w:r>
      <w:r>
        <w:rPr>
          <w:rFonts w:hint="eastAsia" w:ascii="宋体" w:hAnsi="宋体"/>
          <w:b/>
          <w:color w:val="auto"/>
          <w:szCs w:val="21"/>
          <w:highlight w:val="none"/>
        </w:rPr>
        <w:t>14竞标人未提供安全防护、文明施工措施方案的承诺书的；</w:t>
      </w:r>
    </w:p>
    <w:p>
      <w:pPr>
        <w:spacing w:line="380" w:lineRule="exact"/>
        <w:ind w:firstLine="450"/>
        <w:rPr>
          <w:rFonts w:ascii="宋体" w:hAnsi="宋体"/>
          <w:b/>
          <w:color w:val="auto"/>
          <w:szCs w:val="21"/>
          <w:highlight w:val="none"/>
        </w:rPr>
      </w:pPr>
      <w:r>
        <w:rPr>
          <w:rFonts w:hint="eastAsia" w:ascii="宋体" w:hAnsi="宋体"/>
          <w:b/>
          <w:color w:val="auto"/>
          <w:szCs w:val="21"/>
          <w:highlight w:val="none"/>
        </w:rPr>
        <w:t>21.2.15不同竞标人的竞标文件由同一单位或者个人编制的；不同竞标人委托同一单位或者个人办理竞标事宜的；不同竞标人的竞标文件载明的项目管理成员为同一人的；不同竞标人的竞标文件异常一致或者竞标报价呈规律性差异的；不同竞标人的竞标文件相互混装的；不同竞标人的竞标保证金从同一单位或者个人的账户转出的。</w:t>
      </w:r>
    </w:p>
    <w:p>
      <w:pPr>
        <w:pStyle w:val="5"/>
        <w:rPr>
          <w:rFonts w:hint="default"/>
          <w:color w:val="auto"/>
          <w:highlight w:val="none"/>
        </w:rPr>
      </w:pPr>
      <w:bookmarkStart w:id="139" w:name="_Toc7502"/>
      <w:r>
        <w:rPr>
          <w:color w:val="auto"/>
          <w:highlight w:val="none"/>
        </w:rPr>
        <w:t>20.竞标人资格审查</w:t>
      </w:r>
      <w:bookmarkEnd w:id="137"/>
      <w:bookmarkEnd w:id="138"/>
      <w:bookmarkEnd w:id="139"/>
    </w:p>
    <w:p>
      <w:pPr>
        <w:spacing w:line="380" w:lineRule="exact"/>
        <w:ind w:firstLine="457" w:firstLineChars="218"/>
        <w:rPr>
          <w:rFonts w:ascii="宋体" w:hAnsi="宋体"/>
          <w:color w:val="auto"/>
          <w:szCs w:val="21"/>
          <w:highlight w:val="none"/>
        </w:rPr>
      </w:pPr>
      <w:r>
        <w:rPr>
          <w:rFonts w:hint="eastAsia" w:ascii="宋体" w:hAnsi="宋体"/>
          <w:color w:val="auto"/>
          <w:szCs w:val="21"/>
          <w:highlight w:val="none"/>
        </w:rPr>
        <w:t>本工程采用资格后审，只有通过资格审查才能进入详评。所要提供的材料见本须知9.2条内容，资格审查资料有任何一项不合格者其资格审查视为不通过。</w:t>
      </w:r>
    </w:p>
    <w:p>
      <w:pPr>
        <w:pStyle w:val="5"/>
        <w:rPr>
          <w:rFonts w:hint="default"/>
          <w:color w:val="auto"/>
          <w:highlight w:val="none"/>
        </w:rPr>
      </w:pPr>
      <w:bookmarkStart w:id="140" w:name="_Toc239659114"/>
      <w:bookmarkStart w:id="141" w:name="_Toc6672"/>
      <w:bookmarkStart w:id="142" w:name="_Toc18875"/>
      <w:r>
        <w:rPr>
          <w:color w:val="auto"/>
          <w:highlight w:val="none"/>
        </w:rPr>
        <w:t>22.</w:t>
      </w:r>
      <w:bookmarkEnd w:id="140"/>
      <w:r>
        <w:rPr>
          <w:color w:val="auto"/>
          <w:highlight w:val="none"/>
        </w:rPr>
        <w:t>评标</w:t>
      </w:r>
      <w:bookmarkEnd w:id="141"/>
      <w:bookmarkEnd w:id="142"/>
    </w:p>
    <w:p>
      <w:pPr>
        <w:spacing w:line="380" w:lineRule="exact"/>
        <w:ind w:firstLine="420" w:firstLineChars="200"/>
        <w:rPr>
          <w:rFonts w:ascii="宋体" w:hAnsi="宋体"/>
          <w:bCs/>
          <w:color w:val="auto"/>
          <w:highlight w:val="none"/>
        </w:rPr>
      </w:pPr>
      <w:r>
        <w:rPr>
          <w:rFonts w:hint="eastAsia" w:ascii="宋体" w:hAnsi="宋体"/>
          <w:bCs/>
          <w:color w:val="auto"/>
          <w:highlight w:val="none"/>
        </w:rPr>
        <w:t>22.1 谈判小组依据广西财政厅相关政策</w:t>
      </w:r>
      <w:r>
        <w:rPr>
          <w:rFonts w:hint="eastAsia" w:ascii="宋体" w:hAnsi="宋体" w:cs="宋体"/>
          <w:bCs/>
          <w:color w:val="auto"/>
          <w:szCs w:val="21"/>
          <w:highlight w:val="none"/>
        </w:rPr>
        <w:t>从政府采购云平台专家库中随机抽取</w:t>
      </w:r>
      <w:r>
        <w:rPr>
          <w:rFonts w:hint="eastAsia" w:ascii="宋体" w:hAnsi="宋体"/>
          <w:bCs/>
          <w:color w:val="auto"/>
          <w:highlight w:val="none"/>
        </w:rPr>
        <w:t>。评标由采购人依法组建的谈判小组负责。谈判小组由采购人代表及有关技术、经济等方面的专家组成，其中</w:t>
      </w:r>
      <w:r>
        <w:rPr>
          <w:rFonts w:hint="eastAsia" w:hAnsi="宋体"/>
          <w:color w:val="auto"/>
          <w:highlight w:val="none"/>
        </w:rPr>
        <w:t>专家的人数不得少于成员总数的三分之二。</w:t>
      </w:r>
    </w:p>
    <w:p>
      <w:pPr>
        <w:spacing w:line="380" w:lineRule="exact"/>
        <w:ind w:firstLine="420" w:firstLineChars="200"/>
        <w:rPr>
          <w:rFonts w:ascii="宋体" w:hAnsi="宋体"/>
          <w:bCs/>
          <w:color w:val="auto"/>
          <w:highlight w:val="none"/>
        </w:rPr>
      </w:pPr>
      <w:r>
        <w:rPr>
          <w:rFonts w:hint="eastAsia" w:ascii="宋体" w:hAnsi="宋体"/>
          <w:bCs/>
          <w:color w:val="auto"/>
          <w:highlight w:val="none"/>
        </w:rPr>
        <w:t>22.2 谈判原则。谈判活动遵循公平、公正、科学和择优的原则。</w:t>
      </w:r>
    </w:p>
    <w:p>
      <w:pPr>
        <w:spacing w:line="380" w:lineRule="exact"/>
        <w:ind w:firstLine="420" w:firstLineChars="200"/>
        <w:rPr>
          <w:rFonts w:ascii="宋体" w:hAnsi="宋体"/>
          <w:color w:val="auto"/>
          <w:szCs w:val="21"/>
          <w:highlight w:val="none"/>
        </w:rPr>
      </w:pPr>
      <w:r>
        <w:rPr>
          <w:rFonts w:hint="eastAsia" w:ascii="宋体" w:hAnsi="宋体"/>
          <w:bCs/>
          <w:color w:val="auto"/>
          <w:highlight w:val="none"/>
        </w:rPr>
        <w:t>22.3 评标方法。谈判小组按照第八章“评标办法”规定的方法、评审因素、标准和程序对竞标文件进行评审。第八章“评标办法”没有规定的方法、评审因素和标准，不作为谈判依据。</w:t>
      </w:r>
    </w:p>
    <w:p>
      <w:pPr>
        <w:pStyle w:val="5"/>
        <w:rPr>
          <w:rFonts w:hint="default"/>
          <w:color w:val="auto"/>
          <w:highlight w:val="none"/>
        </w:rPr>
      </w:pPr>
      <w:bookmarkStart w:id="143" w:name="_Toc30049"/>
      <w:bookmarkStart w:id="144" w:name="_Toc17795"/>
      <w:bookmarkStart w:id="145" w:name="_Toc239659115"/>
      <w:r>
        <w:rPr>
          <w:color w:val="auto"/>
          <w:highlight w:val="none"/>
        </w:rPr>
        <w:t>23.成交公告</w:t>
      </w:r>
      <w:bookmarkEnd w:id="143"/>
      <w:bookmarkEnd w:id="144"/>
      <w:bookmarkEnd w:id="145"/>
    </w:p>
    <w:p>
      <w:pPr>
        <w:pStyle w:val="17"/>
        <w:spacing w:line="380" w:lineRule="exact"/>
        <w:ind w:firstLine="371" w:firstLineChars="177"/>
        <w:rPr>
          <w:rFonts w:hAnsi="宋体"/>
          <w:color w:val="auto"/>
          <w:szCs w:val="21"/>
          <w:highlight w:val="none"/>
        </w:rPr>
      </w:pPr>
      <w:r>
        <w:rPr>
          <w:rFonts w:hAnsi="宋体"/>
          <w:color w:val="auto"/>
          <w:szCs w:val="21"/>
          <w:highlight w:val="none"/>
        </w:rPr>
        <w:t>2</w:t>
      </w:r>
      <w:r>
        <w:rPr>
          <w:rFonts w:hint="eastAsia" w:hAnsi="宋体"/>
          <w:color w:val="auto"/>
          <w:szCs w:val="21"/>
          <w:highlight w:val="none"/>
        </w:rPr>
        <w:t>3</w:t>
      </w:r>
      <w:r>
        <w:rPr>
          <w:rFonts w:hAnsi="宋体"/>
          <w:color w:val="auto"/>
          <w:szCs w:val="21"/>
          <w:highlight w:val="none"/>
        </w:rPr>
        <w:t>.1 成交单位确定后，</w:t>
      </w:r>
      <w:r>
        <w:rPr>
          <w:rFonts w:hint="eastAsia" w:hAnsi="宋体"/>
          <w:color w:val="auto"/>
          <w:szCs w:val="21"/>
          <w:highlight w:val="none"/>
          <w:lang w:eastAsia="zh-CN"/>
        </w:rPr>
        <w:t>广西壮锦工程管理咨询有限公司</w:t>
      </w:r>
      <w:r>
        <w:rPr>
          <w:rFonts w:hAnsi="宋体"/>
          <w:color w:val="auto"/>
          <w:szCs w:val="21"/>
          <w:highlight w:val="none"/>
        </w:rPr>
        <w:t>在</w:t>
      </w:r>
      <w:r>
        <w:rPr>
          <w:rFonts w:hint="eastAsia" w:hAnsi="宋体"/>
          <w:color w:val="auto"/>
          <w:szCs w:val="21"/>
          <w:highlight w:val="none"/>
        </w:rPr>
        <w:t>中国政府采购网、</w:t>
      </w:r>
      <w:r>
        <w:rPr>
          <w:rFonts w:hint="eastAsia"/>
          <w:color w:val="auto"/>
          <w:szCs w:val="21"/>
          <w:highlight w:val="none"/>
        </w:rPr>
        <w:t>广西壮族自治区政府采购网</w:t>
      </w:r>
      <w:r>
        <w:rPr>
          <w:rFonts w:hint="eastAsia" w:hAnsi="宋体"/>
          <w:color w:val="auto"/>
          <w:szCs w:val="21"/>
          <w:highlight w:val="none"/>
        </w:rPr>
        <w:t>上</w:t>
      </w:r>
      <w:r>
        <w:rPr>
          <w:rFonts w:hAnsi="宋体"/>
          <w:color w:val="auto"/>
          <w:szCs w:val="21"/>
          <w:highlight w:val="none"/>
        </w:rPr>
        <w:t>发布成交公告。</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23.2 竞标人认为采购过程和成交结果使自己的权益受到损害的，成交公告发出之日</w:t>
      </w:r>
      <w:r>
        <w:rPr>
          <w:rFonts w:hint="eastAsia" w:ascii="宋体" w:hAnsi="宋体"/>
          <w:color w:val="auto"/>
          <w:szCs w:val="21"/>
          <w:highlight w:val="none"/>
          <w:lang w:eastAsia="zh-CN"/>
        </w:rPr>
        <w:t>起</w:t>
      </w:r>
      <w:r>
        <w:rPr>
          <w:rFonts w:hint="eastAsia" w:ascii="宋体" w:hAnsi="宋体"/>
          <w:color w:val="auto"/>
          <w:szCs w:val="21"/>
          <w:highlight w:val="none"/>
        </w:rPr>
        <w:t>七个工作日内以书面形式向采购代理机构提出质疑；</w:t>
      </w:r>
      <w:r>
        <w:rPr>
          <w:rFonts w:hint="eastAsia" w:ascii="宋体" w:hAnsi="宋体"/>
          <w:color w:val="auto"/>
          <w:highlight w:val="none"/>
        </w:rPr>
        <w:t>采购代理机构应当就采购人委托范围内的事项在收到竞标人的书面质疑后七个工作日内做出答复，但答复的内容不得涉及商业秘密。</w:t>
      </w:r>
    </w:p>
    <w:p>
      <w:pPr>
        <w:spacing w:line="380" w:lineRule="exact"/>
        <w:ind w:firstLine="420" w:firstLineChars="200"/>
        <w:rPr>
          <w:rFonts w:ascii="宋体" w:hAnsi="宋体"/>
          <w:color w:val="auto"/>
          <w:szCs w:val="21"/>
          <w:highlight w:val="none"/>
        </w:rPr>
      </w:pPr>
      <w:r>
        <w:rPr>
          <w:rFonts w:hint="eastAsia" w:ascii="宋体" w:hAnsi="宋体"/>
          <w:color w:val="auto"/>
          <w:highlight w:val="none"/>
        </w:rPr>
        <w:t>23.3 质疑竞标人必须首先经过质疑程序，在对</w:t>
      </w:r>
      <w:r>
        <w:rPr>
          <w:rFonts w:hint="eastAsia" w:hAnsi="宋体"/>
          <w:color w:val="auto"/>
          <w:szCs w:val="21"/>
          <w:highlight w:val="none"/>
          <w:lang w:eastAsia="zh-CN"/>
        </w:rPr>
        <w:t>广西壮锦工程管理咨询有限公司</w:t>
      </w:r>
      <w:r>
        <w:rPr>
          <w:rFonts w:hint="eastAsia" w:hAnsi="宋体"/>
          <w:color w:val="auto"/>
          <w:szCs w:val="21"/>
          <w:highlight w:val="none"/>
        </w:rPr>
        <w:t>的答复不满意或者</w:t>
      </w:r>
      <w:r>
        <w:rPr>
          <w:rFonts w:hint="eastAsia" w:hAnsi="宋体"/>
          <w:color w:val="auto"/>
          <w:szCs w:val="21"/>
          <w:highlight w:val="none"/>
          <w:lang w:eastAsia="zh-CN"/>
        </w:rPr>
        <w:t>广西壮锦工程管理咨询有限公司</w:t>
      </w:r>
      <w:r>
        <w:rPr>
          <w:rFonts w:hint="eastAsia" w:hAnsi="宋体"/>
          <w:color w:val="auto"/>
          <w:szCs w:val="21"/>
          <w:highlight w:val="none"/>
        </w:rPr>
        <w:t>未在规定时间内做出答复的，可以在答复期满后十五个工作日内书面向有关政府采购监督管理部门投诉。</w:t>
      </w:r>
    </w:p>
    <w:p>
      <w:pPr>
        <w:pStyle w:val="5"/>
        <w:rPr>
          <w:rFonts w:hint="default"/>
          <w:color w:val="auto"/>
          <w:highlight w:val="none"/>
        </w:rPr>
      </w:pPr>
      <w:bookmarkStart w:id="146" w:name="_Toc5808"/>
      <w:bookmarkStart w:id="147" w:name="_Toc31988"/>
      <w:bookmarkStart w:id="148" w:name="_Toc239659116"/>
      <w:r>
        <w:rPr>
          <w:color w:val="auto"/>
          <w:highlight w:val="none"/>
        </w:rPr>
        <w:t>24.成交通知书</w:t>
      </w:r>
      <w:bookmarkEnd w:id="146"/>
      <w:bookmarkEnd w:id="147"/>
      <w:bookmarkEnd w:id="148"/>
    </w:p>
    <w:p>
      <w:pPr>
        <w:spacing w:line="380" w:lineRule="exact"/>
        <w:ind w:firstLine="210" w:firstLineChars="1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r>
        <w:rPr>
          <w:rFonts w:ascii="宋体" w:hAnsi="宋体"/>
          <w:color w:val="auto"/>
          <w:szCs w:val="21"/>
          <w:highlight w:val="none"/>
        </w:rPr>
        <w:t>.1 在发布成交公告的同时，向成交单位发出书面成交通知书。</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r>
        <w:rPr>
          <w:rFonts w:ascii="宋体" w:hAnsi="宋体"/>
          <w:color w:val="auto"/>
          <w:szCs w:val="21"/>
          <w:highlight w:val="none"/>
        </w:rPr>
        <w:t>.2 成交通知书注明成交</w:t>
      </w:r>
      <w:r>
        <w:rPr>
          <w:rFonts w:hint="eastAsia" w:ascii="宋体" w:hAnsi="宋体"/>
          <w:color w:val="auto"/>
          <w:szCs w:val="21"/>
          <w:highlight w:val="none"/>
        </w:rPr>
        <w:t>人</w:t>
      </w:r>
      <w:r>
        <w:rPr>
          <w:rFonts w:ascii="宋体" w:hAnsi="宋体"/>
          <w:color w:val="auto"/>
          <w:szCs w:val="21"/>
          <w:highlight w:val="none"/>
        </w:rPr>
        <w:t>、成交金额等。</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r>
        <w:rPr>
          <w:rFonts w:ascii="宋体" w:hAnsi="宋体"/>
          <w:color w:val="auto"/>
          <w:szCs w:val="21"/>
          <w:highlight w:val="none"/>
        </w:rPr>
        <w:t>.3 成交通知书为合同的组成部分。</w:t>
      </w:r>
    </w:p>
    <w:p>
      <w:pPr>
        <w:pStyle w:val="5"/>
        <w:rPr>
          <w:rFonts w:hint="default"/>
          <w:color w:val="auto"/>
          <w:highlight w:val="none"/>
        </w:rPr>
      </w:pPr>
      <w:bookmarkStart w:id="149" w:name="_Toc239659117"/>
      <w:bookmarkStart w:id="150" w:name="_Toc24788"/>
      <w:bookmarkStart w:id="151" w:name="_Toc16008"/>
      <w:r>
        <w:rPr>
          <w:color w:val="auto"/>
          <w:highlight w:val="none"/>
        </w:rPr>
        <w:t>25.合同签订</w:t>
      </w:r>
      <w:bookmarkEnd w:id="149"/>
      <w:bookmarkEnd w:id="150"/>
      <w:bookmarkEnd w:id="151"/>
    </w:p>
    <w:p>
      <w:pPr>
        <w:spacing w:line="380" w:lineRule="exact"/>
        <w:ind w:firstLine="363" w:firstLineChars="173"/>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.1 成交单位应按约定的时间，由法定代表人或授权代表与</w:t>
      </w:r>
      <w:r>
        <w:rPr>
          <w:rFonts w:hint="eastAsia" w:ascii="宋体" w:hAnsi="宋体"/>
          <w:color w:val="auto"/>
          <w:szCs w:val="21"/>
          <w:highlight w:val="none"/>
        </w:rPr>
        <w:t>采购人</w:t>
      </w:r>
      <w:r>
        <w:rPr>
          <w:rFonts w:ascii="宋体" w:hAnsi="宋体"/>
          <w:color w:val="auto"/>
          <w:szCs w:val="21"/>
          <w:highlight w:val="none"/>
        </w:rPr>
        <w:t>代表签订合同。</w:t>
      </w:r>
      <w:r>
        <w:rPr>
          <w:rFonts w:hint="eastAsia" w:ascii="宋体" w:hAnsi="宋体"/>
          <w:color w:val="auto"/>
          <w:szCs w:val="21"/>
          <w:highlight w:val="none"/>
        </w:rPr>
        <w:t>如成交人不按规定签订合同，则采购人可以与排名在成交人之后的成交候选人依次递补签订合同或重新组织采购。</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2 合同签订必须按</w:t>
      </w:r>
      <w:r>
        <w:rPr>
          <w:rFonts w:ascii="宋体" w:hAnsi="宋体"/>
          <w:color w:val="auto"/>
          <w:highlight w:val="none"/>
        </w:rPr>
        <w:t>《中华人民共和国政府采购法》</w:t>
      </w:r>
      <w:r>
        <w:rPr>
          <w:rFonts w:hint="eastAsia" w:ascii="宋体" w:hAnsi="宋体"/>
          <w:color w:val="auto"/>
          <w:szCs w:val="21"/>
          <w:highlight w:val="none"/>
        </w:rPr>
        <w:t>和《中华人民共和国合同法》，否则由此造成的后果由采购人负责。</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25.3财政部门根据已备案的政府采购合同办理合同款项的支付，对未正式备案的政府采购合同，将不予办理合同价款的支付。</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25.4</w:t>
      </w:r>
      <w:r>
        <w:rPr>
          <w:rFonts w:ascii="宋体" w:hAnsi="宋体"/>
          <w:color w:val="auto"/>
          <w:szCs w:val="21"/>
          <w:highlight w:val="none"/>
        </w:rPr>
        <w:t>如果竞标人不按本须知第2</w:t>
      </w:r>
      <w:r>
        <w:rPr>
          <w:rFonts w:hint="eastAsia" w:ascii="宋体" w:hAnsi="宋体"/>
          <w:color w:val="auto"/>
          <w:szCs w:val="21"/>
          <w:highlight w:val="none"/>
        </w:rPr>
        <w:t>5</w:t>
      </w:r>
      <w:r>
        <w:rPr>
          <w:rFonts w:ascii="宋体" w:hAnsi="宋体"/>
          <w:color w:val="auto"/>
          <w:szCs w:val="21"/>
          <w:highlight w:val="none"/>
        </w:rPr>
        <w:t>.1条的规定执行，</w:t>
      </w:r>
      <w:r>
        <w:rPr>
          <w:rFonts w:hint="eastAsia" w:ascii="宋体" w:hAnsi="宋体"/>
          <w:color w:val="auto"/>
          <w:szCs w:val="21"/>
          <w:highlight w:val="none"/>
        </w:rPr>
        <w:t>采购</w:t>
      </w:r>
      <w:r>
        <w:rPr>
          <w:rFonts w:ascii="宋体" w:hAnsi="宋体"/>
          <w:color w:val="auto"/>
          <w:szCs w:val="21"/>
          <w:highlight w:val="none"/>
        </w:rPr>
        <w:t>人将有充分的理由废除授标，并没收其竞标保证金。</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 xml:space="preserve"> 如竞标人成交后不按时、足额将农民工工资保障金存入有关部门指定的</w:t>
      </w:r>
      <w:r>
        <w:rPr>
          <w:rFonts w:hint="eastAsia" w:ascii="宋体" w:hAnsi="宋体"/>
          <w:color w:val="auto"/>
          <w:szCs w:val="21"/>
          <w:highlight w:val="none"/>
        </w:rPr>
        <w:t>账</w:t>
      </w:r>
      <w:r>
        <w:rPr>
          <w:rFonts w:ascii="宋体" w:hAnsi="宋体"/>
          <w:color w:val="auto"/>
          <w:szCs w:val="21"/>
          <w:highlight w:val="none"/>
        </w:rPr>
        <w:t>户的，</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lang w:eastAsia="zh-CN"/>
        </w:rPr>
        <w:t>有权</w:t>
      </w:r>
      <w:r>
        <w:rPr>
          <w:rFonts w:ascii="宋体" w:hAnsi="宋体"/>
          <w:color w:val="auto"/>
          <w:szCs w:val="21"/>
          <w:highlight w:val="none"/>
        </w:rPr>
        <w:t>取消其成交资格。</w:t>
      </w:r>
    </w:p>
    <w:p>
      <w:pPr>
        <w:pStyle w:val="5"/>
        <w:rPr>
          <w:b/>
          <w:color w:val="auto"/>
          <w:highlight w:val="none"/>
        </w:rPr>
      </w:pPr>
      <w:bookmarkStart w:id="152" w:name="_Toc239659118"/>
      <w:bookmarkStart w:id="153" w:name="_Toc12253"/>
      <w:bookmarkStart w:id="154" w:name="_Toc31251"/>
      <w:r>
        <w:rPr>
          <w:color w:val="auto"/>
          <w:szCs w:val="21"/>
          <w:highlight w:val="none"/>
        </w:rPr>
        <w:t>26</w:t>
      </w:r>
      <w:bookmarkEnd w:id="152"/>
      <w:r>
        <w:rPr>
          <w:color w:val="auto"/>
          <w:szCs w:val="21"/>
          <w:highlight w:val="none"/>
        </w:rPr>
        <w:t>.</w:t>
      </w:r>
      <w:r>
        <w:rPr>
          <w:b/>
          <w:color w:val="auto"/>
          <w:highlight w:val="none"/>
        </w:rPr>
        <w:t>履约保证金</w:t>
      </w:r>
      <w:bookmarkEnd w:id="153"/>
      <w:bookmarkEnd w:id="154"/>
    </w:p>
    <w:p>
      <w:pPr>
        <w:ind w:firstLine="420" w:firstLineChars="200"/>
        <w:rPr>
          <w:rFonts w:hint="eastAsia" w:eastAsia="宋体"/>
          <w:b w:val="0"/>
          <w:bCs/>
          <w:color w:val="auto"/>
          <w:highlight w:val="none"/>
          <w:lang w:eastAsia="zh-CN"/>
        </w:rPr>
      </w:pPr>
      <w:r>
        <w:rPr>
          <w:rFonts w:hint="eastAsia"/>
          <w:b w:val="0"/>
          <w:bCs/>
          <w:color w:val="auto"/>
          <w:highlight w:val="none"/>
          <w:lang w:eastAsia="zh-CN"/>
        </w:rPr>
        <w:t>无</w:t>
      </w:r>
    </w:p>
    <w:p>
      <w:pPr>
        <w:pStyle w:val="5"/>
        <w:rPr>
          <w:rFonts w:hint="default" w:ascii="宋体"/>
          <w:b/>
          <w:color w:val="auto"/>
          <w:highlight w:val="none"/>
        </w:rPr>
      </w:pPr>
      <w:bookmarkStart w:id="155" w:name="_Toc21369"/>
      <w:bookmarkStart w:id="156" w:name="_Toc24238"/>
      <w:r>
        <w:rPr>
          <w:color w:val="auto"/>
          <w:highlight w:val="none"/>
        </w:rPr>
        <w:t>27.废标</w:t>
      </w:r>
      <w:bookmarkEnd w:id="155"/>
      <w:bookmarkEnd w:id="156"/>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27.1 有下列情形之一的，应予以废标：</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⑴竞标截止时间止，竞标人不足三家的；</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⑵符合专业条件的供应商或者对竞争性谈判文件作实质响应的供应商不足三家的；</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⑶出现影响采购公正的违法、违规行为的；</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⑷竞标人的报价均超过了工程控制价，采购人不能支付的；</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⑸因重大变故，采购任务取消的。</w:t>
      </w:r>
    </w:p>
    <w:p>
      <w:pPr>
        <w:pStyle w:val="5"/>
        <w:rPr>
          <w:rFonts w:hint="default" w:ascii="宋体"/>
          <w:b/>
          <w:color w:val="auto"/>
          <w:szCs w:val="21"/>
          <w:highlight w:val="none"/>
        </w:rPr>
      </w:pPr>
      <w:bookmarkStart w:id="157" w:name="_Toc6617"/>
      <w:bookmarkStart w:id="158" w:name="_Toc29808"/>
      <w:r>
        <w:rPr>
          <w:color w:val="auto"/>
          <w:highlight w:val="none"/>
        </w:rPr>
        <w:t>28.投诉</w:t>
      </w:r>
      <w:bookmarkEnd w:id="157"/>
      <w:bookmarkEnd w:id="158"/>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28.1 竞标人必须首先经过质疑程序，在对采购代理机构的答复不满意或者采购代理机构未在规定时间内做出答复，可以在答复期满十五个工作日内以书面向</w:t>
      </w:r>
      <w:r>
        <w:rPr>
          <w:rFonts w:hint="eastAsia" w:ascii="宋体" w:hAnsi="宋体"/>
          <w:color w:val="auto"/>
          <w:szCs w:val="21"/>
          <w:highlight w:val="none"/>
          <w:lang w:eastAsia="zh-CN"/>
        </w:rPr>
        <w:t>百色市田阳区政府采购服务中心</w:t>
      </w:r>
      <w:r>
        <w:rPr>
          <w:rFonts w:hint="eastAsia" w:ascii="宋体" w:hAnsi="宋体"/>
          <w:color w:val="auto"/>
          <w:szCs w:val="21"/>
          <w:highlight w:val="none"/>
        </w:rPr>
        <w:t>投诉。</w:t>
      </w:r>
    </w:p>
    <w:p>
      <w:pPr>
        <w:pStyle w:val="5"/>
        <w:rPr>
          <w:rFonts w:hint="default" w:ascii="宋体"/>
          <w:b/>
          <w:color w:val="auto"/>
          <w:szCs w:val="21"/>
          <w:highlight w:val="none"/>
        </w:rPr>
      </w:pPr>
      <w:bookmarkStart w:id="159" w:name="_Toc24916"/>
      <w:bookmarkStart w:id="160" w:name="_Toc29782"/>
      <w:r>
        <w:rPr>
          <w:color w:val="auto"/>
          <w:highlight w:val="none"/>
        </w:rPr>
        <w:t>29.质疑及投诉的书面要求</w:t>
      </w:r>
      <w:bookmarkEnd w:id="159"/>
      <w:bookmarkEnd w:id="160"/>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29.1 质疑人或投诉人提供的书面材料（如材料中有外文资料应同时附上中文译本）应当包括以下材料：</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⑴质疑人或投诉人的单位名称或姓名、详细地址、邮政编码、联系电话等；</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⑵被质疑人或被投诉人的单位名称或姓名；</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⑶质疑或投诉的事实及理由；</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⑷有关违纪违规的情况和有效证明材料；</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⑸质疑人或投诉人的签章及质疑或投诉时间。</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如不按以上规定质疑或投诉的，视为无效投诉或质疑，不予受理。</w:t>
      </w:r>
    </w:p>
    <w:p>
      <w:pPr>
        <w:pStyle w:val="5"/>
        <w:rPr>
          <w:rFonts w:hint="default"/>
          <w:color w:val="auto"/>
          <w:highlight w:val="none"/>
        </w:rPr>
      </w:pPr>
      <w:bookmarkStart w:id="161" w:name="_Toc17440"/>
      <w:r>
        <w:rPr>
          <w:color w:val="auto"/>
          <w:highlight w:val="none"/>
        </w:rPr>
        <w:t>30.解释权</w:t>
      </w:r>
      <w:bookmarkEnd w:id="161"/>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本竞争性谈判文件是根据《中华人民共和国政府采购法》及相关法律法规编制，解释权属</w:t>
      </w:r>
      <w:r>
        <w:rPr>
          <w:rFonts w:hint="eastAsia" w:ascii="宋体" w:hAnsi="宋体"/>
          <w:color w:val="auto"/>
          <w:szCs w:val="21"/>
          <w:highlight w:val="none"/>
          <w:lang w:eastAsia="zh-CN"/>
        </w:rPr>
        <w:t>广西壮锦工程管理咨询有限公司</w:t>
      </w:r>
      <w:r>
        <w:rPr>
          <w:rFonts w:hint="eastAsia" w:ascii="宋体" w:hAnsi="宋体"/>
          <w:color w:val="auto"/>
          <w:szCs w:val="21"/>
          <w:highlight w:val="none"/>
        </w:rPr>
        <w:t>。</w:t>
      </w: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3"/>
        <w:jc w:val="both"/>
        <w:rPr>
          <w:rFonts w:ascii="宋体" w:hAnsi="宋体"/>
          <w:color w:val="auto"/>
          <w:szCs w:val="21"/>
          <w:highlight w:val="none"/>
        </w:rPr>
      </w:pPr>
    </w:p>
    <w:p>
      <w:pPr>
        <w:pStyle w:val="17"/>
        <w:adjustRightInd w:val="0"/>
        <w:snapToGrid w:val="0"/>
        <w:spacing w:line="480" w:lineRule="exact"/>
        <w:jc w:val="center"/>
        <w:outlineLvl w:val="0"/>
        <w:rPr>
          <w:rFonts w:hAnsi="宋体"/>
          <w:b/>
          <w:bCs/>
          <w:color w:val="auto"/>
          <w:sz w:val="30"/>
          <w:highlight w:val="none"/>
        </w:rPr>
      </w:pPr>
      <w:bookmarkStart w:id="162" w:name="_Toc4660"/>
      <w:bookmarkStart w:id="163" w:name="_Toc17268"/>
      <w:bookmarkStart w:id="164" w:name="_Toc68547805"/>
      <w:bookmarkStart w:id="165" w:name="_Toc68452841"/>
      <w:bookmarkStart w:id="166" w:name="_Toc239659123"/>
      <w:bookmarkStart w:id="167" w:name="_Toc101237568"/>
      <w:r>
        <w:rPr>
          <w:rFonts w:hint="eastAsia" w:hAnsi="宋体"/>
          <w:b/>
          <w:bCs/>
          <w:color w:val="auto"/>
          <w:sz w:val="30"/>
          <w:highlight w:val="none"/>
        </w:rPr>
        <w:t>第</w:t>
      </w:r>
      <w:r>
        <w:rPr>
          <w:rFonts w:hint="eastAsia" w:hAnsi="宋体"/>
          <w:b/>
          <w:bCs/>
          <w:color w:val="auto"/>
          <w:sz w:val="30"/>
          <w:highlight w:val="none"/>
          <w:lang w:eastAsia="zh-CN"/>
        </w:rPr>
        <w:t>二</w:t>
      </w:r>
      <w:r>
        <w:rPr>
          <w:rFonts w:hint="eastAsia" w:hAnsi="宋体"/>
          <w:b/>
          <w:bCs/>
          <w:color w:val="auto"/>
          <w:sz w:val="30"/>
          <w:highlight w:val="none"/>
        </w:rPr>
        <w:t xml:space="preserve">章   </w:t>
      </w:r>
      <w:bookmarkEnd w:id="162"/>
      <w:r>
        <w:rPr>
          <w:rFonts w:hint="eastAsia" w:hAnsi="宋体"/>
          <w:b/>
          <w:bCs/>
          <w:color w:val="auto"/>
          <w:sz w:val="30"/>
          <w:highlight w:val="none"/>
        </w:rPr>
        <w:t>合同格式</w:t>
      </w:r>
      <w:bookmarkEnd w:id="163"/>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ind w:firstLine="241" w:firstLineChars="50"/>
        <w:jc w:val="center"/>
        <w:rPr>
          <w:rFonts w:hint="default" w:ascii="宋体" w:hAnsi="宋体" w:eastAsia="宋体"/>
          <w:b/>
          <w:color w:val="auto"/>
          <w:sz w:val="48"/>
          <w:szCs w:val="48"/>
          <w:highlight w:val="none"/>
          <w:lang w:val="en-US" w:eastAsia="zh-CN"/>
        </w:rPr>
      </w:pPr>
      <w:r>
        <w:rPr>
          <w:rFonts w:hint="eastAsia" w:ascii="宋体" w:hAnsi="宋体"/>
          <w:b/>
          <w:color w:val="auto"/>
          <w:sz w:val="48"/>
          <w:szCs w:val="48"/>
          <w:highlight w:val="none"/>
          <w:u w:val="single"/>
          <w:lang w:eastAsia="zh-CN"/>
        </w:rPr>
        <w:t>（项目名称）</w:t>
      </w:r>
    </w:p>
    <w:p>
      <w:pPr>
        <w:ind w:firstLine="630" w:firstLineChars="50"/>
        <w:rPr>
          <w:rFonts w:hint="eastAsia" w:ascii="宋体" w:hAnsi="宋体"/>
          <w:color w:val="auto"/>
          <w:sz w:val="126"/>
          <w:szCs w:val="44"/>
          <w:highlight w:val="none"/>
        </w:rPr>
      </w:pPr>
    </w:p>
    <w:p>
      <w:pPr>
        <w:pStyle w:val="2"/>
        <w:rPr>
          <w:rFonts w:hint="eastAsia"/>
          <w:color w:val="auto"/>
          <w:highlight w:val="none"/>
        </w:rPr>
      </w:pPr>
    </w:p>
    <w:p>
      <w:pPr>
        <w:ind w:firstLine="2100" w:firstLineChars="250"/>
        <w:rPr>
          <w:rFonts w:hint="eastAsia" w:ascii="宋体" w:hAnsi="宋体"/>
          <w:color w:val="auto"/>
          <w:sz w:val="84"/>
          <w:szCs w:val="84"/>
          <w:highlight w:val="none"/>
        </w:rPr>
      </w:pPr>
      <w:r>
        <w:rPr>
          <w:rFonts w:hint="eastAsia" w:ascii="宋体" w:hAnsi="宋体"/>
          <w:color w:val="auto"/>
          <w:sz w:val="84"/>
          <w:szCs w:val="84"/>
          <w:highlight w:val="none"/>
        </w:rPr>
        <w:t>施 工 合 同 书</w:t>
      </w:r>
    </w:p>
    <w:p>
      <w:pPr>
        <w:jc w:val="center"/>
        <w:rPr>
          <w:rFonts w:hint="eastAsia" w:ascii="宋体" w:hAnsi="宋体"/>
          <w:color w:val="auto"/>
          <w:sz w:val="44"/>
          <w:szCs w:val="44"/>
          <w:highlight w:val="none"/>
        </w:rPr>
      </w:pPr>
    </w:p>
    <w:p>
      <w:pPr>
        <w:jc w:val="center"/>
        <w:rPr>
          <w:rFonts w:hint="eastAsia" w:ascii="宋体" w:hAnsi="宋体"/>
          <w:color w:val="auto"/>
          <w:sz w:val="44"/>
          <w:szCs w:val="44"/>
          <w:highlight w:val="none"/>
        </w:rPr>
      </w:pPr>
    </w:p>
    <w:p>
      <w:pPr>
        <w:jc w:val="center"/>
        <w:rPr>
          <w:rFonts w:hint="eastAsia" w:ascii="宋体" w:hAnsi="宋体"/>
          <w:color w:val="auto"/>
          <w:sz w:val="30"/>
          <w:szCs w:val="30"/>
          <w:highlight w:val="none"/>
        </w:rPr>
      </w:pPr>
      <w:r>
        <w:rPr>
          <w:rFonts w:hint="eastAsia" w:ascii="宋体" w:hAnsi="宋体"/>
          <w:color w:val="auto"/>
          <w:sz w:val="30"/>
          <w:szCs w:val="30"/>
          <w:highlight w:val="none"/>
        </w:rPr>
        <w:t xml:space="preserve">项目编号: </w:t>
      </w:r>
    </w:p>
    <w:p>
      <w:pPr>
        <w:jc w:val="center"/>
        <w:rPr>
          <w:rFonts w:hint="eastAsia" w:ascii="宋体" w:hAnsi="宋体"/>
          <w:color w:val="auto"/>
          <w:sz w:val="30"/>
          <w:szCs w:val="30"/>
          <w:highlight w:val="none"/>
        </w:rPr>
      </w:pPr>
    </w:p>
    <w:p>
      <w:pPr>
        <w:rPr>
          <w:rFonts w:hint="eastAsia" w:ascii="宋体" w:hAnsi="宋体"/>
          <w:color w:val="auto"/>
          <w:sz w:val="30"/>
          <w:szCs w:val="30"/>
          <w:highlight w:val="none"/>
        </w:rPr>
      </w:pPr>
    </w:p>
    <w:p>
      <w:pPr>
        <w:ind w:firstLine="2100" w:firstLineChars="700"/>
        <w:rPr>
          <w:rFonts w:hint="eastAsia" w:ascii="宋体" w:hAnsi="宋体"/>
          <w:color w:val="auto"/>
          <w:sz w:val="30"/>
          <w:szCs w:val="30"/>
          <w:highlight w:val="none"/>
        </w:rPr>
      </w:pPr>
      <w:r>
        <w:rPr>
          <w:rFonts w:hint="eastAsia" w:ascii="宋体" w:hAnsi="宋体"/>
          <w:color w:val="auto"/>
          <w:sz w:val="30"/>
          <w:szCs w:val="30"/>
          <w:highlight w:val="none"/>
        </w:rPr>
        <w:t>发包人：</w:t>
      </w:r>
      <w:r>
        <w:rPr>
          <w:rFonts w:hint="eastAsia" w:ascii="宋体" w:hAnsi="宋体"/>
          <w:color w:val="auto"/>
          <w:sz w:val="30"/>
          <w:szCs w:val="30"/>
          <w:highlight w:val="none"/>
          <w:lang w:eastAsia="zh-CN"/>
        </w:rPr>
        <w:t>百色市田阳区住房和城乡建设局</w:t>
      </w:r>
      <w:r>
        <w:rPr>
          <w:rFonts w:hint="eastAsia" w:ascii="宋体" w:hAnsi="宋体"/>
          <w:color w:val="auto"/>
          <w:sz w:val="30"/>
          <w:szCs w:val="30"/>
          <w:highlight w:val="none"/>
        </w:rPr>
        <w:t xml:space="preserve">             </w:t>
      </w:r>
    </w:p>
    <w:p>
      <w:pPr>
        <w:ind w:firstLine="2100" w:firstLineChars="700"/>
        <w:rPr>
          <w:rFonts w:hint="eastAsia" w:ascii="宋体" w:hAnsi="宋体"/>
          <w:color w:val="auto"/>
          <w:sz w:val="30"/>
          <w:szCs w:val="30"/>
          <w:highlight w:val="none"/>
        </w:rPr>
      </w:pPr>
      <w:r>
        <w:rPr>
          <w:rFonts w:hint="eastAsia" w:ascii="宋体" w:hAnsi="宋体"/>
          <w:color w:val="auto"/>
          <w:sz w:val="30"/>
          <w:szCs w:val="30"/>
          <w:highlight w:val="none"/>
        </w:rPr>
        <w:t>承包人：</w:t>
      </w:r>
    </w:p>
    <w:p>
      <w:pPr>
        <w:pStyle w:val="2"/>
        <w:ind w:left="0" w:leftChars="0" w:firstLine="0" w:firstLineChars="0"/>
        <w:rPr>
          <w:rFonts w:hint="eastAsia" w:ascii="宋体" w:hAnsi="宋体"/>
          <w:color w:val="auto"/>
          <w:sz w:val="30"/>
          <w:szCs w:val="30"/>
          <w:highlight w:val="none"/>
        </w:rPr>
      </w:pPr>
    </w:p>
    <w:p>
      <w:pPr>
        <w:pStyle w:val="2"/>
        <w:rPr>
          <w:rFonts w:hint="eastAsia" w:ascii="宋体" w:hAnsi="宋体"/>
          <w:color w:val="auto"/>
          <w:sz w:val="30"/>
          <w:szCs w:val="30"/>
          <w:highlight w:val="none"/>
        </w:rPr>
      </w:pPr>
    </w:p>
    <w:p>
      <w:pPr>
        <w:ind w:firstLine="3900" w:firstLineChars="1300"/>
        <w:rPr>
          <w:color w:val="auto"/>
          <w:highlight w:val="none"/>
        </w:rPr>
      </w:pPr>
      <w:r>
        <w:rPr>
          <w:rFonts w:hint="eastAsia" w:ascii="宋体" w:hAnsi="宋体"/>
          <w:color w:val="auto"/>
          <w:sz w:val="30"/>
          <w:szCs w:val="30"/>
          <w:highlight w:val="none"/>
        </w:rPr>
        <w:t>年   月   日</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5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授权委托书</w:t>
      </w:r>
    </w:p>
    <w:p>
      <w:pPr>
        <w:spacing w:line="520" w:lineRule="exact"/>
        <w:jc w:val="center"/>
        <w:rPr>
          <w:rFonts w:hint="eastAsia" w:ascii="宋体" w:hAnsi="宋体"/>
          <w:color w:val="auto"/>
          <w:sz w:val="24"/>
          <w:highlight w:val="none"/>
        </w:rPr>
      </w:pPr>
    </w:p>
    <w:p>
      <w:pPr>
        <w:spacing w:line="520" w:lineRule="exact"/>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lang w:eastAsia="zh-CN"/>
        </w:rPr>
        <w:t>百色市田阳区住房和城乡建设局</w:t>
      </w:r>
      <w:r>
        <w:rPr>
          <w:rFonts w:hint="eastAsia" w:ascii="宋体" w:hAnsi="宋体"/>
          <w:color w:val="auto"/>
          <w:sz w:val="24"/>
          <w:highlight w:val="none"/>
        </w:rPr>
        <w:t xml:space="preserve">     </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同志为</w:t>
      </w:r>
      <w:r>
        <w:rPr>
          <w:rFonts w:hint="eastAsia" w:ascii="宋体" w:hAnsi="宋体"/>
          <w:color w:val="auto"/>
          <w:sz w:val="24"/>
          <w:highlight w:val="none"/>
          <w:u w:val="single"/>
        </w:rPr>
        <w:t xml:space="preserve">       工程</w:t>
      </w:r>
      <w:r>
        <w:rPr>
          <w:rFonts w:hint="eastAsia" w:ascii="宋体" w:hAnsi="宋体"/>
          <w:color w:val="auto"/>
          <w:sz w:val="24"/>
          <w:highlight w:val="none"/>
        </w:rPr>
        <w:t>的负责人，以我方名义签订合同，执行本工程中的有关技术、工程进度、现场管理、质量检验、工程结算等方面的工作，由</w:t>
      </w:r>
      <w:r>
        <w:rPr>
          <w:rFonts w:hint="eastAsia" w:ascii="宋体" w:hAnsi="宋体"/>
          <w:color w:val="auto"/>
          <w:sz w:val="24"/>
          <w:highlight w:val="none"/>
          <w:u w:val="single"/>
        </w:rPr>
        <w:t xml:space="preserve">    </w:t>
      </w:r>
      <w:r>
        <w:rPr>
          <w:rFonts w:hint="eastAsia" w:ascii="宋体" w:hAnsi="宋体"/>
          <w:color w:val="auto"/>
          <w:sz w:val="24"/>
          <w:highlight w:val="none"/>
        </w:rPr>
        <w:t>同志代表本单位全面负责。</w:t>
      </w:r>
    </w:p>
    <w:p>
      <w:pPr>
        <w:spacing w:line="520" w:lineRule="exact"/>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日至</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20" w:lineRule="exact"/>
        <w:ind w:firstLine="480" w:firstLineChars="200"/>
        <w:rPr>
          <w:rFonts w:hint="eastAsia" w:ascii="宋体" w:hAnsi="宋体"/>
          <w:color w:val="auto"/>
          <w:sz w:val="24"/>
          <w:highlight w:val="none"/>
        </w:rPr>
      </w:pPr>
    </w:p>
    <w:p>
      <w:pPr>
        <w:spacing w:line="520" w:lineRule="exact"/>
        <w:jc w:val="center"/>
        <w:rPr>
          <w:rFonts w:hint="eastAsia" w:ascii="宋体" w:hAnsi="宋体"/>
          <w:color w:val="auto"/>
          <w:sz w:val="24"/>
          <w:highlight w:val="none"/>
        </w:rPr>
      </w:pPr>
      <w:r>
        <w:rPr>
          <w:rFonts w:hint="eastAsia" w:ascii="宋体" w:hAnsi="宋体"/>
          <w:color w:val="auto"/>
          <w:sz w:val="24"/>
          <w:highlight w:val="none"/>
        </w:rPr>
        <w:t xml:space="preserve">               单位名称：</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pPr>
        <w:spacing w:line="520" w:lineRule="exact"/>
        <w:jc w:val="center"/>
        <w:rPr>
          <w:rFonts w:hint="eastAsia"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20" w:lineRule="exact"/>
        <w:ind w:firstLine="3120" w:firstLineChars="1300"/>
        <w:rPr>
          <w:rFonts w:hint="eastAsia"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520" w:lineRule="exact"/>
        <w:jc w:val="center"/>
        <w:rPr>
          <w:rFonts w:hint="eastAsia" w:ascii="宋体" w:hAnsi="宋体"/>
          <w:color w:val="auto"/>
          <w:sz w:val="24"/>
          <w:highlight w:val="none"/>
        </w:rPr>
      </w:pPr>
      <w:r>
        <w:rPr>
          <w:rFonts w:hint="eastAsia" w:ascii="宋体" w:hAnsi="宋体"/>
          <w:color w:val="auto"/>
          <w:sz w:val="24"/>
          <w:highlight w:val="none"/>
        </w:rPr>
        <w:t xml:space="preserve">              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20" w:lineRule="exact"/>
        <w:ind w:firstLine="3120" w:firstLineChars="1300"/>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520" w:lineRule="exact"/>
        <w:ind w:firstLine="3720" w:firstLineChars="155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ind w:left="0" w:leftChars="0" w:firstLine="0" w:firstLineChars="0"/>
        <w:rPr>
          <w:color w:val="auto"/>
          <w:highlight w:val="none"/>
        </w:rPr>
      </w:pPr>
    </w:p>
    <w:p>
      <w:pPr>
        <w:pStyle w:val="4"/>
        <w:rPr>
          <w:rFonts w:hAnsi="宋体"/>
          <w:color w:val="auto"/>
          <w:sz w:val="24"/>
          <w:szCs w:val="24"/>
          <w:highlight w:val="none"/>
        </w:rPr>
      </w:pPr>
      <w:bookmarkStart w:id="168" w:name="_Toc44953399"/>
      <w:bookmarkStart w:id="169" w:name="_Toc138995774"/>
      <w:bookmarkStart w:id="170" w:name="_Toc5127"/>
      <w:bookmarkStart w:id="171" w:name="_Toc26594"/>
      <w:bookmarkStart w:id="172" w:name="_Toc121749419"/>
      <w:bookmarkStart w:id="173" w:name="_Toc44953371"/>
      <w:bookmarkStart w:id="174" w:name="_Toc32342"/>
      <w:r>
        <w:rPr>
          <w:rFonts w:hint="eastAsia" w:ascii="宋体" w:hAnsi="宋体" w:eastAsia="宋体"/>
          <w:b/>
          <w:bCs w:val="0"/>
          <w:color w:val="auto"/>
          <w:highlight w:val="none"/>
        </w:rPr>
        <w:t>一　协议书（格式）</w:t>
      </w:r>
      <w:bookmarkEnd w:id="168"/>
      <w:bookmarkEnd w:id="169"/>
      <w:bookmarkEnd w:id="170"/>
      <w:bookmarkEnd w:id="171"/>
    </w:p>
    <w:p>
      <w:pPr>
        <w:pStyle w:val="17"/>
        <w:spacing w:line="360" w:lineRule="auto"/>
        <w:rPr>
          <w:rFonts w:hint="eastAsia" w:hAnsi="宋体"/>
          <w:color w:val="auto"/>
          <w:sz w:val="24"/>
          <w:szCs w:val="24"/>
          <w:highlight w:val="none"/>
          <w:u w:val="single"/>
        </w:rPr>
      </w:pPr>
      <w:r>
        <w:rPr>
          <w:rFonts w:hAnsi="宋体"/>
          <w:color w:val="auto"/>
          <w:sz w:val="24"/>
          <w:szCs w:val="24"/>
          <w:highlight w:val="none"/>
        </w:rPr>
        <w:t>发包人(全称)：</w:t>
      </w:r>
      <w:r>
        <w:rPr>
          <w:rFonts w:hint="eastAsia" w:hAnsi="宋体"/>
          <w:color w:val="auto"/>
          <w:sz w:val="24"/>
          <w:szCs w:val="24"/>
          <w:highlight w:val="none"/>
          <w:u w:val="single"/>
        </w:rPr>
        <w:t xml:space="preserve">                            </w:t>
      </w:r>
      <w:r>
        <w:rPr>
          <w:rFonts w:hint="eastAsia" w:hAnsi="宋体"/>
          <w:color w:val="auto"/>
          <w:sz w:val="24"/>
          <w:szCs w:val="24"/>
          <w:highlight w:val="none"/>
        </w:rPr>
        <w:t>(简称甲方)</w:t>
      </w:r>
    </w:p>
    <w:p>
      <w:pPr>
        <w:pStyle w:val="17"/>
        <w:spacing w:line="360" w:lineRule="auto"/>
        <w:rPr>
          <w:rFonts w:hint="eastAsia" w:hAnsi="宋体"/>
          <w:color w:val="auto"/>
          <w:sz w:val="24"/>
          <w:szCs w:val="24"/>
          <w:highlight w:val="none"/>
          <w:u w:val="single"/>
        </w:rPr>
      </w:pPr>
      <w:r>
        <w:rPr>
          <w:rFonts w:hAnsi="宋体"/>
          <w:color w:val="auto"/>
          <w:sz w:val="24"/>
          <w:szCs w:val="24"/>
          <w:highlight w:val="none"/>
        </w:rPr>
        <w:t>承包人(全称)：</w:t>
      </w:r>
      <w:r>
        <w:rPr>
          <w:rFonts w:hAnsi="宋体"/>
          <w:color w:val="auto"/>
          <w:sz w:val="24"/>
          <w:szCs w:val="24"/>
          <w:highlight w:val="none"/>
          <w:u w:val="single"/>
        </w:rPr>
        <w:t xml:space="preserve">                            </w:t>
      </w:r>
      <w:r>
        <w:rPr>
          <w:rFonts w:hint="eastAsia" w:hAnsi="宋体"/>
          <w:color w:val="auto"/>
          <w:sz w:val="24"/>
          <w:szCs w:val="24"/>
          <w:highlight w:val="none"/>
        </w:rPr>
        <w:t>(简称乙方)</w:t>
      </w:r>
    </w:p>
    <w:p>
      <w:pPr>
        <w:pStyle w:val="17"/>
        <w:spacing w:line="360" w:lineRule="auto"/>
        <w:ind w:firstLine="480" w:firstLineChars="200"/>
        <w:rPr>
          <w:rFonts w:hAnsi="宋体"/>
          <w:color w:val="auto"/>
          <w:sz w:val="24"/>
          <w:szCs w:val="24"/>
          <w:highlight w:val="none"/>
        </w:rPr>
      </w:pPr>
      <w:r>
        <w:rPr>
          <w:rFonts w:hAnsi="宋体"/>
          <w:color w:val="auto"/>
          <w:sz w:val="24"/>
          <w:szCs w:val="24"/>
          <w:highlight w:val="none"/>
        </w:rPr>
        <w:t>依照</w:t>
      </w:r>
      <w:r>
        <w:rPr>
          <w:rFonts w:hint="eastAsia" w:hAnsi="宋体"/>
          <w:color w:val="auto"/>
          <w:sz w:val="24"/>
          <w:szCs w:val="24"/>
          <w:highlight w:val="none"/>
        </w:rPr>
        <w:t>《中华人民共和国政府采购法》、</w:t>
      </w:r>
      <w:r>
        <w:rPr>
          <w:rFonts w:hAnsi="宋体"/>
          <w:color w:val="auto"/>
          <w:sz w:val="24"/>
          <w:szCs w:val="24"/>
          <w:highlight w:val="none"/>
        </w:rPr>
        <w:t>《中华人民共和国合同法》、《中华人民共和国</w:t>
      </w:r>
      <w:r>
        <w:rPr>
          <w:rFonts w:hint="eastAsia" w:hAnsi="宋体"/>
          <w:color w:val="auto"/>
          <w:sz w:val="24"/>
          <w:szCs w:val="24"/>
          <w:highlight w:val="none"/>
        </w:rPr>
        <w:t>市政公用</w:t>
      </w:r>
      <w:r>
        <w:rPr>
          <w:rFonts w:hAnsi="宋体"/>
          <w:color w:val="auto"/>
          <w:sz w:val="24"/>
          <w:szCs w:val="24"/>
          <w:highlight w:val="none"/>
        </w:rPr>
        <w:t>法》及其他有关法律、行政法规，遵循平等、自愿、公平和诚实信用的原则，双方就本建设工程施工事项协商一致，订立本合同。</w:t>
      </w:r>
    </w:p>
    <w:p>
      <w:pPr>
        <w:pStyle w:val="17"/>
        <w:spacing w:line="360" w:lineRule="auto"/>
        <w:ind w:firstLine="482" w:firstLineChars="200"/>
        <w:rPr>
          <w:rFonts w:hint="eastAsia" w:hAnsi="宋体"/>
          <w:b/>
          <w:color w:val="auto"/>
          <w:sz w:val="24"/>
          <w:szCs w:val="24"/>
          <w:highlight w:val="none"/>
        </w:rPr>
      </w:pPr>
      <w:r>
        <w:rPr>
          <w:rFonts w:hint="eastAsia" w:hAnsi="宋体"/>
          <w:b/>
          <w:color w:val="auto"/>
          <w:sz w:val="24"/>
          <w:szCs w:val="24"/>
          <w:highlight w:val="none"/>
        </w:rPr>
        <w:t>一、工程概况</w:t>
      </w:r>
    </w:p>
    <w:p>
      <w:pPr>
        <w:pStyle w:val="17"/>
        <w:spacing w:line="360" w:lineRule="auto"/>
        <w:ind w:firstLine="480" w:firstLineChars="200"/>
        <w:rPr>
          <w:rFonts w:hint="eastAsia" w:hAnsi="宋体"/>
          <w:color w:val="auto"/>
          <w:sz w:val="24"/>
          <w:szCs w:val="24"/>
          <w:highlight w:val="none"/>
          <w:u w:val="single"/>
        </w:rPr>
      </w:pPr>
      <w:r>
        <w:rPr>
          <w:rFonts w:hAnsi="宋体"/>
          <w:color w:val="auto"/>
          <w:sz w:val="24"/>
          <w:szCs w:val="24"/>
          <w:highlight w:val="none"/>
        </w:rPr>
        <w:t>工程名称：</w:t>
      </w:r>
      <w:r>
        <w:rPr>
          <w:rFonts w:hint="eastAsia" w:hAnsi="宋体"/>
          <w:color w:val="auto"/>
          <w:sz w:val="24"/>
          <w:szCs w:val="24"/>
          <w:highlight w:val="none"/>
          <w:u w:val="single"/>
        </w:rPr>
        <w:t xml:space="preserve">                        </w:t>
      </w:r>
    </w:p>
    <w:p>
      <w:pPr>
        <w:pStyle w:val="17"/>
        <w:spacing w:line="360" w:lineRule="auto"/>
        <w:ind w:firstLine="480" w:firstLineChars="200"/>
        <w:rPr>
          <w:rFonts w:hint="eastAsia" w:hAnsi="宋体"/>
          <w:color w:val="auto"/>
          <w:sz w:val="24"/>
          <w:szCs w:val="24"/>
          <w:highlight w:val="none"/>
          <w:u w:val="single"/>
        </w:rPr>
      </w:pPr>
      <w:r>
        <w:rPr>
          <w:rFonts w:hAnsi="宋体"/>
          <w:color w:val="auto"/>
          <w:sz w:val="24"/>
          <w:szCs w:val="24"/>
          <w:highlight w:val="none"/>
        </w:rPr>
        <w:t>工程地点：</w:t>
      </w:r>
      <w:r>
        <w:rPr>
          <w:rFonts w:hint="eastAsia" w:hAnsi="宋体"/>
          <w:color w:val="auto"/>
          <w:sz w:val="24"/>
          <w:szCs w:val="24"/>
          <w:highlight w:val="none"/>
          <w:u w:val="single"/>
        </w:rPr>
        <w:t xml:space="preserve">                        </w:t>
      </w:r>
    </w:p>
    <w:p>
      <w:pPr>
        <w:pStyle w:val="17"/>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rPr>
        <w:t>工程内容：</w:t>
      </w:r>
      <w:r>
        <w:rPr>
          <w:rFonts w:hint="eastAsia" w:hAnsi="宋体"/>
          <w:color w:val="auto"/>
          <w:sz w:val="24"/>
          <w:szCs w:val="24"/>
          <w:highlight w:val="none"/>
          <w:u w:val="single"/>
        </w:rPr>
        <w:t xml:space="preserve">                        </w:t>
      </w:r>
    </w:p>
    <w:p>
      <w:pPr>
        <w:pStyle w:val="17"/>
        <w:spacing w:line="360" w:lineRule="auto"/>
        <w:ind w:firstLine="482" w:firstLineChars="200"/>
        <w:rPr>
          <w:rFonts w:hAnsi="宋体"/>
          <w:b/>
          <w:color w:val="auto"/>
          <w:sz w:val="24"/>
          <w:szCs w:val="24"/>
          <w:highlight w:val="none"/>
        </w:rPr>
      </w:pPr>
      <w:r>
        <w:rPr>
          <w:rFonts w:hAnsi="宋体"/>
          <w:b/>
          <w:color w:val="auto"/>
          <w:sz w:val="24"/>
          <w:szCs w:val="24"/>
          <w:highlight w:val="none"/>
        </w:rPr>
        <w:t>二、工程承包范围</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承包范围：</w:t>
      </w:r>
      <w:r>
        <w:rPr>
          <w:rFonts w:hint="eastAsia" w:ascii="宋体" w:hAnsi="宋体"/>
          <w:color w:val="auto"/>
          <w:sz w:val="24"/>
          <w:highlight w:val="none"/>
          <w:u w:val="single"/>
        </w:rPr>
        <w:t>按该项目的施工图设计施工。</w:t>
      </w:r>
      <w:r>
        <w:rPr>
          <w:rFonts w:hint="eastAsia" w:ascii="宋体" w:hAnsi="宋体"/>
          <w:color w:val="auto"/>
          <w:sz w:val="24"/>
          <w:highlight w:val="none"/>
        </w:rPr>
        <w:t>（如增加项目，需另有施工图纸与预算书）</w:t>
      </w:r>
    </w:p>
    <w:p>
      <w:pPr>
        <w:pStyle w:val="17"/>
        <w:spacing w:line="360" w:lineRule="auto"/>
        <w:ind w:firstLine="482" w:firstLineChars="200"/>
        <w:rPr>
          <w:rFonts w:hAnsi="宋体"/>
          <w:b/>
          <w:color w:val="auto"/>
          <w:sz w:val="24"/>
          <w:szCs w:val="24"/>
          <w:highlight w:val="none"/>
        </w:rPr>
      </w:pPr>
      <w:r>
        <w:rPr>
          <w:rFonts w:hAnsi="宋体"/>
          <w:b/>
          <w:color w:val="auto"/>
          <w:sz w:val="24"/>
          <w:szCs w:val="24"/>
          <w:highlight w:val="none"/>
        </w:rPr>
        <w:t>三、合同工期</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lang w:eastAsia="zh-CN"/>
        </w:rPr>
        <w:t>计划</w:t>
      </w:r>
      <w:r>
        <w:rPr>
          <w:rFonts w:hAnsi="宋体"/>
          <w:color w:val="auto"/>
          <w:sz w:val="24"/>
          <w:szCs w:val="24"/>
          <w:highlight w:val="none"/>
        </w:rPr>
        <w:t>开工日期：</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Ansi="宋体"/>
          <w:color w:val="auto"/>
          <w:sz w:val="24"/>
          <w:szCs w:val="24"/>
          <w:highlight w:val="none"/>
        </w:rPr>
        <w:t>年</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rPr>
        <w:t>月</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rPr>
        <w:t>日</w:t>
      </w:r>
    </w:p>
    <w:p>
      <w:pPr>
        <w:pStyle w:val="17"/>
        <w:spacing w:line="360" w:lineRule="auto"/>
        <w:ind w:firstLine="480" w:firstLineChars="200"/>
        <w:rPr>
          <w:rFonts w:hAnsi="宋体"/>
          <w:color w:val="auto"/>
          <w:sz w:val="24"/>
          <w:szCs w:val="24"/>
          <w:highlight w:val="none"/>
        </w:rPr>
      </w:pPr>
      <w:r>
        <w:rPr>
          <w:rFonts w:hint="eastAsia" w:hAnsi="宋体"/>
          <w:color w:val="auto"/>
          <w:sz w:val="24"/>
          <w:szCs w:val="24"/>
          <w:highlight w:val="none"/>
          <w:lang w:eastAsia="zh-CN"/>
        </w:rPr>
        <w:t>计划</w:t>
      </w:r>
      <w:r>
        <w:rPr>
          <w:rFonts w:hAnsi="宋体"/>
          <w:color w:val="auto"/>
          <w:sz w:val="24"/>
          <w:szCs w:val="24"/>
          <w:highlight w:val="none"/>
        </w:rPr>
        <w:t>竣工日期</w:t>
      </w:r>
      <w:r>
        <w:rPr>
          <w:rFonts w:hint="eastAsia" w:hAnsi="宋体"/>
          <w:color w:val="auto"/>
          <w:sz w:val="24"/>
          <w:szCs w:val="24"/>
          <w:highlight w:val="none"/>
        </w:rPr>
        <w:t>：</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rPr>
        <w:t>年</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Ansi="宋体"/>
          <w:color w:val="auto"/>
          <w:sz w:val="24"/>
          <w:szCs w:val="24"/>
          <w:highlight w:val="none"/>
        </w:rPr>
        <w:t>月</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rPr>
        <w:t>日</w:t>
      </w:r>
    </w:p>
    <w:p>
      <w:pPr>
        <w:pStyle w:val="17"/>
        <w:spacing w:line="360" w:lineRule="auto"/>
        <w:ind w:firstLine="480" w:firstLineChars="200"/>
        <w:rPr>
          <w:rFonts w:hint="eastAsia" w:hAnsi="宋体"/>
          <w:color w:val="auto"/>
          <w:sz w:val="24"/>
          <w:szCs w:val="24"/>
          <w:highlight w:val="none"/>
        </w:rPr>
      </w:pPr>
      <w:r>
        <w:rPr>
          <w:rFonts w:hAnsi="宋体"/>
          <w:color w:val="auto"/>
          <w:sz w:val="24"/>
          <w:szCs w:val="24"/>
          <w:highlight w:val="none"/>
        </w:rPr>
        <w:t>合同工期总日历天数：</w:t>
      </w:r>
      <w:r>
        <w:rPr>
          <w:rFonts w:hint="eastAsia" w:hAnsi="宋体"/>
          <w:color w:val="auto"/>
          <w:sz w:val="24"/>
          <w:szCs w:val="24"/>
          <w:highlight w:val="none"/>
          <w:u w:val="single"/>
        </w:rPr>
        <w:t xml:space="preserve">        </w:t>
      </w:r>
      <w:r>
        <w:rPr>
          <w:rFonts w:hint="eastAsia" w:hAnsi="宋体"/>
          <w:color w:val="auto"/>
          <w:sz w:val="24"/>
          <w:szCs w:val="24"/>
          <w:highlight w:val="none"/>
        </w:rPr>
        <w:t>天。</w:t>
      </w:r>
    </w:p>
    <w:p>
      <w:pPr>
        <w:pStyle w:val="17"/>
        <w:spacing w:line="360" w:lineRule="auto"/>
        <w:ind w:firstLine="482" w:firstLineChars="200"/>
        <w:rPr>
          <w:rFonts w:hAnsi="宋体"/>
          <w:b/>
          <w:color w:val="auto"/>
          <w:sz w:val="24"/>
          <w:szCs w:val="24"/>
          <w:highlight w:val="none"/>
        </w:rPr>
      </w:pPr>
      <w:r>
        <w:rPr>
          <w:rFonts w:hAnsi="宋体"/>
          <w:b/>
          <w:color w:val="auto"/>
          <w:sz w:val="24"/>
          <w:szCs w:val="24"/>
          <w:highlight w:val="none"/>
        </w:rPr>
        <w:t>四、质量标准</w:t>
      </w:r>
    </w:p>
    <w:p>
      <w:pPr>
        <w:pStyle w:val="17"/>
        <w:spacing w:line="360" w:lineRule="auto"/>
        <w:ind w:firstLine="480" w:firstLineChars="200"/>
        <w:rPr>
          <w:rFonts w:hint="eastAsia" w:hAnsi="宋体"/>
          <w:color w:val="auto"/>
          <w:sz w:val="24"/>
          <w:szCs w:val="24"/>
          <w:highlight w:val="none"/>
          <w:u w:val="single"/>
        </w:rPr>
      </w:pPr>
      <w:r>
        <w:rPr>
          <w:rFonts w:hAnsi="宋体"/>
          <w:color w:val="auto"/>
          <w:sz w:val="24"/>
          <w:szCs w:val="24"/>
          <w:highlight w:val="none"/>
        </w:rPr>
        <w:t>工程质量标准：</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合格  </w:t>
      </w:r>
    </w:p>
    <w:p>
      <w:pPr>
        <w:pStyle w:val="17"/>
        <w:spacing w:line="360" w:lineRule="auto"/>
        <w:ind w:firstLine="482" w:firstLineChars="200"/>
        <w:rPr>
          <w:rFonts w:hAnsi="宋体"/>
          <w:b/>
          <w:color w:val="auto"/>
          <w:sz w:val="24"/>
          <w:szCs w:val="24"/>
          <w:highlight w:val="none"/>
        </w:rPr>
      </w:pPr>
      <w:r>
        <w:rPr>
          <w:rFonts w:hAnsi="宋体"/>
          <w:b/>
          <w:color w:val="auto"/>
          <w:sz w:val="24"/>
          <w:szCs w:val="24"/>
          <w:highlight w:val="none"/>
        </w:rPr>
        <w:t>五、</w:t>
      </w:r>
      <w:r>
        <w:rPr>
          <w:rFonts w:hint="eastAsia" w:hAnsi="宋体"/>
          <w:b/>
          <w:color w:val="auto"/>
          <w:sz w:val="24"/>
          <w:szCs w:val="24"/>
          <w:highlight w:val="none"/>
          <w:lang w:eastAsia="zh-CN"/>
        </w:rPr>
        <w:t>签约</w:t>
      </w:r>
      <w:r>
        <w:rPr>
          <w:rFonts w:hAnsi="宋体"/>
          <w:b/>
          <w:color w:val="auto"/>
          <w:sz w:val="24"/>
          <w:szCs w:val="24"/>
          <w:highlight w:val="none"/>
        </w:rPr>
        <w:t>合同价款</w:t>
      </w:r>
    </w:p>
    <w:p>
      <w:pPr>
        <w:pStyle w:val="17"/>
        <w:spacing w:line="360" w:lineRule="auto"/>
        <w:ind w:firstLine="480" w:firstLineChars="200"/>
        <w:rPr>
          <w:rFonts w:hint="eastAsia" w:hAnsi="宋体"/>
          <w:color w:val="auto"/>
          <w:sz w:val="24"/>
          <w:szCs w:val="24"/>
          <w:highlight w:val="none"/>
        </w:rPr>
      </w:pPr>
      <w:r>
        <w:rPr>
          <w:rFonts w:hAnsi="宋体"/>
          <w:color w:val="auto"/>
          <w:sz w:val="24"/>
          <w:szCs w:val="24"/>
          <w:highlight w:val="none"/>
        </w:rPr>
        <w:t>金额(大写)：人民币</w:t>
      </w:r>
      <w:r>
        <w:rPr>
          <w:rFonts w:hAnsi="宋体"/>
          <w:color w:val="auto"/>
          <w:sz w:val="24"/>
          <w:szCs w:val="24"/>
          <w:highlight w:val="none"/>
          <w:u w:val="single"/>
        </w:rPr>
        <w:t xml:space="preserve">                                 </w:t>
      </w:r>
      <w:r>
        <w:rPr>
          <w:rFonts w:hAnsi="宋体"/>
          <w:color w:val="auto"/>
          <w:sz w:val="24"/>
          <w:szCs w:val="24"/>
          <w:highlight w:val="none"/>
        </w:rPr>
        <w:t>元(￥</w:t>
      </w:r>
      <w:r>
        <w:rPr>
          <w:rFonts w:hAnsi="宋体"/>
          <w:color w:val="auto"/>
          <w:sz w:val="24"/>
          <w:szCs w:val="24"/>
          <w:highlight w:val="none"/>
          <w:u w:val="single"/>
        </w:rPr>
        <w:t xml:space="preserve">          </w:t>
      </w:r>
      <w:r>
        <w:rPr>
          <w:rFonts w:hAnsi="宋体"/>
          <w:color w:val="auto"/>
          <w:sz w:val="24"/>
          <w:szCs w:val="24"/>
          <w:highlight w:val="none"/>
        </w:rPr>
        <w:t>)</w:t>
      </w:r>
      <w:r>
        <w:rPr>
          <w:rFonts w:hint="eastAsia" w:hAnsi="宋体"/>
          <w:color w:val="auto"/>
          <w:sz w:val="24"/>
          <w:szCs w:val="24"/>
          <w:highlight w:val="none"/>
        </w:rPr>
        <w:t>。</w:t>
      </w:r>
    </w:p>
    <w:p>
      <w:pPr>
        <w:pStyle w:val="17"/>
        <w:spacing w:line="360" w:lineRule="auto"/>
        <w:ind w:firstLine="482" w:firstLineChars="200"/>
        <w:rPr>
          <w:rFonts w:hAnsi="宋体"/>
          <w:b/>
          <w:color w:val="auto"/>
          <w:sz w:val="24"/>
          <w:szCs w:val="24"/>
          <w:highlight w:val="none"/>
        </w:rPr>
      </w:pPr>
      <w:r>
        <w:rPr>
          <w:rFonts w:hAnsi="宋体"/>
          <w:b/>
          <w:color w:val="auto"/>
          <w:sz w:val="24"/>
          <w:szCs w:val="24"/>
          <w:highlight w:val="none"/>
        </w:rPr>
        <w:t>六、组成合同的文件</w:t>
      </w:r>
    </w:p>
    <w:p>
      <w:pPr>
        <w:pStyle w:val="17"/>
        <w:spacing w:line="360" w:lineRule="auto"/>
        <w:ind w:firstLine="480" w:firstLineChars="200"/>
        <w:rPr>
          <w:rFonts w:hAnsi="宋体"/>
          <w:color w:val="auto"/>
          <w:sz w:val="24"/>
          <w:szCs w:val="24"/>
          <w:highlight w:val="none"/>
        </w:rPr>
      </w:pPr>
      <w:r>
        <w:rPr>
          <w:rFonts w:hAnsi="宋体"/>
          <w:color w:val="auto"/>
          <w:sz w:val="24"/>
          <w:szCs w:val="24"/>
          <w:highlight w:val="none"/>
        </w:rPr>
        <w:t>组成本合同的文件包括：</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1、授权委托书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2、报告</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、本合同协议书</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4、</w:t>
      </w:r>
      <w:r>
        <w:rPr>
          <w:rFonts w:ascii="宋体" w:hAnsi="宋体"/>
          <w:color w:val="auto"/>
          <w:sz w:val="24"/>
          <w:highlight w:val="none"/>
        </w:rPr>
        <w:t>本合同专用条款</w:t>
      </w:r>
      <w:r>
        <w:rPr>
          <w:rFonts w:hint="eastAsia" w:ascii="宋体" w:hAnsi="宋体"/>
          <w:color w:val="auto"/>
          <w:sz w:val="24"/>
          <w:highlight w:val="none"/>
          <w:lang w:eastAsia="zh-CN"/>
        </w:rPr>
        <w:t>、通用条款</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5、工程质量保修书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6、安全生产协议书</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7、廉政合同</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双方有关工程的洽商、变更等书面协议或文件视为本合同的组成部分。</w:t>
      </w:r>
    </w:p>
    <w:p>
      <w:pPr>
        <w:pStyle w:val="17"/>
        <w:spacing w:line="360" w:lineRule="auto"/>
        <w:ind w:firstLine="482" w:firstLineChars="200"/>
        <w:rPr>
          <w:rFonts w:hint="eastAsia" w:hAnsi="宋体"/>
          <w:b/>
          <w:color w:val="auto"/>
          <w:sz w:val="24"/>
          <w:szCs w:val="24"/>
          <w:highlight w:val="none"/>
        </w:rPr>
      </w:pPr>
      <w:r>
        <w:rPr>
          <w:rFonts w:hAnsi="宋体"/>
          <w:b/>
          <w:color w:val="auto"/>
          <w:sz w:val="24"/>
          <w:szCs w:val="24"/>
          <w:highlight w:val="none"/>
        </w:rPr>
        <w:t>七、本协议书中有关词语含义</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本协议书中有关词语含义</w:t>
      </w:r>
      <w:r>
        <w:rPr>
          <w:rFonts w:hAnsi="宋体"/>
          <w:color w:val="auto"/>
          <w:sz w:val="24"/>
          <w:szCs w:val="24"/>
          <w:highlight w:val="none"/>
        </w:rPr>
        <w:t>与竞争性谈判文件第</w:t>
      </w:r>
      <w:r>
        <w:rPr>
          <w:rFonts w:hint="eastAsia" w:hAnsi="宋体"/>
          <w:color w:val="auto"/>
          <w:sz w:val="24"/>
          <w:szCs w:val="24"/>
          <w:highlight w:val="none"/>
        </w:rPr>
        <w:t>三</w:t>
      </w:r>
      <w:r>
        <w:rPr>
          <w:rFonts w:hAnsi="宋体"/>
          <w:color w:val="auto"/>
          <w:sz w:val="24"/>
          <w:szCs w:val="24"/>
          <w:highlight w:val="none"/>
        </w:rPr>
        <w:t>章(通用条款)中分别赋予它们的定义相同。</w:t>
      </w:r>
    </w:p>
    <w:p>
      <w:pPr>
        <w:pStyle w:val="17"/>
        <w:spacing w:line="360" w:lineRule="auto"/>
        <w:ind w:firstLine="482" w:firstLineChars="200"/>
        <w:rPr>
          <w:rFonts w:hint="eastAsia" w:hAnsi="宋体"/>
          <w:b/>
          <w:color w:val="auto"/>
          <w:sz w:val="24"/>
          <w:szCs w:val="24"/>
          <w:highlight w:val="none"/>
        </w:rPr>
      </w:pPr>
      <w:r>
        <w:rPr>
          <w:rFonts w:hint="eastAsia" w:hAnsi="宋体"/>
          <w:b/>
          <w:color w:val="auto"/>
          <w:sz w:val="24"/>
          <w:szCs w:val="24"/>
          <w:highlight w:val="none"/>
        </w:rPr>
        <w:t>八、甲方工作及责任</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1、甲方必须派技术人员配合乙方施工指导、签证工作。</w:t>
      </w:r>
    </w:p>
    <w:p>
      <w:pPr>
        <w:pStyle w:val="17"/>
        <w:spacing w:line="360" w:lineRule="auto"/>
        <w:ind w:firstLine="360" w:firstLineChars="150"/>
        <w:rPr>
          <w:rFonts w:hint="eastAsia" w:hAnsi="宋体"/>
          <w:color w:val="auto"/>
          <w:sz w:val="24"/>
          <w:szCs w:val="24"/>
          <w:highlight w:val="none"/>
        </w:rPr>
      </w:pPr>
      <w:r>
        <w:rPr>
          <w:rFonts w:hint="eastAsia" w:hAnsi="宋体"/>
          <w:color w:val="auto"/>
          <w:sz w:val="24"/>
          <w:szCs w:val="24"/>
          <w:highlight w:val="none"/>
        </w:rPr>
        <w:t xml:space="preserve"> 2、乙方施工完毕，甲方负责组织有关单位对工程进行验收，做好签证结算。</w:t>
      </w:r>
    </w:p>
    <w:p>
      <w:pPr>
        <w:pStyle w:val="17"/>
        <w:spacing w:line="360" w:lineRule="auto"/>
        <w:ind w:firstLine="480" w:firstLineChars="200"/>
        <w:rPr>
          <w:rFonts w:hint="eastAsia" w:hAnsi="宋体"/>
          <w:color w:val="auto"/>
          <w:sz w:val="24"/>
          <w:szCs w:val="24"/>
          <w:highlight w:val="none"/>
          <w:u w:val="none"/>
        </w:rPr>
      </w:pPr>
      <w:r>
        <w:rPr>
          <w:rFonts w:hint="eastAsia" w:hAnsi="宋体"/>
          <w:color w:val="auto"/>
          <w:sz w:val="24"/>
          <w:szCs w:val="24"/>
          <w:highlight w:val="none"/>
          <w:u w:val="none"/>
          <w:lang w:val="en-US" w:eastAsia="zh-CN"/>
        </w:rPr>
        <w:t>3、</w:t>
      </w:r>
      <w:r>
        <w:rPr>
          <w:rFonts w:hint="eastAsia" w:hAnsi="宋体"/>
          <w:color w:val="auto"/>
          <w:sz w:val="24"/>
          <w:szCs w:val="24"/>
          <w:highlight w:val="none"/>
          <w:u w:val="none"/>
        </w:rPr>
        <w:t>按合同约定及时支付工程款。</w:t>
      </w:r>
    </w:p>
    <w:p>
      <w:pPr>
        <w:pStyle w:val="17"/>
        <w:spacing w:line="360" w:lineRule="auto"/>
        <w:ind w:firstLine="420"/>
        <w:rPr>
          <w:rFonts w:hint="eastAsia" w:hAnsi="宋体"/>
          <w:b/>
          <w:color w:val="auto"/>
          <w:sz w:val="24"/>
          <w:szCs w:val="24"/>
          <w:highlight w:val="none"/>
        </w:rPr>
      </w:pPr>
      <w:r>
        <w:rPr>
          <w:rFonts w:hint="eastAsia" w:hAnsi="宋体"/>
          <w:b/>
          <w:color w:val="auto"/>
          <w:sz w:val="24"/>
          <w:szCs w:val="24"/>
          <w:highlight w:val="none"/>
        </w:rPr>
        <w:t>九、乙方工作及责任</w:t>
      </w:r>
    </w:p>
    <w:p>
      <w:pPr>
        <w:pStyle w:val="17"/>
        <w:spacing w:line="360" w:lineRule="auto"/>
        <w:ind w:firstLine="420"/>
        <w:rPr>
          <w:rFonts w:hint="eastAsia" w:hAnsi="宋体"/>
          <w:b/>
          <w:color w:val="auto"/>
          <w:sz w:val="24"/>
          <w:szCs w:val="24"/>
          <w:highlight w:val="none"/>
        </w:rPr>
      </w:pPr>
      <w:r>
        <w:rPr>
          <w:rFonts w:hint="eastAsia" w:hAnsi="宋体"/>
          <w:color w:val="auto"/>
          <w:sz w:val="24"/>
          <w:szCs w:val="24"/>
          <w:highlight w:val="none"/>
        </w:rPr>
        <w:t>1、乙方必须按照甲方的要求为进行施工，并接受甲方的监督检查，工程质量达到国家验收规范的合格等级。</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2、如因质量问题造成的返工，一切费用乙方负责。</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3、乙方应按规定做好施工工地的安全</w:t>
      </w:r>
      <w:r>
        <w:rPr>
          <w:rFonts w:hint="eastAsia" w:hAnsi="宋体"/>
          <w:color w:val="auto"/>
          <w:sz w:val="24"/>
          <w:szCs w:val="24"/>
          <w:highlight w:val="none"/>
          <w:lang w:eastAsia="zh-CN"/>
        </w:rPr>
        <w:t>保护</w:t>
      </w:r>
      <w:r>
        <w:rPr>
          <w:rFonts w:hint="eastAsia" w:hAnsi="宋体"/>
          <w:color w:val="auto"/>
          <w:sz w:val="24"/>
          <w:szCs w:val="24"/>
          <w:highlight w:val="none"/>
        </w:rPr>
        <w:t>、防护工作，要做好各项安全管理工作，因安全防护措施不力而发生的事故及此产生的一切后果由乙方负责。</w:t>
      </w:r>
    </w:p>
    <w:p>
      <w:pPr>
        <w:pStyle w:val="17"/>
        <w:spacing w:line="360" w:lineRule="auto"/>
        <w:ind w:firstLine="482" w:firstLineChars="200"/>
        <w:rPr>
          <w:rFonts w:hint="eastAsia" w:hAnsi="宋体"/>
          <w:color w:val="auto"/>
          <w:sz w:val="24"/>
          <w:szCs w:val="24"/>
          <w:highlight w:val="none"/>
        </w:rPr>
      </w:pPr>
      <w:r>
        <w:rPr>
          <w:rFonts w:hint="eastAsia" w:hAnsi="宋体"/>
          <w:b/>
          <w:color w:val="auto"/>
          <w:sz w:val="24"/>
          <w:szCs w:val="24"/>
          <w:highlight w:val="none"/>
        </w:rPr>
        <w:t>十、</w:t>
      </w:r>
      <w:r>
        <w:rPr>
          <w:rFonts w:hint="eastAsia" w:hAnsi="宋体"/>
          <w:color w:val="auto"/>
          <w:sz w:val="24"/>
          <w:szCs w:val="24"/>
          <w:highlight w:val="none"/>
        </w:rPr>
        <w:t>甲方在应付款中扣出的质量保修金，在工程完工</w:t>
      </w:r>
      <w:r>
        <w:rPr>
          <w:rFonts w:hint="eastAsia" w:hAnsi="宋体"/>
          <w:color w:val="auto"/>
          <w:sz w:val="24"/>
          <w:szCs w:val="24"/>
          <w:highlight w:val="none"/>
          <w:lang w:eastAsia="zh-CN"/>
        </w:rPr>
        <w:t>验收合格</w:t>
      </w:r>
      <w:r>
        <w:rPr>
          <w:rFonts w:hint="eastAsia" w:hAnsi="宋体"/>
          <w:color w:val="auto"/>
          <w:sz w:val="24"/>
          <w:szCs w:val="24"/>
          <w:highlight w:val="none"/>
        </w:rPr>
        <w:t>一年后，如未发现工程质量问题，将保修金(不计利息)退回乙方。在保修期内乙方应按保修内容进行保修，若乙方接到甲方保修通知书在5天内未派人进行修理的，甲方则安排其它公司修理，在保修期内发生的修理费用由乙方负责或由甲方从保修金中扣出。</w:t>
      </w:r>
    </w:p>
    <w:p>
      <w:pPr>
        <w:pStyle w:val="17"/>
        <w:spacing w:line="360" w:lineRule="auto"/>
        <w:rPr>
          <w:rFonts w:hint="eastAsia" w:hAnsi="宋体"/>
          <w:b/>
          <w:color w:val="auto"/>
          <w:sz w:val="24"/>
          <w:szCs w:val="24"/>
          <w:highlight w:val="none"/>
        </w:rPr>
      </w:pPr>
      <w:r>
        <w:rPr>
          <w:rFonts w:hint="eastAsia" w:hAnsi="宋体"/>
          <w:color w:val="auto"/>
          <w:sz w:val="24"/>
          <w:szCs w:val="24"/>
          <w:highlight w:val="none"/>
        </w:rPr>
        <w:t xml:space="preserve"> </w:t>
      </w:r>
      <w:r>
        <w:rPr>
          <w:rFonts w:hint="eastAsia" w:hAnsi="宋体"/>
          <w:b/>
          <w:color w:val="auto"/>
          <w:sz w:val="24"/>
          <w:szCs w:val="24"/>
          <w:highlight w:val="none"/>
        </w:rPr>
        <w:t xml:space="preserve">   十一、双方需约定条款</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u w:val="single"/>
        </w:rPr>
        <w:t>如增加工程量需经双方签证确认。</w:t>
      </w:r>
    </w:p>
    <w:p>
      <w:pPr>
        <w:pStyle w:val="17"/>
        <w:spacing w:line="360" w:lineRule="auto"/>
        <w:ind w:firstLine="480" w:firstLineChars="200"/>
        <w:rPr>
          <w:rFonts w:hint="eastAsia" w:hAnsi="宋体"/>
          <w:color w:val="auto"/>
          <w:sz w:val="24"/>
          <w:szCs w:val="24"/>
          <w:highlight w:val="none"/>
          <w:u w:val="single"/>
        </w:rPr>
      </w:pPr>
      <w:r>
        <w:rPr>
          <w:rFonts w:hint="eastAsia" w:hAnsi="宋体"/>
          <w:color w:val="auto"/>
          <w:sz w:val="24"/>
          <w:szCs w:val="24"/>
          <w:highlight w:val="none"/>
        </w:rPr>
        <w:t>2、</w:t>
      </w:r>
      <w:r>
        <w:rPr>
          <w:rFonts w:hint="eastAsia" w:hAnsi="宋体"/>
          <w:color w:val="auto"/>
          <w:sz w:val="24"/>
          <w:szCs w:val="24"/>
          <w:highlight w:val="none"/>
          <w:u w:val="single"/>
        </w:rPr>
        <w:t xml:space="preserve">                               </w:t>
      </w:r>
    </w:p>
    <w:p>
      <w:pPr>
        <w:pStyle w:val="17"/>
        <w:tabs>
          <w:tab w:val="left" w:pos="525"/>
        </w:tabs>
        <w:spacing w:line="360" w:lineRule="auto"/>
        <w:rPr>
          <w:rFonts w:hint="eastAsia" w:hAnsi="宋体"/>
          <w:b/>
          <w:color w:val="auto"/>
          <w:sz w:val="24"/>
          <w:szCs w:val="24"/>
          <w:highlight w:val="none"/>
        </w:rPr>
      </w:pPr>
      <w:r>
        <w:rPr>
          <w:rFonts w:hint="eastAsia" w:hAnsi="宋体"/>
          <w:color w:val="auto"/>
          <w:sz w:val="24"/>
          <w:szCs w:val="24"/>
          <w:highlight w:val="none"/>
        </w:rPr>
        <w:t xml:space="preserve"> </w:t>
      </w:r>
      <w:r>
        <w:rPr>
          <w:rFonts w:hint="eastAsia" w:hAnsi="宋体"/>
          <w:b/>
          <w:color w:val="auto"/>
          <w:sz w:val="24"/>
          <w:szCs w:val="24"/>
          <w:highlight w:val="none"/>
        </w:rPr>
        <w:t xml:space="preserve">   十二、合同生效与终止</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本合同经双方签字盖章后生效，支付完工程款后失效。本合同一式四份，甲、乙方各执两份。</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发包人：（甲方）盖章          承包人：（乙方）盖章</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法定代表人：                 法定代表人：</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委托代理人：                 委托代理人：</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开户：                       开户：</w:t>
      </w:r>
    </w:p>
    <w:p>
      <w:pPr>
        <w:pStyle w:val="1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帐号：                       帐号：</w:t>
      </w:r>
    </w:p>
    <w:p>
      <w:pPr>
        <w:pStyle w:val="17"/>
        <w:spacing w:line="360" w:lineRule="auto"/>
        <w:ind w:firstLine="480" w:firstLineChars="200"/>
        <w:rPr>
          <w:rFonts w:hint="eastAsia" w:hAnsi="宋体"/>
          <w:color w:val="auto"/>
          <w:highlight w:val="none"/>
        </w:rPr>
      </w:pPr>
      <w:r>
        <w:rPr>
          <w:rFonts w:hint="eastAsia" w:hAnsi="宋体"/>
          <w:color w:val="auto"/>
          <w:sz w:val="24"/>
          <w:szCs w:val="24"/>
          <w:highlight w:val="none"/>
        </w:rPr>
        <w:t>日期：   年   月    日       日期：   年   月    日</w:t>
      </w:r>
    </w:p>
    <w:p>
      <w:pPr>
        <w:pStyle w:val="13"/>
        <w:rPr>
          <w:rFonts w:ascii="宋体" w:hAnsi="宋体"/>
          <w:color w:val="auto"/>
          <w:highlight w:val="none"/>
        </w:rPr>
      </w:pPr>
    </w:p>
    <w:p>
      <w:pPr>
        <w:pStyle w:val="13"/>
        <w:rPr>
          <w:rFonts w:ascii="宋体" w:hAnsi="宋体"/>
          <w:color w:val="auto"/>
          <w:highlight w:val="none"/>
        </w:rPr>
      </w:pPr>
    </w:p>
    <w:p>
      <w:pPr>
        <w:pStyle w:val="4"/>
        <w:rPr>
          <w:rFonts w:ascii="宋体" w:hAnsi="宋体" w:eastAsia="宋体"/>
          <w:b/>
          <w:bCs w:val="0"/>
          <w:color w:val="auto"/>
          <w:sz w:val="24"/>
          <w:highlight w:val="none"/>
        </w:rPr>
      </w:pPr>
      <w:bookmarkStart w:id="175" w:name="_Toc9617"/>
      <w:r>
        <w:rPr>
          <w:rFonts w:hint="eastAsia" w:ascii="宋体" w:hAnsi="宋体" w:eastAsia="宋体"/>
          <w:b/>
          <w:bCs w:val="0"/>
          <w:color w:val="auto"/>
          <w:sz w:val="24"/>
          <w:highlight w:val="none"/>
        </w:rPr>
        <w:t xml:space="preserve">二  </w:t>
      </w:r>
      <w:bookmarkStart w:id="176" w:name="_Toc138995750"/>
      <w:r>
        <w:rPr>
          <w:rFonts w:hint="eastAsia" w:ascii="宋体" w:hAnsi="宋体" w:eastAsia="宋体"/>
          <w:b/>
          <w:bCs w:val="0"/>
          <w:color w:val="auto"/>
          <w:sz w:val="24"/>
          <w:highlight w:val="none"/>
        </w:rPr>
        <w:t>通用合同条款</w:t>
      </w:r>
      <w:bookmarkEnd w:id="172"/>
      <w:bookmarkEnd w:id="173"/>
      <w:bookmarkEnd w:id="174"/>
      <w:bookmarkEnd w:id="175"/>
      <w:bookmarkEnd w:id="176"/>
    </w:p>
    <w:p>
      <w:pPr>
        <w:pStyle w:val="53"/>
        <w:jc w:val="center"/>
        <w:outlineLvl w:val="9"/>
        <w:rPr>
          <w:rFonts w:ascii="宋体" w:hAnsi="宋体" w:eastAsia="宋体" w:cs="Times New Roman"/>
          <w:bCs/>
          <w:color w:val="auto"/>
          <w:sz w:val="24"/>
          <w:szCs w:val="32"/>
          <w:highlight w:val="none"/>
        </w:rPr>
      </w:pPr>
      <w:bookmarkStart w:id="177" w:name="_Toc435288773"/>
      <w:bookmarkStart w:id="178" w:name="_Toc445913581"/>
      <w:bookmarkStart w:id="179" w:name="_Toc23129"/>
      <w:bookmarkStart w:id="180" w:name="_Toc21745"/>
      <w:r>
        <w:rPr>
          <w:rFonts w:hint="eastAsia" w:ascii="宋体" w:hAnsi="宋体" w:eastAsia="宋体" w:cs="Times New Roman"/>
          <w:bCs/>
          <w:color w:val="auto"/>
          <w:sz w:val="24"/>
          <w:szCs w:val="32"/>
          <w:highlight w:val="none"/>
        </w:rPr>
        <w:t>采用国家工商行政管理局和建设部颁发的《建设工程施工合同》(GF-1999-0201)的通用条款。</w:t>
      </w:r>
      <w:bookmarkEnd w:id="177"/>
      <w:bookmarkEnd w:id="178"/>
      <w:bookmarkEnd w:id="179"/>
      <w:bookmarkEnd w:id="180"/>
    </w:p>
    <w:p>
      <w:pPr>
        <w:pStyle w:val="17"/>
        <w:adjustRightInd w:val="0"/>
        <w:snapToGrid w:val="0"/>
        <w:spacing w:line="480" w:lineRule="exact"/>
        <w:ind w:left="97" w:leftChars="46" w:firstLine="323" w:firstLineChars="154"/>
        <w:rPr>
          <w:rFonts w:hAnsi="宋体"/>
          <w:color w:val="auto"/>
          <w:szCs w:val="21"/>
          <w:highlight w:val="none"/>
        </w:rPr>
      </w:pPr>
      <w:r>
        <w:rPr>
          <w:rFonts w:hAnsi="宋体"/>
          <w:color w:val="auto"/>
          <w:szCs w:val="21"/>
          <w:highlight w:val="none"/>
        </w:rPr>
        <w:br w:type="page"/>
      </w:r>
    </w:p>
    <w:p>
      <w:pPr>
        <w:pStyle w:val="4"/>
        <w:rPr>
          <w:rFonts w:ascii="宋体" w:hAnsi="宋体" w:eastAsia="宋体"/>
          <w:b/>
          <w:bCs w:val="0"/>
          <w:color w:val="auto"/>
          <w:sz w:val="24"/>
          <w:highlight w:val="none"/>
        </w:rPr>
      </w:pPr>
      <w:bookmarkStart w:id="181" w:name="_Toc26171"/>
      <w:bookmarkStart w:id="182" w:name="_Toc121749420"/>
      <w:bookmarkStart w:id="183" w:name="_Toc8681"/>
      <w:bookmarkStart w:id="184" w:name="_Toc44953372"/>
      <w:bookmarkStart w:id="185" w:name="_Toc138995751"/>
      <w:r>
        <w:rPr>
          <w:rFonts w:hint="eastAsia" w:ascii="宋体" w:hAnsi="宋体" w:eastAsia="宋体"/>
          <w:b/>
          <w:bCs w:val="0"/>
          <w:color w:val="auto"/>
          <w:sz w:val="24"/>
          <w:highlight w:val="none"/>
        </w:rPr>
        <w:t>三　专用合同条款</w:t>
      </w:r>
      <w:bookmarkEnd w:id="181"/>
      <w:bookmarkEnd w:id="182"/>
      <w:bookmarkEnd w:id="183"/>
      <w:bookmarkEnd w:id="184"/>
      <w:bookmarkEnd w:id="185"/>
    </w:p>
    <w:p>
      <w:pPr>
        <w:pStyle w:val="17"/>
        <w:spacing w:line="440" w:lineRule="exact"/>
        <w:ind w:firstLine="420" w:firstLineChars="200"/>
        <w:rPr>
          <w:color w:val="auto"/>
          <w:highlight w:val="none"/>
        </w:rPr>
      </w:pPr>
    </w:p>
    <w:p>
      <w:pPr>
        <w:pStyle w:val="17"/>
        <w:spacing w:line="440" w:lineRule="exact"/>
        <w:ind w:firstLine="420" w:firstLineChars="200"/>
        <w:rPr>
          <w:rFonts w:hint="eastAsia" w:hAnsi="宋体"/>
          <w:b/>
          <w:color w:val="auto"/>
          <w:sz w:val="24"/>
          <w:szCs w:val="24"/>
          <w:highlight w:val="none"/>
        </w:rPr>
      </w:pPr>
      <w:r>
        <w:rPr>
          <w:color w:val="auto"/>
          <w:highlight w:val="none"/>
        </w:rPr>
        <w:fldChar w:fldCharType="begin"/>
      </w:r>
      <w:r>
        <w:rPr>
          <w:rFonts w:hAnsi="宋体"/>
          <w:b/>
          <w:color w:val="auto"/>
          <w:sz w:val="24"/>
          <w:szCs w:val="24"/>
          <w:highlight w:val="none"/>
        </w:rPr>
        <w:instrText xml:space="preserve"> TC “</w:instrText>
      </w:r>
      <w:bookmarkStart w:id="186" w:name="_Toc118023777"/>
      <w:r>
        <w:rPr>
          <w:rFonts w:hint="eastAsia" w:hAnsi="宋体"/>
          <w:b/>
          <w:color w:val="auto"/>
          <w:sz w:val="24"/>
          <w:szCs w:val="24"/>
          <w:highlight w:val="none"/>
        </w:rPr>
        <w:instrText xml:space="preserve">一、词语定义及合同文件</w:instrText>
      </w:r>
      <w:bookmarkEnd w:id="186"/>
      <w:r>
        <w:rPr>
          <w:rFonts w:hAnsi="宋体"/>
          <w:b/>
          <w:color w:val="auto"/>
          <w:sz w:val="24"/>
          <w:szCs w:val="24"/>
          <w:highlight w:val="none"/>
        </w:rPr>
        <w:instrText xml:space="preserve">” \l 1 \f s </w:instrText>
      </w:r>
      <w:r>
        <w:rPr>
          <w:rFonts w:hAnsi="宋体"/>
          <w:b/>
          <w:color w:val="auto"/>
          <w:sz w:val="24"/>
          <w:szCs w:val="24"/>
          <w:highlight w:val="none"/>
        </w:rPr>
        <w:fldChar w:fldCharType="end"/>
      </w:r>
      <w:r>
        <w:rPr>
          <w:rFonts w:hint="eastAsia" w:hAnsi="宋体"/>
          <w:b/>
          <w:color w:val="auto"/>
          <w:sz w:val="24"/>
          <w:szCs w:val="24"/>
          <w:highlight w:val="none"/>
        </w:rPr>
        <w:t>一、词语定义及合同文件</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1、合同文件及解释顺序</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合同文件组成及解释顺序：</w:t>
      </w:r>
      <w:r>
        <w:rPr>
          <w:rFonts w:hint="eastAsia" w:hAnsi="宋体"/>
          <w:color w:val="auto"/>
          <w:sz w:val="24"/>
          <w:szCs w:val="24"/>
          <w:highlight w:val="none"/>
          <w:u w:val="single"/>
        </w:rPr>
        <w:t>合同文件组成按本协议书第六款规定，解释顺序按通用条款第2.1规定。</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2、语言文字和适用法律、标准及规范</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2.1本合同除使用汉语外，无其他语言文字。</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2.2适用法律和法规</w:t>
      </w:r>
    </w:p>
    <w:p>
      <w:pPr>
        <w:pStyle w:val="17"/>
        <w:spacing w:line="440" w:lineRule="exact"/>
        <w:ind w:left="420" w:leftChars="200" w:firstLine="24" w:firstLineChars="10"/>
        <w:rPr>
          <w:rFonts w:hint="eastAsia" w:hAnsi="宋体"/>
          <w:color w:val="auto"/>
          <w:sz w:val="24"/>
          <w:szCs w:val="24"/>
          <w:highlight w:val="none"/>
          <w:u w:val="single"/>
        </w:rPr>
      </w:pPr>
      <w:r>
        <w:rPr>
          <w:rFonts w:hint="eastAsia" w:hAnsi="宋体"/>
          <w:color w:val="auto"/>
          <w:sz w:val="24"/>
          <w:szCs w:val="24"/>
          <w:highlight w:val="none"/>
        </w:rPr>
        <w:t>需要明示的法律、行政法规：</w:t>
      </w:r>
      <w:r>
        <w:rPr>
          <w:rFonts w:hint="eastAsia" w:hAnsi="宋体"/>
          <w:color w:val="auto"/>
          <w:sz w:val="24"/>
          <w:szCs w:val="24"/>
          <w:highlight w:val="none"/>
          <w:u w:val="single"/>
        </w:rPr>
        <w:t>现行的国家法律和行政法规，项目所在地政府的有关法规和规章。</w:t>
      </w:r>
      <w:r>
        <w:rPr>
          <w:rFonts w:hint="eastAsia" w:hAnsi="宋体"/>
          <w:color w:val="auto"/>
          <w:sz w:val="24"/>
          <w:szCs w:val="24"/>
          <w:highlight w:val="none"/>
        </w:rPr>
        <w:t>发包人提供标准、规范的时间：</w:t>
      </w:r>
      <w:r>
        <w:rPr>
          <w:rFonts w:hint="eastAsia" w:hAnsi="宋体"/>
          <w:color w:val="auto"/>
          <w:sz w:val="24"/>
          <w:szCs w:val="24"/>
          <w:highlight w:val="none"/>
          <w:u w:val="single"/>
        </w:rPr>
        <w:t xml:space="preserve">  无。</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国内没有相应标准、规范时的约定：</w:t>
      </w:r>
      <w:r>
        <w:rPr>
          <w:rFonts w:hint="eastAsia" w:hAnsi="宋体"/>
          <w:color w:val="auto"/>
          <w:sz w:val="24"/>
          <w:szCs w:val="24"/>
          <w:highlight w:val="none"/>
          <w:u w:val="single"/>
        </w:rPr>
        <w:t xml:space="preserve">  无。 </w:t>
      </w:r>
    </w:p>
    <w:p>
      <w:pPr>
        <w:pStyle w:val="17"/>
        <w:spacing w:line="440" w:lineRule="exact"/>
        <w:ind w:firstLine="441" w:firstLineChars="210"/>
        <w:rPr>
          <w:rFonts w:hint="eastAsia" w:hAnsi="宋体"/>
          <w:color w:val="auto"/>
          <w:sz w:val="24"/>
          <w:szCs w:val="24"/>
          <w:highlight w:val="none"/>
        </w:rPr>
      </w:pPr>
      <w:r>
        <w:rPr>
          <w:color w:val="auto"/>
          <w:highlight w:val="none"/>
        </w:rPr>
        <w:fldChar w:fldCharType="begin"/>
      </w:r>
      <w:r>
        <w:rPr>
          <w:rFonts w:hAnsi="宋体"/>
          <w:color w:val="auto"/>
          <w:sz w:val="24"/>
          <w:szCs w:val="24"/>
          <w:highlight w:val="none"/>
        </w:rPr>
        <w:instrText xml:space="preserve"> TC “</w:instrText>
      </w:r>
      <w:bookmarkStart w:id="187" w:name="_Toc118023779"/>
      <w:r>
        <w:rPr>
          <w:rFonts w:hint="eastAsia" w:hAnsi="宋体"/>
          <w:color w:val="auto"/>
          <w:sz w:val="24"/>
          <w:szCs w:val="24"/>
          <w:highlight w:val="none"/>
        </w:rPr>
        <w:instrText xml:space="preserve">4、图纸</w:instrText>
      </w:r>
      <w:bookmarkEnd w:id="187"/>
      <w:r>
        <w:rPr>
          <w:rFonts w:hAnsi="宋体"/>
          <w:color w:val="auto"/>
          <w:sz w:val="24"/>
          <w:szCs w:val="24"/>
          <w:highlight w:val="none"/>
        </w:rPr>
        <w:instrText xml:space="preserve">” \l 2 \f s </w:instrText>
      </w:r>
      <w:r>
        <w:rPr>
          <w:rFonts w:hAnsi="宋体"/>
          <w:color w:val="auto"/>
          <w:sz w:val="24"/>
          <w:szCs w:val="24"/>
          <w:highlight w:val="none"/>
        </w:rPr>
        <w:fldChar w:fldCharType="end"/>
      </w:r>
      <w:r>
        <w:rPr>
          <w:rFonts w:hint="eastAsia" w:hAnsi="宋体"/>
          <w:color w:val="auto"/>
          <w:sz w:val="24"/>
          <w:szCs w:val="24"/>
          <w:highlight w:val="none"/>
        </w:rPr>
        <w:t>3. 图纸</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3.1 发包人向承包人提供图纸日期和套数：合同签</w:t>
      </w:r>
      <w:r>
        <w:rPr>
          <w:rFonts w:hint="eastAsia" w:hAnsi="宋体"/>
          <w:color w:val="auto"/>
          <w:sz w:val="24"/>
          <w:szCs w:val="24"/>
          <w:highlight w:val="none"/>
          <w:lang w:eastAsia="zh-CN"/>
        </w:rPr>
        <w:t>订</w:t>
      </w:r>
      <w:r>
        <w:rPr>
          <w:rFonts w:hint="eastAsia" w:hAnsi="宋体"/>
          <w:color w:val="auto"/>
          <w:sz w:val="24"/>
          <w:szCs w:val="24"/>
          <w:highlight w:val="none"/>
          <w:u w:val="single"/>
        </w:rPr>
        <w:t xml:space="preserve"> 5 </w:t>
      </w:r>
      <w:r>
        <w:rPr>
          <w:rFonts w:hint="eastAsia" w:hAnsi="宋体"/>
          <w:color w:val="auto"/>
          <w:sz w:val="24"/>
          <w:szCs w:val="24"/>
          <w:highlight w:val="none"/>
        </w:rPr>
        <w:t>天后提供一式</w:t>
      </w:r>
      <w:r>
        <w:rPr>
          <w:rFonts w:hint="eastAsia" w:hAnsi="宋体"/>
          <w:color w:val="auto"/>
          <w:sz w:val="24"/>
          <w:szCs w:val="24"/>
          <w:highlight w:val="none"/>
          <w:u w:val="single"/>
        </w:rPr>
        <w:t xml:space="preserve"> 1 </w:t>
      </w:r>
      <w:r>
        <w:rPr>
          <w:rFonts w:hint="eastAsia" w:hAnsi="宋体"/>
          <w:color w:val="auto"/>
          <w:sz w:val="24"/>
          <w:szCs w:val="24"/>
          <w:highlight w:val="none"/>
        </w:rPr>
        <w:t>份图纸。</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发包人对图纸的保密要求：</w:t>
      </w:r>
      <w:r>
        <w:rPr>
          <w:rFonts w:hint="eastAsia" w:hAnsi="宋体"/>
          <w:color w:val="auto"/>
          <w:sz w:val="24"/>
          <w:szCs w:val="24"/>
          <w:highlight w:val="none"/>
          <w:u w:val="single"/>
        </w:rPr>
        <w:t>未经发包人同意，不得将图纸转借给第三方。</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使用国外图纸的要求及费用承担：</w:t>
      </w:r>
      <w:r>
        <w:rPr>
          <w:rFonts w:hint="eastAsia" w:hAnsi="宋体"/>
          <w:color w:val="auto"/>
          <w:sz w:val="24"/>
          <w:szCs w:val="24"/>
          <w:highlight w:val="none"/>
          <w:u w:val="single"/>
        </w:rPr>
        <w:t xml:space="preserve">  无。</w:t>
      </w:r>
    </w:p>
    <w:p>
      <w:pPr>
        <w:pStyle w:val="17"/>
        <w:spacing w:line="440" w:lineRule="exact"/>
        <w:ind w:firstLine="441" w:firstLineChars="210"/>
        <w:rPr>
          <w:rFonts w:hint="eastAsia" w:hAnsi="宋体"/>
          <w:b/>
          <w:color w:val="auto"/>
          <w:sz w:val="24"/>
          <w:szCs w:val="24"/>
          <w:highlight w:val="none"/>
        </w:rPr>
      </w:pPr>
      <w:r>
        <w:rPr>
          <w:color w:val="auto"/>
          <w:highlight w:val="none"/>
        </w:rPr>
        <w:fldChar w:fldCharType="begin"/>
      </w:r>
      <w:r>
        <w:rPr>
          <w:rFonts w:hAnsi="宋体"/>
          <w:b/>
          <w:color w:val="auto"/>
          <w:sz w:val="24"/>
          <w:szCs w:val="24"/>
          <w:highlight w:val="none"/>
        </w:rPr>
        <w:instrText xml:space="preserve"> TC “</w:instrText>
      </w:r>
      <w:bookmarkStart w:id="188" w:name="_Toc118023780"/>
      <w:r>
        <w:rPr>
          <w:rFonts w:hint="eastAsia" w:hAnsi="宋体"/>
          <w:b/>
          <w:color w:val="auto"/>
          <w:sz w:val="24"/>
          <w:szCs w:val="24"/>
          <w:highlight w:val="none"/>
        </w:rPr>
        <w:instrText xml:space="preserve">二、双方一般权利和义务</w:instrText>
      </w:r>
      <w:bookmarkEnd w:id="188"/>
      <w:r>
        <w:rPr>
          <w:rFonts w:hAnsi="宋体"/>
          <w:b/>
          <w:color w:val="auto"/>
          <w:sz w:val="24"/>
          <w:szCs w:val="24"/>
          <w:highlight w:val="none"/>
        </w:rPr>
        <w:instrText xml:space="preserve">” \l 1 \f s </w:instrText>
      </w:r>
      <w:r>
        <w:rPr>
          <w:rFonts w:hAnsi="宋体"/>
          <w:b/>
          <w:color w:val="auto"/>
          <w:sz w:val="24"/>
          <w:szCs w:val="24"/>
          <w:highlight w:val="none"/>
        </w:rPr>
        <w:fldChar w:fldCharType="end"/>
      </w:r>
      <w:r>
        <w:rPr>
          <w:rFonts w:hint="eastAsia" w:hAnsi="宋体"/>
          <w:b/>
          <w:color w:val="auto"/>
          <w:sz w:val="24"/>
          <w:szCs w:val="24"/>
          <w:highlight w:val="none"/>
        </w:rPr>
        <w:t>二、双方一般权利和义务</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4、发包人工作</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4.1发包人应按约定的时间和要求完成以下工作：</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（1）施工场地具备施工条件的要求及完成的时间：</w:t>
      </w:r>
      <w:r>
        <w:rPr>
          <w:rFonts w:hint="eastAsia" w:hAnsi="宋体"/>
          <w:color w:val="auto"/>
          <w:sz w:val="24"/>
          <w:szCs w:val="24"/>
          <w:highlight w:val="none"/>
          <w:u w:val="single"/>
        </w:rPr>
        <w:t>协助施工单位做路通、水通、电通。</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（2）将施工所需的水、电、电讯线路至施工场地的时间、地点和供应要求：</w:t>
      </w:r>
      <w:r>
        <w:rPr>
          <w:rFonts w:hint="eastAsia" w:hAnsi="宋体"/>
          <w:color w:val="auto"/>
          <w:sz w:val="24"/>
          <w:szCs w:val="24"/>
          <w:highlight w:val="none"/>
          <w:u w:val="single"/>
        </w:rPr>
        <w:t>开工前接至施工现场。</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（3）施工场地与公共道路的通道开通时间和要求：</w:t>
      </w:r>
      <w:r>
        <w:rPr>
          <w:rFonts w:hint="eastAsia" w:hAnsi="宋体"/>
          <w:color w:val="auto"/>
          <w:sz w:val="24"/>
          <w:szCs w:val="24"/>
          <w:highlight w:val="none"/>
          <w:u w:val="single"/>
        </w:rPr>
        <w:t xml:space="preserve"> 已开通。</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（4）工程地质和地下管线资料的提供时间：</w:t>
      </w:r>
      <w:r>
        <w:rPr>
          <w:rFonts w:hint="eastAsia" w:hAnsi="宋体"/>
          <w:color w:val="auto"/>
          <w:sz w:val="24"/>
          <w:szCs w:val="24"/>
          <w:highlight w:val="none"/>
          <w:u w:val="single"/>
        </w:rPr>
        <w:t>招标时已提供，由承包人现场勘测，费用自理。</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（5）由发包人办理的施工所需证件、批件的名称和完成时间：</w:t>
      </w:r>
      <w:r>
        <w:rPr>
          <w:rFonts w:hint="eastAsia" w:hAnsi="宋体"/>
          <w:color w:val="auto"/>
          <w:sz w:val="24"/>
          <w:szCs w:val="24"/>
          <w:highlight w:val="none"/>
          <w:u w:val="single"/>
        </w:rPr>
        <w:t>开工前 五天。</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（6）水准点与座制点交验要求：</w:t>
      </w:r>
      <w:r>
        <w:rPr>
          <w:rFonts w:hint="eastAsia" w:hAnsi="宋体"/>
          <w:color w:val="auto"/>
          <w:sz w:val="24"/>
          <w:szCs w:val="24"/>
          <w:highlight w:val="none"/>
          <w:u w:val="single"/>
        </w:rPr>
        <w:t>于开工前3日内现场交验，双方做好签认工作。</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（7）图纸会审和设计交底时间：</w:t>
      </w:r>
      <w:r>
        <w:rPr>
          <w:rFonts w:hint="eastAsia" w:hAnsi="宋体"/>
          <w:color w:val="auto"/>
          <w:sz w:val="24"/>
          <w:szCs w:val="24"/>
          <w:highlight w:val="none"/>
          <w:u w:val="single"/>
        </w:rPr>
        <w:t>开工前三天 。</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（8）协调处理施工场地周围地下管线和邻近市政公用物、构筑物（含文物保护市政公用）、古树名木的保护工作：</w:t>
      </w:r>
      <w:r>
        <w:rPr>
          <w:rFonts w:hint="eastAsia" w:hAnsi="宋体"/>
          <w:color w:val="auto"/>
          <w:sz w:val="24"/>
          <w:szCs w:val="24"/>
          <w:highlight w:val="none"/>
          <w:u w:val="single"/>
        </w:rPr>
        <w:t>由发包人协调，相应费用由承包人承担。</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（9）双方约定发包人应做的其他工作：</w:t>
      </w:r>
      <w:r>
        <w:rPr>
          <w:rFonts w:hint="eastAsia" w:hAnsi="宋体"/>
          <w:color w:val="auto"/>
          <w:sz w:val="24"/>
          <w:szCs w:val="24"/>
          <w:highlight w:val="none"/>
          <w:u w:val="single"/>
        </w:rPr>
        <w:t>待定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4.2发包人委托承包人办理的工作：</w:t>
      </w:r>
      <w:r>
        <w:rPr>
          <w:rFonts w:hint="eastAsia" w:hAnsi="宋体"/>
          <w:color w:val="auto"/>
          <w:sz w:val="24"/>
          <w:szCs w:val="24"/>
          <w:highlight w:val="none"/>
          <w:u w:val="single"/>
        </w:rPr>
        <w:t xml:space="preserve">  待定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5、承包人工作</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5.1承包人应按约定时间的要求，完成以下工作：</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(1)需由设计资质等级和业务范围允许的承包人完成的设计文件提交时间：</w:t>
      </w:r>
      <w:r>
        <w:rPr>
          <w:rFonts w:hint="eastAsia" w:hAnsi="宋体"/>
          <w:color w:val="auto"/>
          <w:sz w:val="24"/>
          <w:szCs w:val="24"/>
          <w:highlight w:val="none"/>
          <w:u w:val="single"/>
        </w:rPr>
        <w:t xml:space="preserve">  </w:t>
      </w:r>
      <w:r>
        <w:rPr>
          <w:rFonts w:hint="eastAsia" w:hAnsi="宋体"/>
          <w:color w:val="auto"/>
          <w:sz w:val="24"/>
          <w:szCs w:val="24"/>
          <w:highlight w:val="none"/>
          <w:u w:val="single"/>
          <w:lang w:eastAsia="zh-CN"/>
        </w:rPr>
        <w:t>无</w:t>
      </w:r>
      <w:r>
        <w:rPr>
          <w:rFonts w:hint="eastAsia" w:hAnsi="宋体"/>
          <w:color w:val="auto"/>
          <w:sz w:val="24"/>
          <w:szCs w:val="24"/>
          <w:highlight w:val="none"/>
          <w:u w:val="single"/>
        </w:rPr>
        <w:t xml:space="preserve">。  </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(2)应提供计划、报表的名称及完成时问：</w:t>
      </w:r>
      <w:r>
        <w:rPr>
          <w:rFonts w:hint="eastAsia" w:hAnsi="宋体"/>
          <w:color w:val="auto"/>
          <w:sz w:val="24"/>
          <w:szCs w:val="24"/>
          <w:highlight w:val="none"/>
          <w:u w:val="single"/>
        </w:rPr>
        <w:t xml:space="preserve"> 每月25日向监理、发包人提供当月工程进度报表以及下月进度计划各一式两份。</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(3)承担施工安全保卫工作及非夜间施工照明的责任和要求：</w:t>
      </w:r>
      <w:r>
        <w:rPr>
          <w:rFonts w:hint="eastAsia" w:hAnsi="宋体"/>
          <w:color w:val="auto"/>
          <w:sz w:val="24"/>
          <w:szCs w:val="24"/>
          <w:highlight w:val="none"/>
          <w:u w:val="single"/>
        </w:rPr>
        <w:t xml:space="preserve">  承包人应采取一切合理的预防措施，防止人员伤亡、财产损失事故，费用由承包人承担。  </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(4)向发包人提供的办公和生活房屋及设施的要求：</w:t>
      </w:r>
      <w:r>
        <w:rPr>
          <w:rFonts w:hint="eastAsia" w:hAnsi="宋体"/>
          <w:color w:val="auto"/>
          <w:sz w:val="24"/>
          <w:szCs w:val="24"/>
          <w:highlight w:val="none"/>
          <w:u w:val="single"/>
        </w:rPr>
        <w:t>无。</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(5)需承包人办理的有关施工场地交通、环卫和施工噪音管理等手续：</w:t>
      </w:r>
      <w:r>
        <w:rPr>
          <w:rFonts w:hint="eastAsia" w:hAnsi="宋体"/>
          <w:color w:val="auto"/>
          <w:sz w:val="24"/>
          <w:szCs w:val="24"/>
          <w:highlight w:val="none"/>
          <w:u w:val="single"/>
        </w:rPr>
        <w:t>按需要办理交通特别通行证时、施工现场需要排放有害物质时及施工噪音超过工程所在地主管部门的规定时，由承包人办理有关手续和负责费用。</w:t>
      </w:r>
    </w:p>
    <w:p>
      <w:pPr>
        <w:pStyle w:val="17"/>
        <w:spacing w:line="440" w:lineRule="exact"/>
        <w:ind w:firstLine="504" w:firstLineChars="210"/>
        <w:rPr>
          <w:rFonts w:hAnsi="宋体"/>
          <w:color w:val="auto"/>
          <w:sz w:val="24"/>
          <w:szCs w:val="24"/>
          <w:highlight w:val="none"/>
          <w:u w:val="single"/>
        </w:rPr>
      </w:pPr>
      <w:r>
        <w:rPr>
          <w:rFonts w:hint="eastAsia" w:hAnsi="宋体"/>
          <w:color w:val="auto"/>
          <w:sz w:val="24"/>
          <w:szCs w:val="24"/>
          <w:highlight w:val="none"/>
        </w:rPr>
        <w:t>(6)已完工程成品保护的特殊要求及费用承担：</w:t>
      </w:r>
      <w:r>
        <w:rPr>
          <w:rFonts w:hint="eastAsia" w:hAnsi="宋体"/>
          <w:color w:val="auto"/>
          <w:sz w:val="24"/>
          <w:szCs w:val="24"/>
          <w:highlight w:val="none"/>
          <w:u w:val="single"/>
        </w:rPr>
        <w:t>在竣工验收移交全部工程前，由承包人负责采取保护措施，并承担相关费用</w:t>
      </w:r>
      <w:r>
        <w:rPr>
          <w:rFonts w:hint="eastAsia" w:hAnsi="宋体"/>
          <w:color w:val="auto"/>
          <w:sz w:val="24"/>
          <w:szCs w:val="24"/>
          <w:highlight w:val="none"/>
        </w:rPr>
        <w:t xml:space="preserve">。 </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(7)施工场地周围地下管线和邻近市政公用物、构筑物(含文物保护市政公用)、古树名木的保护要求及费用承担：</w:t>
      </w:r>
      <w:r>
        <w:rPr>
          <w:rFonts w:hint="eastAsia" w:hAnsi="宋体"/>
          <w:color w:val="auto"/>
          <w:sz w:val="24"/>
          <w:szCs w:val="24"/>
          <w:highlight w:val="none"/>
          <w:u w:val="single"/>
        </w:rPr>
        <w:t>承包人施工时应探明并负责保护且承担费用，施工时如损坏地下管线、邻近市政公用物、构筑物，所发生费用由承包人承担。</w:t>
      </w:r>
      <w:r>
        <w:rPr>
          <w:rFonts w:hint="eastAsia" w:hAnsi="宋体"/>
          <w:color w:val="auto"/>
          <w:sz w:val="24"/>
          <w:highlight w:val="none"/>
          <w:u w:val="single"/>
        </w:rPr>
        <w:t>但因发包人提供的地下管线资料不准确导致的损坏，费用由发包人承担</w:t>
      </w:r>
      <w:r>
        <w:rPr>
          <w:rFonts w:hint="eastAsia" w:hAnsi="宋体"/>
          <w:color w:val="auto"/>
          <w:sz w:val="24"/>
          <w:highlight w:val="none"/>
          <w:u w:val="single"/>
          <w:lang w:eastAsia="zh-CN"/>
        </w:rPr>
        <w:t>。</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(8)施工场地清洁卫生的要求：</w:t>
      </w:r>
      <w:r>
        <w:rPr>
          <w:rFonts w:hint="eastAsia" w:hAnsi="宋体"/>
          <w:color w:val="auto"/>
          <w:sz w:val="24"/>
          <w:szCs w:val="24"/>
          <w:highlight w:val="none"/>
          <w:u w:val="single"/>
        </w:rPr>
        <w:t>由于施工造成的环境污染，其责任和费用均由承包人承担。</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(9)双方约定承包人应做的其他工作：</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1)配合发包人做好安全文明宣传、领导检查宣传等工作，相关费用由承包人承担。</w:t>
      </w:r>
    </w:p>
    <w:p>
      <w:pPr>
        <w:pStyle w:val="17"/>
        <w:spacing w:line="440" w:lineRule="exact"/>
        <w:ind w:firstLine="504" w:firstLineChars="210"/>
        <w:rPr>
          <w:rFonts w:hAnsi="宋体"/>
          <w:color w:val="auto"/>
          <w:sz w:val="24"/>
          <w:szCs w:val="24"/>
          <w:highlight w:val="none"/>
        </w:rPr>
      </w:pPr>
      <w:r>
        <w:rPr>
          <w:rFonts w:hint="eastAsia" w:hAnsi="宋体"/>
          <w:color w:val="auto"/>
          <w:sz w:val="24"/>
          <w:szCs w:val="24"/>
          <w:highlight w:val="none"/>
        </w:rPr>
        <w:t>2)</w:t>
      </w:r>
      <w:r>
        <w:rPr>
          <w:rFonts w:hAnsi="宋体"/>
          <w:color w:val="auto"/>
          <w:sz w:val="24"/>
          <w:szCs w:val="24"/>
          <w:highlight w:val="none"/>
        </w:rPr>
        <w:t>承包人生活设施及施工场地，应自费配备消防设备，防止火灾发生。</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3)承包人的临时用地（含项目部驻地等）租用费（含拆迁补偿）、临时用地的环保、恢复、临时用地的青苗补偿及地面附着物拆除等费用均由承包人负责，以上费用在竞标报价中综合考虑。</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4)取土场及弃土场由承包人自行解决，但不得违反相关管理规定，并承担相关费用。</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5)经过城市道路的施工车辆，必须按交警、城管、运输等部门相关规定执行。由于施工车辆造成的道路、环境等污染，其责任和费用均由承包人承担。</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6)承包人负责合同实施期间其合同段内临时交通道路（含场内外连接公共交通道路）和交通设施的修建、维修、养护和交通管理工作，并承担一切费用。</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三、施工组织设计和工期</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6、进度计划</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6.1承包提供施工组织设计（施工方案）和进度计划的时间：</w:t>
      </w:r>
      <w:r>
        <w:rPr>
          <w:rFonts w:hint="eastAsia" w:ascii="宋体" w:hAnsi="宋体"/>
          <w:color w:val="auto"/>
          <w:sz w:val="24"/>
          <w:highlight w:val="none"/>
          <w:u w:val="single"/>
        </w:rPr>
        <w:t xml:space="preserve"> 开工前七天。</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6.2群体工程中有关进度计划的要求：</w:t>
      </w:r>
      <w:r>
        <w:rPr>
          <w:rFonts w:hint="eastAsia" w:ascii="宋体" w:hAnsi="宋体"/>
          <w:b/>
          <w:color w:val="auto"/>
          <w:sz w:val="24"/>
          <w:highlight w:val="none"/>
        </w:rPr>
        <w:t xml:space="preserve"> </w:t>
      </w:r>
      <w:r>
        <w:rPr>
          <w:rFonts w:hint="eastAsia" w:ascii="宋体" w:hAnsi="宋体"/>
          <w:color w:val="auto"/>
          <w:sz w:val="24"/>
          <w:highlight w:val="none"/>
          <w:u w:val="single"/>
        </w:rPr>
        <w:t>无 。</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7、工期延误</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7.1双方约定工期顺延的其他情况：</w:t>
      </w:r>
    </w:p>
    <w:p>
      <w:pPr>
        <w:spacing w:line="440" w:lineRule="exact"/>
        <w:ind w:firstLine="504" w:firstLineChars="210"/>
        <w:rPr>
          <w:rFonts w:hint="eastAsia" w:ascii="宋体" w:hAnsi="宋体"/>
          <w:color w:val="auto"/>
          <w:sz w:val="24"/>
          <w:highlight w:val="none"/>
          <w:u w:val="single"/>
        </w:rPr>
      </w:pPr>
      <w:r>
        <w:rPr>
          <w:rFonts w:hint="eastAsia" w:ascii="宋体" w:hAnsi="宋体"/>
          <w:color w:val="auto"/>
          <w:sz w:val="24"/>
          <w:highlight w:val="none"/>
          <w:u w:val="single"/>
        </w:rPr>
        <w:t>雨天、国家规定节假日、甲方原因导致停工或增加项目、工程量导致工期延长及不可抗力原因导致停工。</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7.2 非上述原因，承包人不能按合同约定的时间竣工，承包人应承担违约责任。应向发包人支付误期赔偿费（每天赔偿金额为</w:t>
      </w:r>
      <w:r>
        <w:rPr>
          <w:rFonts w:hint="eastAsia" w:ascii="宋体" w:hAnsi="宋体"/>
          <w:color w:val="auto"/>
          <w:sz w:val="24"/>
          <w:highlight w:val="none"/>
          <w:u w:val="single"/>
        </w:rPr>
        <w:t>合同价的万分之</w:t>
      </w:r>
      <w:r>
        <w:rPr>
          <w:rFonts w:hint="eastAsia" w:ascii="宋体" w:hAnsi="宋体"/>
          <w:color w:val="auto"/>
          <w:sz w:val="24"/>
          <w:highlight w:val="none"/>
          <w:u w:val="single"/>
          <w:lang w:eastAsia="zh-CN"/>
        </w:rPr>
        <w:t>一</w:t>
      </w:r>
      <w:r>
        <w:rPr>
          <w:rFonts w:hint="eastAsia" w:ascii="宋体" w:hAnsi="宋体"/>
          <w:color w:val="auto"/>
          <w:sz w:val="24"/>
          <w:highlight w:val="none"/>
        </w:rPr>
        <w:t>），误期时间从</w:t>
      </w:r>
      <w:r>
        <w:rPr>
          <w:rFonts w:hint="eastAsia" w:ascii="宋体" w:hAnsi="宋体"/>
          <w:color w:val="auto"/>
          <w:sz w:val="24"/>
          <w:highlight w:val="none"/>
          <w:lang w:eastAsia="zh-CN"/>
        </w:rPr>
        <w:t>计划</w:t>
      </w:r>
      <w:r>
        <w:rPr>
          <w:rFonts w:hint="eastAsia" w:ascii="宋体" w:hAnsi="宋体"/>
          <w:color w:val="auto"/>
          <w:sz w:val="24"/>
          <w:highlight w:val="none"/>
        </w:rPr>
        <w:t>竣工日期起直到全部工程或相应部分工程竣工验收各方签章日期之间的天数（扣除发包人批准顺延的工期），</w:t>
      </w:r>
      <w:r>
        <w:rPr>
          <w:rFonts w:hint="eastAsia" w:ascii="宋体" w:hAnsi="宋体"/>
          <w:b w:val="0"/>
          <w:bCs w:val="0"/>
          <w:color w:val="auto"/>
          <w:sz w:val="24"/>
          <w:highlight w:val="none"/>
          <w:u w:val="none"/>
        </w:rPr>
        <w:t>其误期赔偿费限额</w:t>
      </w:r>
      <w:r>
        <w:rPr>
          <w:rFonts w:hint="eastAsia" w:ascii="宋体" w:hAnsi="宋体"/>
          <w:color w:val="auto"/>
          <w:sz w:val="24"/>
          <w:highlight w:val="none"/>
        </w:rPr>
        <w:t>为合同价的</w:t>
      </w:r>
      <w:r>
        <w:rPr>
          <w:rFonts w:hint="eastAsia" w:ascii="宋体" w:hAnsi="宋体"/>
          <w:color w:val="auto"/>
          <w:sz w:val="24"/>
          <w:highlight w:val="none"/>
          <w:u w:val="single"/>
        </w:rPr>
        <w:t>5 %</w:t>
      </w:r>
      <w:r>
        <w:rPr>
          <w:rFonts w:hint="eastAsia" w:ascii="宋体" w:hAnsi="宋体"/>
          <w:color w:val="auto"/>
          <w:sz w:val="24"/>
          <w:highlight w:val="none"/>
        </w:rPr>
        <w:t>。发包人可从应向承包人支付的任何金额中扣除此项赔款费或其他方式收回此款，此赔偿款的支付并不能解除承包人应完成工程的责任或合同规定的其他责任。</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3 因工程量变化和设计变更的工期予以顺延，即工期相应变化，质量要求不变。</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承包人必须按照合同工期或发包人同意顺延的工期竣工。</w:t>
      </w:r>
    </w:p>
    <w:p>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四、质量与验收</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8、工程质量</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8.1发包人对工程质量的特殊要求：</w:t>
      </w:r>
      <w:r>
        <w:rPr>
          <w:rFonts w:hAnsi="宋体"/>
          <w:color w:val="auto"/>
          <w:sz w:val="24"/>
          <w:szCs w:val="24"/>
          <w:highlight w:val="none"/>
          <w:u w:val="single"/>
        </w:rPr>
        <w:t>工程质量符合</w:t>
      </w:r>
      <w:r>
        <w:rPr>
          <w:rFonts w:hint="eastAsia" w:hAnsi="宋体"/>
          <w:color w:val="auto"/>
          <w:sz w:val="24"/>
          <w:szCs w:val="24"/>
          <w:highlight w:val="none"/>
          <w:u w:val="single"/>
        </w:rPr>
        <w:t>国家现行</w:t>
      </w:r>
      <w:r>
        <w:rPr>
          <w:rFonts w:hAnsi="宋体"/>
          <w:color w:val="auto"/>
          <w:sz w:val="24"/>
          <w:szCs w:val="24"/>
          <w:highlight w:val="none"/>
          <w:u w:val="single"/>
        </w:rPr>
        <w:t>《工程施工质量验收规范》合格标准</w:t>
      </w:r>
      <w:r>
        <w:rPr>
          <w:rFonts w:hint="eastAsia" w:hAnsi="宋体"/>
          <w:color w:val="auto"/>
          <w:sz w:val="24"/>
          <w:szCs w:val="24"/>
          <w:highlight w:val="none"/>
          <w:u w:val="single"/>
        </w:rPr>
        <w:t>。</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9、隐蔽工程的中间验收</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9.1质量标准的评定以国家或行业的质量检验评定标准为依据。</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9.2双方约定中间验收部位：</w:t>
      </w:r>
      <w:r>
        <w:rPr>
          <w:rFonts w:hint="eastAsia" w:hAnsi="宋体"/>
          <w:color w:val="auto"/>
          <w:sz w:val="24"/>
          <w:szCs w:val="24"/>
          <w:highlight w:val="none"/>
          <w:u w:val="single"/>
        </w:rPr>
        <w:t xml:space="preserve"> 无 。</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9.3隐蔽工程和中间验收必须按照验收规范要求的程序组织验收，所有隐蔽工程、分部分项工程的质量验收，承包人应提前24小时书面通知业主代表，经业主项目负责人确认验收合格后，才能施工下道工序。如发现有不合格工程，承包人必须无条件、立即返工，并由此延误的工期不予顺延。如经项目负责人三次书面通知整改仍不改，且强行施工下道工序的，发包方有权解除本合同并要求承包方无条件立即退场，承包方应无条件立即清场退出，并赔偿一切损失及所有费用。 </w:t>
      </w:r>
    </w:p>
    <w:p>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五、安全施工</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u w:val="single"/>
        </w:rPr>
        <w:t xml:space="preserve"> 按GF-1999-0201通用条款执行。</w:t>
      </w:r>
    </w:p>
    <w:p>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六、合同价款与支付</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10、合同价款及调整</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10.1本合同价款采用</w:t>
      </w:r>
      <w:r>
        <w:rPr>
          <w:rFonts w:hint="eastAsia" w:hAnsi="宋体"/>
          <w:color w:val="auto"/>
          <w:sz w:val="24"/>
          <w:szCs w:val="24"/>
          <w:highlight w:val="none"/>
          <w:u w:val="single"/>
        </w:rPr>
        <w:t xml:space="preserve"> 固定综合单价合同</w:t>
      </w:r>
      <w:r>
        <w:rPr>
          <w:rFonts w:hint="eastAsia" w:hAnsi="宋体"/>
          <w:color w:val="auto"/>
          <w:sz w:val="24"/>
          <w:szCs w:val="24"/>
          <w:highlight w:val="none"/>
        </w:rPr>
        <w:t xml:space="preserve"> 方式确定。</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 xml:space="preserve">采用 </w:t>
      </w:r>
      <w:r>
        <w:rPr>
          <w:rFonts w:hint="eastAsia" w:hAnsi="宋体"/>
          <w:color w:val="auto"/>
          <w:sz w:val="24"/>
          <w:szCs w:val="24"/>
          <w:highlight w:val="none"/>
          <w:u w:val="single"/>
        </w:rPr>
        <w:t>固定综合单价合同</w:t>
      </w:r>
      <w:r>
        <w:rPr>
          <w:rFonts w:hint="eastAsia" w:hAnsi="宋体"/>
          <w:color w:val="auto"/>
          <w:sz w:val="24"/>
          <w:szCs w:val="24"/>
          <w:highlight w:val="none"/>
        </w:rPr>
        <w:t xml:space="preserve"> 方式，合同价款中包括的风险范围： </w:t>
      </w:r>
      <w:r>
        <w:rPr>
          <w:rFonts w:hint="eastAsia" w:hAnsi="宋体"/>
          <w:color w:val="auto"/>
          <w:sz w:val="24"/>
          <w:szCs w:val="24"/>
          <w:highlight w:val="none"/>
          <w:u w:val="single"/>
        </w:rPr>
        <w:t>除工程变更和政策性调整以外的其他风险。</w:t>
      </w:r>
    </w:p>
    <w:p>
      <w:pPr>
        <w:spacing w:line="440" w:lineRule="exact"/>
        <w:ind w:firstLine="616" w:firstLineChars="257"/>
        <w:rPr>
          <w:rFonts w:hint="eastAsia" w:ascii="宋体" w:hAnsi="宋体"/>
          <w:color w:val="auto"/>
          <w:sz w:val="24"/>
          <w:highlight w:val="none"/>
          <w:u w:val="single"/>
        </w:rPr>
      </w:pPr>
      <w:r>
        <w:rPr>
          <w:rFonts w:hint="eastAsia" w:ascii="宋体" w:hAnsi="宋体"/>
          <w:color w:val="auto"/>
          <w:sz w:val="24"/>
          <w:highlight w:val="none"/>
        </w:rPr>
        <w:t>风险范围以外合同价款调整方法：</w:t>
      </w:r>
      <w:r>
        <w:rPr>
          <w:rFonts w:hint="eastAsia" w:ascii="宋体" w:hAnsi="宋体"/>
          <w:color w:val="auto"/>
          <w:sz w:val="24"/>
          <w:highlight w:val="none"/>
          <w:u w:val="single"/>
        </w:rPr>
        <w:t>（一）因设计变更引起工程项目、工程量任何变化的，变更合同价款按下列方法进行：⑴</w:t>
      </w:r>
      <w:r>
        <w:rPr>
          <w:rFonts w:ascii="宋体" w:hAnsi="宋体"/>
          <w:color w:val="auto"/>
          <w:sz w:val="24"/>
          <w:highlight w:val="none"/>
          <w:u w:val="single"/>
        </w:rPr>
        <w:t>合同中已有适用于变更工程的价格，按合同已有的价格变更合同价款；</w:t>
      </w:r>
      <w:r>
        <w:rPr>
          <w:rFonts w:hint="eastAsia" w:ascii="宋体" w:hAnsi="宋体"/>
          <w:color w:val="auto"/>
          <w:sz w:val="24"/>
          <w:highlight w:val="none"/>
          <w:u w:val="single"/>
        </w:rPr>
        <w:t>⑵</w:t>
      </w:r>
      <w:r>
        <w:rPr>
          <w:rFonts w:ascii="宋体" w:hAnsi="宋体"/>
          <w:color w:val="auto"/>
          <w:sz w:val="24"/>
          <w:highlight w:val="none"/>
          <w:u w:val="single"/>
        </w:rPr>
        <w:t>合同中只有类似于</w:t>
      </w:r>
      <w:r>
        <w:rPr>
          <w:rFonts w:hint="eastAsia" w:ascii="宋体" w:hAnsi="宋体"/>
          <w:color w:val="auto"/>
          <w:sz w:val="24"/>
          <w:highlight w:val="none"/>
          <w:u w:val="single"/>
        </w:rPr>
        <w:t>变更</w:t>
      </w:r>
      <w:r>
        <w:rPr>
          <w:rFonts w:ascii="宋体" w:hAnsi="宋体"/>
          <w:color w:val="auto"/>
          <w:sz w:val="24"/>
          <w:highlight w:val="none"/>
          <w:u w:val="single"/>
        </w:rPr>
        <w:t>工程的价格，可以参照类似价格变更合同价款；</w:t>
      </w:r>
      <w:r>
        <w:rPr>
          <w:rFonts w:hint="eastAsia" w:ascii="宋体" w:hAnsi="宋体"/>
          <w:color w:val="auto"/>
          <w:sz w:val="24"/>
          <w:highlight w:val="none"/>
          <w:u w:val="single"/>
        </w:rPr>
        <w:t>⑶</w:t>
      </w:r>
      <w:r>
        <w:rPr>
          <w:rFonts w:ascii="宋体" w:hAnsi="宋体"/>
          <w:color w:val="auto"/>
          <w:sz w:val="24"/>
          <w:highlight w:val="none"/>
          <w:u w:val="single"/>
        </w:rPr>
        <w:t>合同中没有适用或类似于变更工程的价格，则有定额的套定额计算（</w:t>
      </w:r>
      <w:r>
        <w:rPr>
          <w:rFonts w:hint="eastAsia" w:ascii="宋体" w:hAnsi="宋体"/>
          <w:color w:val="auto"/>
          <w:sz w:val="24"/>
          <w:highlight w:val="none"/>
          <w:u w:val="single"/>
        </w:rPr>
        <w:t>土石方</w:t>
      </w:r>
      <w:r>
        <w:rPr>
          <w:rFonts w:ascii="宋体" w:hAnsi="宋体"/>
          <w:color w:val="auto"/>
          <w:sz w:val="24"/>
          <w:highlight w:val="none"/>
          <w:u w:val="single"/>
        </w:rPr>
        <w:t>除外），并乘以</w:t>
      </w:r>
      <w:r>
        <w:rPr>
          <w:rFonts w:hint="eastAsia" w:ascii="宋体" w:hAnsi="宋体"/>
          <w:color w:val="auto"/>
          <w:sz w:val="24"/>
          <w:highlight w:val="none"/>
          <w:u w:val="single"/>
        </w:rPr>
        <w:t>竞标</w:t>
      </w:r>
      <w:r>
        <w:rPr>
          <w:rFonts w:ascii="宋体" w:hAnsi="宋体"/>
          <w:color w:val="auto"/>
          <w:sz w:val="24"/>
          <w:highlight w:val="none"/>
          <w:u w:val="single"/>
        </w:rPr>
        <w:t>下浮系数（</w:t>
      </w:r>
      <w:r>
        <w:rPr>
          <w:rFonts w:hint="eastAsia" w:ascii="宋体" w:hAnsi="宋体"/>
          <w:color w:val="auto"/>
          <w:sz w:val="24"/>
          <w:highlight w:val="none"/>
          <w:u w:val="single"/>
        </w:rPr>
        <w:t>成交</w:t>
      </w:r>
      <w:r>
        <w:rPr>
          <w:rFonts w:ascii="宋体" w:hAnsi="宋体"/>
          <w:color w:val="auto"/>
          <w:sz w:val="24"/>
          <w:highlight w:val="none"/>
          <w:u w:val="single"/>
        </w:rPr>
        <w:t>价/</w:t>
      </w:r>
      <w:r>
        <w:rPr>
          <w:rFonts w:hint="eastAsia" w:ascii="宋体" w:hAnsi="宋体"/>
          <w:color w:val="auto"/>
          <w:sz w:val="24"/>
          <w:highlight w:val="none"/>
          <w:u w:val="single"/>
        </w:rPr>
        <w:t>经相关部门审定的</w:t>
      </w:r>
      <w:r>
        <w:rPr>
          <w:rFonts w:ascii="宋体" w:hAnsi="宋体"/>
          <w:color w:val="auto"/>
          <w:sz w:val="24"/>
          <w:highlight w:val="none"/>
          <w:u w:val="single"/>
        </w:rPr>
        <w:t>工程</w:t>
      </w:r>
      <w:r>
        <w:rPr>
          <w:rFonts w:hint="eastAsia" w:ascii="宋体" w:hAnsi="宋体"/>
          <w:color w:val="auto"/>
          <w:sz w:val="24"/>
          <w:highlight w:val="none"/>
          <w:u w:val="single"/>
        </w:rPr>
        <w:t>招标</w:t>
      </w:r>
      <w:r>
        <w:rPr>
          <w:rFonts w:ascii="宋体" w:hAnsi="宋体"/>
          <w:color w:val="auto"/>
          <w:sz w:val="24"/>
          <w:highlight w:val="none"/>
          <w:u w:val="single"/>
        </w:rPr>
        <w:t>控制价）计算，其中</w:t>
      </w:r>
      <w:r>
        <w:rPr>
          <w:rFonts w:hint="eastAsia" w:ascii="宋体" w:hAnsi="宋体"/>
          <w:b/>
          <w:bCs/>
          <w:color w:val="0000FF"/>
          <w:sz w:val="24"/>
          <w:highlight w:val="none"/>
          <w:u w:val="single"/>
        </w:rPr>
        <w:t>主要材料单价按照</w:t>
      </w:r>
      <w:r>
        <w:rPr>
          <w:rFonts w:hint="eastAsia" w:ascii="宋体" w:hAnsi="宋体"/>
          <w:b/>
          <w:bCs/>
          <w:color w:val="0000FF"/>
          <w:sz w:val="24"/>
          <w:highlight w:val="none"/>
          <w:u w:val="single"/>
          <w:lang w:eastAsia="zh-CN"/>
        </w:rPr>
        <w:t>2020年第八期《百色市建设工程造价信息》发布价格信息；对于造价信息没有发布价格信息的材料，其价格参照市场工地价</w:t>
      </w:r>
      <w:r>
        <w:rPr>
          <w:rFonts w:hint="eastAsia" w:ascii="宋体" w:hAnsi="宋体"/>
          <w:b/>
          <w:bCs/>
          <w:color w:val="0000FF"/>
          <w:sz w:val="24"/>
          <w:highlight w:val="none"/>
          <w:u w:val="single"/>
        </w:rPr>
        <w:t>(除税价)，无价格公布的参照同期百色信息价及市场询价，材料单价已含到施工工地的运费</w:t>
      </w:r>
      <w:r>
        <w:rPr>
          <w:rFonts w:hint="eastAsia" w:ascii="宋体" w:hAnsi="宋体"/>
          <w:b/>
          <w:bCs/>
          <w:color w:val="auto"/>
          <w:sz w:val="24"/>
          <w:highlight w:val="none"/>
          <w:u w:val="single"/>
          <w:lang w:eastAsia="zh-CN"/>
        </w:rPr>
        <w:t>。</w:t>
      </w:r>
      <w:r>
        <w:rPr>
          <w:rFonts w:hint="eastAsia" w:ascii="宋体" w:hAnsi="宋体"/>
          <w:color w:val="auto"/>
          <w:sz w:val="24"/>
          <w:highlight w:val="none"/>
          <w:u w:val="single"/>
        </w:rPr>
        <w:t>经建设单位、施工单位、监理单位三方签证，以相关部门审计结果为准</w:t>
      </w:r>
      <w:r>
        <w:rPr>
          <w:rFonts w:ascii="宋体" w:hAnsi="宋体"/>
          <w:color w:val="auto"/>
          <w:sz w:val="24"/>
          <w:highlight w:val="none"/>
          <w:u w:val="single"/>
        </w:rPr>
        <w:t>。</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u w:val="single"/>
        </w:rPr>
        <w:t>（二）国家和自治区政策性调整有关费用标准的，按文件规定执行。</w:t>
      </w:r>
      <w:r>
        <w:rPr>
          <w:rFonts w:hint="eastAsia" w:hAnsi="宋体"/>
          <w:color w:val="auto"/>
          <w:sz w:val="24"/>
          <w:szCs w:val="24"/>
          <w:highlight w:val="none"/>
        </w:rPr>
        <w:t xml:space="preserve">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10.2双方约定合同价款的其他调整因素：</w:t>
      </w:r>
      <w:r>
        <w:rPr>
          <w:rFonts w:hint="eastAsia" w:hAnsi="宋体"/>
          <w:color w:val="auto"/>
          <w:sz w:val="24"/>
          <w:szCs w:val="24"/>
          <w:highlight w:val="none"/>
          <w:u w:val="single"/>
        </w:rPr>
        <w:t xml:space="preserve"> 无 。</w:t>
      </w:r>
    </w:p>
    <w:p>
      <w:pPr>
        <w:pStyle w:val="17"/>
        <w:spacing w:line="440" w:lineRule="exact"/>
        <w:ind w:firstLine="504" w:firstLineChars="210"/>
        <w:rPr>
          <w:rFonts w:hint="eastAsia" w:hAnsi="宋体"/>
          <w:b/>
          <w:bCs/>
          <w:color w:val="auto"/>
          <w:sz w:val="24"/>
          <w:szCs w:val="24"/>
          <w:highlight w:val="none"/>
        </w:rPr>
      </w:pPr>
      <w:r>
        <w:rPr>
          <w:rFonts w:hint="eastAsia" w:hAnsi="宋体"/>
          <w:color w:val="auto"/>
          <w:sz w:val="24"/>
          <w:szCs w:val="24"/>
          <w:highlight w:val="none"/>
        </w:rPr>
        <w:t>11、</w:t>
      </w:r>
      <w:r>
        <w:rPr>
          <w:rFonts w:hint="eastAsia" w:hAnsi="宋体"/>
          <w:b/>
          <w:bCs/>
          <w:color w:val="auto"/>
          <w:sz w:val="24"/>
          <w:szCs w:val="24"/>
          <w:highlight w:val="none"/>
        </w:rPr>
        <w:t>工程预付款：</w:t>
      </w:r>
      <w:r>
        <w:rPr>
          <w:rFonts w:hint="eastAsia" w:hAnsi="宋体"/>
          <w:b/>
          <w:bCs/>
          <w:color w:val="auto"/>
          <w:sz w:val="24"/>
          <w:szCs w:val="24"/>
          <w:highlight w:val="none"/>
          <w:u w:val="single"/>
        </w:rPr>
        <w:t xml:space="preserve">  无。</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12、工程量确认</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12.1承包人向发包人提交已完工程量报告的时间：</w:t>
      </w:r>
      <w:r>
        <w:rPr>
          <w:rFonts w:hint="eastAsia" w:hAnsi="宋体"/>
          <w:color w:val="auto"/>
          <w:sz w:val="24"/>
          <w:szCs w:val="24"/>
          <w:highlight w:val="none"/>
          <w:u w:val="single"/>
        </w:rPr>
        <w:t>每月25日前报工程进度。</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12.1.1</w:t>
      </w:r>
      <w:r>
        <w:rPr>
          <w:rFonts w:ascii="宋体" w:hAnsi="宋体"/>
          <w:color w:val="auto"/>
          <w:sz w:val="24"/>
          <w:highlight w:val="none"/>
        </w:rPr>
        <w:t>工程量清单所列的工程量，不能作为承包人按合同履行其责任依据，实际施工中发生的工程量增加或减少并不影响承包人履行合同的责任，工程结算以完成的实际工程量为准。</w:t>
      </w:r>
    </w:p>
    <w:p>
      <w:pPr>
        <w:pStyle w:val="17"/>
        <w:spacing w:line="440" w:lineRule="exact"/>
        <w:ind w:firstLine="506" w:firstLineChars="210"/>
        <w:rPr>
          <w:rFonts w:hint="eastAsia" w:hAnsi="宋体"/>
          <w:b/>
          <w:color w:val="auto"/>
          <w:sz w:val="24"/>
          <w:szCs w:val="24"/>
          <w:highlight w:val="none"/>
        </w:rPr>
      </w:pPr>
      <w:r>
        <w:rPr>
          <w:rFonts w:hint="eastAsia" w:hAnsi="宋体"/>
          <w:b/>
          <w:color w:val="auto"/>
          <w:sz w:val="24"/>
          <w:szCs w:val="24"/>
          <w:highlight w:val="none"/>
        </w:rPr>
        <w:t>13、工程款（进度款）支付</w:t>
      </w:r>
    </w:p>
    <w:p>
      <w:pPr>
        <w:pStyle w:val="17"/>
        <w:spacing w:line="440" w:lineRule="exact"/>
        <w:ind w:firstLine="506" w:firstLineChars="210"/>
        <w:rPr>
          <w:rFonts w:hint="eastAsia" w:hAnsi="宋体"/>
          <w:color w:val="0000FF"/>
          <w:sz w:val="24"/>
          <w:szCs w:val="24"/>
          <w:highlight w:val="none"/>
          <w:u w:val="single"/>
        </w:rPr>
      </w:pPr>
      <w:r>
        <w:rPr>
          <w:rFonts w:hAnsi="宋体"/>
          <w:b/>
          <w:color w:val="auto"/>
          <w:sz w:val="24"/>
          <w:szCs w:val="24"/>
          <w:highlight w:val="none"/>
        </w:rPr>
        <w:t>13.1</w:t>
      </w:r>
      <w:r>
        <w:rPr>
          <w:rFonts w:hint="eastAsia" w:hAnsi="宋体"/>
          <w:b/>
          <w:color w:val="FF0000"/>
          <w:sz w:val="24"/>
          <w:szCs w:val="24"/>
          <w:highlight w:val="none"/>
          <w:u w:val="single"/>
        </w:rPr>
        <w:t>本工程款原则上按月支付，合同内进度款支付限额为已完成合格工程量的</w:t>
      </w:r>
      <w:r>
        <w:rPr>
          <w:rFonts w:hint="eastAsia" w:hAnsi="宋体"/>
          <w:b/>
          <w:color w:val="FF0000"/>
          <w:sz w:val="24"/>
          <w:szCs w:val="24"/>
          <w:highlight w:val="none"/>
          <w:u w:val="single"/>
          <w:lang w:val="en-US" w:eastAsia="zh-CN"/>
        </w:rPr>
        <w:t>80</w:t>
      </w:r>
      <w:r>
        <w:rPr>
          <w:rFonts w:hint="eastAsia" w:hAnsi="宋体"/>
          <w:b/>
          <w:color w:val="FF0000"/>
          <w:sz w:val="24"/>
          <w:szCs w:val="24"/>
          <w:highlight w:val="none"/>
          <w:u w:val="single"/>
        </w:rPr>
        <w:t>%（经发包人和监理工程师确认后，提供项目所在地预缴完税证明复印件及增值税发票之日起15天内支付），工程变更部分进度款支付限额为已完成工程量的</w:t>
      </w:r>
      <w:r>
        <w:rPr>
          <w:rFonts w:hint="eastAsia" w:hAnsi="宋体"/>
          <w:b/>
          <w:color w:val="FF0000"/>
          <w:sz w:val="24"/>
          <w:szCs w:val="24"/>
          <w:highlight w:val="none"/>
          <w:u w:val="single"/>
          <w:lang w:val="en-US" w:eastAsia="zh-CN"/>
        </w:rPr>
        <w:t>70</w:t>
      </w:r>
      <w:r>
        <w:rPr>
          <w:rFonts w:hint="eastAsia" w:hAnsi="宋体"/>
          <w:b/>
          <w:color w:val="FF0000"/>
          <w:sz w:val="24"/>
          <w:szCs w:val="24"/>
          <w:highlight w:val="none"/>
          <w:u w:val="single"/>
        </w:rPr>
        <w:t>%</w:t>
      </w:r>
      <w:r>
        <w:rPr>
          <w:rFonts w:hint="eastAsia" w:hAnsi="宋体"/>
          <w:b/>
          <w:color w:val="FF0000"/>
          <w:sz w:val="24"/>
          <w:szCs w:val="24"/>
          <w:highlight w:val="none"/>
          <w:u w:val="single"/>
          <w:lang w:val="en-US" w:eastAsia="zh-CN"/>
        </w:rPr>
        <w:t>；</w:t>
      </w:r>
      <w:r>
        <w:rPr>
          <w:rFonts w:hint="eastAsia" w:hAnsi="宋体"/>
          <w:b/>
          <w:color w:val="FF0000"/>
          <w:sz w:val="24"/>
          <w:szCs w:val="24"/>
          <w:highlight w:val="none"/>
          <w:u w:val="single"/>
        </w:rPr>
        <w:t>结算经审计部门审定后，工程款支付至结算总价的97%，发包人按工程价款结算总额的3%预留工程质量保修金，待工程保修期满后再清算（不计利息）</w:t>
      </w:r>
      <w:r>
        <w:rPr>
          <w:rFonts w:hAnsi="宋体"/>
          <w:b/>
          <w:bCs w:val="0"/>
          <w:color w:val="FF0000"/>
          <w:sz w:val="24"/>
          <w:szCs w:val="24"/>
          <w:highlight w:val="none"/>
          <w:u w:val="single"/>
        </w:rPr>
        <w:t>。</w:t>
      </w:r>
    </w:p>
    <w:p>
      <w:pPr>
        <w:pStyle w:val="17"/>
        <w:tabs>
          <w:tab w:val="left" w:pos="420"/>
        </w:tabs>
        <w:spacing w:line="440" w:lineRule="exact"/>
        <w:ind w:firstLine="480" w:firstLineChars="200"/>
        <w:rPr>
          <w:rFonts w:hint="eastAsia" w:hAnsi="宋体"/>
          <w:color w:val="auto"/>
          <w:sz w:val="24"/>
          <w:szCs w:val="24"/>
          <w:highlight w:val="none"/>
          <w:u w:val="single"/>
        </w:rPr>
      </w:pPr>
      <w:r>
        <w:rPr>
          <w:rFonts w:hint="eastAsia" w:hAnsi="宋体"/>
          <w:color w:val="auto"/>
          <w:sz w:val="24"/>
          <w:szCs w:val="24"/>
          <w:highlight w:val="none"/>
        </w:rPr>
        <w:t>13.2工程款支付方式：</w:t>
      </w:r>
      <w:r>
        <w:rPr>
          <w:rFonts w:hint="eastAsia" w:hAnsi="宋体"/>
          <w:color w:val="auto"/>
          <w:sz w:val="24"/>
          <w:szCs w:val="24"/>
          <w:highlight w:val="none"/>
          <w:u w:val="single"/>
        </w:rPr>
        <w:t xml:space="preserve"> 银行转账。</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14、材料设备供应：</w:t>
      </w:r>
      <w:r>
        <w:rPr>
          <w:rFonts w:hint="eastAsia" w:hAnsi="宋体"/>
          <w:color w:val="auto"/>
          <w:sz w:val="24"/>
          <w:szCs w:val="24"/>
          <w:highlight w:val="none"/>
          <w:u w:val="single"/>
        </w:rPr>
        <w:t>由承包方组织。</w:t>
      </w:r>
    </w:p>
    <w:p>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七、工程变更</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u w:val="single"/>
          <w:lang w:eastAsia="zh-CN"/>
        </w:rPr>
        <w:t>工程变更</w:t>
      </w:r>
      <w:r>
        <w:rPr>
          <w:rFonts w:hint="eastAsia" w:hAnsi="宋体"/>
          <w:color w:val="auto"/>
          <w:sz w:val="24"/>
          <w:szCs w:val="24"/>
          <w:highlight w:val="none"/>
          <w:u w:val="single"/>
        </w:rPr>
        <w:t>，需经双方确认签证后套用定额计算工程费用，然后据此相应增加工程造价。</w:t>
      </w:r>
    </w:p>
    <w:p>
      <w:pPr>
        <w:pStyle w:val="17"/>
        <w:spacing w:line="440" w:lineRule="exact"/>
        <w:ind w:firstLine="506" w:firstLineChars="210"/>
        <w:rPr>
          <w:rFonts w:hint="eastAsia" w:hAnsi="宋体"/>
          <w:b/>
          <w:color w:val="auto"/>
          <w:sz w:val="24"/>
          <w:szCs w:val="24"/>
          <w:highlight w:val="none"/>
        </w:rPr>
      </w:pPr>
      <w:r>
        <w:rPr>
          <w:rFonts w:hint="eastAsia" w:hAnsi="宋体"/>
          <w:b/>
          <w:color w:val="auto"/>
          <w:sz w:val="24"/>
          <w:szCs w:val="24"/>
          <w:highlight w:val="none"/>
        </w:rPr>
        <w:t>八、竣工验收与结算</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15、竣工验收：</w:t>
      </w:r>
      <w:r>
        <w:rPr>
          <w:rFonts w:hint="eastAsia" w:hAnsi="宋体"/>
          <w:color w:val="auto"/>
          <w:sz w:val="24"/>
          <w:szCs w:val="24"/>
          <w:highlight w:val="none"/>
          <w:u w:val="single"/>
        </w:rPr>
        <w:t>工程完工30天内由发包方组织工程验收</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 xml:space="preserve">15.1承包人提供竣工图的约定： </w:t>
      </w:r>
      <w:r>
        <w:rPr>
          <w:rFonts w:hint="eastAsia" w:hAnsi="宋体"/>
          <w:color w:val="auto"/>
          <w:sz w:val="24"/>
          <w:szCs w:val="24"/>
          <w:highlight w:val="none"/>
          <w:u w:val="single"/>
        </w:rPr>
        <w:t>发包方正式提出要求15天内，承包方必须提供5份竣工图。</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15.2中间交工工程的范围和竣工时间：</w:t>
      </w:r>
      <w:r>
        <w:rPr>
          <w:rFonts w:hint="eastAsia" w:hAnsi="宋体"/>
          <w:color w:val="auto"/>
          <w:sz w:val="24"/>
          <w:szCs w:val="24"/>
          <w:highlight w:val="none"/>
          <w:u w:val="single"/>
        </w:rPr>
        <w:t xml:space="preserve"> 无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15.3承包方在工程验收后10日内，将工程结算单交发包方，由发包方送审计部门确认。</w:t>
      </w:r>
    </w:p>
    <w:p>
      <w:pPr>
        <w:pStyle w:val="17"/>
        <w:spacing w:line="440" w:lineRule="exact"/>
        <w:ind w:firstLine="506" w:firstLineChars="210"/>
        <w:rPr>
          <w:rFonts w:hint="eastAsia" w:hAnsi="宋体"/>
          <w:b/>
          <w:color w:val="auto"/>
          <w:sz w:val="24"/>
          <w:szCs w:val="24"/>
          <w:highlight w:val="none"/>
        </w:rPr>
      </w:pPr>
      <w:r>
        <w:rPr>
          <w:rFonts w:hint="eastAsia" w:hAnsi="宋体"/>
          <w:b/>
          <w:color w:val="auto"/>
          <w:sz w:val="24"/>
          <w:szCs w:val="24"/>
          <w:highlight w:val="none"/>
        </w:rPr>
        <w:t>九、违约、索赔和争议</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16、违约</w:t>
      </w:r>
    </w:p>
    <w:p>
      <w:pPr>
        <w:pStyle w:val="17"/>
        <w:spacing w:line="440" w:lineRule="exact"/>
        <w:ind w:firstLine="504" w:firstLineChars="210"/>
        <w:rPr>
          <w:rFonts w:hint="eastAsia" w:hAnsi="宋体"/>
          <w:color w:val="auto"/>
          <w:sz w:val="24"/>
          <w:szCs w:val="24"/>
          <w:highlight w:val="none"/>
          <w:lang w:eastAsia="zh-CN"/>
        </w:rPr>
      </w:pPr>
      <w:r>
        <w:rPr>
          <w:rFonts w:hint="eastAsia" w:hAnsi="宋体"/>
          <w:color w:val="auto"/>
          <w:sz w:val="24"/>
          <w:szCs w:val="24"/>
          <w:highlight w:val="none"/>
        </w:rPr>
        <w:t>16.1</w:t>
      </w:r>
      <w:r>
        <w:rPr>
          <w:rFonts w:hint="eastAsia" w:hAnsi="宋体"/>
          <w:color w:val="auto"/>
          <w:sz w:val="24"/>
          <w:szCs w:val="24"/>
          <w:highlight w:val="none"/>
          <w:lang w:eastAsia="zh-CN"/>
        </w:rPr>
        <w:t>发包人违约的情形：</w:t>
      </w:r>
    </w:p>
    <w:p>
      <w:pPr>
        <w:pStyle w:val="17"/>
        <w:spacing w:line="440" w:lineRule="exact"/>
        <w:ind w:firstLine="504" w:firstLineChars="21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16.1.1本通用条款第26.4款提到的发包人不按合同约定支付工程款，导致施工无法进行；</w:t>
      </w:r>
    </w:p>
    <w:p>
      <w:pPr>
        <w:pStyle w:val="17"/>
        <w:spacing w:line="440" w:lineRule="exact"/>
        <w:ind w:firstLine="504" w:firstLineChars="21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16.1.2本通用条款第33.3款提到的发包人无正当理由不支付工程竣工结算价款；</w:t>
      </w:r>
    </w:p>
    <w:p>
      <w:pPr>
        <w:pStyle w:val="17"/>
        <w:spacing w:line="440" w:lineRule="exact"/>
        <w:ind w:firstLine="504" w:firstLineChars="210"/>
        <w:rPr>
          <w:rFonts w:hint="default" w:hAnsi="宋体"/>
          <w:color w:val="auto"/>
          <w:sz w:val="24"/>
          <w:szCs w:val="24"/>
          <w:highlight w:val="none"/>
          <w:lang w:val="en-US" w:eastAsia="zh-CN"/>
        </w:rPr>
      </w:pPr>
      <w:r>
        <w:rPr>
          <w:rFonts w:hint="eastAsia" w:hAnsi="宋体"/>
          <w:color w:val="auto"/>
          <w:sz w:val="24"/>
          <w:szCs w:val="24"/>
          <w:highlight w:val="none"/>
          <w:lang w:val="en-US" w:eastAsia="zh-CN"/>
        </w:rPr>
        <w:t>16.1.3发包人不履行合同义务或不按合同约定履行义务的其他情况。</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lang w:val="en-US" w:eastAsia="zh-CN"/>
        </w:rPr>
        <w:t>16.2</w:t>
      </w:r>
      <w:r>
        <w:rPr>
          <w:rFonts w:hint="eastAsia" w:hAnsi="宋体"/>
          <w:color w:val="auto"/>
          <w:sz w:val="24"/>
          <w:szCs w:val="24"/>
          <w:highlight w:val="none"/>
        </w:rPr>
        <w:t>本合同中关于发包人违约的具体责任如下：</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本合同通用条款第24条约定发包人违约应承担的违约责任：</w:t>
      </w:r>
      <w:r>
        <w:rPr>
          <w:rFonts w:hint="eastAsia" w:hAnsi="宋体"/>
          <w:color w:val="auto"/>
          <w:sz w:val="24"/>
          <w:szCs w:val="24"/>
          <w:highlight w:val="none"/>
          <w:u w:val="single"/>
          <w:lang w:val="en-US" w:eastAsia="zh-CN"/>
        </w:rPr>
        <w:t>执行通用条款</w:t>
      </w:r>
      <w:r>
        <w:rPr>
          <w:rFonts w:hint="eastAsia" w:hAnsi="宋体"/>
          <w:color w:val="auto"/>
          <w:sz w:val="24"/>
          <w:szCs w:val="24"/>
          <w:highlight w:val="none"/>
          <w:u w:val="single"/>
        </w:rPr>
        <w:t>。</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本合同通用条款第26.4条约定发包人违约应承担责任：</w:t>
      </w:r>
      <w:r>
        <w:rPr>
          <w:rFonts w:hint="eastAsia" w:hAnsi="宋体"/>
          <w:color w:val="auto"/>
          <w:sz w:val="24"/>
          <w:szCs w:val="24"/>
          <w:highlight w:val="none"/>
          <w:u w:val="single"/>
          <w:lang w:val="en-US" w:eastAsia="zh-CN"/>
        </w:rPr>
        <w:t>执行通用条款</w:t>
      </w:r>
      <w:r>
        <w:rPr>
          <w:rFonts w:hint="eastAsia" w:hAnsi="宋体"/>
          <w:color w:val="auto"/>
          <w:sz w:val="24"/>
          <w:szCs w:val="24"/>
          <w:highlight w:val="none"/>
          <w:u w:val="single"/>
        </w:rPr>
        <w:t>。</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本合同通用条款第33.3条约定发包人违约应承担的违约责任：</w:t>
      </w:r>
      <w:r>
        <w:rPr>
          <w:rFonts w:hint="eastAsia" w:hAnsi="宋体"/>
          <w:color w:val="auto"/>
          <w:sz w:val="24"/>
          <w:szCs w:val="24"/>
          <w:highlight w:val="none"/>
          <w:u w:val="single"/>
        </w:rPr>
        <w:t>如发生，双方协商解决。</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 xml:space="preserve">双方约定的发包人其他违约责任 </w:t>
      </w:r>
      <w:r>
        <w:rPr>
          <w:rFonts w:hint="eastAsia" w:hAnsi="宋体"/>
          <w:color w:val="auto"/>
          <w:sz w:val="24"/>
          <w:szCs w:val="24"/>
          <w:highlight w:val="none"/>
          <w:u w:val="single"/>
        </w:rPr>
        <w:t>无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16.</w:t>
      </w:r>
      <w:r>
        <w:rPr>
          <w:rFonts w:hint="eastAsia" w:hAnsi="宋体"/>
          <w:color w:val="auto"/>
          <w:sz w:val="24"/>
          <w:szCs w:val="24"/>
          <w:highlight w:val="none"/>
          <w:lang w:val="en-US" w:eastAsia="zh-CN"/>
        </w:rPr>
        <w:t>3</w:t>
      </w:r>
      <w:r>
        <w:rPr>
          <w:rFonts w:hint="eastAsia" w:hAnsi="宋体"/>
          <w:color w:val="auto"/>
          <w:sz w:val="24"/>
          <w:szCs w:val="24"/>
          <w:highlight w:val="none"/>
        </w:rPr>
        <w:t>本合同中关于承包违约的具体责任如下：</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本合同通用条款第14.2款约定承包人违约承担的违约责任：</w:t>
      </w:r>
      <w:r>
        <w:rPr>
          <w:rFonts w:hint="eastAsia" w:hAnsi="宋体"/>
          <w:color w:val="auto"/>
          <w:sz w:val="24"/>
          <w:szCs w:val="24"/>
          <w:highlight w:val="none"/>
          <w:u w:val="single"/>
        </w:rPr>
        <w:t>承包人每延误一天，向发包人支付合同价0.0</w:t>
      </w:r>
      <w:r>
        <w:rPr>
          <w:rFonts w:hint="eastAsia" w:hAnsi="宋体"/>
          <w:color w:val="auto"/>
          <w:sz w:val="24"/>
          <w:szCs w:val="24"/>
          <w:highlight w:val="none"/>
          <w:u w:val="single"/>
          <w:lang w:val="en-US" w:eastAsia="zh-CN"/>
        </w:rPr>
        <w:t>1</w:t>
      </w:r>
      <w:r>
        <w:rPr>
          <w:rFonts w:hint="eastAsia" w:hAnsi="宋体"/>
          <w:color w:val="auto"/>
          <w:sz w:val="24"/>
          <w:szCs w:val="24"/>
          <w:highlight w:val="none"/>
          <w:u w:val="single"/>
        </w:rPr>
        <w:t>%/天的违约赔偿费；赔偿限额为合同价的5%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17、争议</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u w:val="single"/>
        </w:rPr>
        <w:t>双方约定，在履行合同过程中产生争议时，由双方当事人协商解决。如果协商不成，任何一方均有权向施工所在地的人民法院起诉。</w:t>
      </w:r>
    </w:p>
    <w:p>
      <w:pPr>
        <w:pStyle w:val="17"/>
        <w:spacing w:line="440" w:lineRule="exact"/>
        <w:ind w:firstLine="506" w:firstLineChars="210"/>
        <w:rPr>
          <w:rFonts w:hint="eastAsia" w:hAnsi="宋体"/>
          <w:b/>
          <w:color w:val="auto"/>
          <w:sz w:val="24"/>
          <w:szCs w:val="24"/>
          <w:highlight w:val="none"/>
        </w:rPr>
      </w:pPr>
      <w:r>
        <w:rPr>
          <w:rFonts w:hint="eastAsia" w:hAnsi="宋体"/>
          <w:b/>
          <w:color w:val="auto"/>
          <w:sz w:val="24"/>
          <w:szCs w:val="24"/>
          <w:highlight w:val="none"/>
        </w:rPr>
        <w:t>十、其他</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18、工程分包</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18.1本工程发包人同意承包人分包的工程：</w:t>
      </w:r>
      <w:r>
        <w:rPr>
          <w:rFonts w:hint="eastAsia" w:hAnsi="宋体"/>
          <w:color w:val="auto"/>
          <w:sz w:val="24"/>
          <w:szCs w:val="24"/>
          <w:highlight w:val="none"/>
          <w:u w:val="single"/>
        </w:rPr>
        <w:t xml:space="preserve"> 无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19不可抗力</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19.1双方关于不可抗力的约定：按照合同通用条款39.1款规定，双方约定：</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1、（6）级以上的地震；</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2、（7）级以上的持续（1）天的大风；</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3、（暴雨）级以上的持续（3）天的大雨；</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4、（20）年以上未发生，持续（3）天的高温天气；</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5、（20）年以上未发生，持续（3）天的严寒天气；</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6、（20）年以上未发生过的洪水。</w:t>
      </w:r>
    </w:p>
    <w:p>
      <w:pPr>
        <w:pStyle w:val="17"/>
        <w:spacing w:line="440" w:lineRule="exact"/>
        <w:ind w:firstLine="504" w:firstLineChars="210"/>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7、法律法规规定的其他影响施工的不可抗力情形。</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以上几种形式，应以造成灾害和影响施工为准。</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20、保险</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20.1本工程双方约定投保内容如下：</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（1）发包人投保内容：</w:t>
      </w:r>
      <w:r>
        <w:rPr>
          <w:rFonts w:hint="eastAsia" w:hAnsi="宋体"/>
          <w:color w:val="auto"/>
          <w:sz w:val="24"/>
          <w:szCs w:val="24"/>
          <w:highlight w:val="none"/>
          <w:u w:val="single"/>
        </w:rPr>
        <w:t xml:space="preserve"> 无 。</w:t>
      </w:r>
    </w:p>
    <w:p>
      <w:pPr>
        <w:pStyle w:val="17"/>
        <w:spacing w:line="440" w:lineRule="exact"/>
        <w:ind w:firstLine="504" w:firstLineChars="210"/>
        <w:rPr>
          <w:rFonts w:hint="eastAsia" w:hAnsi="宋体"/>
          <w:i/>
          <w:color w:val="auto"/>
          <w:sz w:val="24"/>
          <w:szCs w:val="24"/>
          <w:highlight w:val="none"/>
        </w:rPr>
      </w:pPr>
      <w:r>
        <w:rPr>
          <w:rFonts w:hint="eastAsia" w:hAnsi="宋体"/>
          <w:color w:val="auto"/>
          <w:sz w:val="24"/>
          <w:szCs w:val="24"/>
          <w:highlight w:val="none"/>
        </w:rPr>
        <w:t>发包人委托承包人办理的保险事项：</w:t>
      </w:r>
      <w:r>
        <w:rPr>
          <w:rFonts w:hint="eastAsia" w:hAnsi="宋体"/>
          <w:i w:val="0"/>
          <w:iCs/>
          <w:color w:val="auto"/>
          <w:sz w:val="24"/>
          <w:szCs w:val="24"/>
          <w:highlight w:val="none"/>
          <w:u w:val="single"/>
        </w:rPr>
        <w:t xml:space="preserve"> 无 </w:t>
      </w:r>
      <w:r>
        <w:rPr>
          <w:rFonts w:hint="eastAsia" w:hAnsi="宋体"/>
          <w:i/>
          <w:color w:val="auto"/>
          <w:sz w:val="24"/>
          <w:szCs w:val="24"/>
          <w:highlight w:val="none"/>
        </w:rPr>
        <w:t>。</w:t>
      </w:r>
    </w:p>
    <w:p>
      <w:pPr>
        <w:pStyle w:val="17"/>
        <w:spacing w:line="440" w:lineRule="exact"/>
        <w:ind w:firstLine="504" w:firstLineChars="210"/>
        <w:rPr>
          <w:rFonts w:hint="eastAsia" w:hAnsi="宋体"/>
          <w:color w:val="auto"/>
          <w:sz w:val="24"/>
          <w:szCs w:val="24"/>
          <w:highlight w:val="none"/>
          <w:u w:val="single"/>
        </w:rPr>
      </w:pPr>
      <w:r>
        <w:rPr>
          <w:rFonts w:hint="eastAsia" w:hAnsi="宋体"/>
          <w:color w:val="auto"/>
          <w:sz w:val="24"/>
          <w:szCs w:val="24"/>
          <w:highlight w:val="none"/>
        </w:rPr>
        <w:t>（2）承包人投保内容：</w:t>
      </w:r>
      <w:r>
        <w:rPr>
          <w:rFonts w:hint="eastAsia" w:hAnsi="宋体"/>
          <w:color w:val="auto"/>
          <w:sz w:val="24"/>
          <w:szCs w:val="24"/>
          <w:highlight w:val="none"/>
          <w:u w:val="single"/>
          <w:lang w:eastAsia="zh-CN"/>
        </w:rPr>
        <w:t>工</w:t>
      </w:r>
      <w:r>
        <w:rPr>
          <w:rFonts w:hint="eastAsia" w:hAnsi="宋体"/>
          <w:color w:val="auto"/>
          <w:sz w:val="24"/>
          <w:szCs w:val="24"/>
          <w:highlight w:val="none"/>
          <w:u w:val="single"/>
        </w:rPr>
        <w:t>程险、雇主责任险、第三者责任险、施工人员意外伤亡和人身事故险，上述保险由发包人统一代承包人与保险公司办理保险合同，保险费由承包人负责，具体保险索赔事宜由承包人与保险公司直接联系。</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21、担保</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21.1本工程双方约定担保事项：</w:t>
      </w:r>
      <w:r>
        <w:rPr>
          <w:rFonts w:hint="eastAsia" w:hAnsi="宋体"/>
          <w:color w:val="auto"/>
          <w:sz w:val="24"/>
          <w:szCs w:val="24"/>
          <w:highlight w:val="none"/>
          <w:u w:val="single"/>
        </w:rPr>
        <w:t xml:space="preserve"> 无 。</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22、合同份数</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 xml:space="preserve">22.1双方约定合同副本份数： </w:t>
      </w:r>
      <w:r>
        <w:rPr>
          <w:rFonts w:hint="eastAsia" w:hAnsi="宋体"/>
          <w:color w:val="auto"/>
          <w:sz w:val="24"/>
          <w:szCs w:val="24"/>
          <w:highlight w:val="none"/>
          <w:u w:val="single"/>
        </w:rPr>
        <w:t>本合同一式四份。</w:t>
      </w:r>
    </w:p>
    <w:p>
      <w:pPr>
        <w:pStyle w:val="17"/>
        <w:spacing w:line="440" w:lineRule="exact"/>
        <w:ind w:firstLine="504" w:firstLineChars="210"/>
        <w:rPr>
          <w:rFonts w:hint="eastAsia" w:hAnsi="宋体"/>
          <w:color w:val="auto"/>
          <w:sz w:val="24"/>
          <w:szCs w:val="24"/>
          <w:highlight w:val="none"/>
        </w:rPr>
      </w:pPr>
      <w:r>
        <w:rPr>
          <w:rFonts w:hint="eastAsia" w:hAnsi="宋体"/>
          <w:color w:val="auto"/>
          <w:sz w:val="24"/>
          <w:szCs w:val="24"/>
          <w:highlight w:val="none"/>
        </w:rPr>
        <w:t>23、补充条款：</w:t>
      </w:r>
      <w:r>
        <w:rPr>
          <w:rFonts w:hint="eastAsia" w:hAnsi="宋体"/>
          <w:color w:val="auto"/>
          <w:sz w:val="24"/>
          <w:szCs w:val="24"/>
          <w:highlight w:val="none"/>
          <w:u w:val="single"/>
        </w:rPr>
        <w:t>合同未尽事宜，双方协商确定。</w:t>
      </w:r>
    </w:p>
    <w:p>
      <w:pPr>
        <w:pStyle w:val="17"/>
        <w:spacing w:line="440" w:lineRule="exact"/>
        <w:rPr>
          <w:rFonts w:hint="eastAsia" w:hAnsi="宋体"/>
          <w:color w:val="auto"/>
          <w:sz w:val="24"/>
          <w:szCs w:val="24"/>
          <w:highlight w:val="none"/>
        </w:rPr>
      </w:pPr>
    </w:p>
    <w:p>
      <w:pPr>
        <w:spacing w:line="360" w:lineRule="auto"/>
        <w:ind w:firstLine="200"/>
        <w:jc w:val="center"/>
        <w:rPr>
          <w:rFonts w:hint="eastAsia" w:ascii="宋体" w:hAnsi="宋体"/>
          <w:b/>
          <w:color w:val="auto"/>
          <w:sz w:val="44"/>
          <w:szCs w:val="44"/>
          <w:highlight w:val="none"/>
        </w:rPr>
      </w:pPr>
      <w:r>
        <w:rPr>
          <w:rFonts w:ascii="宋体" w:hAnsi="宋体"/>
          <w:b/>
          <w:color w:val="auto"/>
          <w:sz w:val="44"/>
          <w:szCs w:val="44"/>
          <w:highlight w:val="none"/>
        </w:rPr>
        <w:br w:type="page"/>
      </w:r>
      <w:r>
        <w:rPr>
          <w:rFonts w:hint="eastAsia" w:ascii="宋体" w:hAnsi="宋体"/>
          <w:b/>
          <w:color w:val="auto"/>
          <w:sz w:val="44"/>
          <w:szCs w:val="44"/>
          <w:highlight w:val="none"/>
        </w:rPr>
        <w:t>工程质量保修书</w:t>
      </w:r>
    </w:p>
    <w:p>
      <w:pPr>
        <w:spacing w:line="360" w:lineRule="auto"/>
        <w:ind w:firstLine="200"/>
        <w:rPr>
          <w:rFonts w:hint="eastAsia" w:ascii="宋体" w:hAnsi="宋体"/>
          <w:color w:val="auto"/>
          <w:sz w:val="32"/>
          <w:szCs w:val="32"/>
          <w:highlight w:val="none"/>
        </w:rPr>
      </w:pP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发包人（全称）</w:t>
      </w:r>
      <w:r>
        <w:rPr>
          <w:rFonts w:hint="eastAsia" w:ascii="宋体" w:hAnsi="宋体"/>
          <w:color w:val="auto"/>
          <w:sz w:val="24"/>
          <w:highlight w:val="none"/>
          <w:u w:val="single"/>
          <w:lang w:eastAsia="zh-CN"/>
        </w:rPr>
        <w:t>百色市田阳区住房和城乡建设局</w:t>
      </w:r>
      <w:r>
        <w:rPr>
          <w:rFonts w:hint="eastAsia" w:ascii="宋体" w:hAnsi="宋体"/>
          <w:color w:val="auto"/>
          <w:sz w:val="24"/>
          <w:highlight w:val="none"/>
          <w:u w:val="single"/>
        </w:rPr>
        <w:t xml:space="preserve">            </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承包人（全称）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发包人、承包人根据《中华人民共和国市政公用法》、《建筑工程质量管理条例》及有关法律、法规、规章的管理规定，经协商一致，对</w:t>
      </w:r>
      <w:r>
        <w:rPr>
          <w:rFonts w:hint="eastAsia" w:ascii="宋体" w:hAnsi="宋体"/>
          <w:color w:val="auto"/>
          <w:sz w:val="24"/>
          <w:highlight w:val="none"/>
          <w:u w:val="single"/>
        </w:rPr>
        <w:t xml:space="preserve">                    工程</w:t>
      </w:r>
      <w:r>
        <w:rPr>
          <w:rFonts w:hint="eastAsia" w:ascii="宋体" w:hAnsi="宋体"/>
          <w:color w:val="auto"/>
          <w:sz w:val="24"/>
          <w:highlight w:val="none"/>
        </w:rPr>
        <w:t>签订工程质量保修书。</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一、工程质量保修范围和内容</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承包人在质量保修期内，按照有关法律、法规、规章的管理规定和双方约定，承担本工程质量保修责任。</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质量保修范围双方约定如下：</w:t>
      </w:r>
      <w:r>
        <w:rPr>
          <w:rFonts w:hint="eastAsia" w:ascii="宋体" w:hAnsi="宋体"/>
          <w:color w:val="auto"/>
          <w:sz w:val="24"/>
          <w:highlight w:val="none"/>
          <w:u w:val="single"/>
        </w:rPr>
        <w:t>工程完工验收合格后，1年内没有质量问题，付清扣</w:t>
      </w:r>
      <w:r>
        <w:rPr>
          <w:rFonts w:hint="eastAsia" w:ascii="宋体" w:hAnsi="宋体"/>
          <w:color w:val="auto"/>
          <w:sz w:val="24"/>
          <w:highlight w:val="none"/>
          <w:u w:val="single"/>
          <w:lang w:eastAsia="zh-CN"/>
        </w:rPr>
        <w:t>留</w:t>
      </w:r>
      <w:r>
        <w:rPr>
          <w:rFonts w:hint="eastAsia" w:ascii="宋体" w:hAnsi="宋体"/>
          <w:color w:val="auto"/>
          <w:sz w:val="24"/>
          <w:highlight w:val="none"/>
          <w:u w:val="single"/>
        </w:rPr>
        <w:t>的工程保修金 。</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二、质量保修期</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双方根据《建设工程质量管理条例》及有关规定，约定本工程的质量保修期如下：</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 xml:space="preserve"> 按国家现行有关规定执行 </w:t>
      </w:r>
      <w:r>
        <w:rPr>
          <w:rFonts w:hint="eastAsia" w:ascii="宋体" w:hAnsi="宋体"/>
          <w:color w:val="auto"/>
          <w:sz w:val="24"/>
          <w:highlight w:val="none"/>
        </w:rPr>
        <w:t>。质量保修期为一年即自工程</w:t>
      </w:r>
      <w:r>
        <w:rPr>
          <w:rFonts w:hint="eastAsia" w:ascii="宋体" w:hAnsi="宋体"/>
          <w:color w:val="auto"/>
          <w:sz w:val="24"/>
          <w:highlight w:val="none"/>
          <w:u w:val="single"/>
        </w:rPr>
        <w:t>完工</w:t>
      </w:r>
      <w:r>
        <w:rPr>
          <w:rFonts w:hint="eastAsia" w:ascii="宋体" w:hAnsi="宋体"/>
          <w:color w:val="auto"/>
          <w:sz w:val="24"/>
          <w:highlight w:val="none"/>
        </w:rPr>
        <w:t>验收合格之日起计算。</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三、质量保修责任</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1、属于保修范围、内容的项目，承包人应当在接到保修通知之日起5天内派人保修。承包人不在约定期限内派人保修的，发包人可以委托他人修理。</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2、发生须紧急抢修事故的，承包人在接到故通知后，应当立即到达事故现场抢修。</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3、对于涉及结构安全的质量问题，应当按规定，立即向当地建设行政主管部门报告，采取安全防范措施；由原财政投资评审中心或者具有相应资质等级的财政投资评审中心提出保修方案，承包人实施保修。</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4、质量保修完成后，由发包人组织验收。</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5、质量保修期为壹年</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四、保修费用</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本工程约定的工程质量保修金为施工结算价的</w:t>
      </w:r>
      <w:r>
        <w:rPr>
          <w:rFonts w:hint="eastAsia" w:ascii="宋体" w:hAnsi="宋体"/>
          <w:color w:val="auto"/>
          <w:sz w:val="24"/>
          <w:highlight w:val="none"/>
          <w:lang w:val="en-US" w:eastAsia="zh-CN"/>
        </w:rPr>
        <w:t>3</w:t>
      </w:r>
      <w:r>
        <w:rPr>
          <w:rFonts w:hint="eastAsia" w:ascii="宋体" w:hAnsi="宋体"/>
          <w:color w:val="auto"/>
          <w:sz w:val="24"/>
          <w:highlight w:val="none"/>
        </w:rPr>
        <w:t>%。质量保修金银行利率为零。</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五、质量保修金的返还</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甲方在应付款中扣出的质量保修金，在工程完工交付使用一年后，如未发现工程质量问题，将保修金（不计利息）退回乙方。在保修期内乙方应按保修内容进行保修，若乙方接到甲方保修通知书在5天内未派人进行修理的，甲方则安排其它公司修理，在保修期内发生的修理费用由乙方负责或由甲方从保修金中扣出。</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六、其他</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双方约定的其他工程质量保修事项：</w:t>
      </w:r>
      <w:r>
        <w:rPr>
          <w:rFonts w:hint="eastAsia" w:ascii="宋体" w:hAnsi="宋体"/>
          <w:color w:val="auto"/>
          <w:sz w:val="24"/>
          <w:highlight w:val="none"/>
          <w:u w:val="single"/>
        </w:rPr>
        <w:t xml:space="preserve"> 无  。</w:t>
      </w:r>
    </w:p>
    <w:p>
      <w:pPr>
        <w:spacing w:line="440" w:lineRule="exact"/>
        <w:ind w:firstLine="504" w:firstLineChars="210"/>
        <w:rPr>
          <w:rFonts w:hint="eastAsia" w:ascii="宋体" w:hAnsi="宋体"/>
          <w:color w:val="auto"/>
          <w:sz w:val="24"/>
          <w:highlight w:val="none"/>
        </w:rPr>
      </w:pPr>
      <w:r>
        <w:rPr>
          <w:rFonts w:hint="eastAsia" w:ascii="宋体" w:hAnsi="宋体"/>
          <w:color w:val="auto"/>
          <w:sz w:val="24"/>
          <w:highlight w:val="none"/>
        </w:rPr>
        <w:t>本项目质量保修书，由施工合同发包人、承包人双方在</w:t>
      </w:r>
      <w:r>
        <w:rPr>
          <w:rFonts w:hint="eastAsia" w:ascii="宋体" w:hAnsi="宋体"/>
          <w:color w:val="auto"/>
          <w:sz w:val="24"/>
          <w:highlight w:val="none"/>
          <w:u w:val="single"/>
        </w:rPr>
        <w:t>完工</w:t>
      </w:r>
      <w:r>
        <w:rPr>
          <w:rFonts w:hint="eastAsia" w:ascii="宋体" w:hAnsi="宋体"/>
          <w:color w:val="auto"/>
          <w:sz w:val="24"/>
          <w:highlight w:val="none"/>
        </w:rPr>
        <w:t>验收前共同签署，作为施工合同附件，其有效期至保修期满。</w:t>
      </w: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r>
        <w:rPr>
          <w:rFonts w:hint="eastAsia" w:ascii="宋体" w:hAnsi="宋体"/>
          <w:color w:val="auto"/>
          <w:sz w:val="24"/>
          <w:highlight w:val="none"/>
        </w:rPr>
        <w:t>发包人（公章）：                   承包人（公章）：</w:t>
      </w: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r>
        <w:rPr>
          <w:rFonts w:hint="eastAsia" w:ascii="宋体" w:hAnsi="宋体"/>
          <w:color w:val="auto"/>
          <w:sz w:val="24"/>
          <w:highlight w:val="none"/>
        </w:rPr>
        <w:t>法定代表人（签字）：               法定代表人（签字）：</w:t>
      </w: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r>
        <w:rPr>
          <w:rFonts w:hint="eastAsia" w:ascii="宋体" w:hAnsi="宋体"/>
          <w:color w:val="auto"/>
          <w:sz w:val="24"/>
          <w:highlight w:val="none"/>
        </w:rPr>
        <w:t>委托代理人（签字）：               委托项目代理人：</w:t>
      </w:r>
    </w:p>
    <w:p>
      <w:pPr>
        <w:spacing w:line="440" w:lineRule="exact"/>
        <w:ind w:firstLine="200"/>
        <w:rPr>
          <w:rFonts w:hint="eastAsia" w:ascii="宋体" w:hAnsi="宋体"/>
          <w:color w:val="auto"/>
          <w:sz w:val="24"/>
          <w:highlight w:val="none"/>
        </w:rPr>
      </w:pPr>
    </w:p>
    <w:p>
      <w:pPr>
        <w:spacing w:line="440" w:lineRule="exact"/>
        <w:ind w:firstLine="200"/>
        <w:rPr>
          <w:rFonts w:hint="eastAsia" w:ascii="宋体" w:hAnsi="宋体"/>
          <w:color w:val="auto"/>
          <w:sz w:val="24"/>
          <w:highlight w:val="none"/>
        </w:rPr>
      </w:pPr>
    </w:p>
    <w:p>
      <w:pPr>
        <w:spacing w:line="440" w:lineRule="exact"/>
        <w:ind w:firstLine="624" w:firstLineChars="260"/>
        <w:rPr>
          <w:rFonts w:hint="eastAsia" w:ascii="宋体" w:hAnsi="宋体"/>
          <w:color w:val="auto"/>
          <w:sz w:val="24"/>
          <w:highlight w:val="none"/>
        </w:rPr>
      </w:pPr>
      <w:r>
        <w:rPr>
          <w:rFonts w:hint="eastAsia" w:ascii="宋体" w:hAnsi="宋体"/>
          <w:color w:val="auto"/>
          <w:sz w:val="24"/>
          <w:highlight w:val="none"/>
        </w:rPr>
        <w:t>年  月   日                        年  月  日</w:t>
      </w:r>
    </w:p>
    <w:p>
      <w:pPr>
        <w:spacing w:line="440" w:lineRule="exact"/>
        <w:rPr>
          <w:rFonts w:hint="eastAsia" w:ascii="宋体" w:hAnsi="宋体"/>
          <w:b/>
          <w:color w:val="auto"/>
          <w:sz w:val="44"/>
          <w:szCs w:val="44"/>
          <w:highlight w:val="none"/>
        </w:rPr>
      </w:pPr>
    </w:p>
    <w:p>
      <w:pPr>
        <w:spacing w:line="440" w:lineRule="exact"/>
        <w:rPr>
          <w:rFonts w:hint="eastAsia" w:ascii="宋体" w:hAnsi="宋体"/>
          <w:b/>
          <w:color w:val="auto"/>
          <w:sz w:val="44"/>
          <w:szCs w:val="44"/>
          <w:highlight w:val="none"/>
        </w:rPr>
      </w:pPr>
    </w:p>
    <w:p>
      <w:pPr>
        <w:spacing w:line="440" w:lineRule="exact"/>
        <w:jc w:val="center"/>
        <w:rPr>
          <w:rFonts w:ascii="宋体" w:hAnsi="宋体"/>
          <w:b/>
          <w:color w:val="auto"/>
          <w:sz w:val="44"/>
          <w:szCs w:val="44"/>
          <w:highlight w:val="none"/>
        </w:rPr>
      </w:pPr>
      <w:r>
        <w:rPr>
          <w:rFonts w:ascii="宋体" w:hAnsi="宋体"/>
          <w:b/>
          <w:color w:val="auto"/>
          <w:sz w:val="44"/>
          <w:szCs w:val="44"/>
          <w:highlight w:val="none"/>
        </w:rPr>
        <w:br w:type="page"/>
      </w:r>
    </w:p>
    <w:p>
      <w:pPr>
        <w:spacing w:line="440" w:lineRule="exact"/>
        <w:jc w:val="center"/>
        <w:rPr>
          <w:rFonts w:hint="eastAsia" w:ascii="宋体" w:hAnsi="宋体"/>
          <w:b/>
          <w:color w:val="auto"/>
          <w:sz w:val="44"/>
          <w:szCs w:val="44"/>
          <w:highlight w:val="none"/>
        </w:rPr>
      </w:pPr>
      <w:r>
        <w:rPr>
          <w:rFonts w:hint="eastAsia" w:ascii="宋体" w:hAnsi="宋体"/>
          <w:b/>
          <w:color w:val="auto"/>
          <w:sz w:val="44"/>
          <w:szCs w:val="44"/>
          <w:highlight w:val="none"/>
        </w:rPr>
        <w:t>安全生产协议书</w:t>
      </w:r>
    </w:p>
    <w:p>
      <w:pPr>
        <w:spacing w:line="440" w:lineRule="exact"/>
        <w:rPr>
          <w:rFonts w:hint="eastAsia" w:ascii="宋体" w:hAnsi="宋体"/>
          <w:color w:val="auto"/>
          <w:sz w:val="32"/>
          <w:highlight w:val="none"/>
        </w:rPr>
      </w:pPr>
    </w:p>
    <w:p>
      <w:pPr>
        <w:spacing w:line="440" w:lineRule="exact"/>
        <w:rPr>
          <w:rFonts w:hint="eastAsia" w:ascii="宋体" w:hAnsi="宋体"/>
          <w:color w:val="auto"/>
          <w:sz w:val="24"/>
          <w:highlight w:val="none"/>
        </w:rPr>
      </w:pPr>
      <w:r>
        <w:rPr>
          <w:rFonts w:hint="eastAsia" w:ascii="宋体" w:hAnsi="宋体"/>
          <w:color w:val="auto"/>
          <w:sz w:val="24"/>
          <w:highlight w:val="none"/>
        </w:rPr>
        <w:t>甲方(建设单位)：</w:t>
      </w:r>
      <w:r>
        <w:rPr>
          <w:rFonts w:hint="eastAsia" w:ascii="宋体" w:hAnsi="宋体"/>
          <w:color w:val="auto"/>
          <w:sz w:val="24"/>
          <w:highlight w:val="none"/>
          <w:lang w:eastAsia="zh-CN"/>
        </w:rPr>
        <w:t>百色市田阳区住房和城乡建设局</w:t>
      </w:r>
      <w:r>
        <w:rPr>
          <w:rFonts w:hint="eastAsia" w:ascii="宋体" w:hAnsi="宋体"/>
          <w:color w:val="auto"/>
          <w:sz w:val="24"/>
          <w:highlight w:val="none"/>
        </w:rPr>
        <w:t xml:space="preserve">        </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乙方(施工单位)： </w:t>
      </w:r>
    </w:p>
    <w:p>
      <w:pPr>
        <w:spacing w:line="440" w:lineRule="exact"/>
        <w:rPr>
          <w:rFonts w:hint="eastAsia" w:ascii="宋体" w:hAnsi="宋体"/>
          <w:color w:val="auto"/>
          <w:sz w:val="24"/>
          <w:highlight w:val="none"/>
          <w:u w:val="single"/>
        </w:rPr>
      </w:pPr>
      <w:r>
        <w:rPr>
          <w:rFonts w:hint="eastAsia" w:ascii="宋体" w:hAnsi="宋体"/>
          <w:color w:val="auto"/>
          <w:sz w:val="24"/>
          <w:highlight w:val="none"/>
        </w:rPr>
        <w:t xml:space="preserve">工程名称： </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根据《中华人民共和国安全生产法》、《中华人民共和国消防法》、《中华人民共和国治安法》、《建设工程安全管理条例》等有关法律规定，为进一步加强发包人对施工承包人的安全保卫工作的宏观控制和监督管理，防止和杜绝安全事故发生，维护正常的工程建设秩序，发包人与承包人针对以上发包(承包)的项目工程特签定本协议。</w:t>
      </w:r>
    </w:p>
    <w:p>
      <w:pPr>
        <w:spacing w:line="44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第一条甲方职责：</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1、严格遵守国家有关安全生产的法律法规，认真执行工程承包合同中的有关安全要求。</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2、协助乙方办理有关施工手续，并进行治安安全教育；按照“安全第一、预防为主”和坚持“管生产必须管安全”的原则进行安全生产管理，做到生产与安全工作同时计划、布置、检查、督促。</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3、重要的安全设施必须坚持与主体工程“三同时”的原则，即：同时设计、审批，同时施工，同时验收投入使用。</w:t>
      </w:r>
    </w:p>
    <w:p>
      <w:pPr>
        <w:spacing w:line="440" w:lineRule="exact"/>
        <w:ind w:firstLine="630"/>
        <w:rPr>
          <w:rFonts w:hint="eastAsia" w:ascii="宋体" w:hAnsi="宋体"/>
          <w:color w:val="auto"/>
          <w:sz w:val="24"/>
          <w:highlight w:val="none"/>
        </w:rPr>
      </w:pPr>
      <w:r>
        <w:rPr>
          <w:rFonts w:hint="eastAsia" w:ascii="宋体" w:hAnsi="宋体"/>
          <w:color w:val="auto"/>
          <w:sz w:val="24"/>
          <w:highlight w:val="none"/>
        </w:rPr>
        <w:t>4、定期召开安全生产调度会，及时传达中央及地方有关安全生产的精神。</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5、组织对乙方施工现场安全生产检查，监督乙方及时处理发现的各种安全隐患。</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6、当乙方出现安全、文明施工严重失控情况下，甲方有权做出停工整顿，限期整改的决定。</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7、甲方认为确实有必要暂停工时，应当以书面形式要求乙方暂停施工，并提出书面意见。当乙方实施处理意见并以书面形式提出复工要求后，甲方应当在24小时内组织验收、检查是否合格，并签字后给予答复。</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8、在保证安全的前提下，尽量为乙方提供各项施工便利。</w:t>
      </w:r>
    </w:p>
    <w:p>
      <w:pPr>
        <w:spacing w:line="44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第二条  乙方职责：</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1、严格遵守国家有关安全生产的法律法规，认真执行工程承包合同中的有关安全要求。</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整改、总结。</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1％~3％配备安全员，专职负责所有员工的生产安全和治安保卫工作及预防事故的发生；安全机构人员，有权按有关规定发布指令，并采取保护性措施防止事故发生。</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4、乙方在任何时候都应采取各种合理的预防措施，防止其员工发生任何违法、违禁、暴力或妨碍治安的行为。</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市政公用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40" w:lineRule="exact"/>
        <w:ind w:firstLine="240" w:firstLineChars="100"/>
        <w:rPr>
          <w:rFonts w:hint="eastAsia" w:ascii="宋体" w:hAnsi="宋体"/>
          <w:color w:val="auto"/>
          <w:sz w:val="24"/>
          <w:highlight w:val="none"/>
        </w:rPr>
      </w:pPr>
      <w:r>
        <w:rPr>
          <w:rFonts w:hint="eastAsia" w:ascii="宋体" w:hAnsi="宋体"/>
          <w:color w:val="auto"/>
          <w:sz w:val="24"/>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7、操作人员上岗必须按规定穿戴防护用品，否则不得上岗；施工负责人和安全检查员应随时检查劳动防护用品的穿戴情况。</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8、所有施工机具设备和高空作业的设备均应定期检查，并有安全员的签字记录，保证其经常处于完好状态；不合格的机具、设备和劳动保护用品严禁使用。</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9、施工中采用新技术、新工艺、新设备、新材料时，必须制定相应的安全技术措施，施工现场必须具有相关的安全标志牌。</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10、自觉接受甲方、监理单位等有关安全生产、治安保卫方面的检查、指导和管理；对于甲方查处的隐患，乙方必须限期整改。</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11、对甲方违反安全生产规定、制度的指令，乙方有权拒绝执行、有权要求甲方改进。</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12、当乙方出现安全、文明施工严重失控情况下，在甲方认为确定有必要暂停施工并提出要求乙方暂停施工的书面意见后，乙方应当按甲方要求停止施工；乙方实施处理意见后，以书面形式向甲方提出复工要求；在甲方组织验收并签字同意后，乙方重新施工。</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13、乙方施工人员应在所处施工区域、水上作业环境、操作设施设备、工器具等方面进行认真自查，发现隐患立即停止施工，并经落实整改后方准继续施工。一经开工，就表示乙方确认施工场所、水上作业环境、实施设备、工器具等达到符合安全要求和处于安全状况，乙方对施工过程中由于上述因素而导致的事故后果负责。</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14、乙方必须坚持文明施工，对所承担工程区域的文明施工负责，做到工完料尽场地清。</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15、乙方必须按照本工程项目特点，组织制定本工程实施中的生产安全事故应急救援预案；如果发生安全事故，应按照《国务院关于特大安全事故行政责任追究的规定》以及其他有关规定，及时上报有关部门。</w:t>
      </w:r>
    </w:p>
    <w:p>
      <w:pPr>
        <w:spacing w:line="440" w:lineRule="exact"/>
        <w:ind w:firstLine="120" w:firstLineChars="50"/>
        <w:rPr>
          <w:rFonts w:hint="eastAsia" w:ascii="宋体" w:hAnsi="宋体"/>
          <w:color w:val="auto"/>
          <w:sz w:val="24"/>
          <w:highlight w:val="none"/>
        </w:rPr>
      </w:pPr>
      <w:r>
        <w:rPr>
          <w:rFonts w:hint="eastAsia" w:ascii="宋体" w:hAnsi="宋体"/>
          <w:color w:val="auto"/>
          <w:sz w:val="24"/>
          <w:highlight w:val="none"/>
        </w:rPr>
        <w:t xml:space="preserve">   16、乙方人员在施工期间造成伤亡、电气、机械、水上施工等重大事故(包括造成甲方人员、他方人员伤亡)和发生不安全情况应及时向甲方通报。事故的损失和善后处理费用，由乙方全部负责；甲方有权根据事故性质及程度对以方进行处罚，罚款从安全担保金中扣除。</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17、乙方承诺以本合同价款的5％作为安全担保金，在工程进行期间，当出现安全、保卫违规情况或发生安全、保卫事故等情况，因乙方原因造成甲方经济、信誉损失的，甲方据实计算扣款额，在当期工程进度款或计算款中予以扣除，累计扣款总额如超过本合同价款5％，超出部分乙方仍须承担。</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第三条</w:t>
      </w:r>
      <w:r>
        <w:rPr>
          <w:rFonts w:hint="eastAsia" w:ascii="宋体" w:hAnsi="宋体"/>
          <w:color w:val="auto"/>
          <w:sz w:val="24"/>
          <w:highlight w:val="none"/>
        </w:rPr>
        <w:t xml:space="preserve">  因甲方或乙方违约造成安全事故，将依法追究有关责任人责任。</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第四条 </w:t>
      </w:r>
      <w:r>
        <w:rPr>
          <w:rFonts w:hint="eastAsia" w:ascii="宋体" w:hAnsi="宋体"/>
          <w:color w:val="auto"/>
          <w:sz w:val="24"/>
          <w:highlight w:val="none"/>
        </w:rPr>
        <w:t xml:space="preserve"> 本协议书在执行过程中如遇有与国家、地方政</w:t>
      </w:r>
    </w:p>
    <w:p>
      <w:pPr>
        <w:spacing w:line="440" w:lineRule="exact"/>
        <w:rPr>
          <w:rFonts w:hint="eastAsia" w:ascii="宋体" w:hAnsi="宋体"/>
          <w:color w:val="auto"/>
          <w:sz w:val="24"/>
          <w:highlight w:val="none"/>
        </w:rPr>
      </w:pPr>
      <w:r>
        <w:rPr>
          <w:rFonts w:hint="eastAsia" w:ascii="宋体" w:hAnsi="宋体"/>
          <w:color w:val="auto"/>
          <w:sz w:val="24"/>
          <w:highlight w:val="none"/>
        </w:rPr>
        <w:t>府的有关规定不一致时，按照国家、地方的有关规定执行。</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第五条</w:t>
      </w:r>
      <w:r>
        <w:rPr>
          <w:rFonts w:hint="eastAsia" w:ascii="宋体" w:hAnsi="宋体"/>
          <w:color w:val="auto"/>
          <w:sz w:val="24"/>
          <w:highlight w:val="none"/>
        </w:rPr>
        <w:t xml:space="preserve"> 本协议书作为甲方与乙方关于</w:t>
      </w:r>
      <w:r>
        <w:rPr>
          <w:rFonts w:hint="eastAsia" w:ascii="宋体" w:hAnsi="宋体"/>
          <w:color w:val="auto"/>
          <w:sz w:val="24"/>
          <w:highlight w:val="none"/>
          <w:u w:val="single"/>
        </w:rPr>
        <w:t xml:space="preserve">                 工程</w:t>
      </w:r>
      <w:r>
        <w:rPr>
          <w:rFonts w:hint="eastAsia" w:ascii="宋体" w:hAnsi="宋体"/>
          <w:color w:val="auto"/>
          <w:sz w:val="24"/>
          <w:highlight w:val="none"/>
        </w:rPr>
        <w:t>施工合同的附件，与承发包合同具有同样的法律效力。由双方法定代表人或其授权的代理人签署与加盖公章后生效，全部工程竣工验收后失效。</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第六条</w:t>
      </w:r>
      <w:r>
        <w:rPr>
          <w:rFonts w:hint="eastAsia" w:ascii="宋体" w:hAnsi="宋体"/>
          <w:color w:val="auto"/>
          <w:sz w:val="24"/>
          <w:highlight w:val="none"/>
        </w:rPr>
        <w:t xml:space="preserve">  本合同一式四份，由甲乙双方各执一份，递交甲乙双方的监督单位各一份。</w:t>
      </w:r>
    </w:p>
    <w:p>
      <w:pPr>
        <w:spacing w:line="440" w:lineRule="exact"/>
        <w:ind w:firstLine="480" w:firstLineChars="200"/>
        <w:rPr>
          <w:rFonts w:hint="eastAsia" w:ascii="宋体" w:hAnsi="宋体"/>
          <w:color w:val="auto"/>
          <w:sz w:val="24"/>
          <w:highlight w:val="none"/>
        </w:rPr>
      </w:pPr>
    </w:p>
    <w:p>
      <w:pPr>
        <w:spacing w:line="440" w:lineRule="exact"/>
        <w:ind w:firstLine="480" w:firstLineChars="200"/>
        <w:rPr>
          <w:rFonts w:hint="eastAsia" w:ascii="宋体" w:hAnsi="宋体"/>
          <w:color w:val="auto"/>
          <w:sz w:val="24"/>
          <w:highlight w:val="none"/>
        </w:rPr>
      </w:pP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甲方（盖章）：             乙方（盖章）：</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法定代表人：                 法定代表人：</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授权代理人：                 授权代理人：</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代理人职务：                 代理人职务：</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地址：                       地址：</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电话：                       电话：</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日期：   年   月  日         日期：年   月  日</w:t>
      </w:r>
    </w:p>
    <w:p>
      <w:pPr>
        <w:spacing w:line="440" w:lineRule="exact"/>
        <w:ind w:firstLine="480" w:firstLineChars="200"/>
        <w:rPr>
          <w:rFonts w:hint="eastAsia" w:ascii="宋体" w:hAnsi="宋体"/>
          <w:color w:val="auto"/>
          <w:sz w:val="24"/>
          <w:highlight w:val="none"/>
        </w:rPr>
      </w:pPr>
    </w:p>
    <w:p>
      <w:pPr>
        <w:spacing w:line="440" w:lineRule="exact"/>
        <w:ind w:firstLine="480" w:firstLineChars="200"/>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spacing w:line="440" w:lineRule="exact"/>
        <w:rPr>
          <w:rFonts w:hint="eastAsia" w:ascii="宋体" w:hAnsi="宋体"/>
          <w:color w:val="auto"/>
          <w:sz w:val="24"/>
          <w:highlight w:val="none"/>
        </w:rPr>
      </w:pPr>
    </w:p>
    <w:p>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廉政合同</w:t>
      </w:r>
    </w:p>
    <w:p>
      <w:pPr>
        <w:spacing w:line="360" w:lineRule="auto"/>
        <w:rPr>
          <w:rFonts w:hint="eastAsia" w:ascii="宋体" w:hAnsi="宋体"/>
          <w:color w:val="auto"/>
          <w:sz w:val="32"/>
          <w:highlight w:val="none"/>
        </w:rPr>
      </w:pPr>
    </w:p>
    <w:p>
      <w:pPr>
        <w:spacing w:line="420" w:lineRule="exact"/>
        <w:rPr>
          <w:rFonts w:hint="eastAsia" w:ascii="宋体" w:hAnsi="宋体"/>
          <w:color w:val="auto"/>
          <w:sz w:val="24"/>
          <w:highlight w:val="none"/>
        </w:rPr>
      </w:pPr>
      <w:r>
        <w:rPr>
          <w:rFonts w:hint="eastAsia" w:ascii="宋体" w:hAnsi="宋体"/>
          <w:color w:val="auto"/>
          <w:sz w:val="24"/>
          <w:highlight w:val="none"/>
        </w:rPr>
        <w:t>甲方(建设单位)：</w:t>
      </w:r>
      <w:r>
        <w:rPr>
          <w:rFonts w:hint="eastAsia" w:ascii="宋体" w:hAnsi="宋体"/>
          <w:color w:val="auto"/>
          <w:sz w:val="24"/>
          <w:highlight w:val="none"/>
          <w:lang w:eastAsia="zh-CN"/>
        </w:rPr>
        <w:t>百色市田阳区住房和城乡建设局</w:t>
      </w:r>
      <w:r>
        <w:rPr>
          <w:rFonts w:hint="eastAsia" w:ascii="宋体" w:hAnsi="宋体"/>
          <w:color w:val="auto"/>
          <w:sz w:val="24"/>
          <w:highlight w:val="none"/>
        </w:rPr>
        <w:t xml:space="preserve">          </w:t>
      </w:r>
    </w:p>
    <w:p>
      <w:pPr>
        <w:spacing w:line="420" w:lineRule="exact"/>
        <w:rPr>
          <w:rFonts w:hint="eastAsia" w:ascii="宋体" w:hAnsi="宋体"/>
          <w:color w:val="auto"/>
          <w:sz w:val="24"/>
          <w:highlight w:val="none"/>
        </w:rPr>
      </w:pPr>
      <w:r>
        <w:rPr>
          <w:rFonts w:hint="eastAsia" w:ascii="宋体" w:hAnsi="宋体"/>
          <w:color w:val="auto"/>
          <w:sz w:val="24"/>
          <w:highlight w:val="none"/>
        </w:rPr>
        <w:t>乙方(施工单位)：</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工程名称： </w:t>
      </w:r>
    </w:p>
    <w:p>
      <w:pPr>
        <w:spacing w:line="420" w:lineRule="exact"/>
        <w:ind w:firstLine="600" w:firstLineChars="250"/>
        <w:rPr>
          <w:rFonts w:hint="eastAsia" w:ascii="宋体" w:hAnsi="宋体"/>
          <w:color w:val="auto"/>
          <w:sz w:val="24"/>
          <w:highlight w:val="none"/>
        </w:rPr>
      </w:pPr>
      <w:r>
        <w:rPr>
          <w:rFonts w:hint="eastAsia" w:ascii="宋体" w:hAnsi="宋体"/>
          <w:color w:val="auto"/>
          <w:sz w:val="24"/>
          <w:highlight w:val="none"/>
        </w:rPr>
        <w:t>为加强工程建设中的廉政建设，规范工程建设项目合作双方的各项活动，防止发生各种谋划取不正当利益的违法违纪行为，保护国家、集体和当事人的合法权益，根据国家有关工程建设的法律法规和廉政建设责任制规定，特订立如下合同。</w:t>
      </w:r>
    </w:p>
    <w:p>
      <w:pPr>
        <w:spacing w:line="42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第一条  甲方双方的责任</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1、严格遵守国家关于市场准入、项目招竞标、工程建设、施工安装和市场活动等有关法律、法规相关政策，以及廉政建设的各项规定。</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2、严格执行</w:t>
      </w:r>
      <w:r>
        <w:rPr>
          <w:rFonts w:hint="eastAsia" w:ascii="宋体" w:hAnsi="宋体"/>
          <w:color w:val="auto"/>
          <w:sz w:val="24"/>
          <w:highlight w:val="none"/>
          <w:u w:val="single"/>
        </w:rPr>
        <w:t>以上发包（承包）的工程工合同</w:t>
      </w:r>
      <w:r>
        <w:rPr>
          <w:rFonts w:hint="eastAsia" w:ascii="宋体" w:hAnsi="宋体"/>
          <w:color w:val="auto"/>
          <w:sz w:val="24"/>
          <w:highlight w:val="none"/>
        </w:rPr>
        <w:t>的合同文件，自觉按合同办事。</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3、业务活动坚持公开、公正、诚信、透明的原则(法律法规另有规定除外)，不得为获取不正当的利益损害国家、集体和对方利益，不得违反工程建设管理、施工安装的规章制度。</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4、发现对方在业务活动中有违规、违纪、违反行为的，应及时提醒对方，情节严重的，应向其上级主管部门或纪检监察司法有关机关举报。</w:t>
      </w:r>
    </w:p>
    <w:p>
      <w:pPr>
        <w:spacing w:line="42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第二条  甲方的义务</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甲方的领导和从事工程管理的工作人员，在工程建设的事前、事中、事后应遵守以下规定：</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1、不准向乙方索要或接受回扣、礼金、有价证券、贵重物品和好处费、感谢费等。</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2、不准在乙方报销任何应由甲方或个人支付的费用。</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3、不准要求、暗示或接受乙方为其住房装修、婚丧嫁娶、配偶子女的工作安排以及出国(境)、旅游提供方便等。</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4、不准参加有可能影响公正执行公务的乙方安排的宴请、健身和娱乐等活动。</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5、不准向乙方介绍或为配偶、子女、亲属参与同甲方项目工程施工合同有关的设备材料供应、工程分包、劳务等经济活动。</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6、不准以任何理由向乙方推荐分包单位或推销材料，不得要求乙方购买合同规定外的材料和设备。</w:t>
      </w:r>
    </w:p>
    <w:p>
      <w:pPr>
        <w:spacing w:line="42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第三条  乙方义务</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乙方应与甲方保持正常的业务交往，按照有关法律法规和程序开展业务工作，严格执行工程建设的有关方针、政策和要求，尤其是有关市政公用施工安装的强制性标准和规范，并遵守以下规定；</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1、不准以任何理由向甲方及其工作人员行贿或馈赠礼金、有价证券、贵重礼品和回扣、好处费、感谢费等。</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2、不准以任何名义为甲方及其工作人员报销应由甲方单位或个人支付的任何费用。</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3、不准接受或暗示为甲方及其工作人员装修住房、婚丧嫁娶、配偶子女的工作安排以及出国(境)、旅游提供方便等。</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4、不准以任何理由为甲方及其工作人员安排有可能影响公正执行公务的宴请、健身和娱乐等活动。</w:t>
      </w:r>
    </w:p>
    <w:p>
      <w:pPr>
        <w:spacing w:line="42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第四条  违约责任</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1、甲方及其工作人员违反本合同第一、二条责任行为的，按照管理权限，依据有关规定给予党纪、政纪处分或组织处理；涉嫌犯罪的，移交司法机关追究刑事责任；给乙方单位造成经济损失的，应予以赔偿。</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2、已方及其工作人员违反本合同第一、三条责任行为的，按照管理权限，依据有关规定给予党纪、政纪处分或组织处理并扣罚廉政保证金；给甲方单位造成经济损失的，应予以赔偿；情节严重的，甲方建议工程建设主管部门给予已方一至三年内不得进入其主管的工程建设市场的处罚；涉嫌犯罪的，移交司法机关追究刑事责任。</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第五条</w:t>
      </w:r>
      <w:r>
        <w:rPr>
          <w:rFonts w:hint="eastAsia" w:ascii="宋体" w:hAnsi="宋体"/>
          <w:color w:val="auto"/>
          <w:sz w:val="24"/>
          <w:highlight w:val="none"/>
        </w:rPr>
        <w:t xml:space="preserve">  本合同由双方或双方上级单位的纪检监察机关负责监督执行。</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第六条 </w:t>
      </w:r>
      <w:r>
        <w:rPr>
          <w:rFonts w:hint="eastAsia" w:ascii="宋体" w:hAnsi="宋体"/>
          <w:color w:val="auto"/>
          <w:sz w:val="24"/>
          <w:highlight w:val="none"/>
        </w:rPr>
        <w:t xml:space="preserve"> 本合同有效期为甲已双方签署之日起至该工程项目竣工验收后止。</w:t>
      </w:r>
    </w:p>
    <w:p>
      <w:pPr>
        <w:spacing w:line="420" w:lineRule="exact"/>
        <w:ind w:firstLine="472" w:firstLineChars="196"/>
        <w:rPr>
          <w:rFonts w:hint="eastAsia" w:ascii="宋体" w:hAnsi="宋体"/>
          <w:color w:val="auto"/>
          <w:sz w:val="24"/>
          <w:highlight w:val="none"/>
        </w:rPr>
      </w:pPr>
      <w:r>
        <w:rPr>
          <w:rFonts w:hint="eastAsia" w:ascii="宋体" w:hAnsi="宋体"/>
          <w:b/>
          <w:color w:val="auto"/>
          <w:sz w:val="24"/>
          <w:highlight w:val="none"/>
        </w:rPr>
        <w:t xml:space="preserve">第七条  </w:t>
      </w:r>
      <w:r>
        <w:rPr>
          <w:rFonts w:hint="eastAsia" w:ascii="宋体" w:hAnsi="宋体"/>
          <w:color w:val="auto"/>
          <w:sz w:val="24"/>
          <w:highlight w:val="none"/>
        </w:rPr>
        <w:t>本合同作为</w:t>
      </w:r>
      <w:r>
        <w:rPr>
          <w:rFonts w:hint="eastAsia" w:ascii="宋体" w:hAnsi="宋体"/>
          <w:color w:val="auto"/>
          <w:sz w:val="24"/>
          <w:highlight w:val="none"/>
          <w:u w:val="single"/>
        </w:rPr>
        <w:t xml:space="preserve">                      工程</w:t>
      </w:r>
      <w:r>
        <w:rPr>
          <w:rFonts w:hint="eastAsia" w:ascii="宋体" w:hAnsi="宋体"/>
          <w:color w:val="auto"/>
          <w:sz w:val="24"/>
          <w:highlight w:val="none"/>
        </w:rPr>
        <w:t>施工合同的附件，与工程施工合具有同等的法律效力。</w:t>
      </w:r>
    </w:p>
    <w:p>
      <w:pPr>
        <w:spacing w:line="420" w:lineRule="exact"/>
        <w:ind w:firstLine="482" w:firstLineChars="200"/>
        <w:rPr>
          <w:rFonts w:hint="eastAsia" w:ascii="宋体" w:hAnsi="宋体"/>
          <w:color w:val="auto"/>
          <w:sz w:val="24"/>
          <w:highlight w:val="none"/>
        </w:rPr>
      </w:pPr>
      <w:r>
        <w:rPr>
          <w:rFonts w:hint="eastAsia" w:ascii="宋体" w:hAnsi="宋体"/>
          <w:b/>
          <w:color w:val="auto"/>
          <w:sz w:val="24"/>
          <w:highlight w:val="none"/>
        </w:rPr>
        <w:t xml:space="preserve">第八条  </w:t>
      </w:r>
      <w:r>
        <w:rPr>
          <w:rFonts w:hint="eastAsia" w:ascii="宋体" w:hAnsi="宋体"/>
          <w:color w:val="auto"/>
          <w:sz w:val="24"/>
          <w:highlight w:val="none"/>
        </w:rPr>
        <w:t>本合同一式四份，由甲乙双方各执一份，递交甲乙双方的监督单位各一份。</w:t>
      </w:r>
    </w:p>
    <w:p>
      <w:pPr>
        <w:spacing w:line="420" w:lineRule="exact"/>
        <w:rPr>
          <w:rFonts w:hint="eastAsia" w:ascii="宋体" w:hAnsi="宋体"/>
          <w:b/>
          <w:color w:val="auto"/>
          <w:sz w:val="24"/>
          <w:highlight w:val="none"/>
        </w:rPr>
      </w:pP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甲方（盖章）：                乙方（盖章）：</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法定代表人：                 法定代表人：</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授权代理人：                 授权代理人：</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代理人职务：                 代理人职务：</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地址：                       地址：</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电话：                       电话：</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日期：     年   月  日       日期：   年   月  日</w:t>
      </w:r>
    </w:p>
    <w:p>
      <w:pPr>
        <w:pStyle w:val="17"/>
        <w:spacing w:line="360" w:lineRule="auto"/>
        <w:rPr>
          <w:rFonts w:hAnsi="宋体"/>
          <w:color w:val="auto"/>
          <w:sz w:val="24"/>
          <w:highlight w:val="none"/>
        </w:rPr>
      </w:pPr>
    </w:p>
    <w:bookmarkEnd w:id="164"/>
    <w:bookmarkEnd w:id="165"/>
    <w:bookmarkEnd w:id="166"/>
    <w:bookmarkEnd w:id="167"/>
    <w:p>
      <w:pPr>
        <w:spacing w:line="400" w:lineRule="exact"/>
        <w:rPr>
          <w:rFonts w:ascii="宋体"/>
          <w:b/>
          <w:color w:val="auto"/>
          <w:szCs w:val="21"/>
          <w:highlight w:val="none"/>
        </w:rPr>
      </w:pPr>
    </w:p>
    <w:p>
      <w:pPr>
        <w:spacing w:line="400" w:lineRule="exact"/>
        <w:rPr>
          <w:rFonts w:ascii="宋体"/>
          <w:b/>
          <w:color w:val="auto"/>
          <w:szCs w:val="21"/>
          <w:highlight w:val="none"/>
        </w:rPr>
      </w:pPr>
      <w:r>
        <w:rPr>
          <w:rFonts w:hint="eastAsia" w:ascii="宋体"/>
          <w:b/>
          <w:color w:val="auto"/>
          <w:szCs w:val="21"/>
          <w:highlight w:val="none"/>
        </w:rPr>
        <w:br w:type="page"/>
      </w:r>
    </w:p>
    <w:p>
      <w:pPr>
        <w:spacing w:line="400" w:lineRule="exact"/>
        <w:rPr>
          <w:rFonts w:ascii="宋体"/>
          <w:b/>
          <w:color w:val="auto"/>
          <w:szCs w:val="21"/>
          <w:highlight w:val="none"/>
        </w:rPr>
      </w:pPr>
    </w:p>
    <w:p>
      <w:pPr>
        <w:pStyle w:val="3"/>
        <w:rPr>
          <w:color w:val="auto"/>
          <w:highlight w:val="none"/>
        </w:rPr>
      </w:pPr>
      <w:bookmarkStart w:id="189" w:name="_Toc20628"/>
      <w:bookmarkStart w:id="190" w:name="_Toc13073"/>
      <w:r>
        <w:rPr>
          <w:rFonts w:hint="eastAsia"/>
          <w:color w:val="auto"/>
          <w:highlight w:val="none"/>
        </w:rPr>
        <w:t>第</w:t>
      </w:r>
      <w:r>
        <w:rPr>
          <w:rFonts w:hint="eastAsia"/>
          <w:color w:val="auto"/>
          <w:highlight w:val="none"/>
          <w:lang w:eastAsia="zh-CN"/>
        </w:rPr>
        <w:t>三</w:t>
      </w:r>
      <w:r>
        <w:rPr>
          <w:rFonts w:hint="eastAsia"/>
          <w:color w:val="auto"/>
          <w:highlight w:val="none"/>
        </w:rPr>
        <w:t>章  图纸及工程量清单</w:t>
      </w:r>
      <w:bookmarkEnd w:id="189"/>
      <w:bookmarkEnd w:id="190"/>
    </w:p>
    <w:p>
      <w:pPr>
        <w:spacing w:after="156" w:afterLines="50" w:line="400" w:lineRule="exact"/>
        <w:rPr>
          <w:color w:val="auto"/>
          <w:sz w:val="32"/>
          <w:szCs w:val="32"/>
          <w:highlight w:val="none"/>
        </w:rPr>
      </w:pPr>
    </w:p>
    <w:p>
      <w:pPr>
        <w:spacing w:after="156" w:afterLines="50" w:line="400" w:lineRule="exact"/>
        <w:rPr>
          <w:color w:val="auto"/>
          <w:sz w:val="32"/>
          <w:szCs w:val="32"/>
          <w:highlight w:val="none"/>
        </w:rPr>
      </w:pPr>
    </w:p>
    <w:p>
      <w:pPr>
        <w:spacing w:after="156" w:afterLines="50" w:line="400" w:lineRule="exact"/>
        <w:jc w:val="center"/>
        <w:rPr>
          <w:color w:val="auto"/>
          <w:sz w:val="28"/>
          <w:szCs w:val="28"/>
          <w:highlight w:val="none"/>
        </w:rPr>
      </w:pPr>
      <w:r>
        <w:rPr>
          <w:rFonts w:hint="eastAsia"/>
          <w:color w:val="auto"/>
          <w:sz w:val="28"/>
          <w:szCs w:val="28"/>
          <w:highlight w:val="none"/>
        </w:rPr>
        <w:t>（另附）</w:t>
      </w:r>
    </w:p>
    <w:p>
      <w:pPr>
        <w:spacing w:after="156" w:afterLines="50" w:line="400" w:lineRule="exact"/>
        <w:rPr>
          <w:color w:val="auto"/>
          <w:sz w:val="32"/>
          <w:szCs w:val="32"/>
          <w:highlight w:val="none"/>
        </w:rPr>
      </w:pPr>
    </w:p>
    <w:p>
      <w:pPr>
        <w:pStyle w:val="3"/>
        <w:rPr>
          <w:color w:val="auto"/>
          <w:highlight w:val="none"/>
        </w:rPr>
      </w:pPr>
      <w:bookmarkStart w:id="191" w:name="_Toc383"/>
      <w:bookmarkStart w:id="192" w:name="_Toc25559"/>
      <w:r>
        <w:rPr>
          <w:rFonts w:hint="eastAsia"/>
          <w:color w:val="auto"/>
          <w:highlight w:val="none"/>
        </w:rPr>
        <w:t>第</w:t>
      </w:r>
      <w:r>
        <w:rPr>
          <w:rFonts w:hint="eastAsia"/>
          <w:color w:val="auto"/>
          <w:highlight w:val="none"/>
          <w:lang w:eastAsia="zh-CN"/>
        </w:rPr>
        <w:t>四</w:t>
      </w:r>
      <w:r>
        <w:rPr>
          <w:rFonts w:hint="eastAsia"/>
          <w:color w:val="auto"/>
          <w:highlight w:val="none"/>
        </w:rPr>
        <w:t>章  技术规范</w:t>
      </w:r>
      <w:bookmarkEnd w:id="191"/>
      <w:bookmarkEnd w:id="192"/>
    </w:p>
    <w:p>
      <w:pPr>
        <w:spacing w:after="156" w:afterLines="50" w:line="400" w:lineRule="exact"/>
        <w:rPr>
          <w:color w:val="auto"/>
          <w:sz w:val="32"/>
          <w:szCs w:val="32"/>
          <w:highlight w:val="none"/>
        </w:rPr>
      </w:pPr>
    </w:p>
    <w:p>
      <w:pPr>
        <w:spacing w:after="156" w:afterLines="50" w:line="400" w:lineRule="exact"/>
        <w:rPr>
          <w:color w:val="auto"/>
          <w:sz w:val="32"/>
          <w:szCs w:val="32"/>
          <w:highlight w:val="none"/>
        </w:rPr>
      </w:pPr>
    </w:p>
    <w:p>
      <w:pPr>
        <w:spacing w:after="156" w:afterLines="50" w:line="400" w:lineRule="exact"/>
        <w:ind w:firstLine="422" w:firstLineChars="200"/>
        <w:rPr>
          <w:b/>
          <w:color w:val="auto"/>
          <w:szCs w:val="21"/>
          <w:highlight w:val="none"/>
        </w:rPr>
      </w:pPr>
      <w:r>
        <w:rPr>
          <w:rFonts w:hint="eastAsia"/>
          <w:b/>
          <w:color w:val="auto"/>
          <w:szCs w:val="21"/>
          <w:highlight w:val="none"/>
        </w:rPr>
        <w:t>一、现场自然条件</w:t>
      </w:r>
    </w:p>
    <w:p>
      <w:pPr>
        <w:spacing w:after="156" w:afterLines="50" w:line="400" w:lineRule="exact"/>
        <w:ind w:firstLine="420" w:firstLineChars="200"/>
        <w:rPr>
          <w:color w:val="auto"/>
          <w:szCs w:val="21"/>
          <w:highlight w:val="none"/>
        </w:rPr>
      </w:pPr>
      <w:r>
        <w:rPr>
          <w:rFonts w:hint="eastAsia"/>
          <w:color w:val="auto"/>
          <w:szCs w:val="21"/>
          <w:highlight w:val="none"/>
        </w:rPr>
        <w:t>满足施工要求</w:t>
      </w:r>
    </w:p>
    <w:p>
      <w:pPr>
        <w:spacing w:after="156" w:afterLines="50" w:line="400" w:lineRule="exact"/>
        <w:ind w:firstLine="422" w:firstLineChars="200"/>
        <w:rPr>
          <w:b/>
          <w:color w:val="auto"/>
          <w:szCs w:val="21"/>
          <w:highlight w:val="none"/>
        </w:rPr>
      </w:pPr>
      <w:r>
        <w:rPr>
          <w:rFonts w:hint="eastAsia"/>
          <w:b/>
          <w:color w:val="auto"/>
          <w:szCs w:val="21"/>
          <w:highlight w:val="none"/>
        </w:rPr>
        <w:t>二、现场施工条件</w:t>
      </w:r>
    </w:p>
    <w:p>
      <w:pPr>
        <w:spacing w:after="156" w:afterLines="50" w:line="400" w:lineRule="exact"/>
        <w:ind w:firstLine="420" w:firstLineChars="200"/>
        <w:rPr>
          <w:color w:val="auto"/>
          <w:szCs w:val="21"/>
          <w:highlight w:val="none"/>
        </w:rPr>
      </w:pPr>
      <w:r>
        <w:rPr>
          <w:rFonts w:hint="eastAsia"/>
          <w:color w:val="auto"/>
          <w:szCs w:val="21"/>
          <w:highlight w:val="none"/>
        </w:rPr>
        <w:t>三通一平已完成</w:t>
      </w:r>
    </w:p>
    <w:p>
      <w:pPr>
        <w:spacing w:after="156" w:afterLines="50" w:line="400" w:lineRule="exact"/>
        <w:ind w:firstLine="422" w:firstLineChars="200"/>
        <w:rPr>
          <w:b/>
          <w:color w:val="auto"/>
          <w:szCs w:val="21"/>
          <w:highlight w:val="none"/>
        </w:rPr>
      </w:pPr>
      <w:r>
        <w:rPr>
          <w:rFonts w:hint="eastAsia"/>
          <w:b/>
          <w:color w:val="auto"/>
          <w:szCs w:val="21"/>
          <w:highlight w:val="none"/>
        </w:rPr>
        <w:t>三、本工程采用的技术规范</w:t>
      </w:r>
    </w:p>
    <w:p>
      <w:pPr>
        <w:spacing w:after="156" w:afterLines="50" w:line="400" w:lineRule="exact"/>
        <w:ind w:firstLine="420" w:firstLineChars="200"/>
        <w:rPr>
          <w:color w:val="auto"/>
          <w:szCs w:val="21"/>
          <w:highlight w:val="none"/>
        </w:rPr>
      </w:pPr>
      <w:r>
        <w:rPr>
          <w:rFonts w:hint="eastAsia"/>
          <w:color w:val="auto"/>
          <w:szCs w:val="21"/>
          <w:highlight w:val="none"/>
        </w:rPr>
        <w:t>本工程技术范围采用水利部现行工程施工规范、验收标准及强制性标准条文</w:t>
      </w:r>
    </w:p>
    <w:p>
      <w:pPr>
        <w:spacing w:after="156" w:afterLines="50" w:line="400" w:lineRule="exact"/>
        <w:ind w:firstLine="422" w:firstLineChars="200"/>
        <w:rPr>
          <w:b/>
          <w:color w:val="auto"/>
          <w:szCs w:val="21"/>
          <w:highlight w:val="none"/>
        </w:rPr>
      </w:pPr>
      <w:r>
        <w:rPr>
          <w:rFonts w:hint="eastAsia"/>
          <w:b/>
          <w:color w:val="auto"/>
          <w:szCs w:val="21"/>
          <w:highlight w:val="none"/>
        </w:rPr>
        <w:t>四、其他要求</w:t>
      </w:r>
    </w:p>
    <w:p>
      <w:pPr>
        <w:spacing w:after="156" w:afterLines="50" w:line="400" w:lineRule="exact"/>
        <w:rPr>
          <w:rFonts w:ascii="宋体" w:hAnsi="宋体"/>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spacing w:after="156" w:afterLines="50" w:line="400" w:lineRule="exact"/>
        <w:rPr>
          <w:color w:val="auto"/>
          <w:szCs w:val="21"/>
          <w:highlight w:val="none"/>
        </w:rPr>
      </w:pPr>
    </w:p>
    <w:p>
      <w:pPr>
        <w:pStyle w:val="3"/>
        <w:rPr>
          <w:rFonts w:ascii="宋体" w:hAnsi="宋体"/>
          <w:color w:val="auto"/>
          <w:highlight w:val="none"/>
        </w:rPr>
      </w:pPr>
      <w:bookmarkStart w:id="193" w:name="_Toc15909"/>
      <w:bookmarkStart w:id="194" w:name="_Toc239659126"/>
      <w:bookmarkStart w:id="195" w:name="_Toc4360"/>
      <w:r>
        <w:rPr>
          <w:color w:val="auto"/>
          <w:highlight w:val="none"/>
        </w:rPr>
        <w:t>第</w:t>
      </w:r>
      <w:r>
        <w:rPr>
          <w:rFonts w:hint="eastAsia"/>
          <w:color w:val="auto"/>
          <w:highlight w:val="none"/>
          <w:lang w:eastAsia="zh-CN"/>
        </w:rPr>
        <w:t>五</w:t>
      </w:r>
      <w:r>
        <w:rPr>
          <w:color w:val="auto"/>
          <w:highlight w:val="none"/>
        </w:rPr>
        <w:t>章</w:t>
      </w:r>
      <w:r>
        <w:rPr>
          <w:rFonts w:hint="eastAsia"/>
          <w:color w:val="auto"/>
          <w:highlight w:val="none"/>
        </w:rPr>
        <w:t xml:space="preserve">  </w:t>
      </w:r>
      <w:r>
        <w:rPr>
          <w:color w:val="auto"/>
          <w:highlight w:val="none"/>
        </w:rPr>
        <w:t>工程量清单报价说明</w:t>
      </w:r>
      <w:bookmarkEnd w:id="193"/>
      <w:bookmarkEnd w:id="194"/>
      <w:bookmarkEnd w:id="195"/>
    </w:p>
    <w:p>
      <w:pPr>
        <w:spacing w:line="420" w:lineRule="exact"/>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lang w:val="en-US" w:eastAsia="zh-CN"/>
        </w:rPr>
        <w:t>1.</w:t>
      </w:r>
      <w:r>
        <w:rPr>
          <w:rFonts w:ascii="宋体" w:hAnsi="宋体" w:eastAsia="宋体" w:cs="Times New Roman"/>
          <w:color w:val="auto"/>
          <w:highlight w:val="none"/>
        </w:rPr>
        <w:t>本工程量清单依据</w:t>
      </w:r>
    </w:p>
    <w:p>
      <w:pPr>
        <w:spacing w:line="420" w:lineRule="exact"/>
        <w:ind w:firstLine="422" w:firstLineChars="200"/>
        <w:rPr>
          <w:rFonts w:hint="eastAsia" w:ascii="宋体" w:hAnsi="宋体" w:eastAsia="宋体" w:cs="Times New Roman"/>
          <w:b/>
          <w:bCs/>
          <w:color w:val="0000FF"/>
          <w:highlight w:val="none"/>
        </w:rPr>
      </w:pP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lang w:val="en-US" w:eastAsia="zh-CN"/>
        </w:rPr>
        <w:t>1</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rPr>
        <w:t>《建设工程工程量清单计价规范》(GB50500-2013)及《建设工程工程量清单计价规范》(GB50500-2013)广西壮族自治区实施细则》；</w:t>
      </w:r>
    </w:p>
    <w:p>
      <w:pPr>
        <w:spacing w:line="420" w:lineRule="exact"/>
        <w:ind w:firstLine="422" w:firstLineChars="200"/>
        <w:rPr>
          <w:rFonts w:hint="eastAsia" w:ascii="宋体" w:hAnsi="宋体" w:eastAsia="宋体" w:cs="Times New Roman"/>
          <w:b/>
          <w:bCs/>
          <w:color w:val="0000FF"/>
          <w:highlight w:val="none"/>
        </w:rPr>
      </w:pP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lang w:val="en-US" w:eastAsia="zh-CN"/>
        </w:rPr>
        <w:t>2</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rPr>
        <w:t>《建设工程工程量计算规范》（GB50854～50862-2013）及其广西壮族自治区实施细则（修订本）；</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lang w:val="en-US" w:eastAsia="zh-CN"/>
        </w:rPr>
        <w:t>3</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rPr>
        <w:t>2013年《广西壮族自治区建筑装饰装修工程消耗量定额》及计价相关规定；</w:t>
      </w:r>
    </w:p>
    <w:p>
      <w:pPr>
        <w:spacing w:line="420" w:lineRule="exact"/>
        <w:ind w:firstLine="422" w:firstLineChars="200"/>
        <w:rPr>
          <w:rFonts w:hint="eastAsia" w:ascii="宋体" w:hAnsi="宋体" w:eastAsia="宋体" w:cs="Times New Roman"/>
          <w:b/>
          <w:bCs/>
          <w:color w:val="0000FF"/>
          <w:highlight w:val="none"/>
        </w:rPr>
      </w:pP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lang w:val="en-US" w:eastAsia="zh-CN"/>
        </w:rPr>
        <w:t>4</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rPr>
        <w:t>2013年《广西壮族自治区建筑装饰装修工程造价要素基期价》；</w:t>
      </w:r>
    </w:p>
    <w:p>
      <w:pPr>
        <w:spacing w:line="420" w:lineRule="exact"/>
        <w:ind w:firstLine="422" w:firstLineChars="200"/>
        <w:rPr>
          <w:rFonts w:hint="eastAsia" w:ascii="宋体" w:hAnsi="宋体" w:eastAsia="宋体" w:cs="Times New Roman"/>
          <w:b/>
          <w:bCs/>
          <w:color w:val="0000FF"/>
          <w:highlight w:val="none"/>
        </w:rPr>
      </w:pP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lang w:val="en-US" w:eastAsia="zh-CN"/>
        </w:rPr>
        <w:t>5</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rPr>
        <w:t>2015版《广西壮族自治区安装工程消耗量定额》及计价相关规定；</w:t>
      </w:r>
    </w:p>
    <w:p>
      <w:pPr>
        <w:spacing w:line="420" w:lineRule="exact"/>
        <w:ind w:firstLine="422" w:firstLineChars="200"/>
        <w:rPr>
          <w:rFonts w:hint="eastAsia" w:ascii="宋体" w:hAnsi="宋体" w:eastAsia="宋体" w:cs="Times New Roman"/>
          <w:b/>
          <w:bCs/>
          <w:color w:val="0000FF"/>
          <w:highlight w:val="none"/>
        </w:rPr>
      </w:pP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lang w:val="en-US" w:eastAsia="zh-CN"/>
        </w:rPr>
        <w:t>6</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rPr>
        <w:t>2016年《广西壮族自治区建设工程费用定额》及计价相关规定；</w:t>
      </w:r>
    </w:p>
    <w:p>
      <w:pPr>
        <w:spacing w:line="420" w:lineRule="exact"/>
        <w:ind w:firstLine="422" w:firstLineChars="200"/>
        <w:rPr>
          <w:rFonts w:hint="eastAsia" w:ascii="宋体" w:hAnsi="宋体" w:eastAsia="宋体" w:cs="Times New Roman"/>
          <w:b/>
          <w:bCs/>
          <w:color w:val="0000FF"/>
          <w:highlight w:val="none"/>
        </w:rPr>
      </w:pP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lang w:val="en-US" w:eastAsia="zh-CN"/>
        </w:rPr>
        <w:t>7</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rPr>
        <w:t>关于调整建设工程定额人工费及有关费率的通知（桂建标[2015]5号)；；</w:t>
      </w:r>
    </w:p>
    <w:p>
      <w:pPr>
        <w:spacing w:line="420" w:lineRule="exact"/>
        <w:ind w:firstLine="422" w:firstLineChars="200"/>
        <w:rPr>
          <w:rFonts w:hint="eastAsia" w:ascii="宋体" w:hAnsi="宋体" w:eastAsia="宋体" w:cs="Times New Roman"/>
          <w:b/>
          <w:bCs/>
          <w:color w:val="0000FF"/>
          <w:highlight w:val="none"/>
        </w:rPr>
      </w:pP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lang w:val="en-US" w:eastAsia="zh-CN"/>
        </w:rPr>
        <w:t>8</w:t>
      </w:r>
      <w:r>
        <w:rPr>
          <w:rFonts w:hint="eastAsia" w:ascii="宋体" w:hAnsi="宋体" w:eastAsia="宋体" w:cs="Times New Roman"/>
          <w:b/>
          <w:bCs/>
          <w:color w:val="0000FF"/>
          <w:highlight w:val="none"/>
          <w:lang w:eastAsia="zh-CN"/>
        </w:rPr>
        <w:t>）</w:t>
      </w:r>
      <w:r>
        <w:rPr>
          <w:rFonts w:hint="eastAsia" w:ascii="宋体" w:hAnsi="宋体" w:eastAsia="宋体" w:cs="Times New Roman"/>
          <w:b/>
          <w:bCs/>
          <w:color w:val="0000FF"/>
          <w:highlight w:val="none"/>
        </w:rPr>
        <w:t>材料价格采用2020年第八期《百色市建设工程造价信息》发布价格信息；对于造价信息没有发布价格信息的材料，其价格参照市场工地价。</w:t>
      </w:r>
    </w:p>
    <w:p>
      <w:pPr>
        <w:spacing w:line="420" w:lineRule="exact"/>
        <w:ind w:firstLine="420" w:firstLineChars="200"/>
        <w:rPr>
          <w:rFonts w:ascii="宋体" w:hAnsi="宋体" w:eastAsia="宋体" w:cs="Times New Roman"/>
          <w:color w:val="auto"/>
          <w:highlight w:val="none"/>
        </w:rPr>
      </w:pPr>
      <w:r>
        <w:rPr>
          <w:rFonts w:ascii="宋体" w:hAnsi="宋体" w:eastAsia="宋体" w:cs="Times New Roman"/>
          <w:color w:val="auto"/>
          <w:highlight w:val="none"/>
        </w:rPr>
        <w:t>2</w:t>
      </w:r>
      <w:r>
        <w:rPr>
          <w:rFonts w:hint="eastAsia" w:ascii="宋体" w:hAnsi="宋体" w:eastAsia="宋体" w:cs="Times New Roman"/>
          <w:color w:val="auto"/>
          <w:highlight w:val="none"/>
        </w:rPr>
        <w:t>.</w:t>
      </w:r>
      <w:r>
        <w:rPr>
          <w:rFonts w:ascii="宋体" w:hAnsi="宋体" w:eastAsia="宋体" w:cs="Times New Roman"/>
          <w:color w:val="auto"/>
          <w:highlight w:val="none"/>
        </w:rPr>
        <w:t>工程量清单应与竞标须知、合同协议条款、合同的通用条款、合同专用条款、技术规范及图纸等文件一起结合使用。</w:t>
      </w:r>
    </w:p>
    <w:p>
      <w:pPr>
        <w:spacing w:line="420" w:lineRule="exact"/>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w:t>
      </w:r>
      <w:r>
        <w:rPr>
          <w:rFonts w:ascii="宋体" w:hAnsi="宋体"/>
          <w:color w:val="auto"/>
          <w:highlight w:val="none"/>
        </w:rPr>
        <w:t>工程量清单中所列工程量系发包人按照现有图纸及有关资料依据建设行政主管部门所颁布的计量规则计算的，它是竞争性谈判文件的组成部分，作为竞标报价的共同基础。成交后结算支付，以经财政</w:t>
      </w:r>
      <w:r>
        <w:rPr>
          <w:rFonts w:hint="eastAsia" w:ascii="宋体" w:hAnsi="宋体"/>
          <w:color w:val="auto"/>
          <w:highlight w:val="none"/>
        </w:rPr>
        <w:t>部门</w:t>
      </w:r>
      <w:r>
        <w:rPr>
          <w:rFonts w:ascii="宋体" w:hAnsi="宋体"/>
          <w:color w:val="auto"/>
          <w:highlight w:val="none"/>
        </w:rPr>
        <w:t>投资评审中心</w:t>
      </w:r>
      <w:r>
        <w:rPr>
          <w:rFonts w:hint="eastAsia" w:ascii="宋体" w:hAnsi="宋体"/>
          <w:color w:val="auto"/>
          <w:highlight w:val="none"/>
        </w:rPr>
        <w:t>按</w:t>
      </w:r>
      <w:r>
        <w:rPr>
          <w:rFonts w:ascii="宋体" w:hAnsi="宋体"/>
          <w:color w:val="auto"/>
          <w:highlight w:val="none"/>
        </w:rPr>
        <w:t>审定的设计图纸和设计变更实际工程量为依据，按成交单位竞标所报的工程量清单的单价支付费用。</w:t>
      </w:r>
    </w:p>
    <w:p>
      <w:pPr>
        <w:spacing w:line="420" w:lineRule="exact"/>
        <w:ind w:firstLine="420" w:firstLineChars="200"/>
        <w:rPr>
          <w:rFonts w:ascii="宋体" w:hAnsi="宋体"/>
          <w:color w:val="auto"/>
          <w:highlight w:val="none"/>
        </w:rPr>
      </w:pPr>
      <w:r>
        <w:rPr>
          <w:rFonts w:ascii="宋体" w:hAnsi="宋体"/>
          <w:color w:val="auto"/>
          <w:highlight w:val="none"/>
        </w:rPr>
        <w:t>4</w:t>
      </w:r>
      <w:r>
        <w:rPr>
          <w:rFonts w:hint="eastAsia" w:ascii="宋体" w:hAnsi="宋体"/>
          <w:color w:val="auto"/>
          <w:highlight w:val="none"/>
        </w:rPr>
        <w:t>.工程量清单中各分项工程的综合单价为本工程包干单价，不管竞标人今后施工方案如何改变及工程量实际发生多少，均按包干单价执行。</w:t>
      </w:r>
    </w:p>
    <w:p>
      <w:pPr>
        <w:spacing w:line="420" w:lineRule="exact"/>
        <w:ind w:firstLine="420" w:firstLineChars="200"/>
        <w:rPr>
          <w:rFonts w:ascii="宋体" w:hAnsi="宋体"/>
          <w:color w:val="auto"/>
          <w:highlight w:val="none"/>
        </w:rPr>
      </w:pPr>
      <w:r>
        <w:rPr>
          <w:rFonts w:hint="eastAsia" w:ascii="宋体" w:hAnsi="宋体"/>
          <w:color w:val="auto"/>
          <w:highlight w:val="none"/>
        </w:rPr>
        <w:t>5.</w:t>
      </w:r>
      <w:r>
        <w:rPr>
          <w:rFonts w:ascii="宋体" w:hAnsi="宋体"/>
          <w:color w:val="auto"/>
          <w:highlight w:val="none"/>
        </w:rPr>
        <w:t>对工程和材料的一般指示或说明已写于合同文件、图纸和技术规范内。给工程量清单各细目标价前，须参阅合同文件和技术规范的有关部分。</w:t>
      </w:r>
    </w:p>
    <w:p>
      <w:pPr>
        <w:spacing w:line="420" w:lineRule="exact"/>
        <w:ind w:firstLine="420" w:firstLineChars="200"/>
        <w:rPr>
          <w:rFonts w:ascii="宋体" w:hAnsi="宋体"/>
          <w:color w:val="auto"/>
          <w:highlight w:val="none"/>
        </w:rPr>
      </w:pPr>
      <w:r>
        <w:rPr>
          <w:rFonts w:hint="eastAsia" w:ascii="宋体" w:hAnsi="宋体"/>
          <w:color w:val="auto"/>
          <w:highlight w:val="none"/>
        </w:rPr>
        <w:t>6.</w:t>
      </w:r>
      <w:r>
        <w:rPr>
          <w:rFonts w:ascii="宋体" w:hAnsi="宋体"/>
          <w:color w:val="auto"/>
          <w:highlight w:val="none"/>
        </w:rPr>
        <w:t>所有报价应以人民币表示。</w:t>
      </w:r>
    </w:p>
    <w:p>
      <w:pPr>
        <w:spacing w:line="420" w:lineRule="exact"/>
        <w:ind w:left="2" w:leftChars="1" w:firstLine="420" w:firstLineChars="200"/>
        <w:rPr>
          <w:color w:val="auto"/>
          <w:szCs w:val="21"/>
          <w:highlight w:val="none"/>
        </w:rPr>
      </w:pPr>
      <w:r>
        <w:rPr>
          <w:rFonts w:hint="eastAsia" w:ascii="宋体" w:hAnsi="宋体"/>
          <w:color w:val="auto"/>
          <w:highlight w:val="none"/>
        </w:rPr>
        <w:t>7.工程量清单另册发放。</w:t>
      </w:r>
    </w:p>
    <w:p>
      <w:pPr>
        <w:rPr>
          <w:color w:val="auto"/>
          <w:highlight w:val="none"/>
        </w:rPr>
      </w:pPr>
      <w:bookmarkStart w:id="196" w:name="_Toc19597"/>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3"/>
        <w:spacing w:line="800" w:lineRule="exact"/>
        <w:rPr>
          <w:color w:val="auto"/>
          <w:highlight w:val="none"/>
        </w:rPr>
      </w:pPr>
      <w:bookmarkStart w:id="197" w:name="_Toc25850"/>
      <w:r>
        <w:rPr>
          <w:rFonts w:hint="eastAsia"/>
          <w:color w:val="auto"/>
          <w:highlight w:val="none"/>
        </w:rPr>
        <w:t>第</w:t>
      </w:r>
      <w:r>
        <w:rPr>
          <w:rFonts w:hint="eastAsia"/>
          <w:color w:val="auto"/>
          <w:highlight w:val="none"/>
          <w:lang w:eastAsia="zh-CN"/>
        </w:rPr>
        <w:t>六</w:t>
      </w:r>
      <w:r>
        <w:rPr>
          <w:rFonts w:hint="eastAsia"/>
          <w:color w:val="auto"/>
          <w:highlight w:val="none"/>
        </w:rPr>
        <w:t>章  竞标文件格式</w:t>
      </w:r>
      <w:bookmarkEnd w:id="196"/>
      <w:bookmarkEnd w:id="197"/>
    </w:p>
    <w:p>
      <w:pPr>
        <w:jc w:val="left"/>
        <w:rPr>
          <w:color w:val="auto"/>
          <w:highlight w:val="none"/>
        </w:rPr>
      </w:pPr>
    </w:p>
    <w:p>
      <w:pPr>
        <w:spacing w:line="400" w:lineRule="exact"/>
        <w:rPr>
          <w:rFonts w:ascii="宋体" w:hAnsi="宋体"/>
          <w:b/>
          <w:color w:val="auto"/>
          <w:szCs w:val="21"/>
          <w:highlight w:val="none"/>
        </w:rPr>
      </w:pPr>
    </w:p>
    <w:p>
      <w:pPr>
        <w:pStyle w:val="4"/>
        <w:jc w:val="left"/>
        <w:rPr>
          <w:rFonts w:ascii="宋体" w:hAnsi="宋体"/>
          <w:color w:val="auto"/>
          <w:szCs w:val="21"/>
          <w:highlight w:val="none"/>
        </w:rPr>
      </w:pPr>
      <w:bookmarkStart w:id="198" w:name="_Toc25901"/>
      <w:bookmarkStart w:id="199" w:name="_Toc24523"/>
      <w:r>
        <w:rPr>
          <w:rFonts w:hint="eastAsia"/>
          <w:color w:val="auto"/>
          <w:highlight w:val="none"/>
        </w:rPr>
        <w:t>资格审查部分</w:t>
      </w:r>
      <w:bookmarkEnd w:id="198"/>
      <w:bookmarkEnd w:id="199"/>
    </w:p>
    <w:p>
      <w:pPr>
        <w:spacing w:line="400" w:lineRule="exact"/>
        <w:rPr>
          <w:rFonts w:ascii="宋体" w:hAnsi="宋体"/>
          <w:b/>
          <w:color w:val="auto"/>
          <w:szCs w:val="21"/>
          <w:highlight w:val="none"/>
        </w:rPr>
      </w:pP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rPr>
          <w:rFonts w:ascii="黑体" w:hAnsi="宋体" w:eastAsia="黑体"/>
          <w:color w:val="auto"/>
          <w:sz w:val="36"/>
          <w:szCs w:val="36"/>
          <w:highlight w:val="none"/>
        </w:rPr>
      </w:pP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72"/>
          <w:szCs w:val="72"/>
          <w:highlight w:val="none"/>
        </w:rPr>
      </w:pPr>
      <w:r>
        <w:rPr>
          <w:rFonts w:hint="eastAsia" w:ascii="黑体" w:hAnsi="宋体" w:eastAsia="黑体"/>
          <w:color w:val="auto"/>
          <w:sz w:val="72"/>
          <w:szCs w:val="72"/>
          <w:highlight w:val="none"/>
        </w:rPr>
        <w:t>竞标文件</w:t>
      </w: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ind w:firstLine="720" w:firstLineChars="200"/>
        <w:rPr>
          <w:rFonts w:ascii="黑体" w:hAnsi="宋体" w:eastAsia="黑体"/>
          <w:color w:val="auto"/>
          <w:szCs w:val="21"/>
          <w:highlight w:val="none"/>
        </w:rPr>
      </w:pPr>
      <w:r>
        <w:rPr>
          <w:rFonts w:hint="eastAsia" w:ascii="黑体" w:hAnsi="宋体" w:eastAsia="黑体"/>
          <w:color w:val="auto"/>
          <w:sz w:val="36"/>
          <w:szCs w:val="36"/>
          <w:highlight w:val="none"/>
        </w:rPr>
        <w:t>竞标文件内容：</w:t>
      </w:r>
      <w:r>
        <w:rPr>
          <w:rFonts w:hint="eastAsia" w:ascii="黑体" w:hAnsi="宋体" w:eastAsia="黑体"/>
          <w:color w:val="auto"/>
          <w:sz w:val="36"/>
          <w:szCs w:val="36"/>
          <w:highlight w:val="none"/>
          <w:u w:val="single"/>
        </w:rPr>
        <w:t xml:space="preserve">  资格审查部分     </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竞 标 人：</w:t>
      </w:r>
      <w:r>
        <w:rPr>
          <w:rFonts w:hint="eastAsia" w:ascii="黑体" w:hAnsi="宋体" w:eastAsia="黑体"/>
          <w:color w:val="auto"/>
          <w:sz w:val="36"/>
          <w:szCs w:val="36"/>
          <w:highlight w:val="none"/>
          <w:u w:val="single"/>
        </w:rPr>
        <w:t xml:space="preserve">   （全称）            </w:t>
      </w:r>
      <w:r>
        <w:rPr>
          <w:rFonts w:hint="eastAsia" w:ascii="宋体" w:hAnsi="宋体"/>
          <w:color w:val="auto"/>
          <w:sz w:val="36"/>
          <w:szCs w:val="36"/>
          <w:highlight w:val="none"/>
        </w:rPr>
        <w:t>（盖单位章）</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法定代表人或其委托代理人：</w:t>
      </w:r>
      <w:r>
        <w:rPr>
          <w:rFonts w:hint="eastAsia" w:ascii="黑体" w:hAnsi="宋体" w:eastAsia="黑体"/>
          <w:color w:val="auto"/>
          <w:sz w:val="36"/>
          <w:szCs w:val="36"/>
          <w:highlight w:val="none"/>
          <w:u w:val="single"/>
        </w:rPr>
        <w:t xml:space="preserve">           </w:t>
      </w:r>
      <w:r>
        <w:rPr>
          <w:rFonts w:hint="eastAsia" w:ascii="宋体" w:hAnsi="宋体"/>
          <w:color w:val="auto"/>
          <w:sz w:val="36"/>
          <w:szCs w:val="36"/>
          <w:highlight w:val="none"/>
        </w:rPr>
        <w:t>（签字）</w:t>
      </w:r>
    </w:p>
    <w:p>
      <w:pPr>
        <w:spacing w:line="98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日期：</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年</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月</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日</w:t>
      </w:r>
    </w:p>
    <w:p>
      <w:pPr>
        <w:spacing w:line="40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br w:type="page"/>
      </w:r>
    </w:p>
    <w:p>
      <w:pPr>
        <w:spacing w:line="400" w:lineRule="exact"/>
        <w:jc w:val="center"/>
        <w:rPr>
          <w:rFonts w:ascii="黑体" w:hAnsi="宋体" w:eastAsia="黑体"/>
          <w:color w:val="auto"/>
          <w:sz w:val="36"/>
          <w:szCs w:val="36"/>
          <w:highlight w:val="none"/>
        </w:rPr>
      </w:pPr>
    </w:p>
    <w:p>
      <w:pPr>
        <w:spacing w:line="400" w:lineRule="exact"/>
        <w:jc w:val="center"/>
        <w:rPr>
          <w:rFonts w:ascii="黑体" w:hAnsi="宋体" w:eastAsia="黑体"/>
          <w:color w:val="auto"/>
          <w:sz w:val="36"/>
          <w:szCs w:val="36"/>
          <w:highlight w:val="none"/>
        </w:rPr>
      </w:pPr>
    </w:p>
    <w:p>
      <w:pPr>
        <w:spacing w:line="400" w:lineRule="exact"/>
        <w:jc w:val="center"/>
        <w:rPr>
          <w:rFonts w:ascii="黑体" w:hAnsi="宋体" w:eastAsia="黑体"/>
          <w:color w:val="auto"/>
          <w:sz w:val="36"/>
          <w:szCs w:val="36"/>
          <w:highlight w:val="none"/>
        </w:rPr>
      </w:pPr>
    </w:p>
    <w:p>
      <w:pPr>
        <w:spacing w:line="40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目  录</w:t>
      </w:r>
    </w:p>
    <w:p>
      <w:pPr>
        <w:spacing w:line="420" w:lineRule="exact"/>
        <w:ind w:firstLine="420" w:firstLineChars="200"/>
        <w:rPr>
          <w:rFonts w:ascii="宋体" w:hAnsi="宋体"/>
          <w:color w:val="auto"/>
          <w:szCs w:val="21"/>
          <w:highlight w:val="none"/>
        </w:rPr>
      </w:pPr>
    </w:p>
    <w:p>
      <w:pPr>
        <w:spacing w:line="420" w:lineRule="exact"/>
        <w:ind w:firstLine="420" w:firstLineChars="200"/>
        <w:rPr>
          <w:rFonts w:ascii="宋体" w:hAnsi="宋体"/>
          <w:color w:val="auto"/>
          <w:szCs w:val="21"/>
          <w:highlight w:val="none"/>
        </w:rPr>
      </w:pP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⑴竞标人基本情况</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⑵诚信声明；</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⑶竞标文件签署授权委托书；</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⑷农民工工资保障金承诺书；</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⑸竞标保证金交款凭证；</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⑹安全防护、文明施工措施方案的承诺书；</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⑺项目管理机构及机械设备承诺函；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⑻竞标人需要说明的其他资料；</w:t>
      </w:r>
    </w:p>
    <w:p>
      <w:pPr>
        <w:spacing w:line="54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r>
        <w:rPr>
          <w:rFonts w:hint="eastAsia" w:ascii="宋体" w:hAnsi="宋体"/>
          <w:b/>
          <w:color w:val="auto"/>
          <w:szCs w:val="21"/>
          <w:highlight w:val="none"/>
        </w:rPr>
        <w:br w:type="page"/>
      </w:r>
    </w:p>
    <w:p>
      <w:pPr>
        <w:spacing w:line="400" w:lineRule="exact"/>
        <w:rPr>
          <w:rFonts w:ascii="宋体" w:hAnsi="宋体"/>
          <w:b/>
          <w:color w:val="auto"/>
          <w:szCs w:val="21"/>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一、竞标人基本情况表</w:t>
      </w:r>
    </w:p>
    <w:tbl>
      <w:tblPr>
        <w:tblStyle w:val="33"/>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04"/>
        <w:gridCol w:w="945"/>
        <w:gridCol w:w="1365"/>
        <w:gridCol w:w="630"/>
        <w:gridCol w:w="606"/>
        <w:gridCol w:w="1365"/>
        <w:gridCol w:w="735"/>
        <w:gridCol w:w="501"/>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08" w:type="dxa"/>
            <w:gridSpan w:val="2"/>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竞标人名称</w:t>
            </w:r>
          </w:p>
        </w:tc>
        <w:tc>
          <w:tcPr>
            <w:tcW w:w="7342" w:type="dxa"/>
            <w:gridSpan w:val="8"/>
            <w:vAlign w:val="center"/>
          </w:tcPr>
          <w:p>
            <w:pPr>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08" w:type="dxa"/>
            <w:gridSpan w:val="2"/>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注册地址</w:t>
            </w:r>
          </w:p>
        </w:tc>
        <w:tc>
          <w:tcPr>
            <w:tcW w:w="3546" w:type="dxa"/>
            <w:gridSpan w:val="4"/>
            <w:vAlign w:val="center"/>
          </w:tcPr>
          <w:p>
            <w:pPr>
              <w:spacing w:line="360" w:lineRule="exact"/>
              <w:jc w:val="center"/>
              <w:rPr>
                <w:rFonts w:ascii="宋体" w:hAnsi="宋体"/>
                <w:color w:val="auto"/>
                <w:szCs w:val="21"/>
                <w:highlight w:val="none"/>
              </w:rPr>
            </w:pPr>
          </w:p>
        </w:tc>
        <w:tc>
          <w:tcPr>
            <w:tcW w:w="1365"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邮政编码</w:t>
            </w:r>
          </w:p>
        </w:tc>
        <w:tc>
          <w:tcPr>
            <w:tcW w:w="2431" w:type="dxa"/>
            <w:gridSpan w:val="3"/>
            <w:vAlign w:val="center"/>
          </w:tcPr>
          <w:p>
            <w:pPr>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8" w:type="dxa"/>
            <w:gridSpan w:val="2"/>
            <w:vMerge w:val="restart"/>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联系方式</w:t>
            </w:r>
          </w:p>
        </w:tc>
        <w:tc>
          <w:tcPr>
            <w:tcW w:w="945"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联系人</w:t>
            </w:r>
          </w:p>
        </w:tc>
        <w:tc>
          <w:tcPr>
            <w:tcW w:w="2601" w:type="dxa"/>
            <w:gridSpan w:val="3"/>
            <w:vAlign w:val="center"/>
          </w:tcPr>
          <w:p>
            <w:pPr>
              <w:spacing w:line="360" w:lineRule="exact"/>
              <w:jc w:val="center"/>
              <w:rPr>
                <w:rFonts w:ascii="宋体" w:hAnsi="宋体"/>
                <w:color w:val="auto"/>
                <w:szCs w:val="21"/>
                <w:highlight w:val="none"/>
              </w:rPr>
            </w:pPr>
          </w:p>
        </w:tc>
        <w:tc>
          <w:tcPr>
            <w:tcW w:w="1365"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电话</w:t>
            </w:r>
          </w:p>
        </w:tc>
        <w:tc>
          <w:tcPr>
            <w:tcW w:w="2431" w:type="dxa"/>
            <w:gridSpan w:val="3"/>
            <w:vAlign w:val="center"/>
          </w:tcPr>
          <w:p>
            <w:pPr>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08" w:type="dxa"/>
            <w:gridSpan w:val="2"/>
            <w:vMerge w:val="continue"/>
            <w:vAlign w:val="center"/>
          </w:tcPr>
          <w:p>
            <w:pPr>
              <w:spacing w:line="360" w:lineRule="exact"/>
              <w:jc w:val="center"/>
              <w:rPr>
                <w:rFonts w:ascii="宋体" w:hAnsi="宋体"/>
                <w:color w:val="auto"/>
                <w:szCs w:val="21"/>
                <w:highlight w:val="none"/>
              </w:rPr>
            </w:pPr>
          </w:p>
        </w:tc>
        <w:tc>
          <w:tcPr>
            <w:tcW w:w="945"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传  真</w:t>
            </w:r>
          </w:p>
        </w:tc>
        <w:tc>
          <w:tcPr>
            <w:tcW w:w="2601" w:type="dxa"/>
            <w:gridSpan w:val="3"/>
            <w:vAlign w:val="center"/>
          </w:tcPr>
          <w:p>
            <w:pPr>
              <w:spacing w:line="360" w:lineRule="exact"/>
              <w:jc w:val="center"/>
              <w:rPr>
                <w:rFonts w:ascii="宋体" w:hAnsi="宋体"/>
                <w:color w:val="auto"/>
                <w:szCs w:val="21"/>
                <w:highlight w:val="none"/>
              </w:rPr>
            </w:pPr>
          </w:p>
        </w:tc>
        <w:tc>
          <w:tcPr>
            <w:tcW w:w="1365"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网址</w:t>
            </w:r>
          </w:p>
        </w:tc>
        <w:tc>
          <w:tcPr>
            <w:tcW w:w="2431" w:type="dxa"/>
            <w:gridSpan w:val="3"/>
            <w:vAlign w:val="center"/>
          </w:tcPr>
          <w:p>
            <w:pPr>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p>
        </w:tc>
        <w:tc>
          <w:tcPr>
            <w:tcW w:w="94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1365" w:type="dxa"/>
            <w:vAlign w:val="center"/>
          </w:tcPr>
          <w:p>
            <w:pPr>
              <w:spacing w:line="360" w:lineRule="auto"/>
              <w:jc w:val="center"/>
              <w:rPr>
                <w:rFonts w:ascii="宋体" w:hAnsi="宋体"/>
                <w:color w:val="auto"/>
                <w:szCs w:val="21"/>
                <w:highlight w:val="none"/>
              </w:rPr>
            </w:pPr>
          </w:p>
        </w:tc>
        <w:tc>
          <w:tcPr>
            <w:tcW w:w="1236"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365" w:type="dxa"/>
            <w:vAlign w:val="center"/>
          </w:tcPr>
          <w:p>
            <w:pPr>
              <w:spacing w:line="360" w:lineRule="auto"/>
              <w:jc w:val="center"/>
              <w:rPr>
                <w:rFonts w:ascii="宋体" w:hAnsi="宋体"/>
                <w:color w:val="auto"/>
                <w:szCs w:val="21"/>
                <w:highlight w:val="none"/>
              </w:rPr>
            </w:pPr>
          </w:p>
        </w:tc>
        <w:tc>
          <w:tcPr>
            <w:tcW w:w="7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96" w:type="dxa"/>
            <w:gridSpan w:val="2"/>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项目总工</w:t>
            </w:r>
          </w:p>
        </w:tc>
        <w:tc>
          <w:tcPr>
            <w:tcW w:w="94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1365" w:type="dxa"/>
            <w:vAlign w:val="center"/>
          </w:tcPr>
          <w:p>
            <w:pPr>
              <w:spacing w:line="360" w:lineRule="auto"/>
              <w:jc w:val="center"/>
              <w:rPr>
                <w:rFonts w:ascii="宋体" w:hAnsi="宋体"/>
                <w:color w:val="auto"/>
                <w:szCs w:val="21"/>
                <w:highlight w:val="none"/>
              </w:rPr>
            </w:pPr>
          </w:p>
        </w:tc>
        <w:tc>
          <w:tcPr>
            <w:tcW w:w="1236"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365" w:type="dxa"/>
            <w:vAlign w:val="center"/>
          </w:tcPr>
          <w:p>
            <w:pPr>
              <w:spacing w:line="360" w:lineRule="auto"/>
              <w:jc w:val="center"/>
              <w:rPr>
                <w:rFonts w:ascii="宋体" w:hAnsi="宋体"/>
                <w:color w:val="auto"/>
                <w:szCs w:val="21"/>
                <w:highlight w:val="none"/>
              </w:rPr>
            </w:pPr>
          </w:p>
        </w:tc>
        <w:tc>
          <w:tcPr>
            <w:tcW w:w="7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96" w:type="dxa"/>
            <w:gridSpan w:val="2"/>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0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开户银行</w:t>
            </w:r>
          </w:p>
        </w:tc>
        <w:tc>
          <w:tcPr>
            <w:tcW w:w="2049" w:type="dxa"/>
            <w:gridSpan w:val="2"/>
            <w:vAlign w:val="center"/>
          </w:tcPr>
          <w:p>
            <w:pPr>
              <w:spacing w:line="360" w:lineRule="auto"/>
              <w:jc w:val="center"/>
              <w:rPr>
                <w:rFonts w:ascii="宋体" w:hAnsi="宋体"/>
                <w:color w:val="auto"/>
                <w:szCs w:val="21"/>
                <w:highlight w:val="none"/>
              </w:rPr>
            </w:pPr>
          </w:p>
        </w:tc>
        <w:tc>
          <w:tcPr>
            <w:tcW w:w="136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银行账号</w:t>
            </w:r>
          </w:p>
        </w:tc>
        <w:tc>
          <w:tcPr>
            <w:tcW w:w="2601" w:type="dxa"/>
            <w:gridSpan w:val="3"/>
            <w:vAlign w:val="center"/>
          </w:tcPr>
          <w:p>
            <w:pPr>
              <w:spacing w:line="360" w:lineRule="auto"/>
              <w:jc w:val="center"/>
              <w:rPr>
                <w:rFonts w:ascii="宋体" w:hAnsi="宋体"/>
                <w:color w:val="auto"/>
                <w:szCs w:val="21"/>
                <w:highlight w:val="none"/>
              </w:rPr>
            </w:pPr>
          </w:p>
        </w:tc>
        <w:tc>
          <w:tcPr>
            <w:tcW w:w="1236"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注册资金</w:t>
            </w:r>
          </w:p>
        </w:tc>
        <w:tc>
          <w:tcPr>
            <w:tcW w:w="1195"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成立时间</w:t>
            </w:r>
          </w:p>
        </w:tc>
        <w:tc>
          <w:tcPr>
            <w:tcW w:w="2310" w:type="dxa"/>
            <w:gridSpan w:val="2"/>
            <w:vAlign w:val="center"/>
          </w:tcPr>
          <w:p>
            <w:pPr>
              <w:spacing w:line="360" w:lineRule="auto"/>
              <w:jc w:val="center"/>
              <w:rPr>
                <w:rFonts w:ascii="宋体" w:hAnsi="宋体"/>
                <w:color w:val="auto"/>
                <w:szCs w:val="21"/>
                <w:highlight w:val="none"/>
              </w:rPr>
            </w:pPr>
          </w:p>
        </w:tc>
        <w:tc>
          <w:tcPr>
            <w:tcW w:w="2601" w:type="dxa"/>
            <w:gridSpan w:val="3"/>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员工总人数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营业执照号</w:t>
            </w:r>
          </w:p>
        </w:tc>
        <w:tc>
          <w:tcPr>
            <w:tcW w:w="2310" w:type="dxa"/>
            <w:gridSpan w:val="2"/>
            <w:vAlign w:val="center"/>
          </w:tcPr>
          <w:p>
            <w:pPr>
              <w:spacing w:line="360" w:lineRule="auto"/>
              <w:jc w:val="center"/>
              <w:rPr>
                <w:rFonts w:ascii="宋体" w:hAnsi="宋体"/>
                <w:color w:val="auto"/>
                <w:szCs w:val="21"/>
                <w:highlight w:val="none"/>
              </w:rPr>
            </w:pPr>
          </w:p>
        </w:tc>
        <w:tc>
          <w:tcPr>
            <w:tcW w:w="630"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其中</w:t>
            </w:r>
          </w:p>
        </w:tc>
        <w:tc>
          <w:tcPr>
            <w:tcW w:w="1971"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注册建造师人数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企业资质等级及证号</w:t>
            </w:r>
          </w:p>
        </w:tc>
        <w:tc>
          <w:tcPr>
            <w:tcW w:w="2310" w:type="dxa"/>
            <w:gridSpan w:val="2"/>
            <w:vAlign w:val="center"/>
          </w:tcPr>
          <w:p>
            <w:pPr>
              <w:spacing w:line="360" w:lineRule="auto"/>
              <w:jc w:val="center"/>
              <w:rPr>
                <w:rFonts w:ascii="宋体" w:hAnsi="宋体"/>
                <w:color w:val="auto"/>
                <w:szCs w:val="21"/>
                <w:highlight w:val="none"/>
              </w:rPr>
            </w:pPr>
          </w:p>
        </w:tc>
        <w:tc>
          <w:tcPr>
            <w:tcW w:w="630" w:type="dxa"/>
            <w:vMerge w:val="continue"/>
          </w:tcPr>
          <w:p>
            <w:pPr>
              <w:spacing w:line="360" w:lineRule="auto"/>
              <w:rPr>
                <w:rFonts w:ascii="宋体" w:hAnsi="宋体"/>
                <w:color w:val="auto"/>
                <w:szCs w:val="21"/>
                <w:highlight w:val="none"/>
              </w:rPr>
            </w:pPr>
          </w:p>
        </w:tc>
        <w:tc>
          <w:tcPr>
            <w:tcW w:w="1971"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高级职称人数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安全生产许可证号</w:t>
            </w:r>
          </w:p>
        </w:tc>
        <w:tc>
          <w:tcPr>
            <w:tcW w:w="2310" w:type="dxa"/>
            <w:gridSpan w:val="2"/>
            <w:vAlign w:val="center"/>
          </w:tcPr>
          <w:p>
            <w:pPr>
              <w:spacing w:line="360" w:lineRule="auto"/>
              <w:jc w:val="center"/>
              <w:rPr>
                <w:rFonts w:ascii="宋体" w:hAnsi="宋体"/>
                <w:color w:val="auto"/>
                <w:szCs w:val="21"/>
                <w:highlight w:val="none"/>
              </w:rPr>
            </w:pPr>
          </w:p>
        </w:tc>
        <w:tc>
          <w:tcPr>
            <w:tcW w:w="630" w:type="dxa"/>
            <w:vMerge w:val="continue"/>
          </w:tcPr>
          <w:p>
            <w:pPr>
              <w:spacing w:line="360" w:lineRule="auto"/>
              <w:rPr>
                <w:rFonts w:ascii="宋体" w:hAnsi="宋体"/>
                <w:color w:val="auto"/>
                <w:szCs w:val="21"/>
                <w:highlight w:val="none"/>
              </w:rPr>
            </w:pPr>
          </w:p>
        </w:tc>
        <w:tc>
          <w:tcPr>
            <w:tcW w:w="1971"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中级职称人数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组织机构代码证号</w:t>
            </w:r>
          </w:p>
        </w:tc>
        <w:tc>
          <w:tcPr>
            <w:tcW w:w="2310" w:type="dxa"/>
            <w:gridSpan w:val="2"/>
            <w:vAlign w:val="center"/>
          </w:tcPr>
          <w:p>
            <w:pPr>
              <w:spacing w:line="360" w:lineRule="auto"/>
              <w:jc w:val="center"/>
              <w:rPr>
                <w:rFonts w:ascii="宋体" w:hAnsi="宋体"/>
                <w:color w:val="auto"/>
                <w:szCs w:val="21"/>
                <w:highlight w:val="none"/>
              </w:rPr>
            </w:pPr>
          </w:p>
        </w:tc>
        <w:tc>
          <w:tcPr>
            <w:tcW w:w="630" w:type="dxa"/>
            <w:vMerge w:val="continue"/>
          </w:tcPr>
          <w:p>
            <w:pPr>
              <w:spacing w:line="360" w:lineRule="auto"/>
              <w:rPr>
                <w:rFonts w:ascii="宋体" w:hAnsi="宋体"/>
                <w:color w:val="auto"/>
                <w:szCs w:val="21"/>
                <w:highlight w:val="none"/>
              </w:rPr>
            </w:pPr>
          </w:p>
        </w:tc>
        <w:tc>
          <w:tcPr>
            <w:tcW w:w="1971"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初级职称人数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税务登记证号</w:t>
            </w:r>
          </w:p>
        </w:tc>
        <w:tc>
          <w:tcPr>
            <w:tcW w:w="2310" w:type="dxa"/>
            <w:gridSpan w:val="2"/>
            <w:vAlign w:val="center"/>
          </w:tcPr>
          <w:p>
            <w:pPr>
              <w:spacing w:line="360" w:lineRule="auto"/>
              <w:jc w:val="center"/>
              <w:rPr>
                <w:rFonts w:ascii="宋体" w:hAnsi="宋体"/>
                <w:color w:val="auto"/>
                <w:szCs w:val="21"/>
                <w:highlight w:val="none"/>
              </w:rPr>
            </w:pPr>
          </w:p>
        </w:tc>
        <w:tc>
          <w:tcPr>
            <w:tcW w:w="630" w:type="dxa"/>
            <w:vMerge w:val="continue"/>
          </w:tcPr>
          <w:p>
            <w:pPr>
              <w:spacing w:line="360" w:lineRule="auto"/>
              <w:rPr>
                <w:rFonts w:ascii="宋体" w:hAnsi="宋体"/>
                <w:color w:val="auto"/>
                <w:szCs w:val="21"/>
                <w:highlight w:val="none"/>
              </w:rPr>
            </w:pPr>
          </w:p>
        </w:tc>
        <w:tc>
          <w:tcPr>
            <w:tcW w:w="1971"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技工人数</w:t>
            </w:r>
          </w:p>
        </w:tc>
        <w:tc>
          <w:tcPr>
            <w:tcW w:w="2431" w:type="dxa"/>
            <w:gridSpan w:val="3"/>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经营范围</w:t>
            </w:r>
          </w:p>
        </w:tc>
        <w:tc>
          <w:tcPr>
            <w:tcW w:w="7342" w:type="dxa"/>
            <w:gridSpan w:val="8"/>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08" w:type="dxa"/>
            <w:gridSpan w:val="2"/>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7342" w:type="dxa"/>
            <w:gridSpan w:val="8"/>
            <w:vAlign w:val="center"/>
          </w:tcPr>
          <w:p>
            <w:pPr>
              <w:spacing w:line="360" w:lineRule="auto"/>
              <w:ind w:firstLine="420" w:firstLineChars="200"/>
              <w:jc w:val="center"/>
              <w:rPr>
                <w:rFonts w:ascii="宋体" w:hAnsi="宋体"/>
                <w:color w:val="auto"/>
                <w:szCs w:val="21"/>
                <w:highlight w:val="none"/>
              </w:rPr>
            </w:pPr>
          </w:p>
        </w:tc>
      </w:tr>
    </w:tbl>
    <w:p>
      <w:pPr>
        <w:rPr>
          <w:rFonts w:ascii="宋体" w:hAnsi="宋体"/>
          <w:color w:val="auto"/>
          <w:highlight w:val="none"/>
        </w:rPr>
      </w:pPr>
    </w:p>
    <w:p>
      <w:pPr>
        <w:spacing w:line="400" w:lineRule="exact"/>
        <w:rPr>
          <w:rFonts w:ascii="宋体" w:hAnsi="宋体"/>
          <w:color w:val="auto"/>
          <w:szCs w:val="21"/>
          <w:highlight w:val="none"/>
        </w:rPr>
      </w:pPr>
      <w:r>
        <w:rPr>
          <w:rFonts w:hint="eastAsia"/>
          <w:color w:val="auto"/>
          <w:szCs w:val="21"/>
          <w:highlight w:val="none"/>
        </w:rPr>
        <w:t>注：必须附上以下证书的复印件</w:t>
      </w:r>
      <w:r>
        <w:rPr>
          <w:rFonts w:hint="eastAsia" w:ascii="宋体" w:hAnsi="宋体"/>
          <w:color w:val="auto"/>
          <w:szCs w:val="21"/>
          <w:highlight w:val="none"/>
        </w:rPr>
        <w:t>，复印件要求清晰可辨</w:t>
      </w:r>
    </w:p>
    <w:p>
      <w:pPr>
        <w:snapToGrid w:val="0"/>
        <w:spacing w:line="400" w:lineRule="exact"/>
        <w:rPr>
          <w:rFonts w:ascii="黑体" w:hAnsi="宋体" w:eastAsia="黑体"/>
          <w:color w:val="auto"/>
          <w:highlight w:val="none"/>
        </w:rPr>
      </w:pPr>
      <w:r>
        <w:rPr>
          <w:rFonts w:hint="eastAsia" w:ascii="黑体" w:hAnsi="宋体" w:eastAsia="黑体"/>
          <w:color w:val="auto"/>
          <w:szCs w:val="21"/>
          <w:highlight w:val="none"/>
        </w:rPr>
        <w:t>1.有效的法人营业执照副本；2.有效的资质证书副本；3.有效的安全生产许可证；4.有效的组织机构代码证；5.有效的税务登记证副本；6.</w:t>
      </w:r>
      <w:r>
        <w:rPr>
          <w:rFonts w:hint="eastAsia" w:ascii="黑体" w:eastAsia="黑体"/>
          <w:color w:val="auto"/>
          <w:highlight w:val="none"/>
        </w:rPr>
        <w:t>项目经理的资格</w:t>
      </w:r>
      <w:r>
        <w:rPr>
          <w:rFonts w:hint="eastAsia" w:ascii="黑体" w:hAnsi="宋体" w:eastAsia="黑体"/>
          <w:color w:val="auto"/>
          <w:szCs w:val="21"/>
          <w:highlight w:val="none"/>
        </w:rPr>
        <w:t>证书、身份证复印件。如已更换成“加载统一社会信用代码的‘三证合一’营业执照”时不需再提供组织机构代码证和税务登记。</w:t>
      </w:r>
    </w:p>
    <w:p>
      <w:pPr>
        <w:spacing w:line="360" w:lineRule="auto"/>
        <w:rPr>
          <w:rFonts w:ascii="宋体" w:hAnsi="宋体"/>
          <w:color w:val="auto"/>
          <w:highlight w:val="none"/>
        </w:rPr>
      </w:pPr>
      <w:r>
        <w:rPr>
          <w:rFonts w:ascii="宋体" w:hAnsi="宋体"/>
          <w:color w:val="auto"/>
          <w:highlight w:val="none"/>
        </w:rPr>
        <w:br w:type="page"/>
      </w:r>
    </w:p>
    <w:p>
      <w:pPr>
        <w:jc w:val="center"/>
        <w:rPr>
          <w:color w:val="auto"/>
          <w:highlight w:val="none"/>
        </w:rPr>
      </w:pPr>
      <w:r>
        <w:rPr>
          <w:rFonts w:hint="eastAsia" w:ascii="黑体" w:eastAsia="黑体"/>
          <w:color w:val="auto"/>
          <w:sz w:val="28"/>
          <w:szCs w:val="28"/>
          <w:highlight w:val="none"/>
        </w:rPr>
        <w:t>二、</w:t>
      </w:r>
      <w:r>
        <w:rPr>
          <w:rFonts w:ascii="黑体" w:eastAsia="黑体"/>
          <w:color w:val="auto"/>
          <w:sz w:val="28"/>
          <w:szCs w:val="28"/>
          <w:highlight w:val="none"/>
        </w:rPr>
        <w:t>诚信声明</w:t>
      </w:r>
    </w:p>
    <w:p>
      <w:pPr>
        <w:spacing w:line="520" w:lineRule="exact"/>
        <w:rPr>
          <w:rFonts w:ascii="宋体" w:hAnsi="宋体"/>
          <w:color w:val="auto"/>
          <w:highlight w:val="none"/>
        </w:rPr>
      </w:pPr>
    </w:p>
    <w:p>
      <w:pPr>
        <w:spacing w:line="520" w:lineRule="exact"/>
        <w:ind w:firstLine="525" w:firstLineChars="250"/>
        <w:rPr>
          <w:rFonts w:ascii="宋体" w:hAnsi="宋体"/>
          <w:color w:val="auto"/>
          <w:highlight w:val="none"/>
        </w:rPr>
      </w:pPr>
      <w:r>
        <w:rPr>
          <w:rFonts w:hint="eastAsia" w:ascii="宋体" w:hAnsi="宋体"/>
          <w:color w:val="auto"/>
          <w:highlight w:val="none"/>
        </w:rPr>
        <w:t>本人</w:t>
      </w:r>
      <w:r>
        <w:rPr>
          <w:rFonts w:ascii="宋体" w:hAnsi="宋体"/>
          <w:color w:val="auto"/>
          <w:highlight w:val="none"/>
          <w:u w:val="single"/>
        </w:rPr>
        <w:t xml:space="preserve">       </w:t>
      </w:r>
      <w:r>
        <w:rPr>
          <w:rFonts w:hint="eastAsia" w:ascii="宋体" w:hAnsi="宋体"/>
          <w:color w:val="auto"/>
          <w:highlight w:val="none"/>
          <w:u w:val="single"/>
        </w:rPr>
        <w:t>（法定代表人、身份证号码）</w:t>
      </w:r>
      <w:r>
        <w:rPr>
          <w:rFonts w:ascii="宋体" w:hAnsi="宋体"/>
          <w:color w:val="auto"/>
          <w:highlight w:val="none"/>
          <w:u w:val="single"/>
        </w:rPr>
        <w:t xml:space="preserve">         </w:t>
      </w:r>
      <w:r>
        <w:rPr>
          <w:rFonts w:hint="eastAsia" w:ascii="宋体" w:hAnsi="宋体"/>
          <w:color w:val="auto"/>
          <w:highlight w:val="none"/>
        </w:rPr>
        <w:t>郑重声明，本企业参加</w:t>
      </w:r>
      <w:r>
        <w:rPr>
          <w:rFonts w:ascii="宋体" w:hAnsi="宋体"/>
          <w:color w:val="auto"/>
          <w:highlight w:val="none"/>
          <w:u w:val="single"/>
        </w:rPr>
        <w:t xml:space="preserve">         </w:t>
      </w:r>
      <w:r>
        <w:rPr>
          <w:rFonts w:hint="eastAsia" w:ascii="宋体" w:hAnsi="宋体"/>
          <w:color w:val="auto"/>
          <w:highlight w:val="none"/>
        </w:rPr>
        <w:t>工程竞标活动所提交的所有资料、填写数据及所包含的附件资料内容是真实的、合法的、有效的，同样我在此所作的声明也是真实有效的，并愿意对在竞标过程中有关部门的调查结果承担责任。</w:t>
      </w:r>
    </w:p>
    <w:p>
      <w:pPr>
        <w:spacing w:line="520" w:lineRule="exact"/>
        <w:ind w:firstLine="480"/>
        <w:rPr>
          <w:rFonts w:ascii="宋体" w:hAnsi="宋体"/>
          <w:color w:val="auto"/>
          <w:highlight w:val="none"/>
        </w:rPr>
      </w:pPr>
      <w:r>
        <w:rPr>
          <w:rFonts w:hint="eastAsia" w:ascii="宋体" w:hAnsi="宋体"/>
          <w:color w:val="auto"/>
          <w:highlight w:val="none"/>
        </w:rPr>
        <w:t>本企业提交的所有竞标资料如有不实，愿接受政府采购监督管理部门和建设行政主管部门依据有关法律法规给予的处罚。</w:t>
      </w:r>
    </w:p>
    <w:p>
      <w:pPr>
        <w:spacing w:line="520" w:lineRule="exact"/>
        <w:rPr>
          <w:rFonts w:ascii="宋体" w:hAnsi="宋体"/>
          <w:color w:val="auto"/>
          <w:highlight w:val="none"/>
        </w:rPr>
      </w:pPr>
    </w:p>
    <w:p>
      <w:pPr>
        <w:spacing w:line="520" w:lineRule="exact"/>
        <w:rPr>
          <w:rFonts w:ascii="宋体" w:hAnsi="宋体"/>
          <w:color w:val="auto"/>
          <w:highlight w:val="none"/>
        </w:rPr>
      </w:pPr>
    </w:p>
    <w:p>
      <w:pPr>
        <w:spacing w:line="520" w:lineRule="exact"/>
        <w:ind w:firstLine="4410" w:firstLineChars="2100"/>
        <w:rPr>
          <w:rFonts w:ascii="宋体" w:hAnsi="宋体"/>
          <w:color w:val="auto"/>
          <w:highlight w:val="none"/>
        </w:rPr>
      </w:pPr>
      <w:r>
        <w:rPr>
          <w:rFonts w:hint="eastAsia" w:ascii="宋体" w:hAnsi="宋体"/>
          <w:color w:val="auto"/>
          <w:highlight w:val="none"/>
        </w:rPr>
        <w:t>竞标人：</w:t>
      </w:r>
      <w:r>
        <w:rPr>
          <w:rFonts w:hint="eastAsia" w:ascii="宋体" w:hAnsi="宋体"/>
          <w:color w:val="auto"/>
          <w:highlight w:val="none"/>
          <w:u w:val="single"/>
        </w:rPr>
        <w:t xml:space="preserve">   （全称）         </w:t>
      </w:r>
      <w:r>
        <w:rPr>
          <w:rFonts w:hint="eastAsia" w:ascii="宋体" w:hAnsi="宋体"/>
          <w:color w:val="auto"/>
          <w:highlight w:val="none"/>
        </w:rPr>
        <w:t>（盖单位章）</w:t>
      </w:r>
    </w:p>
    <w:p>
      <w:pPr>
        <w:spacing w:line="520" w:lineRule="exact"/>
        <w:ind w:firstLine="4410" w:firstLineChars="210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520" w:lineRule="exact"/>
        <w:ind w:firstLine="5775" w:firstLineChars="2750"/>
        <w:rPr>
          <w:rFonts w:ascii="宋体" w:hAnsi="宋体"/>
          <w:color w:val="auto"/>
          <w:highlight w:val="none"/>
        </w:rPr>
      </w:pP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pacing w:line="360" w:lineRule="auto"/>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rPr>
          <w:color w:val="auto"/>
          <w:highlight w:val="none"/>
        </w:rPr>
      </w:pPr>
      <w:bookmarkStart w:id="200" w:name="_Toc163270989"/>
      <w:bookmarkStart w:id="201" w:name="_Toc158458008"/>
    </w:p>
    <w:p>
      <w:pPr>
        <w:jc w:val="center"/>
        <w:rPr>
          <w:color w:val="auto"/>
          <w:highlight w:val="none"/>
        </w:rPr>
      </w:pPr>
      <w:bookmarkStart w:id="202" w:name="_Toc173558684"/>
      <w:r>
        <w:rPr>
          <w:rFonts w:hint="eastAsia" w:ascii="黑体" w:eastAsia="黑体"/>
          <w:color w:val="auto"/>
          <w:sz w:val="28"/>
          <w:szCs w:val="28"/>
          <w:highlight w:val="none"/>
        </w:rPr>
        <w:t>三、</w:t>
      </w:r>
      <w:r>
        <w:rPr>
          <w:rFonts w:ascii="黑体" w:eastAsia="黑体"/>
          <w:color w:val="auto"/>
          <w:sz w:val="28"/>
          <w:szCs w:val="28"/>
          <w:highlight w:val="none"/>
        </w:rPr>
        <w:t>竞标文件签署授权委托书</w:t>
      </w:r>
    </w:p>
    <w:p>
      <w:pPr>
        <w:spacing w:after="156" w:line="360" w:lineRule="auto"/>
        <w:rPr>
          <w:rFonts w:ascii="宋体" w:hAnsi="宋体"/>
          <w:color w:val="auto"/>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本授权委托书声明：我</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竞标人</w:t>
      </w:r>
      <w:r>
        <w:rPr>
          <w:rFonts w:ascii="宋体" w:hAnsi="宋体"/>
          <w:color w:val="auto"/>
          <w:highlight w:val="none"/>
        </w:rPr>
        <w:t>名称）的法定代表人，现授权委托</w:t>
      </w:r>
      <w:r>
        <w:rPr>
          <w:rFonts w:ascii="宋体" w:hAnsi="宋体"/>
          <w:color w:val="auto"/>
          <w:highlight w:val="none"/>
          <w:u w:val="single"/>
        </w:rPr>
        <w:t xml:space="preserve">           </w:t>
      </w:r>
      <w:r>
        <w:rPr>
          <w:rFonts w:ascii="宋体" w:hAnsi="宋体"/>
          <w:color w:val="auto"/>
          <w:highlight w:val="none"/>
        </w:rPr>
        <w:t>（单位名称）的</w:t>
      </w:r>
      <w:r>
        <w:rPr>
          <w:rFonts w:ascii="宋体" w:hAnsi="宋体"/>
          <w:color w:val="auto"/>
          <w:highlight w:val="none"/>
          <w:u w:val="single"/>
        </w:rPr>
        <w:t xml:space="preserve">        </w:t>
      </w:r>
      <w:r>
        <w:rPr>
          <w:rFonts w:ascii="宋体" w:hAnsi="宋体"/>
          <w:color w:val="auto"/>
          <w:highlight w:val="none"/>
        </w:rPr>
        <w:t>（姓名）为我公司签署</w:t>
      </w:r>
      <w:r>
        <w:rPr>
          <w:rFonts w:hint="eastAsia" w:ascii="宋体" w:hAnsi="宋体"/>
          <w:color w:val="auto"/>
          <w:highlight w:val="none"/>
          <w:u w:val="single"/>
          <w:lang w:eastAsia="zh-CN"/>
        </w:rPr>
        <w:t>（项目名称）</w:t>
      </w:r>
      <w:r>
        <w:rPr>
          <w:rFonts w:ascii="宋体" w:hAnsi="宋体"/>
          <w:color w:val="auto"/>
          <w:highlight w:val="none"/>
        </w:rPr>
        <w:t>的</w:t>
      </w:r>
      <w:r>
        <w:rPr>
          <w:rFonts w:hint="eastAsia" w:ascii="宋体" w:hAnsi="宋体"/>
          <w:color w:val="auto"/>
          <w:highlight w:val="none"/>
        </w:rPr>
        <w:t>竞标文件</w:t>
      </w:r>
      <w:r>
        <w:rPr>
          <w:rFonts w:ascii="宋体" w:hAnsi="宋体"/>
          <w:color w:val="auto"/>
          <w:highlight w:val="none"/>
        </w:rPr>
        <w:t>的法定代表人授权委托代理人，我承认代理人全权代表我所签署的本工程的</w:t>
      </w:r>
      <w:r>
        <w:rPr>
          <w:rFonts w:hint="eastAsia" w:ascii="宋体" w:hAnsi="宋体"/>
          <w:color w:val="auto"/>
          <w:highlight w:val="none"/>
        </w:rPr>
        <w:t>竞标文件</w:t>
      </w:r>
      <w:r>
        <w:rPr>
          <w:rFonts w:ascii="宋体" w:hAnsi="宋体"/>
          <w:color w:val="auto"/>
          <w:highlight w:val="none"/>
        </w:rPr>
        <w:t>的内容。</w:t>
      </w:r>
    </w:p>
    <w:p>
      <w:pPr>
        <w:spacing w:line="360" w:lineRule="auto"/>
        <w:ind w:firstLine="420" w:firstLineChars="200"/>
        <w:rPr>
          <w:rFonts w:ascii="宋体" w:hAnsi="宋体"/>
          <w:color w:val="auto"/>
          <w:highlight w:val="none"/>
        </w:rPr>
      </w:pPr>
      <w:r>
        <w:rPr>
          <w:rFonts w:ascii="宋体" w:hAnsi="宋体"/>
          <w:color w:val="auto"/>
          <w:highlight w:val="none"/>
        </w:rPr>
        <w:t>代理人无转委托权，特此委托。</w:t>
      </w:r>
    </w:p>
    <w:p>
      <w:pPr>
        <w:spacing w:line="360" w:lineRule="auto"/>
        <w:ind w:firstLine="413" w:firstLineChars="196"/>
        <w:rPr>
          <w:rFonts w:ascii="宋体" w:hAnsi="宋体"/>
          <w:color w:val="auto"/>
          <w:highlight w:val="none"/>
        </w:rPr>
      </w:pPr>
      <w:r>
        <w:rPr>
          <w:rFonts w:hint="eastAsia"/>
          <w:b/>
          <w:color w:val="auto"/>
          <w:highlight w:val="none"/>
        </w:rPr>
        <w:t>附：法定代表人身份证复印件、委托代理人身份证复印件</w:t>
      </w:r>
    </w:p>
    <w:p>
      <w:pPr>
        <w:spacing w:line="360" w:lineRule="auto"/>
        <w:rPr>
          <w:rFonts w:ascii="宋体" w:hAnsi="宋体"/>
          <w:color w:val="auto"/>
          <w:highlight w:val="none"/>
        </w:rPr>
      </w:pPr>
    </w:p>
    <w:p>
      <w:pPr>
        <w:spacing w:line="360" w:lineRule="auto"/>
        <w:ind w:left="2699"/>
        <w:rPr>
          <w:rFonts w:ascii="宋体" w:hAnsi="宋体"/>
          <w:color w:val="auto"/>
          <w:highlight w:val="none"/>
          <w:u w:val="single"/>
        </w:rPr>
      </w:pPr>
      <w:r>
        <w:rPr>
          <w:rFonts w:ascii="宋体" w:hAnsi="宋体"/>
          <w:color w:val="auto"/>
          <w:highlight w:val="none"/>
        </w:rPr>
        <w:t>代理人：</w:t>
      </w:r>
      <w:r>
        <w:rPr>
          <w:rFonts w:ascii="宋体" w:hAnsi="宋体"/>
          <w:color w:val="auto"/>
          <w:highlight w:val="none"/>
          <w:u w:val="single"/>
        </w:rPr>
        <w:t xml:space="preserve">   （签字）</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性别 ：</w:t>
      </w:r>
      <w:r>
        <w:rPr>
          <w:rFonts w:ascii="宋体" w:hAnsi="宋体"/>
          <w:color w:val="auto"/>
          <w:highlight w:val="none"/>
          <w:u w:val="single"/>
        </w:rPr>
        <w:t xml:space="preserve">          </w:t>
      </w:r>
      <w:r>
        <w:rPr>
          <w:rFonts w:ascii="宋体" w:hAnsi="宋体"/>
          <w:color w:val="auto"/>
          <w:highlight w:val="none"/>
        </w:rPr>
        <w:t>年龄：_______</w:t>
      </w:r>
    </w:p>
    <w:p>
      <w:pPr>
        <w:spacing w:line="360" w:lineRule="auto"/>
        <w:ind w:left="2699"/>
        <w:rPr>
          <w:rFonts w:ascii="宋体" w:hAnsi="宋体"/>
          <w:color w:val="auto"/>
          <w:highlight w:val="none"/>
          <w:u w:val="single"/>
        </w:rPr>
      </w:pPr>
      <w:r>
        <w:rPr>
          <w:rFonts w:ascii="宋体" w:hAnsi="宋体"/>
          <w:color w:val="auto"/>
          <w:highlight w:val="none"/>
        </w:rPr>
        <w:t>身份证号码：</w:t>
      </w:r>
      <w:r>
        <w:rPr>
          <w:rFonts w:ascii="宋体" w:hAnsi="宋体"/>
          <w:color w:val="auto"/>
          <w:highlight w:val="none"/>
          <w:u w:val="single"/>
        </w:rPr>
        <w:t xml:space="preserve">                    </w:t>
      </w:r>
      <w:r>
        <w:rPr>
          <w:rFonts w:ascii="宋体" w:hAnsi="宋体"/>
          <w:color w:val="auto"/>
          <w:highlight w:val="none"/>
        </w:rPr>
        <w:t>职务：</w:t>
      </w:r>
      <w:r>
        <w:rPr>
          <w:rFonts w:hint="eastAsia" w:ascii="宋体" w:hAnsi="宋体"/>
          <w:color w:val="auto"/>
          <w:highlight w:val="none"/>
          <w:u w:val="single"/>
        </w:rPr>
        <w:t xml:space="preserve">             </w:t>
      </w:r>
    </w:p>
    <w:p>
      <w:pPr>
        <w:spacing w:line="360" w:lineRule="auto"/>
        <w:ind w:left="2699"/>
        <w:rPr>
          <w:rFonts w:ascii="宋体" w:hAnsi="宋体"/>
          <w:color w:val="auto"/>
          <w:highlight w:val="none"/>
        </w:rPr>
      </w:pPr>
      <w:r>
        <w:rPr>
          <w:rFonts w:hint="eastAsia" w:ascii="宋体" w:hAnsi="宋体"/>
          <w:color w:val="auto"/>
          <w:highlight w:val="none"/>
        </w:rPr>
        <w:t>竞标人</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（全称）</w:t>
      </w:r>
      <w:r>
        <w:rPr>
          <w:rFonts w:ascii="宋体" w:hAnsi="宋体"/>
          <w:color w:val="auto"/>
          <w:highlight w:val="none"/>
          <w:u w:val="single"/>
        </w:rPr>
        <w:t xml:space="preserve">                 </w:t>
      </w:r>
      <w:r>
        <w:rPr>
          <w:rFonts w:ascii="宋体" w:hAnsi="宋体"/>
          <w:color w:val="auto"/>
          <w:highlight w:val="none"/>
        </w:rPr>
        <w:t>（盖</w:t>
      </w:r>
      <w:r>
        <w:rPr>
          <w:rFonts w:hint="eastAsia" w:ascii="宋体" w:hAnsi="宋体"/>
          <w:color w:val="auto"/>
          <w:highlight w:val="none"/>
        </w:rPr>
        <w:t>单位</w:t>
      </w:r>
      <w:r>
        <w:rPr>
          <w:rFonts w:ascii="宋体" w:hAnsi="宋体"/>
          <w:color w:val="auto"/>
          <w:highlight w:val="none"/>
        </w:rPr>
        <w:t>章）</w:t>
      </w:r>
    </w:p>
    <w:p>
      <w:pPr>
        <w:spacing w:line="360" w:lineRule="auto"/>
        <w:ind w:left="2699"/>
        <w:rPr>
          <w:rFonts w:ascii="宋体" w:hAnsi="宋体"/>
          <w:color w:val="auto"/>
          <w:highlight w:val="none"/>
        </w:rPr>
      </w:pPr>
      <w:r>
        <w:rPr>
          <w:rFonts w:ascii="宋体" w:hAnsi="宋体"/>
          <w:color w:val="auto"/>
          <w:highlight w:val="none"/>
        </w:rPr>
        <w:t>法定代表人：</w:t>
      </w:r>
      <w:r>
        <w:rPr>
          <w:rFonts w:ascii="宋体" w:hAnsi="宋体"/>
          <w:color w:val="auto"/>
          <w:highlight w:val="none"/>
          <w:u w:val="single"/>
        </w:rPr>
        <w:t xml:space="preserve">                            </w:t>
      </w:r>
      <w:r>
        <w:rPr>
          <w:rFonts w:ascii="宋体" w:hAnsi="宋体"/>
          <w:color w:val="auto"/>
          <w:highlight w:val="none"/>
        </w:rPr>
        <w:t>（签字）</w:t>
      </w:r>
    </w:p>
    <w:p>
      <w:pPr>
        <w:spacing w:line="360" w:lineRule="auto"/>
        <w:ind w:left="2699"/>
        <w:rPr>
          <w:rFonts w:hAnsi="宋体"/>
          <w:color w:val="auto"/>
          <w:highlight w:val="none"/>
        </w:rPr>
      </w:pPr>
      <w:r>
        <w:rPr>
          <w:color w:val="auto"/>
          <w:highlight w:val="none"/>
        </w:rPr>
        <w:t xml:space="preserve">授权委托日期：     </w:t>
      </w:r>
      <w:r>
        <w:rPr>
          <w:rFonts w:hint="eastAsia"/>
          <w:color w:val="auto"/>
          <w:highlight w:val="none"/>
        </w:rPr>
        <w:t xml:space="preserve">    </w:t>
      </w:r>
      <w:r>
        <w:rPr>
          <w:color w:val="auto"/>
          <w:highlight w:val="none"/>
        </w:rPr>
        <w:t>年     月     日</w:t>
      </w:r>
    </w:p>
    <w:p>
      <w:pPr>
        <w:pStyle w:val="17"/>
        <w:snapToGrid w:val="0"/>
        <w:spacing w:line="260" w:lineRule="atLeast"/>
        <w:rPr>
          <w:rFonts w:hAnsi="宋体"/>
          <w:color w:val="auto"/>
          <w:highlight w:val="none"/>
        </w:rPr>
      </w:pPr>
      <w:r>
        <w:rPr>
          <w:rFonts w:hAnsi="宋体"/>
          <w:color w:val="auto"/>
          <w:highlight w:val="none"/>
        </w:rPr>
        <w:br w:type="page"/>
      </w:r>
    </w:p>
    <w:p>
      <w:pPr>
        <w:jc w:val="center"/>
        <w:rPr>
          <w:color w:val="auto"/>
          <w:highlight w:val="none"/>
        </w:rPr>
      </w:pPr>
      <w:r>
        <w:rPr>
          <w:rFonts w:hint="eastAsia" w:ascii="黑体" w:eastAsia="黑体"/>
          <w:color w:val="auto"/>
          <w:sz w:val="28"/>
          <w:szCs w:val="28"/>
          <w:highlight w:val="none"/>
        </w:rPr>
        <w:t>四、</w:t>
      </w:r>
      <w:r>
        <w:rPr>
          <w:rFonts w:ascii="黑体" w:eastAsia="黑体"/>
          <w:color w:val="auto"/>
          <w:sz w:val="28"/>
          <w:szCs w:val="28"/>
          <w:highlight w:val="none"/>
        </w:rPr>
        <w:t>农民工工资保障金承诺书</w:t>
      </w:r>
    </w:p>
    <w:p>
      <w:pPr>
        <w:pStyle w:val="17"/>
        <w:spacing w:after="50" w:line="400" w:lineRule="exact"/>
        <w:rPr>
          <w:rFonts w:hAnsi="Times New Roman"/>
          <w:b/>
          <w:color w:val="auto"/>
          <w:sz w:val="28"/>
          <w:highlight w:val="none"/>
        </w:rPr>
      </w:pPr>
    </w:p>
    <w:p>
      <w:pPr>
        <w:pStyle w:val="17"/>
        <w:spacing w:after="50" w:line="400" w:lineRule="exact"/>
        <w:rPr>
          <w:rFonts w:hAnsi="Times New Roman"/>
          <w:bCs/>
          <w:color w:val="auto"/>
          <w:highlight w:val="none"/>
        </w:rPr>
      </w:pPr>
      <w:r>
        <w:rPr>
          <w:rFonts w:hint="eastAsia" w:hAnsi="Times New Roman"/>
          <w:bCs/>
          <w:color w:val="auto"/>
          <w:highlight w:val="none"/>
        </w:rPr>
        <w:t>竞标人应在竞标文件中出具农民工工资保障金承诺书，主要承诺以下内容：</w:t>
      </w:r>
    </w:p>
    <w:p>
      <w:pPr>
        <w:pStyle w:val="17"/>
        <w:spacing w:after="50" w:line="400" w:lineRule="exact"/>
        <w:ind w:firstLine="420" w:firstLineChars="200"/>
        <w:rPr>
          <w:rFonts w:hAnsi="Times New Roman"/>
          <w:bCs/>
          <w:color w:val="auto"/>
          <w:highlight w:val="none"/>
        </w:rPr>
      </w:pPr>
      <w:r>
        <w:rPr>
          <w:rFonts w:hint="eastAsia" w:hAnsi="Times New Roman"/>
          <w:bCs/>
          <w:color w:val="auto"/>
          <w:highlight w:val="none"/>
        </w:rPr>
        <w:t>1.竞标人成交后7个工作日内，按成交金额的2%且不多于80万元的农民工工资保障金足额交纳到指定的账户；</w:t>
      </w:r>
    </w:p>
    <w:p>
      <w:pPr>
        <w:spacing w:after="50" w:line="400" w:lineRule="exact"/>
        <w:ind w:firstLine="420" w:firstLineChars="200"/>
        <w:rPr>
          <w:rFonts w:ascii="宋体"/>
          <w:bCs/>
          <w:color w:val="auto"/>
          <w:highlight w:val="none"/>
        </w:rPr>
      </w:pPr>
      <w:r>
        <w:rPr>
          <w:rFonts w:hint="eastAsia" w:ascii="宋体"/>
          <w:bCs/>
          <w:color w:val="auto"/>
          <w:highlight w:val="none"/>
        </w:rPr>
        <w:t>2.一旦竞标人承建的</w:t>
      </w:r>
      <w:r>
        <w:rPr>
          <w:rFonts w:hint="eastAsia" w:ascii="宋体" w:hAnsi="Courier New"/>
          <w:color w:val="auto"/>
          <w:szCs w:val="20"/>
          <w:highlight w:val="none"/>
        </w:rPr>
        <w:t>项目</w:t>
      </w:r>
      <w:r>
        <w:rPr>
          <w:rFonts w:hint="eastAsia" w:ascii="宋体"/>
          <w:bCs/>
          <w:color w:val="auto"/>
          <w:highlight w:val="none"/>
        </w:rPr>
        <w:t>中出现拖欠农民工和工人工资情况，从其农民工工资保障金中先予划支；</w:t>
      </w:r>
    </w:p>
    <w:p>
      <w:pPr>
        <w:spacing w:after="50" w:line="400" w:lineRule="exact"/>
        <w:rPr>
          <w:rFonts w:ascii="宋体"/>
          <w:bCs/>
          <w:color w:val="auto"/>
          <w:sz w:val="28"/>
          <w:highlight w:val="none"/>
        </w:rPr>
      </w:pPr>
    </w:p>
    <w:p>
      <w:pPr>
        <w:spacing w:after="50" w:line="400" w:lineRule="exact"/>
        <w:rPr>
          <w:rFonts w:ascii="宋体"/>
          <w:bCs/>
          <w:color w:val="auto"/>
          <w:sz w:val="28"/>
          <w:highlight w:val="none"/>
        </w:rPr>
      </w:pPr>
    </w:p>
    <w:p>
      <w:pPr>
        <w:spacing w:after="50" w:line="400" w:lineRule="exact"/>
        <w:rPr>
          <w:rFonts w:ascii="宋体"/>
          <w:bCs/>
          <w:color w:val="auto"/>
          <w:sz w:val="28"/>
          <w:highlight w:val="none"/>
        </w:rPr>
      </w:pPr>
    </w:p>
    <w:p>
      <w:pPr>
        <w:pStyle w:val="17"/>
        <w:rPr>
          <w:color w:val="auto"/>
          <w:highlight w:val="none"/>
          <w:u w:val="single"/>
        </w:rPr>
      </w:pPr>
      <w:r>
        <w:rPr>
          <w:rFonts w:hint="eastAsia"/>
          <w:color w:val="auto"/>
          <w:highlight w:val="none"/>
        </w:rPr>
        <w:t>项目名称：</w:t>
      </w:r>
      <w:r>
        <w:rPr>
          <w:rFonts w:hint="eastAsia"/>
          <w:color w:val="auto"/>
          <w:highlight w:val="none"/>
          <w:u w:val="single"/>
        </w:rPr>
        <w:t xml:space="preserve">                                 </w:t>
      </w:r>
    </w:p>
    <w:p>
      <w:pPr>
        <w:pStyle w:val="17"/>
        <w:rPr>
          <w:color w:val="auto"/>
          <w:highlight w:val="none"/>
        </w:rPr>
      </w:pPr>
    </w:p>
    <w:p>
      <w:pPr>
        <w:pStyle w:val="17"/>
        <w:rPr>
          <w:color w:val="auto"/>
          <w:highlight w:val="none"/>
          <w:u w:val="single"/>
        </w:rPr>
      </w:pPr>
      <w:r>
        <w:rPr>
          <w:rFonts w:hint="eastAsia"/>
          <w:color w:val="auto"/>
          <w:highlight w:val="none"/>
        </w:rPr>
        <w:t>项目编号：</w:t>
      </w:r>
      <w:r>
        <w:rPr>
          <w:rFonts w:hint="eastAsia"/>
          <w:color w:val="auto"/>
          <w:highlight w:val="none"/>
          <w:u w:val="single"/>
        </w:rPr>
        <w:t xml:space="preserve">                                 </w:t>
      </w:r>
    </w:p>
    <w:p>
      <w:pPr>
        <w:spacing w:after="50" w:line="400" w:lineRule="exact"/>
        <w:rPr>
          <w:rFonts w:ascii="宋体"/>
          <w:bCs/>
          <w:color w:val="auto"/>
          <w:sz w:val="28"/>
          <w:highlight w:val="none"/>
        </w:rPr>
      </w:pPr>
    </w:p>
    <w:p>
      <w:pPr>
        <w:pStyle w:val="48"/>
        <w:spacing w:after="50" w:line="400" w:lineRule="exact"/>
        <w:rPr>
          <w:rFonts w:hAnsi="Times New Roman"/>
          <w:bCs/>
          <w:color w:val="auto"/>
          <w:szCs w:val="24"/>
          <w:highlight w:val="none"/>
        </w:rPr>
      </w:pPr>
      <w:r>
        <w:rPr>
          <w:rFonts w:hint="eastAsia" w:hAnsi="Times New Roman"/>
          <w:bCs/>
          <w:color w:val="auto"/>
          <w:szCs w:val="24"/>
          <w:highlight w:val="none"/>
        </w:rPr>
        <w:t>竞标人：</w:t>
      </w:r>
      <w:r>
        <w:rPr>
          <w:rFonts w:hint="eastAsia" w:hAnsi="Times New Roman"/>
          <w:bCs/>
          <w:color w:val="auto"/>
          <w:szCs w:val="24"/>
          <w:highlight w:val="none"/>
          <w:u w:val="single"/>
        </w:rPr>
        <w:t xml:space="preserve">   （全称）                  </w:t>
      </w:r>
      <w:r>
        <w:rPr>
          <w:rFonts w:hint="eastAsia" w:hAnsi="Times New Roman"/>
          <w:bCs/>
          <w:color w:val="auto"/>
          <w:szCs w:val="24"/>
          <w:highlight w:val="none"/>
        </w:rPr>
        <w:t>（盖单位章）</w:t>
      </w:r>
    </w:p>
    <w:p>
      <w:pPr>
        <w:spacing w:after="50" w:line="400" w:lineRule="exact"/>
        <w:rPr>
          <w:color w:val="auto"/>
          <w:highlight w:val="none"/>
        </w:rPr>
      </w:pPr>
    </w:p>
    <w:p>
      <w:pPr>
        <w:spacing w:after="50" w:line="400" w:lineRule="exact"/>
        <w:rPr>
          <w:rFonts w:ascii="宋体"/>
          <w:bCs/>
          <w:color w:val="auto"/>
          <w:highlight w:val="none"/>
        </w:rPr>
      </w:pPr>
      <w:r>
        <w:rPr>
          <w:rFonts w:hint="eastAsia"/>
          <w:color w:val="auto"/>
          <w:highlight w:val="none"/>
        </w:rPr>
        <w:t>法定代表人或授权委托代理人</w:t>
      </w:r>
      <w:r>
        <w:rPr>
          <w:rFonts w:hint="eastAsia" w:ascii="宋体"/>
          <w:bCs/>
          <w:color w:val="auto"/>
          <w:highlight w:val="none"/>
        </w:rPr>
        <w:t>：</w:t>
      </w:r>
      <w:r>
        <w:rPr>
          <w:rFonts w:hint="eastAsia" w:ascii="宋体"/>
          <w:bCs/>
          <w:color w:val="auto"/>
          <w:highlight w:val="none"/>
          <w:u w:val="single"/>
        </w:rPr>
        <w:t xml:space="preserve">             </w:t>
      </w:r>
      <w:r>
        <w:rPr>
          <w:rFonts w:hint="eastAsia" w:ascii="宋体"/>
          <w:bCs/>
          <w:color w:val="auto"/>
          <w:highlight w:val="none"/>
        </w:rPr>
        <w:t>（签字）</w:t>
      </w:r>
    </w:p>
    <w:p>
      <w:pPr>
        <w:spacing w:after="50" w:line="400" w:lineRule="exact"/>
        <w:ind w:firstLine="1260" w:firstLineChars="600"/>
        <w:rPr>
          <w:rFonts w:ascii="宋体"/>
          <w:bCs/>
          <w:color w:val="auto"/>
          <w:highlight w:val="none"/>
        </w:rPr>
      </w:pPr>
    </w:p>
    <w:p>
      <w:pPr>
        <w:ind w:firstLine="1785" w:firstLineChars="850"/>
        <w:rPr>
          <w:color w:val="auto"/>
          <w:highlight w:val="none"/>
        </w:rPr>
      </w:pPr>
      <w:r>
        <w:rPr>
          <w:rFonts w:hint="eastAsia"/>
          <w:color w:val="auto"/>
          <w:highlight w:val="none"/>
        </w:rPr>
        <w:t>年   月   日</w:t>
      </w:r>
    </w:p>
    <w:p>
      <w:pPr>
        <w:jc w:val="center"/>
        <w:rPr>
          <w:rFonts w:ascii="黑体" w:eastAsia="黑体"/>
          <w:color w:val="auto"/>
          <w:sz w:val="28"/>
          <w:szCs w:val="28"/>
          <w:highlight w:val="none"/>
        </w:rPr>
      </w:pPr>
    </w:p>
    <w:p>
      <w:pPr>
        <w:jc w:val="center"/>
        <w:rPr>
          <w:rFonts w:ascii="黑体" w:eastAsia="黑体"/>
          <w:color w:val="auto"/>
          <w:sz w:val="28"/>
          <w:szCs w:val="28"/>
          <w:highlight w:val="none"/>
        </w:rPr>
      </w:pPr>
    </w:p>
    <w:p>
      <w:pPr>
        <w:jc w:val="center"/>
        <w:rPr>
          <w:color w:val="auto"/>
          <w:highlight w:val="none"/>
        </w:rPr>
      </w:pPr>
      <w:r>
        <w:rPr>
          <w:rFonts w:hint="eastAsia" w:ascii="黑体" w:eastAsia="黑体"/>
          <w:color w:val="auto"/>
          <w:sz w:val="28"/>
          <w:szCs w:val="28"/>
          <w:highlight w:val="none"/>
        </w:rPr>
        <w:t>五、竞标保证金交款凭证</w:t>
      </w:r>
    </w:p>
    <w:p>
      <w:pPr>
        <w:rPr>
          <w:rFonts w:ascii="宋体" w:hAnsi="宋体"/>
          <w:color w:val="auto"/>
          <w:highlight w:val="none"/>
        </w:rPr>
      </w:pPr>
    </w:p>
    <w:p>
      <w:pPr>
        <w:rPr>
          <w:rFonts w:ascii="宋体" w:hAnsi="宋体"/>
          <w:color w:val="auto"/>
          <w:highlight w:val="none"/>
        </w:rPr>
      </w:pPr>
    </w:p>
    <w:p>
      <w:pPr>
        <w:jc w:val="center"/>
        <w:rPr>
          <w:rFonts w:ascii="宋体" w:hAnsi="宋体"/>
          <w:color w:val="auto"/>
          <w:highlight w:val="none"/>
        </w:rPr>
      </w:pPr>
      <w:r>
        <w:rPr>
          <w:rFonts w:hint="eastAsia" w:ascii="宋体" w:hAnsi="宋体"/>
          <w:color w:val="auto"/>
          <w:highlight w:val="none"/>
        </w:rPr>
        <w:t>（附竞标保证金交款凭证复印件，原件核查</w:t>
      </w:r>
      <w:r>
        <w:rPr>
          <w:rFonts w:ascii="宋体" w:hAnsi="宋体"/>
          <w:color w:val="auto"/>
          <w:highlight w:val="none"/>
        </w:rPr>
        <w:t>)</w:t>
      </w:r>
    </w:p>
    <w:p>
      <w:pPr>
        <w:pStyle w:val="17"/>
        <w:snapToGrid w:val="0"/>
        <w:spacing w:line="294" w:lineRule="atLeast"/>
        <w:rPr>
          <w:rFonts w:hAnsi="宋体"/>
          <w:color w:val="auto"/>
          <w:highlight w:val="none"/>
        </w:rPr>
      </w:pPr>
    </w:p>
    <w:p>
      <w:pPr>
        <w:pStyle w:val="17"/>
        <w:snapToGrid w:val="0"/>
        <w:spacing w:line="289" w:lineRule="atLeast"/>
        <w:rPr>
          <w:rFonts w:hAnsi="宋体"/>
          <w:color w:val="auto"/>
          <w:sz w:val="24"/>
          <w:highlight w:val="none"/>
        </w:rPr>
      </w:pPr>
    </w:p>
    <w:p>
      <w:pPr>
        <w:pStyle w:val="17"/>
        <w:snapToGrid w:val="0"/>
        <w:spacing w:line="402" w:lineRule="atLeast"/>
        <w:rPr>
          <w:rFonts w:hAnsi="宋体"/>
          <w:color w:val="auto"/>
          <w:sz w:val="24"/>
          <w:highlight w:val="none"/>
        </w:rPr>
      </w:pPr>
    </w:p>
    <w:p>
      <w:pPr>
        <w:pStyle w:val="17"/>
        <w:snapToGrid w:val="0"/>
        <w:spacing w:line="402" w:lineRule="atLeast"/>
        <w:rPr>
          <w:rFonts w:hAnsi="宋体"/>
          <w:color w:val="auto"/>
          <w:sz w:val="24"/>
          <w:highlight w:val="none"/>
        </w:rPr>
      </w:pPr>
    </w:p>
    <w:p>
      <w:pPr>
        <w:pStyle w:val="17"/>
        <w:snapToGrid w:val="0"/>
        <w:spacing w:line="402" w:lineRule="atLeast"/>
        <w:rPr>
          <w:rFonts w:hAnsi="宋体"/>
          <w:color w:val="auto"/>
          <w:sz w:val="24"/>
          <w:highlight w:val="none"/>
        </w:rPr>
      </w:pPr>
    </w:p>
    <w:p>
      <w:pPr>
        <w:spacing w:line="360" w:lineRule="auto"/>
        <w:jc w:val="center"/>
        <w:rPr>
          <w:rFonts w:ascii="宋体" w:hAnsi="宋体"/>
          <w:color w:val="auto"/>
          <w:highlight w:val="none"/>
        </w:rPr>
      </w:pPr>
      <w:r>
        <w:rPr>
          <w:rFonts w:hAnsi="宋体"/>
          <w:color w:val="auto"/>
          <w:sz w:val="24"/>
          <w:highlight w:val="none"/>
        </w:rPr>
        <w:br w:type="page"/>
      </w:r>
      <w:bookmarkEnd w:id="200"/>
      <w:bookmarkEnd w:id="201"/>
      <w:bookmarkEnd w:id="202"/>
      <w:r>
        <w:rPr>
          <w:rFonts w:hint="eastAsia" w:ascii="黑体" w:eastAsia="黑体"/>
          <w:color w:val="auto"/>
          <w:sz w:val="28"/>
          <w:szCs w:val="28"/>
          <w:highlight w:val="none"/>
        </w:rPr>
        <w:t>六、</w:t>
      </w:r>
      <w:r>
        <w:rPr>
          <w:rFonts w:ascii="黑体" w:eastAsia="黑体"/>
          <w:color w:val="auto"/>
          <w:sz w:val="28"/>
          <w:szCs w:val="28"/>
          <w:highlight w:val="none"/>
        </w:rPr>
        <w:t>安全防护、文明施工措施方案的承诺书</w:t>
      </w:r>
    </w:p>
    <w:p>
      <w:pPr>
        <w:spacing w:line="540" w:lineRule="exact"/>
        <w:jc w:val="left"/>
        <w:rPr>
          <w:rFonts w:ascii="宋体" w:hAnsi="宋体"/>
          <w:color w:val="auto"/>
          <w:highlight w:val="none"/>
        </w:rPr>
      </w:pPr>
    </w:p>
    <w:p>
      <w:pPr>
        <w:spacing w:line="540" w:lineRule="exact"/>
        <w:jc w:val="left"/>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 xml:space="preserve">      （采购人名称）     </w:t>
      </w:r>
      <w:r>
        <w:rPr>
          <w:rFonts w:hint="eastAsia" w:ascii="宋体" w:hAnsi="宋体"/>
          <w:color w:val="auto"/>
          <w:highlight w:val="none"/>
        </w:rPr>
        <w:t>：</w:t>
      </w:r>
    </w:p>
    <w:p>
      <w:pPr>
        <w:spacing w:line="540" w:lineRule="exact"/>
        <w:ind w:firstLine="422" w:firstLineChars="201"/>
        <w:jc w:val="left"/>
        <w:rPr>
          <w:rFonts w:ascii="宋体" w:hAnsi="宋体"/>
          <w:color w:val="auto"/>
          <w:highlight w:val="none"/>
        </w:rPr>
      </w:pPr>
      <w:r>
        <w:rPr>
          <w:rFonts w:hint="eastAsia" w:ascii="宋体" w:hAnsi="宋体"/>
          <w:color w:val="auto"/>
          <w:highlight w:val="none"/>
        </w:rPr>
        <w:t>根据桂</w:t>
      </w:r>
      <w:r>
        <w:rPr>
          <w:rFonts w:ascii="宋体" w:hAnsi="宋体"/>
          <w:color w:val="auto"/>
          <w:highlight w:val="none"/>
        </w:rPr>
        <w:t>建质安[2006]</w:t>
      </w:r>
      <w:r>
        <w:rPr>
          <w:rFonts w:hint="eastAsia" w:ascii="宋体" w:hAnsi="宋体"/>
          <w:color w:val="auto"/>
          <w:highlight w:val="none"/>
        </w:rPr>
        <w:t>22</w:t>
      </w:r>
      <w:r>
        <w:rPr>
          <w:rFonts w:ascii="宋体" w:hAnsi="宋体"/>
          <w:color w:val="auto"/>
          <w:highlight w:val="none"/>
        </w:rPr>
        <w:t>号</w:t>
      </w:r>
      <w:r>
        <w:rPr>
          <w:rFonts w:hint="eastAsia" w:ascii="宋体" w:hAnsi="宋体"/>
          <w:color w:val="auto"/>
          <w:highlight w:val="none"/>
        </w:rPr>
        <w:t>文件规定，我方在此向采购人承诺：</w:t>
      </w:r>
    </w:p>
    <w:p>
      <w:pPr>
        <w:spacing w:line="540" w:lineRule="exact"/>
        <w:ind w:left="-10" w:firstLine="455" w:firstLineChars="217"/>
        <w:jc w:val="left"/>
        <w:rPr>
          <w:rFonts w:ascii="宋体" w:hAnsi="宋体"/>
          <w:color w:val="auto"/>
          <w:highlight w:val="none"/>
        </w:rPr>
      </w:pPr>
      <w:r>
        <w:rPr>
          <w:rFonts w:hint="eastAsia" w:ascii="宋体" w:hAnsi="宋体"/>
          <w:color w:val="auto"/>
          <w:highlight w:val="none"/>
        </w:rPr>
        <w:t>1．我方参与竞标的</w:t>
      </w:r>
      <w:r>
        <w:rPr>
          <w:rFonts w:hint="eastAsia" w:ascii="宋体" w:hAnsi="宋体"/>
          <w:color w:val="auto"/>
          <w:highlight w:val="none"/>
          <w:u w:val="single"/>
        </w:rPr>
        <w:t xml:space="preserve">    （工程名称）   </w:t>
      </w:r>
      <w:r>
        <w:rPr>
          <w:rFonts w:hint="eastAsia" w:ascii="宋体" w:hAnsi="宋体"/>
          <w:color w:val="auto"/>
          <w:highlight w:val="none"/>
        </w:rPr>
        <w:t>项目，一旦成交，我方保证在施工过程中，严格执行《广西壮族自治区建筑工程安全防护、文明施工措施费及使用管理细则》（桂</w:t>
      </w:r>
      <w:r>
        <w:rPr>
          <w:rFonts w:ascii="宋体" w:hAnsi="宋体"/>
          <w:color w:val="auto"/>
          <w:highlight w:val="none"/>
        </w:rPr>
        <w:t>建质安[2006]</w:t>
      </w:r>
      <w:r>
        <w:rPr>
          <w:rFonts w:hint="eastAsia" w:ascii="宋体" w:hAnsi="宋体"/>
          <w:color w:val="auto"/>
          <w:highlight w:val="none"/>
        </w:rPr>
        <w:t>22</w:t>
      </w:r>
      <w:r>
        <w:rPr>
          <w:rFonts w:ascii="宋体" w:hAnsi="宋体"/>
          <w:color w:val="auto"/>
          <w:highlight w:val="none"/>
        </w:rPr>
        <w:t>号</w:t>
      </w:r>
      <w:r>
        <w:rPr>
          <w:rFonts w:hint="eastAsia" w:ascii="宋体" w:hAnsi="宋体"/>
          <w:color w:val="auto"/>
          <w:highlight w:val="none"/>
        </w:rPr>
        <w:t>文）的有关规定，确保建设工程各项安全防护、文明施工措施落实到位。</w:t>
      </w:r>
    </w:p>
    <w:p>
      <w:pPr>
        <w:spacing w:line="540" w:lineRule="exact"/>
        <w:ind w:left="-10" w:firstLine="455" w:firstLineChars="217"/>
        <w:jc w:val="left"/>
        <w:rPr>
          <w:rFonts w:ascii="宋体" w:hAnsi="宋体"/>
          <w:color w:val="auto"/>
          <w:highlight w:val="none"/>
        </w:rPr>
      </w:pPr>
      <w:r>
        <w:rPr>
          <w:rFonts w:hint="eastAsia" w:ascii="宋体" w:hAnsi="宋体"/>
          <w:color w:val="auto"/>
          <w:highlight w:val="none"/>
        </w:rPr>
        <w:t>2．如我方在承包的</w:t>
      </w:r>
      <w:r>
        <w:rPr>
          <w:rFonts w:hint="eastAsia" w:ascii="宋体" w:hAnsi="宋体"/>
          <w:color w:val="auto"/>
          <w:highlight w:val="none"/>
          <w:u w:val="single"/>
        </w:rPr>
        <w:t xml:space="preserve">    （工程名称）    </w:t>
      </w:r>
      <w:r>
        <w:rPr>
          <w:rFonts w:hint="eastAsia" w:ascii="宋体" w:hAnsi="宋体"/>
          <w:color w:val="auto"/>
          <w:highlight w:val="none"/>
        </w:rPr>
        <w:t>项目中出现未按桂</w:t>
      </w:r>
      <w:r>
        <w:rPr>
          <w:rFonts w:ascii="宋体" w:hAnsi="宋体"/>
          <w:color w:val="auto"/>
          <w:highlight w:val="none"/>
        </w:rPr>
        <w:t>建质安[2006]</w:t>
      </w:r>
      <w:r>
        <w:rPr>
          <w:rFonts w:hint="eastAsia" w:ascii="宋体" w:hAnsi="宋体"/>
          <w:color w:val="auto"/>
          <w:highlight w:val="none"/>
        </w:rPr>
        <w:t>22</w:t>
      </w:r>
      <w:r>
        <w:rPr>
          <w:rFonts w:ascii="宋体" w:hAnsi="宋体"/>
          <w:color w:val="auto"/>
          <w:highlight w:val="none"/>
        </w:rPr>
        <w:t>号</w:t>
      </w:r>
      <w:r>
        <w:rPr>
          <w:rFonts w:hint="eastAsia" w:ascii="宋体" w:hAnsi="宋体"/>
          <w:color w:val="auto"/>
          <w:highlight w:val="none"/>
        </w:rPr>
        <w:t>文附件一规定执行的情形，我方愿意按照相关规定接受建设单位及有关主管部门的处罚。</w:t>
      </w:r>
    </w:p>
    <w:p>
      <w:pPr>
        <w:spacing w:line="540" w:lineRule="exact"/>
        <w:jc w:val="left"/>
        <w:rPr>
          <w:rFonts w:ascii="宋体" w:hAnsi="宋体"/>
          <w:color w:val="auto"/>
          <w:highlight w:val="none"/>
        </w:rPr>
      </w:pPr>
    </w:p>
    <w:p>
      <w:pPr>
        <w:spacing w:line="540" w:lineRule="exact"/>
        <w:jc w:val="left"/>
        <w:rPr>
          <w:rFonts w:ascii="宋体" w:hAnsi="宋体"/>
          <w:color w:val="auto"/>
          <w:highlight w:val="none"/>
        </w:rPr>
      </w:pPr>
    </w:p>
    <w:p>
      <w:pPr>
        <w:spacing w:line="540" w:lineRule="exact"/>
        <w:ind w:firstLine="2186" w:firstLineChars="1041"/>
        <w:jc w:val="left"/>
        <w:rPr>
          <w:rFonts w:ascii="宋体" w:hAnsi="宋体"/>
          <w:color w:val="auto"/>
          <w:highlight w:val="none"/>
          <w:u w:val="single"/>
        </w:rPr>
      </w:pPr>
      <w:r>
        <w:rPr>
          <w:rFonts w:hint="eastAsia" w:ascii="宋体" w:hAnsi="宋体"/>
          <w:color w:val="auto"/>
          <w:highlight w:val="none"/>
        </w:rPr>
        <w:t>竞标人：</w:t>
      </w:r>
      <w:r>
        <w:rPr>
          <w:rFonts w:hint="eastAsia" w:ascii="宋体" w:hAnsi="宋体"/>
          <w:color w:val="auto"/>
          <w:highlight w:val="none"/>
          <w:u w:val="single"/>
        </w:rPr>
        <w:t xml:space="preserve">    （全称）              （盖单位章）</w:t>
      </w:r>
    </w:p>
    <w:p>
      <w:pPr>
        <w:spacing w:line="540" w:lineRule="exact"/>
        <w:ind w:firstLine="2186" w:firstLineChars="1041"/>
        <w:jc w:val="left"/>
        <w:rPr>
          <w:rFonts w:ascii="宋体" w:hAnsi="宋体"/>
          <w:color w:val="auto"/>
          <w:highlight w:val="none"/>
          <w:u w:val="singl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（签字）</w:t>
      </w:r>
    </w:p>
    <w:p>
      <w:pPr>
        <w:spacing w:line="540" w:lineRule="exact"/>
        <w:ind w:firstLine="2186" w:firstLineChars="1041"/>
        <w:jc w:val="left"/>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500" w:lineRule="exact"/>
        <w:rPr>
          <w:rFonts w:ascii="宋体" w:hAnsi="宋体"/>
          <w:b/>
          <w:bCs/>
          <w:color w:val="auto"/>
          <w:sz w:val="24"/>
          <w:highlight w:val="none"/>
        </w:rPr>
      </w:pPr>
    </w:p>
    <w:p>
      <w:pPr>
        <w:spacing w:line="360" w:lineRule="auto"/>
        <w:jc w:val="center"/>
        <w:rPr>
          <w:color w:val="auto"/>
          <w:highlight w:val="none"/>
        </w:rPr>
      </w:pPr>
      <w:r>
        <w:rPr>
          <w:color w:val="auto"/>
          <w:szCs w:val="36"/>
          <w:highlight w:val="none"/>
        </w:rPr>
        <w:br w:type="page"/>
      </w:r>
      <w:r>
        <w:rPr>
          <w:rFonts w:hint="eastAsia" w:ascii="黑体" w:hAnsi="宋体" w:eastAsia="黑体"/>
          <w:bCs/>
          <w:color w:val="auto"/>
          <w:sz w:val="28"/>
          <w:szCs w:val="28"/>
          <w:highlight w:val="none"/>
        </w:rPr>
        <w:t>桂建质安[2006]22号文附件一</w:t>
      </w:r>
    </w:p>
    <w:p>
      <w:pPr>
        <w:jc w:val="center"/>
        <w:rPr>
          <w:rFonts w:ascii="宋体" w:hAnsi="宋体"/>
          <w:b/>
          <w:color w:val="auto"/>
          <w:sz w:val="28"/>
          <w:szCs w:val="28"/>
          <w:highlight w:val="none"/>
        </w:rPr>
      </w:pPr>
      <w:r>
        <w:rPr>
          <w:rFonts w:hint="eastAsia" w:ascii="宋体" w:hAnsi="宋体"/>
          <w:b/>
          <w:color w:val="auto"/>
          <w:sz w:val="28"/>
          <w:szCs w:val="28"/>
          <w:highlight w:val="none"/>
        </w:rPr>
        <w:t>广西壮族自治区建筑工程安全防护、文明施工措施项目清单内容</w:t>
      </w:r>
    </w:p>
    <w:tbl>
      <w:tblPr>
        <w:tblStyle w:val="33"/>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850"/>
        <w:gridCol w:w="141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9" w:type="dxa"/>
            <w:vAlign w:val="center"/>
          </w:tcPr>
          <w:p>
            <w:pPr>
              <w:jc w:val="center"/>
              <w:rPr>
                <w:rFonts w:ascii="宋体" w:hAnsi="宋体"/>
                <w:color w:val="auto"/>
                <w:highlight w:val="none"/>
              </w:rPr>
            </w:pPr>
            <w:r>
              <w:rPr>
                <w:rFonts w:hint="eastAsia" w:ascii="宋体" w:hAnsi="宋体"/>
                <w:color w:val="auto"/>
                <w:highlight w:val="none"/>
              </w:rPr>
              <w:t>类别</w:t>
            </w: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项目名称</w:t>
            </w:r>
          </w:p>
        </w:tc>
        <w:tc>
          <w:tcPr>
            <w:tcW w:w="6813" w:type="dxa"/>
            <w:vAlign w:val="center"/>
          </w:tcPr>
          <w:p>
            <w:pPr>
              <w:jc w:val="center"/>
              <w:rPr>
                <w:rFonts w:ascii="宋体" w:hAnsi="宋体"/>
                <w:color w:val="auto"/>
                <w:highlight w:val="none"/>
              </w:rPr>
            </w:pPr>
            <w:r>
              <w:rPr>
                <w:rFonts w:hint="eastAsia" w:ascii="宋体" w:hAnsi="宋体"/>
                <w:color w:val="auto"/>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restart"/>
            <w:vAlign w:val="center"/>
          </w:tcPr>
          <w:p>
            <w:pPr>
              <w:jc w:val="center"/>
              <w:rPr>
                <w:rFonts w:ascii="宋体" w:hAnsi="宋体"/>
                <w:color w:val="auto"/>
                <w:highlight w:val="none"/>
              </w:rPr>
            </w:pPr>
            <w:r>
              <w:rPr>
                <w:rFonts w:hint="eastAsia" w:ascii="宋体" w:hAnsi="宋体"/>
                <w:color w:val="auto"/>
                <w:highlight w:val="none"/>
              </w:rPr>
              <w:t>文明施工与</w:t>
            </w:r>
          </w:p>
          <w:p>
            <w:pPr>
              <w:jc w:val="center"/>
              <w:rPr>
                <w:rFonts w:ascii="宋体" w:hAnsi="宋体"/>
                <w:color w:val="auto"/>
                <w:highlight w:val="none"/>
              </w:rPr>
            </w:pPr>
            <w:r>
              <w:rPr>
                <w:rFonts w:hint="eastAsia" w:ascii="宋体" w:hAnsi="宋体"/>
                <w:color w:val="auto"/>
                <w:highlight w:val="none"/>
              </w:rPr>
              <w:t>环境保护</w:t>
            </w: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安全警示</w:t>
            </w:r>
          </w:p>
          <w:p>
            <w:pPr>
              <w:jc w:val="center"/>
              <w:rPr>
                <w:rFonts w:ascii="宋体" w:hAnsi="宋体"/>
                <w:color w:val="auto"/>
                <w:highlight w:val="none"/>
              </w:rPr>
            </w:pPr>
            <w:r>
              <w:rPr>
                <w:rFonts w:hint="eastAsia" w:ascii="宋体" w:hAnsi="宋体"/>
                <w:color w:val="auto"/>
                <w:highlight w:val="none"/>
              </w:rPr>
              <w:t>标志牌</w:t>
            </w:r>
          </w:p>
        </w:tc>
        <w:tc>
          <w:tcPr>
            <w:tcW w:w="6813" w:type="dxa"/>
          </w:tcPr>
          <w:p>
            <w:pPr>
              <w:rPr>
                <w:rFonts w:ascii="宋体" w:hAnsi="宋体"/>
                <w:color w:val="auto"/>
                <w:highlight w:val="none"/>
              </w:rPr>
            </w:pPr>
            <w:r>
              <w:rPr>
                <w:rFonts w:hint="eastAsia" w:ascii="宋体" w:hAnsi="宋体"/>
                <w:color w:val="auto"/>
                <w:highlight w:val="none"/>
              </w:rPr>
              <w:t>在易发伤亡事故（或危险）处设置明显的、符合国家标准要求的安全警示标志牌。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现场围挡</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1.现场采用封闭围挡，高度不小于1.8m。</w:t>
            </w:r>
          </w:p>
          <w:p>
            <w:pPr>
              <w:adjustRightInd w:val="0"/>
              <w:textAlignment w:val="baseline"/>
              <w:rPr>
                <w:rFonts w:ascii="宋体" w:hAnsi="宋体"/>
                <w:color w:val="auto"/>
                <w:highlight w:val="none"/>
              </w:rPr>
            </w:pPr>
            <w:r>
              <w:rPr>
                <w:rFonts w:hint="eastAsia" w:ascii="宋体" w:hAnsi="宋体"/>
                <w:color w:val="auto"/>
                <w:highlight w:val="none"/>
              </w:rPr>
              <w:t>2.围挡材料可用彩色、定型钢板，砖、砼砌块等墙体。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五板一图</w:t>
            </w:r>
          </w:p>
        </w:tc>
        <w:tc>
          <w:tcPr>
            <w:tcW w:w="6813" w:type="dxa"/>
          </w:tcPr>
          <w:p>
            <w:pPr>
              <w:rPr>
                <w:rFonts w:ascii="宋体" w:hAnsi="宋体"/>
                <w:color w:val="auto"/>
                <w:highlight w:val="none"/>
              </w:rPr>
            </w:pPr>
            <w:r>
              <w:rPr>
                <w:rFonts w:hint="eastAsia" w:ascii="宋体" w:hAnsi="宋体"/>
                <w:color w:val="auto"/>
                <w:highlight w:val="none"/>
              </w:rPr>
              <w:t>在进门处悬挂工程概况、管理人员名单及监督电话、安全生产规定、文明施工、消防保卫五板；施工现场总平面图。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企业标志</w:t>
            </w:r>
          </w:p>
        </w:tc>
        <w:tc>
          <w:tcPr>
            <w:tcW w:w="6813" w:type="dxa"/>
            <w:vAlign w:val="center"/>
          </w:tcPr>
          <w:p>
            <w:pPr>
              <w:rPr>
                <w:rFonts w:ascii="宋体" w:hAnsi="宋体"/>
                <w:color w:val="auto"/>
                <w:highlight w:val="none"/>
              </w:rPr>
            </w:pPr>
            <w:r>
              <w:rPr>
                <w:rFonts w:hint="eastAsia" w:ascii="宋体" w:hAnsi="宋体"/>
                <w:color w:val="auto"/>
                <w:highlight w:val="none"/>
              </w:rPr>
              <w:t>现场出入的大门应设有本企业标志或企业标识。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场容场貌</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1.道路畅通；</w:t>
            </w:r>
          </w:p>
          <w:p>
            <w:pPr>
              <w:adjustRightInd w:val="0"/>
              <w:textAlignment w:val="baseline"/>
              <w:rPr>
                <w:rFonts w:ascii="宋体" w:hAnsi="宋体"/>
                <w:color w:val="auto"/>
                <w:highlight w:val="none"/>
              </w:rPr>
            </w:pPr>
            <w:r>
              <w:rPr>
                <w:rFonts w:hint="eastAsia" w:ascii="宋体" w:hAnsi="宋体"/>
                <w:color w:val="auto"/>
                <w:highlight w:val="none"/>
              </w:rPr>
              <w:t>2.排水沟、排水设施畅通；</w:t>
            </w:r>
          </w:p>
          <w:p>
            <w:pPr>
              <w:adjustRightInd w:val="0"/>
              <w:textAlignment w:val="baseline"/>
              <w:rPr>
                <w:rFonts w:ascii="宋体" w:hAnsi="宋体"/>
                <w:color w:val="auto"/>
                <w:highlight w:val="none"/>
              </w:rPr>
            </w:pPr>
            <w:r>
              <w:rPr>
                <w:rFonts w:hint="eastAsia" w:ascii="宋体" w:hAnsi="宋体"/>
                <w:color w:val="auto"/>
                <w:highlight w:val="none"/>
              </w:rPr>
              <w:t>3.工地地面硬化处理（办公区，生活区，现场道路，材料堆放、混凝土搅拌、砂浆搅拌、钢筋加工等场地，外脚手架基础等）。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材料堆放</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1.材料、构件、料具等堆放时，悬挂有名称、品种、规格等标牌；</w:t>
            </w:r>
          </w:p>
          <w:p>
            <w:pPr>
              <w:adjustRightInd w:val="0"/>
              <w:textAlignment w:val="baseline"/>
              <w:rPr>
                <w:rFonts w:ascii="宋体" w:hAnsi="宋体"/>
                <w:color w:val="auto"/>
                <w:highlight w:val="none"/>
              </w:rPr>
            </w:pPr>
            <w:r>
              <w:rPr>
                <w:rFonts w:hint="eastAsia" w:ascii="宋体" w:hAnsi="宋体"/>
                <w:color w:val="auto"/>
                <w:highlight w:val="none"/>
              </w:rPr>
              <w:t>2.水泥和其他易飞扬细颗粒建筑材料应封闭存放或采取覆盖等措施；</w:t>
            </w:r>
          </w:p>
          <w:p>
            <w:pPr>
              <w:adjustRightInd w:val="0"/>
              <w:textAlignment w:val="baseline"/>
              <w:rPr>
                <w:rFonts w:ascii="宋体" w:hAnsi="宋体"/>
                <w:color w:val="auto"/>
                <w:highlight w:val="none"/>
              </w:rPr>
            </w:pPr>
            <w:r>
              <w:rPr>
                <w:rFonts w:hint="eastAsia" w:ascii="宋体" w:hAnsi="宋体"/>
                <w:color w:val="auto"/>
                <w:highlight w:val="none"/>
              </w:rPr>
              <w:t>3.易燃、易爆和有毒有害物品分类存放。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现场防火</w:t>
            </w:r>
          </w:p>
        </w:tc>
        <w:tc>
          <w:tcPr>
            <w:tcW w:w="6813" w:type="dxa"/>
            <w:vAlign w:val="center"/>
          </w:tcPr>
          <w:p>
            <w:pPr>
              <w:rPr>
                <w:rFonts w:ascii="宋体" w:hAnsi="宋体"/>
                <w:color w:val="auto"/>
                <w:highlight w:val="none"/>
              </w:rPr>
            </w:pPr>
            <w:r>
              <w:rPr>
                <w:rFonts w:hint="eastAsia" w:ascii="宋体" w:hAnsi="宋体"/>
                <w:color w:val="auto"/>
                <w:highlight w:val="none"/>
              </w:rPr>
              <w:t>消防器材配置合理，符合消防要求。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垃圾清运</w:t>
            </w:r>
          </w:p>
        </w:tc>
        <w:tc>
          <w:tcPr>
            <w:tcW w:w="6813" w:type="dxa"/>
          </w:tcPr>
          <w:p>
            <w:pPr>
              <w:rPr>
                <w:rFonts w:ascii="宋体" w:hAnsi="宋体"/>
                <w:color w:val="auto"/>
                <w:highlight w:val="none"/>
              </w:rPr>
            </w:pPr>
            <w:r>
              <w:rPr>
                <w:rFonts w:hint="eastAsia" w:ascii="宋体" w:hAnsi="宋体"/>
                <w:color w:val="auto"/>
                <w:highlight w:val="none"/>
              </w:rPr>
              <w:t>施工现场应设置密闭式垃圾站，施工垃圾、生活垃圾应分类存放。</w:t>
            </w:r>
          </w:p>
          <w:p>
            <w:pPr>
              <w:rPr>
                <w:rFonts w:ascii="宋体" w:hAnsi="宋体"/>
                <w:color w:val="auto"/>
                <w:highlight w:val="none"/>
              </w:rPr>
            </w:pPr>
            <w:r>
              <w:rPr>
                <w:rFonts w:hint="eastAsia" w:ascii="宋体" w:hAnsi="宋体"/>
                <w:color w:val="auto"/>
                <w:highlight w:val="none"/>
              </w:rPr>
              <w:t>施工垃圾必须采用相应容器或管道运输。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continue"/>
          </w:tcPr>
          <w:p>
            <w:pPr>
              <w:rPr>
                <w:rFonts w:ascii="宋体" w:hAnsi="宋体"/>
                <w:color w:val="auto"/>
                <w:highlight w:val="none"/>
              </w:rPr>
            </w:pP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宣传栏、环保及不扰民措施</w:t>
            </w:r>
          </w:p>
        </w:tc>
        <w:tc>
          <w:tcPr>
            <w:tcW w:w="6813" w:type="dxa"/>
          </w:tcPr>
          <w:p>
            <w:pPr>
              <w:rPr>
                <w:rFonts w:ascii="宋体" w:hAnsi="宋体"/>
                <w:color w:val="auto"/>
                <w:highlight w:val="none"/>
              </w:rPr>
            </w:pPr>
            <w:r>
              <w:rPr>
                <w:rFonts w:hint="eastAsia" w:ascii="宋体" w:hAnsi="宋体"/>
                <w:color w:val="auto"/>
                <w:highlight w:val="none"/>
              </w:rPr>
              <w:t>宣传栏、安全宣传标语等，洗车（防止污染市区道路）、粉尘、噪声控制，排污（污水、废气）措施等。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79" w:type="dxa"/>
            <w:vMerge w:val="restart"/>
            <w:vAlign w:val="center"/>
          </w:tcPr>
          <w:p>
            <w:pPr>
              <w:jc w:val="center"/>
              <w:rPr>
                <w:rFonts w:ascii="宋体" w:hAnsi="宋体"/>
                <w:color w:val="auto"/>
                <w:highlight w:val="none"/>
              </w:rPr>
            </w:pPr>
            <w:r>
              <w:rPr>
                <w:rFonts w:hint="eastAsia" w:ascii="宋体" w:hAnsi="宋体"/>
                <w:color w:val="auto"/>
                <w:highlight w:val="none"/>
              </w:rPr>
              <w:t>临时</w:t>
            </w:r>
          </w:p>
          <w:p>
            <w:pPr>
              <w:jc w:val="center"/>
              <w:rPr>
                <w:rFonts w:ascii="宋体" w:hAnsi="宋体"/>
                <w:color w:val="auto"/>
                <w:highlight w:val="none"/>
              </w:rPr>
            </w:pPr>
            <w:r>
              <w:rPr>
                <w:rFonts w:hint="eastAsia" w:ascii="宋体" w:hAnsi="宋体"/>
                <w:color w:val="auto"/>
                <w:highlight w:val="none"/>
              </w:rPr>
              <w:t>措施</w:t>
            </w:r>
          </w:p>
        </w:tc>
        <w:tc>
          <w:tcPr>
            <w:tcW w:w="2268" w:type="dxa"/>
            <w:gridSpan w:val="2"/>
            <w:vAlign w:val="center"/>
          </w:tcPr>
          <w:p>
            <w:pPr>
              <w:jc w:val="center"/>
              <w:rPr>
                <w:rFonts w:ascii="宋体" w:hAnsi="宋体"/>
                <w:color w:val="auto"/>
                <w:highlight w:val="none"/>
              </w:rPr>
            </w:pPr>
            <w:r>
              <w:rPr>
                <w:rFonts w:hint="eastAsia" w:ascii="宋体" w:hAnsi="宋体"/>
                <w:color w:val="auto"/>
                <w:highlight w:val="none"/>
              </w:rPr>
              <w:t>现场办公</w:t>
            </w:r>
          </w:p>
          <w:p>
            <w:pPr>
              <w:jc w:val="center"/>
              <w:rPr>
                <w:rFonts w:ascii="宋体" w:hAnsi="宋体"/>
                <w:color w:val="auto"/>
                <w:highlight w:val="none"/>
              </w:rPr>
            </w:pPr>
            <w:r>
              <w:rPr>
                <w:rFonts w:hint="eastAsia" w:ascii="宋体" w:hAnsi="宋体"/>
                <w:color w:val="auto"/>
                <w:highlight w:val="none"/>
              </w:rPr>
              <w:t>生活设施</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1.施工现场办公、生活区与作业区分开设置，保持安全距离。</w:t>
            </w:r>
          </w:p>
          <w:p>
            <w:pPr>
              <w:adjustRightInd w:val="0"/>
              <w:textAlignment w:val="baseline"/>
              <w:rPr>
                <w:rFonts w:ascii="宋体" w:hAnsi="宋体"/>
                <w:color w:val="auto"/>
                <w:highlight w:val="none"/>
              </w:rPr>
            </w:pPr>
            <w:r>
              <w:rPr>
                <w:rFonts w:hint="eastAsia" w:ascii="宋体" w:hAnsi="宋体"/>
                <w:color w:val="auto"/>
                <w:highlight w:val="none"/>
              </w:rPr>
              <w:t>2.工地办公室、现场宿舍、食堂、、厕所、饮水、沐浴、休息场所等符合卫生和安全要求；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679" w:type="dxa"/>
            <w:vMerge w:val="continue"/>
            <w:vAlign w:val="center"/>
          </w:tcPr>
          <w:p>
            <w:pPr>
              <w:jc w:val="center"/>
              <w:rPr>
                <w:rFonts w:ascii="宋体" w:hAnsi="宋体"/>
                <w:color w:val="auto"/>
                <w:highlight w:val="none"/>
              </w:rPr>
            </w:pPr>
          </w:p>
        </w:tc>
        <w:tc>
          <w:tcPr>
            <w:tcW w:w="850" w:type="dxa"/>
            <w:vMerge w:val="restart"/>
            <w:vAlign w:val="center"/>
          </w:tcPr>
          <w:p>
            <w:pPr>
              <w:jc w:val="center"/>
              <w:rPr>
                <w:rFonts w:ascii="宋体" w:hAnsi="宋体"/>
                <w:color w:val="auto"/>
                <w:highlight w:val="none"/>
              </w:rPr>
            </w:pPr>
            <w:r>
              <w:rPr>
                <w:rFonts w:hint="eastAsia" w:ascii="宋体" w:hAnsi="宋体"/>
                <w:color w:val="auto"/>
                <w:highlight w:val="none"/>
              </w:rPr>
              <w:t>施工现场临时用电</w:t>
            </w:r>
          </w:p>
        </w:tc>
        <w:tc>
          <w:tcPr>
            <w:tcW w:w="1418" w:type="dxa"/>
            <w:vAlign w:val="center"/>
          </w:tcPr>
          <w:p>
            <w:pPr>
              <w:jc w:val="center"/>
              <w:rPr>
                <w:rFonts w:ascii="宋体" w:hAnsi="宋体"/>
                <w:color w:val="auto"/>
                <w:highlight w:val="none"/>
              </w:rPr>
            </w:pPr>
            <w:r>
              <w:rPr>
                <w:rFonts w:hint="eastAsia" w:ascii="宋体" w:hAnsi="宋体"/>
                <w:color w:val="auto"/>
                <w:highlight w:val="none"/>
              </w:rPr>
              <w:t>配电线路</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1.按照TN-S系统要求配备五芯电缆、四芯电缆和三芯电缆。</w:t>
            </w:r>
          </w:p>
          <w:p>
            <w:pPr>
              <w:adjustRightInd w:val="0"/>
              <w:textAlignment w:val="baseline"/>
              <w:rPr>
                <w:rFonts w:ascii="宋体" w:hAnsi="宋体"/>
                <w:color w:val="auto"/>
                <w:highlight w:val="none"/>
              </w:rPr>
            </w:pPr>
            <w:r>
              <w:rPr>
                <w:rFonts w:hint="eastAsia" w:ascii="宋体" w:hAnsi="宋体"/>
                <w:color w:val="auto"/>
                <w:highlight w:val="none"/>
              </w:rPr>
              <w:t>2.按要求架设临时用电线路的电杆、横担、瓷夹、瓷瓶等，或电缆埋地的地沟。</w:t>
            </w:r>
          </w:p>
          <w:p>
            <w:pPr>
              <w:adjustRightInd w:val="0"/>
              <w:textAlignment w:val="baseline"/>
              <w:rPr>
                <w:rFonts w:ascii="宋体" w:hAnsi="宋体"/>
                <w:color w:val="auto"/>
                <w:highlight w:val="none"/>
              </w:rPr>
            </w:pPr>
            <w:r>
              <w:rPr>
                <w:rFonts w:hint="eastAsia" w:ascii="宋体" w:hAnsi="宋体"/>
                <w:color w:val="auto"/>
                <w:highlight w:val="none"/>
              </w:rPr>
              <w:t>3.对靠近施工现场的外电线路，设置木质、塑料等绝缘体的防护设施。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79" w:type="dxa"/>
            <w:vMerge w:val="continue"/>
            <w:vAlign w:val="center"/>
          </w:tcPr>
          <w:p>
            <w:pPr>
              <w:rPr>
                <w:rFonts w:ascii="宋体" w:hAnsi="宋体"/>
                <w:color w:val="auto"/>
                <w:highlight w:val="none"/>
              </w:rPr>
            </w:pPr>
          </w:p>
        </w:tc>
        <w:tc>
          <w:tcPr>
            <w:tcW w:w="850" w:type="dxa"/>
            <w:vMerge w:val="continue"/>
          </w:tcPr>
          <w:p>
            <w:pPr>
              <w:rPr>
                <w:rFonts w:ascii="宋体" w:hAnsi="宋体"/>
                <w:color w:val="auto"/>
                <w:highlight w:val="none"/>
              </w:rPr>
            </w:pPr>
          </w:p>
        </w:tc>
        <w:tc>
          <w:tcPr>
            <w:tcW w:w="1418" w:type="dxa"/>
            <w:vAlign w:val="center"/>
          </w:tcPr>
          <w:p>
            <w:pPr>
              <w:jc w:val="center"/>
              <w:rPr>
                <w:rFonts w:ascii="宋体" w:hAnsi="宋体"/>
                <w:color w:val="auto"/>
                <w:highlight w:val="none"/>
              </w:rPr>
            </w:pPr>
            <w:r>
              <w:rPr>
                <w:rFonts w:hint="eastAsia" w:ascii="宋体" w:hAnsi="宋体"/>
                <w:color w:val="auto"/>
                <w:highlight w:val="none"/>
              </w:rPr>
              <w:t>配电箱开关箱</w:t>
            </w:r>
          </w:p>
        </w:tc>
        <w:tc>
          <w:tcPr>
            <w:tcW w:w="6813" w:type="dxa"/>
          </w:tcPr>
          <w:p>
            <w:pPr>
              <w:adjustRightInd w:val="0"/>
              <w:textAlignment w:val="baseline"/>
              <w:rPr>
                <w:rFonts w:ascii="宋体" w:hAnsi="宋体"/>
                <w:color w:val="auto"/>
                <w:highlight w:val="none"/>
              </w:rPr>
            </w:pPr>
            <w:r>
              <w:rPr>
                <w:rFonts w:hint="eastAsia" w:ascii="宋体" w:hAnsi="宋体"/>
                <w:color w:val="auto"/>
                <w:highlight w:val="none"/>
              </w:rPr>
              <w:t>1.按三级配电要求，配备总配电箱、分配电箱、开关箱三类（铁质）标准电箱准电箱。开关箱应符合一机、一箱、一闸、一漏。三类电箱中的各类电器应是合格品。</w:t>
            </w:r>
          </w:p>
          <w:p>
            <w:pPr>
              <w:adjustRightInd w:val="0"/>
              <w:textAlignment w:val="baseline"/>
              <w:rPr>
                <w:rFonts w:ascii="宋体" w:hAnsi="宋体"/>
                <w:color w:val="auto"/>
                <w:highlight w:val="none"/>
              </w:rPr>
            </w:pPr>
            <w:r>
              <w:rPr>
                <w:rFonts w:hint="eastAsia" w:ascii="宋体" w:hAnsi="宋体"/>
                <w:color w:val="auto"/>
                <w:highlight w:val="none"/>
              </w:rPr>
              <w:t>2.按两级保护的要求，选取符合容量要求和质量合格的总配电箱和开关箱中的漏电保护器。</w:t>
            </w:r>
          </w:p>
          <w:p>
            <w:pPr>
              <w:adjustRightInd w:val="0"/>
              <w:textAlignment w:val="baseline"/>
              <w:rPr>
                <w:rFonts w:ascii="宋体" w:hAnsi="宋体"/>
                <w:color w:val="auto"/>
                <w:highlight w:val="none"/>
              </w:rPr>
            </w:pPr>
            <w:r>
              <w:rPr>
                <w:rFonts w:hint="eastAsia" w:ascii="宋体" w:hAnsi="宋体"/>
                <w:color w:val="auto"/>
                <w:highlight w:val="none"/>
              </w:rPr>
              <w:t>3.对大型、落地式分配电箱、开关箱设置防护棚和通透式围挡。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9" w:type="dxa"/>
            <w:vMerge w:val="continue"/>
          </w:tcPr>
          <w:p>
            <w:pPr>
              <w:rPr>
                <w:rFonts w:ascii="宋体" w:hAnsi="宋体"/>
                <w:color w:val="auto"/>
                <w:highlight w:val="none"/>
              </w:rPr>
            </w:pPr>
          </w:p>
        </w:tc>
        <w:tc>
          <w:tcPr>
            <w:tcW w:w="850" w:type="dxa"/>
            <w:vMerge w:val="continue"/>
          </w:tcPr>
          <w:p>
            <w:pPr>
              <w:rPr>
                <w:rFonts w:ascii="宋体" w:hAnsi="宋体"/>
                <w:color w:val="auto"/>
                <w:highlight w:val="none"/>
              </w:rPr>
            </w:pPr>
          </w:p>
        </w:tc>
        <w:tc>
          <w:tcPr>
            <w:tcW w:w="1418" w:type="dxa"/>
            <w:vAlign w:val="center"/>
          </w:tcPr>
          <w:p>
            <w:pPr>
              <w:jc w:val="center"/>
              <w:rPr>
                <w:rFonts w:ascii="宋体" w:hAnsi="宋体"/>
                <w:color w:val="auto"/>
                <w:highlight w:val="none"/>
              </w:rPr>
            </w:pPr>
            <w:r>
              <w:rPr>
                <w:rFonts w:hint="eastAsia" w:ascii="宋体" w:hAnsi="宋体"/>
                <w:color w:val="auto"/>
                <w:highlight w:val="none"/>
              </w:rPr>
              <w:t>接地保护</w:t>
            </w:r>
          </w:p>
          <w:p>
            <w:pPr>
              <w:jc w:val="center"/>
              <w:rPr>
                <w:rFonts w:ascii="宋体" w:hAnsi="宋体"/>
                <w:color w:val="auto"/>
                <w:highlight w:val="none"/>
              </w:rPr>
            </w:pPr>
            <w:r>
              <w:rPr>
                <w:rFonts w:hint="eastAsia" w:ascii="宋体" w:hAnsi="宋体"/>
                <w:color w:val="auto"/>
                <w:highlight w:val="none"/>
              </w:rPr>
              <w:t>装置</w:t>
            </w:r>
          </w:p>
        </w:tc>
        <w:tc>
          <w:tcPr>
            <w:tcW w:w="6813" w:type="dxa"/>
            <w:vAlign w:val="center"/>
          </w:tcPr>
          <w:p>
            <w:pPr>
              <w:rPr>
                <w:rFonts w:ascii="宋体" w:hAnsi="宋体"/>
                <w:color w:val="auto"/>
                <w:highlight w:val="none"/>
              </w:rPr>
            </w:pPr>
            <w:r>
              <w:rPr>
                <w:rFonts w:hint="eastAsia" w:ascii="宋体" w:hAnsi="宋体"/>
                <w:color w:val="auto"/>
                <w:highlight w:val="none"/>
              </w:rPr>
              <w:t>施工现场应设置不少于三处的保护接地装置。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79" w:type="dxa"/>
            <w:vMerge w:val="continue"/>
          </w:tcPr>
          <w:p>
            <w:pPr>
              <w:rPr>
                <w:rFonts w:ascii="宋体" w:hAnsi="宋体"/>
                <w:color w:val="auto"/>
                <w:highlight w:val="none"/>
              </w:rPr>
            </w:pPr>
          </w:p>
        </w:tc>
        <w:tc>
          <w:tcPr>
            <w:tcW w:w="850" w:type="dxa"/>
            <w:vMerge w:val="continue"/>
          </w:tcPr>
          <w:p>
            <w:pPr>
              <w:rPr>
                <w:rFonts w:ascii="宋体" w:hAnsi="宋体"/>
                <w:color w:val="auto"/>
                <w:highlight w:val="none"/>
              </w:rPr>
            </w:pPr>
          </w:p>
        </w:tc>
        <w:tc>
          <w:tcPr>
            <w:tcW w:w="1418" w:type="dxa"/>
            <w:vAlign w:val="center"/>
          </w:tcPr>
          <w:p>
            <w:pPr>
              <w:jc w:val="center"/>
              <w:rPr>
                <w:rFonts w:ascii="宋体" w:hAnsi="宋体"/>
                <w:color w:val="auto"/>
                <w:highlight w:val="none"/>
              </w:rPr>
            </w:pPr>
            <w:r>
              <w:rPr>
                <w:rFonts w:hint="eastAsia" w:ascii="宋体" w:hAnsi="宋体"/>
                <w:color w:val="auto"/>
                <w:highlight w:val="none"/>
              </w:rPr>
              <w:t>现场变配</w:t>
            </w:r>
          </w:p>
          <w:p>
            <w:pPr>
              <w:jc w:val="center"/>
              <w:rPr>
                <w:rFonts w:ascii="宋体" w:hAnsi="宋体"/>
                <w:color w:val="auto"/>
                <w:highlight w:val="none"/>
              </w:rPr>
            </w:pPr>
            <w:r>
              <w:rPr>
                <w:rFonts w:hint="eastAsia" w:ascii="宋体" w:hAnsi="宋体"/>
                <w:color w:val="auto"/>
                <w:highlight w:val="none"/>
              </w:rPr>
              <w:t>电装置</w:t>
            </w:r>
          </w:p>
        </w:tc>
        <w:tc>
          <w:tcPr>
            <w:tcW w:w="6813" w:type="dxa"/>
            <w:vAlign w:val="bottom"/>
          </w:tcPr>
          <w:p>
            <w:pPr>
              <w:rPr>
                <w:rFonts w:ascii="宋体" w:hAnsi="宋体"/>
                <w:color w:val="auto"/>
                <w:highlight w:val="none"/>
              </w:rPr>
            </w:pPr>
            <w:r>
              <w:rPr>
                <w:rFonts w:hint="eastAsia" w:ascii="宋体" w:hAnsi="宋体"/>
                <w:color w:val="auto"/>
                <w:highlight w:val="none"/>
              </w:rPr>
              <w:t>总配电室建筑材料必须达到三级防火要求，室内做硬地坪、电缆沟、吊顶。</w:t>
            </w:r>
          </w:p>
        </w:tc>
      </w:tr>
    </w:tbl>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tbl>
      <w:tblPr>
        <w:tblStyle w:val="33"/>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43"/>
        <w:gridCol w:w="1683"/>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2" w:type="dxa"/>
            <w:vAlign w:val="center"/>
          </w:tcPr>
          <w:p>
            <w:pPr>
              <w:jc w:val="center"/>
              <w:rPr>
                <w:rFonts w:ascii="宋体" w:hAnsi="宋体"/>
                <w:color w:val="auto"/>
                <w:highlight w:val="none"/>
              </w:rPr>
            </w:pPr>
            <w:r>
              <w:rPr>
                <w:rFonts w:hint="eastAsia" w:ascii="宋体" w:hAnsi="宋体"/>
                <w:color w:val="auto"/>
                <w:highlight w:val="none"/>
              </w:rPr>
              <w:t>类别</w:t>
            </w:r>
          </w:p>
        </w:tc>
        <w:tc>
          <w:tcPr>
            <w:tcW w:w="2426" w:type="dxa"/>
            <w:gridSpan w:val="2"/>
            <w:vAlign w:val="center"/>
          </w:tcPr>
          <w:p>
            <w:pPr>
              <w:jc w:val="center"/>
              <w:rPr>
                <w:rFonts w:ascii="宋体" w:hAnsi="宋体"/>
                <w:color w:val="auto"/>
                <w:highlight w:val="none"/>
              </w:rPr>
            </w:pPr>
            <w:r>
              <w:rPr>
                <w:rFonts w:hint="eastAsia" w:ascii="宋体" w:hAnsi="宋体"/>
                <w:color w:val="auto"/>
                <w:highlight w:val="none"/>
              </w:rPr>
              <w:t>项目名称</w:t>
            </w:r>
          </w:p>
        </w:tc>
        <w:tc>
          <w:tcPr>
            <w:tcW w:w="6622" w:type="dxa"/>
            <w:vAlign w:val="center"/>
          </w:tcPr>
          <w:p>
            <w:pPr>
              <w:jc w:val="center"/>
              <w:rPr>
                <w:rFonts w:ascii="宋体" w:hAnsi="宋体"/>
                <w:color w:val="auto"/>
                <w:highlight w:val="none"/>
              </w:rPr>
            </w:pPr>
            <w:r>
              <w:rPr>
                <w:rFonts w:hint="eastAsia" w:ascii="宋体" w:hAnsi="宋体"/>
                <w:color w:val="auto"/>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2" w:type="dxa"/>
            <w:vMerge w:val="restart"/>
            <w:vAlign w:val="center"/>
          </w:tcPr>
          <w:p>
            <w:pPr>
              <w:jc w:val="center"/>
              <w:rPr>
                <w:rFonts w:ascii="宋体" w:hAnsi="宋体"/>
                <w:color w:val="auto"/>
                <w:highlight w:val="none"/>
              </w:rPr>
            </w:pPr>
            <w:r>
              <w:rPr>
                <w:rFonts w:hint="eastAsia" w:ascii="宋体" w:hAnsi="宋体"/>
                <w:color w:val="auto"/>
                <w:highlight w:val="none"/>
              </w:rPr>
              <w:t>安全施工</w:t>
            </w:r>
          </w:p>
        </w:tc>
        <w:tc>
          <w:tcPr>
            <w:tcW w:w="743" w:type="dxa"/>
            <w:vMerge w:val="restart"/>
            <w:vAlign w:val="center"/>
          </w:tcPr>
          <w:p>
            <w:pPr>
              <w:jc w:val="center"/>
              <w:rPr>
                <w:rFonts w:ascii="宋体" w:hAnsi="宋体"/>
                <w:color w:val="auto"/>
                <w:highlight w:val="none"/>
              </w:rPr>
            </w:pPr>
            <w:r>
              <w:rPr>
                <w:rFonts w:hint="eastAsia" w:ascii="宋体" w:hAnsi="宋体"/>
                <w:color w:val="auto"/>
                <w:highlight w:val="none"/>
              </w:rPr>
              <w:t>临边洞口交叉高处作业防护</w:t>
            </w:r>
          </w:p>
        </w:tc>
        <w:tc>
          <w:tcPr>
            <w:tcW w:w="1683" w:type="dxa"/>
            <w:vAlign w:val="center"/>
          </w:tcPr>
          <w:p>
            <w:pPr>
              <w:rPr>
                <w:rFonts w:ascii="宋体" w:hAnsi="宋体"/>
                <w:color w:val="auto"/>
                <w:highlight w:val="none"/>
              </w:rPr>
            </w:pPr>
            <w:r>
              <w:rPr>
                <w:rFonts w:hint="eastAsia" w:ascii="宋体" w:hAnsi="宋体"/>
                <w:color w:val="auto"/>
                <w:highlight w:val="none"/>
              </w:rPr>
              <w:t>楼层、屋面、阳台等临边防护</w:t>
            </w:r>
          </w:p>
        </w:tc>
        <w:tc>
          <w:tcPr>
            <w:tcW w:w="6622" w:type="dxa"/>
            <w:vAlign w:val="center"/>
          </w:tcPr>
          <w:p>
            <w:pPr>
              <w:rPr>
                <w:rFonts w:ascii="宋体" w:hAnsi="宋体"/>
                <w:color w:val="auto"/>
                <w:highlight w:val="none"/>
              </w:rPr>
            </w:pPr>
            <w:r>
              <w:rPr>
                <w:rFonts w:hint="eastAsia" w:ascii="宋体" w:hAnsi="宋体"/>
                <w:color w:val="auto"/>
                <w:highlight w:val="none"/>
              </w:rPr>
              <w:t>用密目式安全立网全封闭，作业层另加两道防护栏杆和18cm高的踢脚板。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通道口防护</w:t>
            </w:r>
          </w:p>
        </w:tc>
        <w:tc>
          <w:tcPr>
            <w:tcW w:w="6622" w:type="dxa"/>
            <w:vAlign w:val="center"/>
          </w:tcPr>
          <w:p>
            <w:pPr>
              <w:rPr>
                <w:rFonts w:ascii="宋体" w:hAnsi="宋体"/>
                <w:color w:val="auto"/>
                <w:highlight w:val="none"/>
              </w:rPr>
            </w:pPr>
            <w:r>
              <w:rPr>
                <w:rFonts w:hint="eastAsia" w:ascii="宋体" w:hAnsi="宋体"/>
                <w:color w:val="auto"/>
                <w:highlight w:val="none"/>
              </w:rPr>
              <w:t>设防护棚，防护棚应为不小于5cm厚的木板或两道相距50cm的竹笆。两侧应沿栏杆架用密目式安全网封闭。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预留洞口防护</w:t>
            </w:r>
          </w:p>
        </w:tc>
        <w:tc>
          <w:tcPr>
            <w:tcW w:w="6622" w:type="dxa"/>
            <w:vAlign w:val="center"/>
          </w:tcPr>
          <w:p>
            <w:pPr>
              <w:rPr>
                <w:rFonts w:ascii="宋体" w:hAnsi="宋体"/>
                <w:color w:val="auto"/>
                <w:highlight w:val="none"/>
              </w:rPr>
            </w:pPr>
            <w:r>
              <w:rPr>
                <w:rFonts w:hint="eastAsia" w:ascii="宋体" w:hAnsi="宋体"/>
                <w:color w:val="auto"/>
                <w:highlight w:val="none"/>
              </w:rPr>
              <w:t>用硬质材料全封闭；短边超过1.5m长的洞口，除封闭外四周还应设有防护栏杆。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电梯井口防护</w:t>
            </w:r>
          </w:p>
        </w:tc>
        <w:tc>
          <w:tcPr>
            <w:tcW w:w="6622" w:type="dxa"/>
            <w:vAlign w:val="center"/>
          </w:tcPr>
          <w:p>
            <w:pPr>
              <w:rPr>
                <w:rFonts w:ascii="宋体" w:hAnsi="宋体"/>
                <w:color w:val="auto"/>
                <w:highlight w:val="none"/>
              </w:rPr>
            </w:pPr>
            <w:r>
              <w:rPr>
                <w:rFonts w:hint="eastAsia" w:ascii="宋体" w:hAnsi="宋体"/>
                <w:color w:val="auto"/>
                <w:highlight w:val="none"/>
              </w:rPr>
              <w:t>设置定型化、工具化、标准化的防护门。在电梯井内每隔2层（不大于10m）设置一道安全平网。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楼梯边防护</w:t>
            </w:r>
          </w:p>
        </w:tc>
        <w:tc>
          <w:tcPr>
            <w:tcW w:w="6622" w:type="dxa"/>
            <w:vAlign w:val="center"/>
          </w:tcPr>
          <w:p>
            <w:pPr>
              <w:rPr>
                <w:rFonts w:ascii="宋体" w:hAnsi="宋体"/>
                <w:color w:val="auto"/>
                <w:highlight w:val="none"/>
              </w:rPr>
            </w:pPr>
            <w:r>
              <w:rPr>
                <w:rFonts w:hint="eastAsia" w:ascii="宋体" w:hAnsi="宋体"/>
                <w:color w:val="auto"/>
                <w:highlight w:val="none"/>
              </w:rPr>
              <w:t>设1.2m高的定型化、工具化、标准化的防护栏，18cm高的踢脚板。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垂直方向交叉作业防护</w:t>
            </w:r>
          </w:p>
        </w:tc>
        <w:tc>
          <w:tcPr>
            <w:tcW w:w="6622" w:type="dxa"/>
            <w:vAlign w:val="center"/>
          </w:tcPr>
          <w:p>
            <w:pPr>
              <w:rPr>
                <w:rFonts w:ascii="宋体" w:hAnsi="宋体"/>
                <w:color w:val="auto"/>
                <w:highlight w:val="none"/>
              </w:rPr>
            </w:pPr>
            <w:r>
              <w:rPr>
                <w:rFonts w:hint="eastAsia" w:ascii="宋体" w:hAnsi="宋体"/>
                <w:color w:val="auto"/>
                <w:highlight w:val="none"/>
              </w:rPr>
              <w:t>有悬挂安全带的悬索或其他设施；有操作平台；有上下的梯子或其他形式的通道。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rPr>
                <w:rFonts w:ascii="宋体" w:hAnsi="宋体"/>
                <w:color w:val="auto"/>
                <w:highlight w:val="none"/>
              </w:rPr>
            </w:pPr>
            <w:r>
              <w:rPr>
                <w:rFonts w:hint="eastAsia" w:ascii="宋体" w:hAnsi="宋体"/>
                <w:color w:val="auto"/>
                <w:highlight w:val="none"/>
              </w:rPr>
              <w:t>基坑、卸料平台防护</w:t>
            </w:r>
          </w:p>
        </w:tc>
        <w:tc>
          <w:tcPr>
            <w:tcW w:w="6622" w:type="dxa"/>
            <w:vAlign w:val="center"/>
          </w:tcPr>
          <w:p>
            <w:pPr>
              <w:rPr>
                <w:rFonts w:ascii="宋体" w:hAnsi="宋体"/>
                <w:color w:val="auto"/>
                <w:highlight w:val="none"/>
              </w:rPr>
            </w:pPr>
            <w:r>
              <w:rPr>
                <w:rFonts w:hint="eastAsia" w:ascii="宋体" w:hAnsi="宋体"/>
                <w:color w:val="auto"/>
                <w:highlight w:val="none"/>
              </w:rPr>
              <w:t>设1.2m高标准化的防护栏，用密目式安全立网封闭，悬挂标识。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2" w:type="dxa"/>
            <w:vAlign w:val="center"/>
          </w:tcPr>
          <w:p>
            <w:pPr>
              <w:rPr>
                <w:rFonts w:ascii="宋体" w:hAnsi="宋体"/>
                <w:color w:val="auto"/>
                <w:highlight w:val="none"/>
              </w:rPr>
            </w:pPr>
          </w:p>
        </w:tc>
        <w:tc>
          <w:tcPr>
            <w:tcW w:w="2426" w:type="dxa"/>
            <w:gridSpan w:val="2"/>
            <w:vAlign w:val="center"/>
          </w:tcPr>
          <w:p>
            <w:pPr>
              <w:rPr>
                <w:rFonts w:ascii="宋体" w:hAnsi="宋体"/>
                <w:color w:val="auto"/>
                <w:highlight w:val="none"/>
              </w:rPr>
            </w:pPr>
            <w:r>
              <w:rPr>
                <w:rFonts w:hint="eastAsia" w:ascii="宋体" w:hAnsi="宋体"/>
                <w:color w:val="auto"/>
                <w:highlight w:val="none"/>
              </w:rPr>
              <w:t>安全防护用品</w:t>
            </w:r>
          </w:p>
        </w:tc>
        <w:tc>
          <w:tcPr>
            <w:tcW w:w="6622" w:type="dxa"/>
          </w:tcPr>
          <w:p>
            <w:pPr>
              <w:rPr>
                <w:rFonts w:ascii="宋体" w:hAnsi="宋体"/>
                <w:color w:val="auto"/>
                <w:highlight w:val="none"/>
              </w:rPr>
            </w:pPr>
            <w:r>
              <w:rPr>
                <w:rFonts w:hint="eastAsia" w:ascii="宋体" w:hAnsi="宋体"/>
                <w:color w:val="auto"/>
                <w:highlight w:val="none"/>
              </w:rPr>
              <w:t>安全帽、安全带、特种作业人员（电工、混凝土工、焊工等）防护服装、用品等。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32" w:type="dxa"/>
            <w:vMerge w:val="restart"/>
            <w:vAlign w:val="center"/>
          </w:tcPr>
          <w:p>
            <w:pPr>
              <w:jc w:val="center"/>
              <w:rPr>
                <w:rFonts w:ascii="宋体" w:hAnsi="宋体"/>
                <w:color w:val="auto"/>
                <w:highlight w:val="none"/>
              </w:rPr>
            </w:pPr>
            <w:r>
              <w:rPr>
                <w:rFonts w:hint="eastAsia" w:ascii="宋体" w:hAnsi="宋体"/>
                <w:color w:val="auto"/>
                <w:highlight w:val="none"/>
              </w:rPr>
              <w:t>其他</w:t>
            </w:r>
          </w:p>
        </w:tc>
        <w:tc>
          <w:tcPr>
            <w:tcW w:w="743" w:type="dxa"/>
            <w:vMerge w:val="restart"/>
            <w:vAlign w:val="center"/>
          </w:tcPr>
          <w:p>
            <w:pPr>
              <w:jc w:val="center"/>
              <w:rPr>
                <w:rFonts w:ascii="宋体" w:hAnsi="宋体"/>
                <w:color w:val="auto"/>
                <w:highlight w:val="none"/>
              </w:rPr>
            </w:pPr>
            <w:r>
              <w:rPr>
                <w:rFonts w:hint="eastAsia" w:ascii="宋体" w:hAnsi="宋体"/>
                <w:color w:val="auto"/>
                <w:highlight w:val="none"/>
              </w:rPr>
              <w:t>机械设备防护</w:t>
            </w:r>
          </w:p>
        </w:tc>
        <w:tc>
          <w:tcPr>
            <w:tcW w:w="1683" w:type="dxa"/>
            <w:vAlign w:val="center"/>
          </w:tcPr>
          <w:p>
            <w:pPr>
              <w:jc w:val="center"/>
              <w:rPr>
                <w:rFonts w:ascii="宋体" w:hAnsi="宋体"/>
                <w:color w:val="auto"/>
                <w:highlight w:val="none"/>
              </w:rPr>
            </w:pPr>
            <w:r>
              <w:rPr>
                <w:rFonts w:hint="eastAsia" w:ascii="宋体" w:hAnsi="宋体"/>
                <w:color w:val="auto"/>
                <w:highlight w:val="none"/>
              </w:rPr>
              <w:t>中小型机械防护</w:t>
            </w:r>
          </w:p>
        </w:tc>
        <w:tc>
          <w:tcPr>
            <w:tcW w:w="6622" w:type="dxa"/>
            <w:vAlign w:val="center"/>
          </w:tcPr>
          <w:p>
            <w:pPr>
              <w:rPr>
                <w:rFonts w:ascii="宋体" w:hAnsi="宋体"/>
                <w:color w:val="auto"/>
                <w:highlight w:val="none"/>
              </w:rPr>
            </w:pPr>
            <w:r>
              <w:rPr>
                <w:rFonts w:hint="eastAsia" w:ascii="宋体" w:hAnsi="宋体"/>
                <w:color w:val="auto"/>
                <w:highlight w:val="none"/>
              </w:rPr>
              <w:t>设防护棚（同通道口防护并有防雨措施）、操作平台。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32" w:type="dxa"/>
            <w:vMerge w:val="continue"/>
            <w:vAlign w:val="center"/>
          </w:tcPr>
          <w:p>
            <w:pPr>
              <w:rPr>
                <w:rFonts w:ascii="宋体" w:hAnsi="宋体"/>
                <w:color w:val="auto"/>
                <w:highlight w:val="none"/>
              </w:rPr>
            </w:pPr>
          </w:p>
        </w:tc>
        <w:tc>
          <w:tcPr>
            <w:tcW w:w="743" w:type="dxa"/>
            <w:vMerge w:val="continue"/>
            <w:vAlign w:val="center"/>
          </w:tcPr>
          <w:p>
            <w:pPr>
              <w:rPr>
                <w:rFonts w:ascii="宋体" w:hAnsi="宋体"/>
                <w:color w:val="auto"/>
                <w:highlight w:val="none"/>
              </w:rPr>
            </w:pPr>
          </w:p>
        </w:tc>
        <w:tc>
          <w:tcPr>
            <w:tcW w:w="1683" w:type="dxa"/>
            <w:vAlign w:val="center"/>
          </w:tcPr>
          <w:p>
            <w:pPr>
              <w:jc w:val="center"/>
              <w:rPr>
                <w:rFonts w:ascii="宋体" w:hAnsi="宋体"/>
                <w:color w:val="auto"/>
                <w:highlight w:val="none"/>
              </w:rPr>
            </w:pPr>
            <w:r>
              <w:rPr>
                <w:rFonts w:hint="eastAsia" w:ascii="宋体" w:hAnsi="宋体"/>
                <w:color w:val="auto"/>
                <w:highlight w:val="none"/>
              </w:rPr>
              <w:t>垂直运输设备防护</w:t>
            </w:r>
          </w:p>
        </w:tc>
        <w:tc>
          <w:tcPr>
            <w:tcW w:w="6622" w:type="dxa"/>
          </w:tcPr>
          <w:p>
            <w:pPr>
              <w:adjustRightInd w:val="0"/>
              <w:textAlignment w:val="baseline"/>
              <w:rPr>
                <w:rFonts w:ascii="宋体" w:hAnsi="宋体"/>
                <w:color w:val="auto"/>
                <w:highlight w:val="none"/>
              </w:rPr>
            </w:pPr>
            <w:r>
              <w:rPr>
                <w:rFonts w:hint="eastAsia" w:ascii="宋体" w:hAnsi="宋体"/>
                <w:color w:val="auto"/>
                <w:highlight w:val="none"/>
              </w:rPr>
              <w:t>1.垂直运输设备检测、检验。</w:t>
            </w:r>
          </w:p>
          <w:p>
            <w:pPr>
              <w:rPr>
                <w:rFonts w:ascii="宋体" w:hAnsi="宋体"/>
                <w:color w:val="auto"/>
                <w:highlight w:val="none"/>
              </w:rPr>
            </w:pPr>
            <w:r>
              <w:rPr>
                <w:rFonts w:hint="eastAsia" w:ascii="宋体" w:hAnsi="宋体"/>
                <w:color w:val="auto"/>
                <w:highlight w:val="none"/>
              </w:rPr>
              <w:t>2.物料提升机、施工电梯等卸料平台搭设、外测用密目式安全立网全封闭，安全防护门、防护棚等。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2" w:type="dxa"/>
            <w:vMerge w:val="continue"/>
            <w:vAlign w:val="center"/>
          </w:tcPr>
          <w:p>
            <w:pPr>
              <w:rPr>
                <w:rFonts w:ascii="宋体" w:hAnsi="宋体"/>
                <w:color w:val="auto"/>
                <w:highlight w:val="none"/>
              </w:rPr>
            </w:pPr>
          </w:p>
        </w:tc>
        <w:tc>
          <w:tcPr>
            <w:tcW w:w="2426" w:type="dxa"/>
            <w:gridSpan w:val="2"/>
            <w:vAlign w:val="center"/>
          </w:tcPr>
          <w:p>
            <w:pPr>
              <w:rPr>
                <w:rFonts w:ascii="宋体" w:hAnsi="宋体"/>
                <w:color w:val="auto"/>
                <w:highlight w:val="none"/>
              </w:rPr>
            </w:pPr>
            <w:r>
              <w:rPr>
                <w:rFonts w:hint="eastAsia" w:ascii="宋体" w:hAnsi="宋体"/>
                <w:color w:val="auto"/>
                <w:highlight w:val="none"/>
              </w:rPr>
              <w:t>专家论证审查</w:t>
            </w:r>
          </w:p>
        </w:tc>
        <w:tc>
          <w:tcPr>
            <w:tcW w:w="6622" w:type="dxa"/>
            <w:vAlign w:val="center"/>
          </w:tcPr>
          <w:p>
            <w:pPr>
              <w:rPr>
                <w:rFonts w:ascii="宋体" w:hAnsi="宋体"/>
                <w:color w:val="auto"/>
                <w:highlight w:val="none"/>
              </w:rPr>
            </w:pPr>
            <w:r>
              <w:rPr>
                <w:rFonts w:hint="eastAsia" w:ascii="宋体" w:hAnsi="宋体"/>
                <w:color w:val="auto"/>
                <w:highlight w:val="none"/>
              </w:rPr>
              <w:t>危险性较大工程专家论证审查。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2" w:type="dxa"/>
            <w:vMerge w:val="continue"/>
            <w:vAlign w:val="center"/>
          </w:tcPr>
          <w:p>
            <w:pPr>
              <w:rPr>
                <w:rFonts w:ascii="宋体" w:hAnsi="宋体"/>
                <w:color w:val="auto"/>
                <w:highlight w:val="none"/>
              </w:rPr>
            </w:pPr>
          </w:p>
        </w:tc>
        <w:tc>
          <w:tcPr>
            <w:tcW w:w="2426" w:type="dxa"/>
            <w:gridSpan w:val="2"/>
            <w:vAlign w:val="center"/>
          </w:tcPr>
          <w:p>
            <w:pPr>
              <w:rPr>
                <w:rFonts w:ascii="宋体" w:hAnsi="宋体"/>
                <w:color w:val="auto"/>
                <w:highlight w:val="none"/>
              </w:rPr>
            </w:pPr>
            <w:r>
              <w:rPr>
                <w:rFonts w:hint="eastAsia" w:ascii="宋体" w:hAnsi="宋体"/>
                <w:color w:val="auto"/>
                <w:highlight w:val="none"/>
              </w:rPr>
              <w:t>应急救援预案</w:t>
            </w:r>
          </w:p>
        </w:tc>
        <w:tc>
          <w:tcPr>
            <w:tcW w:w="6622" w:type="dxa"/>
            <w:vAlign w:val="center"/>
          </w:tcPr>
          <w:p>
            <w:pPr>
              <w:rPr>
                <w:rFonts w:ascii="宋体" w:hAnsi="宋体"/>
                <w:color w:val="auto"/>
                <w:highlight w:val="none"/>
              </w:rPr>
            </w:pPr>
            <w:r>
              <w:rPr>
                <w:rFonts w:hint="eastAsia" w:ascii="宋体" w:hAnsi="宋体"/>
                <w:color w:val="auto"/>
                <w:highlight w:val="none"/>
              </w:rPr>
              <w:t>救援器材准备及演练等。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32" w:type="dxa"/>
            <w:vMerge w:val="continue"/>
            <w:vAlign w:val="center"/>
          </w:tcPr>
          <w:p>
            <w:pPr>
              <w:rPr>
                <w:rFonts w:ascii="宋体" w:hAnsi="宋体"/>
                <w:color w:val="auto"/>
                <w:highlight w:val="none"/>
              </w:rPr>
            </w:pPr>
          </w:p>
        </w:tc>
        <w:tc>
          <w:tcPr>
            <w:tcW w:w="2426" w:type="dxa"/>
            <w:gridSpan w:val="2"/>
            <w:vAlign w:val="center"/>
          </w:tcPr>
          <w:p>
            <w:pPr>
              <w:rPr>
                <w:rFonts w:ascii="宋体" w:hAnsi="宋体"/>
                <w:color w:val="auto"/>
                <w:highlight w:val="none"/>
              </w:rPr>
            </w:pPr>
            <w:r>
              <w:rPr>
                <w:rFonts w:hint="eastAsia" w:ascii="宋体" w:hAnsi="宋体"/>
                <w:color w:val="auto"/>
                <w:highlight w:val="none"/>
              </w:rPr>
              <w:t>非正常情况施工</w:t>
            </w:r>
          </w:p>
        </w:tc>
        <w:tc>
          <w:tcPr>
            <w:tcW w:w="6622" w:type="dxa"/>
          </w:tcPr>
          <w:p>
            <w:pPr>
              <w:rPr>
                <w:rFonts w:ascii="宋体" w:hAnsi="宋体"/>
                <w:color w:val="auto"/>
                <w:highlight w:val="none"/>
              </w:rPr>
            </w:pPr>
            <w:r>
              <w:rPr>
                <w:rFonts w:hint="eastAsia" w:ascii="宋体" w:hAnsi="宋体"/>
                <w:color w:val="auto"/>
                <w:highlight w:val="none"/>
              </w:rPr>
              <w:t>其它特殊情况下的防护费用，如：城市主干道、人流密集、河边等处施工及文物、古建筑、古树保护等。</w:t>
            </w:r>
          </w:p>
        </w:tc>
      </w:tr>
    </w:tbl>
    <w:p>
      <w:pPr>
        <w:spacing w:line="360" w:lineRule="auto"/>
        <w:ind w:right="420"/>
        <w:rPr>
          <w:rFonts w:ascii="宋体" w:hAnsi="宋体"/>
          <w:color w:val="auto"/>
          <w:highlight w:val="none"/>
        </w:rPr>
      </w:pPr>
    </w:p>
    <w:p>
      <w:pPr>
        <w:spacing w:line="400" w:lineRule="exact"/>
        <w:rPr>
          <w:rFonts w:ascii="宋体" w:hAnsi="宋体"/>
          <w:b/>
          <w:color w:val="auto"/>
          <w:szCs w:val="21"/>
          <w:highlight w:val="none"/>
        </w:rPr>
      </w:pPr>
      <w:r>
        <w:rPr>
          <w:rFonts w:hint="eastAsia" w:ascii="宋体" w:hAnsi="宋体"/>
          <w:color w:val="auto"/>
          <w:highlight w:val="none"/>
        </w:rPr>
        <w:t>注：本表所列建筑工程安全防护、文明施工措施项目，是依据现行法律法规及标准规范确定的。如法律法规和标准规范修订，本表所列项目应按照修订后的法律法规和标准规范进行调整。</w:t>
      </w:r>
    </w:p>
    <w:p>
      <w:pPr>
        <w:spacing w:line="400" w:lineRule="exact"/>
        <w:rPr>
          <w:rFonts w:ascii="宋体" w:hAnsi="宋体"/>
          <w:b/>
          <w:color w:val="auto"/>
          <w:szCs w:val="21"/>
          <w:highlight w:val="none"/>
        </w:rPr>
      </w:pPr>
    </w:p>
    <w:p>
      <w:pPr>
        <w:spacing w:after="156" w:afterLines="50" w:line="400" w:lineRule="exact"/>
        <w:rPr>
          <w:color w:val="auto"/>
          <w:sz w:val="32"/>
          <w:szCs w:val="32"/>
          <w:highlight w:val="none"/>
        </w:rPr>
      </w:pPr>
      <w:r>
        <w:rPr>
          <w:color w:val="auto"/>
          <w:sz w:val="32"/>
          <w:szCs w:val="32"/>
          <w:highlight w:val="none"/>
        </w:rPr>
        <w:br w:type="page"/>
      </w:r>
    </w:p>
    <w:p>
      <w:pPr>
        <w:spacing w:after="156" w:afterLines="50" w:line="400" w:lineRule="exact"/>
        <w:jc w:val="center"/>
        <w:rPr>
          <w:rFonts w:ascii="黑体" w:eastAsia="黑体"/>
          <w:color w:val="auto"/>
          <w:sz w:val="24"/>
          <w:highlight w:val="none"/>
        </w:rPr>
      </w:pPr>
      <w:r>
        <w:rPr>
          <w:rFonts w:hint="eastAsia" w:ascii="黑体" w:eastAsia="黑体"/>
          <w:color w:val="auto"/>
          <w:sz w:val="24"/>
          <w:highlight w:val="none"/>
        </w:rPr>
        <w:t>七、项目管理机构及机械设备承诺函</w:t>
      </w:r>
    </w:p>
    <w:p>
      <w:pPr>
        <w:spacing w:after="156" w:afterLines="50" w:line="400" w:lineRule="exact"/>
        <w:rPr>
          <w:color w:val="auto"/>
          <w:szCs w:val="21"/>
          <w:highlight w:val="none"/>
        </w:rPr>
      </w:pPr>
    </w:p>
    <w:p>
      <w:pPr>
        <w:spacing w:before="240" w:after="240" w:line="50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（采购人名称）：</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我方参加了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（项目名称）施工竞标，若我方成交，我方在此承诺：</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若本项目资格预审文件或竞争性谈判文件未要求我方在资格预审申请文件或竞标文件中填报派驻本工程的其他主要管理人员和技术人员及主要机械设备，在采购人向我方发出成交通知书之前，我方将按照合同附件提出的最低要求填报派驻本工程的其他主要管理人员和技术人员及主要机械设备，在经采购人审批后作为派驻本工程的项目管理机构主要人员和主要设备且不进行更换。</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若我方已按本项目资格预审文件或竞争性谈判文件要求在资格预审申请文件或竞标文件中填报派驻本标段的其他主要管理人员和技术人员及主要机械设备，我方将严格按照在资格预审申请文件或竞标文件中填报的其他主要管理人员和技术人员及主要机械设备组织进场施工，且不进行更换。</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如我方违背了上述承诺，本项目采购人有权取消我方的成交资格，并由采购人将我方的违约行为上报省级主管部门，作为不良记录纳入建设市场信息管理系统。</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rPr>
          <w:rFonts w:ascii="宋体" w:hAnsi="宋体"/>
          <w:color w:val="auto"/>
          <w:szCs w:val="21"/>
          <w:highlight w:val="none"/>
        </w:rPr>
      </w:pPr>
    </w:p>
    <w:p>
      <w:pPr>
        <w:spacing w:line="7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竞标人：</w:t>
      </w:r>
      <w:r>
        <w:rPr>
          <w:rFonts w:hint="eastAsia" w:ascii="宋体" w:hAnsi="宋体"/>
          <w:color w:val="auto"/>
          <w:szCs w:val="21"/>
          <w:highlight w:val="none"/>
          <w:u w:val="single"/>
        </w:rPr>
        <w:t xml:space="preserve">       （全称）          </w:t>
      </w:r>
      <w:r>
        <w:rPr>
          <w:rFonts w:hint="eastAsia" w:ascii="宋体" w:hAnsi="宋体"/>
          <w:color w:val="auto"/>
          <w:szCs w:val="21"/>
          <w:highlight w:val="none"/>
        </w:rPr>
        <w:t>（盖单位章）</w:t>
      </w:r>
    </w:p>
    <w:p>
      <w:pPr>
        <w:spacing w:line="700" w:lineRule="exact"/>
        <w:rPr>
          <w:rFonts w:ascii="宋体" w:hAnsi="宋体"/>
          <w:color w:val="auto"/>
          <w:szCs w:val="21"/>
          <w:highlight w:val="non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700" w:lineRule="exact"/>
        <w:ind w:right="480" w:firstLine="4200" w:firstLineChars="200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00" w:lineRule="exact"/>
        <w:rPr>
          <w:rFonts w:ascii="宋体" w:hAnsi="宋体"/>
          <w:b/>
          <w:color w:val="auto"/>
          <w:szCs w:val="21"/>
          <w:highlight w:val="none"/>
        </w:rPr>
      </w:pPr>
    </w:p>
    <w:p>
      <w:pPr>
        <w:jc w:val="center"/>
        <w:rPr>
          <w:rFonts w:ascii="宋体"/>
          <w:b/>
          <w:color w:val="auto"/>
          <w:szCs w:val="21"/>
          <w:highlight w:val="none"/>
        </w:rPr>
      </w:pPr>
      <w:r>
        <w:rPr>
          <w:rFonts w:hint="eastAsia" w:ascii="黑体" w:eastAsia="黑体"/>
          <w:color w:val="auto"/>
          <w:sz w:val="28"/>
          <w:szCs w:val="28"/>
          <w:highlight w:val="none"/>
        </w:rPr>
        <w:br w:type="page"/>
      </w:r>
      <w:r>
        <w:rPr>
          <w:rFonts w:hint="eastAsia" w:ascii="黑体" w:eastAsia="黑体"/>
          <w:color w:val="auto"/>
          <w:sz w:val="28"/>
          <w:szCs w:val="28"/>
          <w:highlight w:val="none"/>
        </w:rPr>
        <w:t>八、</w:t>
      </w:r>
      <w:r>
        <w:rPr>
          <w:rFonts w:ascii="黑体" w:eastAsia="黑体"/>
          <w:color w:val="auto"/>
          <w:sz w:val="28"/>
          <w:szCs w:val="28"/>
          <w:highlight w:val="none"/>
        </w:rPr>
        <w:t>竞标人需要说明的其他资料</w:t>
      </w:r>
    </w:p>
    <w:p>
      <w:pPr>
        <w:spacing w:line="400" w:lineRule="exact"/>
        <w:rPr>
          <w:rFonts w:ascii="宋体" w:hAnsi="宋体"/>
          <w:b/>
          <w:color w:val="auto"/>
          <w:szCs w:val="21"/>
          <w:highlight w:val="none"/>
        </w:rPr>
      </w:pPr>
    </w:p>
    <w:p>
      <w:pPr>
        <w:numPr>
          <w:ilvl w:val="0"/>
          <w:numId w:val="1"/>
        </w:num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竞标人单位近三年内在经营活动中无重大违法记录的书面声明。</w:t>
      </w:r>
    </w:p>
    <w:p>
      <w:pPr>
        <w:numPr>
          <w:ilvl w:val="0"/>
          <w:numId w:val="1"/>
        </w:num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在“信用中国”网站(www.creditchina.gov.cn)、中国政府采购网(www.ccgp.gov.cn)等渠道未列入失信被执行人、重大税收违法案件当事人名单、政府采购严重违法失信行为记录名单查询相关信用记录，将查询结果截图加盖单位公章（查询日期为报名时间内）。</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竞标人需提供2019年度的财务审计报告或近季度财务报表</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 xml:space="preserve"> </w:t>
      </w:r>
      <w:r>
        <w:rPr>
          <w:rFonts w:hint="eastAsia" w:ascii="宋体" w:hAnsi="宋体"/>
          <w:color w:val="auto"/>
          <w:szCs w:val="21"/>
          <w:highlight w:val="none"/>
        </w:rPr>
        <w:t>在本单位缴纳的</w:t>
      </w:r>
      <w:r>
        <w:rPr>
          <w:rFonts w:hint="eastAsia" w:ascii="宋体" w:hAnsi="宋体"/>
          <w:color w:val="auto"/>
          <w:szCs w:val="21"/>
          <w:highlight w:val="none"/>
          <w:lang w:eastAsia="zh-CN"/>
        </w:rPr>
        <w:t>法定代表人、项目经理</w:t>
      </w:r>
      <w:r>
        <w:rPr>
          <w:rFonts w:hint="eastAsia" w:ascii="宋体" w:hAnsi="宋体"/>
          <w:color w:val="auto"/>
          <w:szCs w:val="21"/>
          <w:highlight w:val="none"/>
        </w:rPr>
        <w:t>的养老保险凭证（</w:t>
      </w:r>
      <w:r>
        <w:rPr>
          <w:rFonts w:hint="eastAsia" w:ascii="宋体" w:hAnsi="宋体"/>
          <w:color w:val="auto"/>
          <w:szCs w:val="21"/>
          <w:highlight w:val="none"/>
          <w:lang w:eastAsia="zh-CN"/>
        </w:rPr>
        <w:t>须提供本单位在截标之日前半年内连续三个月为其缴纳社会养老保险的缴费手册或社保机构出具的缴费清单</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eastAsia="zh-CN"/>
        </w:rPr>
        <w:t>提交响应文件截止之日前三个月内任意一个月的依法缴纳税费证明复印件</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.竞标单位认为需要提供的其他资料。</w:t>
      </w:r>
    </w:p>
    <w:p>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注：上述内容新成立的企业请按实际提供。</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b/>
          <w:color w:val="auto"/>
          <w:szCs w:val="21"/>
          <w:highlight w:val="none"/>
        </w:rPr>
      </w:pPr>
    </w:p>
    <w:p>
      <w:pPr>
        <w:pStyle w:val="4"/>
        <w:jc w:val="left"/>
        <w:rPr>
          <w:rFonts w:ascii="宋体" w:hAnsi="宋体"/>
          <w:color w:val="auto"/>
          <w:szCs w:val="21"/>
          <w:highlight w:val="none"/>
        </w:rPr>
      </w:pPr>
      <w:bookmarkStart w:id="203" w:name="_Toc9580"/>
      <w:bookmarkStart w:id="204" w:name="_Toc26459"/>
      <w:r>
        <w:rPr>
          <w:rFonts w:hint="eastAsia"/>
          <w:color w:val="auto"/>
          <w:highlight w:val="none"/>
        </w:rPr>
        <w:t>商务部分</w:t>
      </w:r>
      <w:bookmarkEnd w:id="203"/>
      <w:bookmarkEnd w:id="204"/>
    </w:p>
    <w:p>
      <w:pPr>
        <w:spacing w:line="400" w:lineRule="exact"/>
        <w:rPr>
          <w:rFonts w:ascii="宋体" w:hAnsi="宋体"/>
          <w:b/>
          <w:color w:val="auto"/>
          <w:szCs w:val="21"/>
          <w:highlight w:val="none"/>
        </w:rPr>
      </w:pP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rPr>
          <w:rFonts w:ascii="黑体" w:hAnsi="宋体" w:eastAsia="黑体"/>
          <w:color w:val="auto"/>
          <w:sz w:val="36"/>
          <w:szCs w:val="36"/>
          <w:highlight w:val="none"/>
        </w:rPr>
      </w:pP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72"/>
          <w:szCs w:val="72"/>
          <w:highlight w:val="none"/>
        </w:rPr>
      </w:pPr>
      <w:r>
        <w:rPr>
          <w:rFonts w:hint="eastAsia" w:ascii="黑体" w:hAnsi="宋体" w:eastAsia="黑体"/>
          <w:color w:val="auto"/>
          <w:sz w:val="72"/>
          <w:szCs w:val="72"/>
          <w:highlight w:val="none"/>
        </w:rPr>
        <w:t>竞标文件</w:t>
      </w: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ind w:firstLine="720" w:firstLineChars="200"/>
        <w:rPr>
          <w:rFonts w:ascii="黑体" w:hAnsi="宋体" w:eastAsia="黑体"/>
          <w:color w:val="auto"/>
          <w:szCs w:val="21"/>
          <w:highlight w:val="none"/>
        </w:rPr>
      </w:pPr>
      <w:r>
        <w:rPr>
          <w:rFonts w:hint="eastAsia" w:ascii="黑体" w:hAnsi="宋体" w:eastAsia="黑体"/>
          <w:color w:val="auto"/>
          <w:sz w:val="36"/>
          <w:szCs w:val="36"/>
          <w:highlight w:val="none"/>
        </w:rPr>
        <w:t>竞标文件内容：</w:t>
      </w:r>
      <w:r>
        <w:rPr>
          <w:rFonts w:hint="eastAsia" w:ascii="黑体" w:hAnsi="宋体" w:eastAsia="黑体"/>
          <w:color w:val="auto"/>
          <w:sz w:val="36"/>
          <w:szCs w:val="36"/>
          <w:highlight w:val="none"/>
          <w:u w:val="single"/>
        </w:rPr>
        <w:t xml:space="preserve">  商务部分         </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竞 标 人：</w:t>
      </w:r>
      <w:r>
        <w:rPr>
          <w:rFonts w:hint="eastAsia" w:ascii="黑体" w:hAnsi="宋体" w:eastAsia="黑体"/>
          <w:color w:val="auto"/>
          <w:sz w:val="36"/>
          <w:szCs w:val="36"/>
          <w:highlight w:val="none"/>
          <w:u w:val="single"/>
        </w:rPr>
        <w:t xml:space="preserve">   （全称）            </w:t>
      </w:r>
      <w:r>
        <w:rPr>
          <w:rFonts w:hint="eastAsia" w:ascii="宋体" w:hAnsi="宋体"/>
          <w:color w:val="auto"/>
          <w:sz w:val="36"/>
          <w:szCs w:val="36"/>
          <w:highlight w:val="none"/>
        </w:rPr>
        <w:t>（盖单位章）</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法定代表人或其委托代理人：</w:t>
      </w:r>
      <w:r>
        <w:rPr>
          <w:rFonts w:hint="eastAsia" w:ascii="黑体" w:hAnsi="宋体" w:eastAsia="黑体"/>
          <w:color w:val="auto"/>
          <w:sz w:val="36"/>
          <w:szCs w:val="36"/>
          <w:highlight w:val="none"/>
          <w:u w:val="single"/>
        </w:rPr>
        <w:t xml:space="preserve">           </w:t>
      </w:r>
      <w:r>
        <w:rPr>
          <w:rFonts w:hint="eastAsia" w:ascii="宋体" w:hAnsi="宋体"/>
          <w:color w:val="auto"/>
          <w:sz w:val="36"/>
          <w:szCs w:val="36"/>
          <w:highlight w:val="none"/>
        </w:rPr>
        <w:t>（签字）</w:t>
      </w:r>
    </w:p>
    <w:p>
      <w:pPr>
        <w:spacing w:line="98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日期：</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年</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月</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日</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目  录</w:t>
      </w:r>
    </w:p>
    <w:p>
      <w:pPr>
        <w:spacing w:line="540" w:lineRule="exact"/>
        <w:rPr>
          <w:rFonts w:ascii="宋体" w:hAnsi="宋体"/>
          <w:b/>
          <w:color w:val="auto"/>
          <w:szCs w:val="21"/>
          <w:highlight w:val="none"/>
        </w:rPr>
      </w:pPr>
    </w:p>
    <w:p>
      <w:pPr>
        <w:spacing w:line="540" w:lineRule="exact"/>
        <w:rPr>
          <w:rFonts w:ascii="宋体" w:hAnsi="宋体"/>
          <w:b/>
          <w:color w:val="auto"/>
          <w:szCs w:val="21"/>
          <w:highlight w:val="none"/>
        </w:rPr>
      </w:pP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⑴竞标函</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⑵已标价工程量清单</w:t>
      </w: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jc w:val="center"/>
        <w:rPr>
          <w:rFonts w:ascii="黑体" w:eastAsia="黑体"/>
          <w:color w:val="auto"/>
          <w:sz w:val="28"/>
          <w:szCs w:val="28"/>
          <w:highlight w:val="none"/>
        </w:rPr>
      </w:pPr>
    </w:p>
    <w:p>
      <w:pPr>
        <w:jc w:val="center"/>
        <w:rPr>
          <w:rFonts w:ascii="黑体" w:eastAsia="黑体"/>
          <w:color w:val="auto"/>
          <w:sz w:val="28"/>
          <w:szCs w:val="28"/>
          <w:highlight w:val="none"/>
        </w:rPr>
      </w:pPr>
    </w:p>
    <w:p>
      <w:pPr>
        <w:jc w:val="center"/>
        <w:rPr>
          <w:rFonts w:ascii="黑体" w:eastAsia="黑体"/>
          <w:color w:val="auto"/>
          <w:sz w:val="28"/>
          <w:szCs w:val="28"/>
          <w:highlight w:val="none"/>
        </w:rPr>
      </w:pPr>
    </w:p>
    <w:p>
      <w:pPr>
        <w:jc w:val="center"/>
        <w:rPr>
          <w:rFonts w:ascii="黑体" w:eastAsia="黑体"/>
          <w:color w:val="auto"/>
          <w:sz w:val="28"/>
          <w:szCs w:val="28"/>
          <w:highlight w:val="none"/>
        </w:rPr>
      </w:pPr>
    </w:p>
    <w:p>
      <w:pPr>
        <w:jc w:val="center"/>
        <w:rPr>
          <w:rFonts w:ascii="宋体"/>
          <w:color w:val="auto"/>
          <w:highlight w:val="none"/>
        </w:rPr>
      </w:pPr>
      <w:r>
        <w:rPr>
          <w:rFonts w:hint="eastAsia" w:ascii="黑体" w:eastAsia="黑体"/>
          <w:color w:val="auto"/>
          <w:sz w:val="28"/>
          <w:szCs w:val="28"/>
          <w:highlight w:val="none"/>
        </w:rPr>
        <w:t>一、</w:t>
      </w:r>
      <w:r>
        <w:rPr>
          <w:rFonts w:ascii="黑体" w:eastAsia="黑体"/>
          <w:color w:val="auto"/>
          <w:sz w:val="28"/>
          <w:szCs w:val="28"/>
          <w:highlight w:val="none"/>
        </w:rPr>
        <w:t>竞标函</w:t>
      </w:r>
    </w:p>
    <w:p>
      <w:pPr>
        <w:spacing w:line="360" w:lineRule="auto"/>
        <w:rPr>
          <w:rFonts w:ascii="宋体" w:hAnsi="宋体"/>
          <w:color w:val="auto"/>
          <w:highlight w:val="none"/>
        </w:rPr>
      </w:pPr>
    </w:p>
    <w:p>
      <w:pPr>
        <w:spacing w:line="360" w:lineRule="auto"/>
        <w:rPr>
          <w:rFonts w:ascii="宋体" w:hAnsi="宋体"/>
          <w:color w:val="auto"/>
          <w:highlight w:val="none"/>
          <w:u w:val="single"/>
        </w:rPr>
      </w:pPr>
      <w:r>
        <w:rPr>
          <w:rFonts w:ascii="宋体" w:hAnsi="宋体"/>
          <w:color w:val="auto"/>
          <w:highlight w:val="none"/>
        </w:rPr>
        <w:t>致：</w:t>
      </w:r>
      <w:r>
        <w:rPr>
          <w:rFonts w:ascii="宋体" w:hAnsi="宋体"/>
          <w:color w:val="auto"/>
          <w:highlight w:val="none"/>
          <w:u w:val="single"/>
        </w:rPr>
        <w:t xml:space="preserve">   {</w:t>
      </w:r>
      <w:r>
        <w:rPr>
          <w:rFonts w:hint="eastAsia" w:ascii="宋体" w:hAnsi="宋体"/>
          <w:color w:val="auto"/>
          <w:highlight w:val="none"/>
          <w:u w:val="single"/>
        </w:rPr>
        <w:t>采购</w:t>
      </w:r>
      <w:r>
        <w:rPr>
          <w:rFonts w:ascii="宋体" w:hAnsi="宋体"/>
          <w:color w:val="auto"/>
          <w:highlight w:val="none"/>
          <w:u w:val="single"/>
        </w:rPr>
        <w:t xml:space="preserve">人名称}   </w:t>
      </w:r>
    </w:p>
    <w:p>
      <w:pPr>
        <w:tabs>
          <w:tab w:val="left" w:pos="7560"/>
        </w:tabs>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 xml:space="preserve">. </w:t>
      </w:r>
      <w:r>
        <w:rPr>
          <w:rFonts w:ascii="宋体" w:hAnsi="宋体"/>
          <w:color w:val="auto"/>
          <w:highlight w:val="none"/>
        </w:rPr>
        <w:t>根据你方项目编号为</w:t>
      </w:r>
      <w:r>
        <w:rPr>
          <w:rFonts w:ascii="宋体" w:hAnsi="宋体"/>
          <w:color w:val="auto"/>
          <w:highlight w:val="none"/>
          <w:u w:val="single"/>
        </w:rPr>
        <w:t xml:space="preserve">  {项目编号}  </w:t>
      </w:r>
      <w:r>
        <w:rPr>
          <w:rFonts w:ascii="宋体" w:hAnsi="宋体"/>
          <w:color w:val="auto"/>
          <w:highlight w:val="none"/>
        </w:rPr>
        <w:t>的</w:t>
      </w:r>
      <w:r>
        <w:rPr>
          <w:rFonts w:ascii="宋体" w:hAnsi="宋体"/>
          <w:color w:val="auto"/>
          <w:highlight w:val="none"/>
          <w:u w:val="single"/>
        </w:rPr>
        <w:t xml:space="preserve">  {工程项目名称}  </w:t>
      </w:r>
      <w:r>
        <w:rPr>
          <w:rFonts w:ascii="宋体" w:hAnsi="宋体"/>
          <w:color w:val="auto"/>
          <w:highlight w:val="none"/>
        </w:rPr>
        <w:t>工程竞争性谈判文件，遵照</w:t>
      </w:r>
      <w:r>
        <w:rPr>
          <w:rFonts w:ascii="宋体" w:hAnsi="宋体"/>
          <w:color w:val="auto"/>
          <w:szCs w:val="21"/>
          <w:highlight w:val="none"/>
        </w:rPr>
        <w:t>《中华人民共和国政府采购法</w:t>
      </w:r>
      <w:r>
        <w:rPr>
          <w:rFonts w:hAnsi="宋体"/>
          <w:color w:val="auto"/>
          <w:szCs w:val="21"/>
          <w:highlight w:val="none"/>
        </w:rPr>
        <w:t>》</w:t>
      </w:r>
      <w:r>
        <w:rPr>
          <w:rFonts w:ascii="宋体" w:hAnsi="宋体"/>
          <w:color w:val="auto"/>
          <w:highlight w:val="none"/>
        </w:rPr>
        <w:t>等有关规定，经踏勘项目现场和研究上述竞争性谈判文件的竞标须知、合同条款、图纸、工程建设标准和工程量清单及其他有关文件后，我方愿以人民币(大写)</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元（RMB</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）的竞标报价并按上述图纸、合同条款、工程建设标准和工程量清单（如有时）的条件要求承包上述工程的施工、竣工，并承担任何质量缺陷保修责任。我方保证工程质量达到</w:t>
      </w:r>
      <w:r>
        <w:rPr>
          <w:rFonts w:ascii="宋体" w:hAnsi="宋体"/>
          <w:color w:val="auto"/>
          <w:highlight w:val="none"/>
          <w:u w:val="single"/>
        </w:rPr>
        <w:t xml:space="preserve">       </w:t>
      </w:r>
      <w:r>
        <w:rPr>
          <w:rFonts w:ascii="宋体" w:hAnsi="宋体"/>
          <w:color w:val="auto"/>
          <w:highlight w:val="none"/>
        </w:rPr>
        <w:t>等级。</w:t>
      </w:r>
    </w:p>
    <w:p>
      <w:pPr>
        <w:spacing w:line="360" w:lineRule="auto"/>
        <w:ind w:firstLine="442"/>
        <w:rPr>
          <w:rFonts w:ascii="宋体" w:hAnsi="宋体"/>
          <w:color w:val="auto"/>
          <w:highlight w:val="none"/>
        </w:rPr>
      </w:pPr>
      <w:r>
        <w:rPr>
          <w:rFonts w:ascii="宋体" w:hAnsi="宋体"/>
          <w:color w:val="auto"/>
          <w:highlight w:val="none"/>
        </w:rPr>
        <w:t>2</w:t>
      </w:r>
      <w:r>
        <w:rPr>
          <w:rFonts w:hint="eastAsia" w:ascii="宋体" w:hAnsi="宋体"/>
          <w:color w:val="auto"/>
          <w:highlight w:val="none"/>
        </w:rPr>
        <w:t xml:space="preserve">. </w:t>
      </w:r>
      <w:r>
        <w:rPr>
          <w:rFonts w:ascii="宋体" w:hAnsi="宋体"/>
          <w:color w:val="auto"/>
          <w:highlight w:val="none"/>
        </w:rPr>
        <w:t>我方已详细审核全部竞争性谈判文件，包括修改文件（如有时）及有关附件。</w:t>
      </w:r>
    </w:p>
    <w:p>
      <w:pPr>
        <w:spacing w:line="360" w:lineRule="auto"/>
        <w:ind w:firstLine="442"/>
        <w:rPr>
          <w:rFonts w:ascii="宋体" w:hAnsi="宋体"/>
          <w:color w:val="auto"/>
          <w:highlight w:val="none"/>
        </w:rPr>
      </w:pPr>
      <w:r>
        <w:rPr>
          <w:rFonts w:ascii="宋体" w:hAnsi="宋体"/>
          <w:color w:val="auto"/>
          <w:highlight w:val="none"/>
        </w:rPr>
        <w:t>3</w:t>
      </w:r>
      <w:r>
        <w:rPr>
          <w:rFonts w:hint="eastAsia" w:ascii="宋体" w:hAnsi="宋体"/>
          <w:color w:val="auto"/>
          <w:highlight w:val="none"/>
        </w:rPr>
        <w:t xml:space="preserve">. </w:t>
      </w:r>
      <w:r>
        <w:rPr>
          <w:rFonts w:ascii="宋体" w:hAnsi="宋体"/>
          <w:color w:val="auto"/>
          <w:highlight w:val="none"/>
        </w:rPr>
        <w:t>我方承认竞标函附录是我方竞标函的组成部分。</w:t>
      </w:r>
    </w:p>
    <w:p>
      <w:pPr>
        <w:spacing w:line="360" w:lineRule="auto"/>
        <w:ind w:firstLine="442"/>
        <w:rPr>
          <w:rFonts w:ascii="宋体" w:hAnsi="宋体"/>
          <w:color w:val="auto"/>
          <w:highlight w:val="none"/>
        </w:rPr>
      </w:pPr>
      <w:r>
        <w:rPr>
          <w:rFonts w:ascii="宋体" w:hAnsi="宋体"/>
          <w:color w:val="auto"/>
          <w:highlight w:val="none"/>
        </w:rPr>
        <w:t>4</w:t>
      </w:r>
      <w:r>
        <w:rPr>
          <w:rFonts w:hint="eastAsia" w:ascii="宋体" w:hAnsi="宋体"/>
          <w:color w:val="auto"/>
          <w:highlight w:val="none"/>
        </w:rPr>
        <w:t xml:space="preserve">. </w:t>
      </w:r>
      <w:r>
        <w:rPr>
          <w:rFonts w:ascii="宋体" w:hAnsi="宋体"/>
          <w:color w:val="auto"/>
          <w:highlight w:val="none"/>
        </w:rPr>
        <w:t>一旦我方成交，我方保证按合同书中规定的工期</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日历天内完成并移交全部工程。</w:t>
      </w:r>
    </w:p>
    <w:p>
      <w:pPr>
        <w:spacing w:line="360" w:lineRule="auto"/>
        <w:ind w:firstLine="442"/>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 xml:space="preserve">. </w:t>
      </w:r>
      <w:r>
        <w:rPr>
          <w:rFonts w:ascii="宋体" w:hAnsi="宋体"/>
          <w:color w:val="auto"/>
          <w:highlight w:val="none"/>
        </w:rPr>
        <w:t>我方同意所提交的竞标文件在竞争性谈判文件的竞标须知中第15条规定的竞标有效期内有效，在此期间内如果成交，我方将受此约束。</w:t>
      </w:r>
    </w:p>
    <w:p>
      <w:pPr>
        <w:spacing w:line="360" w:lineRule="auto"/>
        <w:ind w:firstLine="442"/>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 xml:space="preserve">. </w:t>
      </w:r>
      <w:r>
        <w:rPr>
          <w:rFonts w:ascii="宋体" w:hAnsi="宋体"/>
          <w:color w:val="auto"/>
          <w:highlight w:val="none"/>
        </w:rPr>
        <w:t>除非另外达成协议并生效，你方的成交通知书和本竞标文件将成为约束双方的合同文件的组成部分。</w:t>
      </w:r>
    </w:p>
    <w:p>
      <w:pPr>
        <w:spacing w:line="360" w:lineRule="auto"/>
        <w:ind w:firstLine="442"/>
        <w:rPr>
          <w:rFonts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 xml:space="preserve">. </w:t>
      </w:r>
      <w:r>
        <w:rPr>
          <w:rFonts w:ascii="宋体" w:hAnsi="宋体"/>
          <w:color w:val="auto"/>
          <w:highlight w:val="none"/>
        </w:rPr>
        <w:t>我方将与本竞标函一起，提交人民币</w:t>
      </w:r>
      <w:r>
        <w:rPr>
          <w:rFonts w:ascii="宋体" w:hAnsi="宋体"/>
          <w:color w:val="auto"/>
          <w:highlight w:val="none"/>
          <w:u w:val="single"/>
        </w:rPr>
        <w:t xml:space="preserve">          </w:t>
      </w:r>
      <w:r>
        <w:rPr>
          <w:rFonts w:ascii="宋体" w:hAnsi="宋体"/>
          <w:color w:val="auto"/>
          <w:highlight w:val="none"/>
        </w:rPr>
        <w:t>元作为竞标担保。</w:t>
      </w:r>
    </w:p>
    <w:p>
      <w:pPr>
        <w:spacing w:line="360" w:lineRule="auto"/>
        <w:rPr>
          <w:rFonts w:ascii="宋体" w:hAnsi="宋体"/>
          <w:color w:val="auto"/>
          <w:highlight w:val="none"/>
        </w:rPr>
      </w:pPr>
    </w:p>
    <w:p>
      <w:pPr>
        <w:spacing w:line="360" w:lineRule="auto"/>
        <w:ind w:left="1000"/>
        <w:rPr>
          <w:rFonts w:ascii="宋体" w:hAnsi="宋体"/>
          <w:color w:val="auto"/>
          <w:highlight w:val="none"/>
          <w:u w:val="single"/>
        </w:rPr>
      </w:pPr>
      <w:r>
        <w:rPr>
          <w:rFonts w:ascii="宋体" w:hAnsi="宋体"/>
          <w:color w:val="auto"/>
          <w:highlight w:val="none"/>
        </w:rPr>
        <w:t xml:space="preserve">         </w:t>
      </w:r>
      <w:r>
        <w:rPr>
          <w:rFonts w:hint="eastAsia" w:ascii="宋体" w:hAnsi="宋体"/>
          <w:color w:val="auto"/>
          <w:highlight w:val="none"/>
        </w:rPr>
        <w:t>竞标人</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（全称）</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（盖</w:t>
      </w:r>
      <w:r>
        <w:rPr>
          <w:rFonts w:hint="eastAsia" w:ascii="宋体" w:hAnsi="宋体"/>
          <w:color w:val="auto"/>
          <w:highlight w:val="none"/>
          <w:u w:val="single"/>
        </w:rPr>
        <w:t>单位</w:t>
      </w:r>
      <w:r>
        <w:rPr>
          <w:rFonts w:ascii="宋体" w:hAnsi="宋体"/>
          <w:color w:val="auto"/>
          <w:highlight w:val="none"/>
          <w:u w:val="single"/>
        </w:rPr>
        <w:t>章）</w:t>
      </w:r>
    </w:p>
    <w:p>
      <w:pPr>
        <w:spacing w:line="360" w:lineRule="auto"/>
        <w:ind w:left="1000"/>
        <w:rPr>
          <w:rFonts w:ascii="宋体" w:hAnsi="宋体"/>
          <w:color w:val="auto"/>
          <w:highlight w:val="none"/>
          <w:u w:val="single"/>
        </w:rPr>
      </w:pPr>
      <w:r>
        <w:rPr>
          <w:rFonts w:ascii="宋体" w:hAnsi="宋体"/>
          <w:color w:val="auto"/>
          <w:highlight w:val="none"/>
        </w:rPr>
        <w:t xml:space="preserve">         单位地址：</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rPr>
          <w:rFonts w:ascii="宋体" w:hAnsi="宋体"/>
          <w:color w:val="auto"/>
          <w:highlight w:val="none"/>
          <w:u w:val="single"/>
        </w:rPr>
      </w:pPr>
      <w:r>
        <w:rPr>
          <w:rFonts w:ascii="宋体" w:hAnsi="宋体"/>
          <w:color w:val="auto"/>
          <w:highlight w:val="none"/>
        </w:rPr>
        <w:t xml:space="preserve">         法定代表人或其委托代理人（委托代理人）：</w:t>
      </w:r>
      <w:r>
        <w:rPr>
          <w:rFonts w:ascii="宋体" w:hAnsi="宋体"/>
          <w:color w:val="auto"/>
          <w:highlight w:val="none"/>
          <w:u w:val="single"/>
        </w:rPr>
        <w:t xml:space="preserve">             （签字）</w:t>
      </w:r>
    </w:p>
    <w:p>
      <w:pPr>
        <w:spacing w:line="360" w:lineRule="auto"/>
        <w:ind w:left="1000"/>
        <w:rPr>
          <w:rFonts w:ascii="宋体" w:hAnsi="宋体"/>
          <w:color w:val="auto"/>
          <w:highlight w:val="none"/>
        </w:rPr>
      </w:pPr>
      <w:r>
        <w:rPr>
          <w:rFonts w:ascii="宋体" w:hAnsi="宋体"/>
          <w:color w:val="auto"/>
          <w:highlight w:val="none"/>
        </w:rPr>
        <w:t xml:space="preserve">         邮政编码：</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rPr>
        <w:t>电话：</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rPr>
        <w:t xml:space="preserve"> 传真：</w:t>
      </w:r>
      <w:r>
        <w:rPr>
          <w:rFonts w:ascii="宋体" w:hAnsi="宋体"/>
          <w:color w:val="auto"/>
          <w:highlight w:val="none"/>
          <w:u w:val="single"/>
        </w:rPr>
        <w:tab/>
      </w:r>
      <w:r>
        <w:rPr>
          <w:rFonts w:ascii="宋体" w:hAnsi="宋体"/>
          <w:color w:val="auto"/>
          <w:highlight w:val="none"/>
          <w:u w:val="single"/>
        </w:rPr>
        <w:tab/>
      </w:r>
    </w:p>
    <w:p>
      <w:pPr>
        <w:spacing w:line="360" w:lineRule="auto"/>
        <w:ind w:left="1000"/>
        <w:rPr>
          <w:rFonts w:ascii="宋体" w:hAnsi="宋体"/>
          <w:color w:val="auto"/>
          <w:highlight w:val="none"/>
        </w:rPr>
      </w:pPr>
      <w:r>
        <w:rPr>
          <w:rFonts w:ascii="宋体" w:hAnsi="宋体"/>
          <w:color w:val="auto"/>
          <w:highlight w:val="none"/>
        </w:rPr>
        <w:t xml:space="preserve">         开户银行名称：</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rPr>
          <w:rFonts w:ascii="宋体" w:hAnsi="宋体"/>
          <w:color w:val="auto"/>
          <w:highlight w:val="none"/>
        </w:rPr>
      </w:pPr>
      <w:r>
        <w:rPr>
          <w:rFonts w:ascii="宋体" w:hAnsi="宋体"/>
          <w:color w:val="auto"/>
          <w:highlight w:val="none"/>
        </w:rPr>
        <w:t xml:space="preserve">         开户银行账号：</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 xml:space="preserve">  </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rPr>
          <w:rFonts w:ascii="宋体" w:hAnsi="宋体"/>
          <w:color w:val="auto"/>
          <w:highlight w:val="none"/>
        </w:rPr>
      </w:pPr>
      <w:r>
        <w:rPr>
          <w:rFonts w:ascii="宋体" w:hAnsi="宋体"/>
          <w:color w:val="auto"/>
          <w:highlight w:val="none"/>
        </w:rPr>
        <w:t xml:space="preserve">         开户银行地址：</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360" w:lineRule="auto"/>
        <w:ind w:left="1000"/>
        <w:rPr>
          <w:rFonts w:ascii="宋体" w:hAnsi="宋体"/>
          <w:color w:val="auto"/>
          <w:highlight w:val="none"/>
        </w:rPr>
      </w:pPr>
      <w:r>
        <w:rPr>
          <w:rFonts w:ascii="宋体" w:hAnsi="宋体"/>
          <w:color w:val="auto"/>
          <w:highlight w:val="none"/>
        </w:rPr>
        <w:t xml:space="preserve">         开户银行电话：</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p>
    <w:p>
      <w:pPr>
        <w:spacing w:line="440" w:lineRule="exact"/>
        <w:ind w:firstLine="1890" w:firstLineChars="900"/>
        <w:rPr>
          <w:rFonts w:ascii="宋体"/>
          <w:b/>
          <w:bCs/>
          <w:color w:val="auto"/>
          <w:sz w:val="24"/>
          <w:highlight w:val="none"/>
        </w:rPr>
      </w:pPr>
      <w:r>
        <w:rPr>
          <w:rFonts w:hint="eastAsia" w:ascii="宋体" w:hAnsi="宋体"/>
          <w:color w:val="auto"/>
          <w:highlight w:val="none"/>
        </w:rPr>
        <w:t xml:space="preserve"> </w:t>
      </w:r>
      <w:r>
        <w:rPr>
          <w:rFonts w:ascii="宋体" w:hAnsi="宋体"/>
          <w:color w:val="auto"/>
          <w:highlight w:val="none"/>
        </w:rPr>
        <w:t>日期：</w:t>
      </w:r>
      <w:r>
        <w:rPr>
          <w:rFonts w:hint="eastAsia" w:ascii="宋体" w:hAnsi="宋体"/>
          <w:color w:val="auto"/>
          <w:highlight w:val="none"/>
          <w:u w:val="single"/>
        </w:rPr>
        <w:t xml:space="preserve">        </w:t>
      </w:r>
      <w:r>
        <w:rPr>
          <w:rFonts w:ascii="宋体" w:hAnsi="宋体"/>
          <w:color w:val="auto"/>
          <w:highlight w:val="none"/>
        </w:rPr>
        <w:t>年</w:t>
      </w:r>
      <w:r>
        <w:rPr>
          <w:rFonts w:hint="eastAsia" w:ascii="宋体" w:hAnsi="宋体"/>
          <w:color w:val="auto"/>
          <w:highlight w:val="none"/>
        </w:rPr>
        <w:t xml:space="preserve"> </w:t>
      </w:r>
      <w:r>
        <w:rPr>
          <w:rFonts w:hint="eastAsia" w:ascii="宋体" w:hAnsi="宋体"/>
          <w:color w:val="auto"/>
          <w:highlight w:val="none"/>
          <w:u w:val="single"/>
        </w:rPr>
        <w:t xml:space="preserve">        </w:t>
      </w:r>
      <w:r>
        <w:rPr>
          <w:rFonts w:ascii="宋体" w:hAnsi="宋体"/>
          <w:color w:val="auto"/>
          <w:highlight w:val="none"/>
        </w:rPr>
        <w:t>月</w:t>
      </w:r>
      <w:r>
        <w:rPr>
          <w:rFonts w:hint="eastAsia" w:ascii="宋体" w:hAnsi="宋体"/>
          <w:color w:val="auto"/>
          <w:highlight w:val="none"/>
        </w:rPr>
        <w:t xml:space="preserve"> </w:t>
      </w:r>
      <w:r>
        <w:rPr>
          <w:rFonts w:hint="eastAsia" w:ascii="宋体" w:hAnsi="宋体"/>
          <w:color w:val="auto"/>
          <w:highlight w:val="none"/>
          <w:u w:val="single"/>
        </w:rPr>
        <w:t xml:space="preserve">           </w:t>
      </w:r>
      <w:r>
        <w:rPr>
          <w:rFonts w:ascii="宋体" w:hAnsi="宋体"/>
          <w:color w:val="auto"/>
          <w:highlight w:val="none"/>
        </w:rPr>
        <w:t>日</w:t>
      </w:r>
    </w:p>
    <w:p>
      <w:pPr>
        <w:spacing w:after="50" w:line="400" w:lineRule="exact"/>
        <w:rPr>
          <w:rFonts w:ascii="宋体" w:hAnsi="宋体"/>
          <w:color w:val="auto"/>
          <w:highlight w:val="none"/>
        </w:rPr>
      </w:pPr>
      <w:r>
        <w:rPr>
          <w:rFonts w:ascii="宋体"/>
          <w:color w:val="auto"/>
          <w:sz w:val="24"/>
          <w:highlight w:val="none"/>
        </w:rPr>
        <w:br w:type="page"/>
      </w:r>
    </w:p>
    <w:p>
      <w:pPr>
        <w:jc w:val="center"/>
        <w:rPr>
          <w:rFonts w:ascii="黑体" w:eastAsia="黑体"/>
          <w:color w:val="auto"/>
          <w:sz w:val="28"/>
          <w:szCs w:val="28"/>
          <w:highlight w:val="none"/>
        </w:rPr>
      </w:pPr>
      <w:r>
        <w:rPr>
          <w:rFonts w:hint="eastAsia" w:ascii="黑体" w:eastAsia="黑体"/>
          <w:color w:val="auto"/>
          <w:sz w:val="28"/>
          <w:szCs w:val="28"/>
          <w:highlight w:val="none"/>
        </w:rPr>
        <w:t>二、</w:t>
      </w:r>
      <w:r>
        <w:rPr>
          <w:rFonts w:ascii="黑体" w:eastAsia="黑体"/>
          <w:color w:val="auto"/>
          <w:sz w:val="28"/>
          <w:szCs w:val="28"/>
          <w:highlight w:val="none"/>
        </w:rPr>
        <w:t>已标价工程量清单</w:t>
      </w:r>
    </w:p>
    <w:p>
      <w:pPr>
        <w:jc w:val="center"/>
        <w:rPr>
          <w:color w:val="auto"/>
          <w:highlight w:val="none"/>
        </w:rPr>
      </w:pPr>
      <w:r>
        <w:rPr>
          <w:rFonts w:hint="eastAsia" w:ascii="黑体" w:eastAsia="黑体"/>
          <w:color w:val="auto"/>
          <w:sz w:val="28"/>
          <w:szCs w:val="28"/>
          <w:highlight w:val="none"/>
        </w:rPr>
        <w:t>（另附）</w:t>
      </w:r>
    </w:p>
    <w:p>
      <w:pPr>
        <w:rPr>
          <w:color w:val="auto"/>
          <w:highlight w:val="none"/>
        </w:rPr>
      </w:pPr>
    </w:p>
    <w:p>
      <w:pPr>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 xml:space="preserve">. </w:t>
      </w:r>
      <w:r>
        <w:rPr>
          <w:color w:val="auto"/>
          <w:szCs w:val="21"/>
          <w:highlight w:val="none"/>
        </w:rPr>
        <w:t>构成合同文件的已标价工程量清单包括第</w:t>
      </w:r>
      <w:r>
        <w:rPr>
          <w:rFonts w:hint="eastAsia"/>
          <w:color w:val="auto"/>
          <w:szCs w:val="21"/>
          <w:highlight w:val="none"/>
        </w:rPr>
        <w:t>六</w:t>
      </w:r>
      <w:r>
        <w:rPr>
          <w:color w:val="auto"/>
          <w:szCs w:val="21"/>
          <w:highlight w:val="none"/>
        </w:rPr>
        <w:t>章“工程量清单</w:t>
      </w:r>
      <w:r>
        <w:rPr>
          <w:rFonts w:hint="eastAsia"/>
          <w:color w:val="auto"/>
          <w:szCs w:val="21"/>
          <w:highlight w:val="none"/>
        </w:rPr>
        <w:t>报价说明</w:t>
      </w:r>
      <w:r>
        <w:rPr>
          <w:color w:val="auto"/>
          <w:szCs w:val="21"/>
          <w:highlight w:val="none"/>
        </w:rPr>
        <w:t>”有关工程量清单、投标报价以及其他说明的内容。</w:t>
      </w:r>
    </w:p>
    <w:p>
      <w:pPr>
        <w:spacing w:line="400" w:lineRule="exact"/>
        <w:rPr>
          <w:rFonts w:ascii="宋体" w:hAnsi="宋体"/>
          <w:b/>
          <w:color w:val="auto"/>
          <w:szCs w:val="21"/>
          <w:highlight w:val="none"/>
        </w:rPr>
      </w:pPr>
      <w:r>
        <w:rPr>
          <w:rFonts w:ascii="宋体" w:hAnsi="宋体"/>
          <w:b/>
          <w:color w:val="auto"/>
          <w:szCs w:val="21"/>
          <w:highlight w:val="none"/>
        </w:rPr>
        <w:br w:type="page"/>
      </w:r>
    </w:p>
    <w:p>
      <w:pPr>
        <w:pStyle w:val="4"/>
        <w:jc w:val="both"/>
        <w:rPr>
          <w:rFonts w:ascii="宋体" w:hAnsi="宋体"/>
          <w:color w:val="auto"/>
          <w:szCs w:val="21"/>
          <w:highlight w:val="none"/>
        </w:rPr>
      </w:pPr>
      <w:bookmarkStart w:id="205" w:name="_Toc10749"/>
      <w:bookmarkStart w:id="206" w:name="_Toc22206"/>
      <w:r>
        <w:rPr>
          <w:rFonts w:hint="eastAsia"/>
          <w:color w:val="auto"/>
          <w:highlight w:val="none"/>
        </w:rPr>
        <w:t>技术部分</w:t>
      </w:r>
      <w:bookmarkEnd w:id="205"/>
      <w:bookmarkEnd w:id="206"/>
    </w:p>
    <w:p>
      <w:pPr>
        <w:spacing w:line="400" w:lineRule="exact"/>
        <w:rPr>
          <w:rFonts w:ascii="宋体" w:hAnsi="宋体"/>
          <w:b/>
          <w:color w:val="auto"/>
          <w:szCs w:val="21"/>
          <w:highlight w:val="none"/>
        </w:rPr>
      </w:pP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项目名称</w:t>
      </w:r>
    </w:p>
    <w:p>
      <w:pPr>
        <w:spacing w:line="740" w:lineRule="exact"/>
        <w:jc w:val="center"/>
        <w:rPr>
          <w:rFonts w:ascii="黑体" w:hAnsi="宋体" w:eastAsia="黑体"/>
          <w:color w:val="auto"/>
          <w:sz w:val="36"/>
          <w:szCs w:val="36"/>
          <w:highlight w:val="none"/>
          <w:u w:val="single"/>
        </w:rPr>
      </w:pPr>
      <w:r>
        <w:rPr>
          <w:rFonts w:hint="eastAsia" w:ascii="黑体" w:hAnsi="宋体" w:eastAsia="黑体"/>
          <w:color w:val="auto"/>
          <w:sz w:val="36"/>
          <w:szCs w:val="36"/>
          <w:highlight w:val="none"/>
        </w:rPr>
        <w:t>项目编号</w:t>
      </w:r>
    </w:p>
    <w:p>
      <w:pPr>
        <w:spacing w:line="740" w:lineRule="exact"/>
        <w:rPr>
          <w:rFonts w:ascii="黑体" w:hAnsi="宋体" w:eastAsia="黑体"/>
          <w:color w:val="auto"/>
          <w:sz w:val="36"/>
          <w:szCs w:val="36"/>
          <w:highlight w:val="none"/>
        </w:rPr>
      </w:pP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72"/>
          <w:szCs w:val="72"/>
          <w:highlight w:val="none"/>
        </w:rPr>
      </w:pPr>
      <w:r>
        <w:rPr>
          <w:rFonts w:hint="eastAsia" w:ascii="黑体" w:hAnsi="宋体" w:eastAsia="黑体"/>
          <w:color w:val="auto"/>
          <w:sz w:val="72"/>
          <w:szCs w:val="72"/>
          <w:highlight w:val="none"/>
        </w:rPr>
        <w:t>竞标文件</w:t>
      </w:r>
    </w:p>
    <w:p>
      <w:pPr>
        <w:spacing w:line="740" w:lineRule="exact"/>
        <w:rPr>
          <w:rFonts w:ascii="黑体" w:hAnsi="宋体" w:eastAsia="黑体"/>
          <w:color w:val="auto"/>
          <w:szCs w:val="21"/>
          <w:highlight w:val="none"/>
        </w:rPr>
      </w:pPr>
    </w:p>
    <w:p>
      <w:pPr>
        <w:spacing w:line="74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正本或副本</w:t>
      </w: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rPr>
          <w:rFonts w:ascii="黑体" w:hAnsi="宋体" w:eastAsia="黑体"/>
          <w:color w:val="auto"/>
          <w:szCs w:val="21"/>
          <w:highlight w:val="none"/>
        </w:rPr>
      </w:pPr>
    </w:p>
    <w:p>
      <w:pPr>
        <w:spacing w:line="740" w:lineRule="exact"/>
        <w:ind w:firstLine="720" w:firstLineChars="200"/>
        <w:rPr>
          <w:rFonts w:ascii="黑体" w:hAnsi="宋体" w:eastAsia="黑体"/>
          <w:color w:val="auto"/>
          <w:szCs w:val="21"/>
          <w:highlight w:val="none"/>
        </w:rPr>
      </w:pPr>
      <w:r>
        <w:rPr>
          <w:rFonts w:hint="eastAsia" w:ascii="黑体" w:hAnsi="宋体" w:eastAsia="黑体"/>
          <w:color w:val="auto"/>
          <w:sz w:val="36"/>
          <w:szCs w:val="36"/>
          <w:highlight w:val="none"/>
        </w:rPr>
        <w:t>竞标文件内容：</w:t>
      </w:r>
      <w:r>
        <w:rPr>
          <w:rFonts w:hint="eastAsia" w:ascii="黑体" w:hAnsi="宋体" w:eastAsia="黑体"/>
          <w:color w:val="auto"/>
          <w:sz w:val="36"/>
          <w:szCs w:val="36"/>
          <w:highlight w:val="none"/>
          <w:u w:val="single"/>
        </w:rPr>
        <w:t xml:space="preserve">  技术部分         </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竞  标  人：</w:t>
      </w:r>
      <w:r>
        <w:rPr>
          <w:rFonts w:hint="eastAsia" w:ascii="黑体" w:hAnsi="宋体" w:eastAsia="黑体"/>
          <w:color w:val="auto"/>
          <w:sz w:val="36"/>
          <w:szCs w:val="36"/>
          <w:highlight w:val="none"/>
          <w:u w:val="single"/>
        </w:rPr>
        <w:t xml:space="preserve">   （全称）            </w:t>
      </w:r>
      <w:r>
        <w:rPr>
          <w:rFonts w:hint="eastAsia" w:ascii="宋体" w:hAnsi="宋体"/>
          <w:color w:val="auto"/>
          <w:sz w:val="36"/>
          <w:szCs w:val="36"/>
          <w:highlight w:val="none"/>
        </w:rPr>
        <w:t>（盖单位章）</w:t>
      </w:r>
    </w:p>
    <w:p>
      <w:pPr>
        <w:spacing w:line="980" w:lineRule="exact"/>
        <w:ind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法定代表人或其委托代理人：</w:t>
      </w:r>
      <w:r>
        <w:rPr>
          <w:rFonts w:hint="eastAsia" w:ascii="黑体" w:hAnsi="宋体" w:eastAsia="黑体"/>
          <w:color w:val="auto"/>
          <w:sz w:val="36"/>
          <w:szCs w:val="36"/>
          <w:highlight w:val="none"/>
          <w:u w:val="single"/>
        </w:rPr>
        <w:t xml:space="preserve">           </w:t>
      </w:r>
      <w:r>
        <w:rPr>
          <w:rFonts w:hint="eastAsia" w:ascii="宋体" w:hAnsi="宋体"/>
          <w:color w:val="auto"/>
          <w:sz w:val="36"/>
          <w:szCs w:val="36"/>
          <w:highlight w:val="none"/>
        </w:rPr>
        <w:t>（签字）</w:t>
      </w:r>
    </w:p>
    <w:p>
      <w:pPr>
        <w:spacing w:line="98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日期：</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年</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月</w:t>
      </w:r>
      <w:r>
        <w:rPr>
          <w:rFonts w:hint="eastAsia" w:ascii="黑体" w:hAnsi="宋体" w:eastAsia="黑体"/>
          <w:color w:val="auto"/>
          <w:sz w:val="36"/>
          <w:szCs w:val="36"/>
          <w:highlight w:val="none"/>
          <w:u w:val="single"/>
        </w:rPr>
        <w:t xml:space="preserve">     </w:t>
      </w:r>
      <w:r>
        <w:rPr>
          <w:rFonts w:hint="eastAsia" w:ascii="黑体" w:hAnsi="宋体" w:eastAsia="黑体"/>
          <w:color w:val="auto"/>
          <w:sz w:val="36"/>
          <w:szCs w:val="36"/>
          <w:highlight w:val="none"/>
        </w:rPr>
        <w:t>日</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360" w:lineRule="exact"/>
        <w:rPr>
          <w:color w:val="auto"/>
          <w:highlight w:val="none"/>
        </w:rPr>
      </w:pPr>
    </w:p>
    <w:p>
      <w:pPr>
        <w:spacing w:line="360" w:lineRule="exact"/>
        <w:rPr>
          <w:color w:val="auto"/>
          <w:highlight w:val="none"/>
        </w:rPr>
      </w:pPr>
    </w:p>
    <w:p>
      <w:pPr>
        <w:spacing w:line="40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目  录</w:t>
      </w:r>
    </w:p>
    <w:p>
      <w:pPr>
        <w:spacing w:line="540" w:lineRule="exact"/>
        <w:rPr>
          <w:rFonts w:ascii="宋体" w:hAnsi="宋体"/>
          <w:b/>
          <w:color w:val="auto"/>
          <w:szCs w:val="21"/>
          <w:highlight w:val="none"/>
        </w:rPr>
      </w:pPr>
    </w:p>
    <w:p>
      <w:pPr>
        <w:spacing w:line="400" w:lineRule="exact"/>
        <w:rPr>
          <w:rFonts w:ascii="宋体" w:hAnsi="宋体"/>
          <w:b/>
          <w:color w:val="auto"/>
          <w:szCs w:val="21"/>
          <w:highlight w:val="none"/>
        </w:rPr>
      </w:pP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㈠施工组织设计</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⑴拟投入的主要施工机械设备表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⑵劳动力计划表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⑶计划开、竣工日期和施工进度网络图</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⑷施工总平面图</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⑸临时用地表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㈡项目管理机构</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⑴项目管理机构配备情况表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⑵项目经理简历表</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⑶项目总工简历表</w:t>
      </w:r>
    </w:p>
    <w:p>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⑷项目其他主要人员简历表</w:t>
      </w:r>
    </w:p>
    <w:p>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⑸项目管理机构配备情况辅助说明资料</w:t>
      </w: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一、施工组织设计</w:t>
      </w:r>
    </w:p>
    <w:p>
      <w:pPr>
        <w:spacing w:line="360" w:lineRule="exact"/>
        <w:rPr>
          <w:rFonts w:ascii="宋体" w:hAnsi="宋体"/>
          <w:color w:val="auto"/>
          <w:highlight w:val="none"/>
        </w:rPr>
      </w:pPr>
    </w:p>
    <w:p>
      <w:pPr>
        <w:spacing w:after="50" w:line="560" w:lineRule="exact"/>
        <w:ind w:firstLine="420" w:firstLineChars="200"/>
        <w:rPr>
          <w:rFonts w:ascii="宋体" w:hAnsi="宋体"/>
          <w:color w:val="auto"/>
          <w:highlight w:val="none"/>
        </w:rPr>
      </w:pPr>
      <w:r>
        <w:rPr>
          <w:rFonts w:hint="eastAsia" w:ascii="宋体" w:hAnsi="宋体"/>
          <w:color w:val="auto"/>
          <w:highlight w:val="none"/>
        </w:rPr>
        <w:t>1.竞标人应编制施工组织设计。编制具体要求是：编制时应采用文字并结合图表形式说明施工方法；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spacing w:after="50" w:line="560" w:lineRule="exact"/>
        <w:ind w:firstLine="420" w:firstLineChars="200"/>
        <w:rPr>
          <w:rFonts w:ascii="宋体" w:hAnsi="宋体"/>
          <w:color w:val="auto"/>
          <w:highlight w:val="none"/>
        </w:rPr>
      </w:pPr>
      <w:r>
        <w:rPr>
          <w:rFonts w:hint="eastAsia" w:ascii="宋体" w:hAnsi="宋体"/>
          <w:color w:val="auto"/>
          <w:highlight w:val="none"/>
        </w:rPr>
        <w:t>2.施工组织设计除采用文字表述外可附下列图表，图表及格式要求附后，表格可扩展。</w:t>
      </w:r>
    </w:p>
    <w:p>
      <w:pPr>
        <w:spacing w:after="50" w:line="560" w:lineRule="exact"/>
        <w:ind w:firstLine="420" w:firstLineChars="200"/>
        <w:rPr>
          <w:rFonts w:ascii="宋体" w:hAnsi="宋体"/>
          <w:color w:val="auto"/>
          <w:highlight w:val="none"/>
        </w:rPr>
      </w:pPr>
      <w:r>
        <w:rPr>
          <w:rFonts w:hint="eastAsia" w:ascii="宋体" w:hAnsi="宋体"/>
          <w:color w:val="auto"/>
          <w:highlight w:val="none"/>
        </w:rPr>
        <w:t>附表一  拟投入的主要施工设备表</w:t>
      </w:r>
    </w:p>
    <w:p>
      <w:pPr>
        <w:spacing w:after="50" w:line="560" w:lineRule="exact"/>
        <w:ind w:firstLine="420" w:firstLineChars="200"/>
        <w:rPr>
          <w:rFonts w:ascii="宋体" w:hAnsi="宋体"/>
          <w:color w:val="auto"/>
          <w:highlight w:val="none"/>
        </w:rPr>
      </w:pPr>
      <w:r>
        <w:rPr>
          <w:rFonts w:hint="eastAsia" w:ascii="宋体" w:hAnsi="宋体"/>
          <w:color w:val="auto"/>
          <w:highlight w:val="none"/>
        </w:rPr>
        <w:t>附表二  劳动力计划表</w:t>
      </w:r>
    </w:p>
    <w:p>
      <w:pPr>
        <w:spacing w:after="50" w:line="560" w:lineRule="exact"/>
        <w:ind w:firstLine="420" w:firstLineChars="200"/>
        <w:rPr>
          <w:rFonts w:ascii="宋体" w:hAnsi="宋体"/>
          <w:color w:val="auto"/>
          <w:highlight w:val="none"/>
        </w:rPr>
      </w:pPr>
      <w:r>
        <w:rPr>
          <w:rFonts w:hint="eastAsia" w:ascii="宋体" w:hAnsi="宋体"/>
          <w:color w:val="auto"/>
          <w:highlight w:val="none"/>
        </w:rPr>
        <w:t>附表三  计划开、竣工日期和施工进度网络图</w:t>
      </w:r>
    </w:p>
    <w:p>
      <w:pPr>
        <w:spacing w:after="50" w:line="560" w:lineRule="exact"/>
        <w:ind w:firstLine="420" w:firstLineChars="200"/>
        <w:rPr>
          <w:rFonts w:ascii="宋体" w:hAnsi="宋体"/>
          <w:color w:val="auto"/>
          <w:highlight w:val="none"/>
        </w:rPr>
      </w:pPr>
      <w:r>
        <w:rPr>
          <w:rFonts w:hint="eastAsia" w:ascii="宋体" w:hAnsi="宋体"/>
          <w:color w:val="auto"/>
          <w:highlight w:val="none"/>
        </w:rPr>
        <w:t>附表四  施工总平面图</w:t>
      </w:r>
    </w:p>
    <w:p>
      <w:pPr>
        <w:spacing w:after="50" w:line="560" w:lineRule="exact"/>
        <w:ind w:firstLine="420" w:firstLineChars="200"/>
        <w:rPr>
          <w:rFonts w:ascii="宋体" w:hAnsi="宋体"/>
          <w:color w:val="auto"/>
          <w:sz w:val="24"/>
          <w:highlight w:val="none"/>
        </w:rPr>
      </w:pPr>
      <w:r>
        <w:rPr>
          <w:rFonts w:hint="eastAsia" w:ascii="宋体" w:hAnsi="宋体"/>
          <w:color w:val="auto"/>
          <w:highlight w:val="none"/>
        </w:rPr>
        <w:t>附表五  临时用地表</w:t>
      </w: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b/>
          <w:bCs/>
          <w:color w:val="auto"/>
          <w:sz w:val="32"/>
          <w:highlight w:val="none"/>
        </w:rPr>
      </w:pPr>
    </w:p>
    <w:p>
      <w:pPr>
        <w:spacing w:after="50" w:line="400" w:lineRule="exact"/>
        <w:rPr>
          <w:color w:val="auto"/>
          <w:sz w:val="24"/>
          <w:highlight w:val="none"/>
        </w:rPr>
      </w:pPr>
      <w:r>
        <w:rPr>
          <w:rFonts w:hint="eastAsia"/>
          <w:b/>
          <w:bCs/>
          <w:color w:val="auto"/>
          <w:sz w:val="24"/>
          <w:highlight w:val="none"/>
        </w:rPr>
        <w:br w:type="page"/>
      </w:r>
      <w:r>
        <w:rPr>
          <w:rFonts w:hint="eastAsia"/>
          <w:b/>
          <w:bCs/>
          <w:color w:val="auto"/>
          <w:sz w:val="24"/>
          <w:highlight w:val="none"/>
        </w:rPr>
        <w:t xml:space="preserve">附表一 </w:t>
      </w:r>
      <w:r>
        <w:rPr>
          <w:rFonts w:hint="eastAsia" w:ascii="宋体" w:hAnsi="宋体"/>
          <w:b/>
          <w:bCs/>
          <w:color w:val="auto"/>
          <w:sz w:val="24"/>
          <w:highlight w:val="none"/>
        </w:rPr>
        <w:t xml:space="preserve"> ⑴</w:t>
      </w:r>
      <w:r>
        <w:rPr>
          <w:rFonts w:hint="eastAsia"/>
          <w:b/>
          <w:bCs/>
          <w:color w:val="auto"/>
          <w:sz w:val="24"/>
          <w:highlight w:val="none"/>
        </w:rPr>
        <w:t>拟投入的主要施工机械设备表</w:t>
      </w:r>
    </w:p>
    <w:p>
      <w:pPr>
        <w:spacing w:after="50" w:line="400" w:lineRule="exact"/>
        <w:rPr>
          <w:color w:val="auto"/>
          <w:sz w:val="36"/>
          <w:highlight w:val="none"/>
        </w:rPr>
      </w:pPr>
    </w:p>
    <w:tbl>
      <w:tblPr>
        <w:tblStyle w:val="33"/>
        <w:tblW w:w="9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764"/>
        <w:gridCol w:w="1366"/>
        <w:gridCol w:w="640"/>
        <w:gridCol w:w="946"/>
        <w:gridCol w:w="1007"/>
        <w:gridCol w:w="1586"/>
        <w:gridCol w:w="94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vAlign w:val="center"/>
          </w:tcPr>
          <w:p>
            <w:pPr>
              <w:spacing w:after="50" w:line="400" w:lineRule="exact"/>
              <w:jc w:val="center"/>
              <w:rPr>
                <w:color w:val="auto"/>
                <w:highlight w:val="none"/>
              </w:rPr>
            </w:pPr>
            <w:r>
              <w:rPr>
                <w:rFonts w:hint="eastAsia"/>
                <w:color w:val="auto"/>
                <w:highlight w:val="none"/>
              </w:rPr>
              <w:t>序号</w:t>
            </w:r>
          </w:p>
        </w:tc>
        <w:tc>
          <w:tcPr>
            <w:tcW w:w="1764" w:type="dxa"/>
            <w:vAlign w:val="center"/>
          </w:tcPr>
          <w:p>
            <w:pPr>
              <w:spacing w:after="50" w:line="400" w:lineRule="exact"/>
              <w:jc w:val="center"/>
              <w:rPr>
                <w:color w:val="auto"/>
                <w:highlight w:val="none"/>
              </w:rPr>
            </w:pPr>
            <w:r>
              <w:rPr>
                <w:rFonts w:hint="eastAsia"/>
                <w:color w:val="auto"/>
                <w:highlight w:val="none"/>
              </w:rPr>
              <w:t>机械或设备名称</w:t>
            </w:r>
          </w:p>
        </w:tc>
        <w:tc>
          <w:tcPr>
            <w:tcW w:w="1366" w:type="dxa"/>
            <w:vAlign w:val="center"/>
          </w:tcPr>
          <w:p>
            <w:pPr>
              <w:spacing w:after="50" w:line="400" w:lineRule="exact"/>
              <w:jc w:val="center"/>
              <w:rPr>
                <w:color w:val="auto"/>
                <w:highlight w:val="none"/>
              </w:rPr>
            </w:pPr>
            <w:r>
              <w:rPr>
                <w:rFonts w:hint="eastAsia"/>
                <w:color w:val="auto"/>
                <w:highlight w:val="none"/>
              </w:rPr>
              <w:t>型号规格</w:t>
            </w:r>
          </w:p>
        </w:tc>
        <w:tc>
          <w:tcPr>
            <w:tcW w:w="640" w:type="dxa"/>
            <w:vAlign w:val="center"/>
          </w:tcPr>
          <w:p>
            <w:pPr>
              <w:spacing w:after="50" w:line="400" w:lineRule="exact"/>
              <w:jc w:val="center"/>
              <w:rPr>
                <w:color w:val="auto"/>
                <w:highlight w:val="none"/>
              </w:rPr>
            </w:pPr>
            <w:r>
              <w:rPr>
                <w:rFonts w:hint="eastAsia"/>
                <w:color w:val="auto"/>
                <w:highlight w:val="none"/>
              </w:rPr>
              <w:t>数量</w:t>
            </w:r>
          </w:p>
        </w:tc>
        <w:tc>
          <w:tcPr>
            <w:tcW w:w="946" w:type="dxa"/>
            <w:vAlign w:val="center"/>
          </w:tcPr>
          <w:p>
            <w:pPr>
              <w:spacing w:after="50" w:line="400" w:lineRule="exact"/>
              <w:jc w:val="center"/>
              <w:rPr>
                <w:color w:val="auto"/>
                <w:highlight w:val="none"/>
              </w:rPr>
            </w:pPr>
            <w:r>
              <w:rPr>
                <w:rFonts w:hint="eastAsia"/>
                <w:color w:val="auto"/>
                <w:highlight w:val="none"/>
              </w:rPr>
              <w:t>国别产地</w:t>
            </w:r>
          </w:p>
        </w:tc>
        <w:tc>
          <w:tcPr>
            <w:tcW w:w="1007" w:type="dxa"/>
            <w:vAlign w:val="center"/>
          </w:tcPr>
          <w:p>
            <w:pPr>
              <w:spacing w:after="50" w:line="400" w:lineRule="exact"/>
              <w:jc w:val="center"/>
              <w:rPr>
                <w:color w:val="auto"/>
                <w:highlight w:val="none"/>
              </w:rPr>
            </w:pPr>
            <w:r>
              <w:rPr>
                <w:rFonts w:hint="eastAsia"/>
                <w:color w:val="auto"/>
                <w:highlight w:val="none"/>
              </w:rPr>
              <w:t>制造年份</w:t>
            </w:r>
          </w:p>
        </w:tc>
        <w:tc>
          <w:tcPr>
            <w:tcW w:w="1586" w:type="dxa"/>
            <w:vAlign w:val="center"/>
          </w:tcPr>
          <w:p>
            <w:pPr>
              <w:spacing w:after="50" w:line="400" w:lineRule="exact"/>
              <w:jc w:val="center"/>
              <w:rPr>
                <w:color w:val="auto"/>
                <w:highlight w:val="none"/>
              </w:rPr>
            </w:pPr>
            <w:r>
              <w:rPr>
                <w:rFonts w:hint="eastAsia"/>
                <w:color w:val="auto"/>
                <w:highlight w:val="none"/>
              </w:rPr>
              <w:t>额定功率（KW）</w:t>
            </w:r>
          </w:p>
        </w:tc>
        <w:tc>
          <w:tcPr>
            <w:tcW w:w="945" w:type="dxa"/>
            <w:vAlign w:val="center"/>
          </w:tcPr>
          <w:p>
            <w:pPr>
              <w:spacing w:after="50" w:line="400" w:lineRule="exact"/>
              <w:jc w:val="center"/>
              <w:rPr>
                <w:color w:val="auto"/>
                <w:highlight w:val="none"/>
              </w:rPr>
            </w:pPr>
            <w:r>
              <w:rPr>
                <w:rFonts w:hint="eastAsia"/>
                <w:color w:val="auto"/>
                <w:highlight w:val="none"/>
              </w:rPr>
              <w:t>生产能力</w:t>
            </w:r>
          </w:p>
        </w:tc>
        <w:tc>
          <w:tcPr>
            <w:tcW w:w="1114" w:type="dxa"/>
            <w:tcBorders>
              <w:left w:val="single" w:color="auto" w:sz="4" w:space="0"/>
            </w:tcBorders>
            <w:vAlign w:val="center"/>
          </w:tcPr>
          <w:p>
            <w:pPr>
              <w:spacing w:after="50" w:line="40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tcPr>
          <w:p>
            <w:pPr>
              <w:spacing w:after="50" w:line="400" w:lineRule="exact"/>
              <w:rPr>
                <w:color w:val="auto"/>
                <w:highlight w:val="none"/>
              </w:rPr>
            </w:pPr>
          </w:p>
        </w:tc>
        <w:tc>
          <w:tcPr>
            <w:tcW w:w="1764" w:type="dxa"/>
          </w:tcPr>
          <w:p>
            <w:pPr>
              <w:spacing w:after="50" w:line="400" w:lineRule="exact"/>
              <w:rPr>
                <w:color w:val="auto"/>
                <w:highlight w:val="none"/>
              </w:rPr>
            </w:pPr>
          </w:p>
        </w:tc>
        <w:tc>
          <w:tcPr>
            <w:tcW w:w="1366" w:type="dxa"/>
          </w:tcPr>
          <w:p>
            <w:pPr>
              <w:spacing w:after="50" w:line="400" w:lineRule="exact"/>
              <w:rPr>
                <w:color w:val="auto"/>
                <w:highlight w:val="none"/>
              </w:rPr>
            </w:pPr>
          </w:p>
        </w:tc>
        <w:tc>
          <w:tcPr>
            <w:tcW w:w="640" w:type="dxa"/>
          </w:tcPr>
          <w:p>
            <w:pPr>
              <w:spacing w:after="50" w:line="400" w:lineRule="exact"/>
              <w:rPr>
                <w:color w:val="auto"/>
                <w:highlight w:val="none"/>
              </w:rPr>
            </w:pPr>
          </w:p>
        </w:tc>
        <w:tc>
          <w:tcPr>
            <w:tcW w:w="946" w:type="dxa"/>
          </w:tcPr>
          <w:p>
            <w:pPr>
              <w:spacing w:after="50" w:line="400" w:lineRule="exact"/>
              <w:rPr>
                <w:color w:val="auto"/>
                <w:highlight w:val="none"/>
              </w:rPr>
            </w:pPr>
          </w:p>
        </w:tc>
        <w:tc>
          <w:tcPr>
            <w:tcW w:w="1007" w:type="dxa"/>
          </w:tcPr>
          <w:p>
            <w:pPr>
              <w:spacing w:after="50" w:line="400" w:lineRule="exact"/>
              <w:rPr>
                <w:color w:val="auto"/>
                <w:highlight w:val="none"/>
              </w:rPr>
            </w:pPr>
          </w:p>
        </w:tc>
        <w:tc>
          <w:tcPr>
            <w:tcW w:w="1586" w:type="dxa"/>
          </w:tcPr>
          <w:p>
            <w:pPr>
              <w:spacing w:after="50" w:line="400" w:lineRule="exact"/>
              <w:rPr>
                <w:color w:val="auto"/>
                <w:highlight w:val="none"/>
              </w:rPr>
            </w:pPr>
          </w:p>
        </w:tc>
        <w:tc>
          <w:tcPr>
            <w:tcW w:w="945" w:type="dxa"/>
          </w:tcPr>
          <w:p>
            <w:pPr>
              <w:spacing w:after="50" w:line="400" w:lineRule="exact"/>
              <w:rPr>
                <w:color w:val="auto"/>
                <w:highlight w:val="none"/>
              </w:rPr>
            </w:pPr>
          </w:p>
        </w:tc>
        <w:tc>
          <w:tcPr>
            <w:tcW w:w="1114" w:type="dxa"/>
            <w:tcBorders>
              <w:left w:val="single" w:color="auto" w:sz="4" w:space="0"/>
            </w:tcBorders>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tcPr>
          <w:p>
            <w:pPr>
              <w:spacing w:after="50" w:line="400" w:lineRule="exact"/>
              <w:rPr>
                <w:color w:val="auto"/>
                <w:highlight w:val="none"/>
              </w:rPr>
            </w:pPr>
          </w:p>
        </w:tc>
        <w:tc>
          <w:tcPr>
            <w:tcW w:w="1764" w:type="dxa"/>
          </w:tcPr>
          <w:p>
            <w:pPr>
              <w:spacing w:after="50" w:line="400" w:lineRule="exact"/>
              <w:rPr>
                <w:color w:val="auto"/>
                <w:highlight w:val="none"/>
              </w:rPr>
            </w:pPr>
          </w:p>
        </w:tc>
        <w:tc>
          <w:tcPr>
            <w:tcW w:w="1366" w:type="dxa"/>
          </w:tcPr>
          <w:p>
            <w:pPr>
              <w:spacing w:after="50" w:line="400" w:lineRule="exact"/>
              <w:rPr>
                <w:color w:val="auto"/>
                <w:highlight w:val="none"/>
              </w:rPr>
            </w:pPr>
          </w:p>
        </w:tc>
        <w:tc>
          <w:tcPr>
            <w:tcW w:w="640" w:type="dxa"/>
          </w:tcPr>
          <w:p>
            <w:pPr>
              <w:spacing w:after="50" w:line="400" w:lineRule="exact"/>
              <w:rPr>
                <w:color w:val="auto"/>
                <w:highlight w:val="none"/>
              </w:rPr>
            </w:pPr>
          </w:p>
        </w:tc>
        <w:tc>
          <w:tcPr>
            <w:tcW w:w="946" w:type="dxa"/>
          </w:tcPr>
          <w:p>
            <w:pPr>
              <w:spacing w:after="50" w:line="400" w:lineRule="exact"/>
              <w:rPr>
                <w:color w:val="auto"/>
                <w:highlight w:val="none"/>
              </w:rPr>
            </w:pPr>
          </w:p>
        </w:tc>
        <w:tc>
          <w:tcPr>
            <w:tcW w:w="1007" w:type="dxa"/>
          </w:tcPr>
          <w:p>
            <w:pPr>
              <w:spacing w:after="50" w:line="400" w:lineRule="exact"/>
              <w:rPr>
                <w:color w:val="auto"/>
                <w:highlight w:val="none"/>
              </w:rPr>
            </w:pPr>
          </w:p>
        </w:tc>
        <w:tc>
          <w:tcPr>
            <w:tcW w:w="1586" w:type="dxa"/>
          </w:tcPr>
          <w:p>
            <w:pPr>
              <w:spacing w:after="50" w:line="400" w:lineRule="exact"/>
              <w:rPr>
                <w:color w:val="auto"/>
                <w:highlight w:val="none"/>
              </w:rPr>
            </w:pPr>
          </w:p>
        </w:tc>
        <w:tc>
          <w:tcPr>
            <w:tcW w:w="945" w:type="dxa"/>
          </w:tcPr>
          <w:p>
            <w:pPr>
              <w:spacing w:after="50" w:line="400" w:lineRule="exact"/>
              <w:rPr>
                <w:color w:val="auto"/>
                <w:highlight w:val="none"/>
              </w:rPr>
            </w:pPr>
          </w:p>
        </w:tc>
        <w:tc>
          <w:tcPr>
            <w:tcW w:w="1114" w:type="dxa"/>
            <w:tcBorders>
              <w:left w:val="single" w:color="auto" w:sz="4" w:space="0"/>
            </w:tcBorders>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tcPr>
          <w:p>
            <w:pPr>
              <w:spacing w:after="50" w:line="400" w:lineRule="exact"/>
              <w:rPr>
                <w:color w:val="auto"/>
                <w:highlight w:val="none"/>
              </w:rPr>
            </w:pPr>
          </w:p>
        </w:tc>
        <w:tc>
          <w:tcPr>
            <w:tcW w:w="1764" w:type="dxa"/>
          </w:tcPr>
          <w:p>
            <w:pPr>
              <w:spacing w:after="50" w:line="400" w:lineRule="exact"/>
              <w:rPr>
                <w:color w:val="auto"/>
                <w:highlight w:val="none"/>
              </w:rPr>
            </w:pPr>
          </w:p>
        </w:tc>
        <w:tc>
          <w:tcPr>
            <w:tcW w:w="1366" w:type="dxa"/>
          </w:tcPr>
          <w:p>
            <w:pPr>
              <w:spacing w:after="50" w:line="400" w:lineRule="exact"/>
              <w:rPr>
                <w:color w:val="auto"/>
                <w:highlight w:val="none"/>
              </w:rPr>
            </w:pPr>
          </w:p>
        </w:tc>
        <w:tc>
          <w:tcPr>
            <w:tcW w:w="640" w:type="dxa"/>
          </w:tcPr>
          <w:p>
            <w:pPr>
              <w:spacing w:after="50" w:line="400" w:lineRule="exact"/>
              <w:rPr>
                <w:color w:val="auto"/>
                <w:highlight w:val="none"/>
              </w:rPr>
            </w:pPr>
          </w:p>
        </w:tc>
        <w:tc>
          <w:tcPr>
            <w:tcW w:w="946" w:type="dxa"/>
          </w:tcPr>
          <w:p>
            <w:pPr>
              <w:spacing w:after="50" w:line="400" w:lineRule="exact"/>
              <w:rPr>
                <w:color w:val="auto"/>
                <w:highlight w:val="none"/>
              </w:rPr>
            </w:pPr>
          </w:p>
        </w:tc>
        <w:tc>
          <w:tcPr>
            <w:tcW w:w="1007" w:type="dxa"/>
          </w:tcPr>
          <w:p>
            <w:pPr>
              <w:spacing w:after="50" w:line="400" w:lineRule="exact"/>
              <w:rPr>
                <w:color w:val="auto"/>
                <w:highlight w:val="none"/>
              </w:rPr>
            </w:pPr>
          </w:p>
        </w:tc>
        <w:tc>
          <w:tcPr>
            <w:tcW w:w="1586" w:type="dxa"/>
          </w:tcPr>
          <w:p>
            <w:pPr>
              <w:pStyle w:val="48"/>
              <w:spacing w:after="50" w:line="400" w:lineRule="exact"/>
              <w:rPr>
                <w:rFonts w:ascii="Times New Roman" w:hAnsi="Times New Roman"/>
                <w:color w:val="auto"/>
                <w:szCs w:val="24"/>
                <w:highlight w:val="none"/>
              </w:rPr>
            </w:pPr>
          </w:p>
        </w:tc>
        <w:tc>
          <w:tcPr>
            <w:tcW w:w="945" w:type="dxa"/>
          </w:tcPr>
          <w:p>
            <w:pPr>
              <w:spacing w:after="50" w:line="400" w:lineRule="exact"/>
              <w:rPr>
                <w:color w:val="auto"/>
                <w:highlight w:val="none"/>
              </w:rPr>
            </w:pPr>
          </w:p>
        </w:tc>
        <w:tc>
          <w:tcPr>
            <w:tcW w:w="1114" w:type="dxa"/>
            <w:tcBorders>
              <w:left w:val="single" w:color="auto" w:sz="4" w:space="0"/>
            </w:tcBorders>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tcPr>
          <w:p>
            <w:pPr>
              <w:spacing w:after="50" w:line="400" w:lineRule="exact"/>
              <w:rPr>
                <w:color w:val="auto"/>
                <w:highlight w:val="none"/>
              </w:rPr>
            </w:pPr>
          </w:p>
        </w:tc>
        <w:tc>
          <w:tcPr>
            <w:tcW w:w="1764" w:type="dxa"/>
          </w:tcPr>
          <w:p>
            <w:pPr>
              <w:spacing w:after="50" w:line="400" w:lineRule="exact"/>
              <w:rPr>
                <w:color w:val="auto"/>
                <w:highlight w:val="none"/>
              </w:rPr>
            </w:pPr>
          </w:p>
        </w:tc>
        <w:tc>
          <w:tcPr>
            <w:tcW w:w="1366" w:type="dxa"/>
          </w:tcPr>
          <w:p>
            <w:pPr>
              <w:spacing w:after="50" w:line="400" w:lineRule="exact"/>
              <w:rPr>
                <w:color w:val="auto"/>
                <w:highlight w:val="none"/>
              </w:rPr>
            </w:pPr>
          </w:p>
        </w:tc>
        <w:tc>
          <w:tcPr>
            <w:tcW w:w="640" w:type="dxa"/>
          </w:tcPr>
          <w:p>
            <w:pPr>
              <w:spacing w:after="50" w:line="400" w:lineRule="exact"/>
              <w:rPr>
                <w:color w:val="auto"/>
                <w:highlight w:val="none"/>
              </w:rPr>
            </w:pPr>
          </w:p>
        </w:tc>
        <w:tc>
          <w:tcPr>
            <w:tcW w:w="946" w:type="dxa"/>
          </w:tcPr>
          <w:p>
            <w:pPr>
              <w:spacing w:after="50" w:line="400" w:lineRule="exact"/>
              <w:rPr>
                <w:color w:val="auto"/>
                <w:highlight w:val="none"/>
              </w:rPr>
            </w:pPr>
          </w:p>
        </w:tc>
        <w:tc>
          <w:tcPr>
            <w:tcW w:w="1007" w:type="dxa"/>
          </w:tcPr>
          <w:p>
            <w:pPr>
              <w:spacing w:after="50" w:line="400" w:lineRule="exact"/>
              <w:rPr>
                <w:color w:val="auto"/>
                <w:highlight w:val="none"/>
              </w:rPr>
            </w:pPr>
          </w:p>
        </w:tc>
        <w:tc>
          <w:tcPr>
            <w:tcW w:w="1586" w:type="dxa"/>
          </w:tcPr>
          <w:p>
            <w:pPr>
              <w:pStyle w:val="48"/>
              <w:spacing w:after="50" w:line="400" w:lineRule="exact"/>
              <w:rPr>
                <w:rFonts w:ascii="Times New Roman" w:hAnsi="Times New Roman"/>
                <w:color w:val="auto"/>
                <w:szCs w:val="24"/>
                <w:highlight w:val="none"/>
              </w:rPr>
            </w:pPr>
          </w:p>
        </w:tc>
        <w:tc>
          <w:tcPr>
            <w:tcW w:w="945" w:type="dxa"/>
          </w:tcPr>
          <w:p>
            <w:pPr>
              <w:spacing w:after="50" w:line="400" w:lineRule="exact"/>
              <w:rPr>
                <w:color w:val="auto"/>
                <w:highlight w:val="none"/>
              </w:rPr>
            </w:pPr>
          </w:p>
        </w:tc>
        <w:tc>
          <w:tcPr>
            <w:tcW w:w="1114" w:type="dxa"/>
            <w:tcBorders>
              <w:left w:val="single" w:color="auto" w:sz="4" w:space="0"/>
            </w:tcBorders>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01" w:type="dxa"/>
          </w:tcPr>
          <w:p>
            <w:pPr>
              <w:spacing w:after="50" w:line="400" w:lineRule="exact"/>
              <w:rPr>
                <w:color w:val="auto"/>
                <w:highlight w:val="none"/>
              </w:rPr>
            </w:pPr>
          </w:p>
        </w:tc>
        <w:tc>
          <w:tcPr>
            <w:tcW w:w="1764" w:type="dxa"/>
          </w:tcPr>
          <w:p>
            <w:pPr>
              <w:spacing w:after="50" w:line="400" w:lineRule="exact"/>
              <w:rPr>
                <w:color w:val="auto"/>
                <w:highlight w:val="none"/>
              </w:rPr>
            </w:pPr>
          </w:p>
        </w:tc>
        <w:tc>
          <w:tcPr>
            <w:tcW w:w="1366" w:type="dxa"/>
          </w:tcPr>
          <w:p>
            <w:pPr>
              <w:spacing w:after="50" w:line="400" w:lineRule="exact"/>
              <w:rPr>
                <w:color w:val="auto"/>
                <w:highlight w:val="none"/>
              </w:rPr>
            </w:pPr>
          </w:p>
        </w:tc>
        <w:tc>
          <w:tcPr>
            <w:tcW w:w="640" w:type="dxa"/>
          </w:tcPr>
          <w:p>
            <w:pPr>
              <w:spacing w:after="50" w:line="400" w:lineRule="exact"/>
              <w:rPr>
                <w:color w:val="auto"/>
                <w:highlight w:val="none"/>
              </w:rPr>
            </w:pPr>
          </w:p>
        </w:tc>
        <w:tc>
          <w:tcPr>
            <w:tcW w:w="946" w:type="dxa"/>
          </w:tcPr>
          <w:p>
            <w:pPr>
              <w:spacing w:after="50" w:line="400" w:lineRule="exact"/>
              <w:rPr>
                <w:color w:val="auto"/>
                <w:highlight w:val="none"/>
              </w:rPr>
            </w:pPr>
          </w:p>
        </w:tc>
        <w:tc>
          <w:tcPr>
            <w:tcW w:w="1007" w:type="dxa"/>
          </w:tcPr>
          <w:p>
            <w:pPr>
              <w:spacing w:after="50" w:line="400" w:lineRule="exact"/>
              <w:rPr>
                <w:color w:val="auto"/>
                <w:highlight w:val="none"/>
              </w:rPr>
            </w:pPr>
          </w:p>
        </w:tc>
        <w:tc>
          <w:tcPr>
            <w:tcW w:w="1586" w:type="dxa"/>
          </w:tcPr>
          <w:p>
            <w:pPr>
              <w:pStyle w:val="48"/>
              <w:spacing w:after="50" w:line="400" w:lineRule="exact"/>
              <w:rPr>
                <w:rFonts w:ascii="Times New Roman" w:hAnsi="Times New Roman"/>
                <w:color w:val="auto"/>
                <w:szCs w:val="24"/>
                <w:highlight w:val="none"/>
              </w:rPr>
            </w:pPr>
          </w:p>
        </w:tc>
        <w:tc>
          <w:tcPr>
            <w:tcW w:w="945" w:type="dxa"/>
          </w:tcPr>
          <w:p>
            <w:pPr>
              <w:spacing w:after="50" w:line="400" w:lineRule="exact"/>
              <w:rPr>
                <w:color w:val="auto"/>
                <w:highlight w:val="none"/>
              </w:rPr>
            </w:pPr>
          </w:p>
        </w:tc>
        <w:tc>
          <w:tcPr>
            <w:tcW w:w="1114" w:type="dxa"/>
            <w:tcBorders>
              <w:left w:val="single" w:color="auto" w:sz="4" w:space="0"/>
            </w:tcBorders>
          </w:tcPr>
          <w:p>
            <w:pPr>
              <w:spacing w:after="50" w:line="400" w:lineRule="exact"/>
              <w:rPr>
                <w:color w:val="auto"/>
                <w:highlight w:val="none"/>
              </w:rPr>
            </w:pPr>
          </w:p>
        </w:tc>
      </w:tr>
    </w:tbl>
    <w:p>
      <w:pPr>
        <w:spacing w:after="50" w:line="400" w:lineRule="exact"/>
        <w:rPr>
          <w:b/>
          <w:bCs/>
          <w:color w:val="auto"/>
          <w:sz w:val="32"/>
          <w:highlight w:val="none"/>
        </w:rPr>
      </w:pPr>
    </w:p>
    <w:p>
      <w:pPr>
        <w:spacing w:after="50" w:line="400" w:lineRule="exact"/>
        <w:rPr>
          <w:b/>
          <w:bCs/>
          <w:color w:val="auto"/>
          <w:sz w:val="28"/>
          <w:szCs w:val="28"/>
          <w:highlight w:val="none"/>
        </w:rPr>
      </w:pPr>
    </w:p>
    <w:p>
      <w:pPr>
        <w:spacing w:after="50" w:line="400" w:lineRule="exact"/>
        <w:rPr>
          <w:b/>
          <w:bCs/>
          <w:color w:val="auto"/>
          <w:sz w:val="28"/>
          <w:szCs w:val="28"/>
          <w:highlight w:val="none"/>
        </w:rPr>
      </w:pPr>
    </w:p>
    <w:p>
      <w:pPr>
        <w:spacing w:after="50" w:line="400" w:lineRule="exact"/>
        <w:rPr>
          <w:b/>
          <w:bCs/>
          <w:color w:val="auto"/>
          <w:sz w:val="28"/>
          <w:szCs w:val="28"/>
          <w:highlight w:val="none"/>
        </w:rPr>
      </w:pPr>
    </w:p>
    <w:p>
      <w:pPr>
        <w:spacing w:after="50" w:line="400" w:lineRule="exact"/>
        <w:rPr>
          <w:b/>
          <w:bCs/>
          <w:color w:val="auto"/>
          <w:sz w:val="28"/>
          <w:szCs w:val="28"/>
          <w:highlight w:val="none"/>
        </w:rPr>
      </w:pPr>
    </w:p>
    <w:p>
      <w:pPr>
        <w:spacing w:after="50" w:line="400" w:lineRule="exact"/>
        <w:rPr>
          <w:color w:val="auto"/>
          <w:sz w:val="24"/>
          <w:highlight w:val="none"/>
        </w:rPr>
      </w:pPr>
      <w:r>
        <w:rPr>
          <w:rFonts w:hint="eastAsia"/>
          <w:b/>
          <w:bCs/>
          <w:color w:val="auto"/>
          <w:sz w:val="24"/>
          <w:highlight w:val="none"/>
        </w:rPr>
        <w:t xml:space="preserve">附表二 </w:t>
      </w:r>
      <w:r>
        <w:rPr>
          <w:rFonts w:hint="eastAsia" w:ascii="宋体" w:hAnsi="宋体"/>
          <w:b/>
          <w:bCs/>
          <w:color w:val="auto"/>
          <w:sz w:val="24"/>
          <w:highlight w:val="none"/>
        </w:rPr>
        <w:t xml:space="preserve"> ⑵</w:t>
      </w:r>
      <w:r>
        <w:rPr>
          <w:rFonts w:hint="eastAsia"/>
          <w:b/>
          <w:bCs/>
          <w:color w:val="auto"/>
          <w:sz w:val="24"/>
          <w:highlight w:val="none"/>
        </w:rPr>
        <w:t>劳动力计划表</w:t>
      </w:r>
    </w:p>
    <w:p>
      <w:pPr>
        <w:spacing w:after="50" w:line="400" w:lineRule="exact"/>
        <w:ind w:firstLine="3120" w:firstLineChars="1300"/>
        <w:rPr>
          <w:color w:val="auto"/>
          <w:sz w:val="24"/>
          <w:highlight w:val="none"/>
        </w:rPr>
      </w:pPr>
      <w:r>
        <w:rPr>
          <w:rFonts w:hint="eastAsia"/>
          <w:color w:val="auto"/>
          <w:sz w:val="24"/>
          <w:highlight w:val="none"/>
        </w:rPr>
        <w:t xml:space="preserve">                                       单位： 人  </w:t>
      </w:r>
    </w:p>
    <w:tbl>
      <w:tblPr>
        <w:tblStyle w:val="33"/>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170"/>
        <w:gridCol w:w="1171"/>
        <w:gridCol w:w="1171"/>
        <w:gridCol w:w="1171"/>
        <w:gridCol w:w="1366"/>
        <w:gridCol w:w="1366"/>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2" w:type="dxa"/>
            <w:vMerge w:val="restart"/>
            <w:vAlign w:val="center"/>
          </w:tcPr>
          <w:p>
            <w:pPr>
              <w:spacing w:after="50" w:line="400" w:lineRule="exact"/>
              <w:rPr>
                <w:color w:val="auto"/>
                <w:highlight w:val="none"/>
              </w:rPr>
            </w:pPr>
            <w:r>
              <w:rPr>
                <w:rFonts w:hint="eastAsia"/>
                <w:color w:val="auto"/>
                <w:highlight w:val="none"/>
              </w:rPr>
              <w:t>工种</w:t>
            </w:r>
          </w:p>
        </w:tc>
        <w:tc>
          <w:tcPr>
            <w:tcW w:w="8889" w:type="dxa"/>
            <w:gridSpan w:val="7"/>
            <w:vAlign w:val="center"/>
          </w:tcPr>
          <w:p>
            <w:pPr>
              <w:spacing w:after="50" w:line="400" w:lineRule="exact"/>
              <w:rPr>
                <w:color w:val="auto"/>
                <w:highlight w:val="none"/>
              </w:rPr>
            </w:pPr>
            <w:r>
              <w:rPr>
                <w:rFonts w:hint="eastAsia"/>
                <w:color w:val="auto"/>
                <w:highlight w:val="none"/>
              </w:rPr>
              <w:t>按</w:t>
            </w:r>
            <w:r>
              <w:rPr>
                <w:rFonts w:hint="eastAsia" w:ascii="宋体" w:hAnsi="Courier New"/>
                <w:color w:val="auto"/>
                <w:szCs w:val="20"/>
                <w:highlight w:val="none"/>
              </w:rPr>
              <w:t>项目</w:t>
            </w:r>
            <w:r>
              <w:rPr>
                <w:rFonts w:hint="eastAsia"/>
                <w:color w:val="auto"/>
                <w:highlight w:val="none"/>
              </w:rPr>
              <w:t>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92" w:type="dxa"/>
            <w:vMerge w:val="continue"/>
            <w:vAlign w:val="center"/>
          </w:tcPr>
          <w:p>
            <w:pPr>
              <w:spacing w:after="50" w:line="400" w:lineRule="exact"/>
              <w:rPr>
                <w:color w:val="auto"/>
                <w:sz w:val="24"/>
                <w:highlight w:val="none"/>
              </w:rPr>
            </w:pPr>
          </w:p>
        </w:tc>
        <w:tc>
          <w:tcPr>
            <w:tcW w:w="1170" w:type="dxa"/>
            <w:vAlign w:val="center"/>
          </w:tcPr>
          <w:p>
            <w:pPr>
              <w:spacing w:after="50" w:line="400" w:lineRule="exact"/>
              <w:rPr>
                <w:color w:val="auto"/>
                <w:sz w:val="24"/>
                <w:highlight w:val="none"/>
              </w:rPr>
            </w:pPr>
          </w:p>
        </w:tc>
        <w:tc>
          <w:tcPr>
            <w:tcW w:w="1171" w:type="dxa"/>
            <w:vAlign w:val="center"/>
          </w:tcPr>
          <w:p>
            <w:pPr>
              <w:spacing w:after="50" w:line="400" w:lineRule="exact"/>
              <w:rPr>
                <w:color w:val="auto"/>
                <w:sz w:val="24"/>
                <w:highlight w:val="none"/>
              </w:rPr>
            </w:pPr>
          </w:p>
        </w:tc>
        <w:tc>
          <w:tcPr>
            <w:tcW w:w="1171" w:type="dxa"/>
            <w:vAlign w:val="center"/>
          </w:tcPr>
          <w:p>
            <w:pPr>
              <w:spacing w:after="50" w:line="400" w:lineRule="exact"/>
              <w:rPr>
                <w:color w:val="auto"/>
                <w:sz w:val="24"/>
                <w:highlight w:val="none"/>
              </w:rPr>
            </w:pPr>
          </w:p>
        </w:tc>
        <w:tc>
          <w:tcPr>
            <w:tcW w:w="1171" w:type="dxa"/>
            <w:vAlign w:val="center"/>
          </w:tcPr>
          <w:p>
            <w:pPr>
              <w:spacing w:after="50" w:line="400" w:lineRule="exact"/>
              <w:rPr>
                <w:color w:val="auto"/>
                <w:sz w:val="24"/>
                <w:highlight w:val="none"/>
              </w:rPr>
            </w:pPr>
          </w:p>
        </w:tc>
        <w:tc>
          <w:tcPr>
            <w:tcW w:w="1366" w:type="dxa"/>
            <w:vAlign w:val="center"/>
          </w:tcPr>
          <w:p>
            <w:pPr>
              <w:spacing w:after="50" w:line="400" w:lineRule="exact"/>
              <w:rPr>
                <w:color w:val="auto"/>
                <w:sz w:val="24"/>
                <w:highlight w:val="none"/>
              </w:rPr>
            </w:pPr>
          </w:p>
        </w:tc>
        <w:tc>
          <w:tcPr>
            <w:tcW w:w="1366" w:type="dxa"/>
            <w:vAlign w:val="center"/>
          </w:tcPr>
          <w:p>
            <w:pPr>
              <w:spacing w:after="50" w:line="400" w:lineRule="exact"/>
              <w:rPr>
                <w:color w:val="auto"/>
                <w:sz w:val="24"/>
                <w:highlight w:val="none"/>
              </w:rPr>
            </w:pPr>
          </w:p>
        </w:tc>
        <w:tc>
          <w:tcPr>
            <w:tcW w:w="1474" w:type="dxa"/>
            <w:vAlign w:val="center"/>
          </w:tcPr>
          <w:p>
            <w:pPr>
              <w:spacing w:after="50"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Pr>
          <w:p>
            <w:pPr>
              <w:spacing w:after="50" w:line="400" w:lineRule="exact"/>
              <w:rPr>
                <w:color w:val="auto"/>
                <w:sz w:val="24"/>
                <w:highlight w:val="none"/>
              </w:rPr>
            </w:pPr>
          </w:p>
        </w:tc>
        <w:tc>
          <w:tcPr>
            <w:tcW w:w="1170"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474" w:type="dxa"/>
          </w:tcPr>
          <w:p>
            <w:pPr>
              <w:spacing w:after="50"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Pr>
          <w:p>
            <w:pPr>
              <w:spacing w:after="50" w:line="400" w:lineRule="exact"/>
              <w:rPr>
                <w:color w:val="auto"/>
                <w:sz w:val="24"/>
                <w:highlight w:val="none"/>
              </w:rPr>
            </w:pPr>
          </w:p>
        </w:tc>
        <w:tc>
          <w:tcPr>
            <w:tcW w:w="1170"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366" w:type="dxa"/>
          </w:tcPr>
          <w:p>
            <w:pPr>
              <w:pStyle w:val="24"/>
              <w:rPr>
                <w:color w:val="auto"/>
                <w:highlight w:val="none"/>
              </w:rPr>
            </w:pPr>
          </w:p>
        </w:tc>
        <w:tc>
          <w:tcPr>
            <w:tcW w:w="1366" w:type="dxa"/>
          </w:tcPr>
          <w:p>
            <w:pPr>
              <w:spacing w:after="50" w:line="400" w:lineRule="exact"/>
              <w:rPr>
                <w:color w:val="auto"/>
                <w:sz w:val="24"/>
                <w:highlight w:val="none"/>
              </w:rPr>
            </w:pPr>
          </w:p>
        </w:tc>
        <w:tc>
          <w:tcPr>
            <w:tcW w:w="1474" w:type="dxa"/>
          </w:tcPr>
          <w:p>
            <w:pPr>
              <w:spacing w:after="50"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Pr>
          <w:p>
            <w:pPr>
              <w:spacing w:after="50" w:line="400" w:lineRule="exact"/>
              <w:rPr>
                <w:color w:val="auto"/>
                <w:sz w:val="24"/>
                <w:highlight w:val="none"/>
              </w:rPr>
            </w:pPr>
          </w:p>
        </w:tc>
        <w:tc>
          <w:tcPr>
            <w:tcW w:w="1170"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474" w:type="dxa"/>
          </w:tcPr>
          <w:p>
            <w:pPr>
              <w:spacing w:after="50"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Pr>
          <w:p>
            <w:pPr>
              <w:spacing w:after="50" w:line="400" w:lineRule="exact"/>
              <w:rPr>
                <w:color w:val="auto"/>
                <w:sz w:val="24"/>
                <w:highlight w:val="none"/>
              </w:rPr>
            </w:pPr>
          </w:p>
        </w:tc>
        <w:tc>
          <w:tcPr>
            <w:tcW w:w="1170"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474" w:type="dxa"/>
          </w:tcPr>
          <w:p>
            <w:pPr>
              <w:spacing w:after="50" w:line="400" w:lineRule="exact"/>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2" w:type="dxa"/>
          </w:tcPr>
          <w:p>
            <w:pPr>
              <w:spacing w:after="50" w:line="400" w:lineRule="exact"/>
              <w:rPr>
                <w:color w:val="auto"/>
                <w:sz w:val="24"/>
                <w:highlight w:val="none"/>
              </w:rPr>
            </w:pPr>
          </w:p>
        </w:tc>
        <w:tc>
          <w:tcPr>
            <w:tcW w:w="1170"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171"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366" w:type="dxa"/>
          </w:tcPr>
          <w:p>
            <w:pPr>
              <w:spacing w:after="50" w:line="400" w:lineRule="exact"/>
              <w:rPr>
                <w:color w:val="auto"/>
                <w:sz w:val="24"/>
                <w:highlight w:val="none"/>
              </w:rPr>
            </w:pPr>
          </w:p>
        </w:tc>
        <w:tc>
          <w:tcPr>
            <w:tcW w:w="1474" w:type="dxa"/>
          </w:tcPr>
          <w:p>
            <w:pPr>
              <w:spacing w:after="50" w:line="400" w:lineRule="exact"/>
              <w:rPr>
                <w:color w:val="auto"/>
                <w:sz w:val="24"/>
                <w:highlight w:val="none"/>
              </w:rPr>
            </w:pPr>
          </w:p>
        </w:tc>
      </w:tr>
    </w:tbl>
    <w:p>
      <w:pPr>
        <w:spacing w:after="50" w:line="400" w:lineRule="exact"/>
        <w:rPr>
          <w:snapToGrid w:val="0"/>
          <w:color w:val="auto"/>
          <w:kern w:val="0"/>
          <w:highlight w:val="none"/>
        </w:rPr>
      </w:pPr>
      <w:r>
        <w:rPr>
          <w:rFonts w:hint="eastAsia"/>
          <w:snapToGrid w:val="0"/>
          <w:color w:val="auto"/>
          <w:kern w:val="0"/>
          <w:highlight w:val="none"/>
        </w:rPr>
        <w:t>注：1.竞标人应按所列格式提交包括分包人在内的估计劳动力计划表。</w:t>
      </w:r>
    </w:p>
    <w:p>
      <w:pPr>
        <w:spacing w:after="50" w:line="400" w:lineRule="exact"/>
        <w:ind w:firstLine="424" w:firstLineChars="200"/>
        <w:rPr>
          <w:snapToGrid w:val="0"/>
          <w:color w:val="auto"/>
          <w:highlight w:val="none"/>
        </w:rPr>
      </w:pPr>
      <w:r>
        <w:rPr>
          <w:rFonts w:hint="eastAsia"/>
          <w:snapToGrid w:val="0"/>
          <w:color w:val="auto"/>
          <w:spacing w:val="1"/>
          <w:highlight w:val="none"/>
        </w:rPr>
        <w:t>2.本计划表是以每班八小时工作制为基础编制</w:t>
      </w:r>
      <w:r>
        <w:rPr>
          <w:rFonts w:hint="eastAsia"/>
          <w:snapToGrid w:val="0"/>
          <w:color w:val="auto"/>
          <w:spacing w:val="-7"/>
          <w:highlight w:val="none"/>
        </w:rPr>
        <w:t>的</w:t>
      </w:r>
      <w:r>
        <w:rPr>
          <w:rFonts w:hint="eastAsia"/>
          <w:snapToGrid w:val="0"/>
          <w:color w:val="auto"/>
          <w:highlight w:val="none"/>
        </w:rPr>
        <w:t>。</w:t>
      </w:r>
    </w:p>
    <w:p>
      <w:pPr>
        <w:spacing w:after="50" w:line="400" w:lineRule="exact"/>
        <w:rPr>
          <w:snapToGrid w:val="0"/>
          <w:color w:val="auto"/>
          <w:highlight w:val="none"/>
        </w:rPr>
      </w:pPr>
      <w:r>
        <w:rPr>
          <w:snapToGrid w:val="0"/>
          <w:color w:val="auto"/>
          <w:highlight w:val="none"/>
        </w:rPr>
        <w:br w:type="page"/>
      </w:r>
    </w:p>
    <w:p>
      <w:pPr>
        <w:spacing w:after="50" w:line="400" w:lineRule="exact"/>
        <w:rPr>
          <w:b/>
          <w:bCs/>
          <w:color w:val="auto"/>
          <w:sz w:val="24"/>
          <w:highlight w:val="none"/>
        </w:rPr>
      </w:pPr>
      <w:r>
        <w:rPr>
          <w:rFonts w:hint="eastAsia"/>
          <w:b/>
          <w:snapToGrid w:val="0"/>
          <w:color w:val="auto"/>
          <w:sz w:val="24"/>
          <w:highlight w:val="none"/>
        </w:rPr>
        <w:t xml:space="preserve">附表三 </w:t>
      </w:r>
      <w:r>
        <w:rPr>
          <w:rFonts w:hint="eastAsia" w:ascii="宋体" w:hAnsi="宋体"/>
          <w:b/>
          <w:snapToGrid w:val="0"/>
          <w:color w:val="auto"/>
          <w:sz w:val="24"/>
          <w:highlight w:val="none"/>
        </w:rPr>
        <w:t xml:space="preserve"> ⑶</w:t>
      </w:r>
      <w:r>
        <w:rPr>
          <w:rFonts w:hint="eastAsia"/>
          <w:b/>
          <w:bCs/>
          <w:color w:val="auto"/>
          <w:sz w:val="24"/>
          <w:highlight w:val="none"/>
        </w:rPr>
        <w:t>计划开、竣工日期和施工进度横道图（或网络网）</w:t>
      </w:r>
    </w:p>
    <w:p>
      <w:pPr>
        <w:snapToGrid w:val="0"/>
        <w:spacing w:after="50" w:line="400" w:lineRule="exact"/>
        <w:rPr>
          <w:color w:val="auto"/>
          <w:sz w:val="24"/>
          <w:highlight w:val="none"/>
        </w:rPr>
      </w:pPr>
    </w:p>
    <w:p>
      <w:pPr>
        <w:spacing w:after="156" w:afterLines="50" w:line="400" w:lineRule="exact"/>
        <w:ind w:firstLine="420" w:firstLineChars="200"/>
        <w:rPr>
          <w:color w:val="auto"/>
          <w:highlight w:val="none"/>
        </w:rPr>
      </w:pPr>
      <w:r>
        <w:rPr>
          <w:rFonts w:hint="eastAsia"/>
          <w:color w:val="auto"/>
          <w:highlight w:val="none"/>
        </w:rPr>
        <w:t>1.竞标人应提交施工进度横道图（或网络网）或施工进度表，说明按</w:t>
      </w:r>
      <w:r>
        <w:rPr>
          <w:rFonts w:hint="eastAsia" w:ascii="宋体"/>
          <w:color w:val="auto"/>
          <w:highlight w:val="none"/>
        </w:rPr>
        <w:t>竞争性谈判文件</w:t>
      </w:r>
      <w:r>
        <w:rPr>
          <w:rFonts w:hint="eastAsia"/>
          <w:color w:val="auto"/>
          <w:highlight w:val="none"/>
        </w:rPr>
        <w:t>要求的工期进行施工的各个关键日期。成交的竞标人还应按合同条件有关条款的要求提交详细的施工进度计划。</w:t>
      </w:r>
    </w:p>
    <w:p>
      <w:pPr>
        <w:spacing w:after="156" w:afterLines="50" w:line="400" w:lineRule="exact"/>
        <w:ind w:firstLine="420" w:firstLineChars="200"/>
        <w:rPr>
          <w:color w:val="auto"/>
          <w:highlight w:val="none"/>
        </w:rPr>
      </w:pPr>
      <w:r>
        <w:rPr>
          <w:rFonts w:hint="eastAsia"/>
          <w:color w:val="auto"/>
          <w:highlight w:val="none"/>
        </w:rPr>
        <w:t>2.施工进度表可采用横道图（或网络网）表示，说明计划开工日期和各分项工程各阶段的完工日期和分包合同签订的日期。</w:t>
      </w:r>
    </w:p>
    <w:p>
      <w:pPr>
        <w:spacing w:after="156" w:afterLines="50" w:line="400" w:lineRule="exact"/>
        <w:ind w:firstLine="420" w:firstLineChars="200"/>
        <w:rPr>
          <w:color w:val="auto"/>
          <w:highlight w:val="none"/>
        </w:rPr>
      </w:pPr>
      <w:r>
        <w:rPr>
          <w:rFonts w:hint="eastAsia"/>
          <w:color w:val="auto"/>
          <w:highlight w:val="none"/>
        </w:rPr>
        <w:t>3.施工进度计划应与施工组织设计相适应。</w:t>
      </w:r>
    </w:p>
    <w:p>
      <w:pPr>
        <w:spacing w:after="50" w:line="400" w:lineRule="exact"/>
        <w:rPr>
          <w:color w:val="auto"/>
          <w:highlight w:val="none"/>
        </w:rPr>
      </w:pPr>
    </w:p>
    <w:p>
      <w:pPr>
        <w:spacing w:after="50" w:line="400" w:lineRule="exact"/>
        <w:rPr>
          <w:color w:val="auto"/>
          <w:highlight w:val="none"/>
        </w:rPr>
      </w:pPr>
    </w:p>
    <w:p>
      <w:pPr>
        <w:spacing w:after="50" w:line="400" w:lineRule="exact"/>
        <w:rPr>
          <w:color w:val="auto"/>
          <w:highlight w:val="none"/>
        </w:rPr>
      </w:pPr>
    </w:p>
    <w:p>
      <w:pPr>
        <w:spacing w:after="50" w:line="400" w:lineRule="exact"/>
        <w:rPr>
          <w:b/>
          <w:bCs/>
          <w:color w:val="auto"/>
          <w:sz w:val="24"/>
          <w:highlight w:val="none"/>
        </w:rPr>
      </w:pPr>
      <w:r>
        <w:rPr>
          <w:rFonts w:hint="eastAsia"/>
          <w:b/>
          <w:bCs/>
          <w:color w:val="auto"/>
          <w:sz w:val="24"/>
          <w:highlight w:val="none"/>
        </w:rPr>
        <w:t xml:space="preserve">附表四 </w:t>
      </w:r>
      <w:r>
        <w:rPr>
          <w:rFonts w:hint="eastAsia" w:ascii="宋体" w:hAnsi="宋体"/>
          <w:b/>
          <w:bCs/>
          <w:color w:val="auto"/>
          <w:sz w:val="24"/>
          <w:highlight w:val="none"/>
        </w:rPr>
        <w:t xml:space="preserve"> ⑷施工总平面图 （格式自拟）</w:t>
      </w:r>
    </w:p>
    <w:p>
      <w:pPr>
        <w:spacing w:after="50" w:line="400" w:lineRule="exact"/>
        <w:rPr>
          <w:color w:val="auto"/>
          <w:highlight w:val="none"/>
        </w:rPr>
      </w:pPr>
    </w:p>
    <w:p>
      <w:pPr>
        <w:spacing w:after="50" w:line="400" w:lineRule="exact"/>
        <w:rPr>
          <w:b/>
          <w:bCs/>
          <w:color w:val="auto"/>
          <w:sz w:val="24"/>
          <w:highlight w:val="none"/>
        </w:rPr>
      </w:pPr>
      <w:r>
        <w:rPr>
          <w:rFonts w:hint="eastAsia"/>
          <w:b/>
          <w:bCs/>
          <w:color w:val="auto"/>
          <w:sz w:val="24"/>
          <w:highlight w:val="none"/>
        </w:rPr>
        <w:t xml:space="preserve">附表五 </w:t>
      </w:r>
      <w:r>
        <w:rPr>
          <w:rFonts w:hint="eastAsia" w:ascii="宋体" w:hAnsi="宋体"/>
          <w:b/>
          <w:bCs/>
          <w:color w:val="auto"/>
          <w:sz w:val="24"/>
          <w:highlight w:val="none"/>
        </w:rPr>
        <w:t xml:space="preserve"> </w:t>
      </w:r>
      <w:r>
        <w:rPr>
          <w:rFonts w:hint="eastAsia" w:ascii="宋体" w:hAnsi="宋体" w:cs="宋体"/>
          <w:b/>
          <w:bCs/>
          <w:color w:val="auto"/>
          <w:sz w:val="24"/>
          <w:highlight w:val="none"/>
        </w:rPr>
        <w:t>⑸</w:t>
      </w:r>
      <w:r>
        <w:rPr>
          <w:rFonts w:hint="eastAsia"/>
          <w:b/>
          <w:bCs/>
          <w:color w:val="auto"/>
          <w:sz w:val="24"/>
          <w:highlight w:val="none"/>
        </w:rPr>
        <w:t>临时用地表</w:t>
      </w:r>
    </w:p>
    <w:p>
      <w:pPr>
        <w:spacing w:after="50" w:line="400" w:lineRule="exact"/>
        <w:rPr>
          <w:color w:val="auto"/>
          <w:highlight w:val="none"/>
        </w:rPr>
      </w:pPr>
    </w:p>
    <w:tbl>
      <w:tblPr>
        <w:tblStyle w:val="33"/>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2519"/>
        <w:gridCol w:w="2487"/>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488" w:type="dxa"/>
            <w:vAlign w:val="center"/>
          </w:tcPr>
          <w:p>
            <w:pPr>
              <w:spacing w:after="50" w:line="400" w:lineRule="exact"/>
              <w:jc w:val="center"/>
              <w:rPr>
                <w:color w:val="auto"/>
                <w:highlight w:val="none"/>
              </w:rPr>
            </w:pPr>
            <w:r>
              <w:rPr>
                <w:rFonts w:hint="eastAsia"/>
                <w:color w:val="auto"/>
                <w:highlight w:val="none"/>
              </w:rPr>
              <w:t>用 途</w:t>
            </w:r>
          </w:p>
        </w:tc>
        <w:tc>
          <w:tcPr>
            <w:tcW w:w="2519" w:type="dxa"/>
            <w:vAlign w:val="center"/>
          </w:tcPr>
          <w:p>
            <w:pPr>
              <w:spacing w:after="50" w:line="400" w:lineRule="exact"/>
              <w:jc w:val="center"/>
              <w:rPr>
                <w:color w:val="auto"/>
                <w:highlight w:val="none"/>
              </w:rPr>
            </w:pPr>
            <w:r>
              <w:rPr>
                <w:rFonts w:hint="eastAsia"/>
                <w:color w:val="auto"/>
                <w:highlight w:val="none"/>
              </w:rPr>
              <w:t>面 积（平方米）</w:t>
            </w:r>
          </w:p>
        </w:tc>
        <w:tc>
          <w:tcPr>
            <w:tcW w:w="2487" w:type="dxa"/>
            <w:vAlign w:val="center"/>
          </w:tcPr>
          <w:p>
            <w:pPr>
              <w:spacing w:after="50" w:line="400" w:lineRule="exact"/>
              <w:jc w:val="center"/>
              <w:rPr>
                <w:color w:val="auto"/>
                <w:highlight w:val="none"/>
              </w:rPr>
            </w:pPr>
            <w:r>
              <w:rPr>
                <w:rFonts w:hint="eastAsia"/>
                <w:color w:val="auto"/>
                <w:highlight w:val="none"/>
              </w:rPr>
              <w:t>位 置</w:t>
            </w:r>
          </w:p>
        </w:tc>
        <w:tc>
          <w:tcPr>
            <w:tcW w:w="2487" w:type="dxa"/>
            <w:vAlign w:val="center"/>
          </w:tcPr>
          <w:p>
            <w:pPr>
              <w:spacing w:after="50" w:line="400" w:lineRule="exact"/>
              <w:jc w:val="center"/>
              <w:rPr>
                <w:color w:val="auto"/>
                <w:highlight w:val="none"/>
              </w:rPr>
            </w:pPr>
            <w:r>
              <w:rPr>
                <w:rFonts w:hint="eastAsia"/>
                <w:color w:val="auto"/>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88" w:type="dxa"/>
            <w:vAlign w:val="center"/>
          </w:tcPr>
          <w:p>
            <w:pPr>
              <w:spacing w:after="50" w:line="400" w:lineRule="exact"/>
              <w:rPr>
                <w:color w:val="auto"/>
                <w:highlight w:val="none"/>
              </w:rPr>
            </w:pPr>
          </w:p>
        </w:tc>
        <w:tc>
          <w:tcPr>
            <w:tcW w:w="2519"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88" w:type="dxa"/>
            <w:vAlign w:val="center"/>
          </w:tcPr>
          <w:p>
            <w:pPr>
              <w:spacing w:after="50" w:line="400" w:lineRule="exact"/>
              <w:rPr>
                <w:color w:val="auto"/>
                <w:highlight w:val="none"/>
              </w:rPr>
            </w:pPr>
          </w:p>
        </w:tc>
        <w:tc>
          <w:tcPr>
            <w:tcW w:w="2519"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88" w:type="dxa"/>
            <w:vAlign w:val="center"/>
          </w:tcPr>
          <w:p>
            <w:pPr>
              <w:spacing w:after="50" w:line="400" w:lineRule="exact"/>
              <w:rPr>
                <w:color w:val="auto"/>
                <w:highlight w:val="none"/>
              </w:rPr>
            </w:pPr>
          </w:p>
        </w:tc>
        <w:tc>
          <w:tcPr>
            <w:tcW w:w="2519"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488" w:type="dxa"/>
            <w:vAlign w:val="center"/>
          </w:tcPr>
          <w:p>
            <w:pPr>
              <w:spacing w:after="50" w:line="400" w:lineRule="exact"/>
              <w:jc w:val="center"/>
              <w:rPr>
                <w:color w:val="auto"/>
                <w:highlight w:val="none"/>
              </w:rPr>
            </w:pPr>
            <w:r>
              <w:rPr>
                <w:rFonts w:hint="eastAsia"/>
                <w:color w:val="auto"/>
                <w:highlight w:val="none"/>
              </w:rPr>
              <w:t>合 计</w:t>
            </w:r>
          </w:p>
        </w:tc>
        <w:tc>
          <w:tcPr>
            <w:tcW w:w="2519"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c>
          <w:tcPr>
            <w:tcW w:w="2487" w:type="dxa"/>
            <w:vAlign w:val="center"/>
          </w:tcPr>
          <w:p>
            <w:pPr>
              <w:spacing w:after="50" w:line="400" w:lineRule="exact"/>
              <w:rPr>
                <w:color w:val="auto"/>
                <w:highlight w:val="none"/>
              </w:rPr>
            </w:pPr>
          </w:p>
        </w:tc>
      </w:tr>
    </w:tbl>
    <w:p>
      <w:pPr>
        <w:spacing w:after="156" w:afterLines="50" w:line="400" w:lineRule="exact"/>
        <w:rPr>
          <w:color w:val="auto"/>
          <w:highlight w:val="none"/>
        </w:rPr>
      </w:pPr>
      <w:r>
        <w:rPr>
          <w:rFonts w:hint="eastAsia"/>
          <w:color w:val="auto"/>
          <w:highlight w:val="none"/>
        </w:rPr>
        <w:t>注：1.竞标人应逐项填写本表，指出全部临时设施用地面积以及详细用途。</w:t>
      </w:r>
    </w:p>
    <w:p>
      <w:pPr>
        <w:spacing w:after="156" w:afterLines="50" w:line="400" w:lineRule="exact"/>
        <w:ind w:firstLine="420" w:firstLineChars="200"/>
        <w:rPr>
          <w:color w:val="auto"/>
          <w:highlight w:val="none"/>
        </w:rPr>
      </w:pPr>
      <w:r>
        <w:rPr>
          <w:rFonts w:hint="eastAsia"/>
          <w:color w:val="auto"/>
          <w:highlight w:val="none"/>
        </w:rPr>
        <w:t>2.若本表不够，可加附页。</w:t>
      </w:r>
    </w:p>
    <w:p>
      <w:pPr>
        <w:jc w:val="center"/>
        <w:rPr>
          <w:rFonts w:ascii="黑体" w:eastAsia="黑体"/>
          <w:color w:val="auto"/>
          <w:sz w:val="28"/>
          <w:szCs w:val="28"/>
          <w:highlight w:val="none"/>
        </w:rPr>
      </w:pPr>
      <w:r>
        <w:rPr>
          <w:rFonts w:ascii="宋体"/>
          <w:color w:val="auto"/>
          <w:highlight w:val="none"/>
        </w:rPr>
        <w:br w:type="page"/>
      </w:r>
      <w:r>
        <w:rPr>
          <w:rFonts w:hint="eastAsia" w:ascii="黑体" w:eastAsia="黑体"/>
          <w:color w:val="auto"/>
          <w:sz w:val="28"/>
          <w:szCs w:val="28"/>
          <w:highlight w:val="none"/>
        </w:rPr>
        <w:t>二、项目管理机构</w:t>
      </w:r>
    </w:p>
    <w:p>
      <w:pPr>
        <w:spacing w:after="50" w:line="400" w:lineRule="exact"/>
        <w:rPr>
          <w:b/>
          <w:bCs/>
          <w:color w:val="auto"/>
          <w:sz w:val="32"/>
          <w:highlight w:val="none"/>
        </w:rPr>
      </w:pPr>
    </w:p>
    <w:p>
      <w:pPr>
        <w:jc w:val="center"/>
        <w:rPr>
          <w:rFonts w:ascii="黑体" w:eastAsia="黑体"/>
          <w:color w:val="auto"/>
          <w:sz w:val="24"/>
          <w:highlight w:val="none"/>
        </w:rPr>
      </w:pPr>
      <w:r>
        <w:rPr>
          <w:rFonts w:hint="eastAsia" w:ascii="黑体" w:eastAsia="黑体"/>
          <w:color w:val="auto"/>
          <w:sz w:val="24"/>
          <w:highlight w:val="none"/>
        </w:rPr>
        <w:t>㈠项目管理机构配备情况表</w:t>
      </w:r>
    </w:p>
    <w:p>
      <w:pPr>
        <w:spacing w:after="50" w:line="400" w:lineRule="exact"/>
        <w:rPr>
          <w:color w:val="auto"/>
          <w:sz w:val="24"/>
          <w:highlight w:val="none"/>
        </w:rPr>
      </w:pPr>
    </w:p>
    <w:tbl>
      <w:tblPr>
        <w:tblStyle w:val="33"/>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48"/>
        <w:gridCol w:w="1236"/>
        <w:gridCol w:w="1574"/>
        <w:gridCol w:w="1573"/>
        <w:gridCol w:w="157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016" w:type="dxa"/>
            <w:vMerge w:val="restart"/>
            <w:vAlign w:val="center"/>
          </w:tcPr>
          <w:p>
            <w:pPr>
              <w:spacing w:after="50" w:line="400" w:lineRule="exact"/>
              <w:jc w:val="center"/>
              <w:rPr>
                <w:color w:val="auto"/>
                <w:highlight w:val="none"/>
              </w:rPr>
            </w:pPr>
            <w:r>
              <w:rPr>
                <w:rFonts w:hint="eastAsia"/>
                <w:color w:val="auto"/>
                <w:highlight w:val="none"/>
              </w:rPr>
              <w:t>职务</w:t>
            </w:r>
          </w:p>
        </w:tc>
        <w:tc>
          <w:tcPr>
            <w:tcW w:w="1348" w:type="dxa"/>
            <w:vMerge w:val="restart"/>
            <w:vAlign w:val="center"/>
          </w:tcPr>
          <w:p>
            <w:pPr>
              <w:spacing w:after="50" w:line="400" w:lineRule="exact"/>
              <w:jc w:val="center"/>
              <w:rPr>
                <w:color w:val="auto"/>
                <w:highlight w:val="none"/>
              </w:rPr>
            </w:pPr>
            <w:r>
              <w:rPr>
                <w:rFonts w:hint="eastAsia"/>
                <w:color w:val="auto"/>
                <w:highlight w:val="none"/>
              </w:rPr>
              <w:t>姓名</w:t>
            </w:r>
          </w:p>
        </w:tc>
        <w:tc>
          <w:tcPr>
            <w:tcW w:w="1236" w:type="dxa"/>
            <w:vMerge w:val="restart"/>
            <w:vAlign w:val="center"/>
          </w:tcPr>
          <w:p>
            <w:pPr>
              <w:spacing w:after="50" w:line="400" w:lineRule="exact"/>
              <w:jc w:val="center"/>
              <w:rPr>
                <w:color w:val="auto"/>
                <w:highlight w:val="none"/>
              </w:rPr>
            </w:pPr>
            <w:r>
              <w:rPr>
                <w:rFonts w:hint="eastAsia"/>
                <w:color w:val="auto"/>
                <w:highlight w:val="none"/>
              </w:rPr>
              <w:t>职称</w:t>
            </w:r>
          </w:p>
        </w:tc>
        <w:tc>
          <w:tcPr>
            <w:tcW w:w="6340" w:type="dxa"/>
            <w:gridSpan w:val="4"/>
            <w:vAlign w:val="center"/>
          </w:tcPr>
          <w:p>
            <w:pPr>
              <w:spacing w:after="50" w:line="400" w:lineRule="exact"/>
              <w:jc w:val="center"/>
              <w:rPr>
                <w:color w:val="auto"/>
                <w:highlight w:val="none"/>
              </w:rPr>
            </w:pPr>
            <w:r>
              <w:rPr>
                <w:rFonts w:hint="eastAsia"/>
                <w:color w:val="auto"/>
                <w:highlight w:val="none"/>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016" w:type="dxa"/>
            <w:vMerge w:val="continue"/>
            <w:vAlign w:val="center"/>
          </w:tcPr>
          <w:p>
            <w:pPr>
              <w:spacing w:after="50" w:line="400" w:lineRule="exact"/>
              <w:jc w:val="center"/>
              <w:rPr>
                <w:color w:val="auto"/>
                <w:highlight w:val="none"/>
              </w:rPr>
            </w:pPr>
          </w:p>
        </w:tc>
        <w:tc>
          <w:tcPr>
            <w:tcW w:w="1348" w:type="dxa"/>
            <w:vMerge w:val="continue"/>
            <w:vAlign w:val="center"/>
          </w:tcPr>
          <w:p>
            <w:pPr>
              <w:spacing w:after="50" w:line="400" w:lineRule="exact"/>
              <w:jc w:val="center"/>
              <w:rPr>
                <w:color w:val="auto"/>
                <w:highlight w:val="none"/>
              </w:rPr>
            </w:pPr>
          </w:p>
        </w:tc>
        <w:tc>
          <w:tcPr>
            <w:tcW w:w="1236" w:type="dxa"/>
            <w:vMerge w:val="continue"/>
            <w:vAlign w:val="center"/>
          </w:tcPr>
          <w:p>
            <w:pPr>
              <w:spacing w:after="50" w:line="400" w:lineRule="exact"/>
              <w:jc w:val="center"/>
              <w:rPr>
                <w:color w:val="auto"/>
                <w:highlight w:val="none"/>
              </w:rPr>
            </w:pPr>
          </w:p>
        </w:tc>
        <w:tc>
          <w:tcPr>
            <w:tcW w:w="1574" w:type="dxa"/>
            <w:vAlign w:val="center"/>
          </w:tcPr>
          <w:p>
            <w:pPr>
              <w:spacing w:after="50" w:line="400" w:lineRule="exact"/>
              <w:jc w:val="center"/>
              <w:rPr>
                <w:color w:val="auto"/>
                <w:highlight w:val="none"/>
              </w:rPr>
            </w:pPr>
            <w:r>
              <w:rPr>
                <w:rFonts w:hint="eastAsia"/>
                <w:color w:val="auto"/>
                <w:highlight w:val="none"/>
              </w:rPr>
              <w:t>证书名称</w:t>
            </w:r>
          </w:p>
        </w:tc>
        <w:tc>
          <w:tcPr>
            <w:tcW w:w="1573" w:type="dxa"/>
            <w:vAlign w:val="center"/>
          </w:tcPr>
          <w:p>
            <w:pPr>
              <w:spacing w:after="50" w:line="400" w:lineRule="exact"/>
              <w:jc w:val="center"/>
              <w:rPr>
                <w:color w:val="auto"/>
                <w:highlight w:val="none"/>
              </w:rPr>
            </w:pPr>
            <w:r>
              <w:rPr>
                <w:rFonts w:hint="eastAsia"/>
                <w:color w:val="auto"/>
                <w:highlight w:val="none"/>
              </w:rPr>
              <w:t>级别</w:t>
            </w:r>
          </w:p>
        </w:tc>
        <w:tc>
          <w:tcPr>
            <w:tcW w:w="1574" w:type="dxa"/>
            <w:vAlign w:val="center"/>
          </w:tcPr>
          <w:p>
            <w:pPr>
              <w:spacing w:after="50" w:line="400" w:lineRule="exact"/>
              <w:jc w:val="center"/>
              <w:rPr>
                <w:color w:val="auto"/>
                <w:highlight w:val="none"/>
              </w:rPr>
            </w:pPr>
            <w:r>
              <w:rPr>
                <w:rFonts w:hint="eastAsia"/>
                <w:color w:val="auto"/>
                <w:highlight w:val="none"/>
              </w:rPr>
              <w:t>证号</w:t>
            </w:r>
          </w:p>
        </w:tc>
        <w:tc>
          <w:tcPr>
            <w:tcW w:w="1619" w:type="dxa"/>
            <w:vAlign w:val="center"/>
          </w:tcPr>
          <w:p>
            <w:pPr>
              <w:spacing w:after="50" w:line="400" w:lineRule="exact"/>
              <w:jc w:val="center"/>
              <w:rPr>
                <w:color w:val="auto"/>
                <w:highlight w:val="none"/>
              </w:rPr>
            </w:pP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16" w:type="dxa"/>
          </w:tcPr>
          <w:p>
            <w:pPr>
              <w:spacing w:after="50" w:line="400" w:lineRule="exact"/>
              <w:rPr>
                <w:color w:val="auto"/>
                <w:highlight w:val="none"/>
              </w:rPr>
            </w:pPr>
          </w:p>
        </w:tc>
        <w:tc>
          <w:tcPr>
            <w:tcW w:w="1348" w:type="dxa"/>
          </w:tcPr>
          <w:p>
            <w:pPr>
              <w:spacing w:after="50" w:line="400" w:lineRule="exact"/>
              <w:rPr>
                <w:color w:val="auto"/>
                <w:highlight w:val="none"/>
              </w:rPr>
            </w:pPr>
          </w:p>
        </w:tc>
        <w:tc>
          <w:tcPr>
            <w:tcW w:w="1236"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573" w:type="dxa"/>
          </w:tcPr>
          <w:p>
            <w:pPr>
              <w:spacing w:after="50" w:line="400" w:lineRule="exact"/>
              <w:rPr>
                <w:color w:val="auto"/>
                <w:highlight w:val="none"/>
              </w:rPr>
            </w:pPr>
          </w:p>
        </w:tc>
        <w:tc>
          <w:tcPr>
            <w:tcW w:w="1574" w:type="dxa"/>
          </w:tcPr>
          <w:p>
            <w:pPr>
              <w:spacing w:after="50" w:line="400" w:lineRule="exact"/>
              <w:rPr>
                <w:color w:val="auto"/>
                <w:highlight w:val="none"/>
              </w:rPr>
            </w:pPr>
          </w:p>
        </w:tc>
        <w:tc>
          <w:tcPr>
            <w:tcW w:w="1619" w:type="dxa"/>
          </w:tcPr>
          <w:p>
            <w:pPr>
              <w:spacing w:after="50" w:line="4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9940" w:type="dxa"/>
            <w:gridSpan w:val="7"/>
          </w:tcPr>
          <w:p>
            <w:pPr>
              <w:spacing w:after="50" w:line="400" w:lineRule="exact"/>
              <w:rPr>
                <w:color w:val="auto"/>
                <w:highlight w:val="none"/>
              </w:rPr>
            </w:pPr>
          </w:p>
          <w:p>
            <w:pPr>
              <w:spacing w:after="50" w:line="400" w:lineRule="exact"/>
              <w:ind w:firstLine="420" w:firstLineChars="200"/>
              <w:rPr>
                <w:color w:val="auto"/>
                <w:highlight w:val="none"/>
              </w:rPr>
            </w:pPr>
            <w:r>
              <w:rPr>
                <w:rFonts w:hint="eastAsia"/>
                <w:color w:val="auto"/>
                <w:highlight w:val="none"/>
              </w:rPr>
              <w:t>一旦我单位成交，将实行项目经理师负责制，我方保证并配备上述项目管理机构。上述填报内容真实，若不真实，愿按有关规定接受处理。项目管理班子机构设置、职责分工等情况另附资料说明。</w:t>
            </w:r>
          </w:p>
        </w:tc>
      </w:tr>
    </w:tbl>
    <w:p>
      <w:pPr>
        <w:spacing w:after="50" w:line="400" w:lineRule="exact"/>
        <w:rPr>
          <w:color w:val="auto"/>
          <w:highlight w:val="none"/>
        </w:rPr>
      </w:pPr>
    </w:p>
    <w:p>
      <w:pPr>
        <w:spacing w:after="50" w:line="400" w:lineRule="exact"/>
        <w:rPr>
          <w:color w:val="auto"/>
          <w:highlight w:val="none"/>
        </w:rPr>
      </w:pPr>
    </w:p>
    <w:p>
      <w:pPr>
        <w:jc w:val="center"/>
        <w:rPr>
          <w:color w:val="auto"/>
          <w:highlight w:val="none"/>
        </w:rPr>
      </w:pPr>
      <w:r>
        <w:rPr>
          <w:rFonts w:hint="eastAsia" w:ascii="黑体" w:eastAsia="黑体"/>
          <w:color w:val="auto"/>
          <w:sz w:val="24"/>
          <w:highlight w:val="none"/>
        </w:rPr>
        <w:t>㈡项目经理</w:t>
      </w:r>
      <w:r>
        <w:rPr>
          <w:rFonts w:ascii="黑体" w:eastAsia="黑体"/>
          <w:color w:val="auto"/>
          <w:sz w:val="24"/>
          <w:highlight w:val="none"/>
        </w:rPr>
        <w:t>简历表</w:t>
      </w:r>
    </w:p>
    <w:p>
      <w:pPr>
        <w:spacing w:line="500" w:lineRule="exact"/>
        <w:rPr>
          <w:rFonts w:ascii="宋体" w:hAnsi="宋体"/>
          <w:color w:val="auto"/>
          <w:szCs w:val="21"/>
          <w:highlight w:val="none"/>
        </w:rPr>
      </w:pPr>
      <w:r>
        <w:rPr>
          <w:rFonts w:hint="eastAsia" w:ascii="宋体" w:hAnsi="宋体"/>
          <w:color w:val="auto"/>
          <w:szCs w:val="21"/>
          <w:highlight w:val="none"/>
        </w:rPr>
        <w:t xml:space="preserve"> </w:t>
      </w:r>
    </w:p>
    <w:tbl>
      <w:tblPr>
        <w:tblStyle w:val="3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14"/>
        <w:gridCol w:w="207"/>
        <w:gridCol w:w="1039"/>
        <w:gridCol w:w="117"/>
        <w:gridCol w:w="960"/>
        <w:gridCol w:w="170"/>
        <w:gridCol w:w="253"/>
        <w:gridCol w:w="996"/>
        <w:gridCol w:w="261"/>
        <w:gridCol w:w="381"/>
        <w:gridCol w:w="812"/>
        <w:gridCol w:w="487"/>
        <w:gridCol w:w="142"/>
        <w:gridCol w:w="506"/>
        <w:gridCol w:w="29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777" w:type="dxa"/>
            <w:gridSpan w:val="4"/>
            <w:vAlign w:val="center"/>
          </w:tcPr>
          <w:p>
            <w:pPr>
              <w:spacing w:line="400" w:lineRule="exact"/>
              <w:jc w:val="center"/>
              <w:rPr>
                <w:rFonts w:ascii="宋体" w:hAnsi="宋体"/>
                <w:color w:val="auto"/>
                <w:szCs w:val="21"/>
                <w:highlight w:val="none"/>
              </w:rPr>
            </w:pPr>
          </w:p>
        </w:tc>
        <w:tc>
          <w:tcPr>
            <w:tcW w:w="1383"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性别</w:t>
            </w:r>
          </w:p>
        </w:tc>
        <w:tc>
          <w:tcPr>
            <w:tcW w:w="1638" w:type="dxa"/>
            <w:gridSpan w:val="3"/>
            <w:vAlign w:val="center"/>
          </w:tcPr>
          <w:p>
            <w:pPr>
              <w:spacing w:line="400" w:lineRule="exact"/>
              <w:jc w:val="center"/>
              <w:rPr>
                <w:rFonts w:ascii="宋体" w:hAnsi="宋体"/>
                <w:color w:val="auto"/>
                <w:szCs w:val="21"/>
                <w:highlight w:val="none"/>
              </w:rPr>
            </w:pPr>
          </w:p>
        </w:tc>
        <w:tc>
          <w:tcPr>
            <w:tcW w:w="1441"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年龄</w:t>
            </w:r>
          </w:p>
        </w:tc>
        <w:tc>
          <w:tcPr>
            <w:tcW w:w="2077" w:type="dxa"/>
            <w:gridSpan w:val="3"/>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1777" w:type="dxa"/>
            <w:gridSpan w:val="4"/>
            <w:vAlign w:val="center"/>
          </w:tcPr>
          <w:p>
            <w:pPr>
              <w:spacing w:line="400" w:lineRule="exact"/>
              <w:jc w:val="center"/>
              <w:rPr>
                <w:rFonts w:ascii="宋体" w:hAnsi="宋体"/>
                <w:color w:val="auto"/>
                <w:szCs w:val="21"/>
                <w:highlight w:val="none"/>
              </w:rPr>
            </w:pPr>
          </w:p>
        </w:tc>
        <w:tc>
          <w:tcPr>
            <w:tcW w:w="1383"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638" w:type="dxa"/>
            <w:gridSpan w:val="3"/>
            <w:vAlign w:val="center"/>
          </w:tcPr>
          <w:p>
            <w:pPr>
              <w:spacing w:line="400" w:lineRule="exact"/>
              <w:jc w:val="center"/>
              <w:rPr>
                <w:rFonts w:ascii="宋体" w:hAnsi="宋体"/>
                <w:color w:val="auto"/>
                <w:szCs w:val="21"/>
                <w:highlight w:val="none"/>
              </w:rPr>
            </w:pPr>
          </w:p>
        </w:tc>
        <w:tc>
          <w:tcPr>
            <w:tcW w:w="144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学历</w:t>
            </w:r>
          </w:p>
        </w:tc>
        <w:tc>
          <w:tcPr>
            <w:tcW w:w="2077" w:type="dxa"/>
            <w:gridSpan w:val="3"/>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毕业</w:t>
            </w:r>
          </w:p>
          <w:p>
            <w:pPr>
              <w:spacing w:line="400" w:lineRule="exact"/>
              <w:jc w:val="center"/>
              <w:rPr>
                <w:rFonts w:ascii="宋体" w:hAnsi="宋体"/>
                <w:color w:val="auto"/>
                <w:szCs w:val="21"/>
                <w:highlight w:val="none"/>
              </w:rPr>
            </w:pPr>
            <w:r>
              <w:rPr>
                <w:rFonts w:hint="eastAsia" w:ascii="宋体" w:hAnsi="宋体"/>
                <w:color w:val="auto"/>
                <w:szCs w:val="21"/>
                <w:highlight w:val="none"/>
              </w:rPr>
              <w:t>院校</w:t>
            </w:r>
          </w:p>
        </w:tc>
        <w:tc>
          <w:tcPr>
            <w:tcW w:w="3160" w:type="dxa"/>
            <w:gridSpan w:val="7"/>
            <w:vAlign w:val="center"/>
          </w:tcPr>
          <w:p>
            <w:pPr>
              <w:spacing w:line="400" w:lineRule="exact"/>
              <w:rPr>
                <w:rFonts w:ascii="宋体" w:hAnsi="宋体"/>
                <w:color w:val="auto"/>
                <w:szCs w:val="21"/>
                <w:highlight w:val="none"/>
              </w:rPr>
            </w:pPr>
          </w:p>
        </w:tc>
        <w:tc>
          <w:tcPr>
            <w:tcW w:w="1638"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专业</w:t>
            </w:r>
          </w:p>
        </w:tc>
        <w:tc>
          <w:tcPr>
            <w:tcW w:w="3518" w:type="dxa"/>
            <w:gridSpan w:val="6"/>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661"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身份证号码</w:t>
            </w:r>
          </w:p>
        </w:tc>
        <w:tc>
          <w:tcPr>
            <w:tcW w:w="2116" w:type="dxa"/>
            <w:gridSpan w:val="3"/>
            <w:vAlign w:val="center"/>
          </w:tcPr>
          <w:p>
            <w:pPr>
              <w:spacing w:line="400" w:lineRule="exact"/>
              <w:jc w:val="center"/>
              <w:rPr>
                <w:rFonts w:ascii="宋体" w:hAnsi="宋体"/>
                <w:color w:val="auto"/>
                <w:szCs w:val="21"/>
                <w:highlight w:val="none"/>
              </w:rPr>
            </w:pPr>
          </w:p>
        </w:tc>
        <w:tc>
          <w:tcPr>
            <w:tcW w:w="1680"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资格证书等级及编号</w:t>
            </w:r>
          </w:p>
        </w:tc>
        <w:tc>
          <w:tcPr>
            <w:tcW w:w="1680" w:type="dxa"/>
            <w:gridSpan w:val="3"/>
            <w:vAlign w:val="center"/>
          </w:tcPr>
          <w:p>
            <w:pPr>
              <w:jc w:val="center"/>
              <w:rPr>
                <w:rFonts w:ascii="宋体" w:hAnsi="宋体"/>
                <w:color w:val="auto"/>
                <w:szCs w:val="21"/>
                <w:highlight w:val="none"/>
              </w:rPr>
            </w:pPr>
          </w:p>
        </w:tc>
        <w:tc>
          <w:tcPr>
            <w:tcW w:w="945"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职称证书编号</w:t>
            </w:r>
          </w:p>
        </w:tc>
        <w:tc>
          <w:tcPr>
            <w:tcW w:w="1274"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356" w:type="dxa"/>
            <w:gridSpan w:val="17"/>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54" w:type="dxa"/>
            <w:gridSpan w:val="2"/>
            <w:vAlign w:val="center"/>
          </w:tcPr>
          <w:p>
            <w:pPr>
              <w:jc w:val="center"/>
              <w:rPr>
                <w:rFonts w:ascii="宋体" w:hAnsi="宋体"/>
                <w:color w:val="auto"/>
                <w:highlight w:val="none"/>
              </w:rPr>
            </w:pPr>
            <w:r>
              <w:rPr>
                <w:rFonts w:hint="eastAsia" w:ascii="宋体" w:hAnsi="宋体"/>
                <w:color w:val="auto"/>
                <w:highlight w:val="none"/>
              </w:rPr>
              <w:t>建设单位</w:t>
            </w:r>
          </w:p>
        </w:tc>
        <w:tc>
          <w:tcPr>
            <w:tcW w:w="1246" w:type="dxa"/>
            <w:gridSpan w:val="2"/>
            <w:vAlign w:val="center"/>
          </w:tcPr>
          <w:p>
            <w:pPr>
              <w:jc w:val="center"/>
              <w:rPr>
                <w:rFonts w:ascii="宋体" w:hAnsi="宋体"/>
                <w:color w:val="auto"/>
                <w:highlight w:val="none"/>
              </w:rPr>
            </w:pPr>
            <w:r>
              <w:rPr>
                <w:rFonts w:hint="eastAsia" w:ascii="宋体" w:hAnsi="宋体"/>
                <w:color w:val="auto"/>
                <w:highlight w:val="none"/>
              </w:rPr>
              <w:t>项目名称</w:t>
            </w:r>
          </w:p>
        </w:tc>
        <w:tc>
          <w:tcPr>
            <w:tcW w:w="1247" w:type="dxa"/>
            <w:gridSpan w:val="3"/>
            <w:vAlign w:val="center"/>
          </w:tcPr>
          <w:p>
            <w:pPr>
              <w:jc w:val="center"/>
              <w:rPr>
                <w:rFonts w:ascii="宋体" w:hAnsi="宋体"/>
                <w:color w:val="auto"/>
                <w:highlight w:val="none"/>
              </w:rPr>
            </w:pPr>
            <w:r>
              <w:rPr>
                <w:rFonts w:hint="eastAsia" w:ascii="宋体" w:hAnsi="宋体"/>
                <w:color w:val="auto"/>
                <w:highlight w:val="none"/>
              </w:rPr>
              <w:t>担任何职</w:t>
            </w:r>
          </w:p>
        </w:tc>
        <w:tc>
          <w:tcPr>
            <w:tcW w:w="1249" w:type="dxa"/>
            <w:gridSpan w:val="2"/>
            <w:vAlign w:val="center"/>
          </w:tcPr>
          <w:p>
            <w:pPr>
              <w:jc w:val="center"/>
              <w:rPr>
                <w:rFonts w:ascii="宋体" w:hAnsi="宋体"/>
                <w:color w:val="auto"/>
                <w:highlight w:val="none"/>
              </w:rPr>
            </w:pPr>
            <w:r>
              <w:rPr>
                <w:rFonts w:hint="eastAsia" w:ascii="宋体" w:hAnsi="宋体"/>
                <w:color w:val="auto"/>
                <w:highlight w:val="none"/>
              </w:rPr>
              <w:t>建设规模</w:t>
            </w:r>
          </w:p>
        </w:tc>
        <w:tc>
          <w:tcPr>
            <w:tcW w:w="1454" w:type="dxa"/>
            <w:gridSpan w:val="3"/>
            <w:vAlign w:val="center"/>
          </w:tcPr>
          <w:p>
            <w:pPr>
              <w:jc w:val="center"/>
              <w:rPr>
                <w:rFonts w:ascii="宋体" w:hAnsi="宋体"/>
                <w:color w:val="auto"/>
                <w:highlight w:val="none"/>
              </w:rPr>
            </w:pPr>
            <w:r>
              <w:rPr>
                <w:rFonts w:hint="eastAsia" w:ascii="宋体" w:hAnsi="宋体"/>
                <w:color w:val="auto"/>
                <w:highlight w:val="none"/>
              </w:rPr>
              <w:t>建设地点</w:t>
            </w:r>
          </w:p>
        </w:tc>
        <w:tc>
          <w:tcPr>
            <w:tcW w:w="1135" w:type="dxa"/>
            <w:gridSpan w:val="3"/>
            <w:vAlign w:val="center"/>
          </w:tcPr>
          <w:p>
            <w:pPr>
              <w:jc w:val="center"/>
              <w:rPr>
                <w:rFonts w:ascii="宋体" w:hAnsi="宋体"/>
                <w:color w:val="auto"/>
                <w:highlight w:val="none"/>
              </w:rPr>
            </w:pPr>
            <w:r>
              <w:rPr>
                <w:rFonts w:hint="eastAsia" w:ascii="宋体" w:hAnsi="宋体"/>
                <w:color w:val="auto"/>
                <w:highlight w:val="none"/>
              </w:rPr>
              <w:t>开竣工</w:t>
            </w:r>
          </w:p>
          <w:p>
            <w:pPr>
              <w:jc w:val="center"/>
              <w:rPr>
                <w:rFonts w:ascii="宋体" w:hAnsi="宋体"/>
                <w:color w:val="auto"/>
                <w:highlight w:val="none"/>
              </w:rPr>
            </w:pPr>
            <w:r>
              <w:rPr>
                <w:rFonts w:hint="eastAsia" w:ascii="宋体" w:hAnsi="宋体"/>
                <w:color w:val="auto"/>
                <w:highlight w:val="none"/>
              </w:rPr>
              <w:t>日期</w:t>
            </w:r>
          </w:p>
        </w:tc>
        <w:tc>
          <w:tcPr>
            <w:tcW w:w="1571" w:type="dxa"/>
            <w:gridSpan w:val="2"/>
            <w:vAlign w:val="center"/>
          </w:tcPr>
          <w:p>
            <w:pPr>
              <w:jc w:val="center"/>
              <w:rPr>
                <w:rFonts w:ascii="宋体" w:hAnsi="宋体"/>
                <w:color w:val="auto"/>
                <w:szCs w:val="21"/>
                <w:highlight w:val="none"/>
              </w:rPr>
            </w:pPr>
            <w:r>
              <w:rPr>
                <w:rFonts w:hint="eastAsia" w:ascii="宋体" w:hAnsi="宋体"/>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jc w:val="center"/>
              <w:rPr>
                <w:rFonts w:ascii="宋体" w:hAnsi="宋体"/>
                <w:color w:val="auto"/>
                <w:szCs w:val="21"/>
                <w:highlight w:val="none"/>
              </w:rPr>
            </w:pPr>
          </w:p>
        </w:tc>
        <w:tc>
          <w:tcPr>
            <w:tcW w:w="1135" w:type="dxa"/>
            <w:gridSpan w:val="3"/>
            <w:vAlign w:val="center"/>
          </w:tcPr>
          <w:p>
            <w:pPr>
              <w:jc w:val="center"/>
              <w:rPr>
                <w:rFonts w:ascii="宋体" w:hAnsi="宋体"/>
                <w:color w:val="auto"/>
                <w:szCs w:val="21"/>
                <w:highlight w:val="none"/>
              </w:rPr>
            </w:pPr>
          </w:p>
        </w:tc>
        <w:tc>
          <w:tcPr>
            <w:tcW w:w="1571"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spacing w:line="400" w:lineRule="exact"/>
              <w:jc w:val="center"/>
              <w:rPr>
                <w:rFonts w:ascii="宋体" w:hAnsi="宋体"/>
                <w:color w:val="auto"/>
                <w:szCs w:val="21"/>
                <w:highlight w:val="none"/>
              </w:rPr>
            </w:pPr>
          </w:p>
        </w:tc>
        <w:tc>
          <w:tcPr>
            <w:tcW w:w="1135" w:type="dxa"/>
            <w:gridSpan w:val="3"/>
            <w:vAlign w:val="center"/>
          </w:tcPr>
          <w:p>
            <w:pPr>
              <w:spacing w:line="400" w:lineRule="exact"/>
              <w:jc w:val="center"/>
              <w:rPr>
                <w:rFonts w:ascii="宋体" w:hAnsi="宋体"/>
                <w:color w:val="auto"/>
                <w:szCs w:val="21"/>
                <w:highlight w:val="none"/>
              </w:rPr>
            </w:pPr>
          </w:p>
        </w:tc>
        <w:tc>
          <w:tcPr>
            <w:tcW w:w="1571"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spacing w:line="400" w:lineRule="exact"/>
              <w:jc w:val="center"/>
              <w:rPr>
                <w:rFonts w:ascii="宋体" w:hAnsi="宋体"/>
                <w:color w:val="auto"/>
                <w:szCs w:val="21"/>
                <w:highlight w:val="none"/>
              </w:rPr>
            </w:pPr>
          </w:p>
        </w:tc>
        <w:tc>
          <w:tcPr>
            <w:tcW w:w="1135" w:type="dxa"/>
            <w:gridSpan w:val="3"/>
            <w:vAlign w:val="center"/>
          </w:tcPr>
          <w:p>
            <w:pPr>
              <w:spacing w:line="400" w:lineRule="exact"/>
              <w:jc w:val="center"/>
              <w:rPr>
                <w:rFonts w:ascii="宋体" w:hAnsi="宋体"/>
                <w:color w:val="auto"/>
                <w:szCs w:val="21"/>
                <w:highlight w:val="none"/>
              </w:rPr>
            </w:pPr>
          </w:p>
        </w:tc>
        <w:tc>
          <w:tcPr>
            <w:tcW w:w="1571"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spacing w:line="400" w:lineRule="exact"/>
              <w:jc w:val="center"/>
              <w:rPr>
                <w:rFonts w:ascii="宋体" w:hAnsi="宋体"/>
                <w:color w:val="auto"/>
                <w:szCs w:val="21"/>
                <w:highlight w:val="none"/>
              </w:rPr>
            </w:pPr>
          </w:p>
        </w:tc>
        <w:tc>
          <w:tcPr>
            <w:tcW w:w="1135" w:type="dxa"/>
            <w:gridSpan w:val="3"/>
            <w:vAlign w:val="center"/>
          </w:tcPr>
          <w:p>
            <w:pPr>
              <w:spacing w:line="400" w:lineRule="exact"/>
              <w:jc w:val="center"/>
              <w:rPr>
                <w:rFonts w:ascii="宋体" w:hAnsi="宋体"/>
                <w:color w:val="auto"/>
                <w:szCs w:val="21"/>
                <w:highlight w:val="none"/>
              </w:rPr>
            </w:pPr>
          </w:p>
        </w:tc>
        <w:tc>
          <w:tcPr>
            <w:tcW w:w="1571"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spacing w:line="400" w:lineRule="exact"/>
              <w:jc w:val="center"/>
              <w:rPr>
                <w:rFonts w:ascii="宋体" w:hAnsi="宋体"/>
                <w:color w:val="auto"/>
                <w:szCs w:val="21"/>
                <w:highlight w:val="none"/>
              </w:rPr>
            </w:pPr>
          </w:p>
        </w:tc>
        <w:tc>
          <w:tcPr>
            <w:tcW w:w="1135" w:type="dxa"/>
            <w:gridSpan w:val="3"/>
            <w:vAlign w:val="center"/>
          </w:tcPr>
          <w:p>
            <w:pPr>
              <w:spacing w:line="400" w:lineRule="exact"/>
              <w:jc w:val="center"/>
              <w:rPr>
                <w:rFonts w:ascii="宋体" w:hAnsi="宋体"/>
                <w:color w:val="auto"/>
                <w:szCs w:val="21"/>
                <w:highlight w:val="none"/>
              </w:rPr>
            </w:pPr>
          </w:p>
        </w:tc>
        <w:tc>
          <w:tcPr>
            <w:tcW w:w="1571"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4" w:type="dxa"/>
            <w:gridSpan w:val="2"/>
            <w:vAlign w:val="center"/>
          </w:tcPr>
          <w:p>
            <w:pPr>
              <w:spacing w:line="400" w:lineRule="exact"/>
              <w:jc w:val="center"/>
              <w:rPr>
                <w:rFonts w:ascii="宋体" w:hAnsi="宋体"/>
                <w:color w:val="auto"/>
                <w:szCs w:val="21"/>
                <w:highlight w:val="none"/>
              </w:rPr>
            </w:pPr>
          </w:p>
        </w:tc>
        <w:tc>
          <w:tcPr>
            <w:tcW w:w="1246" w:type="dxa"/>
            <w:gridSpan w:val="2"/>
            <w:vAlign w:val="center"/>
          </w:tcPr>
          <w:p>
            <w:pPr>
              <w:spacing w:line="400" w:lineRule="exact"/>
              <w:jc w:val="center"/>
              <w:rPr>
                <w:rFonts w:ascii="宋体" w:hAnsi="宋体"/>
                <w:color w:val="auto"/>
                <w:szCs w:val="21"/>
                <w:highlight w:val="none"/>
              </w:rPr>
            </w:pPr>
          </w:p>
        </w:tc>
        <w:tc>
          <w:tcPr>
            <w:tcW w:w="1247" w:type="dxa"/>
            <w:gridSpan w:val="3"/>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454" w:type="dxa"/>
            <w:gridSpan w:val="3"/>
            <w:vAlign w:val="center"/>
          </w:tcPr>
          <w:p>
            <w:pPr>
              <w:spacing w:line="400" w:lineRule="exact"/>
              <w:jc w:val="center"/>
              <w:rPr>
                <w:rFonts w:ascii="宋体" w:hAnsi="宋体"/>
                <w:color w:val="auto"/>
                <w:szCs w:val="21"/>
                <w:highlight w:val="none"/>
              </w:rPr>
            </w:pPr>
          </w:p>
        </w:tc>
        <w:tc>
          <w:tcPr>
            <w:tcW w:w="1135" w:type="dxa"/>
            <w:gridSpan w:val="3"/>
            <w:vAlign w:val="center"/>
          </w:tcPr>
          <w:p>
            <w:pPr>
              <w:spacing w:line="400" w:lineRule="exact"/>
              <w:jc w:val="center"/>
              <w:rPr>
                <w:rFonts w:ascii="宋体" w:hAnsi="宋体"/>
                <w:color w:val="auto"/>
                <w:szCs w:val="21"/>
                <w:highlight w:val="none"/>
              </w:rPr>
            </w:pPr>
          </w:p>
        </w:tc>
        <w:tc>
          <w:tcPr>
            <w:tcW w:w="1571" w:type="dxa"/>
            <w:gridSpan w:val="2"/>
            <w:vAlign w:val="center"/>
          </w:tcPr>
          <w:p>
            <w:pPr>
              <w:spacing w:line="400" w:lineRule="exact"/>
              <w:jc w:val="center"/>
              <w:rPr>
                <w:rFonts w:ascii="宋体" w:hAnsi="宋体"/>
                <w:color w:val="auto"/>
                <w:szCs w:val="21"/>
                <w:highlight w:val="none"/>
              </w:rPr>
            </w:pPr>
          </w:p>
        </w:tc>
      </w:tr>
    </w:tbl>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r>
        <w:rPr>
          <w:rFonts w:hint="eastAsia" w:ascii="宋体" w:hAnsi="宋体"/>
          <w:b/>
          <w:color w:val="auto"/>
          <w:szCs w:val="21"/>
          <w:highlight w:val="none"/>
        </w:rPr>
        <w:t>说明：</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⑴项目经理要求具备</w:t>
      </w:r>
      <w:r>
        <w:rPr>
          <w:rFonts w:hint="eastAsia" w:ascii="宋体" w:hAnsi="宋体" w:eastAsia="宋体" w:cs="宋体"/>
          <w:color w:val="auto"/>
          <w:kern w:val="2"/>
          <w:sz w:val="21"/>
          <w:szCs w:val="21"/>
          <w:highlight w:val="none"/>
          <w:lang w:val="en-US" w:eastAsia="zh-CN" w:bidi="ar-SA"/>
        </w:rPr>
        <w:t>建筑工程施工或市政公用工程</w:t>
      </w:r>
      <w:r>
        <w:rPr>
          <w:rFonts w:hint="eastAsia" w:ascii="宋体" w:hAnsi="宋体"/>
          <w:color w:val="auto"/>
          <w:szCs w:val="21"/>
          <w:highlight w:val="none"/>
          <w:lang w:eastAsia="zh-CN"/>
        </w:rPr>
        <w:t>专业贰级</w:t>
      </w:r>
      <w:r>
        <w:rPr>
          <w:rFonts w:hint="eastAsia" w:ascii="宋体" w:hAnsi="宋体"/>
          <w:color w:val="auto"/>
          <w:szCs w:val="21"/>
          <w:highlight w:val="none"/>
        </w:rPr>
        <w:t>（含贰级）以上建造师执业证书，注册单位必须为竞标人单位。</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⑵必须附上清晰可辨的身份证、</w:t>
      </w:r>
      <w:r>
        <w:rPr>
          <w:rFonts w:hint="eastAsia"/>
          <w:color w:val="auto"/>
          <w:highlight w:val="none"/>
        </w:rPr>
        <w:t>资格</w:t>
      </w:r>
      <w:r>
        <w:rPr>
          <w:rFonts w:hint="eastAsia" w:ascii="宋体" w:hAnsi="宋体"/>
          <w:color w:val="auto"/>
          <w:szCs w:val="21"/>
          <w:highlight w:val="none"/>
        </w:rPr>
        <w:t>证书、职称证书</w:t>
      </w:r>
      <w:r>
        <w:rPr>
          <w:rFonts w:hint="eastAsia" w:ascii="宋体" w:hAnsi="宋体"/>
          <w:color w:val="auto"/>
          <w:szCs w:val="21"/>
          <w:highlight w:val="none"/>
          <w:lang w:eastAsia="zh-CN"/>
        </w:rPr>
        <w:t>（如有）</w:t>
      </w:r>
      <w:r>
        <w:rPr>
          <w:rFonts w:hint="eastAsia" w:ascii="宋体" w:hAnsi="宋体"/>
          <w:color w:val="auto"/>
          <w:szCs w:val="21"/>
          <w:highlight w:val="none"/>
        </w:rPr>
        <w:t>、毕业证书</w:t>
      </w:r>
      <w:r>
        <w:rPr>
          <w:rFonts w:hint="eastAsia" w:ascii="宋体" w:hAnsi="宋体"/>
          <w:color w:val="auto"/>
          <w:szCs w:val="21"/>
          <w:highlight w:val="none"/>
          <w:lang w:eastAsia="zh-CN"/>
        </w:rPr>
        <w:t>（如有）</w:t>
      </w:r>
      <w:r>
        <w:rPr>
          <w:rFonts w:hint="eastAsia" w:ascii="宋体" w:hAnsi="宋体"/>
          <w:color w:val="auto"/>
          <w:szCs w:val="21"/>
          <w:highlight w:val="none"/>
        </w:rPr>
        <w:t>的复印件。</w:t>
      </w:r>
    </w:p>
    <w:p>
      <w:pPr>
        <w:rPr>
          <w:rFonts w:ascii="黑体" w:eastAsia="黑体"/>
          <w:color w:val="auto"/>
          <w:sz w:val="24"/>
          <w:highlight w:val="none"/>
        </w:rPr>
      </w:pPr>
      <w:r>
        <w:rPr>
          <w:rFonts w:hint="eastAsia" w:ascii="黑体" w:eastAsia="黑体"/>
          <w:color w:val="auto"/>
          <w:sz w:val="24"/>
          <w:highlight w:val="none"/>
        </w:rPr>
        <w:br w:type="page"/>
      </w:r>
    </w:p>
    <w:p>
      <w:pPr>
        <w:rPr>
          <w:rFonts w:ascii="黑体" w:eastAsia="黑体"/>
          <w:color w:val="auto"/>
          <w:sz w:val="24"/>
          <w:highlight w:val="none"/>
        </w:rPr>
      </w:pPr>
    </w:p>
    <w:p>
      <w:pPr>
        <w:rPr>
          <w:color w:val="auto"/>
          <w:highlight w:val="none"/>
        </w:rPr>
      </w:pPr>
      <w:r>
        <w:rPr>
          <w:rFonts w:hint="eastAsia" w:ascii="黑体" w:eastAsia="黑体"/>
          <w:color w:val="auto"/>
          <w:sz w:val="24"/>
          <w:highlight w:val="none"/>
        </w:rPr>
        <w:t>㈢项目总工</w:t>
      </w:r>
      <w:r>
        <w:rPr>
          <w:rFonts w:ascii="黑体" w:eastAsia="黑体"/>
          <w:color w:val="auto"/>
          <w:sz w:val="24"/>
          <w:highlight w:val="none"/>
        </w:rPr>
        <w:t>简历表</w:t>
      </w:r>
    </w:p>
    <w:p>
      <w:pPr>
        <w:spacing w:line="500" w:lineRule="exact"/>
        <w:rPr>
          <w:rFonts w:ascii="宋体" w:hAnsi="宋体"/>
          <w:color w:val="auto"/>
          <w:szCs w:val="21"/>
          <w:highlight w:val="none"/>
        </w:rPr>
      </w:pPr>
    </w:p>
    <w:tbl>
      <w:tblPr>
        <w:tblStyle w:val="33"/>
        <w:tblW w:w="93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415"/>
        <w:gridCol w:w="207"/>
        <w:gridCol w:w="1040"/>
        <w:gridCol w:w="117"/>
        <w:gridCol w:w="1132"/>
        <w:gridCol w:w="267"/>
        <w:gridCol w:w="983"/>
        <w:gridCol w:w="255"/>
        <w:gridCol w:w="423"/>
        <w:gridCol w:w="778"/>
        <w:gridCol w:w="479"/>
        <w:gridCol w:w="151"/>
        <w:gridCol w:w="506"/>
        <w:gridCol w:w="28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4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779" w:type="dxa"/>
            <w:gridSpan w:val="4"/>
            <w:vAlign w:val="center"/>
          </w:tcPr>
          <w:p>
            <w:pPr>
              <w:spacing w:line="400" w:lineRule="exact"/>
              <w:jc w:val="center"/>
              <w:rPr>
                <w:rFonts w:ascii="宋体" w:hAnsi="宋体"/>
                <w:color w:val="auto"/>
                <w:szCs w:val="21"/>
                <w:highlight w:val="none"/>
              </w:rPr>
            </w:pPr>
          </w:p>
        </w:tc>
        <w:tc>
          <w:tcPr>
            <w:tcW w:w="1399"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性别</w:t>
            </w:r>
          </w:p>
        </w:tc>
        <w:tc>
          <w:tcPr>
            <w:tcW w:w="1661" w:type="dxa"/>
            <w:gridSpan w:val="3"/>
            <w:vAlign w:val="center"/>
          </w:tcPr>
          <w:p>
            <w:pPr>
              <w:spacing w:line="400" w:lineRule="exact"/>
              <w:jc w:val="center"/>
              <w:rPr>
                <w:rFonts w:ascii="宋体" w:hAnsi="宋体"/>
                <w:color w:val="auto"/>
                <w:szCs w:val="21"/>
                <w:highlight w:val="none"/>
              </w:rPr>
            </w:pPr>
          </w:p>
        </w:tc>
        <w:tc>
          <w:tcPr>
            <w:tcW w:w="1408"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年龄</w:t>
            </w:r>
          </w:p>
        </w:tc>
        <w:tc>
          <w:tcPr>
            <w:tcW w:w="2079" w:type="dxa"/>
            <w:gridSpan w:val="3"/>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4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1779" w:type="dxa"/>
            <w:gridSpan w:val="4"/>
            <w:vAlign w:val="center"/>
          </w:tcPr>
          <w:p>
            <w:pPr>
              <w:spacing w:line="400" w:lineRule="exact"/>
              <w:jc w:val="center"/>
              <w:rPr>
                <w:rFonts w:ascii="宋体" w:hAnsi="宋体"/>
                <w:color w:val="auto"/>
                <w:szCs w:val="21"/>
                <w:highlight w:val="none"/>
              </w:rPr>
            </w:pPr>
          </w:p>
        </w:tc>
        <w:tc>
          <w:tcPr>
            <w:tcW w:w="1399"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661" w:type="dxa"/>
            <w:gridSpan w:val="3"/>
            <w:vAlign w:val="center"/>
          </w:tcPr>
          <w:p>
            <w:pPr>
              <w:spacing w:line="400" w:lineRule="exact"/>
              <w:jc w:val="center"/>
              <w:rPr>
                <w:rFonts w:ascii="宋体" w:hAnsi="宋体"/>
                <w:color w:val="auto"/>
                <w:szCs w:val="21"/>
                <w:highlight w:val="none"/>
              </w:rPr>
            </w:pPr>
          </w:p>
        </w:tc>
        <w:tc>
          <w:tcPr>
            <w:tcW w:w="1408"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学历</w:t>
            </w:r>
          </w:p>
        </w:tc>
        <w:tc>
          <w:tcPr>
            <w:tcW w:w="2079" w:type="dxa"/>
            <w:gridSpan w:val="3"/>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4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毕业</w:t>
            </w:r>
          </w:p>
          <w:p>
            <w:pPr>
              <w:spacing w:line="400" w:lineRule="exact"/>
              <w:jc w:val="center"/>
              <w:rPr>
                <w:rFonts w:ascii="宋体" w:hAnsi="宋体"/>
                <w:color w:val="auto"/>
                <w:szCs w:val="21"/>
                <w:highlight w:val="none"/>
              </w:rPr>
            </w:pPr>
            <w:r>
              <w:rPr>
                <w:rFonts w:hint="eastAsia" w:ascii="宋体" w:hAnsi="宋体"/>
                <w:color w:val="auto"/>
                <w:szCs w:val="21"/>
                <w:highlight w:val="none"/>
              </w:rPr>
              <w:t>院校</w:t>
            </w:r>
          </w:p>
        </w:tc>
        <w:tc>
          <w:tcPr>
            <w:tcW w:w="3178" w:type="dxa"/>
            <w:gridSpan w:val="6"/>
            <w:vAlign w:val="center"/>
          </w:tcPr>
          <w:p>
            <w:pPr>
              <w:spacing w:line="400" w:lineRule="exact"/>
              <w:rPr>
                <w:rFonts w:ascii="宋体" w:hAnsi="宋体"/>
                <w:color w:val="auto"/>
                <w:szCs w:val="21"/>
                <w:highlight w:val="none"/>
              </w:rPr>
            </w:pPr>
          </w:p>
        </w:tc>
        <w:tc>
          <w:tcPr>
            <w:tcW w:w="1661"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专业</w:t>
            </w:r>
          </w:p>
        </w:tc>
        <w:tc>
          <w:tcPr>
            <w:tcW w:w="3487" w:type="dxa"/>
            <w:gridSpan w:val="6"/>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663"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身份证号码</w:t>
            </w:r>
          </w:p>
        </w:tc>
        <w:tc>
          <w:tcPr>
            <w:tcW w:w="2289" w:type="dxa"/>
            <w:gridSpan w:val="3"/>
            <w:vAlign w:val="center"/>
          </w:tcPr>
          <w:p>
            <w:pPr>
              <w:spacing w:line="400" w:lineRule="exact"/>
              <w:jc w:val="center"/>
              <w:rPr>
                <w:rFonts w:ascii="宋体" w:hAnsi="宋体"/>
                <w:color w:val="auto"/>
                <w:szCs w:val="21"/>
                <w:highlight w:val="none"/>
              </w:rPr>
            </w:pPr>
          </w:p>
        </w:tc>
        <w:tc>
          <w:tcPr>
            <w:tcW w:w="1505"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执业资格证书等级及编号</w:t>
            </w:r>
          </w:p>
        </w:tc>
        <w:tc>
          <w:tcPr>
            <w:tcW w:w="1680" w:type="dxa"/>
            <w:gridSpan w:val="3"/>
            <w:vAlign w:val="center"/>
          </w:tcPr>
          <w:p>
            <w:pPr>
              <w:jc w:val="center"/>
              <w:rPr>
                <w:rFonts w:ascii="宋体" w:hAnsi="宋体"/>
                <w:color w:val="auto"/>
                <w:szCs w:val="21"/>
                <w:highlight w:val="none"/>
              </w:rPr>
            </w:pPr>
          </w:p>
        </w:tc>
        <w:tc>
          <w:tcPr>
            <w:tcW w:w="945"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职称证书编号</w:t>
            </w:r>
          </w:p>
        </w:tc>
        <w:tc>
          <w:tcPr>
            <w:tcW w:w="1285"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367" w:type="dxa"/>
            <w:gridSpan w:val="16"/>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56" w:type="dxa"/>
            <w:gridSpan w:val="2"/>
            <w:vAlign w:val="center"/>
          </w:tcPr>
          <w:p>
            <w:pPr>
              <w:jc w:val="center"/>
              <w:rPr>
                <w:rFonts w:ascii="宋体" w:hAnsi="宋体"/>
                <w:color w:val="auto"/>
                <w:highlight w:val="none"/>
              </w:rPr>
            </w:pPr>
            <w:r>
              <w:rPr>
                <w:rFonts w:hint="eastAsia" w:ascii="宋体" w:hAnsi="宋体"/>
                <w:color w:val="auto"/>
                <w:highlight w:val="none"/>
              </w:rPr>
              <w:t>建设单位</w:t>
            </w:r>
          </w:p>
        </w:tc>
        <w:tc>
          <w:tcPr>
            <w:tcW w:w="1247" w:type="dxa"/>
            <w:gridSpan w:val="2"/>
            <w:vAlign w:val="center"/>
          </w:tcPr>
          <w:p>
            <w:pPr>
              <w:jc w:val="center"/>
              <w:rPr>
                <w:rFonts w:ascii="宋体" w:hAnsi="宋体"/>
                <w:color w:val="auto"/>
                <w:highlight w:val="none"/>
              </w:rPr>
            </w:pPr>
            <w:r>
              <w:rPr>
                <w:rFonts w:hint="eastAsia" w:ascii="宋体" w:hAnsi="宋体"/>
                <w:color w:val="auto"/>
                <w:highlight w:val="none"/>
              </w:rPr>
              <w:t>项目名称</w:t>
            </w:r>
          </w:p>
        </w:tc>
        <w:tc>
          <w:tcPr>
            <w:tcW w:w="1249" w:type="dxa"/>
            <w:gridSpan w:val="2"/>
            <w:vAlign w:val="center"/>
          </w:tcPr>
          <w:p>
            <w:pPr>
              <w:jc w:val="center"/>
              <w:rPr>
                <w:rFonts w:ascii="宋体" w:hAnsi="宋体"/>
                <w:color w:val="auto"/>
                <w:highlight w:val="none"/>
              </w:rPr>
            </w:pPr>
            <w:r>
              <w:rPr>
                <w:rFonts w:hint="eastAsia" w:ascii="宋体" w:hAnsi="宋体"/>
                <w:color w:val="auto"/>
                <w:highlight w:val="none"/>
              </w:rPr>
              <w:t>担任何职</w:t>
            </w:r>
          </w:p>
        </w:tc>
        <w:tc>
          <w:tcPr>
            <w:tcW w:w="1250" w:type="dxa"/>
            <w:gridSpan w:val="2"/>
            <w:vAlign w:val="center"/>
          </w:tcPr>
          <w:p>
            <w:pPr>
              <w:jc w:val="center"/>
              <w:rPr>
                <w:rFonts w:ascii="宋体" w:hAnsi="宋体"/>
                <w:color w:val="auto"/>
                <w:highlight w:val="none"/>
              </w:rPr>
            </w:pPr>
            <w:r>
              <w:rPr>
                <w:rFonts w:hint="eastAsia" w:ascii="宋体" w:hAnsi="宋体"/>
                <w:color w:val="auto"/>
                <w:highlight w:val="none"/>
              </w:rPr>
              <w:t>建设规模</w:t>
            </w:r>
          </w:p>
        </w:tc>
        <w:tc>
          <w:tcPr>
            <w:tcW w:w="1456" w:type="dxa"/>
            <w:gridSpan w:val="3"/>
            <w:vAlign w:val="center"/>
          </w:tcPr>
          <w:p>
            <w:pPr>
              <w:jc w:val="center"/>
              <w:rPr>
                <w:rFonts w:ascii="宋体" w:hAnsi="宋体"/>
                <w:color w:val="auto"/>
                <w:highlight w:val="none"/>
              </w:rPr>
            </w:pPr>
            <w:r>
              <w:rPr>
                <w:rFonts w:hint="eastAsia" w:ascii="宋体" w:hAnsi="宋体"/>
                <w:color w:val="auto"/>
                <w:highlight w:val="none"/>
              </w:rPr>
              <w:t>建设地点</w:t>
            </w:r>
          </w:p>
        </w:tc>
        <w:tc>
          <w:tcPr>
            <w:tcW w:w="1136" w:type="dxa"/>
            <w:gridSpan w:val="3"/>
            <w:vAlign w:val="center"/>
          </w:tcPr>
          <w:p>
            <w:pPr>
              <w:jc w:val="center"/>
              <w:rPr>
                <w:rFonts w:ascii="宋体" w:hAnsi="宋体"/>
                <w:color w:val="auto"/>
                <w:highlight w:val="none"/>
              </w:rPr>
            </w:pPr>
            <w:r>
              <w:rPr>
                <w:rFonts w:hint="eastAsia" w:ascii="宋体" w:hAnsi="宋体"/>
                <w:color w:val="auto"/>
                <w:highlight w:val="none"/>
              </w:rPr>
              <w:t>开竣工</w:t>
            </w:r>
          </w:p>
          <w:p>
            <w:pPr>
              <w:jc w:val="center"/>
              <w:rPr>
                <w:rFonts w:ascii="宋体" w:hAnsi="宋体"/>
                <w:color w:val="auto"/>
                <w:highlight w:val="none"/>
              </w:rPr>
            </w:pPr>
            <w:r>
              <w:rPr>
                <w:rFonts w:hint="eastAsia" w:ascii="宋体" w:hAnsi="宋体"/>
                <w:color w:val="auto"/>
                <w:highlight w:val="none"/>
              </w:rPr>
              <w:t>日期</w:t>
            </w:r>
          </w:p>
        </w:tc>
        <w:tc>
          <w:tcPr>
            <w:tcW w:w="1573" w:type="dxa"/>
            <w:gridSpan w:val="2"/>
            <w:vAlign w:val="center"/>
          </w:tcPr>
          <w:p>
            <w:pPr>
              <w:jc w:val="center"/>
              <w:rPr>
                <w:rFonts w:ascii="宋体" w:hAnsi="宋体"/>
                <w:color w:val="auto"/>
                <w:szCs w:val="21"/>
                <w:highlight w:val="none"/>
              </w:rPr>
            </w:pPr>
            <w:r>
              <w:rPr>
                <w:rFonts w:hint="eastAsia" w:ascii="宋体" w:hAnsi="宋体"/>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56" w:type="dxa"/>
            <w:gridSpan w:val="2"/>
            <w:vAlign w:val="center"/>
          </w:tcPr>
          <w:p>
            <w:pPr>
              <w:spacing w:line="400" w:lineRule="exact"/>
              <w:jc w:val="center"/>
              <w:rPr>
                <w:rFonts w:ascii="宋体" w:hAnsi="宋体"/>
                <w:color w:val="auto"/>
                <w:szCs w:val="21"/>
                <w:highlight w:val="none"/>
              </w:rPr>
            </w:pPr>
          </w:p>
        </w:tc>
        <w:tc>
          <w:tcPr>
            <w:tcW w:w="1247" w:type="dxa"/>
            <w:gridSpan w:val="2"/>
            <w:vAlign w:val="center"/>
          </w:tcPr>
          <w:p>
            <w:pPr>
              <w:spacing w:line="400" w:lineRule="exact"/>
              <w:jc w:val="center"/>
              <w:rPr>
                <w:rFonts w:ascii="宋体" w:hAnsi="宋体"/>
                <w:color w:val="auto"/>
                <w:szCs w:val="21"/>
                <w:highlight w:val="none"/>
              </w:rPr>
            </w:pPr>
          </w:p>
        </w:tc>
        <w:tc>
          <w:tcPr>
            <w:tcW w:w="1249" w:type="dxa"/>
            <w:gridSpan w:val="2"/>
            <w:vAlign w:val="center"/>
          </w:tcPr>
          <w:p>
            <w:pPr>
              <w:spacing w:line="400" w:lineRule="exact"/>
              <w:jc w:val="center"/>
              <w:rPr>
                <w:rFonts w:ascii="宋体" w:hAnsi="宋体"/>
                <w:color w:val="auto"/>
                <w:szCs w:val="21"/>
                <w:highlight w:val="none"/>
              </w:rPr>
            </w:pPr>
          </w:p>
        </w:tc>
        <w:tc>
          <w:tcPr>
            <w:tcW w:w="1250" w:type="dxa"/>
            <w:gridSpan w:val="2"/>
            <w:vAlign w:val="center"/>
          </w:tcPr>
          <w:p>
            <w:pPr>
              <w:spacing w:line="400" w:lineRule="exact"/>
              <w:jc w:val="center"/>
              <w:rPr>
                <w:rFonts w:ascii="宋体" w:hAnsi="宋体"/>
                <w:color w:val="auto"/>
                <w:szCs w:val="21"/>
                <w:highlight w:val="none"/>
              </w:rPr>
            </w:pPr>
          </w:p>
        </w:tc>
        <w:tc>
          <w:tcPr>
            <w:tcW w:w="1456" w:type="dxa"/>
            <w:gridSpan w:val="3"/>
            <w:vAlign w:val="center"/>
          </w:tcPr>
          <w:p>
            <w:pPr>
              <w:spacing w:line="400" w:lineRule="exact"/>
              <w:jc w:val="center"/>
              <w:rPr>
                <w:rFonts w:ascii="宋体" w:hAnsi="宋体"/>
                <w:color w:val="auto"/>
                <w:szCs w:val="21"/>
                <w:highlight w:val="none"/>
              </w:rPr>
            </w:pPr>
          </w:p>
        </w:tc>
        <w:tc>
          <w:tcPr>
            <w:tcW w:w="1136" w:type="dxa"/>
            <w:gridSpan w:val="3"/>
            <w:vAlign w:val="center"/>
          </w:tcPr>
          <w:p>
            <w:pPr>
              <w:spacing w:line="400" w:lineRule="exact"/>
              <w:jc w:val="center"/>
              <w:rPr>
                <w:rFonts w:ascii="宋体" w:hAnsi="宋体"/>
                <w:color w:val="auto"/>
                <w:szCs w:val="21"/>
                <w:highlight w:val="none"/>
              </w:rPr>
            </w:pPr>
          </w:p>
        </w:tc>
        <w:tc>
          <w:tcPr>
            <w:tcW w:w="1573" w:type="dxa"/>
            <w:gridSpan w:val="2"/>
            <w:vAlign w:val="center"/>
          </w:tcPr>
          <w:p>
            <w:pPr>
              <w:spacing w:line="400" w:lineRule="exact"/>
              <w:jc w:val="center"/>
              <w:rPr>
                <w:rFonts w:ascii="宋体" w:hAnsi="宋体"/>
                <w:color w:val="auto"/>
                <w:szCs w:val="21"/>
                <w:highlight w:val="none"/>
              </w:rPr>
            </w:pPr>
          </w:p>
        </w:tc>
      </w:tr>
    </w:tbl>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说明：</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⑴项目总工要求具有工程师职称，职称证工作单位必须为竞标人单位。</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⑵必须附上清晰可辨的身份证、职称证书、毕业证书（如有）的复印件。</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jc w:val="center"/>
        <w:rPr>
          <w:color w:val="auto"/>
          <w:highlight w:val="none"/>
        </w:rPr>
      </w:pPr>
      <w:r>
        <w:rPr>
          <w:rFonts w:hint="eastAsia" w:ascii="黑体" w:eastAsia="黑体"/>
          <w:color w:val="auto"/>
          <w:sz w:val="24"/>
          <w:highlight w:val="none"/>
        </w:rPr>
        <w:t>㈣</w:t>
      </w:r>
      <w:r>
        <w:rPr>
          <w:rFonts w:ascii="黑体" w:eastAsia="黑体"/>
          <w:color w:val="auto"/>
          <w:sz w:val="24"/>
          <w:highlight w:val="none"/>
        </w:rPr>
        <w:t>项目其它主要人员简历表</w:t>
      </w:r>
    </w:p>
    <w:p>
      <w:pPr>
        <w:spacing w:line="500" w:lineRule="exact"/>
        <w:rPr>
          <w:rFonts w:ascii="宋体" w:hAnsi="宋体"/>
          <w:color w:val="auto"/>
          <w:szCs w:val="21"/>
          <w:highlight w:val="none"/>
        </w:rPr>
      </w:pPr>
    </w:p>
    <w:tbl>
      <w:tblPr>
        <w:tblStyle w:val="33"/>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490"/>
        <w:gridCol w:w="764"/>
        <w:gridCol w:w="442"/>
        <w:gridCol w:w="427"/>
        <w:gridCol w:w="739"/>
        <w:gridCol w:w="1048"/>
        <w:gridCol w:w="330"/>
        <w:gridCol w:w="156"/>
        <w:gridCol w:w="1167"/>
        <w:gridCol w:w="333"/>
        <w:gridCol w:w="40"/>
        <w:gridCol w:w="1194"/>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6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696" w:type="dxa"/>
            <w:gridSpan w:val="3"/>
            <w:vAlign w:val="center"/>
          </w:tcPr>
          <w:p>
            <w:pPr>
              <w:spacing w:line="400" w:lineRule="exact"/>
              <w:jc w:val="center"/>
              <w:rPr>
                <w:rFonts w:ascii="宋体" w:hAnsi="宋体"/>
                <w:color w:val="auto"/>
                <w:szCs w:val="21"/>
                <w:highlight w:val="none"/>
              </w:rPr>
            </w:pPr>
          </w:p>
        </w:tc>
        <w:tc>
          <w:tcPr>
            <w:tcW w:w="1166"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性别</w:t>
            </w:r>
          </w:p>
        </w:tc>
        <w:tc>
          <w:tcPr>
            <w:tcW w:w="1378" w:type="dxa"/>
            <w:gridSpan w:val="2"/>
            <w:vAlign w:val="center"/>
          </w:tcPr>
          <w:p>
            <w:pPr>
              <w:spacing w:line="400" w:lineRule="exact"/>
              <w:jc w:val="center"/>
              <w:rPr>
                <w:rFonts w:ascii="宋体" w:hAnsi="宋体"/>
                <w:color w:val="auto"/>
                <w:szCs w:val="21"/>
                <w:highlight w:val="none"/>
              </w:rPr>
            </w:pPr>
          </w:p>
        </w:tc>
        <w:tc>
          <w:tcPr>
            <w:tcW w:w="1696" w:type="dxa"/>
            <w:gridSpan w:val="4"/>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年龄</w:t>
            </w:r>
          </w:p>
        </w:tc>
        <w:tc>
          <w:tcPr>
            <w:tcW w:w="2284"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6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1696" w:type="dxa"/>
            <w:gridSpan w:val="3"/>
            <w:vAlign w:val="center"/>
          </w:tcPr>
          <w:p>
            <w:pPr>
              <w:spacing w:line="400" w:lineRule="exact"/>
              <w:jc w:val="center"/>
              <w:rPr>
                <w:rFonts w:ascii="宋体" w:hAnsi="宋体"/>
                <w:color w:val="auto"/>
                <w:szCs w:val="21"/>
                <w:highlight w:val="none"/>
              </w:rPr>
            </w:pPr>
          </w:p>
        </w:tc>
        <w:tc>
          <w:tcPr>
            <w:tcW w:w="1166"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378" w:type="dxa"/>
            <w:gridSpan w:val="2"/>
            <w:vAlign w:val="center"/>
          </w:tcPr>
          <w:p>
            <w:pPr>
              <w:spacing w:line="400" w:lineRule="exact"/>
              <w:jc w:val="center"/>
              <w:rPr>
                <w:rFonts w:ascii="宋体" w:hAnsi="宋体"/>
                <w:color w:val="auto"/>
                <w:szCs w:val="21"/>
                <w:highlight w:val="none"/>
              </w:rPr>
            </w:pPr>
          </w:p>
        </w:tc>
        <w:tc>
          <w:tcPr>
            <w:tcW w:w="1696"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学历</w:t>
            </w:r>
          </w:p>
        </w:tc>
        <w:tc>
          <w:tcPr>
            <w:tcW w:w="2284" w:type="dxa"/>
            <w:gridSpan w:val="2"/>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6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毕业学校</w:t>
            </w:r>
          </w:p>
        </w:tc>
        <w:tc>
          <w:tcPr>
            <w:tcW w:w="2862" w:type="dxa"/>
            <w:gridSpan w:val="5"/>
            <w:vAlign w:val="center"/>
          </w:tcPr>
          <w:p>
            <w:pPr>
              <w:spacing w:line="400" w:lineRule="exact"/>
              <w:rPr>
                <w:rFonts w:ascii="宋体" w:hAnsi="宋体"/>
                <w:color w:val="auto"/>
                <w:szCs w:val="21"/>
                <w:highlight w:val="none"/>
              </w:rPr>
            </w:pPr>
          </w:p>
        </w:tc>
        <w:tc>
          <w:tcPr>
            <w:tcW w:w="1378"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专业</w:t>
            </w:r>
          </w:p>
        </w:tc>
        <w:tc>
          <w:tcPr>
            <w:tcW w:w="3980" w:type="dxa"/>
            <w:gridSpan w:val="6"/>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323"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身份证号码</w:t>
            </w:r>
          </w:p>
        </w:tc>
        <w:tc>
          <w:tcPr>
            <w:tcW w:w="3142" w:type="dxa"/>
            <w:gridSpan w:val="6"/>
            <w:vAlign w:val="center"/>
          </w:tcPr>
          <w:p>
            <w:pPr>
              <w:spacing w:line="400" w:lineRule="exact"/>
              <w:jc w:val="center"/>
              <w:rPr>
                <w:rFonts w:ascii="宋体" w:hAnsi="宋体"/>
                <w:color w:val="auto"/>
                <w:szCs w:val="21"/>
                <w:highlight w:val="none"/>
              </w:rPr>
            </w:pPr>
          </w:p>
        </w:tc>
        <w:tc>
          <w:tcPr>
            <w:tcW w:w="1500"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职称证书编号</w:t>
            </w:r>
          </w:p>
        </w:tc>
        <w:tc>
          <w:tcPr>
            <w:tcW w:w="2324" w:type="dxa"/>
            <w:gridSpan w:val="3"/>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3192" w:type="dxa"/>
            <w:gridSpan w:val="5"/>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执业证或上岗证书名称及编号</w:t>
            </w:r>
          </w:p>
        </w:tc>
        <w:tc>
          <w:tcPr>
            <w:tcW w:w="6097" w:type="dxa"/>
            <w:gridSpan w:val="9"/>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289" w:type="dxa"/>
            <w:gridSpan w:val="14"/>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59" w:type="dxa"/>
            <w:gridSpan w:val="2"/>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建设单位</w:t>
            </w:r>
          </w:p>
        </w:tc>
        <w:tc>
          <w:tcPr>
            <w:tcW w:w="3420" w:type="dxa"/>
            <w:gridSpan w:val="5"/>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项目名称</w:t>
            </w:r>
          </w:p>
        </w:tc>
        <w:tc>
          <w:tcPr>
            <w:tcW w:w="1653"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建设规模</w:t>
            </w:r>
          </w:p>
        </w:tc>
        <w:tc>
          <w:tcPr>
            <w:tcW w:w="1567" w:type="dxa"/>
            <w:gridSpan w:val="3"/>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开竣工日期</w:t>
            </w:r>
          </w:p>
        </w:tc>
        <w:tc>
          <w:tcPr>
            <w:tcW w:w="109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担任何职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59" w:type="dxa"/>
            <w:gridSpan w:val="2"/>
            <w:vAlign w:val="center"/>
          </w:tcPr>
          <w:p>
            <w:pPr>
              <w:spacing w:line="400" w:lineRule="exact"/>
              <w:jc w:val="center"/>
              <w:rPr>
                <w:rFonts w:ascii="宋体" w:hAnsi="宋体"/>
                <w:color w:val="auto"/>
                <w:szCs w:val="21"/>
                <w:highlight w:val="none"/>
              </w:rPr>
            </w:pPr>
          </w:p>
        </w:tc>
        <w:tc>
          <w:tcPr>
            <w:tcW w:w="3420" w:type="dxa"/>
            <w:gridSpan w:val="5"/>
            <w:vAlign w:val="center"/>
          </w:tcPr>
          <w:p>
            <w:pPr>
              <w:spacing w:line="400" w:lineRule="exact"/>
              <w:jc w:val="center"/>
              <w:rPr>
                <w:rFonts w:ascii="宋体" w:hAnsi="宋体"/>
                <w:color w:val="auto"/>
                <w:szCs w:val="21"/>
                <w:highlight w:val="none"/>
              </w:rPr>
            </w:pPr>
          </w:p>
        </w:tc>
        <w:tc>
          <w:tcPr>
            <w:tcW w:w="1653" w:type="dxa"/>
            <w:gridSpan w:val="3"/>
            <w:vAlign w:val="center"/>
          </w:tcPr>
          <w:p>
            <w:pPr>
              <w:spacing w:line="400" w:lineRule="exact"/>
              <w:jc w:val="center"/>
              <w:rPr>
                <w:rFonts w:ascii="宋体" w:hAnsi="宋体"/>
                <w:color w:val="auto"/>
                <w:szCs w:val="21"/>
                <w:highlight w:val="none"/>
              </w:rPr>
            </w:pPr>
          </w:p>
        </w:tc>
        <w:tc>
          <w:tcPr>
            <w:tcW w:w="1567" w:type="dxa"/>
            <w:gridSpan w:val="3"/>
            <w:vAlign w:val="center"/>
          </w:tcPr>
          <w:p>
            <w:pPr>
              <w:spacing w:line="400" w:lineRule="exact"/>
              <w:jc w:val="center"/>
              <w:rPr>
                <w:rFonts w:ascii="宋体" w:hAnsi="宋体"/>
                <w:color w:val="auto"/>
                <w:szCs w:val="21"/>
                <w:highlight w:val="none"/>
              </w:rPr>
            </w:pPr>
          </w:p>
        </w:tc>
        <w:tc>
          <w:tcPr>
            <w:tcW w:w="1090" w:type="dxa"/>
            <w:vAlign w:val="center"/>
          </w:tcPr>
          <w:p>
            <w:pPr>
              <w:spacing w:line="400" w:lineRule="exact"/>
              <w:jc w:val="center"/>
              <w:rPr>
                <w:rFonts w:ascii="宋体" w:hAnsi="宋体"/>
                <w:color w:val="auto"/>
                <w:szCs w:val="21"/>
                <w:highlight w:val="none"/>
              </w:rPr>
            </w:pPr>
          </w:p>
        </w:tc>
      </w:tr>
    </w:tbl>
    <w:p>
      <w:pPr>
        <w:spacing w:after="50" w:line="400" w:lineRule="exact"/>
        <w:rPr>
          <w:b/>
          <w:bCs/>
          <w:color w:val="auto"/>
          <w:sz w:val="32"/>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说明：</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⑴“项目其他主要人员”指除</w:t>
      </w:r>
      <w:r>
        <w:rPr>
          <w:rFonts w:hint="eastAsia"/>
          <w:color w:val="auto"/>
          <w:highlight w:val="none"/>
        </w:rPr>
        <w:t>项目经理</w:t>
      </w:r>
      <w:r>
        <w:rPr>
          <w:rFonts w:hint="eastAsia" w:ascii="宋体" w:hAnsi="宋体"/>
          <w:color w:val="auto"/>
          <w:szCs w:val="21"/>
          <w:highlight w:val="none"/>
        </w:rPr>
        <w:t>、项目总工外实际参加本合同工程施工的项目管理、技术等方面的负责人，包括施工员、质量员、安全员、材料员等。</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⑵须附上清晰可辨的身份证及相应的执业证书或上岗资格证书、毕业证书（如有）的复印件。</w:t>
      </w:r>
    </w:p>
    <w:p>
      <w:pPr>
        <w:spacing w:after="50" w:line="400" w:lineRule="exact"/>
        <w:ind w:firstLine="420" w:firstLineChars="200"/>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3 \* GB2</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⑶</w:t>
      </w:r>
      <w:r>
        <w:rPr>
          <w:rFonts w:ascii="宋体" w:hAnsi="宋体"/>
          <w:color w:val="auto"/>
          <w:szCs w:val="21"/>
          <w:highlight w:val="none"/>
        </w:rPr>
        <w:fldChar w:fldCharType="end"/>
      </w:r>
      <w:r>
        <w:rPr>
          <w:rFonts w:hint="eastAsia" w:ascii="宋体" w:hAnsi="宋体"/>
          <w:color w:val="auto"/>
          <w:szCs w:val="21"/>
          <w:highlight w:val="none"/>
        </w:rPr>
        <w:t>表格不够可另行复印。</w:t>
      </w:r>
    </w:p>
    <w:p>
      <w:pPr>
        <w:jc w:val="center"/>
        <w:rPr>
          <w:rFonts w:ascii="黑体" w:eastAsia="黑体"/>
          <w:color w:val="auto"/>
          <w:sz w:val="24"/>
          <w:highlight w:val="none"/>
        </w:rPr>
      </w:pPr>
      <w:bookmarkStart w:id="207" w:name="_Toc279606793"/>
      <w:r>
        <w:rPr>
          <w:rFonts w:ascii="黑体" w:eastAsia="黑体"/>
          <w:color w:val="auto"/>
          <w:sz w:val="24"/>
          <w:highlight w:val="none"/>
        </w:rPr>
        <w:br w:type="page"/>
      </w:r>
    </w:p>
    <w:p>
      <w:pPr>
        <w:jc w:val="center"/>
        <w:rPr>
          <w:rFonts w:ascii="黑体" w:eastAsia="黑体"/>
          <w:color w:val="auto"/>
          <w:sz w:val="24"/>
          <w:highlight w:val="none"/>
        </w:rPr>
      </w:pPr>
    </w:p>
    <w:p>
      <w:pPr>
        <w:jc w:val="center"/>
        <w:rPr>
          <w:color w:val="auto"/>
          <w:highlight w:val="none"/>
        </w:rPr>
      </w:pPr>
      <w:r>
        <w:rPr>
          <w:rFonts w:ascii="黑体" w:eastAsia="黑体"/>
          <w:color w:val="auto"/>
          <w:sz w:val="24"/>
          <w:highlight w:val="none"/>
        </w:rPr>
        <w:t>㈤项目管理机构配备情况辅助说明资料</w:t>
      </w:r>
      <w:bookmarkEnd w:id="207"/>
    </w:p>
    <w:p>
      <w:pPr>
        <w:spacing w:after="50" w:line="400" w:lineRule="exact"/>
        <w:rPr>
          <w:bCs/>
          <w:color w:val="auto"/>
          <w:sz w:val="24"/>
          <w:highlight w:val="none"/>
        </w:rPr>
      </w:pPr>
    </w:p>
    <w:p>
      <w:pPr>
        <w:spacing w:line="560" w:lineRule="exact"/>
        <w:ind w:left="632" w:hanging="632" w:hangingChars="300"/>
        <w:rPr>
          <w:rFonts w:ascii="宋体" w:hAnsi="宋体"/>
          <w:b/>
          <w:color w:val="auto"/>
          <w:highlight w:val="none"/>
        </w:rPr>
      </w:pPr>
      <w:r>
        <w:rPr>
          <w:rFonts w:hint="eastAsia"/>
          <w:b/>
          <w:color w:val="auto"/>
          <w:highlight w:val="none"/>
        </w:rPr>
        <w:t>注：</w:t>
      </w:r>
    </w:p>
    <w:p>
      <w:pPr>
        <w:spacing w:line="560" w:lineRule="exact"/>
        <w:ind w:firstLine="420" w:firstLineChars="200"/>
        <w:rPr>
          <w:color w:val="auto"/>
          <w:highlight w:val="none"/>
        </w:rPr>
      </w:pPr>
      <w:r>
        <w:rPr>
          <w:rFonts w:hint="eastAsia"/>
          <w:color w:val="auto"/>
          <w:highlight w:val="none"/>
        </w:rPr>
        <w:t>⑴辅助说明资料主要包括管理机构的机构设置、职责分工、有关复印证明资料以及竞标人认为有必要提供的资料。辅助说明资料格式不做统一规定，由竞标人自行设计。</w:t>
      </w:r>
    </w:p>
    <w:p>
      <w:pPr>
        <w:spacing w:line="560" w:lineRule="exact"/>
        <w:ind w:firstLine="420" w:firstLineChars="200"/>
        <w:rPr>
          <w:color w:val="auto"/>
          <w:highlight w:val="none"/>
        </w:rPr>
      </w:pPr>
      <w:r>
        <w:rPr>
          <w:rFonts w:hint="eastAsia"/>
          <w:color w:val="auto"/>
          <w:highlight w:val="none"/>
        </w:rPr>
        <w:t>⑵项目管理班子配备情况辅助说明资料另附（与本竞标文件一起装订）。</w:t>
      </w:r>
    </w:p>
    <w:p>
      <w:pPr>
        <w:pStyle w:val="3"/>
        <w:rPr>
          <w:color w:val="auto"/>
          <w:highlight w:val="none"/>
        </w:rPr>
      </w:pPr>
      <w:r>
        <w:rPr>
          <w:rFonts w:hint="eastAsia"/>
          <w:color w:val="auto"/>
          <w:highlight w:val="none"/>
        </w:rPr>
        <w:br w:type="page"/>
      </w:r>
      <w:bookmarkStart w:id="208" w:name="_Toc22669"/>
      <w:bookmarkStart w:id="209" w:name="_Toc24452"/>
      <w:r>
        <w:rPr>
          <w:rFonts w:hint="eastAsia"/>
          <w:color w:val="auto"/>
          <w:highlight w:val="none"/>
        </w:rPr>
        <w:t>第</w:t>
      </w:r>
      <w:r>
        <w:rPr>
          <w:rFonts w:hint="eastAsia"/>
          <w:color w:val="auto"/>
          <w:highlight w:val="none"/>
          <w:lang w:eastAsia="zh-CN"/>
        </w:rPr>
        <w:t>七</w:t>
      </w:r>
      <w:r>
        <w:rPr>
          <w:rFonts w:hint="eastAsia"/>
          <w:color w:val="auto"/>
          <w:highlight w:val="none"/>
        </w:rPr>
        <w:t>章  评标办法</w:t>
      </w:r>
      <w:bookmarkEnd w:id="208"/>
      <w:bookmarkEnd w:id="209"/>
    </w:p>
    <w:p>
      <w:pPr>
        <w:spacing w:line="360" w:lineRule="exact"/>
        <w:rPr>
          <w:rFonts w:ascii="宋体" w:hAnsi="宋体"/>
          <w:b/>
          <w:bCs/>
          <w:color w:val="auto"/>
          <w:highlight w:val="none"/>
        </w:rPr>
      </w:pPr>
    </w:p>
    <w:p>
      <w:pPr>
        <w:snapToGrid w:val="0"/>
        <w:spacing w:line="500" w:lineRule="exact"/>
        <w:ind w:firstLine="316" w:firstLineChars="150"/>
        <w:rPr>
          <w:rFonts w:ascii="宋体" w:hAnsi="宋体"/>
          <w:b/>
          <w:bCs/>
          <w:color w:val="auto"/>
          <w:highlight w:val="none"/>
        </w:rPr>
      </w:pPr>
      <w:r>
        <w:rPr>
          <w:rFonts w:hint="eastAsia" w:ascii="宋体" w:hAnsi="宋体"/>
          <w:b/>
          <w:bCs/>
          <w:color w:val="auto"/>
          <w:highlight w:val="none"/>
        </w:rPr>
        <w:t>1.评标原则</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谈判小组构成：本采购项目的谈判小组分别由依法组成的评审专家、采购人代表等三人以上（含3人）的单数组成，其中专家人数不得少于成员总数的三分之二。</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评标依据：以竞争性谈判条件书、竞标文件为评标依据。</w:t>
      </w:r>
    </w:p>
    <w:p>
      <w:pPr>
        <w:snapToGrid w:val="0"/>
        <w:spacing w:line="500" w:lineRule="exact"/>
        <w:ind w:firstLine="316" w:firstLineChars="150"/>
        <w:rPr>
          <w:rFonts w:ascii="宋体" w:hAnsi="宋体"/>
          <w:b/>
          <w:bCs/>
          <w:color w:val="auto"/>
          <w:highlight w:val="none"/>
        </w:rPr>
      </w:pPr>
      <w:r>
        <w:rPr>
          <w:rFonts w:hint="eastAsia" w:ascii="宋体" w:hAnsi="宋体"/>
          <w:b/>
          <w:bCs/>
          <w:color w:val="auto"/>
          <w:highlight w:val="none"/>
        </w:rPr>
        <w:t>2.资格审查</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本工程采用资格后审的方式进行资格审查，参加本次竞标的单位均要通过资格审查才能获得进入下阶段详评资格。资格审查内容为：</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2.1有效的企业营业执照、组织机构代码证、税务登记证副本复印件（如已更换成“加载统一社会信用代码的‘三证合一’营业执照”时不需再提供组织机构代码证和税务登记）；</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2.2有效的资质证书副本；</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3</w:t>
      </w:r>
      <w:r>
        <w:rPr>
          <w:rFonts w:hint="eastAsia" w:ascii="宋体" w:hAnsi="宋体"/>
          <w:color w:val="auto"/>
          <w:highlight w:val="none"/>
        </w:rPr>
        <w:t>项目经理的身份证、注册建造师资质证书、安全生产考核合格证书（B证）；</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4</w:t>
      </w:r>
      <w:r>
        <w:rPr>
          <w:rFonts w:hint="eastAsia" w:ascii="宋体" w:hAnsi="宋体"/>
          <w:color w:val="auto"/>
          <w:highlight w:val="none"/>
        </w:rPr>
        <w:t>农民工工资保障金承诺书；</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5</w:t>
      </w:r>
      <w:r>
        <w:rPr>
          <w:rFonts w:hint="eastAsia" w:ascii="宋体" w:hAnsi="宋体"/>
          <w:color w:val="auto"/>
          <w:highlight w:val="none"/>
        </w:rPr>
        <w:t>竞标保证金缴纳凭证；</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6</w:t>
      </w:r>
      <w:r>
        <w:rPr>
          <w:rFonts w:hint="eastAsia" w:ascii="宋体" w:hAnsi="宋体"/>
          <w:color w:val="auto"/>
          <w:highlight w:val="none"/>
        </w:rPr>
        <w:t>安全防护、文明施工措施方案承诺书；</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7</w:t>
      </w:r>
      <w:r>
        <w:rPr>
          <w:rFonts w:hint="eastAsia" w:ascii="宋体" w:hAnsi="宋体"/>
          <w:color w:val="auto"/>
          <w:highlight w:val="none"/>
        </w:rPr>
        <w:t>项目管理机构及机械设备承诺书；</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8</w:t>
      </w:r>
      <w:r>
        <w:rPr>
          <w:rFonts w:hint="eastAsia" w:ascii="宋体" w:hAnsi="宋体"/>
          <w:color w:val="auto"/>
          <w:highlight w:val="none"/>
        </w:rPr>
        <w:t xml:space="preserve"> </w:t>
      </w:r>
      <w:r>
        <w:rPr>
          <w:rFonts w:hint="eastAsia" w:ascii="宋体" w:hAnsi="宋体"/>
          <w:color w:val="auto"/>
          <w:highlight w:val="none"/>
          <w:lang w:eastAsia="zh-CN"/>
        </w:rPr>
        <w:t>竞标人需提供2019年度的财务审计报告或近季度财务报表</w:t>
      </w:r>
      <w:r>
        <w:rPr>
          <w:rFonts w:hint="eastAsia" w:ascii="宋体" w:hAnsi="宋体"/>
          <w:color w:val="auto"/>
          <w:highlight w:val="none"/>
        </w:rPr>
        <w:t>；</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9</w:t>
      </w:r>
      <w:r>
        <w:rPr>
          <w:rFonts w:hint="eastAsia" w:ascii="宋体" w:hAnsi="宋体"/>
          <w:color w:val="auto"/>
          <w:highlight w:val="none"/>
        </w:rPr>
        <w:t>在本单位缴纳的</w:t>
      </w:r>
      <w:r>
        <w:rPr>
          <w:rFonts w:hint="eastAsia" w:ascii="宋体" w:hAnsi="宋体"/>
          <w:color w:val="auto"/>
          <w:highlight w:val="none"/>
          <w:lang w:eastAsia="zh-CN"/>
        </w:rPr>
        <w:t>法定代表人、项目经理</w:t>
      </w:r>
      <w:r>
        <w:rPr>
          <w:rFonts w:hint="eastAsia" w:ascii="宋体" w:hAnsi="宋体"/>
          <w:color w:val="auto"/>
          <w:highlight w:val="none"/>
        </w:rPr>
        <w:t>的养老保险凭证（</w:t>
      </w:r>
      <w:r>
        <w:rPr>
          <w:rFonts w:hint="eastAsia" w:ascii="宋体" w:hAnsi="宋体"/>
          <w:color w:val="auto"/>
          <w:highlight w:val="none"/>
          <w:lang w:eastAsia="zh-CN"/>
        </w:rPr>
        <w:t>须提供本单位在截标之日前半年内连续三个月为其缴纳社会养老保险的缴费手册或社保机构出具的缴费清单</w:t>
      </w:r>
      <w:r>
        <w:rPr>
          <w:rFonts w:hint="eastAsia" w:ascii="宋体" w:hAnsi="宋体"/>
          <w:color w:val="auto"/>
          <w:highlight w:val="none"/>
        </w:rPr>
        <w:t>）；</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10</w:t>
      </w:r>
      <w:r>
        <w:rPr>
          <w:rFonts w:hint="eastAsia" w:ascii="宋体" w:hAnsi="宋体"/>
          <w:color w:val="auto"/>
          <w:highlight w:val="none"/>
          <w:lang w:eastAsia="zh-CN"/>
        </w:rPr>
        <w:t>提交响应文件截止之日前三个月内任意一个月的依法缴纳税费证明复印件</w:t>
      </w:r>
      <w:r>
        <w:rPr>
          <w:rFonts w:hint="eastAsia" w:ascii="宋体" w:hAnsi="宋体"/>
          <w:color w:val="auto"/>
          <w:highlight w:val="none"/>
        </w:rPr>
        <w:t>；</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en-US" w:eastAsia="zh-CN"/>
        </w:rPr>
        <w:t>11</w:t>
      </w:r>
      <w:r>
        <w:rPr>
          <w:rFonts w:hint="eastAsia" w:ascii="宋体" w:hAnsi="宋体"/>
          <w:color w:val="auto"/>
          <w:highlight w:val="none"/>
        </w:rPr>
        <w:t>在“信用中国”网站(www.creditchina.gov.cn)、中国政府采购网(www.ccgp.gov.cn)等渠道未列入失信被执行人、重大税收违法案件当事人名单、政府采购严重违法失信行为记录名单查询相关信用记录，将查询结果截图加盖单位公章（查询日期为报名时间内）；</w:t>
      </w:r>
    </w:p>
    <w:p>
      <w:pPr>
        <w:snapToGrid w:val="0"/>
        <w:spacing w:line="500" w:lineRule="exact"/>
        <w:ind w:firstLine="315" w:firstLineChars="150"/>
        <w:rPr>
          <w:rFonts w:ascii="宋体" w:hAnsi="宋体"/>
          <w:color w:val="auto"/>
          <w:highlight w:val="none"/>
        </w:rPr>
      </w:pPr>
      <w:r>
        <w:rPr>
          <w:rFonts w:hint="eastAsia" w:ascii="宋体" w:hAnsi="宋体"/>
          <w:color w:val="auto"/>
          <w:highlight w:val="none"/>
        </w:rPr>
        <w:t>2.1</w:t>
      </w:r>
      <w:r>
        <w:rPr>
          <w:rFonts w:hint="eastAsia" w:ascii="宋体" w:hAnsi="宋体"/>
          <w:color w:val="auto"/>
          <w:highlight w:val="none"/>
          <w:lang w:val="en-US" w:eastAsia="zh-CN"/>
        </w:rPr>
        <w:t>2</w:t>
      </w:r>
      <w:r>
        <w:rPr>
          <w:rFonts w:hint="eastAsia" w:ascii="宋体" w:hAnsi="宋体"/>
          <w:color w:val="auto"/>
          <w:highlight w:val="none"/>
        </w:rPr>
        <w:t>竞标人单位近三年内在经营活动中无重大违法记录的书面声明。</w:t>
      </w:r>
    </w:p>
    <w:p>
      <w:pPr>
        <w:snapToGrid w:val="0"/>
        <w:spacing w:line="500" w:lineRule="exact"/>
        <w:rPr>
          <w:rFonts w:hint="eastAsia" w:ascii="宋体" w:hAnsi="宋体" w:eastAsia="宋体"/>
          <w:b/>
          <w:bCs/>
          <w:color w:val="auto"/>
          <w:highlight w:val="none"/>
          <w:lang w:eastAsia="zh-CN"/>
        </w:rPr>
      </w:pPr>
      <w:r>
        <w:rPr>
          <w:rFonts w:hint="eastAsia" w:ascii="宋体" w:hAnsi="宋体"/>
          <w:b/>
          <w:bCs/>
          <w:color w:val="auto"/>
          <w:highlight w:val="none"/>
        </w:rPr>
        <w:t>上述内容新成立的企业请按实际提供，且上述内容需加盖竞标单位公章则任何一项缺或无效均会被视为资格审查不合格，作无效竞标处理</w:t>
      </w:r>
      <w:r>
        <w:rPr>
          <w:rFonts w:hint="eastAsia" w:ascii="宋体" w:hAnsi="宋体"/>
          <w:b/>
          <w:bCs/>
          <w:color w:val="auto"/>
          <w:highlight w:val="none"/>
          <w:lang w:eastAsia="zh-CN"/>
        </w:rPr>
        <w:t>。</w:t>
      </w:r>
    </w:p>
    <w:p>
      <w:pPr>
        <w:pStyle w:val="32"/>
        <w:widowControl w:val="0"/>
        <w:spacing w:before="0" w:beforeAutospacing="0" w:after="0" w:afterAutospacing="0" w:line="360" w:lineRule="exact"/>
        <w:jc w:val="both"/>
        <w:rPr>
          <w:b/>
          <w:color w:val="auto"/>
          <w:szCs w:val="21"/>
          <w:highlight w:val="none"/>
        </w:rPr>
      </w:pPr>
      <w:r>
        <w:rPr>
          <w:rFonts w:hint="eastAsia"/>
          <w:b/>
          <w:color w:val="auto"/>
          <w:kern w:val="2"/>
          <w:sz w:val="21"/>
          <w:szCs w:val="21"/>
          <w:highlight w:val="none"/>
          <w:lang w:bidi="ar"/>
        </w:rPr>
        <w:t>3.评审</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3.1本项目上限控制价：</w:t>
      </w:r>
    </w:p>
    <w:p>
      <w:pPr>
        <w:snapToGrid w:val="0"/>
        <w:spacing w:line="400" w:lineRule="exact"/>
        <w:ind w:firstLine="420" w:firstLineChars="200"/>
        <w:rPr>
          <w:rFonts w:ascii="宋体" w:hAnsi="宋体"/>
          <w:b/>
          <w:color w:val="auto"/>
          <w:kern w:val="0"/>
          <w:szCs w:val="21"/>
          <w:highlight w:val="none"/>
        </w:rPr>
      </w:pPr>
      <w:r>
        <w:rPr>
          <w:rFonts w:hint="eastAsia" w:ascii="宋体" w:hAnsi="宋体"/>
          <w:color w:val="auto"/>
          <w:kern w:val="0"/>
          <w:szCs w:val="21"/>
          <w:highlight w:val="none"/>
        </w:rPr>
        <w:t>本项目上限控制价为</w:t>
      </w:r>
      <w:r>
        <w:rPr>
          <w:rFonts w:hint="eastAsia" w:ascii="宋体" w:hAnsi="宋体"/>
          <w:b/>
          <w:bCs/>
          <w:color w:val="auto"/>
          <w:kern w:val="0"/>
          <w:szCs w:val="21"/>
          <w:highlight w:val="none"/>
        </w:rPr>
        <w:t>人民币</w:t>
      </w:r>
      <w:r>
        <w:rPr>
          <w:rFonts w:hint="eastAsia" w:ascii="宋体" w:hAnsi="宋体"/>
          <w:b/>
          <w:bCs/>
          <w:color w:val="auto"/>
          <w:kern w:val="0"/>
          <w:szCs w:val="21"/>
          <w:highlight w:val="none"/>
          <w:lang w:eastAsia="zh-CN"/>
        </w:rPr>
        <w:t>玖拾捌万捌仟伍佰玖拾玖元陆角贰分（￥988599.62元）</w:t>
      </w:r>
      <w:r>
        <w:rPr>
          <w:rFonts w:hint="eastAsia" w:ascii="宋体" w:hAnsi="宋体"/>
          <w:b/>
          <w:bCs/>
          <w:color w:val="auto"/>
          <w:kern w:val="0"/>
          <w:szCs w:val="21"/>
          <w:highlight w:val="none"/>
        </w:rPr>
        <w:t>。</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3.2本项目上限控制价以</w:t>
      </w:r>
      <w:r>
        <w:rPr>
          <w:rFonts w:hint="eastAsia"/>
          <w:bCs/>
          <w:color w:val="auto"/>
          <w:highlight w:val="none"/>
        </w:rPr>
        <w:t>财政评审中心审定的结果为</w:t>
      </w:r>
      <w:r>
        <w:rPr>
          <w:rFonts w:hint="eastAsia"/>
          <w:bCs/>
          <w:color w:val="auto"/>
          <w:highlight w:val="none"/>
          <w:lang w:eastAsia="zh-CN"/>
        </w:rPr>
        <w:t>准</w:t>
      </w:r>
      <w:r>
        <w:rPr>
          <w:rFonts w:hint="eastAsia" w:ascii="宋体" w:hAnsi="宋体"/>
          <w:bCs/>
          <w:color w:val="auto"/>
          <w:szCs w:val="21"/>
          <w:highlight w:val="none"/>
        </w:rPr>
        <w:t>。有效报价范围：</w:t>
      </w:r>
      <w:r>
        <w:rPr>
          <w:rFonts w:hint="eastAsia" w:ascii="宋体" w:hAnsi="宋体" w:cs="宋体"/>
          <w:color w:val="auto"/>
          <w:szCs w:val="21"/>
          <w:highlight w:val="none"/>
        </w:rPr>
        <w:t>竞标报价等于或低于本工程上限控制价的为有效报价，高于本工程上限控制价的为无效报价，作无效竞标处理</w:t>
      </w:r>
      <w:r>
        <w:rPr>
          <w:rFonts w:hint="eastAsia" w:ascii="宋体" w:hAnsi="宋体"/>
          <w:bCs/>
          <w:color w:val="auto"/>
          <w:szCs w:val="21"/>
          <w:highlight w:val="none"/>
        </w:rPr>
        <w:t>。</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3.3初步评审：</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1）根据采购文件规定的评审程序、评审方法和评审标准进行独立评标。独立评标期间，评标专家在专家评标区集中评标，采购人代表在采购人代表评标区独立评标。采购人代表（商务标评委）对商务文件进行符合性鉴定，对实质上不响应竞争性谈判文件要求的竞标予以拒绝；评标专家（技术标评委）对竞标单位资格文件进行资格鉴定，对资格审查不响应竞争性谈判文件要求的竞标予以拒绝，对技术标进行评审，技术标评审按可行与不可行来评定，对技术标不可行的竞标予以拒绝。未实质性响应谈判文件的响应文件按无效处理，谈判小组应当告知有关竞标人。谈判小组对响应文件的有效性、完整性和响应程度进行审查，记录有关情况，并拟定谈判策略，提出谈判问题。项目审查期间，具体评标事务由依法组建的谈判小组负责,采购代理机构全程回避。</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2）正式谈判：谈判小组所有成员根据谈判策略，集中与通过初步评审的竞标人分别进行谈判，并给予所有参加谈判的竞标人平等的谈判机会，分别与每个竞标人就技术、报价组成和合同条款等进行充分的谈判，确定竞标人所提供的工程质量和服务是否能满足采购文件规定的实质性要求。谈判期间，相关监督部门对谈判过程全程进行监督，具体谈判事务由依法组建的评标委员会负责,采购代理机构进行相关谈判记录。现场监督人员及采购代理机构的工作人员应当遵守评标现场工作纪律，不能出现越权行使评标委员会的权利，代替评委进行评标，对评标工作发表任何倾向性意见、向其他专家评委明示或者暗示自己的意见及其他干扰评标工作的行为，及政府采购法相关法律法规禁止出现的行为。</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3）二次报价：谈判小组应在商务、技术和服务条件谈判后，邀请能满足竞争性谈判条件书所规定实质性要求的质量和服务的所有竞标人进行二次报价，并告知竞标人二次报价截止时间及二次报价文件编写有关规范。原则上，二次报价为最终报价。（注：竞标人的二次报价有所变动时，须提前做好相关准备并按时递交报价文件，报价高于采购人工程采购预算控制价的竞争性谈判响应文件将被拒绝。）</w:t>
      </w:r>
    </w:p>
    <w:p>
      <w:pPr>
        <w:spacing w:line="400" w:lineRule="exact"/>
        <w:ind w:firstLine="424" w:firstLineChars="202"/>
        <w:rPr>
          <w:rFonts w:ascii="宋体" w:hAnsi="宋体"/>
          <w:bCs/>
          <w:color w:val="auto"/>
          <w:szCs w:val="21"/>
          <w:highlight w:val="none"/>
        </w:rPr>
      </w:pPr>
      <w:r>
        <w:rPr>
          <w:rFonts w:hint="eastAsia" w:ascii="宋体" w:hAnsi="宋体"/>
          <w:bCs/>
          <w:color w:val="auto"/>
          <w:szCs w:val="21"/>
          <w:highlight w:val="none"/>
        </w:rPr>
        <w:t>3.4在评审过程中，商务标评委发现竞标人的最后报价明显低于其他竞标人的最后报价或者明显低于本项目采购控制价，使得其竞标可能低于其个别成本的，</w:t>
      </w:r>
      <w:r>
        <w:rPr>
          <w:rFonts w:hint="eastAsia" w:cs="宋体"/>
          <w:bCs/>
          <w:color w:val="auto"/>
          <w:highlight w:val="none"/>
          <w:lang w:bidi="ar"/>
        </w:rPr>
        <w:t>应要求其在规定的期限内提供书面文件予以解释说明，并提交相关证明材料，</w:t>
      </w:r>
      <w:r>
        <w:rPr>
          <w:rFonts w:hint="eastAsia" w:ascii="宋体" w:hAnsi="宋体"/>
          <w:bCs/>
          <w:color w:val="auto"/>
          <w:szCs w:val="21"/>
          <w:highlight w:val="none"/>
        </w:rPr>
        <w:t>竞标人不能合理说明或者不能提供相关证明材料的，由商务标评委认定该竞标以低于其企业成本报价，其竞标作废标处理。</w:t>
      </w:r>
    </w:p>
    <w:p>
      <w:pPr>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ascii="宋体" w:hAnsi="宋体"/>
          <w:b/>
          <w:color w:val="auto"/>
          <w:szCs w:val="21"/>
          <w:highlight w:val="none"/>
        </w:rPr>
        <w:t>注：</w:t>
      </w:r>
      <w:r>
        <w:rPr>
          <w:rFonts w:ascii="宋体" w:hAnsi="宋体"/>
          <w:bCs/>
          <w:color w:val="auto"/>
          <w:szCs w:val="21"/>
          <w:highlight w:val="none"/>
        </w:rPr>
        <w:t>按照《政府采购促进中小企业发展暂行办法》（财库2011）181号），认定为小型和微型企业的（以响应文件提供的符合规定的有关证明材料为准），对其最后报价给予</w:t>
      </w:r>
      <w:r>
        <w:rPr>
          <w:rFonts w:hint="eastAsia" w:ascii="宋体" w:hAnsi="宋体"/>
          <w:bCs/>
          <w:color w:val="auto"/>
          <w:szCs w:val="21"/>
          <w:highlight w:val="none"/>
          <w:lang w:val="en-US" w:eastAsia="zh-CN"/>
        </w:rPr>
        <w:t>10</w:t>
      </w:r>
      <w:r>
        <w:rPr>
          <w:rFonts w:ascii="宋体" w:hAnsi="宋体"/>
          <w:bCs/>
          <w:color w:val="auto"/>
          <w:szCs w:val="21"/>
          <w:highlight w:val="none"/>
        </w:rPr>
        <w:t>%的扣除，扣除后的价格为评审报价，即评审报价=最后报价×（1-</w:t>
      </w:r>
      <w:r>
        <w:rPr>
          <w:rFonts w:hint="eastAsia" w:ascii="宋体" w:hAnsi="宋体"/>
          <w:bCs/>
          <w:color w:val="auto"/>
          <w:szCs w:val="21"/>
          <w:highlight w:val="none"/>
          <w:lang w:val="en-US" w:eastAsia="zh-CN"/>
        </w:rPr>
        <w:t>10</w:t>
      </w:r>
      <w:r>
        <w:rPr>
          <w:rFonts w:ascii="宋体" w:hAnsi="宋体"/>
          <w:bCs/>
          <w:color w:val="auto"/>
          <w:szCs w:val="21"/>
          <w:highlight w:val="none"/>
        </w:rPr>
        <w:t>%）；大中型企业与小型、微型企业组成联合体竞标，其中小型、微型企业的协议合同金额占到联合体协议合同总金额30%以上的，联合体竞标价给予2%的扣除，扣除后的价格为评审报价，即评审报价=最后报价×（1-2%）；竞标产品提供企业按《关于政府采购支持监狱企业发展有关问题的通知》 （财库[2014]68 号）认定为监狱企业的，在政府采购活动中，监狱企业视同小型、微型企业，享受小型、微型企业评审中价格扣除的政府采购政策。监狱企业以提供由省级以上监狱管理局、戒毒管理局(含新疆生产建设兵团)出具的属于监狱企业的证明文件为准。除上述情况外，评审报价=最后报价。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tabs>
          <w:tab w:val="left" w:pos="180"/>
        </w:tabs>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lang w:bidi="ar"/>
        </w:rPr>
        <w:t>4.成交候选人推荐原则</w:t>
      </w:r>
    </w:p>
    <w:p>
      <w:pPr>
        <w:spacing w:line="400" w:lineRule="exact"/>
        <w:ind w:firstLine="420" w:firstLineChars="200"/>
        <w:rPr>
          <w:bCs/>
          <w:color w:val="auto"/>
          <w:highlight w:val="none"/>
          <w:lang w:bidi="ar"/>
        </w:rPr>
      </w:pPr>
      <w:r>
        <w:rPr>
          <w:rFonts w:hint="eastAsia"/>
          <w:bCs/>
          <w:color w:val="auto"/>
          <w:highlight w:val="none"/>
          <w:lang w:bidi="ar"/>
        </w:rPr>
        <w:t>（1）根据竞争性谈判文件规定的评审程序、评审方法和评审标准进行独立评审。评审委员会应根据质量和服务均能满足采购文件实质性响应要求的前提下，按评标报价由低到高提出3名以上成交候选人，并编写评审报告。</w:t>
      </w:r>
    </w:p>
    <w:p>
      <w:pPr>
        <w:spacing w:line="400" w:lineRule="exact"/>
        <w:ind w:firstLine="420" w:firstLineChars="200"/>
        <w:rPr>
          <w:bCs/>
          <w:color w:val="auto"/>
          <w:highlight w:val="none"/>
          <w:lang w:bidi="ar"/>
        </w:rPr>
      </w:pPr>
      <w:r>
        <w:rPr>
          <w:rFonts w:hint="eastAsia"/>
          <w:bCs/>
          <w:color w:val="auto"/>
          <w:highlight w:val="none"/>
          <w:lang w:bidi="ar"/>
        </w:rPr>
        <w:t>（2）现场校对及提醒。</w:t>
      </w:r>
    </w:p>
    <w:p>
      <w:pPr>
        <w:spacing w:line="400" w:lineRule="exact"/>
        <w:ind w:firstLine="420" w:firstLineChars="200"/>
        <w:rPr>
          <w:bCs/>
          <w:color w:val="auto"/>
          <w:highlight w:val="none"/>
          <w:lang w:bidi="ar"/>
        </w:rPr>
      </w:pPr>
      <w:r>
        <w:rPr>
          <w:rFonts w:hint="eastAsia"/>
          <w:bCs/>
          <w:color w:val="auto"/>
          <w:highlight w:val="none"/>
          <w:lang w:bidi="ar"/>
        </w:rPr>
        <w:t>采购代理机构工作人员要对评标数据进行校对、核对，对资格性审查认定错误的，分值汇总计算错误的，分项评分超出评分标准范围的，对客观评分因素评分不一致的，畸高、畸低的重大差异评分的可以提示评标委员会复核或书面说明理由。应提醒评标委员会对评分汇总情况进行复核，特别是对排名第一的、报价最低的、投标或相应文件被认定为无效的情形，应对其商务、服务、技术及价格等各方面情况进行重点复核。</w:t>
      </w:r>
    </w:p>
    <w:p>
      <w:pPr>
        <w:spacing w:line="400" w:lineRule="exact"/>
        <w:ind w:firstLine="420" w:firstLineChars="200"/>
        <w:rPr>
          <w:bCs/>
          <w:color w:val="auto"/>
          <w:highlight w:val="none"/>
          <w:lang w:bidi="ar"/>
        </w:rPr>
      </w:pPr>
      <w:r>
        <w:rPr>
          <w:rFonts w:hint="eastAsia"/>
          <w:bCs/>
          <w:color w:val="auto"/>
          <w:highlight w:val="none"/>
          <w:lang w:bidi="ar"/>
        </w:rPr>
        <w:t>竞争性谈判过程中出现多家竞标人评标价最低且相同时，应组织评标价最低的竞标人只对价格重新报价，直至评标价最低竞标人仅为一家。</w:t>
      </w:r>
    </w:p>
    <w:p>
      <w:pPr>
        <w:spacing w:line="360" w:lineRule="exact"/>
        <w:ind w:firstLine="409" w:firstLineChars="195"/>
        <w:rPr>
          <w:rFonts w:ascii="宋体" w:hAnsi="宋体" w:cs="宋体"/>
          <w:color w:val="auto"/>
          <w:highlight w:val="none"/>
        </w:rPr>
      </w:pPr>
      <w:r>
        <w:rPr>
          <w:rFonts w:hint="eastAsia"/>
          <w:bCs/>
          <w:color w:val="auto"/>
          <w:highlight w:val="none"/>
          <w:lang w:bidi="ar"/>
        </w:rPr>
        <w:t>评标工作由采购代理机构负责组织，具体评标事务由依法组建的评标委员会负责。根据评标委员会的要求组织竞标人澄清，评标委员会对竞标文件中含义不明确、同类问题表述不一致或者有明显文字和计算错误的内容，可以书面形式要求竞标人作出必要的澄清、说明或者纠正。</w:t>
      </w:r>
    </w:p>
    <w:p>
      <w:pPr>
        <w:spacing w:line="440" w:lineRule="atLeast"/>
        <w:ind w:firstLine="480" w:firstLineChars="200"/>
        <w:rPr>
          <w:rFonts w:ascii="宋体" w:hAnsi="宋体"/>
          <w:color w:val="auto"/>
          <w:sz w:val="24"/>
          <w:highlight w:val="none"/>
        </w:rPr>
      </w:pPr>
    </w:p>
    <w:p>
      <w:pPr>
        <w:spacing w:line="360" w:lineRule="exact"/>
        <w:ind w:firstLine="409" w:firstLineChars="195"/>
        <w:rPr>
          <w:rFonts w:ascii="宋体" w:hAnsi="宋体"/>
          <w:color w:val="auto"/>
          <w:highlight w:val="none"/>
        </w:rPr>
      </w:pPr>
      <w:r>
        <w:rPr>
          <w:rFonts w:hint="eastAsia" w:ascii="宋体" w:hAnsi="宋体"/>
          <w:color w:val="auto"/>
          <w:highlight w:val="none"/>
        </w:rPr>
        <w:br w:type="page"/>
      </w:r>
    </w:p>
    <w:p>
      <w:pPr>
        <w:rPr>
          <w:color w:val="auto"/>
          <w:sz w:val="24"/>
          <w:highlight w:val="none"/>
        </w:rPr>
      </w:pPr>
      <w:r>
        <w:rPr>
          <w:rFonts w:hint="eastAsia"/>
          <w:color w:val="auto"/>
          <w:sz w:val="24"/>
          <w:highlight w:val="none"/>
        </w:rPr>
        <w:t>附表1：关于退还投标保证金的函</w:t>
      </w:r>
    </w:p>
    <w:p>
      <w:pPr>
        <w:pStyle w:val="3"/>
        <w:spacing w:before="312" w:beforeLines="100" w:after="468" w:afterLines="150" w:line="360" w:lineRule="exact"/>
        <w:rPr>
          <w:rFonts w:hAnsi="宋体"/>
          <w:b/>
          <w:color w:val="auto"/>
          <w:sz w:val="24"/>
          <w:szCs w:val="24"/>
          <w:highlight w:val="none"/>
        </w:rPr>
      </w:pPr>
      <w:bookmarkStart w:id="210" w:name="_Toc285440864"/>
      <w:bookmarkStart w:id="211" w:name="_Toc287018519"/>
      <w:bookmarkStart w:id="212" w:name="_Toc462395428"/>
      <w:bookmarkStart w:id="213" w:name="_Toc308187518"/>
      <w:bookmarkStart w:id="214" w:name="_Toc287886784"/>
      <w:bookmarkStart w:id="215" w:name="_Toc435288785"/>
      <w:bookmarkStart w:id="216" w:name="_Toc31914"/>
      <w:bookmarkStart w:id="217" w:name="_Toc17041"/>
      <w:r>
        <w:rPr>
          <w:rFonts w:hint="eastAsia" w:hAnsi="宋体"/>
          <w:b/>
          <w:color w:val="auto"/>
          <w:sz w:val="24"/>
          <w:szCs w:val="24"/>
          <w:highlight w:val="none"/>
        </w:rPr>
        <w:t>关于退还投标保证金的函(格式)</w:t>
      </w:r>
      <w:bookmarkEnd w:id="210"/>
      <w:bookmarkEnd w:id="211"/>
      <w:bookmarkEnd w:id="212"/>
      <w:bookmarkEnd w:id="213"/>
      <w:bookmarkEnd w:id="214"/>
      <w:bookmarkEnd w:id="215"/>
      <w:bookmarkEnd w:id="216"/>
      <w:bookmarkEnd w:id="217"/>
    </w:p>
    <w:p>
      <w:pPr>
        <w:spacing w:line="360" w:lineRule="auto"/>
        <w:rPr>
          <w:rFonts w:ascii="宋体" w:hAnsi="宋体"/>
          <w:color w:val="auto"/>
          <w:sz w:val="24"/>
          <w:highlight w:val="none"/>
        </w:rPr>
      </w:pPr>
      <w:r>
        <w:rPr>
          <w:rFonts w:hint="eastAsia" w:ascii="宋体" w:hAnsi="宋体"/>
          <w:color w:val="auto"/>
          <w:sz w:val="24"/>
          <w:highlight w:val="none"/>
          <w:lang w:eastAsia="zh-CN"/>
        </w:rPr>
        <w:t>广西壮锦工程管理咨询有限公司</w:t>
      </w:r>
      <w:r>
        <w:rPr>
          <w:rFonts w:hint="eastAsia" w:ascii="宋体" w:hAnsi="宋体"/>
          <w:color w:val="auto"/>
          <w:sz w:val="24"/>
          <w:highlight w:val="none"/>
        </w:rPr>
        <w:t>：</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我单位于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日参加了贵公司代理的</w:t>
      </w:r>
      <w:r>
        <w:rPr>
          <w:rFonts w:hint="eastAsia" w:ascii="宋体" w:hAnsi="宋体"/>
          <w:color w:val="auto"/>
          <w:sz w:val="24"/>
          <w:highlight w:val="none"/>
          <w:u w:val="single"/>
        </w:rPr>
        <w:t xml:space="preserve">   （项目名称及标段）    项目</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）的投标，同时按采购文件规定提交了</w:t>
      </w:r>
      <w:r>
        <w:rPr>
          <w:rFonts w:hint="eastAsia" w:ascii="宋体" w:hAnsi="宋体"/>
          <w:color w:val="auto"/>
          <w:sz w:val="24"/>
          <w:highlight w:val="none"/>
          <w:u w:val="single"/>
        </w:rPr>
        <w:t xml:space="preserve">            </w:t>
      </w:r>
      <w:r>
        <w:rPr>
          <w:rFonts w:hint="eastAsia" w:ascii="宋体" w:hAnsi="宋体"/>
          <w:color w:val="auto"/>
          <w:sz w:val="24"/>
          <w:highlight w:val="none"/>
        </w:rPr>
        <w:t>元竞标保证金。</w:t>
      </w:r>
      <w:r>
        <w:rPr>
          <w:rFonts w:hint="eastAsia"/>
          <w:color w:val="auto"/>
          <w:sz w:val="24"/>
          <w:highlight w:val="none"/>
        </w:rPr>
        <w:t>现</w:t>
      </w:r>
      <w:r>
        <w:rPr>
          <w:rFonts w:hint="eastAsia" w:ascii="宋体" w:hAnsi="宋体"/>
          <w:color w:val="auto"/>
          <w:sz w:val="24"/>
          <w:highlight w:val="none"/>
        </w:rPr>
        <w:t>竞</w:t>
      </w:r>
      <w:r>
        <w:rPr>
          <w:rFonts w:hint="eastAsia"/>
          <w:color w:val="auto"/>
          <w:sz w:val="24"/>
          <w:highlight w:val="none"/>
        </w:rPr>
        <w:t>标工作已经结束，</w:t>
      </w:r>
      <w:r>
        <w:rPr>
          <w:rFonts w:hint="eastAsia" w:ascii="宋体" w:hAnsi="宋体"/>
          <w:color w:val="auto"/>
          <w:sz w:val="24"/>
          <w:highlight w:val="none"/>
        </w:rPr>
        <w:t>我单位</w:t>
      </w:r>
      <w:r>
        <w:rPr>
          <w:rFonts w:hint="eastAsia" w:ascii="宋体" w:hAnsi="宋体"/>
          <w:color w:val="auto"/>
          <w:sz w:val="24"/>
          <w:highlight w:val="none"/>
          <w:u w:val="single"/>
        </w:rPr>
        <w:t xml:space="preserve">    竞标单位名称 </w:t>
      </w:r>
      <w:r>
        <w:rPr>
          <w:rFonts w:hint="eastAsia" w:ascii="宋体" w:hAnsi="宋体"/>
          <w:color w:val="auto"/>
          <w:sz w:val="24"/>
          <w:highlight w:val="none"/>
        </w:rPr>
        <w:t xml:space="preserve"> （成交或落标）。按照采购文件规定，我单位要求贵公司退还该项目竞标保证金。</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我单位委托</w:t>
      </w:r>
      <w:r>
        <w:rPr>
          <w:rFonts w:hint="eastAsia" w:ascii="宋体" w:hAnsi="宋体"/>
          <w:color w:val="auto"/>
          <w:sz w:val="24"/>
          <w:highlight w:val="none"/>
          <w:u w:val="single"/>
        </w:rPr>
        <w:t xml:space="preserve">            </w:t>
      </w:r>
      <w:r>
        <w:rPr>
          <w:rFonts w:hint="eastAsia" w:ascii="宋体" w:hAnsi="宋体"/>
          <w:color w:val="auto"/>
          <w:sz w:val="24"/>
          <w:highlight w:val="none"/>
        </w:rPr>
        <w:t>（受托人姓名），性别：</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hint="eastAsia" w:ascii="宋体" w:hAnsi="宋体"/>
          <w:color w:val="auto"/>
          <w:sz w:val="24"/>
          <w:highlight w:val="none"/>
          <w:u w:val="single"/>
        </w:rPr>
        <w:t xml:space="preserve">                             </w:t>
      </w:r>
      <w:r>
        <w:rPr>
          <w:rFonts w:hint="eastAsia" w:ascii="宋体" w:hAnsi="宋体"/>
          <w:color w:val="auto"/>
          <w:sz w:val="24"/>
          <w:highlight w:val="none"/>
        </w:rPr>
        <w:t>，全权办理退款手续。</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特此函。</w:t>
      </w:r>
    </w:p>
    <w:p>
      <w:pPr>
        <w:spacing w:line="360" w:lineRule="auto"/>
        <w:ind w:firstLine="720" w:firstLineChars="300"/>
        <w:rPr>
          <w:rFonts w:ascii="宋体" w:hAnsi="宋体"/>
          <w:color w:val="auto"/>
          <w:sz w:val="24"/>
          <w:highlight w:val="none"/>
        </w:rPr>
      </w:pP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附银行账号：</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开户名称：</w:t>
      </w:r>
      <w:r>
        <w:rPr>
          <w:rFonts w:hint="eastAsia" w:ascii="宋体" w:hAnsi="宋体"/>
          <w:color w:val="auto"/>
          <w:sz w:val="24"/>
          <w:highlight w:val="none"/>
          <w:u w:val="single"/>
        </w:rPr>
        <w:t xml:space="preserve">                        </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银行账号：</w:t>
      </w:r>
      <w:r>
        <w:rPr>
          <w:rFonts w:hint="eastAsia" w:ascii="宋体" w:hAnsi="宋体"/>
          <w:color w:val="auto"/>
          <w:sz w:val="24"/>
          <w:highlight w:val="none"/>
          <w:u w:val="single"/>
        </w:rPr>
        <w:t xml:space="preserve">                        </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p>
    <w:p>
      <w:pPr>
        <w:spacing w:line="360" w:lineRule="auto"/>
        <w:ind w:firstLine="720" w:firstLineChars="300"/>
        <w:rPr>
          <w:rFonts w:ascii="宋体" w:hAnsi="宋体"/>
          <w:color w:val="auto"/>
          <w:sz w:val="24"/>
          <w:highlight w:val="none"/>
        </w:rPr>
      </w:pPr>
    </w:p>
    <w:p>
      <w:pPr>
        <w:spacing w:line="360" w:lineRule="auto"/>
        <w:ind w:firstLine="720" w:firstLineChars="300"/>
        <w:rPr>
          <w:rFonts w:ascii="宋体" w:hAnsi="宋体"/>
          <w:color w:val="auto"/>
          <w:sz w:val="24"/>
          <w:highlight w:val="none"/>
        </w:rPr>
      </w:pPr>
    </w:p>
    <w:p>
      <w:pPr>
        <w:spacing w:line="360" w:lineRule="auto"/>
        <w:ind w:firstLine="3480" w:firstLineChars="1450"/>
        <w:rPr>
          <w:rFonts w:ascii="宋体" w:hAnsi="宋体"/>
          <w:color w:val="auto"/>
          <w:sz w:val="24"/>
          <w:highlight w:val="none"/>
          <w:u w:val="single"/>
        </w:rPr>
      </w:pPr>
      <w:r>
        <w:rPr>
          <w:rFonts w:hint="eastAsia" w:ascii="宋体" w:hAnsi="宋体"/>
          <w:color w:val="auto"/>
          <w:sz w:val="24"/>
          <w:highlight w:val="none"/>
        </w:rPr>
        <w:t>竞标单位（盖章）：</w:t>
      </w:r>
      <w:r>
        <w:rPr>
          <w:rFonts w:hint="eastAsia" w:ascii="宋体" w:hAnsi="宋体"/>
          <w:color w:val="auto"/>
          <w:sz w:val="24"/>
          <w:highlight w:val="none"/>
          <w:u w:val="single"/>
        </w:rPr>
        <w:t xml:space="preserve">                              </w:t>
      </w:r>
    </w:p>
    <w:p>
      <w:pPr>
        <w:spacing w:line="360" w:lineRule="auto"/>
        <w:ind w:firstLine="3480" w:firstLineChars="1450"/>
        <w:rPr>
          <w:rFonts w:ascii="宋体" w:hAnsi="宋体"/>
          <w:color w:val="auto"/>
          <w:sz w:val="24"/>
          <w:highlight w:val="none"/>
          <w:u w:val="single"/>
        </w:rPr>
      </w:pPr>
      <w:r>
        <w:rPr>
          <w:rFonts w:hint="eastAsia" w:ascii="宋体" w:hAnsi="宋体"/>
          <w:color w:val="auto"/>
          <w:sz w:val="24"/>
          <w:highlight w:val="none"/>
        </w:rPr>
        <w:t>法定代表人（签字）：</w:t>
      </w:r>
      <w:r>
        <w:rPr>
          <w:rFonts w:hint="eastAsia" w:ascii="宋体" w:hAnsi="宋体"/>
          <w:color w:val="auto"/>
          <w:sz w:val="24"/>
          <w:highlight w:val="none"/>
          <w:u w:val="single"/>
        </w:rPr>
        <w:t xml:space="preserve">                            </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ascii="宋体" w:hAnsi="宋体"/>
          <w:color w:val="auto"/>
          <w:sz w:val="24"/>
          <w:highlight w:val="none"/>
        </w:rPr>
      </w:pPr>
    </w:p>
    <w:p>
      <w:pPr>
        <w:spacing w:line="360" w:lineRule="auto"/>
        <w:ind w:firstLine="588" w:firstLineChars="245"/>
        <w:rPr>
          <w:rFonts w:ascii="宋体" w:hAnsi="宋体"/>
          <w:color w:val="auto"/>
          <w:sz w:val="24"/>
          <w:highlight w:val="none"/>
        </w:rPr>
      </w:pPr>
      <w:r>
        <w:rPr>
          <w:rFonts w:hint="eastAsia" w:ascii="宋体" w:hAnsi="宋体"/>
          <w:color w:val="auto"/>
          <w:sz w:val="24"/>
          <w:highlight w:val="none"/>
        </w:rPr>
        <w:t>注：申请退保证所需要材料:</w:t>
      </w:r>
    </w:p>
    <w:p>
      <w:pPr>
        <w:spacing w:line="360" w:lineRule="auto"/>
        <w:ind w:firstLine="588" w:firstLineChars="245"/>
        <w:rPr>
          <w:rFonts w:ascii="宋体" w:hAnsi="宋体"/>
          <w:color w:val="auto"/>
          <w:sz w:val="24"/>
          <w:highlight w:val="none"/>
        </w:rPr>
      </w:pPr>
      <w:r>
        <w:rPr>
          <w:rFonts w:hint="eastAsia" w:ascii="宋体" w:hAnsi="宋体"/>
          <w:color w:val="auto"/>
          <w:sz w:val="24"/>
          <w:highlight w:val="none"/>
        </w:rPr>
        <w:t>1）落标单位：退保函原件，保证金银行底单（到账证明，若有），开户许可证（或基本存款账户信息）。</w:t>
      </w:r>
    </w:p>
    <w:p>
      <w:pPr>
        <w:spacing w:line="360" w:lineRule="auto"/>
        <w:ind w:firstLine="588" w:firstLineChars="245"/>
        <w:rPr>
          <w:rFonts w:ascii="宋体" w:hAnsi="宋体"/>
          <w:color w:val="auto"/>
          <w:sz w:val="24"/>
          <w:highlight w:val="none"/>
        </w:rPr>
      </w:pPr>
      <w:r>
        <w:rPr>
          <w:rFonts w:hint="eastAsia" w:ascii="宋体" w:hAnsi="宋体"/>
          <w:color w:val="auto"/>
          <w:sz w:val="24"/>
          <w:highlight w:val="none"/>
        </w:rPr>
        <w:t>2）成交单位：退保函原件，保证金银行底单（到账证明，若有），开户许可证（或基本存款账户信息），合同书。</w:t>
      </w:r>
    </w:p>
    <w:p>
      <w:pPr>
        <w:spacing w:line="360" w:lineRule="auto"/>
        <w:ind w:firstLine="588" w:firstLineChars="245"/>
        <w:rPr>
          <w:rFonts w:hint="eastAsia" w:ascii="宋体" w:hAnsi="宋体" w:eastAsia="宋体"/>
          <w:color w:val="auto"/>
          <w:sz w:val="24"/>
          <w:highlight w:val="none"/>
          <w:lang w:eastAsia="zh-CN"/>
        </w:rPr>
      </w:pPr>
      <w:r>
        <w:rPr>
          <w:rFonts w:hint="eastAsia" w:ascii="宋体" w:hAnsi="宋体"/>
          <w:color w:val="auto"/>
          <w:sz w:val="24"/>
          <w:highlight w:val="none"/>
        </w:rPr>
        <w:t>如有疑问可联系我们：电话/传真：</w:t>
      </w:r>
      <w:r>
        <w:rPr>
          <w:rFonts w:hint="eastAsia" w:ascii="宋体" w:hAnsi="宋体"/>
          <w:color w:val="auto"/>
          <w:sz w:val="24"/>
          <w:highlight w:val="none"/>
          <w:lang w:eastAsia="zh-CN"/>
        </w:rPr>
        <w:t>0776-2964446</w:t>
      </w:r>
    </w:p>
    <w:p>
      <w:pPr>
        <w:spacing w:line="360" w:lineRule="auto"/>
        <w:rPr>
          <w:b/>
          <w:color w:val="auto"/>
          <w:sz w:val="32"/>
          <w:szCs w:val="32"/>
          <w:highlight w:val="none"/>
        </w:rPr>
      </w:pPr>
    </w:p>
    <w:sectPr>
      <w:footerReference r:id="rId12" w:type="first"/>
      <w:footerReference r:id="rId11" w:type="default"/>
      <w:pgSz w:w="11906" w:h="16838"/>
      <w:pgMar w:top="1440" w:right="1083" w:bottom="1440" w:left="1083" w:header="851" w:footer="737" w:gutter="57"/>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Tahoma">
    <w:panose1 w:val="020B0604030504040204"/>
    <w:charset w:val="00"/>
    <w:family w:val="swiss"/>
    <w:pitch w:val="default"/>
    <w:sig w:usb0="E1002EFF" w:usb1="C000605B" w:usb2="00000029" w:usb3="00000000" w:csb0="200101FF" w:csb1="20280000"/>
  </w:font>
  <w:font w:name="汉仪字典宋简">
    <w:altName w:val="宋体"/>
    <w:panose1 w:val="00000000000000000000"/>
    <w:charset w:val="86"/>
    <w:family w:val="modern"/>
    <w:pitch w:val="default"/>
    <w:sig w:usb0="00000000" w:usb1="00000000" w:usb2="00000012" w:usb3="00000000" w:csb0="00040000" w:csb1="0000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2"/>
      <w:rPr>
        <w:rStyle w:val="36"/>
      </w:rPr>
    </w:pPr>
    <w:r>
      <w:fldChar w:fldCharType="begin"/>
    </w:r>
    <w:r>
      <w:rPr>
        <w:rStyle w:val="36"/>
      </w:rPr>
      <w:instrText xml:space="preserve">PAGE  </w:instrText>
    </w:r>
    <w:r>
      <w:fldChar w:fldCharType="separate"/>
    </w:r>
    <w:r>
      <w:rPr>
        <w:rStyle w:val="36"/>
      </w:rPr>
      <w:t>1</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posOffset>3035300</wp:posOffset>
              </wp:positionH>
              <wp:positionV relativeFrom="paragraph">
                <wp:posOffset>-9525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39pt;margin-top:-0.75pt;height:144pt;width:144pt;mso-position-horizontal-relative:margin;mso-wrap-style:none;z-index:251659264;mso-width-relative:page;mso-height-relative:page;" filled="f" stroked="f" coordsize="21600,21600" o:gfxdata="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3RPF31wAAAAoBAAAP&#10;AAAAAAAAAAEAIAAAACIAAABkcnMvZG93bnJldi54bWxQSwECFAAUAAAACACHTuJAHAIF7qcBAAA/&#10;AwAADgAAAAAAAAABACAAAAAm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6"/>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jc w:val="right"/>
      <w:rPr>
        <w:szCs w:val="21"/>
      </w:rPr>
    </w:pPr>
    <w:r>
      <w:rPr>
        <w:rFonts w:hint="eastAsia" w:ascii="宋体" w:hAnsi="宋体"/>
        <w:szCs w:val="21"/>
        <w:lang w:eastAsia="zh-CN"/>
      </w:rPr>
      <w:t>广西壮锦工程管理咨询有限公司</w:t>
    </w:r>
    <w:r>
      <w:rPr>
        <w:rFonts w:hint="eastAsia"/>
        <w:szCs w:val="21"/>
      </w:rPr>
      <w:t xml:space="preserve">  编制</w:t>
    </w:r>
  </w:p>
  <w:p>
    <w:pPr>
      <w:pStyle w:val="2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p>
    <w:pPr>
      <w:jc w:val="right"/>
    </w:pPr>
    <w:r>
      <w:rPr>
        <w:rFonts w:hint="eastAsia" w:ascii="宋体" w:hAnsi="宋体"/>
        <w:szCs w:val="21"/>
        <w:lang w:eastAsia="zh-CN"/>
      </w:rPr>
      <w:t>广西壮锦工程管理咨询有限公司</w:t>
    </w:r>
    <w:r>
      <w:rPr>
        <w:rFonts w:hint="eastAsia"/>
        <w:szCs w:val="21"/>
      </w:rPr>
      <w:t xml:space="preserve">  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180" w:firstLineChars="100"/>
      <w:jc w:val="both"/>
      <w:rPr>
        <w:rFonts w:ascii="宋体" w:hAnsi="宋体"/>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58FB"/>
    <w:multiLevelType w:val="singleLevel"/>
    <w:tmpl w:val="093C58F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73961"/>
    <w:rsid w:val="0046029A"/>
    <w:rsid w:val="00504DDD"/>
    <w:rsid w:val="00517F54"/>
    <w:rsid w:val="005B4AD8"/>
    <w:rsid w:val="005B69D0"/>
    <w:rsid w:val="005E51B8"/>
    <w:rsid w:val="005F3287"/>
    <w:rsid w:val="00605BC4"/>
    <w:rsid w:val="0066162F"/>
    <w:rsid w:val="006B1C55"/>
    <w:rsid w:val="00717214"/>
    <w:rsid w:val="0072415E"/>
    <w:rsid w:val="00790504"/>
    <w:rsid w:val="007A4BDD"/>
    <w:rsid w:val="00865423"/>
    <w:rsid w:val="008843A3"/>
    <w:rsid w:val="009D0AC0"/>
    <w:rsid w:val="00A959F9"/>
    <w:rsid w:val="00BB4C4C"/>
    <w:rsid w:val="00C62791"/>
    <w:rsid w:val="00C72631"/>
    <w:rsid w:val="00DB20C9"/>
    <w:rsid w:val="00F20B7C"/>
    <w:rsid w:val="010E4B29"/>
    <w:rsid w:val="01C62B90"/>
    <w:rsid w:val="01CE61B5"/>
    <w:rsid w:val="01E47739"/>
    <w:rsid w:val="029B64AF"/>
    <w:rsid w:val="02E24898"/>
    <w:rsid w:val="02E90EA4"/>
    <w:rsid w:val="030662BA"/>
    <w:rsid w:val="033A4166"/>
    <w:rsid w:val="0352511C"/>
    <w:rsid w:val="0369540D"/>
    <w:rsid w:val="036F1CBD"/>
    <w:rsid w:val="03723E7B"/>
    <w:rsid w:val="0374449F"/>
    <w:rsid w:val="044370C8"/>
    <w:rsid w:val="04462FE2"/>
    <w:rsid w:val="044F26C5"/>
    <w:rsid w:val="0462408B"/>
    <w:rsid w:val="04730B19"/>
    <w:rsid w:val="04A36A0C"/>
    <w:rsid w:val="04ED0757"/>
    <w:rsid w:val="05261254"/>
    <w:rsid w:val="057B5FB5"/>
    <w:rsid w:val="059A33EA"/>
    <w:rsid w:val="05A10B3A"/>
    <w:rsid w:val="05AD583B"/>
    <w:rsid w:val="05BA510D"/>
    <w:rsid w:val="05BF53F0"/>
    <w:rsid w:val="06033B28"/>
    <w:rsid w:val="063D19D2"/>
    <w:rsid w:val="06511C06"/>
    <w:rsid w:val="06607ACF"/>
    <w:rsid w:val="06684C2A"/>
    <w:rsid w:val="06967E94"/>
    <w:rsid w:val="069F6138"/>
    <w:rsid w:val="06A03C72"/>
    <w:rsid w:val="06DB5E70"/>
    <w:rsid w:val="06EC17A6"/>
    <w:rsid w:val="072971FE"/>
    <w:rsid w:val="07894CDD"/>
    <w:rsid w:val="078F6C03"/>
    <w:rsid w:val="079A13E2"/>
    <w:rsid w:val="07A34271"/>
    <w:rsid w:val="07B20906"/>
    <w:rsid w:val="07BF6853"/>
    <w:rsid w:val="07E75E33"/>
    <w:rsid w:val="08140FE1"/>
    <w:rsid w:val="087874D4"/>
    <w:rsid w:val="08A83672"/>
    <w:rsid w:val="090140F0"/>
    <w:rsid w:val="09376488"/>
    <w:rsid w:val="094A7DFE"/>
    <w:rsid w:val="095F663E"/>
    <w:rsid w:val="096622F0"/>
    <w:rsid w:val="09C86139"/>
    <w:rsid w:val="09DA45EC"/>
    <w:rsid w:val="09DF78FB"/>
    <w:rsid w:val="09FC6853"/>
    <w:rsid w:val="0A652543"/>
    <w:rsid w:val="0A8846CB"/>
    <w:rsid w:val="0A976C72"/>
    <w:rsid w:val="0ABF4AD5"/>
    <w:rsid w:val="0B040AD7"/>
    <w:rsid w:val="0B3D3F64"/>
    <w:rsid w:val="0B456053"/>
    <w:rsid w:val="0B51141A"/>
    <w:rsid w:val="0B5B495B"/>
    <w:rsid w:val="0B645C3E"/>
    <w:rsid w:val="0B8947A0"/>
    <w:rsid w:val="0C1E6C50"/>
    <w:rsid w:val="0C4A74A7"/>
    <w:rsid w:val="0C6F692F"/>
    <w:rsid w:val="0C845D76"/>
    <w:rsid w:val="0CC72359"/>
    <w:rsid w:val="0CCF2370"/>
    <w:rsid w:val="0CDF6ECC"/>
    <w:rsid w:val="0D2F32D8"/>
    <w:rsid w:val="0D3D74B8"/>
    <w:rsid w:val="0D933EE7"/>
    <w:rsid w:val="0DA21756"/>
    <w:rsid w:val="0DA24947"/>
    <w:rsid w:val="0DAB331F"/>
    <w:rsid w:val="0DF05B50"/>
    <w:rsid w:val="0DF8554E"/>
    <w:rsid w:val="0E210F46"/>
    <w:rsid w:val="0E2225CE"/>
    <w:rsid w:val="0E2E67A7"/>
    <w:rsid w:val="0E3C6460"/>
    <w:rsid w:val="0E89137E"/>
    <w:rsid w:val="0E993608"/>
    <w:rsid w:val="0E9B5966"/>
    <w:rsid w:val="0ECF1AAA"/>
    <w:rsid w:val="0F0E50EC"/>
    <w:rsid w:val="0F2D762C"/>
    <w:rsid w:val="0F7629B6"/>
    <w:rsid w:val="0F7645F0"/>
    <w:rsid w:val="0FF97CA3"/>
    <w:rsid w:val="101C003E"/>
    <w:rsid w:val="1040357D"/>
    <w:rsid w:val="10B833FC"/>
    <w:rsid w:val="10C677A3"/>
    <w:rsid w:val="10DB5C04"/>
    <w:rsid w:val="10F924CF"/>
    <w:rsid w:val="110D6E6E"/>
    <w:rsid w:val="11424AE3"/>
    <w:rsid w:val="11BF3E3A"/>
    <w:rsid w:val="11DA4C12"/>
    <w:rsid w:val="11DF2321"/>
    <w:rsid w:val="125940AD"/>
    <w:rsid w:val="12601D00"/>
    <w:rsid w:val="12992ACC"/>
    <w:rsid w:val="12A91E26"/>
    <w:rsid w:val="12D710FF"/>
    <w:rsid w:val="12E87B8B"/>
    <w:rsid w:val="131D4A3F"/>
    <w:rsid w:val="13422291"/>
    <w:rsid w:val="13720A71"/>
    <w:rsid w:val="137A0343"/>
    <w:rsid w:val="13926F9B"/>
    <w:rsid w:val="13E7084F"/>
    <w:rsid w:val="13F00B1B"/>
    <w:rsid w:val="141D731F"/>
    <w:rsid w:val="142958B6"/>
    <w:rsid w:val="14390273"/>
    <w:rsid w:val="14487E00"/>
    <w:rsid w:val="144C77D5"/>
    <w:rsid w:val="14A81F17"/>
    <w:rsid w:val="14CC3BE9"/>
    <w:rsid w:val="1530422A"/>
    <w:rsid w:val="15AC4E64"/>
    <w:rsid w:val="15C50676"/>
    <w:rsid w:val="15D5677D"/>
    <w:rsid w:val="15F539B0"/>
    <w:rsid w:val="161B3C4A"/>
    <w:rsid w:val="167809E6"/>
    <w:rsid w:val="16801164"/>
    <w:rsid w:val="16845DB3"/>
    <w:rsid w:val="16975966"/>
    <w:rsid w:val="169A1465"/>
    <w:rsid w:val="16A13D63"/>
    <w:rsid w:val="16A354F0"/>
    <w:rsid w:val="16CA286E"/>
    <w:rsid w:val="16FB695A"/>
    <w:rsid w:val="17354F9F"/>
    <w:rsid w:val="175B6BAF"/>
    <w:rsid w:val="177631F9"/>
    <w:rsid w:val="178624AA"/>
    <w:rsid w:val="17921398"/>
    <w:rsid w:val="179922C6"/>
    <w:rsid w:val="17C83FE1"/>
    <w:rsid w:val="17E77D97"/>
    <w:rsid w:val="17F37041"/>
    <w:rsid w:val="18031E37"/>
    <w:rsid w:val="1814017A"/>
    <w:rsid w:val="18156559"/>
    <w:rsid w:val="183128F7"/>
    <w:rsid w:val="185109EE"/>
    <w:rsid w:val="186A5EB3"/>
    <w:rsid w:val="1879054F"/>
    <w:rsid w:val="188D5CAE"/>
    <w:rsid w:val="18D6638C"/>
    <w:rsid w:val="18F048D0"/>
    <w:rsid w:val="18FF30AE"/>
    <w:rsid w:val="190E3DDF"/>
    <w:rsid w:val="19204C80"/>
    <w:rsid w:val="19315DFF"/>
    <w:rsid w:val="19EA2A45"/>
    <w:rsid w:val="19F7256A"/>
    <w:rsid w:val="1A3D01D7"/>
    <w:rsid w:val="1A4F2BBB"/>
    <w:rsid w:val="1A7F7076"/>
    <w:rsid w:val="1AD84F8B"/>
    <w:rsid w:val="1AFB4A0D"/>
    <w:rsid w:val="1AFC0EDD"/>
    <w:rsid w:val="1B2B6687"/>
    <w:rsid w:val="1B6C3C20"/>
    <w:rsid w:val="1BDF4B26"/>
    <w:rsid w:val="1C0627E3"/>
    <w:rsid w:val="1C17728B"/>
    <w:rsid w:val="1C1C2D26"/>
    <w:rsid w:val="1C3F2F44"/>
    <w:rsid w:val="1C7450D5"/>
    <w:rsid w:val="1C9C3D89"/>
    <w:rsid w:val="1CB243DD"/>
    <w:rsid w:val="1CC7664B"/>
    <w:rsid w:val="1CCC210F"/>
    <w:rsid w:val="1CD23F0C"/>
    <w:rsid w:val="1CD86DA7"/>
    <w:rsid w:val="1CDF02A0"/>
    <w:rsid w:val="1CDF26A1"/>
    <w:rsid w:val="1CF22F0D"/>
    <w:rsid w:val="1D0E5D6D"/>
    <w:rsid w:val="1D351ED5"/>
    <w:rsid w:val="1D58226C"/>
    <w:rsid w:val="1D645843"/>
    <w:rsid w:val="1D690660"/>
    <w:rsid w:val="1DB6613A"/>
    <w:rsid w:val="1DEA73DE"/>
    <w:rsid w:val="1DFA21E5"/>
    <w:rsid w:val="1E0367BA"/>
    <w:rsid w:val="1E150B3D"/>
    <w:rsid w:val="1E155375"/>
    <w:rsid w:val="1E31058B"/>
    <w:rsid w:val="1E36749C"/>
    <w:rsid w:val="1E4733EA"/>
    <w:rsid w:val="1E6A62F0"/>
    <w:rsid w:val="1E9902AC"/>
    <w:rsid w:val="1ECA38CE"/>
    <w:rsid w:val="1EE87F48"/>
    <w:rsid w:val="1F250750"/>
    <w:rsid w:val="1F406C19"/>
    <w:rsid w:val="1F490CE4"/>
    <w:rsid w:val="1F4D70C1"/>
    <w:rsid w:val="1F7E5570"/>
    <w:rsid w:val="1FB54471"/>
    <w:rsid w:val="1FD70B73"/>
    <w:rsid w:val="1FE53ECD"/>
    <w:rsid w:val="200F5E69"/>
    <w:rsid w:val="202E2605"/>
    <w:rsid w:val="2040499B"/>
    <w:rsid w:val="205B6E67"/>
    <w:rsid w:val="20C70411"/>
    <w:rsid w:val="210E3D64"/>
    <w:rsid w:val="211203E5"/>
    <w:rsid w:val="218315CB"/>
    <w:rsid w:val="21C57586"/>
    <w:rsid w:val="21CF4843"/>
    <w:rsid w:val="22CC2A91"/>
    <w:rsid w:val="22CE4607"/>
    <w:rsid w:val="2307457D"/>
    <w:rsid w:val="2316674D"/>
    <w:rsid w:val="233A4595"/>
    <w:rsid w:val="23C430AA"/>
    <w:rsid w:val="23C62E49"/>
    <w:rsid w:val="23CA1DAE"/>
    <w:rsid w:val="23CD2329"/>
    <w:rsid w:val="23D331E7"/>
    <w:rsid w:val="23E90175"/>
    <w:rsid w:val="23F87438"/>
    <w:rsid w:val="241D2F78"/>
    <w:rsid w:val="24931542"/>
    <w:rsid w:val="24C23BAE"/>
    <w:rsid w:val="25045B85"/>
    <w:rsid w:val="2509191B"/>
    <w:rsid w:val="252C15CA"/>
    <w:rsid w:val="255150F8"/>
    <w:rsid w:val="25761409"/>
    <w:rsid w:val="25AD0DFB"/>
    <w:rsid w:val="25F22B1E"/>
    <w:rsid w:val="26076E67"/>
    <w:rsid w:val="26627A4E"/>
    <w:rsid w:val="26934FB2"/>
    <w:rsid w:val="26B71CF4"/>
    <w:rsid w:val="26C2058D"/>
    <w:rsid w:val="26E06665"/>
    <w:rsid w:val="26EB1EA2"/>
    <w:rsid w:val="270E0C25"/>
    <w:rsid w:val="2717057E"/>
    <w:rsid w:val="27433E81"/>
    <w:rsid w:val="278134B3"/>
    <w:rsid w:val="278E0CC3"/>
    <w:rsid w:val="27B74664"/>
    <w:rsid w:val="27CB1722"/>
    <w:rsid w:val="27CC0A63"/>
    <w:rsid w:val="27E84B22"/>
    <w:rsid w:val="27EA628F"/>
    <w:rsid w:val="28221C67"/>
    <w:rsid w:val="285C086B"/>
    <w:rsid w:val="28630A97"/>
    <w:rsid w:val="288F77CE"/>
    <w:rsid w:val="28CE1480"/>
    <w:rsid w:val="290C6988"/>
    <w:rsid w:val="290E0273"/>
    <w:rsid w:val="29744423"/>
    <w:rsid w:val="299A0DB6"/>
    <w:rsid w:val="29A7393A"/>
    <w:rsid w:val="29C850F8"/>
    <w:rsid w:val="29C85E36"/>
    <w:rsid w:val="2A400BCC"/>
    <w:rsid w:val="2A516D9B"/>
    <w:rsid w:val="2A664D9E"/>
    <w:rsid w:val="2A8760BC"/>
    <w:rsid w:val="2ACE7323"/>
    <w:rsid w:val="2AD52E57"/>
    <w:rsid w:val="2AD64CA8"/>
    <w:rsid w:val="2AF56723"/>
    <w:rsid w:val="2B024500"/>
    <w:rsid w:val="2B33691F"/>
    <w:rsid w:val="2B4A4636"/>
    <w:rsid w:val="2B4C3B94"/>
    <w:rsid w:val="2BC65F36"/>
    <w:rsid w:val="2BF73333"/>
    <w:rsid w:val="2C0A4511"/>
    <w:rsid w:val="2C116CAE"/>
    <w:rsid w:val="2C2325C0"/>
    <w:rsid w:val="2C662086"/>
    <w:rsid w:val="2C716C13"/>
    <w:rsid w:val="2CCC53FC"/>
    <w:rsid w:val="2CDD79CB"/>
    <w:rsid w:val="2CE15A9C"/>
    <w:rsid w:val="2D136D71"/>
    <w:rsid w:val="2D2231AD"/>
    <w:rsid w:val="2D303AB2"/>
    <w:rsid w:val="2D41412A"/>
    <w:rsid w:val="2D64511A"/>
    <w:rsid w:val="2DDE05BC"/>
    <w:rsid w:val="2E3273AE"/>
    <w:rsid w:val="2E553BA4"/>
    <w:rsid w:val="2EC776EE"/>
    <w:rsid w:val="2ED23ABB"/>
    <w:rsid w:val="2EE471A2"/>
    <w:rsid w:val="2F1635F1"/>
    <w:rsid w:val="2F226CE4"/>
    <w:rsid w:val="2F290D96"/>
    <w:rsid w:val="2F640259"/>
    <w:rsid w:val="2F8F4D7D"/>
    <w:rsid w:val="2FB57826"/>
    <w:rsid w:val="2FDF2931"/>
    <w:rsid w:val="306057C8"/>
    <w:rsid w:val="30670E8C"/>
    <w:rsid w:val="30BE0DD5"/>
    <w:rsid w:val="30CC7B2A"/>
    <w:rsid w:val="312D3A8E"/>
    <w:rsid w:val="314F5C7B"/>
    <w:rsid w:val="3159626E"/>
    <w:rsid w:val="317C187F"/>
    <w:rsid w:val="320F73D1"/>
    <w:rsid w:val="32113DAC"/>
    <w:rsid w:val="324E08A5"/>
    <w:rsid w:val="325123BF"/>
    <w:rsid w:val="3269483E"/>
    <w:rsid w:val="32774BBD"/>
    <w:rsid w:val="32895B38"/>
    <w:rsid w:val="32A5245C"/>
    <w:rsid w:val="33284807"/>
    <w:rsid w:val="332A1CB2"/>
    <w:rsid w:val="33332871"/>
    <w:rsid w:val="33924AB7"/>
    <w:rsid w:val="33AA4117"/>
    <w:rsid w:val="33D40226"/>
    <w:rsid w:val="33FD0487"/>
    <w:rsid w:val="343C3139"/>
    <w:rsid w:val="34484331"/>
    <w:rsid w:val="345B57F2"/>
    <w:rsid w:val="34863BE9"/>
    <w:rsid w:val="349B2988"/>
    <w:rsid w:val="34CE3FA5"/>
    <w:rsid w:val="34DC2644"/>
    <w:rsid w:val="353F2A5C"/>
    <w:rsid w:val="354F7589"/>
    <w:rsid w:val="355A66E9"/>
    <w:rsid w:val="358E639E"/>
    <w:rsid w:val="35B85FAB"/>
    <w:rsid w:val="3627141B"/>
    <w:rsid w:val="36701FD1"/>
    <w:rsid w:val="3679196D"/>
    <w:rsid w:val="36931F19"/>
    <w:rsid w:val="36AB4544"/>
    <w:rsid w:val="36BC34B6"/>
    <w:rsid w:val="36C52E6C"/>
    <w:rsid w:val="36DE58E1"/>
    <w:rsid w:val="37717092"/>
    <w:rsid w:val="378F6A79"/>
    <w:rsid w:val="37A22E74"/>
    <w:rsid w:val="37C32097"/>
    <w:rsid w:val="38441A82"/>
    <w:rsid w:val="385022FA"/>
    <w:rsid w:val="3874432F"/>
    <w:rsid w:val="38791B29"/>
    <w:rsid w:val="387D06A6"/>
    <w:rsid w:val="389D29FE"/>
    <w:rsid w:val="392C3AB6"/>
    <w:rsid w:val="396B7CE0"/>
    <w:rsid w:val="397D769B"/>
    <w:rsid w:val="398F5452"/>
    <w:rsid w:val="39AA72D0"/>
    <w:rsid w:val="39D24E4D"/>
    <w:rsid w:val="39D7506C"/>
    <w:rsid w:val="3A0E1803"/>
    <w:rsid w:val="3A2B208D"/>
    <w:rsid w:val="3A35774F"/>
    <w:rsid w:val="3AB77FC8"/>
    <w:rsid w:val="3ABE2740"/>
    <w:rsid w:val="3AC847CD"/>
    <w:rsid w:val="3AEA73B2"/>
    <w:rsid w:val="3AEB08DA"/>
    <w:rsid w:val="3AFB416B"/>
    <w:rsid w:val="3B11532A"/>
    <w:rsid w:val="3B381787"/>
    <w:rsid w:val="3B76418F"/>
    <w:rsid w:val="3B766B62"/>
    <w:rsid w:val="3B993C9E"/>
    <w:rsid w:val="3BD450E0"/>
    <w:rsid w:val="3BD809C1"/>
    <w:rsid w:val="3BF8362B"/>
    <w:rsid w:val="3C032760"/>
    <w:rsid w:val="3C380B54"/>
    <w:rsid w:val="3C3C1DAF"/>
    <w:rsid w:val="3C6300CC"/>
    <w:rsid w:val="3C6341D4"/>
    <w:rsid w:val="3C8C0F54"/>
    <w:rsid w:val="3C8D2773"/>
    <w:rsid w:val="3CB35B1E"/>
    <w:rsid w:val="3CB53ACA"/>
    <w:rsid w:val="3CF5789B"/>
    <w:rsid w:val="3D07304C"/>
    <w:rsid w:val="3D0F4D3F"/>
    <w:rsid w:val="3D2B224D"/>
    <w:rsid w:val="3D3E51BA"/>
    <w:rsid w:val="3D6C7613"/>
    <w:rsid w:val="3D6E28A4"/>
    <w:rsid w:val="3D9C1027"/>
    <w:rsid w:val="3DBC2116"/>
    <w:rsid w:val="3DC35F9B"/>
    <w:rsid w:val="3E544310"/>
    <w:rsid w:val="3E6C7AFB"/>
    <w:rsid w:val="3E8C42E1"/>
    <w:rsid w:val="3E9A4EC3"/>
    <w:rsid w:val="3E9A618F"/>
    <w:rsid w:val="3EA4330C"/>
    <w:rsid w:val="3EAA6C97"/>
    <w:rsid w:val="3EC05A07"/>
    <w:rsid w:val="3EDF51F8"/>
    <w:rsid w:val="3F247247"/>
    <w:rsid w:val="3F2A2152"/>
    <w:rsid w:val="3F2C3AFB"/>
    <w:rsid w:val="3F493289"/>
    <w:rsid w:val="3FA5265A"/>
    <w:rsid w:val="3FCA0EA6"/>
    <w:rsid w:val="3FDA3953"/>
    <w:rsid w:val="40082C72"/>
    <w:rsid w:val="40190EDB"/>
    <w:rsid w:val="403F5D7C"/>
    <w:rsid w:val="40686CA4"/>
    <w:rsid w:val="40C00C6C"/>
    <w:rsid w:val="40CD3963"/>
    <w:rsid w:val="41191F78"/>
    <w:rsid w:val="4126208E"/>
    <w:rsid w:val="413B76B7"/>
    <w:rsid w:val="413E148F"/>
    <w:rsid w:val="41DA165E"/>
    <w:rsid w:val="41F611FD"/>
    <w:rsid w:val="42180610"/>
    <w:rsid w:val="421D13E8"/>
    <w:rsid w:val="42306D2E"/>
    <w:rsid w:val="4233720F"/>
    <w:rsid w:val="427D7AA6"/>
    <w:rsid w:val="42EC388D"/>
    <w:rsid w:val="42F71614"/>
    <w:rsid w:val="42FC0077"/>
    <w:rsid w:val="43040828"/>
    <w:rsid w:val="430F163F"/>
    <w:rsid w:val="4311166F"/>
    <w:rsid w:val="43596B1C"/>
    <w:rsid w:val="436B11CB"/>
    <w:rsid w:val="437C0601"/>
    <w:rsid w:val="437F7EE5"/>
    <w:rsid w:val="439B0820"/>
    <w:rsid w:val="43A129E2"/>
    <w:rsid w:val="43B131BD"/>
    <w:rsid w:val="43F12C3B"/>
    <w:rsid w:val="4429242D"/>
    <w:rsid w:val="444F4CA0"/>
    <w:rsid w:val="446F65F7"/>
    <w:rsid w:val="44763774"/>
    <w:rsid w:val="448A4736"/>
    <w:rsid w:val="44982FA0"/>
    <w:rsid w:val="44E671EA"/>
    <w:rsid w:val="44ED2253"/>
    <w:rsid w:val="45115248"/>
    <w:rsid w:val="45360BC0"/>
    <w:rsid w:val="45484E5C"/>
    <w:rsid w:val="45612A2C"/>
    <w:rsid w:val="45641C69"/>
    <w:rsid w:val="458352CD"/>
    <w:rsid w:val="458C465B"/>
    <w:rsid w:val="45A53EBE"/>
    <w:rsid w:val="45F72DC7"/>
    <w:rsid w:val="4609181D"/>
    <w:rsid w:val="460B62AB"/>
    <w:rsid w:val="461863FF"/>
    <w:rsid w:val="465027CB"/>
    <w:rsid w:val="4664238B"/>
    <w:rsid w:val="46855ECA"/>
    <w:rsid w:val="46C85F32"/>
    <w:rsid w:val="471163C5"/>
    <w:rsid w:val="472777C9"/>
    <w:rsid w:val="473A1F78"/>
    <w:rsid w:val="474B6EC1"/>
    <w:rsid w:val="47694DD9"/>
    <w:rsid w:val="47732A00"/>
    <w:rsid w:val="47747CE2"/>
    <w:rsid w:val="47824A44"/>
    <w:rsid w:val="47BC4D91"/>
    <w:rsid w:val="47C00FED"/>
    <w:rsid w:val="47E20FC3"/>
    <w:rsid w:val="47F67AB2"/>
    <w:rsid w:val="47F83EA6"/>
    <w:rsid w:val="48182CF5"/>
    <w:rsid w:val="4877260B"/>
    <w:rsid w:val="487D7512"/>
    <w:rsid w:val="48C07894"/>
    <w:rsid w:val="48C40499"/>
    <w:rsid w:val="48E15BE4"/>
    <w:rsid w:val="4926674A"/>
    <w:rsid w:val="49CA7BB7"/>
    <w:rsid w:val="49DE3E58"/>
    <w:rsid w:val="49E91174"/>
    <w:rsid w:val="4A016B9C"/>
    <w:rsid w:val="4A3D4186"/>
    <w:rsid w:val="4AB57E28"/>
    <w:rsid w:val="4AC60AFA"/>
    <w:rsid w:val="4AE734B0"/>
    <w:rsid w:val="4B4D5CDA"/>
    <w:rsid w:val="4B7B0EFB"/>
    <w:rsid w:val="4BA033FE"/>
    <w:rsid w:val="4BB2474D"/>
    <w:rsid w:val="4BC979B2"/>
    <w:rsid w:val="4C1A3F1E"/>
    <w:rsid w:val="4C74186A"/>
    <w:rsid w:val="4C7B588E"/>
    <w:rsid w:val="4C800575"/>
    <w:rsid w:val="4C840C93"/>
    <w:rsid w:val="4CB04729"/>
    <w:rsid w:val="4CF44C07"/>
    <w:rsid w:val="4D046FF3"/>
    <w:rsid w:val="4D1D4874"/>
    <w:rsid w:val="4D4C55E3"/>
    <w:rsid w:val="4D716432"/>
    <w:rsid w:val="4D81280D"/>
    <w:rsid w:val="4DA10ED8"/>
    <w:rsid w:val="4DE16B32"/>
    <w:rsid w:val="4DE258ED"/>
    <w:rsid w:val="4E140CF5"/>
    <w:rsid w:val="4E6F045B"/>
    <w:rsid w:val="4E780F47"/>
    <w:rsid w:val="4E833FF7"/>
    <w:rsid w:val="4EAB2BCA"/>
    <w:rsid w:val="4EAE70BC"/>
    <w:rsid w:val="4ED15D64"/>
    <w:rsid w:val="4EEE5346"/>
    <w:rsid w:val="4F015808"/>
    <w:rsid w:val="4F123A03"/>
    <w:rsid w:val="4F3F7304"/>
    <w:rsid w:val="4F636A18"/>
    <w:rsid w:val="4F777EA3"/>
    <w:rsid w:val="4F96464C"/>
    <w:rsid w:val="4FBE0B5E"/>
    <w:rsid w:val="4FCC551C"/>
    <w:rsid w:val="4FD33FDC"/>
    <w:rsid w:val="4FE633AB"/>
    <w:rsid w:val="50171D3E"/>
    <w:rsid w:val="503F5133"/>
    <w:rsid w:val="506921BB"/>
    <w:rsid w:val="50715899"/>
    <w:rsid w:val="50897065"/>
    <w:rsid w:val="50C74FD9"/>
    <w:rsid w:val="50ED3EE1"/>
    <w:rsid w:val="50F666E6"/>
    <w:rsid w:val="510E120D"/>
    <w:rsid w:val="514C7ED8"/>
    <w:rsid w:val="51676159"/>
    <w:rsid w:val="51BA10F1"/>
    <w:rsid w:val="51DB0051"/>
    <w:rsid w:val="524040F2"/>
    <w:rsid w:val="52542107"/>
    <w:rsid w:val="526D5826"/>
    <w:rsid w:val="52777E3B"/>
    <w:rsid w:val="527C12B9"/>
    <w:rsid w:val="52C3702A"/>
    <w:rsid w:val="52FD3457"/>
    <w:rsid w:val="530E775F"/>
    <w:rsid w:val="532550EE"/>
    <w:rsid w:val="536B35D9"/>
    <w:rsid w:val="53787C7A"/>
    <w:rsid w:val="53B11D19"/>
    <w:rsid w:val="53B7773D"/>
    <w:rsid w:val="53C77FFD"/>
    <w:rsid w:val="53F6658B"/>
    <w:rsid w:val="540141E6"/>
    <w:rsid w:val="54017FB1"/>
    <w:rsid w:val="54281B53"/>
    <w:rsid w:val="5453161C"/>
    <w:rsid w:val="545322FE"/>
    <w:rsid w:val="54542CDD"/>
    <w:rsid w:val="54577274"/>
    <w:rsid w:val="546F1B7F"/>
    <w:rsid w:val="54C7643F"/>
    <w:rsid w:val="54C95308"/>
    <w:rsid w:val="54CF341D"/>
    <w:rsid w:val="54DE5C8C"/>
    <w:rsid w:val="54F94F88"/>
    <w:rsid w:val="54FB733F"/>
    <w:rsid w:val="54FE7F22"/>
    <w:rsid w:val="551E5559"/>
    <w:rsid w:val="552A23AD"/>
    <w:rsid w:val="554519DC"/>
    <w:rsid w:val="55720325"/>
    <w:rsid w:val="5599685E"/>
    <w:rsid w:val="55C144D3"/>
    <w:rsid w:val="55F96283"/>
    <w:rsid w:val="563B059D"/>
    <w:rsid w:val="5665199C"/>
    <w:rsid w:val="568347CE"/>
    <w:rsid w:val="56892D3A"/>
    <w:rsid w:val="56A57868"/>
    <w:rsid w:val="56E604D2"/>
    <w:rsid w:val="57280230"/>
    <w:rsid w:val="572A59FC"/>
    <w:rsid w:val="572B3670"/>
    <w:rsid w:val="577C0093"/>
    <w:rsid w:val="57800A72"/>
    <w:rsid w:val="5795203D"/>
    <w:rsid w:val="579F3261"/>
    <w:rsid w:val="5805298E"/>
    <w:rsid w:val="5817737A"/>
    <w:rsid w:val="589751C8"/>
    <w:rsid w:val="58B22DB5"/>
    <w:rsid w:val="58DB4AFB"/>
    <w:rsid w:val="58DD103F"/>
    <w:rsid w:val="590B7284"/>
    <w:rsid w:val="59C40AAA"/>
    <w:rsid w:val="59C83EE1"/>
    <w:rsid w:val="59E20255"/>
    <w:rsid w:val="59FC07EA"/>
    <w:rsid w:val="5A4E6CE0"/>
    <w:rsid w:val="5A942975"/>
    <w:rsid w:val="5ABB56C0"/>
    <w:rsid w:val="5AD50A7A"/>
    <w:rsid w:val="5AD62421"/>
    <w:rsid w:val="5AEC7CE7"/>
    <w:rsid w:val="5B0052A6"/>
    <w:rsid w:val="5B4E6D6C"/>
    <w:rsid w:val="5B500B80"/>
    <w:rsid w:val="5B606DC9"/>
    <w:rsid w:val="5B7951D4"/>
    <w:rsid w:val="5B7B6755"/>
    <w:rsid w:val="5BF15DBF"/>
    <w:rsid w:val="5C10752F"/>
    <w:rsid w:val="5C24315D"/>
    <w:rsid w:val="5C46204F"/>
    <w:rsid w:val="5C492EB2"/>
    <w:rsid w:val="5C531930"/>
    <w:rsid w:val="5C917EC2"/>
    <w:rsid w:val="5C995F2A"/>
    <w:rsid w:val="5CD52CBB"/>
    <w:rsid w:val="5D0E4A17"/>
    <w:rsid w:val="5D2E3E11"/>
    <w:rsid w:val="5D763BE1"/>
    <w:rsid w:val="5D7942B7"/>
    <w:rsid w:val="5D8318C7"/>
    <w:rsid w:val="5DDA3D9F"/>
    <w:rsid w:val="5DF077BC"/>
    <w:rsid w:val="5E41073D"/>
    <w:rsid w:val="5E4974EE"/>
    <w:rsid w:val="5E622E4A"/>
    <w:rsid w:val="5E845A65"/>
    <w:rsid w:val="5EA5302F"/>
    <w:rsid w:val="5EE428B7"/>
    <w:rsid w:val="5EF374D4"/>
    <w:rsid w:val="5EF8774B"/>
    <w:rsid w:val="5F125C9C"/>
    <w:rsid w:val="5F167CD1"/>
    <w:rsid w:val="5F4D3042"/>
    <w:rsid w:val="5F5A758E"/>
    <w:rsid w:val="5F736AE6"/>
    <w:rsid w:val="5F99799A"/>
    <w:rsid w:val="5FA065C7"/>
    <w:rsid w:val="5FA84C27"/>
    <w:rsid w:val="5FC33ACF"/>
    <w:rsid w:val="60375E06"/>
    <w:rsid w:val="60926EA7"/>
    <w:rsid w:val="60A56A43"/>
    <w:rsid w:val="60B03F90"/>
    <w:rsid w:val="60DD13E9"/>
    <w:rsid w:val="60E939A8"/>
    <w:rsid w:val="610141AE"/>
    <w:rsid w:val="619735E7"/>
    <w:rsid w:val="619D0E8D"/>
    <w:rsid w:val="61C478B9"/>
    <w:rsid w:val="61C840B3"/>
    <w:rsid w:val="61ED0108"/>
    <w:rsid w:val="623604B7"/>
    <w:rsid w:val="62AC5A4F"/>
    <w:rsid w:val="62B62D4A"/>
    <w:rsid w:val="62C764F2"/>
    <w:rsid w:val="62E728A8"/>
    <w:rsid w:val="63075FC0"/>
    <w:rsid w:val="631560C3"/>
    <w:rsid w:val="635C4C40"/>
    <w:rsid w:val="636F2C67"/>
    <w:rsid w:val="639D35D0"/>
    <w:rsid w:val="63AC6BE0"/>
    <w:rsid w:val="63AE6F6E"/>
    <w:rsid w:val="63B939A1"/>
    <w:rsid w:val="63DF427A"/>
    <w:rsid w:val="644954D1"/>
    <w:rsid w:val="646A767D"/>
    <w:rsid w:val="648F3D83"/>
    <w:rsid w:val="64936FE2"/>
    <w:rsid w:val="649529C5"/>
    <w:rsid w:val="64F47066"/>
    <w:rsid w:val="65437BF5"/>
    <w:rsid w:val="658D57E8"/>
    <w:rsid w:val="659F528A"/>
    <w:rsid w:val="65D52205"/>
    <w:rsid w:val="661F0BEA"/>
    <w:rsid w:val="665E6878"/>
    <w:rsid w:val="66C20CD9"/>
    <w:rsid w:val="67047C16"/>
    <w:rsid w:val="670F2E57"/>
    <w:rsid w:val="67235D2A"/>
    <w:rsid w:val="672752E1"/>
    <w:rsid w:val="679D3A64"/>
    <w:rsid w:val="67E26118"/>
    <w:rsid w:val="67EF5C10"/>
    <w:rsid w:val="67FC3292"/>
    <w:rsid w:val="681075E4"/>
    <w:rsid w:val="68437EF6"/>
    <w:rsid w:val="685F544B"/>
    <w:rsid w:val="686F7C7D"/>
    <w:rsid w:val="687073A2"/>
    <w:rsid w:val="687B7C73"/>
    <w:rsid w:val="688B036A"/>
    <w:rsid w:val="68D675BE"/>
    <w:rsid w:val="68E52436"/>
    <w:rsid w:val="69416D8E"/>
    <w:rsid w:val="69652022"/>
    <w:rsid w:val="69773AA4"/>
    <w:rsid w:val="69943028"/>
    <w:rsid w:val="69A02582"/>
    <w:rsid w:val="69AF0D09"/>
    <w:rsid w:val="69B6397C"/>
    <w:rsid w:val="6A2B10D1"/>
    <w:rsid w:val="6A377357"/>
    <w:rsid w:val="6A393AB4"/>
    <w:rsid w:val="6A3E7F4E"/>
    <w:rsid w:val="6A815E01"/>
    <w:rsid w:val="6AA17FC2"/>
    <w:rsid w:val="6AB168F2"/>
    <w:rsid w:val="6AB45623"/>
    <w:rsid w:val="6AC9188B"/>
    <w:rsid w:val="6AE57ACE"/>
    <w:rsid w:val="6AFA73A2"/>
    <w:rsid w:val="6B1719AA"/>
    <w:rsid w:val="6B9E1720"/>
    <w:rsid w:val="6BD6447C"/>
    <w:rsid w:val="6C5A3A21"/>
    <w:rsid w:val="6C8F1AAC"/>
    <w:rsid w:val="6CAF2AF5"/>
    <w:rsid w:val="6CC63817"/>
    <w:rsid w:val="6CD66E80"/>
    <w:rsid w:val="6D253464"/>
    <w:rsid w:val="6D591332"/>
    <w:rsid w:val="6D7A7C4D"/>
    <w:rsid w:val="6D856132"/>
    <w:rsid w:val="6D927E47"/>
    <w:rsid w:val="6DBB6A53"/>
    <w:rsid w:val="6DC21913"/>
    <w:rsid w:val="6DCB1818"/>
    <w:rsid w:val="6DCE7050"/>
    <w:rsid w:val="6E161558"/>
    <w:rsid w:val="6E216BD5"/>
    <w:rsid w:val="6E3C733F"/>
    <w:rsid w:val="6E4835C9"/>
    <w:rsid w:val="6E4D29B0"/>
    <w:rsid w:val="6E71226D"/>
    <w:rsid w:val="6E8B2D91"/>
    <w:rsid w:val="6ED313AA"/>
    <w:rsid w:val="6F0818F2"/>
    <w:rsid w:val="6F0F0DFB"/>
    <w:rsid w:val="6F4F1E13"/>
    <w:rsid w:val="6F753F86"/>
    <w:rsid w:val="6F940877"/>
    <w:rsid w:val="6FAC2DB0"/>
    <w:rsid w:val="6FF340A2"/>
    <w:rsid w:val="702D5429"/>
    <w:rsid w:val="70726238"/>
    <w:rsid w:val="70CB2234"/>
    <w:rsid w:val="70CC1D2C"/>
    <w:rsid w:val="70D43CAA"/>
    <w:rsid w:val="70D453B8"/>
    <w:rsid w:val="70FA5410"/>
    <w:rsid w:val="712450BF"/>
    <w:rsid w:val="713C11D3"/>
    <w:rsid w:val="714803D1"/>
    <w:rsid w:val="716E7BC6"/>
    <w:rsid w:val="71781E64"/>
    <w:rsid w:val="71960771"/>
    <w:rsid w:val="71FB79FC"/>
    <w:rsid w:val="71FE0F08"/>
    <w:rsid w:val="72510A6A"/>
    <w:rsid w:val="725741AD"/>
    <w:rsid w:val="72741D15"/>
    <w:rsid w:val="72B81158"/>
    <w:rsid w:val="72BC6C4C"/>
    <w:rsid w:val="72C02E8C"/>
    <w:rsid w:val="72F21C00"/>
    <w:rsid w:val="732D0DDE"/>
    <w:rsid w:val="73465058"/>
    <w:rsid w:val="7359557A"/>
    <w:rsid w:val="73640229"/>
    <w:rsid w:val="73952436"/>
    <w:rsid w:val="73C7145C"/>
    <w:rsid w:val="73E51AAD"/>
    <w:rsid w:val="73F60509"/>
    <w:rsid w:val="74472600"/>
    <w:rsid w:val="74C22976"/>
    <w:rsid w:val="74CC7502"/>
    <w:rsid w:val="74FF22FD"/>
    <w:rsid w:val="74FF6B0D"/>
    <w:rsid w:val="750B33C6"/>
    <w:rsid w:val="75453B03"/>
    <w:rsid w:val="7556377D"/>
    <w:rsid w:val="75FF6465"/>
    <w:rsid w:val="76441AD3"/>
    <w:rsid w:val="76916D3F"/>
    <w:rsid w:val="770E0B71"/>
    <w:rsid w:val="77522770"/>
    <w:rsid w:val="776C1F90"/>
    <w:rsid w:val="7787663C"/>
    <w:rsid w:val="77A46B0A"/>
    <w:rsid w:val="77C1488F"/>
    <w:rsid w:val="77CF3A27"/>
    <w:rsid w:val="77E43E22"/>
    <w:rsid w:val="77EF00DB"/>
    <w:rsid w:val="77F26400"/>
    <w:rsid w:val="77F76272"/>
    <w:rsid w:val="781F2437"/>
    <w:rsid w:val="78307E0A"/>
    <w:rsid w:val="786B5245"/>
    <w:rsid w:val="78843FE1"/>
    <w:rsid w:val="78CF15F8"/>
    <w:rsid w:val="795D6D17"/>
    <w:rsid w:val="79783001"/>
    <w:rsid w:val="79BF0B38"/>
    <w:rsid w:val="79C110BF"/>
    <w:rsid w:val="79EA29A9"/>
    <w:rsid w:val="79F0418A"/>
    <w:rsid w:val="7A294FC7"/>
    <w:rsid w:val="7A5D1E76"/>
    <w:rsid w:val="7A812C02"/>
    <w:rsid w:val="7A872DF7"/>
    <w:rsid w:val="7A9A1A10"/>
    <w:rsid w:val="7AFE5D8D"/>
    <w:rsid w:val="7B3C2235"/>
    <w:rsid w:val="7B486248"/>
    <w:rsid w:val="7B4F4192"/>
    <w:rsid w:val="7B5E772F"/>
    <w:rsid w:val="7B736DEF"/>
    <w:rsid w:val="7B8F2CE3"/>
    <w:rsid w:val="7B905F3E"/>
    <w:rsid w:val="7B994E20"/>
    <w:rsid w:val="7BAA4D8A"/>
    <w:rsid w:val="7BBD701E"/>
    <w:rsid w:val="7BC23352"/>
    <w:rsid w:val="7BD50918"/>
    <w:rsid w:val="7C091DDC"/>
    <w:rsid w:val="7C227229"/>
    <w:rsid w:val="7C5A3020"/>
    <w:rsid w:val="7C5B01C1"/>
    <w:rsid w:val="7C6414CF"/>
    <w:rsid w:val="7C876B9B"/>
    <w:rsid w:val="7C8D344A"/>
    <w:rsid w:val="7C9878D7"/>
    <w:rsid w:val="7CA86F8B"/>
    <w:rsid w:val="7CD415AE"/>
    <w:rsid w:val="7D026D6D"/>
    <w:rsid w:val="7D0B3C95"/>
    <w:rsid w:val="7D2249DF"/>
    <w:rsid w:val="7D284AB5"/>
    <w:rsid w:val="7D4C5961"/>
    <w:rsid w:val="7D7C0566"/>
    <w:rsid w:val="7DCA4543"/>
    <w:rsid w:val="7DE73A65"/>
    <w:rsid w:val="7E000300"/>
    <w:rsid w:val="7E154C6B"/>
    <w:rsid w:val="7E2276EA"/>
    <w:rsid w:val="7E2D7135"/>
    <w:rsid w:val="7E4301C6"/>
    <w:rsid w:val="7E5D0532"/>
    <w:rsid w:val="7E626F12"/>
    <w:rsid w:val="7E711F60"/>
    <w:rsid w:val="7EAB5DFB"/>
    <w:rsid w:val="7EC41182"/>
    <w:rsid w:val="7EC75D93"/>
    <w:rsid w:val="7EDC7398"/>
    <w:rsid w:val="7EEF6ED9"/>
    <w:rsid w:val="7EF05911"/>
    <w:rsid w:val="7F0F242E"/>
    <w:rsid w:val="7F1F7EA1"/>
    <w:rsid w:val="7F7C401F"/>
    <w:rsid w:val="7F7D33F1"/>
    <w:rsid w:val="7FA3183C"/>
    <w:rsid w:val="7FD26AD9"/>
    <w:rsid w:val="7FE91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spacing w:line="400" w:lineRule="exact"/>
      <w:jc w:val="center"/>
      <w:outlineLvl w:val="0"/>
    </w:pPr>
    <w:rPr>
      <w:rFonts w:ascii="黑体" w:eastAsia="黑体"/>
      <w:kern w:val="0"/>
      <w:sz w:val="36"/>
      <w:szCs w:val="20"/>
    </w:rPr>
  </w:style>
  <w:style w:type="paragraph" w:styleId="4">
    <w:name w:val="heading 2"/>
    <w:basedOn w:val="1"/>
    <w:next w:val="1"/>
    <w:link w:val="65"/>
    <w:qFormat/>
    <w:uiPriority w:val="0"/>
    <w:pPr>
      <w:keepNext/>
      <w:keepLines/>
      <w:spacing w:line="400" w:lineRule="exact"/>
      <w:jc w:val="center"/>
      <w:outlineLvl w:val="1"/>
    </w:pPr>
    <w:rPr>
      <w:rFonts w:ascii="Arial" w:hAnsi="Arial" w:eastAsia="黑体"/>
      <w:bCs/>
      <w:sz w:val="30"/>
      <w:szCs w:val="32"/>
    </w:rPr>
  </w:style>
  <w:style w:type="paragraph" w:styleId="5">
    <w:name w:val="heading 3"/>
    <w:basedOn w:val="1"/>
    <w:next w:val="1"/>
    <w:qFormat/>
    <w:uiPriority w:val="0"/>
    <w:pPr>
      <w:keepNext/>
      <w:keepLines/>
      <w:spacing w:line="380" w:lineRule="exact"/>
      <w:jc w:val="left"/>
      <w:outlineLvl w:val="2"/>
    </w:pPr>
    <w:rPr>
      <w:rFonts w:hint="eastAsia" w:ascii="黑体" w:hAnsi="宋体" w:eastAsia="黑体"/>
      <w:bCs/>
      <w:kern w:val="0"/>
      <w:sz w:val="24"/>
      <w:szCs w:val="32"/>
    </w:rPr>
  </w:style>
  <w:style w:type="paragraph" w:styleId="6">
    <w:name w:val="heading 6"/>
    <w:basedOn w:val="1"/>
    <w:next w:val="1"/>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spacing w:before="240" w:after="64" w:line="320" w:lineRule="auto"/>
      <w:jc w:val="left"/>
      <w:outlineLvl w:val="6"/>
    </w:pPr>
    <w:rPr>
      <w:b/>
      <w:bCs/>
      <w:kern w:val="0"/>
      <w:sz w:val="24"/>
    </w:rPr>
  </w:style>
  <w:style w:type="paragraph" w:styleId="8">
    <w:name w:val="heading 8"/>
    <w:basedOn w:val="1"/>
    <w:next w:val="1"/>
    <w:qFormat/>
    <w:uiPriority w:val="0"/>
    <w:pPr>
      <w:keepNext/>
      <w:keepLines/>
      <w:widowControl/>
      <w:spacing w:before="240" w:after="64" w:line="320" w:lineRule="auto"/>
      <w:jc w:val="left"/>
      <w:outlineLvl w:val="7"/>
    </w:pPr>
    <w:rPr>
      <w:rFonts w:ascii="Arial" w:hAnsi="Arial" w:eastAsia="黑体"/>
      <w:kern w:val="0"/>
      <w:sz w:val="24"/>
    </w:rPr>
  </w:style>
  <w:style w:type="paragraph" w:styleId="9">
    <w:name w:val="heading 9"/>
    <w:basedOn w:val="1"/>
    <w:next w:val="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10">
    <w:name w:val="toc 7"/>
    <w:basedOn w:val="1"/>
    <w:next w:val="1"/>
    <w:qFormat/>
    <w:uiPriority w:val="0"/>
    <w:pPr>
      <w:ind w:left="1260"/>
      <w:jc w:val="left"/>
    </w:pPr>
    <w:rPr>
      <w:sz w:val="18"/>
      <w:szCs w:val="18"/>
    </w:rPr>
  </w:style>
  <w:style w:type="paragraph" w:styleId="11">
    <w:name w:val="Document Map"/>
    <w:basedOn w:val="1"/>
    <w:qFormat/>
    <w:uiPriority w:val="0"/>
    <w:pPr>
      <w:shd w:val="clear" w:color="auto" w:fill="000080"/>
    </w:pPr>
  </w:style>
  <w:style w:type="paragraph" w:styleId="12">
    <w:name w:val="annotation text"/>
    <w:basedOn w:val="1"/>
    <w:qFormat/>
    <w:uiPriority w:val="0"/>
    <w:pPr>
      <w:jc w:val="left"/>
    </w:pPr>
  </w:style>
  <w:style w:type="paragraph" w:styleId="13">
    <w:name w:val="Body Text"/>
    <w:basedOn w:val="1"/>
    <w:qFormat/>
    <w:uiPriority w:val="0"/>
    <w:pPr>
      <w:jc w:val="center"/>
    </w:pPr>
    <w:rPr>
      <w:sz w:val="52"/>
    </w:rPr>
  </w:style>
  <w:style w:type="paragraph" w:styleId="14">
    <w:name w:val="Body Text Indent"/>
    <w:basedOn w:val="1"/>
    <w:qFormat/>
    <w:uiPriority w:val="0"/>
    <w:pPr>
      <w:spacing w:line="440" w:lineRule="exact"/>
      <w:ind w:firstLine="419" w:firstLineChars="196"/>
    </w:pPr>
    <w:rPr>
      <w:rFonts w:ascii="宋体" w:hAnsi="宋体" w:cs="Courier New"/>
      <w:spacing w:val="2"/>
    </w:rPr>
  </w:style>
  <w:style w:type="paragraph" w:styleId="15">
    <w:name w:val="toc 5"/>
    <w:basedOn w:val="1"/>
    <w:next w:val="1"/>
    <w:qFormat/>
    <w:uiPriority w:val="0"/>
    <w:pPr>
      <w:ind w:left="840"/>
      <w:jc w:val="left"/>
    </w:pPr>
    <w:rPr>
      <w:sz w:val="18"/>
      <w:szCs w:val="18"/>
    </w:rPr>
  </w:style>
  <w:style w:type="paragraph" w:styleId="16">
    <w:name w:val="toc 3"/>
    <w:basedOn w:val="1"/>
    <w:next w:val="1"/>
    <w:qFormat/>
    <w:uiPriority w:val="0"/>
    <w:pPr>
      <w:tabs>
        <w:tab w:val="right" w:leader="dot" w:pos="9174"/>
      </w:tabs>
      <w:spacing w:line="260" w:lineRule="exact"/>
      <w:ind w:left="420"/>
      <w:jc w:val="left"/>
    </w:pPr>
    <w:rPr>
      <w:i/>
      <w:iCs/>
      <w:sz w:val="20"/>
      <w:szCs w:val="20"/>
    </w:rPr>
  </w:style>
  <w:style w:type="paragraph" w:styleId="17">
    <w:name w:val="Plain Text"/>
    <w:basedOn w:val="1"/>
    <w:link w:val="59"/>
    <w:qFormat/>
    <w:uiPriority w:val="0"/>
    <w:rPr>
      <w:rFonts w:ascii="宋体" w:hAnsi="Courier New"/>
    </w:rPr>
  </w:style>
  <w:style w:type="paragraph" w:styleId="18">
    <w:name w:val="toc 8"/>
    <w:basedOn w:val="1"/>
    <w:next w:val="1"/>
    <w:qFormat/>
    <w:uiPriority w:val="0"/>
    <w:pPr>
      <w:ind w:left="1470"/>
      <w:jc w:val="left"/>
    </w:pPr>
    <w:rPr>
      <w:sz w:val="18"/>
      <w:szCs w:val="18"/>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line="420" w:lineRule="exact"/>
      <w:ind w:firstLine="409" w:firstLineChars="195"/>
    </w:p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9174"/>
      </w:tabs>
      <w:spacing w:before="120" w:after="120" w:line="300" w:lineRule="exact"/>
      <w:jc w:val="left"/>
    </w:pPr>
    <w:rPr>
      <w:b/>
      <w:bCs/>
      <w:caps/>
      <w:sz w:val="20"/>
      <w:szCs w:val="20"/>
    </w:rPr>
  </w:style>
  <w:style w:type="paragraph" w:styleId="25">
    <w:name w:val="toc 4"/>
    <w:basedOn w:val="1"/>
    <w:next w:val="1"/>
    <w:qFormat/>
    <w:uiPriority w:val="0"/>
    <w:pPr>
      <w:ind w:left="630"/>
      <w:jc w:val="left"/>
    </w:pPr>
    <w:rPr>
      <w:sz w:val="18"/>
      <w:szCs w:val="18"/>
    </w:rPr>
  </w:style>
  <w:style w:type="paragraph" w:styleId="26">
    <w:name w:val="List"/>
    <w:basedOn w:val="1"/>
    <w:qFormat/>
    <w:uiPriority w:val="0"/>
    <w:pPr>
      <w:spacing w:line="340" w:lineRule="exact"/>
    </w:pPr>
    <w:rPr>
      <w:rFonts w:eastAsia="楷体_GB2312"/>
      <w:sz w:val="24"/>
      <w:szCs w:val="20"/>
    </w:rPr>
  </w:style>
  <w:style w:type="paragraph" w:styleId="27">
    <w:name w:val="toc 6"/>
    <w:basedOn w:val="1"/>
    <w:next w:val="1"/>
    <w:qFormat/>
    <w:uiPriority w:val="0"/>
    <w:pPr>
      <w:ind w:left="1050"/>
      <w:jc w:val="left"/>
    </w:pPr>
    <w:rPr>
      <w:sz w:val="18"/>
      <w:szCs w:val="18"/>
    </w:rPr>
  </w:style>
  <w:style w:type="paragraph" w:styleId="28">
    <w:name w:val="Body Text Indent 3"/>
    <w:basedOn w:val="1"/>
    <w:qFormat/>
    <w:uiPriority w:val="0"/>
    <w:pPr>
      <w:spacing w:line="480" w:lineRule="exact"/>
      <w:ind w:firstLine="420" w:firstLineChars="200"/>
    </w:pPr>
    <w:rPr>
      <w:rFonts w:ascii="宋体" w:hAnsi="Courier New" w:cs="Courier New"/>
    </w:rPr>
  </w:style>
  <w:style w:type="paragraph" w:styleId="29">
    <w:name w:val="toc 2"/>
    <w:basedOn w:val="1"/>
    <w:next w:val="1"/>
    <w:qFormat/>
    <w:uiPriority w:val="0"/>
    <w:pPr>
      <w:tabs>
        <w:tab w:val="right" w:leader="dot" w:pos="9174"/>
      </w:tabs>
      <w:spacing w:line="320" w:lineRule="exact"/>
      <w:ind w:left="210"/>
      <w:jc w:val="left"/>
    </w:pPr>
    <w:rPr>
      <w:smallCaps/>
      <w:sz w:val="20"/>
      <w:szCs w:val="20"/>
    </w:rPr>
  </w:style>
  <w:style w:type="paragraph" w:styleId="30">
    <w:name w:val="toc 9"/>
    <w:basedOn w:val="1"/>
    <w:next w:val="1"/>
    <w:qFormat/>
    <w:uiPriority w:val="0"/>
    <w:pPr>
      <w:ind w:left="1680"/>
      <w:jc w:val="left"/>
    </w:pPr>
    <w:rPr>
      <w:sz w:val="18"/>
      <w:szCs w:val="18"/>
    </w:rPr>
  </w:style>
  <w:style w:type="paragraph" w:styleId="31">
    <w:name w:val="Body Text 2"/>
    <w:basedOn w:val="1"/>
    <w:qFormat/>
    <w:uiPriority w:val="0"/>
    <w:pPr>
      <w:spacing w:line="280" w:lineRule="exact"/>
      <w:jc w:val="center"/>
    </w:pPr>
  </w:style>
  <w:style w:type="paragraph" w:styleId="32">
    <w:name w:val="Normal (Web)"/>
    <w:basedOn w:val="1"/>
    <w:qFormat/>
    <w:uiPriority w:val="0"/>
    <w:pPr>
      <w:widowControl/>
      <w:spacing w:before="100" w:beforeAutospacing="1" w:after="100" w:afterAutospacing="1"/>
      <w:jc w:val="left"/>
    </w:pPr>
    <w:rPr>
      <w:rFonts w:ascii="宋体" w:hAnsi="宋体"/>
      <w:kern w:val="0"/>
      <w:sz w:val="24"/>
    </w:rPr>
  </w:style>
  <w:style w:type="character" w:styleId="35">
    <w:name w:val="Strong"/>
    <w:basedOn w:val="34"/>
    <w:qFormat/>
    <w:uiPriority w:val="0"/>
    <w:rPr>
      <w:b/>
    </w:rPr>
  </w:style>
  <w:style w:type="character" w:styleId="36">
    <w:name w:val="page number"/>
    <w:qFormat/>
    <w:uiPriority w:val="0"/>
  </w:style>
  <w:style w:type="character" w:styleId="37">
    <w:name w:val="FollowedHyperlink"/>
    <w:qFormat/>
    <w:uiPriority w:val="0"/>
    <w:rPr>
      <w:color w:val="800080"/>
      <w:u w:val="single"/>
    </w:rPr>
  </w:style>
  <w:style w:type="character" w:styleId="38">
    <w:name w:val="Emphasis"/>
    <w:basedOn w:val="34"/>
    <w:qFormat/>
    <w:uiPriority w:val="0"/>
    <w:rPr>
      <w:color w:val="CC0000"/>
    </w:rPr>
  </w:style>
  <w:style w:type="character" w:styleId="39">
    <w:name w:val="Hyperlink"/>
    <w:basedOn w:val="34"/>
    <w:qFormat/>
    <w:uiPriority w:val="0"/>
    <w:rPr>
      <w:color w:val="0000FF"/>
      <w:u w:val="single"/>
    </w:rPr>
  </w:style>
  <w:style w:type="character" w:styleId="40">
    <w:name w:val="annotation reference"/>
    <w:qFormat/>
    <w:uiPriority w:val="0"/>
    <w:rPr>
      <w:sz w:val="21"/>
      <w:szCs w:val="21"/>
    </w:rPr>
  </w:style>
  <w:style w:type="character" w:styleId="41">
    <w:name w:val="HTML Cite"/>
    <w:basedOn w:val="34"/>
    <w:qFormat/>
    <w:uiPriority w:val="0"/>
    <w:rPr>
      <w:color w:val="008000"/>
    </w:rPr>
  </w:style>
  <w:style w:type="paragraph" w:customStyle="1" w:styleId="42">
    <w:name w:val="2-2ji"/>
    <w:basedOn w:val="4"/>
    <w:qFormat/>
    <w:uiPriority w:val="0"/>
    <w:pPr>
      <w:adjustRightInd w:val="0"/>
      <w:spacing w:line="360" w:lineRule="auto"/>
      <w:textAlignment w:val="baseline"/>
    </w:pPr>
    <w:rPr>
      <w:rFonts w:ascii="宋体" w:hAnsi="宋体" w:eastAsia="宋体"/>
      <w:b/>
      <w:bCs w:val="0"/>
      <w:kern w:val="0"/>
      <w:sz w:val="36"/>
      <w:szCs w:val="20"/>
    </w:rPr>
  </w:style>
  <w:style w:type="paragraph" w:customStyle="1" w:styleId="43">
    <w:name w:val="2ji"/>
    <w:basedOn w:val="4"/>
    <w:qFormat/>
    <w:uiPriority w:val="0"/>
    <w:pPr>
      <w:adjustRightInd w:val="0"/>
      <w:spacing w:line="360" w:lineRule="auto"/>
      <w:jc w:val="both"/>
      <w:textAlignment w:val="baseline"/>
    </w:pPr>
    <w:rPr>
      <w:rFonts w:ascii="宋体" w:hAnsi="宋体" w:eastAsia="宋体"/>
      <w:b/>
      <w:bCs w:val="0"/>
      <w:kern w:val="0"/>
      <w:sz w:val="21"/>
      <w:szCs w:val="20"/>
    </w:rPr>
  </w:style>
  <w:style w:type="paragraph" w:customStyle="1" w:styleId="44">
    <w:name w:val="Char Char Char"/>
    <w:basedOn w:val="1"/>
    <w:qFormat/>
    <w:uiPriority w:val="0"/>
  </w:style>
  <w:style w:type="paragraph" w:customStyle="1" w:styleId="45">
    <w:name w:val="样式5"/>
    <w:basedOn w:val="1"/>
    <w:qFormat/>
    <w:uiPriority w:val="0"/>
    <w:pPr>
      <w:spacing w:line="440" w:lineRule="exact"/>
    </w:pPr>
    <w:rPr>
      <w:rFonts w:ascii="汉仪中宋简" w:hAnsi="宋体" w:eastAsia="黑体"/>
      <w:sz w:val="28"/>
      <w:szCs w:val="21"/>
    </w:rPr>
  </w:style>
  <w:style w:type="paragraph" w:customStyle="1" w:styleId="46">
    <w:name w:val="Char Char Char Char Char Char1 Char"/>
    <w:basedOn w:val="1"/>
    <w:qFormat/>
    <w:uiPriority w:val="0"/>
    <w:pPr>
      <w:widowControl/>
      <w:spacing w:after="160" w:line="240" w:lineRule="exact"/>
      <w:jc w:val="left"/>
    </w:pPr>
    <w:rPr>
      <w:rFonts w:ascii="Tahoma" w:hAnsi="Tahoma" w:cs="Tahoma"/>
      <w:kern w:val="0"/>
      <w:szCs w:val="21"/>
    </w:rPr>
  </w:style>
  <w:style w:type="paragraph" w:customStyle="1" w:styleId="47">
    <w:name w:val="样式 样式16 + 首行缩进:  2 字符"/>
    <w:basedOn w:val="1"/>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48">
    <w:name w:val="1"/>
    <w:basedOn w:val="1"/>
    <w:next w:val="17"/>
    <w:qFormat/>
    <w:uiPriority w:val="0"/>
    <w:rPr>
      <w:rFonts w:ascii="宋体" w:hAnsi="Courier New"/>
      <w:szCs w:val="20"/>
    </w:rPr>
  </w:style>
  <w:style w:type="paragraph" w:customStyle="1" w:styleId="49">
    <w:name w:val="样式 样式 样式 样式 汉仪中宋简 (符号) 宋体 首行缩进:  2 字符 + 首行缩进:  2 字符 + 首行缩进:  2 字..."/>
    <w:basedOn w:val="1"/>
    <w:qFormat/>
    <w:uiPriority w:val="0"/>
    <w:pPr>
      <w:spacing w:line="440" w:lineRule="exact"/>
      <w:ind w:firstLine="488" w:firstLineChars="200"/>
    </w:pPr>
    <w:rPr>
      <w:rFonts w:ascii="汉仪中宋简" w:hAnsi="宋体" w:eastAsia="汉仪字典宋简"/>
      <w:b/>
      <w:spacing w:val="2"/>
      <w:sz w:val="24"/>
      <w:szCs w:val="20"/>
    </w:rPr>
  </w:style>
  <w:style w:type="paragraph" w:customStyle="1" w:styleId="50">
    <w:name w:val="Char1 Char Char Char"/>
    <w:basedOn w:val="1"/>
    <w:qFormat/>
    <w:uiPriority w:val="0"/>
    <w:pPr>
      <w:ind w:left="420" w:hanging="420"/>
    </w:pPr>
    <w:rPr>
      <w:sz w:val="24"/>
    </w:rPr>
  </w:style>
  <w:style w:type="paragraph" w:customStyle="1" w:styleId="51">
    <w:name w:val="1ji"/>
    <w:basedOn w:val="3"/>
    <w:link w:val="58"/>
    <w:qFormat/>
    <w:uiPriority w:val="0"/>
    <w:pPr>
      <w:spacing w:line="240" w:lineRule="auto"/>
    </w:pPr>
    <w:rPr>
      <w:rFonts w:ascii="宋体" w:hAnsi="宋体" w:eastAsia="宋体"/>
      <w:b/>
    </w:rPr>
  </w:style>
  <w:style w:type="paragraph" w:customStyle="1" w:styleId="52">
    <w:name w:val="_Style 14"/>
    <w:basedOn w:val="1"/>
    <w:qFormat/>
    <w:uiPriority w:val="0"/>
  </w:style>
  <w:style w:type="paragraph" w:customStyle="1" w:styleId="53">
    <w:name w:val="样式 标题 2 + Times New Roman 四号 非加粗 段前: 5 磅 段后: 0 磅 行距: 固定值 20..."/>
    <w:basedOn w:val="4"/>
    <w:qFormat/>
    <w:uiPriority w:val="0"/>
    <w:pPr>
      <w:spacing w:before="100"/>
      <w:jc w:val="both"/>
    </w:pPr>
    <w:rPr>
      <w:rFonts w:ascii="Times New Roman" w:hAnsi="Times New Roman" w:cs="宋体"/>
      <w:bCs w:val="0"/>
      <w:sz w:val="28"/>
      <w:szCs w:val="20"/>
    </w:rPr>
  </w:style>
  <w:style w:type="paragraph" w:customStyle="1" w:styleId="54">
    <w:name w:val="样式17"/>
    <w:basedOn w:val="1"/>
    <w:qFormat/>
    <w:uiPriority w:val="0"/>
    <w:pPr>
      <w:spacing w:line="500" w:lineRule="exact"/>
      <w:ind w:firstLine="200" w:firstLineChars="200"/>
    </w:pPr>
    <w:rPr>
      <w:rFonts w:ascii="汉仪中宋简" w:hAnsi="宋体" w:eastAsia="汉仪字典宋简"/>
      <w:b/>
      <w:spacing w:val="2"/>
      <w:sz w:val="24"/>
      <w:szCs w:val="20"/>
    </w:rPr>
  </w:style>
  <w:style w:type="paragraph" w:customStyle="1" w:styleId="55">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57">
    <w:name w:val="Char1"/>
    <w:basedOn w:val="1"/>
    <w:qFormat/>
    <w:uiPriority w:val="0"/>
    <w:pPr>
      <w:widowControl/>
      <w:spacing w:after="160" w:line="240" w:lineRule="exact"/>
      <w:jc w:val="left"/>
    </w:pPr>
    <w:rPr>
      <w:rFonts w:ascii="Verdana" w:hAnsi="Verdana"/>
      <w:kern w:val="0"/>
      <w:szCs w:val="20"/>
      <w:lang w:eastAsia="en-US"/>
    </w:rPr>
  </w:style>
  <w:style w:type="character" w:customStyle="1" w:styleId="58">
    <w:name w:val="1ji Char Char"/>
    <w:link w:val="51"/>
    <w:qFormat/>
    <w:uiPriority w:val="0"/>
    <w:rPr>
      <w:rFonts w:ascii="宋体" w:hAnsi="宋体" w:eastAsia="宋体"/>
      <w:b/>
      <w:sz w:val="36"/>
      <w:lang w:val="en-US" w:eastAsia="zh-CN" w:bidi="ar-SA"/>
    </w:rPr>
  </w:style>
  <w:style w:type="character" w:customStyle="1" w:styleId="59">
    <w:name w:val="纯文本 Char"/>
    <w:link w:val="17"/>
    <w:qFormat/>
    <w:uiPriority w:val="0"/>
    <w:rPr>
      <w:rFonts w:ascii="宋体" w:hAnsi="Courier New" w:eastAsia="宋体"/>
      <w:kern w:val="2"/>
      <w:sz w:val="21"/>
      <w:lang w:val="en-US" w:eastAsia="zh-CN" w:bidi="ar-SA"/>
    </w:rPr>
  </w:style>
  <w:style w:type="character" w:customStyle="1" w:styleId="60">
    <w:name w:val="Char Char Char1"/>
    <w:qFormat/>
    <w:uiPriority w:val="0"/>
    <w:rPr>
      <w:rFonts w:ascii="宋体" w:hAnsi="Courier New" w:eastAsia="宋体"/>
      <w:kern w:val="2"/>
      <w:sz w:val="21"/>
      <w:lang w:val="en-US" w:eastAsia="zh-CN" w:bidi="ar-SA"/>
    </w:rPr>
  </w:style>
  <w:style w:type="character" w:customStyle="1" w:styleId="61">
    <w:name w:val="ca-12"/>
    <w:qFormat/>
    <w:uiPriority w:val="0"/>
    <w:rPr>
      <w:rFonts w:ascii="Verdana" w:hAnsi="Verdana"/>
      <w:kern w:val="0"/>
      <w:sz w:val="20"/>
      <w:szCs w:val="20"/>
      <w:lang w:eastAsia="en-US"/>
    </w:rPr>
  </w:style>
  <w:style w:type="character" w:customStyle="1" w:styleId="62">
    <w:name w:val="纯文本 Char1"/>
    <w:qFormat/>
    <w:uiPriority w:val="0"/>
    <w:rPr>
      <w:rFonts w:ascii="宋体" w:hAnsi="Courier New" w:eastAsia="宋体"/>
      <w:kern w:val="2"/>
      <w:sz w:val="21"/>
      <w:lang w:val="en-US" w:eastAsia="zh-CN" w:bidi="ar-SA"/>
    </w:rPr>
  </w:style>
  <w:style w:type="character" w:customStyle="1" w:styleId="63">
    <w:name w:val="ca-22"/>
    <w:qFormat/>
    <w:uiPriority w:val="0"/>
    <w:rPr>
      <w:rFonts w:ascii="Verdana" w:hAnsi="Verdana"/>
      <w:kern w:val="0"/>
      <w:sz w:val="20"/>
      <w:szCs w:val="20"/>
      <w:lang w:eastAsia="en-US"/>
    </w:rPr>
  </w:style>
  <w:style w:type="character" w:customStyle="1" w:styleId="64">
    <w:name w:val="address-info"/>
    <w:basedOn w:val="34"/>
    <w:qFormat/>
    <w:uiPriority w:val="0"/>
  </w:style>
  <w:style w:type="character" w:customStyle="1" w:styleId="65">
    <w:name w:val="标题 2 Char"/>
    <w:link w:val="4"/>
    <w:qFormat/>
    <w:uiPriority w:val="0"/>
    <w:rPr>
      <w:rFonts w:ascii="Arial" w:hAnsi="Arial" w:eastAsia="黑体"/>
      <w:bCs/>
      <w:sz w:val="3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wit</Company>
  <Pages>63</Pages>
  <Words>35654</Words>
  <Characters>10472</Characters>
  <Lines>87</Lines>
  <Paragraphs>92</Paragraphs>
  <TotalTime>1</TotalTime>
  <ScaleCrop>false</ScaleCrop>
  <LinksUpToDate>false</LinksUpToDate>
  <CharactersWithSpaces>46034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2011-09-23T11:00:00Z</dcterms:created>
  <dc:creator>user</dc:creator>
  <cp:lastModifiedBy>誓言</cp:lastModifiedBy>
  <cp:lastPrinted>2020-12-30T01:37:00Z</cp:lastPrinted>
  <dcterms:modified xsi:type="dcterms:W3CDTF">2020-12-30T08:34:17Z</dcterms:modified>
  <dc:title>女子劳教工程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