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143" w:rightChars="-68"/>
        <w:rPr>
          <w:rFonts w:ascii="宋体" w:hAnsi="宋体" w:cs="宋体"/>
          <w:b/>
          <w:color w:val="auto"/>
          <w:spacing w:val="4"/>
          <w:sz w:val="36"/>
          <w:szCs w:val="36"/>
          <w:highlight w:val="none"/>
          <w:lang w:bidi="ar"/>
        </w:rPr>
      </w:pPr>
      <w:r>
        <w:rPr>
          <w:rFonts w:hint="eastAsia" w:hAnsi="宋体"/>
          <w:b/>
          <w:color w:val="auto"/>
          <w:spacing w:val="20"/>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260350</wp:posOffset>
                </wp:positionV>
                <wp:extent cx="6048375" cy="0"/>
                <wp:effectExtent l="0" t="28575" r="9525" b="28575"/>
                <wp:wrapNone/>
                <wp:docPr id="6" name="直接连接符 6"/>
                <wp:cNvGraphicFramePr/>
                <a:graphic xmlns:a="http://schemas.openxmlformats.org/drawingml/2006/main">
                  <a:graphicData uri="http://schemas.microsoft.com/office/word/2010/wordprocessingShape">
                    <wps:wsp>
                      <wps:cNvCnPr/>
                      <wps:spPr>
                        <a:xfrm>
                          <a:off x="0" y="0"/>
                          <a:ext cx="6048375"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55pt;margin-top:20.5pt;height:0pt;width:476.25pt;z-index:251659264;mso-width-relative:page;mso-height-relative:page;" filled="f" stroked="t" coordsize="21600,21600" o:gfxdata="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7eHo1AAAAAkBAAAPAAAAAAAAAAEAIAAA&#10;ACIAAABkcnMvZG93bnJldi54bWxQSwECFAAUAAAACACHTuJAvSG9wdcBAACRAwAADgAAAAAAAAAB&#10;ACAAAAAjAQAAZHJzL2Uyb0RvYy54bWxQSwUGAAAAAAYABgBZAQAAbAUAAAAA&#10;">
                <v:fill on="f" focussize="0,0"/>
                <v:stroke weight="4.5pt" color="#000000" linestyle="thickThin" joinstyle="round"/>
                <v:imagedata o:title=""/>
                <o:lock v:ext="edit" aspectratio="f"/>
              </v:line>
            </w:pict>
          </mc:Fallback>
        </mc:AlternateContent>
      </w:r>
    </w:p>
    <w:p>
      <w:pPr>
        <w:spacing w:line="600" w:lineRule="exact"/>
        <w:ind w:right="-143" w:rightChars="-68"/>
        <w:jc w:val="center"/>
        <w:rPr>
          <w:rFonts w:ascii="宋体" w:hAnsi="宋体" w:cs="宋体"/>
          <w:b/>
          <w:color w:val="auto"/>
          <w:spacing w:val="4"/>
          <w:sz w:val="52"/>
          <w:szCs w:val="52"/>
          <w:highlight w:val="none"/>
          <w:lang w:bidi="ar"/>
        </w:rPr>
      </w:pPr>
      <w:r>
        <w:rPr>
          <w:rFonts w:hint="eastAsia" w:ascii="宋体" w:hAnsi="宋体" w:cs="宋体"/>
          <w:b/>
          <w:color w:val="auto"/>
          <w:spacing w:val="4"/>
          <w:sz w:val="40"/>
          <w:szCs w:val="40"/>
          <w:highlight w:val="none"/>
          <w:lang w:eastAsia="zh-CN" w:bidi="ar"/>
        </w:rPr>
        <w:t>百色市田阳区2020年坡洪镇及五村镇乡村风貌提升基本整治型村庄片区建设工程</w:t>
      </w:r>
      <w:r>
        <w:rPr>
          <w:rFonts w:hint="eastAsia" w:ascii="宋体" w:hAnsi="宋体" w:cs="宋体"/>
          <w:b/>
          <w:color w:val="auto"/>
          <w:spacing w:val="4"/>
          <w:sz w:val="52"/>
          <w:szCs w:val="52"/>
          <w:highlight w:val="none"/>
          <w:lang w:bidi="ar"/>
        </w:rPr>
        <w:t xml:space="preserve"> </w:t>
      </w:r>
    </w:p>
    <w:p>
      <w:pPr>
        <w:spacing w:line="600" w:lineRule="exact"/>
        <w:ind w:right="-143" w:rightChars="-68"/>
        <w:jc w:val="center"/>
        <w:rPr>
          <w:rFonts w:ascii="宋体" w:hAnsi="宋体" w:cs="宋体"/>
          <w:b/>
          <w:color w:val="auto"/>
          <w:spacing w:val="4"/>
          <w:sz w:val="52"/>
          <w:szCs w:val="52"/>
          <w:highlight w:val="none"/>
          <w:lang w:bidi="ar"/>
        </w:rPr>
      </w:pPr>
    </w:p>
    <w:p>
      <w:pPr>
        <w:pStyle w:val="32"/>
        <w:widowControl w:val="0"/>
        <w:spacing w:before="0" w:beforeAutospacing="0" w:after="0" w:afterAutospacing="0" w:line="360" w:lineRule="auto"/>
        <w:ind w:firstLine="5019" w:firstLineChars="500"/>
        <w:jc w:val="both"/>
        <w:rPr>
          <w:rFonts w:ascii="黑体" w:hAnsi="Courier New" w:eastAsia="黑体" w:cs="黑体"/>
          <w:b/>
          <w:color w:val="auto"/>
          <w:sz w:val="52"/>
          <w:szCs w:val="52"/>
          <w:highlight w:val="none"/>
        </w:rPr>
      </w:pPr>
      <w:r>
        <w:rPr>
          <w:rFonts w:hint="eastAsia"/>
          <w:b/>
          <w:color w:val="auto"/>
          <w:spacing w:val="20"/>
          <w:sz w:val="96"/>
          <w:szCs w:val="96"/>
          <w:highlight w:val="none"/>
        </w:rPr>
        <w:drawing>
          <wp:anchor distT="0" distB="0" distL="114300" distR="114300" simplePos="0" relativeHeight="251664384" behindDoc="1" locked="0" layoutInCell="1" allowOverlap="1">
            <wp:simplePos x="0" y="0"/>
            <wp:positionH relativeFrom="column">
              <wp:posOffset>1501775</wp:posOffset>
            </wp:positionH>
            <wp:positionV relativeFrom="paragraph">
              <wp:posOffset>120015</wp:posOffset>
            </wp:positionV>
            <wp:extent cx="2609850" cy="1962150"/>
            <wp:effectExtent l="0" t="0" r="0" b="0"/>
            <wp:wrapNone/>
            <wp:docPr id="1" name="图片 2" descr="6df5d44be1f4d921bb371d5f9bb6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df5d44be1f4d921bb371d5f9bb6d75"/>
                    <pic:cNvPicPr>
                      <a:picLocks noChangeAspect="1"/>
                    </pic:cNvPicPr>
                  </pic:nvPicPr>
                  <pic:blipFill>
                    <a:blip r:embed="rId14"/>
                    <a:stretch>
                      <a:fillRect/>
                    </a:stretch>
                  </pic:blipFill>
                  <pic:spPr>
                    <a:xfrm>
                      <a:off x="0" y="0"/>
                      <a:ext cx="2609850" cy="1962150"/>
                    </a:xfrm>
                    <a:prstGeom prst="rect">
                      <a:avLst/>
                    </a:prstGeom>
                    <a:noFill/>
                    <a:ln>
                      <a:noFill/>
                    </a:ln>
                  </pic:spPr>
                </pic:pic>
              </a:graphicData>
            </a:graphic>
          </wp:anchor>
        </w:drawing>
      </w:r>
    </w:p>
    <w:p>
      <w:pPr>
        <w:pStyle w:val="32"/>
        <w:widowControl w:val="0"/>
        <w:spacing w:before="0" w:beforeAutospacing="0" w:after="0" w:afterAutospacing="0" w:line="360" w:lineRule="auto"/>
        <w:ind w:firstLine="2610" w:firstLineChars="500"/>
        <w:jc w:val="both"/>
        <w:rPr>
          <w:rFonts w:ascii="黑体" w:hAnsi="Courier New" w:eastAsia="黑体" w:cs="黑体"/>
          <w:b/>
          <w:color w:val="auto"/>
          <w:sz w:val="52"/>
          <w:szCs w:val="52"/>
          <w:highlight w:val="none"/>
        </w:rPr>
      </w:pPr>
    </w:p>
    <w:p>
      <w:pPr>
        <w:pStyle w:val="32"/>
        <w:widowControl w:val="0"/>
        <w:spacing w:before="0" w:beforeAutospacing="0" w:after="0" w:afterAutospacing="0" w:line="360" w:lineRule="auto"/>
        <w:jc w:val="both"/>
        <w:rPr>
          <w:b/>
          <w:color w:val="auto"/>
          <w:spacing w:val="20"/>
          <w:sz w:val="96"/>
          <w:szCs w:val="96"/>
          <w:highlight w:val="none"/>
        </w:rPr>
      </w:pPr>
    </w:p>
    <w:p>
      <w:pPr>
        <w:pStyle w:val="32"/>
        <w:widowControl w:val="0"/>
        <w:spacing w:before="0" w:beforeAutospacing="0" w:after="0" w:afterAutospacing="0" w:line="360" w:lineRule="auto"/>
        <w:jc w:val="center"/>
        <w:rPr>
          <w:b/>
          <w:color w:val="auto"/>
          <w:spacing w:val="20"/>
          <w:kern w:val="2"/>
          <w:sz w:val="52"/>
          <w:szCs w:val="52"/>
          <w:highlight w:val="none"/>
          <w:lang w:bidi="ar"/>
        </w:rPr>
      </w:pPr>
    </w:p>
    <w:p>
      <w:pPr>
        <w:pStyle w:val="32"/>
        <w:widowControl w:val="0"/>
        <w:spacing w:before="0" w:beforeAutospacing="0" w:after="0" w:afterAutospacing="0" w:line="360" w:lineRule="auto"/>
        <w:jc w:val="center"/>
        <w:rPr>
          <w:rFonts w:hint="eastAsia" w:eastAsia="宋体"/>
          <w:color w:val="auto"/>
          <w:sz w:val="30"/>
          <w:szCs w:val="20"/>
          <w:highlight w:val="none"/>
          <w:lang w:eastAsia="zh-CN"/>
        </w:rPr>
      </w:pPr>
      <w:r>
        <w:rPr>
          <w:b/>
          <w:color w:val="auto"/>
          <w:spacing w:val="20"/>
          <w:kern w:val="2"/>
          <w:sz w:val="52"/>
          <w:szCs w:val="52"/>
          <w:highlight w:val="none"/>
          <w:lang w:bidi="ar"/>
        </w:rPr>
        <w:t>竞争性谈判</w:t>
      </w:r>
      <w:r>
        <w:rPr>
          <w:rFonts w:hint="eastAsia"/>
          <w:b/>
          <w:color w:val="auto"/>
          <w:spacing w:val="20"/>
          <w:kern w:val="2"/>
          <w:sz w:val="52"/>
          <w:szCs w:val="52"/>
          <w:highlight w:val="none"/>
          <w:lang w:eastAsia="zh-CN" w:bidi="ar"/>
        </w:rPr>
        <w:t>文件</w:t>
      </w:r>
    </w:p>
    <w:p>
      <w:pPr>
        <w:adjustRightInd w:val="0"/>
        <w:snapToGrid w:val="0"/>
        <w:jc w:val="center"/>
        <w:rPr>
          <w:rFonts w:hint="eastAsia"/>
          <w:b/>
          <w:color w:val="auto"/>
          <w:sz w:val="28"/>
          <w:szCs w:val="28"/>
          <w:highlight w:val="none"/>
          <w:lang w:eastAsia="zh-CN" w:bidi="ar"/>
        </w:rPr>
      </w:pPr>
      <w:r>
        <w:rPr>
          <w:b/>
          <w:color w:val="auto"/>
          <w:sz w:val="28"/>
          <w:szCs w:val="28"/>
          <w:highlight w:val="none"/>
          <w:lang w:bidi="ar"/>
        </w:rPr>
        <w:t>项目编号：</w:t>
      </w:r>
      <w:r>
        <w:rPr>
          <w:rFonts w:hint="eastAsia"/>
          <w:b/>
          <w:color w:val="auto"/>
          <w:sz w:val="28"/>
          <w:szCs w:val="28"/>
          <w:highlight w:val="none"/>
          <w:lang w:eastAsia="zh-CN" w:bidi="ar"/>
        </w:rPr>
        <w:t>BSZC2020-J2-210540-ZJGC</w:t>
      </w:r>
    </w:p>
    <w:p>
      <w:pPr>
        <w:spacing w:line="680" w:lineRule="exact"/>
        <w:ind w:firstLine="551" w:firstLineChars="196"/>
        <w:rPr>
          <w:rFonts w:ascii="宋体" w:hAnsi="宋体" w:cs="宋体"/>
          <w:b/>
          <w:snapToGrid w:val="0"/>
          <w:color w:val="auto"/>
          <w:kern w:val="0"/>
          <w:sz w:val="28"/>
          <w:szCs w:val="28"/>
          <w:highlight w:val="none"/>
          <w:lang w:bidi="ar"/>
        </w:rPr>
      </w:pPr>
    </w:p>
    <w:p>
      <w:pPr>
        <w:spacing w:line="680" w:lineRule="exact"/>
        <w:rPr>
          <w:rFonts w:ascii="宋体" w:hAnsi="宋体" w:cs="宋体"/>
          <w:b/>
          <w:snapToGrid w:val="0"/>
          <w:color w:val="auto"/>
          <w:kern w:val="0"/>
          <w:sz w:val="36"/>
          <w:highlight w:val="none"/>
          <w:lang w:bidi="ar"/>
        </w:rPr>
      </w:pPr>
    </w:p>
    <w:p>
      <w:pPr>
        <w:pStyle w:val="13"/>
        <w:jc w:val="both"/>
        <w:rPr>
          <w:color w:val="auto"/>
          <w:highlight w:val="none"/>
        </w:rPr>
      </w:pPr>
    </w:p>
    <w:p>
      <w:pPr>
        <w:spacing w:line="680" w:lineRule="exact"/>
        <w:ind w:firstLine="1494" w:firstLineChars="496"/>
        <w:rPr>
          <w:rFonts w:ascii="宋体" w:hAnsi="宋体" w:cs="宋体"/>
          <w:b/>
          <w:snapToGrid w:val="0"/>
          <w:color w:val="auto"/>
          <w:kern w:val="0"/>
          <w:sz w:val="30"/>
          <w:szCs w:val="30"/>
          <w:highlight w:val="none"/>
          <w:lang w:bidi="ar"/>
        </w:rPr>
      </w:pPr>
    </w:p>
    <w:p>
      <w:pPr>
        <w:spacing w:line="680" w:lineRule="exact"/>
        <w:ind w:firstLine="1494" w:firstLineChars="496"/>
        <w:rPr>
          <w:rFonts w:ascii="宋体" w:hAnsi="宋体" w:cs="宋体"/>
          <w:b/>
          <w:snapToGrid w:val="0"/>
          <w:color w:val="auto"/>
          <w:kern w:val="0"/>
          <w:sz w:val="30"/>
          <w:szCs w:val="30"/>
          <w:highlight w:val="none"/>
          <w:lang w:bidi="ar"/>
        </w:rPr>
      </w:pPr>
      <w:r>
        <w:rPr>
          <w:rFonts w:hint="eastAsia" w:ascii="宋体" w:hAnsi="宋体" w:cs="宋体"/>
          <w:b/>
          <w:snapToGrid w:val="0"/>
          <w:color w:val="auto"/>
          <w:kern w:val="0"/>
          <w:sz w:val="30"/>
          <w:szCs w:val="30"/>
          <w:highlight w:val="none"/>
          <w:lang w:bidi="ar"/>
        </w:rPr>
        <w:t>采 购</w:t>
      </w:r>
      <w:r>
        <w:rPr>
          <w:rFonts w:hint="eastAsia" w:ascii="宋体" w:hAnsi="宋体" w:cs="宋体"/>
          <w:b/>
          <w:color w:val="auto"/>
          <w:kern w:val="0"/>
          <w:sz w:val="30"/>
          <w:szCs w:val="30"/>
          <w:highlight w:val="none"/>
          <w:lang w:bidi="ar"/>
        </w:rPr>
        <w:t xml:space="preserve">  </w:t>
      </w:r>
      <w:r>
        <w:rPr>
          <w:rFonts w:hint="eastAsia" w:ascii="宋体" w:hAnsi="宋体" w:cs="宋体"/>
          <w:b/>
          <w:snapToGrid w:val="0"/>
          <w:color w:val="auto"/>
          <w:kern w:val="0"/>
          <w:sz w:val="30"/>
          <w:szCs w:val="30"/>
          <w:highlight w:val="none"/>
          <w:lang w:bidi="ar"/>
        </w:rPr>
        <w:t>单 位：</w:t>
      </w:r>
      <w:r>
        <w:rPr>
          <w:rFonts w:hint="eastAsia" w:ascii="宋体" w:hAnsi="宋体" w:cs="宋体"/>
          <w:b/>
          <w:snapToGrid w:val="0"/>
          <w:color w:val="auto"/>
          <w:kern w:val="0"/>
          <w:sz w:val="30"/>
          <w:szCs w:val="30"/>
          <w:highlight w:val="none"/>
          <w:lang w:eastAsia="zh-CN" w:bidi="ar"/>
        </w:rPr>
        <w:t>百色市田阳区住房和城乡建设局</w:t>
      </w:r>
    </w:p>
    <w:p>
      <w:pPr>
        <w:spacing w:line="680" w:lineRule="exact"/>
        <w:jc w:val="center"/>
        <w:rPr>
          <w:rFonts w:hint="eastAsia" w:ascii="宋体" w:hAnsi="宋体" w:cs="宋体"/>
          <w:b/>
          <w:snapToGrid w:val="0"/>
          <w:color w:val="auto"/>
          <w:kern w:val="0"/>
          <w:sz w:val="30"/>
          <w:szCs w:val="30"/>
          <w:highlight w:val="none"/>
          <w:lang w:bidi="ar"/>
        </w:rPr>
      </w:pPr>
      <w:r>
        <w:rPr>
          <w:rFonts w:hint="eastAsia" w:ascii="宋体" w:hAnsi="宋体" w:cs="宋体"/>
          <w:b/>
          <w:snapToGrid w:val="0"/>
          <w:color w:val="auto"/>
          <w:kern w:val="0"/>
          <w:sz w:val="30"/>
          <w:szCs w:val="30"/>
          <w:highlight w:val="none"/>
          <w:lang w:bidi="ar"/>
        </w:rPr>
        <w:t xml:space="preserve"> </w:t>
      </w:r>
    </w:p>
    <w:p>
      <w:pPr>
        <w:spacing w:line="680" w:lineRule="exact"/>
        <w:jc w:val="center"/>
        <w:rPr>
          <w:rFonts w:hint="eastAsia" w:ascii="宋体" w:hAnsi="宋体" w:eastAsia="宋体" w:cs="宋体"/>
          <w:b/>
          <w:snapToGrid w:val="0"/>
          <w:color w:val="auto"/>
          <w:kern w:val="0"/>
          <w:sz w:val="30"/>
          <w:szCs w:val="30"/>
          <w:highlight w:val="none"/>
          <w:lang w:eastAsia="zh-CN"/>
        </w:rPr>
      </w:pPr>
      <w:r>
        <w:rPr>
          <w:rFonts w:hint="eastAsia" w:ascii="宋体" w:hAnsi="宋体" w:cs="宋体"/>
          <w:b/>
          <w:snapToGrid w:val="0"/>
          <w:color w:val="auto"/>
          <w:kern w:val="0"/>
          <w:sz w:val="30"/>
          <w:szCs w:val="30"/>
          <w:highlight w:val="none"/>
          <w:lang w:bidi="ar"/>
        </w:rPr>
        <w:t>采购代理单位：</w:t>
      </w:r>
      <w:r>
        <w:rPr>
          <w:rFonts w:hint="eastAsia" w:ascii="宋体" w:hAnsi="宋体" w:cs="宋体"/>
          <w:b/>
          <w:bCs/>
          <w:color w:val="auto"/>
          <w:kern w:val="0"/>
          <w:sz w:val="30"/>
          <w:szCs w:val="30"/>
          <w:highlight w:val="none"/>
          <w:lang w:eastAsia="zh-CN" w:bidi="ar"/>
        </w:rPr>
        <w:t>广西壮锦工程管理咨询有限公司</w:t>
      </w:r>
    </w:p>
    <w:p>
      <w:pPr>
        <w:spacing w:line="680" w:lineRule="exact"/>
        <w:ind w:firstLine="630" w:firstLineChars="196"/>
        <w:jc w:val="center"/>
        <w:rPr>
          <w:rFonts w:ascii="宋体" w:hAnsi="宋体"/>
          <w:b/>
          <w:bCs/>
          <w:color w:val="auto"/>
          <w:sz w:val="44"/>
          <w:szCs w:val="44"/>
          <w:highlight w:val="none"/>
        </w:rPr>
        <w:sectPr>
          <w:headerReference r:id="rId4" w:type="first"/>
          <w:footerReference r:id="rId6" w:type="first"/>
          <w:headerReference r:id="rId3" w:type="default"/>
          <w:footerReference r:id="rId5" w:type="even"/>
          <w:pgSz w:w="11906" w:h="16838"/>
          <w:pgMar w:top="1440" w:right="1418" w:bottom="1440" w:left="1418" w:header="851" w:footer="992" w:gutter="0"/>
          <w:cols w:space="720" w:num="1"/>
          <w:docGrid w:type="lines" w:linePitch="312" w:charSpace="0"/>
        </w:sectPr>
      </w:pPr>
      <w:r>
        <w:rPr>
          <w:rFonts w:hint="eastAsia" w:ascii="宋体" w:hAnsi="宋体" w:cs="宋体"/>
          <w:b/>
          <w:snapToGrid w:val="0"/>
          <w:color w:val="auto"/>
          <w:kern w:val="0"/>
          <w:sz w:val="32"/>
          <w:highlight w:val="none"/>
          <w:lang w:bidi="ar"/>
        </w:rPr>
        <w:t>日</w:t>
      </w:r>
      <w:r>
        <w:rPr>
          <w:rFonts w:hint="eastAsia" w:ascii="宋体" w:hAnsi="宋体" w:cs="宋体"/>
          <w:b/>
          <w:color w:val="auto"/>
          <w:kern w:val="0"/>
          <w:sz w:val="32"/>
          <w:highlight w:val="none"/>
          <w:lang w:bidi="ar"/>
        </w:rPr>
        <w:t xml:space="preserve">   </w:t>
      </w:r>
      <w:r>
        <w:rPr>
          <w:rFonts w:hint="eastAsia" w:ascii="宋体" w:hAnsi="宋体" w:cs="宋体"/>
          <w:b/>
          <w:snapToGrid w:val="0"/>
          <w:color w:val="auto"/>
          <w:kern w:val="0"/>
          <w:sz w:val="32"/>
          <w:highlight w:val="none"/>
          <w:lang w:bidi="ar"/>
        </w:rPr>
        <w:t>期：二〇二〇年</w:t>
      </w:r>
      <w:r>
        <w:rPr>
          <w:rFonts w:hint="eastAsia" w:ascii="宋体" w:hAnsi="宋体" w:cs="宋体"/>
          <w:b/>
          <w:snapToGrid w:val="0"/>
          <w:color w:val="auto"/>
          <w:kern w:val="0"/>
          <w:sz w:val="32"/>
          <w:highlight w:val="none"/>
          <w:lang w:eastAsia="zh-CN" w:bidi="ar"/>
        </w:rPr>
        <w:t>十二</w:t>
      </w:r>
      <w:r>
        <w:rPr>
          <w:rFonts w:hint="eastAsia" w:ascii="宋体" w:hAnsi="宋体" w:cs="宋体"/>
          <w:b/>
          <w:snapToGrid w:val="0"/>
          <w:color w:val="auto"/>
          <w:kern w:val="0"/>
          <w:sz w:val="32"/>
          <w:highlight w:val="none"/>
          <w:lang w:bidi="ar"/>
        </w:rPr>
        <w:t>月</w:t>
      </w:r>
    </w:p>
    <w:p>
      <w:pPr>
        <w:pStyle w:val="17"/>
        <w:spacing w:line="400" w:lineRule="exact"/>
        <w:jc w:val="center"/>
        <w:outlineLvl w:val="0"/>
        <w:rPr>
          <w:color w:val="auto"/>
          <w:highlight w:val="none"/>
        </w:rPr>
      </w:pPr>
      <w:bookmarkStart w:id="0" w:name="_Toc5863"/>
      <w:bookmarkStart w:id="1" w:name="_Toc24720"/>
      <w:bookmarkStart w:id="2" w:name="_Toc462395381"/>
      <w:r>
        <w:rPr>
          <w:rFonts w:hint="eastAsia" w:ascii="Courier New" w:cs="Courier New"/>
          <w:b/>
          <w:bCs/>
          <w:color w:val="auto"/>
          <w:sz w:val="32"/>
          <w:szCs w:val="32"/>
          <w:highlight w:val="none"/>
        </w:rPr>
        <w:t>目  录</w:t>
      </w:r>
      <w:bookmarkEnd w:id="0"/>
      <w:bookmarkEnd w:id="1"/>
      <w:bookmarkEnd w:id="2"/>
      <w:r>
        <w:rPr>
          <w:rFonts w:ascii="宋体" w:hAnsi="宋体" w:cs="Courier New"/>
          <w:color w:val="auto"/>
          <w:spacing w:val="4"/>
          <w:sz w:val="22"/>
          <w:highlight w:val="none"/>
        </w:rPr>
        <w:fldChar w:fldCharType="begin"/>
      </w:r>
      <w:r>
        <w:rPr>
          <w:rFonts w:ascii="宋体" w:hAnsi="宋体" w:cs="Courier New"/>
          <w:color w:val="auto"/>
          <w:spacing w:val="4"/>
          <w:sz w:val="22"/>
          <w:highlight w:val="none"/>
        </w:rPr>
        <w:instrText xml:space="preserve"> </w:instrText>
      </w:r>
      <w:r>
        <w:rPr>
          <w:rFonts w:hint="eastAsia" w:ascii="宋体" w:hAnsi="宋体" w:cs="Courier New"/>
          <w:color w:val="auto"/>
          <w:spacing w:val="4"/>
          <w:sz w:val="22"/>
          <w:highlight w:val="none"/>
        </w:rPr>
        <w:instrText xml:space="preserve">TOC \o "1-3" \h \z \u</w:instrText>
      </w:r>
      <w:r>
        <w:rPr>
          <w:rFonts w:ascii="宋体" w:hAnsi="宋体" w:cs="Courier New"/>
          <w:color w:val="auto"/>
          <w:spacing w:val="4"/>
          <w:sz w:val="22"/>
          <w:highlight w:val="none"/>
        </w:rPr>
        <w:instrText xml:space="preserve"> </w:instrText>
      </w:r>
      <w:r>
        <w:rPr>
          <w:rFonts w:ascii="宋体" w:hAnsi="宋体" w:cs="Courier New"/>
          <w:color w:val="auto"/>
          <w:spacing w:val="4"/>
          <w:sz w:val="22"/>
          <w:highlight w:val="none"/>
        </w:rPr>
        <w:fldChar w:fldCharType="separate"/>
      </w:r>
    </w:p>
    <w:p>
      <w:pPr>
        <w:pStyle w:val="29"/>
        <w:tabs>
          <w:tab w:val="right" w:leader="dot" w:pos="9666"/>
          <w:tab w:val="clear" w:pos="9174"/>
        </w:tabs>
        <w:rPr>
          <w:b/>
          <w:bCs/>
          <w:color w:val="auto"/>
          <w:highlight w:val="none"/>
        </w:rPr>
      </w:pPr>
      <w:r>
        <w:rPr>
          <w:rFonts w:ascii="宋体" w:hAnsi="宋体" w:cs="Courier New"/>
          <w:b/>
          <w:bCs/>
          <w:color w:val="auto"/>
          <w:spacing w:val="4"/>
          <w:highlight w:val="none"/>
        </w:rPr>
        <w:fldChar w:fldCharType="begin"/>
      </w:r>
      <w:r>
        <w:rPr>
          <w:rFonts w:ascii="宋体" w:hAnsi="宋体" w:cs="Courier New"/>
          <w:b/>
          <w:bCs/>
          <w:color w:val="auto"/>
          <w:spacing w:val="4"/>
          <w:highlight w:val="none"/>
        </w:rPr>
        <w:instrText xml:space="preserve"> HYPERLINK \l _Toc30389 </w:instrText>
      </w:r>
      <w:r>
        <w:rPr>
          <w:rFonts w:ascii="宋体" w:hAnsi="宋体" w:cs="Courier New"/>
          <w:b/>
          <w:bCs/>
          <w:color w:val="auto"/>
          <w:spacing w:val="4"/>
          <w:highlight w:val="none"/>
        </w:rPr>
        <w:fldChar w:fldCharType="separate"/>
      </w:r>
      <w:r>
        <w:rPr>
          <w:rFonts w:hint="eastAsia"/>
          <w:b/>
          <w:bCs/>
          <w:color w:val="auto"/>
          <w:szCs w:val="32"/>
          <w:highlight w:val="none"/>
        </w:rPr>
        <w:t>竞争性谈判公告</w:t>
      </w:r>
      <w:r>
        <w:rPr>
          <w:b/>
          <w:bCs/>
          <w:color w:val="auto"/>
          <w:highlight w:val="none"/>
        </w:rPr>
        <w:tab/>
      </w:r>
      <w:r>
        <w:rPr>
          <w:b/>
          <w:bCs/>
          <w:color w:val="auto"/>
          <w:highlight w:val="none"/>
        </w:rPr>
        <w:fldChar w:fldCharType="begin"/>
      </w:r>
      <w:r>
        <w:rPr>
          <w:b/>
          <w:bCs/>
          <w:color w:val="auto"/>
          <w:highlight w:val="none"/>
        </w:rPr>
        <w:instrText xml:space="preserve"> PAGEREF _Toc30389 </w:instrText>
      </w:r>
      <w:r>
        <w:rPr>
          <w:b/>
          <w:bCs/>
          <w:color w:val="auto"/>
          <w:highlight w:val="none"/>
        </w:rPr>
        <w:fldChar w:fldCharType="separate"/>
      </w:r>
      <w:r>
        <w:rPr>
          <w:b/>
          <w:bCs/>
          <w:color w:val="auto"/>
          <w:highlight w:val="none"/>
        </w:rPr>
        <w:t>2</w:t>
      </w:r>
      <w:r>
        <w:rPr>
          <w:b/>
          <w:bCs/>
          <w:color w:val="auto"/>
          <w:highlight w:val="none"/>
        </w:rPr>
        <w:fldChar w:fldCharType="end"/>
      </w:r>
      <w:r>
        <w:rPr>
          <w:rFonts w:ascii="宋体" w:hAnsi="宋体" w:cs="Courier New"/>
          <w:b/>
          <w:bCs/>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b/>
          <w:bCs/>
          <w:color w:val="auto"/>
          <w:spacing w:val="4"/>
          <w:highlight w:val="none"/>
        </w:rPr>
        <w:fldChar w:fldCharType="begin"/>
      </w:r>
      <w:r>
        <w:rPr>
          <w:rFonts w:ascii="宋体" w:hAnsi="宋体" w:cs="Courier New"/>
          <w:b/>
          <w:bCs/>
          <w:color w:val="auto"/>
          <w:spacing w:val="4"/>
          <w:highlight w:val="none"/>
        </w:rPr>
        <w:instrText xml:space="preserve"> HYPERLINK \l _Toc29856 </w:instrText>
      </w:r>
      <w:r>
        <w:rPr>
          <w:rFonts w:ascii="宋体" w:hAnsi="宋体" w:cs="Courier New"/>
          <w:b/>
          <w:bCs/>
          <w:color w:val="auto"/>
          <w:spacing w:val="4"/>
          <w:highlight w:val="none"/>
        </w:rPr>
        <w:fldChar w:fldCharType="separate"/>
      </w:r>
      <w:r>
        <w:rPr>
          <w:rFonts w:hint="eastAsia" w:ascii="宋体" w:hAnsi="宋体"/>
          <w:b/>
          <w:bCs/>
          <w:color w:val="auto"/>
          <w:szCs w:val="36"/>
          <w:highlight w:val="none"/>
          <w:lang w:eastAsia="zh-CN"/>
        </w:rPr>
        <w:t>第一章</w:t>
      </w:r>
      <w:r>
        <w:rPr>
          <w:rFonts w:hint="eastAsia" w:ascii="宋体" w:hAnsi="宋体"/>
          <w:b/>
          <w:bCs/>
          <w:color w:val="auto"/>
          <w:szCs w:val="36"/>
          <w:highlight w:val="none"/>
          <w:lang w:val="en-US" w:eastAsia="zh-CN"/>
        </w:rPr>
        <w:t xml:space="preserve">  </w:t>
      </w:r>
      <w:r>
        <w:rPr>
          <w:rFonts w:hint="eastAsia" w:ascii="宋体" w:hAnsi="宋体"/>
          <w:b/>
          <w:bCs/>
          <w:color w:val="auto"/>
          <w:szCs w:val="36"/>
          <w:highlight w:val="none"/>
        </w:rPr>
        <w:t xml:space="preserve"> 竞标须知前附表</w:t>
      </w:r>
      <w:r>
        <w:rPr>
          <w:b/>
          <w:bCs/>
          <w:color w:val="auto"/>
          <w:highlight w:val="none"/>
        </w:rPr>
        <w:tab/>
      </w:r>
      <w:r>
        <w:rPr>
          <w:b/>
          <w:bCs/>
          <w:color w:val="auto"/>
          <w:highlight w:val="none"/>
        </w:rPr>
        <w:fldChar w:fldCharType="begin"/>
      </w:r>
      <w:r>
        <w:rPr>
          <w:b/>
          <w:bCs/>
          <w:color w:val="auto"/>
          <w:highlight w:val="none"/>
        </w:rPr>
        <w:instrText xml:space="preserve"> PAGEREF _Toc29856 </w:instrText>
      </w:r>
      <w:r>
        <w:rPr>
          <w:b/>
          <w:bCs/>
          <w:color w:val="auto"/>
          <w:highlight w:val="none"/>
        </w:rPr>
        <w:fldChar w:fldCharType="separate"/>
      </w:r>
      <w:r>
        <w:rPr>
          <w:b/>
          <w:bCs/>
          <w:color w:val="auto"/>
          <w:highlight w:val="none"/>
        </w:rPr>
        <w:t>4</w:t>
      </w:r>
      <w:r>
        <w:rPr>
          <w:b/>
          <w:bCs/>
          <w:color w:val="auto"/>
          <w:highlight w:val="none"/>
        </w:rPr>
        <w:fldChar w:fldCharType="end"/>
      </w:r>
      <w:r>
        <w:rPr>
          <w:rFonts w:ascii="宋体" w:hAnsi="宋体" w:cs="Courier New"/>
          <w:b/>
          <w:bCs/>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_Toc9820 </w:instrText>
      </w:r>
      <w:r>
        <w:rPr>
          <w:rFonts w:ascii="宋体" w:hAnsi="宋体" w:cs="Courier New"/>
          <w:color w:val="auto"/>
          <w:spacing w:val="4"/>
          <w:highlight w:val="none"/>
        </w:rPr>
        <w:fldChar w:fldCharType="separate"/>
      </w:r>
      <w:r>
        <w:rPr>
          <w:color w:val="auto"/>
          <w:highlight w:val="none"/>
        </w:rPr>
        <w:t>l.项</w:t>
      </w:r>
      <w:r>
        <w:rPr>
          <w:rFonts w:hAnsi="Courier New"/>
          <w:color w:val="auto"/>
          <w:szCs w:val="20"/>
          <w:highlight w:val="none"/>
        </w:rPr>
        <w:t>目</w:t>
      </w:r>
      <w:r>
        <w:rPr>
          <w:color w:val="auto"/>
          <w:highlight w:val="none"/>
        </w:rPr>
        <w:t>说明</w:t>
      </w:r>
      <w:r>
        <w:rPr>
          <w:color w:val="auto"/>
          <w:highlight w:val="none"/>
        </w:rPr>
        <w:tab/>
      </w:r>
      <w:r>
        <w:rPr>
          <w:color w:val="auto"/>
          <w:highlight w:val="none"/>
        </w:rPr>
        <w:fldChar w:fldCharType="begin"/>
      </w:r>
      <w:r>
        <w:rPr>
          <w:color w:val="auto"/>
          <w:highlight w:val="none"/>
        </w:rPr>
        <w:instrText xml:space="preserve"> PAGEREF _Toc9820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_Toc19198 </w:instrText>
      </w:r>
      <w:r>
        <w:rPr>
          <w:rFonts w:ascii="宋体" w:hAnsi="宋体" w:cs="Courier New"/>
          <w:color w:val="auto"/>
          <w:spacing w:val="4"/>
          <w:highlight w:val="none"/>
        </w:rPr>
        <w:fldChar w:fldCharType="separate"/>
      </w:r>
      <w:r>
        <w:rPr>
          <w:color w:val="auto"/>
          <w:highlight w:val="none"/>
        </w:rPr>
        <w:t>2.资金情况</w:t>
      </w:r>
      <w:r>
        <w:rPr>
          <w:color w:val="auto"/>
          <w:highlight w:val="none"/>
        </w:rPr>
        <w:tab/>
      </w:r>
      <w:r>
        <w:rPr>
          <w:color w:val="auto"/>
          <w:highlight w:val="none"/>
        </w:rPr>
        <w:fldChar w:fldCharType="begin"/>
      </w:r>
      <w:r>
        <w:rPr>
          <w:color w:val="auto"/>
          <w:highlight w:val="none"/>
        </w:rPr>
        <w:instrText xml:space="preserve"> PAGEREF _Toc19198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_Toc27335 </w:instrText>
      </w:r>
      <w:r>
        <w:rPr>
          <w:rFonts w:ascii="宋体" w:hAnsi="宋体" w:cs="Courier New"/>
          <w:color w:val="auto"/>
          <w:spacing w:val="4"/>
          <w:highlight w:val="none"/>
        </w:rPr>
        <w:fldChar w:fldCharType="separate"/>
      </w:r>
      <w:r>
        <w:rPr>
          <w:color w:val="auto"/>
          <w:highlight w:val="none"/>
        </w:rPr>
        <w:t>3.竞标费用</w:t>
      </w:r>
      <w:r>
        <w:rPr>
          <w:color w:val="auto"/>
          <w:highlight w:val="none"/>
        </w:rPr>
        <w:tab/>
      </w:r>
      <w:r>
        <w:rPr>
          <w:color w:val="auto"/>
          <w:highlight w:val="none"/>
        </w:rPr>
        <w:fldChar w:fldCharType="begin"/>
      </w:r>
      <w:r>
        <w:rPr>
          <w:color w:val="auto"/>
          <w:highlight w:val="none"/>
        </w:rPr>
        <w:instrText xml:space="preserve"> PAGEREF _Toc27335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_Toc28874 </w:instrText>
      </w:r>
      <w:r>
        <w:rPr>
          <w:rFonts w:ascii="宋体" w:hAnsi="宋体" w:cs="Courier New"/>
          <w:color w:val="auto"/>
          <w:spacing w:val="4"/>
          <w:highlight w:val="none"/>
        </w:rPr>
        <w:fldChar w:fldCharType="separate"/>
      </w:r>
      <w:r>
        <w:rPr>
          <w:color w:val="auto"/>
          <w:highlight w:val="none"/>
        </w:rPr>
        <w:t>4.竞争性谈判文件的组成</w:t>
      </w:r>
      <w:r>
        <w:rPr>
          <w:color w:val="auto"/>
          <w:highlight w:val="none"/>
        </w:rPr>
        <w:tab/>
      </w:r>
      <w:r>
        <w:rPr>
          <w:color w:val="auto"/>
          <w:highlight w:val="none"/>
        </w:rPr>
        <w:fldChar w:fldCharType="begin"/>
      </w:r>
      <w:r>
        <w:rPr>
          <w:color w:val="auto"/>
          <w:highlight w:val="none"/>
        </w:rPr>
        <w:instrText xml:space="preserve"> PAGEREF _Toc28874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_Toc17242 </w:instrText>
      </w:r>
      <w:r>
        <w:rPr>
          <w:rFonts w:ascii="宋体" w:hAnsi="宋体" w:cs="Courier New"/>
          <w:color w:val="auto"/>
          <w:spacing w:val="4"/>
          <w:highlight w:val="none"/>
        </w:rPr>
        <w:fldChar w:fldCharType="separate"/>
      </w:r>
      <w:r>
        <w:rPr>
          <w:color w:val="auto"/>
          <w:highlight w:val="none"/>
        </w:rPr>
        <w:t>5.竞争性谈判文件的解释</w:t>
      </w:r>
      <w:r>
        <w:rPr>
          <w:color w:val="auto"/>
          <w:highlight w:val="none"/>
        </w:rPr>
        <w:tab/>
      </w:r>
      <w:r>
        <w:rPr>
          <w:color w:val="auto"/>
          <w:highlight w:val="none"/>
        </w:rPr>
        <w:fldChar w:fldCharType="begin"/>
      </w:r>
      <w:r>
        <w:rPr>
          <w:color w:val="auto"/>
          <w:highlight w:val="none"/>
        </w:rPr>
        <w:instrText xml:space="preserve"> PAGEREF _Toc17242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_Toc8146 </w:instrText>
      </w:r>
      <w:r>
        <w:rPr>
          <w:rFonts w:ascii="宋体" w:hAnsi="宋体" w:cs="Courier New"/>
          <w:color w:val="auto"/>
          <w:spacing w:val="4"/>
          <w:highlight w:val="none"/>
        </w:rPr>
        <w:fldChar w:fldCharType="separate"/>
      </w:r>
      <w:r>
        <w:rPr>
          <w:color w:val="auto"/>
          <w:highlight w:val="none"/>
        </w:rPr>
        <w:t>6.竞争性谈判文件的修改</w:t>
      </w:r>
      <w:r>
        <w:rPr>
          <w:color w:val="auto"/>
          <w:highlight w:val="none"/>
        </w:rPr>
        <w:tab/>
      </w:r>
      <w:r>
        <w:rPr>
          <w:color w:val="auto"/>
          <w:highlight w:val="none"/>
        </w:rPr>
        <w:fldChar w:fldCharType="begin"/>
      </w:r>
      <w:r>
        <w:rPr>
          <w:color w:val="auto"/>
          <w:highlight w:val="none"/>
        </w:rPr>
        <w:instrText xml:space="preserve"> PAGEREF _Toc8146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_Toc18465 </w:instrText>
      </w:r>
      <w:r>
        <w:rPr>
          <w:rFonts w:ascii="宋体" w:hAnsi="宋体" w:cs="Courier New"/>
          <w:color w:val="auto"/>
          <w:spacing w:val="4"/>
          <w:highlight w:val="none"/>
        </w:rPr>
        <w:fldChar w:fldCharType="separate"/>
      </w:r>
      <w:r>
        <w:rPr>
          <w:color w:val="auto"/>
          <w:highlight w:val="none"/>
        </w:rPr>
        <w:t>7.竞标报价及控制价</w:t>
      </w:r>
      <w:r>
        <w:rPr>
          <w:color w:val="auto"/>
          <w:highlight w:val="none"/>
        </w:rPr>
        <w:tab/>
      </w:r>
      <w:r>
        <w:rPr>
          <w:color w:val="auto"/>
          <w:highlight w:val="none"/>
        </w:rPr>
        <w:fldChar w:fldCharType="begin"/>
      </w:r>
      <w:r>
        <w:rPr>
          <w:color w:val="auto"/>
          <w:highlight w:val="none"/>
        </w:rPr>
        <w:instrText xml:space="preserve"> PAGEREF _Toc18465 </w:instrText>
      </w:r>
      <w:r>
        <w:rPr>
          <w:color w:val="auto"/>
          <w:highlight w:val="none"/>
        </w:rPr>
        <w:fldChar w:fldCharType="separate"/>
      </w:r>
      <w:r>
        <w:rPr>
          <w:color w:val="auto"/>
          <w:highlight w:val="none"/>
        </w:rPr>
        <w:t>7</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_Toc10114 </w:instrText>
      </w:r>
      <w:r>
        <w:rPr>
          <w:rFonts w:ascii="宋体" w:hAnsi="宋体" w:cs="Courier New"/>
          <w:color w:val="auto"/>
          <w:spacing w:val="4"/>
          <w:highlight w:val="none"/>
        </w:rPr>
        <w:fldChar w:fldCharType="separate"/>
      </w:r>
      <w:r>
        <w:rPr>
          <w:color w:val="auto"/>
          <w:highlight w:val="none"/>
        </w:rPr>
        <w:t>8.竞标文件的语言</w:t>
      </w:r>
      <w:r>
        <w:rPr>
          <w:color w:val="auto"/>
          <w:highlight w:val="none"/>
        </w:rPr>
        <w:tab/>
      </w:r>
      <w:r>
        <w:rPr>
          <w:color w:val="auto"/>
          <w:highlight w:val="none"/>
        </w:rPr>
        <w:fldChar w:fldCharType="begin"/>
      </w:r>
      <w:r>
        <w:rPr>
          <w:color w:val="auto"/>
          <w:highlight w:val="none"/>
        </w:rPr>
        <w:instrText xml:space="preserve"> PAGEREF _Toc10114 </w:instrText>
      </w:r>
      <w:r>
        <w:rPr>
          <w:color w:val="auto"/>
          <w:highlight w:val="none"/>
        </w:rPr>
        <w:fldChar w:fldCharType="separate"/>
      </w:r>
      <w:r>
        <w:rPr>
          <w:color w:val="auto"/>
          <w:highlight w:val="none"/>
        </w:rPr>
        <w:t>9</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_Toc3107 </w:instrText>
      </w:r>
      <w:r>
        <w:rPr>
          <w:rFonts w:ascii="宋体" w:hAnsi="宋体" w:cs="Courier New"/>
          <w:color w:val="auto"/>
          <w:spacing w:val="4"/>
          <w:highlight w:val="none"/>
        </w:rPr>
        <w:fldChar w:fldCharType="separate"/>
      </w:r>
      <w:r>
        <w:rPr>
          <w:color w:val="auto"/>
          <w:highlight w:val="none"/>
        </w:rPr>
        <w:t>9.竞标文件的组成</w:t>
      </w:r>
      <w:r>
        <w:rPr>
          <w:color w:val="auto"/>
          <w:highlight w:val="none"/>
        </w:rPr>
        <w:tab/>
      </w:r>
      <w:r>
        <w:rPr>
          <w:color w:val="auto"/>
          <w:highlight w:val="none"/>
        </w:rPr>
        <w:fldChar w:fldCharType="begin"/>
      </w:r>
      <w:r>
        <w:rPr>
          <w:color w:val="auto"/>
          <w:highlight w:val="none"/>
        </w:rPr>
        <w:instrText xml:space="preserve"> PAGEREF _Toc3107 </w:instrText>
      </w:r>
      <w:r>
        <w:rPr>
          <w:color w:val="auto"/>
          <w:highlight w:val="none"/>
        </w:rPr>
        <w:fldChar w:fldCharType="separate"/>
      </w:r>
      <w:r>
        <w:rPr>
          <w:color w:val="auto"/>
          <w:highlight w:val="none"/>
        </w:rPr>
        <w:t>9</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_Toc29416 </w:instrText>
      </w:r>
      <w:r>
        <w:rPr>
          <w:rFonts w:ascii="宋体" w:hAnsi="宋体" w:cs="Courier New"/>
          <w:color w:val="auto"/>
          <w:spacing w:val="4"/>
          <w:highlight w:val="none"/>
        </w:rPr>
        <w:fldChar w:fldCharType="separate"/>
      </w:r>
      <w:r>
        <w:rPr>
          <w:color w:val="auto"/>
          <w:highlight w:val="none"/>
        </w:rPr>
        <w:t>10.竞标有效期</w:t>
      </w:r>
      <w:r>
        <w:rPr>
          <w:color w:val="auto"/>
          <w:highlight w:val="none"/>
        </w:rPr>
        <w:tab/>
      </w:r>
      <w:r>
        <w:rPr>
          <w:color w:val="auto"/>
          <w:highlight w:val="none"/>
        </w:rPr>
        <w:fldChar w:fldCharType="begin"/>
      </w:r>
      <w:r>
        <w:rPr>
          <w:color w:val="auto"/>
          <w:highlight w:val="none"/>
        </w:rPr>
        <w:instrText xml:space="preserve"> PAGEREF _Toc29416 </w:instrText>
      </w:r>
      <w:r>
        <w:rPr>
          <w:color w:val="auto"/>
          <w:highlight w:val="none"/>
        </w:rPr>
        <w:fldChar w:fldCharType="separate"/>
      </w:r>
      <w:r>
        <w:rPr>
          <w:color w:val="auto"/>
          <w:highlight w:val="none"/>
        </w:rPr>
        <w:t>7</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_Toc27087 </w:instrText>
      </w:r>
      <w:r>
        <w:rPr>
          <w:rFonts w:ascii="宋体" w:hAnsi="宋体" w:cs="Courier New"/>
          <w:color w:val="auto"/>
          <w:spacing w:val="4"/>
          <w:highlight w:val="none"/>
        </w:rPr>
        <w:fldChar w:fldCharType="separate"/>
      </w:r>
      <w:r>
        <w:rPr>
          <w:color w:val="auto"/>
          <w:highlight w:val="none"/>
        </w:rPr>
        <w:t>11.竞标保证金</w:t>
      </w:r>
      <w:r>
        <w:rPr>
          <w:color w:val="auto"/>
          <w:highlight w:val="none"/>
        </w:rPr>
        <w:tab/>
      </w:r>
      <w:r>
        <w:rPr>
          <w:color w:val="auto"/>
          <w:highlight w:val="none"/>
        </w:rPr>
        <w:fldChar w:fldCharType="begin"/>
      </w:r>
      <w:r>
        <w:rPr>
          <w:color w:val="auto"/>
          <w:highlight w:val="none"/>
        </w:rPr>
        <w:instrText xml:space="preserve"> PAGEREF _Toc27087 </w:instrText>
      </w:r>
      <w:r>
        <w:rPr>
          <w:color w:val="auto"/>
          <w:highlight w:val="none"/>
        </w:rPr>
        <w:fldChar w:fldCharType="separate"/>
      </w:r>
      <w:r>
        <w:rPr>
          <w:color w:val="auto"/>
          <w:highlight w:val="none"/>
        </w:rPr>
        <w:t>10</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_Toc2024 </w:instrText>
      </w:r>
      <w:r>
        <w:rPr>
          <w:rFonts w:ascii="宋体" w:hAnsi="宋体" w:cs="Courier New"/>
          <w:color w:val="auto"/>
          <w:spacing w:val="4"/>
          <w:highlight w:val="none"/>
        </w:rPr>
        <w:fldChar w:fldCharType="separate"/>
      </w:r>
      <w:r>
        <w:rPr>
          <w:color w:val="auto"/>
          <w:highlight w:val="none"/>
        </w:rPr>
        <w:t>12.竞标预备</w:t>
      </w:r>
      <w:r>
        <w:rPr>
          <w:color w:val="auto"/>
          <w:highlight w:val="none"/>
        </w:rPr>
        <w:tab/>
      </w:r>
      <w:r>
        <w:rPr>
          <w:color w:val="auto"/>
          <w:highlight w:val="none"/>
        </w:rPr>
        <w:fldChar w:fldCharType="begin"/>
      </w:r>
      <w:r>
        <w:rPr>
          <w:color w:val="auto"/>
          <w:highlight w:val="none"/>
        </w:rPr>
        <w:instrText xml:space="preserve"> PAGEREF _Toc2024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_Toc22502 </w:instrText>
      </w:r>
      <w:r>
        <w:rPr>
          <w:rFonts w:ascii="宋体" w:hAnsi="宋体" w:cs="Courier New"/>
          <w:color w:val="auto"/>
          <w:spacing w:val="4"/>
          <w:highlight w:val="none"/>
        </w:rPr>
        <w:fldChar w:fldCharType="separate"/>
      </w:r>
      <w:r>
        <w:rPr>
          <w:color w:val="auto"/>
          <w:highlight w:val="none"/>
        </w:rPr>
        <w:t>13.竞标文件的份数和签署</w:t>
      </w:r>
      <w:r>
        <w:rPr>
          <w:color w:val="auto"/>
          <w:highlight w:val="none"/>
        </w:rPr>
        <w:tab/>
      </w:r>
      <w:r>
        <w:rPr>
          <w:color w:val="auto"/>
          <w:highlight w:val="none"/>
        </w:rPr>
        <w:fldChar w:fldCharType="begin"/>
      </w:r>
      <w:r>
        <w:rPr>
          <w:color w:val="auto"/>
          <w:highlight w:val="none"/>
        </w:rPr>
        <w:instrText xml:space="preserve"> PAGEREF _Toc22502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_Toc4353 </w:instrText>
      </w:r>
      <w:r>
        <w:rPr>
          <w:rFonts w:ascii="宋体" w:hAnsi="宋体" w:cs="Courier New"/>
          <w:color w:val="auto"/>
          <w:spacing w:val="4"/>
          <w:highlight w:val="none"/>
        </w:rPr>
        <w:fldChar w:fldCharType="separate"/>
      </w:r>
      <w:r>
        <w:rPr>
          <w:color w:val="auto"/>
          <w:highlight w:val="none"/>
        </w:rPr>
        <w:t>14.竞标文件提交截止时间</w:t>
      </w:r>
      <w:r>
        <w:rPr>
          <w:color w:val="auto"/>
          <w:highlight w:val="none"/>
        </w:rPr>
        <w:tab/>
      </w:r>
      <w:r>
        <w:rPr>
          <w:color w:val="auto"/>
          <w:highlight w:val="none"/>
        </w:rPr>
        <w:fldChar w:fldCharType="begin"/>
      </w:r>
      <w:r>
        <w:rPr>
          <w:color w:val="auto"/>
          <w:highlight w:val="none"/>
        </w:rPr>
        <w:instrText xml:space="preserve"> PAGEREF _Toc4353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_Toc12963 </w:instrText>
      </w:r>
      <w:r>
        <w:rPr>
          <w:rFonts w:ascii="宋体" w:hAnsi="宋体" w:cs="Courier New"/>
          <w:color w:val="auto"/>
          <w:spacing w:val="4"/>
          <w:highlight w:val="none"/>
        </w:rPr>
        <w:fldChar w:fldCharType="separate"/>
      </w:r>
      <w:r>
        <w:rPr>
          <w:color w:val="auto"/>
          <w:highlight w:val="none"/>
        </w:rPr>
        <w:t>15.竞标文件的装订、密封、标志与提交</w:t>
      </w:r>
      <w:r>
        <w:rPr>
          <w:color w:val="auto"/>
          <w:highlight w:val="none"/>
        </w:rPr>
        <w:tab/>
      </w:r>
      <w:r>
        <w:rPr>
          <w:color w:val="auto"/>
          <w:highlight w:val="none"/>
        </w:rPr>
        <w:fldChar w:fldCharType="begin"/>
      </w:r>
      <w:r>
        <w:rPr>
          <w:color w:val="auto"/>
          <w:highlight w:val="none"/>
        </w:rPr>
        <w:instrText xml:space="preserve"> PAGEREF _Toc12963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_Toc20051 </w:instrText>
      </w:r>
      <w:r>
        <w:rPr>
          <w:rFonts w:ascii="宋体" w:hAnsi="宋体" w:cs="Courier New"/>
          <w:color w:val="auto"/>
          <w:spacing w:val="4"/>
          <w:highlight w:val="none"/>
        </w:rPr>
        <w:fldChar w:fldCharType="separate"/>
      </w:r>
      <w:r>
        <w:rPr>
          <w:color w:val="auto"/>
          <w:highlight w:val="none"/>
        </w:rPr>
        <w:t>16.竞标文件的修改与撤回</w:t>
      </w:r>
      <w:r>
        <w:rPr>
          <w:color w:val="auto"/>
          <w:highlight w:val="none"/>
        </w:rPr>
        <w:tab/>
      </w:r>
      <w:r>
        <w:rPr>
          <w:color w:val="auto"/>
          <w:highlight w:val="none"/>
        </w:rPr>
        <w:fldChar w:fldCharType="begin"/>
      </w:r>
      <w:r>
        <w:rPr>
          <w:color w:val="auto"/>
          <w:highlight w:val="none"/>
        </w:rPr>
        <w:instrText xml:space="preserve"> PAGEREF _Toc20051 </w:instrText>
      </w:r>
      <w:r>
        <w:rPr>
          <w:color w:val="auto"/>
          <w:highlight w:val="none"/>
        </w:rPr>
        <w:fldChar w:fldCharType="separate"/>
      </w:r>
      <w:r>
        <w:rPr>
          <w:color w:val="auto"/>
          <w:highlight w:val="none"/>
        </w:rPr>
        <w:t>12</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_Toc813 </w:instrText>
      </w:r>
      <w:r>
        <w:rPr>
          <w:rFonts w:ascii="宋体" w:hAnsi="宋体" w:cs="Courier New"/>
          <w:color w:val="auto"/>
          <w:spacing w:val="4"/>
          <w:highlight w:val="none"/>
        </w:rPr>
        <w:fldChar w:fldCharType="separate"/>
      </w:r>
      <w:r>
        <w:rPr>
          <w:color w:val="auto"/>
          <w:highlight w:val="none"/>
        </w:rPr>
        <w:t>17.开标</w:t>
      </w:r>
      <w:r>
        <w:rPr>
          <w:color w:val="auto"/>
          <w:highlight w:val="none"/>
        </w:rPr>
        <w:tab/>
      </w:r>
      <w:r>
        <w:rPr>
          <w:color w:val="auto"/>
          <w:highlight w:val="none"/>
        </w:rPr>
        <w:fldChar w:fldCharType="begin"/>
      </w:r>
      <w:r>
        <w:rPr>
          <w:color w:val="auto"/>
          <w:highlight w:val="none"/>
        </w:rPr>
        <w:instrText xml:space="preserve"> PAGEREF _Toc813 </w:instrText>
      </w:r>
      <w:r>
        <w:rPr>
          <w:color w:val="auto"/>
          <w:highlight w:val="none"/>
        </w:rPr>
        <w:fldChar w:fldCharType="separate"/>
      </w:r>
      <w:r>
        <w:rPr>
          <w:color w:val="auto"/>
          <w:highlight w:val="none"/>
        </w:rPr>
        <w:t>12</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_Toc28619 </w:instrText>
      </w:r>
      <w:r>
        <w:rPr>
          <w:rFonts w:ascii="宋体" w:hAnsi="宋体" w:cs="Courier New"/>
          <w:color w:val="auto"/>
          <w:spacing w:val="4"/>
          <w:highlight w:val="none"/>
        </w:rPr>
        <w:fldChar w:fldCharType="separate"/>
      </w:r>
      <w:r>
        <w:rPr>
          <w:rFonts w:ascii="宋体" w:eastAsia="宋体"/>
          <w:bCs w:val="0"/>
          <w:color w:val="auto"/>
          <w:kern w:val="2"/>
          <w:szCs w:val="21"/>
          <w:highlight w:val="none"/>
        </w:rPr>
        <w:t>17.6.4、谈判人员不得私下与竞标单位接触。</w:t>
      </w:r>
      <w:r>
        <w:rPr>
          <w:color w:val="auto"/>
          <w:highlight w:val="none"/>
        </w:rPr>
        <w:tab/>
      </w:r>
      <w:r>
        <w:rPr>
          <w:color w:val="auto"/>
          <w:highlight w:val="none"/>
        </w:rPr>
        <w:fldChar w:fldCharType="begin"/>
      </w:r>
      <w:r>
        <w:rPr>
          <w:color w:val="auto"/>
          <w:highlight w:val="none"/>
        </w:rPr>
        <w:instrText xml:space="preserve"> PAGEREF _Toc28619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_Toc24476 </w:instrText>
      </w:r>
      <w:r>
        <w:rPr>
          <w:rFonts w:ascii="宋体" w:hAnsi="宋体" w:cs="Courier New"/>
          <w:color w:val="auto"/>
          <w:spacing w:val="4"/>
          <w:highlight w:val="none"/>
        </w:rPr>
        <w:fldChar w:fldCharType="separate"/>
      </w:r>
      <w:r>
        <w:rPr>
          <w:color w:val="auto"/>
          <w:highlight w:val="none"/>
        </w:rPr>
        <w:t>18.开标内容的保密</w:t>
      </w:r>
      <w:r>
        <w:rPr>
          <w:color w:val="auto"/>
          <w:highlight w:val="none"/>
        </w:rPr>
        <w:tab/>
      </w:r>
      <w:r>
        <w:rPr>
          <w:color w:val="auto"/>
          <w:highlight w:val="none"/>
        </w:rPr>
        <w:fldChar w:fldCharType="begin"/>
      </w:r>
      <w:r>
        <w:rPr>
          <w:color w:val="auto"/>
          <w:highlight w:val="none"/>
        </w:rPr>
        <w:instrText xml:space="preserve"> PAGEREF _Toc24476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_Toc10646 </w:instrText>
      </w:r>
      <w:r>
        <w:rPr>
          <w:rFonts w:ascii="宋体" w:hAnsi="宋体" w:cs="Courier New"/>
          <w:color w:val="auto"/>
          <w:spacing w:val="4"/>
          <w:highlight w:val="none"/>
        </w:rPr>
        <w:fldChar w:fldCharType="separate"/>
      </w:r>
      <w:r>
        <w:rPr>
          <w:color w:val="auto"/>
          <w:highlight w:val="none"/>
        </w:rPr>
        <w:t>19.竞标文件计算错误的修正</w:t>
      </w:r>
      <w:r>
        <w:rPr>
          <w:color w:val="auto"/>
          <w:highlight w:val="none"/>
        </w:rPr>
        <w:tab/>
      </w:r>
      <w:r>
        <w:rPr>
          <w:color w:val="auto"/>
          <w:highlight w:val="none"/>
        </w:rPr>
        <w:fldChar w:fldCharType="begin"/>
      </w:r>
      <w:r>
        <w:rPr>
          <w:color w:val="auto"/>
          <w:highlight w:val="none"/>
        </w:rPr>
        <w:instrText xml:space="preserve"> PAGEREF _Toc10646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_Toc4114 </w:instrText>
      </w:r>
      <w:r>
        <w:rPr>
          <w:rFonts w:ascii="宋体" w:hAnsi="宋体" w:cs="Courier New"/>
          <w:color w:val="auto"/>
          <w:spacing w:val="4"/>
          <w:highlight w:val="none"/>
        </w:rPr>
        <w:fldChar w:fldCharType="separate"/>
      </w:r>
      <w:r>
        <w:rPr>
          <w:color w:val="auto"/>
          <w:highlight w:val="none"/>
        </w:rPr>
        <w:t>21.竞标文件的评价与比较</w:t>
      </w:r>
      <w:r>
        <w:rPr>
          <w:color w:val="auto"/>
          <w:highlight w:val="none"/>
        </w:rPr>
        <w:tab/>
      </w:r>
      <w:r>
        <w:rPr>
          <w:color w:val="auto"/>
          <w:highlight w:val="none"/>
        </w:rPr>
        <w:fldChar w:fldCharType="begin"/>
      </w:r>
      <w:r>
        <w:rPr>
          <w:color w:val="auto"/>
          <w:highlight w:val="none"/>
        </w:rPr>
        <w:instrText xml:space="preserve"> PAGEREF _Toc4114 </w:instrText>
      </w:r>
      <w:r>
        <w:rPr>
          <w:color w:val="auto"/>
          <w:highlight w:val="none"/>
        </w:rPr>
        <w:fldChar w:fldCharType="separate"/>
      </w:r>
      <w:r>
        <w:rPr>
          <w:color w:val="auto"/>
          <w:highlight w:val="none"/>
        </w:rPr>
        <w:t>14</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_Toc7502 </w:instrText>
      </w:r>
      <w:r>
        <w:rPr>
          <w:rFonts w:ascii="宋体" w:hAnsi="宋体" w:cs="Courier New"/>
          <w:color w:val="auto"/>
          <w:spacing w:val="4"/>
          <w:highlight w:val="none"/>
        </w:rPr>
        <w:fldChar w:fldCharType="separate"/>
      </w:r>
      <w:r>
        <w:rPr>
          <w:color w:val="auto"/>
          <w:highlight w:val="none"/>
        </w:rPr>
        <w:t>20.竞标人资格审查</w:t>
      </w:r>
      <w:r>
        <w:rPr>
          <w:color w:val="auto"/>
          <w:highlight w:val="none"/>
        </w:rPr>
        <w:tab/>
      </w:r>
      <w:r>
        <w:rPr>
          <w:color w:val="auto"/>
          <w:highlight w:val="none"/>
        </w:rPr>
        <w:fldChar w:fldCharType="begin"/>
      </w:r>
      <w:r>
        <w:rPr>
          <w:color w:val="auto"/>
          <w:highlight w:val="none"/>
        </w:rPr>
        <w:instrText xml:space="preserve"> PAGEREF _Toc7502 </w:instrText>
      </w:r>
      <w:r>
        <w:rPr>
          <w:color w:val="auto"/>
          <w:highlight w:val="none"/>
        </w:rPr>
        <w:fldChar w:fldCharType="separate"/>
      </w:r>
      <w:r>
        <w:rPr>
          <w:color w:val="auto"/>
          <w:highlight w:val="none"/>
        </w:rPr>
        <w:t>14</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_Toc18875 </w:instrText>
      </w:r>
      <w:r>
        <w:rPr>
          <w:rFonts w:ascii="宋体" w:hAnsi="宋体" w:cs="Courier New"/>
          <w:color w:val="auto"/>
          <w:spacing w:val="4"/>
          <w:highlight w:val="none"/>
        </w:rPr>
        <w:fldChar w:fldCharType="separate"/>
      </w:r>
      <w:r>
        <w:rPr>
          <w:color w:val="auto"/>
          <w:highlight w:val="none"/>
        </w:rPr>
        <w:t>22.评标</w:t>
      </w:r>
      <w:r>
        <w:rPr>
          <w:color w:val="auto"/>
          <w:highlight w:val="none"/>
        </w:rPr>
        <w:tab/>
      </w:r>
      <w:r>
        <w:rPr>
          <w:color w:val="auto"/>
          <w:highlight w:val="none"/>
        </w:rPr>
        <w:fldChar w:fldCharType="begin"/>
      </w:r>
      <w:r>
        <w:rPr>
          <w:color w:val="auto"/>
          <w:highlight w:val="none"/>
        </w:rPr>
        <w:instrText xml:space="preserve"> PAGEREF _Toc18875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_Toc17795 </w:instrText>
      </w:r>
      <w:r>
        <w:rPr>
          <w:rFonts w:ascii="宋体" w:hAnsi="宋体" w:cs="Courier New"/>
          <w:color w:val="auto"/>
          <w:spacing w:val="4"/>
          <w:highlight w:val="none"/>
        </w:rPr>
        <w:fldChar w:fldCharType="separate"/>
      </w:r>
      <w:r>
        <w:rPr>
          <w:color w:val="auto"/>
          <w:highlight w:val="none"/>
        </w:rPr>
        <w:t>23.成交公告</w:t>
      </w:r>
      <w:r>
        <w:rPr>
          <w:color w:val="auto"/>
          <w:highlight w:val="none"/>
        </w:rPr>
        <w:tab/>
      </w:r>
      <w:r>
        <w:rPr>
          <w:color w:val="auto"/>
          <w:highlight w:val="none"/>
        </w:rPr>
        <w:fldChar w:fldCharType="begin"/>
      </w:r>
      <w:r>
        <w:rPr>
          <w:color w:val="auto"/>
          <w:highlight w:val="none"/>
        </w:rPr>
        <w:instrText xml:space="preserve"> PAGEREF _Toc17795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_Toc5808 </w:instrText>
      </w:r>
      <w:r>
        <w:rPr>
          <w:rFonts w:ascii="宋体" w:hAnsi="宋体" w:cs="Courier New"/>
          <w:color w:val="auto"/>
          <w:spacing w:val="4"/>
          <w:highlight w:val="none"/>
        </w:rPr>
        <w:fldChar w:fldCharType="separate"/>
      </w:r>
      <w:r>
        <w:rPr>
          <w:color w:val="auto"/>
          <w:highlight w:val="none"/>
        </w:rPr>
        <w:t>24.成交通知书</w:t>
      </w:r>
      <w:r>
        <w:rPr>
          <w:color w:val="auto"/>
          <w:highlight w:val="none"/>
        </w:rPr>
        <w:tab/>
      </w:r>
      <w:r>
        <w:rPr>
          <w:color w:val="auto"/>
          <w:highlight w:val="none"/>
        </w:rPr>
        <w:fldChar w:fldCharType="begin"/>
      </w:r>
      <w:r>
        <w:rPr>
          <w:color w:val="auto"/>
          <w:highlight w:val="none"/>
        </w:rPr>
        <w:instrText xml:space="preserve"> PAGEREF _Toc5808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_Toc16008 </w:instrText>
      </w:r>
      <w:r>
        <w:rPr>
          <w:rFonts w:ascii="宋体" w:hAnsi="宋体" w:cs="Courier New"/>
          <w:color w:val="auto"/>
          <w:spacing w:val="4"/>
          <w:highlight w:val="none"/>
        </w:rPr>
        <w:fldChar w:fldCharType="separate"/>
      </w:r>
      <w:r>
        <w:rPr>
          <w:color w:val="auto"/>
          <w:highlight w:val="none"/>
        </w:rPr>
        <w:t>25.合同签订</w:t>
      </w:r>
      <w:r>
        <w:rPr>
          <w:color w:val="auto"/>
          <w:highlight w:val="none"/>
        </w:rPr>
        <w:tab/>
      </w:r>
      <w:r>
        <w:rPr>
          <w:color w:val="auto"/>
          <w:highlight w:val="none"/>
        </w:rPr>
        <w:fldChar w:fldCharType="begin"/>
      </w:r>
      <w:r>
        <w:rPr>
          <w:color w:val="auto"/>
          <w:highlight w:val="none"/>
        </w:rPr>
        <w:instrText xml:space="preserve"> PAGEREF _Toc16008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_Toc31251 </w:instrText>
      </w:r>
      <w:r>
        <w:rPr>
          <w:rFonts w:ascii="宋体" w:hAnsi="宋体" w:cs="Courier New"/>
          <w:color w:val="auto"/>
          <w:spacing w:val="4"/>
          <w:highlight w:val="none"/>
        </w:rPr>
        <w:fldChar w:fldCharType="separate"/>
      </w:r>
      <w:r>
        <w:rPr>
          <w:color w:val="auto"/>
          <w:szCs w:val="21"/>
          <w:highlight w:val="none"/>
        </w:rPr>
        <w:t>26.</w:t>
      </w:r>
      <w:r>
        <w:rPr>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_Toc31251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_Toc24238 </w:instrText>
      </w:r>
      <w:r>
        <w:rPr>
          <w:rFonts w:ascii="宋体" w:hAnsi="宋体" w:cs="Courier New"/>
          <w:color w:val="auto"/>
          <w:spacing w:val="4"/>
          <w:highlight w:val="none"/>
        </w:rPr>
        <w:fldChar w:fldCharType="separate"/>
      </w:r>
      <w:r>
        <w:rPr>
          <w:color w:val="auto"/>
          <w:highlight w:val="none"/>
        </w:rPr>
        <w:t>27.废标</w:t>
      </w:r>
      <w:r>
        <w:rPr>
          <w:color w:val="auto"/>
          <w:highlight w:val="none"/>
        </w:rPr>
        <w:tab/>
      </w:r>
      <w:r>
        <w:rPr>
          <w:color w:val="auto"/>
          <w:highlight w:val="none"/>
        </w:rPr>
        <w:fldChar w:fldCharType="begin"/>
      </w:r>
      <w:r>
        <w:rPr>
          <w:color w:val="auto"/>
          <w:highlight w:val="none"/>
        </w:rPr>
        <w:instrText xml:space="preserve"> PAGEREF _Toc24238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_Toc6617 </w:instrText>
      </w:r>
      <w:r>
        <w:rPr>
          <w:rFonts w:ascii="宋体" w:hAnsi="宋体" w:cs="Courier New"/>
          <w:color w:val="auto"/>
          <w:spacing w:val="4"/>
          <w:highlight w:val="none"/>
        </w:rPr>
        <w:fldChar w:fldCharType="separate"/>
      </w:r>
      <w:r>
        <w:rPr>
          <w:color w:val="auto"/>
          <w:highlight w:val="none"/>
        </w:rPr>
        <w:t>28.投诉</w:t>
      </w:r>
      <w:r>
        <w:rPr>
          <w:color w:val="auto"/>
          <w:highlight w:val="none"/>
        </w:rPr>
        <w:tab/>
      </w:r>
      <w:r>
        <w:rPr>
          <w:color w:val="auto"/>
          <w:highlight w:val="none"/>
        </w:rPr>
        <w:fldChar w:fldCharType="begin"/>
      </w:r>
      <w:r>
        <w:rPr>
          <w:color w:val="auto"/>
          <w:highlight w:val="none"/>
        </w:rPr>
        <w:instrText xml:space="preserve"> PAGEREF _Toc6617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_Toc24916 </w:instrText>
      </w:r>
      <w:r>
        <w:rPr>
          <w:rFonts w:ascii="宋体" w:hAnsi="宋体" w:cs="Courier New"/>
          <w:color w:val="auto"/>
          <w:spacing w:val="4"/>
          <w:highlight w:val="none"/>
        </w:rPr>
        <w:fldChar w:fldCharType="separate"/>
      </w:r>
      <w:r>
        <w:rPr>
          <w:color w:val="auto"/>
          <w:highlight w:val="none"/>
        </w:rPr>
        <w:t>29.质疑及投诉的书面要求</w:t>
      </w:r>
      <w:r>
        <w:rPr>
          <w:color w:val="auto"/>
          <w:highlight w:val="none"/>
        </w:rPr>
        <w:tab/>
      </w:r>
      <w:r>
        <w:rPr>
          <w:color w:val="auto"/>
          <w:highlight w:val="none"/>
        </w:rPr>
        <w:fldChar w:fldCharType="begin"/>
      </w:r>
      <w:r>
        <w:rPr>
          <w:color w:val="auto"/>
          <w:highlight w:val="none"/>
        </w:rPr>
        <w:instrText xml:space="preserve"> PAGEREF _Toc24916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_Toc17440 </w:instrText>
      </w:r>
      <w:r>
        <w:rPr>
          <w:rFonts w:ascii="宋体" w:hAnsi="宋体" w:cs="Courier New"/>
          <w:color w:val="auto"/>
          <w:spacing w:val="4"/>
          <w:highlight w:val="none"/>
        </w:rPr>
        <w:fldChar w:fldCharType="separate"/>
      </w:r>
      <w:r>
        <w:rPr>
          <w:color w:val="auto"/>
          <w:highlight w:val="none"/>
        </w:rPr>
        <w:t>30.解释权</w:t>
      </w:r>
      <w:r>
        <w:rPr>
          <w:color w:val="auto"/>
          <w:highlight w:val="none"/>
        </w:rPr>
        <w:tab/>
      </w:r>
      <w:r>
        <w:rPr>
          <w:color w:val="auto"/>
          <w:highlight w:val="none"/>
        </w:rPr>
        <w:fldChar w:fldCharType="begin"/>
      </w:r>
      <w:r>
        <w:rPr>
          <w:color w:val="auto"/>
          <w:highlight w:val="none"/>
        </w:rPr>
        <w:instrText xml:space="preserve"> PAGEREF _Toc17440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_Toc17268 </w:instrText>
      </w:r>
      <w:r>
        <w:rPr>
          <w:rFonts w:ascii="宋体" w:hAnsi="宋体" w:cs="Courier New"/>
          <w:color w:val="auto"/>
          <w:spacing w:val="4"/>
          <w:highlight w:val="none"/>
        </w:rPr>
        <w:fldChar w:fldCharType="separate"/>
      </w:r>
      <w:r>
        <w:rPr>
          <w:rFonts w:hint="eastAsia" w:hAnsi="宋体"/>
          <w:bCs/>
          <w:color w:val="auto"/>
          <w:highlight w:val="none"/>
        </w:rPr>
        <w:t>第</w:t>
      </w:r>
      <w:r>
        <w:rPr>
          <w:rFonts w:hint="eastAsia" w:hAnsi="宋体"/>
          <w:bCs/>
          <w:color w:val="auto"/>
          <w:highlight w:val="none"/>
          <w:lang w:eastAsia="zh-CN"/>
        </w:rPr>
        <w:t>二</w:t>
      </w:r>
      <w:r>
        <w:rPr>
          <w:rFonts w:hint="eastAsia" w:hAnsi="宋体"/>
          <w:bCs/>
          <w:color w:val="auto"/>
          <w:highlight w:val="none"/>
        </w:rPr>
        <w:t>章   合同格式</w:t>
      </w:r>
      <w:r>
        <w:rPr>
          <w:color w:val="auto"/>
          <w:highlight w:val="none"/>
        </w:rPr>
        <w:tab/>
      </w:r>
      <w:r>
        <w:rPr>
          <w:color w:val="auto"/>
          <w:highlight w:val="none"/>
        </w:rPr>
        <w:fldChar w:fldCharType="begin"/>
      </w:r>
      <w:r>
        <w:rPr>
          <w:color w:val="auto"/>
          <w:highlight w:val="none"/>
        </w:rPr>
        <w:instrText xml:space="preserve"> PAGEREF _Toc17268 </w:instrText>
      </w:r>
      <w:r>
        <w:rPr>
          <w:color w:val="auto"/>
          <w:highlight w:val="none"/>
        </w:rPr>
        <w:fldChar w:fldCharType="separate"/>
      </w:r>
      <w:r>
        <w:rPr>
          <w:color w:val="auto"/>
          <w:highlight w:val="none"/>
        </w:rPr>
        <w:t>17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_Toc5127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一　协议书（格式）</w:t>
      </w:r>
      <w:r>
        <w:rPr>
          <w:color w:val="auto"/>
          <w:highlight w:val="none"/>
        </w:rPr>
        <w:tab/>
      </w:r>
      <w:r>
        <w:rPr>
          <w:color w:val="auto"/>
          <w:highlight w:val="none"/>
        </w:rPr>
        <w:fldChar w:fldCharType="begin"/>
      </w:r>
      <w:r>
        <w:rPr>
          <w:color w:val="auto"/>
          <w:highlight w:val="none"/>
        </w:rPr>
        <w:instrText xml:space="preserve"> PAGEREF _Toc5127 </w:instrText>
      </w:r>
      <w:r>
        <w:rPr>
          <w:color w:val="auto"/>
          <w:highlight w:val="none"/>
        </w:rPr>
        <w:fldChar w:fldCharType="separate"/>
      </w:r>
      <w:r>
        <w:rPr>
          <w:color w:val="auto"/>
          <w:highlight w:val="none"/>
        </w:rPr>
        <w:t>19</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_Toc9617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二  通用合同条款</w:t>
      </w:r>
      <w:r>
        <w:rPr>
          <w:color w:val="auto"/>
          <w:highlight w:val="none"/>
        </w:rPr>
        <w:tab/>
      </w:r>
      <w:r>
        <w:rPr>
          <w:color w:val="auto"/>
          <w:highlight w:val="none"/>
        </w:rPr>
        <w:fldChar w:fldCharType="begin"/>
      </w:r>
      <w:r>
        <w:rPr>
          <w:color w:val="auto"/>
          <w:highlight w:val="none"/>
        </w:rPr>
        <w:instrText xml:space="preserve"> PAGEREF _Toc9617 </w:instrText>
      </w:r>
      <w:r>
        <w:rPr>
          <w:color w:val="auto"/>
          <w:highlight w:val="none"/>
        </w:rPr>
        <w:fldChar w:fldCharType="separate"/>
      </w:r>
      <w:r>
        <w:rPr>
          <w:color w:val="auto"/>
          <w:highlight w:val="none"/>
        </w:rPr>
        <w:t>21</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_Toc26171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三　专用合同条款</w:t>
      </w:r>
      <w:r>
        <w:rPr>
          <w:color w:val="auto"/>
          <w:highlight w:val="none"/>
        </w:rPr>
        <w:tab/>
      </w:r>
      <w:r>
        <w:rPr>
          <w:color w:val="auto"/>
          <w:highlight w:val="none"/>
        </w:rPr>
        <w:fldChar w:fldCharType="begin"/>
      </w:r>
      <w:r>
        <w:rPr>
          <w:color w:val="auto"/>
          <w:highlight w:val="none"/>
        </w:rPr>
        <w:instrText xml:space="preserve"> PAGEREF _Toc26171 </w:instrText>
      </w:r>
      <w:r>
        <w:rPr>
          <w:color w:val="auto"/>
          <w:highlight w:val="none"/>
        </w:rPr>
        <w:fldChar w:fldCharType="separate"/>
      </w:r>
      <w:r>
        <w:rPr>
          <w:color w:val="auto"/>
          <w:highlight w:val="none"/>
        </w:rPr>
        <w:t>22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_Toc20628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三</w:t>
      </w:r>
      <w:r>
        <w:rPr>
          <w:rFonts w:hint="eastAsia"/>
          <w:color w:val="auto"/>
          <w:highlight w:val="none"/>
        </w:rPr>
        <w:t>章  图纸及工程量清单</w:t>
      </w:r>
      <w:r>
        <w:rPr>
          <w:color w:val="auto"/>
          <w:highlight w:val="none"/>
        </w:rPr>
        <w:tab/>
      </w:r>
      <w:r>
        <w:rPr>
          <w:color w:val="auto"/>
          <w:highlight w:val="none"/>
        </w:rPr>
        <w:fldChar w:fldCharType="begin"/>
      </w:r>
      <w:r>
        <w:rPr>
          <w:color w:val="auto"/>
          <w:highlight w:val="none"/>
        </w:rPr>
        <w:instrText xml:space="preserve"> PAGEREF _Toc20628 </w:instrText>
      </w:r>
      <w:r>
        <w:rPr>
          <w:color w:val="auto"/>
          <w:highlight w:val="none"/>
        </w:rPr>
        <w:fldChar w:fldCharType="separate"/>
      </w:r>
      <w:r>
        <w:rPr>
          <w:color w:val="auto"/>
          <w:highlight w:val="none"/>
        </w:rPr>
        <w:t>35</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_Toc383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四</w:t>
      </w:r>
      <w:r>
        <w:rPr>
          <w:rFonts w:hint="eastAsia"/>
          <w:color w:val="auto"/>
          <w:highlight w:val="none"/>
        </w:rPr>
        <w:t>章  技术规范</w:t>
      </w:r>
      <w:r>
        <w:rPr>
          <w:color w:val="auto"/>
          <w:highlight w:val="none"/>
        </w:rPr>
        <w:tab/>
      </w:r>
      <w:r>
        <w:rPr>
          <w:color w:val="auto"/>
          <w:highlight w:val="none"/>
        </w:rPr>
        <w:fldChar w:fldCharType="begin"/>
      </w:r>
      <w:r>
        <w:rPr>
          <w:color w:val="auto"/>
          <w:highlight w:val="none"/>
        </w:rPr>
        <w:instrText xml:space="preserve"> PAGEREF _Toc383 </w:instrText>
      </w:r>
      <w:r>
        <w:rPr>
          <w:color w:val="auto"/>
          <w:highlight w:val="none"/>
        </w:rPr>
        <w:fldChar w:fldCharType="separate"/>
      </w:r>
      <w:r>
        <w:rPr>
          <w:color w:val="auto"/>
          <w:highlight w:val="none"/>
        </w:rPr>
        <w:t>35</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_Toc4360 </w:instrText>
      </w:r>
      <w:r>
        <w:rPr>
          <w:rFonts w:ascii="宋体" w:hAnsi="宋体" w:cs="Courier New"/>
          <w:color w:val="auto"/>
          <w:spacing w:val="4"/>
          <w:highlight w:val="none"/>
        </w:rPr>
        <w:fldChar w:fldCharType="separate"/>
      </w:r>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rPr>
        <w:t xml:space="preserve">  </w:t>
      </w:r>
      <w:r>
        <w:rPr>
          <w:color w:val="auto"/>
          <w:highlight w:val="none"/>
        </w:rPr>
        <w:t>工程量清单报价说明</w:t>
      </w:r>
      <w:r>
        <w:rPr>
          <w:color w:val="auto"/>
          <w:highlight w:val="none"/>
        </w:rPr>
        <w:tab/>
      </w:r>
      <w:r>
        <w:rPr>
          <w:color w:val="auto"/>
          <w:highlight w:val="none"/>
        </w:rPr>
        <w:fldChar w:fldCharType="begin"/>
      </w:r>
      <w:r>
        <w:rPr>
          <w:color w:val="auto"/>
          <w:highlight w:val="none"/>
        </w:rPr>
        <w:instrText xml:space="preserve"> PAGEREF _Toc4360 </w:instrText>
      </w:r>
      <w:r>
        <w:rPr>
          <w:color w:val="auto"/>
          <w:highlight w:val="none"/>
        </w:rPr>
        <w:fldChar w:fldCharType="separate"/>
      </w:r>
      <w:r>
        <w:rPr>
          <w:color w:val="auto"/>
          <w:highlight w:val="none"/>
        </w:rPr>
        <w:t>36</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_Toc25850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六</w:t>
      </w:r>
      <w:r>
        <w:rPr>
          <w:rFonts w:hint="eastAsia"/>
          <w:color w:val="auto"/>
          <w:highlight w:val="none"/>
        </w:rPr>
        <w:t>章  竞标文件格式</w:t>
      </w:r>
      <w:r>
        <w:rPr>
          <w:color w:val="auto"/>
          <w:highlight w:val="none"/>
        </w:rPr>
        <w:tab/>
      </w:r>
      <w:r>
        <w:rPr>
          <w:color w:val="auto"/>
          <w:highlight w:val="none"/>
        </w:rPr>
        <w:fldChar w:fldCharType="begin"/>
      </w:r>
      <w:r>
        <w:rPr>
          <w:color w:val="auto"/>
          <w:highlight w:val="none"/>
        </w:rPr>
        <w:instrText xml:space="preserve"> PAGEREF _Toc25850 </w:instrText>
      </w:r>
      <w:r>
        <w:rPr>
          <w:color w:val="auto"/>
          <w:highlight w:val="none"/>
        </w:rPr>
        <w:fldChar w:fldCharType="separate"/>
      </w:r>
      <w:r>
        <w:rPr>
          <w:color w:val="auto"/>
          <w:highlight w:val="none"/>
        </w:rPr>
        <w:t>37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_Toc25901 </w:instrText>
      </w:r>
      <w:r>
        <w:rPr>
          <w:rFonts w:ascii="宋体" w:hAnsi="宋体" w:cs="Courier New"/>
          <w:color w:val="auto"/>
          <w:spacing w:val="4"/>
          <w:highlight w:val="none"/>
        </w:rPr>
        <w:fldChar w:fldCharType="separate"/>
      </w:r>
      <w:r>
        <w:rPr>
          <w:rFonts w:hint="eastAsia"/>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_Toc25901 </w:instrText>
      </w:r>
      <w:r>
        <w:rPr>
          <w:color w:val="auto"/>
          <w:highlight w:val="none"/>
        </w:rPr>
        <w:fldChar w:fldCharType="separate"/>
      </w:r>
      <w:r>
        <w:rPr>
          <w:color w:val="auto"/>
          <w:highlight w:val="none"/>
        </w:rPr>
        <w:t>37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_Toc9580 </w:instrText>
      </w:r>
      <w:r>
        <w:rPr>
          <w:rFonts w:ascii="宋体" w:hAnsi="宋体" w:cs="Courier New"/>
          <w:color w:val="auto"/>
          <w:spacing w:val="4"/>
          <w:highlight w:val="none"/>
        </w:rPr>
        <w:fldChar w:fldCharType="separate"/>
      </w:r>
      <w:r>
        <w:rPr>
          <w:rFonts w:hint="eastAsia"/>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_Toc9580 </w:instrText>
      </w:r>
      <w:r>
        <w:rPr>
          <w:color w:val="auto"/>
          <w:highlight w:val="none"/>
        </w:rPr>
        <w:fldChar w:fldCharType="separate"/>
      </w:r>
      <w:r>
        <w:rPr>
          <w:color w:val="auto"/>
          <w:highlight w:val="none"/>
        </w:rPr>
        <w:t>48</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_Toc10749 </w:instrText>
      </w:r>
      <w:r>
        <w:rPr>
          <w:rFonts w:ascii="宋体" w:hAnsi="宋体" w:cs="Courier New"/>
          <w:color w:val="auto"/>
          <w:spacing w:val="4"/>
          <w:highlight w:val="none"/>
        </w:rPr>
        <w:fldChar w:fldCharType="separate"/>
      </w:r>
      <w:r>
        <w:rPr>
          <w:rFonts w:hint="eastAsia"/>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_Toc10749 </w:instrText>
      </w:r>
      <w:r>
        <w:rPr>
          <w:color w:val="auto"/>
          <w:highlight w:val="none"/>
        </w:rPr>
        <w:fldChar w:fldCharType="separate"/>
      </w:r>
      <w:r>
        <w:rPr>
          <w:color w:val="auto"/>
          <w:highlight w:val="none"/>
        </w:rPr>
        <w:t>52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_Toc24452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七</w:t>
      </w:r>
      <w:r>
        <w:rPr>
          <w:rFonts w:hint="eastAsia"/>
          <w:color w:val="auto"/>
          <w:highlight w:val="none"/>
        </w:rPr>
        <w:t>章  评标办法</w:t>
      </w:r>
      <w:r>
        <w:rPr>
          <w:color w:val="auto"/>
          <w:highlight w:val="none"/>
        </w:rPr>
        <w:tab/>
      </w:r>
      <w:r>
        <w:rPr>
          <w:color w:val="auto"/>
          <w:highlight w:val="none"/>
        </w:rPr>
        <w:fldChar w:fldCharType="begin"/>
      </w:r>
      <w:r>
        <w:rPr>
          <w:color w:val="auto"/>
          <w:highlight w:val="none"/>
        </w:rPr>
        <w:instrText xml:space="preserve"> PAGEREF _Toc24452 </w:instrText>
      </w:r>
      <w:r>
        <w:rPr>
          <w:color w:val="auto"/>
          <w:highlight w:val="none"/>
        </w:rPr>
        <w:fldChar w:fldCharType="separate"/>
      </w:r>
      <w:r>
        <w:rPr>
          <w:color w:val="auto"/>
          <w:highlight w:val="none"/>
        </w:rPr>
        <w:t>62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_Toc17041 </w:instrText>
      </w:r>
      <w:r>
        <w:rPr>
          <w:rFonts w:ascii="宋体" w:hAnsi="宋体" w:cs="Courier New"/>
          <w:color w:val="auto"/>
          <w:spacing w:val="4"/>
          <w:highlight w:val="none"/>
        </w:rPr>
        <w:fldChar w:fldCharType="separate"/>
      </w:r>
      <w:r>
        <w:rPr>
          <w:rFonts w:hint="eastAsia" w:hAnsi="宋体"/>
          <w:color w:val="auto"/>
          <w:szCs w:val="24"/>
          <w:highlight w:val="none"/>
        </w:rPr>
        <w:t>关于退还投标保证金的函(格式)</w:t>
      </w:r>
      <w:r>
        <w:rPr>
          <w:color w:val="auto"/>
          <w:highlight w:val="none"/>
        </w:rPr>
        <w:tab/>
      </w:r>
      <w:r>
        <w:rPr>
          <w:color w:val="auto"/>
          <w:highlight w:val="none"/>
        </w:rPr>
        <w:fldChar w:fldCharType="begin"/>
      </w:r>
      <w:r>
        <w:rPr>
          <w:color w:val="auto"/>
          <w:highlight w:val="none"/>
        </w:rPr>
        <w:instrText xml:space="preserve"> PAGEREF _Toc17041 </w:instrText>
      </w:r>
      <w:r>
        <w:rPr>
          <w:color w:val="auto"/>
          <w:highlight w:val="none"/>
        </w:rPr>
        <w:fldChar w:fldCharType="separate"/>
      </w:r>
      <w:r>
        <w:rPr>
          <w:color w:val="auto"/>
          <w:highlight w:val="none"/>
        </w:rPr>
        <w:t>65</w:t>
      </w:r>
      <w:r>
        <w:rPr>
          <w:color w:val="auto"/>
          <w:highlight w:val="none"/>
        </w:rPr>
        <w:fldChar w:fldCharType="end"/>
      </w:r>
      <w:r>
        <w:rPr>
          <w:rFonts w:ascii="宋体" w:hAnsi="宋体" w:cs="Courier New"/>
          <w:color w:val="auto"/>
          <w:spacing w:val="4"/>
          <w:highlight w:val="none"/>
        </w:rPr>
        <w:fldChar w:fldCharType="end"/>
      </w:r>
    </w:p>
    <w:p>
      <w:pPr>
        <w:spacing w:line="320" w:lineRule="exact"/>
        <w:outlineLvl w:val="0"/>
        <w:rPr>
          <w:rFonts w:ascii="宋体" w:hAnsi="宋体" w:cs="Courier New"/>
          <w:b/>
          <w:color w:val="auto"/>
          <w:spacing w:val="4"/>
          <w:sz w:val="28"/>
          <w:szCs w:val="28"/>
          <w:highlight w:val="none"/>
        </w:rPr>
        <w:sectPr>
          <w:headerReference r:id="rId8" w:type="first"/>
          <w:footerReference r:id="rId10" w:type="first"/>
          <w:headerReference r:id="rId7" w:type="default"/>
          <w:footerReference r:id="rId9" w:type="default"/>
          <w:pgSz w:w="11906" w:h="16838"/>
          <w:pgMar w:top="902" w:right="1049" w:bottom="970" w:left="1134" w:header="851" w:footer="737" w:gutter="57"/>
          <w:pgNumType w:start="1"/>
          <w:cols w:space="720" w:num="1"/>
          <w:titlePg/>
          <w:docGrid w:type="lines" w:linePitch="312" w:charSpace="0"/>
        </w:sectPr>
      </w:pPr>
      <w:r>
        <w:rPr>
          <w:rFonts w:ascii="宋体" w:hAnsi="宋体" w:cs="Courier New"/>
          <w:color w:val="auto"/>
          <w:spacing w:val="4"/>
          <w:highlight w:val="none"/>
        </w:rPr>
        <w:fldChar w:fldCharType="end"/>
      </w:r>
      <w:bookmarkStart w:id="3" w:name="_Toc24998"/>
      <w:bookmarkStart w:id="4" w:name="_Toc826"/>
      <w:r>
        <w:rPr>
          <w:rFonts w:ascii="宋体" w:hAnsi="宋体" w:cs="Courier New"/>
          <w:color w:val="auto"/>
          <w:spacing w:val="4"/>
          <w:highlight w:val="none"/>
        </w:rPr>
        <w:br w:type="page"/>
      </w:r>
      <w:bookmarkEnd w:id="3"/>
    </w:p>
    <w:bookmarkEnd w:id="4"/>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bookmarkStart w:id="5" w:name="_Toc30389"/>
      <w:bookmarkStart w:id="6" w:name="_Toc27650"/>
      <w:bookmarkStart w:id="7" w:name="_Toc28734"/>
      <w:r>
        <w:rPr>
          <w:rFonts w:hint="eastAsia" w:ascii="宋体" w:hAnsi="宋体" w:eastAsia="宋体" w:cs="宋体"/>
          <w:b/>
          <w:bCs/>
          <w:color w:val="auto"/>
          <w:kern w:val="2"/>
          <w:sz w:val="24"/>
          <w:szCs w:val="24"/>
          <w:highlight w:val="none"/>
          <w:lang w:val="en-US" w:eastAsia="zh-CN" w:bidi="ar-SA"/>
        </w:rPr>
        <w:t>百色市田阳区2020年坡洪镇及五村镇乡村风貌提升基本整治型村庄片区建设工程</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竞争性谈判公告</w:t>
      </w:r>
      <w:bookmarkEnd w:id="5"/>
      <w:bookmarkEnd w:id="6"/>
      <w:bookmarkEnd w:id="7"/>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百色市田阳区2020年坡洪镇及五村镇乡村风貌提升基本整治型村庄片区建设工程</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采购项目的潜在供应商应在</w:t>
      </w:r>
      <w:r>
        <w:rPr>
          <w:rFonts w:hint="eastAsia" w:ascii="宋体" w:hAnsi="宋体" w:eastAsia="宋体" w:cs="宋体"/>
          <w:color w:val="auto"/>
          <w:sz w:val="21"/>
          <w:szCs w:val="21"/>
          <w:highlight w:val="none"/>
          <w:u w:val="single"/>
        </w:rPr>
        <w:t>（百色市右江区前程路4号长乐星城第一幢10层1006号）</w:t>
      </w:r>
      <w:r>
        <w:rPr>
          <w:rFonts w:hint="eastAsia" w:ascii="宋体" w:hAnsi="宋体" w:eastAsia="宋体" w:cs="宋体"/>
          <w:color w:val="auto"/>
          <w:sz w:val="21"/>
          <w:szCs w:val="21"/>
          <w:highlight w:val="none"/>
        </w:rPr>
        <w:t>获取采购文件，并于</w:t>
      </w:r>
      <w:r>
        <w:rPr>
          <w:rFonts w:hint="eastAsia" w:ascii="宋体" w:hAnsi="宋体" w:cs="宋体"/>
          <w:b/>
          <w:bCs/>
          <w:color w:val="auto"/>
          <w:sz w:val="21"/>
          <w:szCs w:val="21"/>
          <w:highlight w:val="none"/>
          <w:u w:val="single"/>
          <w:lang w:val="en-US" w:eastAsia="zh-CN"/>
        </w:rPr>
        <w:t>2021年01月07日10点00分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bookmarkStart w:id="8" w:name="_Toc35393629"/>
      <w:bookmarkStart w:id="9" w:name="_Toc35393798"/>
      <w:bookmarkStart w:id="10" w:name="_Toc28359089"/>
      <w:bookmarkStart w:id="11" w:name="_Toc28359012"/>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12" w:name="_Toc19762"/>
      <w:bookmarkStart w:id="13" w:name="_Toc15943"/>
      <w:bookmarkStart w:id="14" w:name="_Toc21996"/>
      <w:r>
        <w:rPr>
          <w:rFonts w:hint="eastAsia" w:ascii="宋体" w:hAnsi="宋体" w:eastAsia="宋体" w:cs="宋体"/>
          <w:b/>
          <w:bCs w:val="0"/>
          <w:color w:val="auto"/>
          <w:sz w:val="21"/>
          <w:szCs w:val="21"/>
          <w:highlight w:val="none"/>
        </w:rPr>
        <w:t>一、项目基本情况</w:t>
      </w:r>
      <w:bookmarkEnd w:id="8"/>
      <w:bookmarkEnd w:id="9"/>
      <w:bookmarkEnd w:id="10"/>
      <w:bookmarkEnd w:id="11"/>
      <w:bookmarkEnd w:id="12"/>
      <w:bookmarkEnd w:id="13"/>
      <w:bookmarkEnd w:id="14"/>
    </w:p>
    <w:p>
      <w:pPr>
        <w:adjustRightInd w:val="0"/>
        <w:snapToGrid w:val="0"/>
        <w:ind w:firstLine="420" w:firstLineChars="200"/>
        <w:jc w:val="both"/>
        <w:rPr>
          <w:rFonts w:hint="eastAsia" w:eastAsia="宋体" w:asciiTheme="minorEastAsia" w:hAnsiTheme="minorEastAsia" w:cstheme="minorEastAsia"/>
          <w:i w:val="0"/>
          <w:caps w:val="0"/>
          <w:color w:val="auto"/>
          <w:spacing w:val="0"/>
          <w:sz w:val="21"/>
          <w:szCs w:val="21"/>
          <w:highlight w:val="none"/>
          <w:shd w:val="clear" w:fill="FFFFFF"/>
          <w:lang w:eastAsia="zh-CN"/>
        </w:rPr>
      </w:pPr>
      <w:r>
        <w:rPr>
          <w:rFonts w:hint="eastAsia" w:ascii="宋体" w:hAnsi="宋体" w:eastAsia="宋体" w:cs="宋体"/>
          <w:color w:val="auto"/>
          <w:sz w:val="21"/>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shd w:val="clear" w:fill="FFFFFF"/>
          <w:lang w:eastAsia="zh-CN"/>
        </w:rPr>
        <w:t>BSZC2020-J2-210540-ZJGC</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百色市田阳区2020年坡洪镇及五村镇乡村风貌提升基本整治型村庄片区建设工程</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竞争性谈判 □竞争性磋商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询价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99.077028万元</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99.077028万元</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百色市田阳区2020年坡洪镇及五村镇乡村风貌提升基本整治型村庄片区建设工程1项，本项目涉及五村镇达巴村、百谷村2个村8个屯，建设内容包括新建太阳能路灯、混凝土道路等基本整治建设，本项目具体内容及各项技术指标以该工程项目施工设计图纸及工程量清单为准。</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FF0000"/>
          <w:sz w:val="21"/>
          <w:szCs w:val="21"/>
          <w:highlight w:val="none"/>
          <w:u w:val="single"/>
          <w:lang w:val="en-US" w:eastAsia="zh-CN"/>
        </w:rPr>
      </w:pPr>
      <w:r>
        <w:rPr>
          <w:rFonts w:hint="eastAsia" w:ascii="宋体" w:hAnsi="宋体" w:eastAsia="宋体" w:cs="宋体"/>
          <w:color w:val="FF0000"/>
          <w:sz w:val="21"/>
          <w:szCs w:val="21"/>
          <w:highlight w:val="none"/>
        </w:rPr>
        <w:t>合同履行期限：</w:t>
      </w:r>
      <w:r>
        <w:rPr>
          <w:rFonts w:hint="eastAsia" w:ascii="宋体" w:hAnsi="宋体" w:cs="宋体"/>
          <w:color w:val="FF0000"/>
          <w:sz w:val="21"/>
          <w:szCs w:val="21"/>
          <w:highlight w:val="none"/>
          <w:lang w:val="en-US" w:eastAsia="zh-CN"/>
        </w:rPr>
        <w:t>30</w:t>
      </w:r>
      <w:r>
        <w:rPr>
          <w:rFonts w:hint="eastAsia" w:ascii="宋体" w:hAnsi="宋体" w:cs="宋体"/>
          <w:color w:val="FF0000"/>
          <w:sz w:val="21"/>
          <w:szCs w:val="21"/>
          <w:highlight w:val="none"/>
          <w:lang w:eastAsia="zh-CN"/>
        </w:rPr>
        <w:t>日历天</w:t>
      </w:r>
      <w:r>
        <w:rPr>
          <w:rFonts w:hint="eastAsia" w:ascii="宋体" w:hAnsi="宋体" w:eastAsia="宋体" w:cs="宋体"/>
          <w:color w:val="FF0000"/>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15" w:name="_Toc9283"/>
      <w:bookmarkStart w:id="16" w:name="_Toc1906"/>
      <w:bookmarkStart w:id="17" w:name="_Toc22078"/>
      <w:bookmarkStart w:id="18" w:name="_Toc35393799"/>
      <w:bookmarkStart w:id="19" w:name="_Toc28359090"/>
      <w:bookmarkStart w:id="20" w:name="_Toc28359013"/>
      <w:bookmarkStart w:id="21" w:name="_Toc35393630"/>
      <w:r>
        <w:rPr>
          <w:rFonts w:hint="eastAsia" w:ascii="宋体" w:hAnsi="宋体" w:eastAsia="宋体" w:cs="宋体"/>
          <w:b/>
          <w:bCs w:val="0"/>
          <w:color w:val="auto"/>
          <w:sz w:val="21"/>
          <w:szCs w:val="21"/>
          <w:highlight w:val="none"/>
        </w:rPr>
        <w:t>二、申请人的资格要求：</w:t>
      </w:r>
      <w:bookmarkEnd w:id="15"/>
      <w:bookmarkEnd w:id="16"/>
      <w:bookmarkEnd w:id="17"/>
      <w:bookmarkEnd w:id="18"/>
      <w:bookmarkEnd w:id="19"/>
      <w:bookmarkEnd w:id="20"/>
      <w:bookmarkEnd w:id="21"/>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22" w:name="_Toc28359014"/>
      <w:bookmarkStart w:id="23" w:name="_Toc28359091"/>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及节能环保等有关政策。</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3.1具有国内独立法人资格，符合《中华人民共和国政府采购法》的相关规定，具备建筑工程施工或市政公用工程</w:t>
      </w:r>
      <w:r>
        <w:rPr>
          <w:rFonts w:hint="eastAsia" w:ascii="宋体" w:hAnsi="宋体" w:cs="宋体"/>
          <w:color w:val="auto"/>
          <w:kern w:val="2"/>
          <w:sz w:val="21"/>
          <w:szCs w:val="21"/>
          <w:highlight w:val="none"/>
          <w:lang w:val="en-US" w:eastAsia="zh-CN" w:bidi="ar-SA"/>
        </w:rPr>
        <w:t>施工总承包</w:t>
      </w:r>
      <w:r>
        <w:rPr>
          <w:rFonts w:hint="eastAsia" w:ascii="宋体" w:hAnsi="宋体" w:eastAsia="宋体" w:cs="宋体"/>
          <w:color w:val="auto"/>
          <w:kern w:val="2"/>
          <w:sz w:val="21"/>
          <w:szCs w:val="21"/>
          <w:highlight w:val="none"/>
          <w:lang w:val="en-US" w:eastAsia="zh-CN" w:bidi="ar-SA"/>
        </w:rPr>
        <w:t>三级以上（含三级）资质，并在人员、设备、资金等方面具有相应的施工能力的施工单位。</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3.2拟投入本工程的项目经理须具备建筑工程施工或市政公用工程</w:t>
      </w:r>
      <w:r>
        <w:rPr>
          <w:rFonts w:hint="eastAsia" w:ascii="宋体" w:hAnsi="宋体" w:cs="宋体"/>
          <w:color w:val="auto"/>
          <w:kern w:val="2"/>
          <w:sz w:val="21"/>
          <w:szCs w:val="21"/>
          <w:highlight w:val="none"/>
          <w:lang w:val="en-US" w:eastAsia="zh-CN" w:bidi="ar-SA"/>
        </w:rPr>
        <w:t>专业贰级</w:t>
      </w:r>
      <w:r>
        <w:rPr>
          <w:rFonts w:hint="eastAsia" w:ascii="宋体" w:hAnsi="宋体" w:eastAsia="宋体" w:cs="宋体"/>
          <w:color w:val="auto"/>
          <w:kern w:val="2"/>
          <w:sz w:val="21"/>
          <w:szCs w:val="21"/>
          <w:highlight w:val="none"/>
          <w:lang w:val="en-US" w:eastAsia="zh-CN" w:bidi="ar-SA"/>
        </w:rPr>
        <w:t>（含贰级）以上建造师执业证书，并具备有效的安全生产考核合格证书（B证）。</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3.3已经依法获得采购人和评审专家分别书面推荐并在规定时间内购买竞争性谈判文件的竞标人才有资格参与谈判；</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rPr>
          <w:rFonts w:hint="eastAsia"/>
          <w:color w:val="auto"/>
          <w:highlight w:val="none"/>
        </w:rPr>
      </w:pPr>
      <w:r>
        <w:rPr>
          <w:rFonts w:hint="eastAsia" w:ascii="宋体" w:hAnsi="宋体" w:eastAsia="宋体" w:cs="宋体"/>
          <w:color w:val="auto"/>
          <w:kern w:val="2"/>
          <w:sz w:val="21"/>
          <w:szCs w:val="21"/>
          <w:highlight w:val="none"/>
          <w:lang w:val="en-US" w:eastAsia="zh-CN" w:bidi="ar-SA"/>
        </w:rPr>
        <w:t>3.5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1"/>
          <w:szCs w:val="21"/>
          <w:highlight w:val="none"/>
        </w:rPr>
      </w:pPr>
      <w:bookmarkStart w:id="24" w:name="_Toc35393631"/>
      <w:bookmarkStart w:id="25" w:name="_Toc35393800"/>
      <w:r>
        <w:rPr>
          <w:rFonts w:hint="eastAsia" w:ascii="宋体" w:hAnsi="宋体" w:eastAsia="宋体" w:cs="宋体"/>
          <w:b/>
          <w:bCs/>
          <w:color w:val="auto"/>
          <w:sz w:val="21"/>
          <w:szCs w:val="21"/>
          <w:highlight w:val="none"/>
        </w:rPr>
        <w:t>三、获取采购文件</w:t>
      </w:r>
      <w:bookmarkEnd w:id="22"/>
      <w:bookmarkEnd w:id="23"/>
      <w:bookmarkEnd w:id="24"/>
      <w:bookmarkEnd w:id="25"/>
      <w:bookmarkStart w:id="218" w:name="_GoBack"/>
      <w:bookmarkEnd w:id="218"/>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01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04</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01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06</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，下午</w:t>
      </w:r>
      <w:r>
        <w:rPr>
          <w:rFonts w:hint="eastAsia" w:ascii="宋体" w:hAnsi="宋体" w:eastAsia="宋体" w:cs="宋体"/>
          <w:i w:val="0"/>
          <w:iCs w:val="0"/>
          <w:color w:val="auto"/>
          <w:sz w:val="21"/>
          <w:szCs w:val="21"/>
          <w:highlight w:val="none"/>
          <w:u w:val="single"/>
        </w:rPr>
        <w:t>15:00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18:00</w:t>
      </w:r>
      <w:r>
        <w:rPr>
          <w:rFonts w:hint="eastAsia" w:ascii="宋体" w:hAnsi="宋体" w:eastAsia="宋体" w:cs="宋体"/>
          <w:color w:val="auto"/>
          <w:sz w:val="21"/>
          <w:szCs w:val="21"/>
          <w:highlight w:val="none"/>
        </w:rPr>
        <w:t>（北京时间，法定节假日除外 ）</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方式：请已经依法获得采购人和评审专家分别书面推荐的供应商的法定代表人或授权委托人在报名时间内携带以下资料，并携带原件核查：(1)授权委托书原件</w:t>
      </w:r>
      <w:r>
        <w:rPr>
          <w:rFonts w:hint="eastAsia" w:ascii="宋体" w:hAnsi="宋体" w:cs="宋体"/>
          <w:color w:val="auto"/>
          <w:sz w:val="21"/>
          <w:szCs w:val="21"/>
          <w:highlight w:val="none"/>
          <w:lang w:eastAsia="zh-CN"/>
        </w:rPr>
        <w:t>、身份证原件及复印件</w:t>
      </w:r>
      <w:r>
        <w:rPr>
          <w:rFonts w:hint="eastAsia" w:ascii="宋体" w:hAnsi="宋体" w:eastAsia="宋体" w:cs="宋体"/>
          <w:color w:val="auto"/>
          <w:sz w:val="21"/>
          <w:szCs w:val="21"/>
          <w:highlight w:val="none"/>
        </w:rPr>
        <w:t>（委托人报名时提供）；（2）有效的营业执照副本</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、资质证书副本</w:t>
      </w:r>
      <w:r>
        <w:rPr>
          <w:rFonts w:hint="eastAsia" w:ascii="宋体" w:hAnsi="宋体" w:cs="宋体"/>
          <w:color w:val="auto"/>
          <w:sz w:val="21"/>
          <w:szCs w:val="21"/>
          <w:highlight w:val="none"/>
          <w:lang w:eastAsia="zh-CN"/>
        </w:rPr>
        <w:t>复印件、安全生产许可证复印件</w:t>
      </w:r>
      <w:r>
        <w:rPr>
          <w:rFonts w:hint="eastAsia" w:ascii="宋体" w:hAnsi="宋体" w:eastAsia="宋体" w:cs="宋体"/>
          <w:color w:val="auto"/>
          <w:sz w:val="21"/>
          <w:szCs w:val="21"/>
          <w:highlight w:val="none"/>
        </w:rPr>
        <w:t>；（3）法定代表人身份证明原件及</w:t>
      </w:r>
      <w:r>
        <w:rPr>
          <w:rFonts w:hint="eastAsia" w:ascii="宋体" w:hAnsi="宋体" w:cs="宋体"/>
          <w:color w:val="auto"/>
          <w:sz w:val="21"/>
          <w:szCs w:val="21"/>
          <w:highlight w:val="none"/>
          <w:lang w:eastAsia="zh-CN"/>
        </w:rPr>
        <w:t>本人</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原件、复印件</w:t>
      </w:r>
      <w:r>
        <w:rPr>
          <w:rFonts w:hint="eastAsia" w:ascii="宋体" w:hAnsi="宋体" w:eastAsia="宋体" w:cs="宋体"/>
          <w:color w:val="auto"/>
          <w:sz w:val="21"/>
          <w:szCs w:val="21"/>
          <w:highlight w:val="none"/>
        </w:rPr>
        <w:t>(法</w:t>
      </w:r>
      <w:r>
        <w:rPr>
          <w:rFonts w:hint="eastAsia" w:ascii="宋体" w:hAnsi="宋体" w:cs="宋体"/>
          <w:color w:val="auto"/>
          <w:sz w:val="21"/>
          <w:szCs w:val="21"/>
          <w:highlight w:val="none"/>
          <w:lang w:eastAsia="zh-CN"/>
        </w:rPr>
        <w:t>定代表</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报名时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）竞争性谈判邀请书原件</w:t>
      </w:r>
      <w:r>
        <w:rPr>
          <w:rFonts w:hint="eastAsia" w:ascii="宋体" w:hAnsi="宋体" w:eastAsia="宋体" w:cs="宋体"/>
          <w:color w:val="auto"/>
          <w:sz w:val="21"/>
          <w:szCs w:val="21"/>
          <w:highlight w:val="none"/>
        </w:rPr>
        <w:t>。注明原件的请提交原件、未注明原件的请提交盖单位公章的复印件，资料齐全并经审查合格后方可受理报名。</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售价：</w:t>
      </w:r>
      <w:r>
        <w:rPr>
          <w:rFonts w:hint="eastAsia" w:ascii="宋体" w:hAnsi="宋体" w:eastAsia="宋体" w:cs="宋体"/>
          <w:color w:val="auto"/>
          <w:sz w:val="21"/>
          <w:szCs w:val="21"/>
          <w:highlight w:val="none"/>
          <w:lang w:val="en-US" w:eastAsia="zh-CN"/>
        </w:rPr>
        <w:t>0元</w:t>
      </w:r>
      <w:r>
        <w:rPr>
          <w:rFonts w:hint="eastAsia" w:ascii="宋体" w:hAnsi="宋体" w:eastAsia="宋体" w:cs="宋体"/>
          <w:color w:val="auto"/>
          <w:sz w:val="21"/>
          <w:szCs w:val="21"/>
          <w:highlight w:val="none"/>
          <w:lang w:eastAsia="zh-CN"/>
        </w:rPr>
        <w:t>。采购文件不代办邮寄、不提供电子文件。</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26" w:name="_Toc35393632"/>
      <w:bookmarkStart w:id="27" w:name="_Toc15582"/>
      <w:bookmarkStart w:id="28" w:name="_Toc28359092"/>
      <w:bookmarkStart w:id="29" w:name="_Toc28359015"/>
      <w:bookmarkStart w:id="30" w:name="_Toc2408"/>
      <w:bookmarkStart w:id="31" w:name="_Toc35393801"/>
      <w:bookmarkStart w:id="32" w:name="_Toc5554"/>
      <w:r>
        <w:rPr>
          <w:rFonts w:hint="eastAsia" w:ascii="宋体" w:hAnsi="宋体" w:eastAsia="宋体" w:cs="宋体"/>
          <w:b/>
          <w:bCs w:val="0"/>
          <w:color w:val="auto"/>
          <w:sz w:val="21"/>
          <w:szCs w:val="21"/>
          <w:highlight w:val="none"/>
        </w:rPr>
        <w:t>四、响应文件提交</w:t>
      </w:r>
      <w:bookmarkEnd w:id="26"/>
      <w:bookmarkEnd w:id="27"/>
      <w:bookmarkEnd w:id="28"/>
      <w:bookmarkEnd w:id="29"/>
      <w:bookmarkEnd w:id="30"/>
      <w:bookmarkEnd w:id="31"/>
      <w:bookmarkEnd w:id="32"/>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ascii="宋体" w:hAnsi="宋体" w:cs="宋体"/>
          <w:b/>
          <w:bCs/>
          <w:color w:val="auto"/>
          <w:sz w:val="21"/>
          <w:szCs w:val="21"/>
          <w:highlight w:val="none"/>
          <w:u w:val="single"/>
          <w:lang w:val="en-US" w:eastAsia="zh-CN"/>
        </w:rPr>
        <w:t>2021年01月07日10点00分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val="0"/>
          <w:color w:val="auto"/>
          <w:sz w:val="21"/>
          <w:szCs w:val="21"/>
          <w:highlight w:val="none"/>
        </w:rPr>
      </w:pPr>
      <w:bookmarkStart w:id="33" w:name="_Toc35393802"/>
      <w:bookmarkStart w:id="34" w:name="_Toc10641"/>
      <w:bookmarkStart w:id="35" w:name="_Toc28359093"/>
      <w:bookmarkStart w:id="36" w:name="_Toc35393633"/>
      <w:bookmarkStart w:id="37" w:name="_Toc26175"/>
      <w:bookmarkStart w:id="38" w:name="_Toc28359016"/>
      <w:bookmarkStart w:id="39" w:name="_Toc27928"/>
      <w:r>
        <w:rPr>
          <w:rFonts w:hint="eastAsia" w:ascii="宋体" w:hAnsi="宋体" w:eastAsia="宋体" w:cs="宋体"/>
          <w:b/>
          <w:bCs w:val="0"/>
          <w:color w:val="auto"/>
          <w:sz w:val="21"/>
          <w:szCs w:val="21"/>
          <w:highlight w:val="none"/>
        </w:rPr>
        <w:t>五、开启</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cs="宋体"/>
          <w:b/>
          <w:bCs/>
          <w:color w:val="auto"/>
          <w:sz w:val="21"/>
          <w:szCs w:val="21"/>
          <w:highlight w:val="none"/>
          <w:u w:val="single"/>
          <w:lang w:val="en-US" w:eastAsia="zh-CN"/>
        </w:rPr>
        <w:t>2021年01月07日10点00分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40" w:name="_Toc35393634"/>
      <w:bookmarkStart w:id="41" w:name="_Toc35393803"/>
      <w:bookmarkStart w:id="42" w:name="_Toc28359094"/>
      <w:bookmarkStart w:id="43" w:name="_Toc28359017"/>
      <w:bookmarkStart w:id="44" w:name="_Toc16221"/>
      <w:bookmarkStart w:id="45" w:name="_Toc11215"/>
      <w:bookmarkStart w:id="46" w:name="_Toc15303"/>
      <w:r>
        <w:rPr>
          <w:rFonts w:hint="eastAsia" w:ascii="宋体" w:hAnsi="宋体" w:eastAsia="宋体" w:cs="宋体"/>
          <w:b/>
          <w:bCs w:val="0"/>
          <w:color w:val="auto"/>
          <w:sz w:val="21"/>
          <w:szCs w:val="21"/>
          <w:highlight w:val="none"/>
        </w:rPr>
        <w:t>六、公告期限</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47" w:name="_Toc35393804"/>
      <w:bookmarkStart w:id="48" w:name="_Toc35393635"/>
      <w:bookmarkStart w:id="49" w:name="_Toc18856"/>
      <w:bookmarkStart w:id="50" w:name="_Toc27772"/>
      <w:bookmarkStart w:id="51" w:name="_Toc16043"/>
      <w:r>
        <w:rPr>
          <w:rFonts w:hint="eastAsia" w:ascii="宋体" w:hAnsi="宋体" w:eastAsia="宋体" w:cs="宋体"/>
          <w:b/>
          <w:bCs w:val="0"/>
          <w:color w:val="auto"/>
          <w:sz w:val="21"/>
          <w:szCs w:val="21"/>
          <w:highlight w:val="none"/>
        </w:rPr>
        <w:t>七、其他补充事宜</w:t>
      </w:r>
      <w:bookmarkEnd w:id="47"/>
      <w:bookmarkEnd w:id="48"/>
      <w:bookmarkEnd w:id="49"/>
      <w:bookmarkEnd w:id="50"/>
      <w:bookmarkEnd w:id="51"/>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1.根据《政府采购非招标采购方式管理办法》第十二条相关规定，本项目由采购人和评审专家分别书面推荐的方式推荐及邀请不少于3家符合相应资格条件的供应商参与竞争性谈判采购活动。</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2.竞标保证金</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w:t>
      </w:r>
      <w:r>
        <w:rPr>
          <w:rFonts w:hint="eastAsia" w:ascii="宋体" w:hAnsi="宋体" w:cs="宋体"/>
          <w:color w:val="auto"/>
          <w:sz w:val="21"/>
          <w:szCs w:val="21"/>
          <w:highlight w:val="none"/>
          <w:lang w:eastAsia="zh-CN"/>
        </w:rPr>
        <w:t>人民币壹万元整（￥10000.00）</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竞标保证金的形式：竞标人应于截标前将</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谈判保证金从竞标人的基本账户以电汇、转帐、汇票等非现金形式交至以下账户：</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 户 名：广西壮锦工程管理咨询有限公司</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开户银行：广西北部湾银行百色分行营业部</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银行账号：800133911488883</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注：办理竞标保证金手续时，请务必在银行底单用途栏或空白栏上注明竞标项目名称（可简称）或项目编号。</w:t>
      </w:r>
    </w:p>
    <w:p>
      <w:pPr>
        <w:pStyle w:val="2"/>
        <w:pageBreakBefore w:val="0"/>
        <w:kinsoku/>
        <w:wordWrap/>
        <w:overflowPunct/>
        <w:topLinePunct w:val="0"/>
        <w:autoSpaceDE/>
        <w:autoSpaceDN/>
        <w:bidi w:val="0"/>
        <w:adjustRightInd/>
        <w:snapToGrid/>
        <w:spacing w:line="320" w:lineRule="exac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3.网上公告媒体：中国政府采购网http://www.ccgp.gov.cn、广西壮族自治区政府采购网http://www.gxzfcg.gov.cn。</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52" w:name="_Toc35393805"/>
      <w:bookmarkStart w:id="53" w:name="_Toc10224"/>
      <w:bookmarkStart w:id="54" w:name="_Toc25990"/>
      <w:bookmarkStart w:id="55" w:name="_Toc538"/>
      <w:bookmarkStart w:id="56" w:name="_Toc35393636"/>
      <w:bookmarkStart w:id="57" w:name="_Toc28359095"/>
      <w:bookmarkStart w:id="58" w:name="_Toc28359018"/>
      <w:r>
        <w:rPr>
          <w:rFonts w:hint="eastAsia" w:ascii="宋体" w:hAnsi="宋体" w:eastAsia="宋体" w:cs="宋体"/>
          <w:b/>
          <w:bCs w:val="0"/>
          <w:color w:val="auto"/>
          <w:sz w:val="21"/>
          <w:szCs w:val="21"/>
          <w:highlight w:val="none"/>
        </w:rPr>
        <w:t>八、凡对本次采购提出询问，请按以下方式联系。</w:t>
      </w:r>
      <w:bookmarkEnd w:id="52"/>
      <w:bookmarkEnd w:id="53"/>
      <w:bookmarkEnd w:id="54"/>
      <w:bookmarkEnd w:id="55"/>
      <w:bookmarkEnd w:id="56"/>
      <w:bookmarkEnd w:id="57"/>
      <w:bookmarkEnd w:id="58"/>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59" w:name="_Toc35393637"/>
      <w:bookmarkStart w:id="60" w:name="_Toc10599"/>
      <w:bookmarkStart w:id="61" w:name="_Toc28359096"/>
      <w:bookmarkStart w:id="62" w:name="_Toc28359019"/>
      <w:bookmarkStart w:id="63" w:name="_Toc6995"/>
      <w:bookmarkStart w:id="64" w:name="_Toc35393806"/>
      <w:r>
        <w:rPr>
          <w:rFonts w:hint="eastAsia" w:ascii="宋体" w:hAnsi="宋体" w:eastAsia="宋体" w:cs="宋体"/>
          <w:color w:val="auto"/>
          <w:sz w:val="21"/>
          <w:szCs w:val="21"/>
          <w:highlight w:val="none"/>
        </w:rPr>
        <w:t>1.采购人信息</w:t>
      </w:r>
      <w:bookmarkEnd w:id="59"/>
      <w:bookmarkEnd w:id="60"/>
      <w:bookmarkEnd w:id="61"/>
      <w:bookmarkEnd w:id="62"/>
      <w:bookmarkEnd w:id="63"/>
      <w:bookmarkEnd w:id="64"/>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百色市田阳区住房和城乡建设局</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田阳县田州镇金狮街5号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eastAsia="zh-CN"/>
        </w:rPr>
        <w:t>黄</w:t>
      </w:r>
      <w:r>
        <w:rPr>
          <w:rFonts w:hint="eastAsia" w:ascii="宋体" w:hAnsi="宋体" w:cs="宋体"/>
          <w:color w:val="auto"/>
          <w:sz w:val="21"/>
          <w:szCs w:val="21"/>
          <w:highlight w:val="none"/>
          <w:lang w:val="en-US" w:eastAsia="zh-CN"/>
        </w:rPr>
        <w:t>剑扬</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0776-3388096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65" w:name="_Toc28359020"/>
      <w:bookmarkStart w:id="66" w:name="_Toc13673"/>
      <w:bookmarkStart w:id="67" w:name="_Toc7396"/>
      <w:bookmarkStart w:id="68" w:name="_Toc35393638"/>
      <w:bookmarkStart w:id="69" w:name="_Toc35393807"/>
      <w:bookmarkStart w:id="70" w:name="_Toc28359097"/>
      <w:r>
        <w:rPr>
          <w:rFonts w:hint="eastAsia" w:ascii="宋体" w:hAnsi="宋体" w:eastAsia="宋体" w:cs="宋体"/>
          <w:color w:val="auto"/>
          <w:sz w:val="21"/>
          <w:szCs w:val="21"/>
          <w:highlight w:val="none"/>
        </w:rPr>
        <w:t>2.采购代理机构信息</w:t>
      </w:r>
      <w:bookmarkEnd w:id="65"/>
      <w:bookmarkEnd w:id="66"/>
      <w:bookmarkEnd w:id="67"/>
      <w:bookmarkEnd w:id="68"/>
      <w:bookmarkEnd w:id="69"/>
      <w:bookmarkEnd w:id="70"/>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称：广西壮锦工程管理咨询有限公司</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址：百色市右江区前程路4号长乐星城第一幢10层1006号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黄诚</w:t>
      </w:r>
      <w:r>
        <w:rPr>
          <w:rFonts w:hint="eastAsia" w:ascii="宋体" w:hAnsi="宋体" w:eastAsia="宋体" w:cs="宋体"/>
          <w:color w:val="auto"/>
          <w:sz w:val="21"/>
          <w:szCs w:val="21"/>
          <w:highlight w:val="none"/>
          <w:lang w:val="en-US" w:eastAsia="zh-CN"/>
        </w:rPr>
        <w:t xml:space="preserve">  0776-2964446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71" w:name="_Toc28359021"/>
      <w:bookmarkStart w:id="72" w:name="_Toc2996"/>
      <w:bookmarkStart w:id="73" w:name="_Toc28359098"/>
      <w:bookmarkStart w:id="74" w:name="_Toc35393808"/>
      <w:bookmarkStart w:id="75" w:name="_Toc28058"/>
      <w:bookmarkStart w:id="76" w:name="_Toc35393639"/>
      <w:r>
        <w:rPr>
          <w:rFonts w:hint="eastAsia" w:ascii="宋体" w:hAnsi="宋体" w:eastAsia="宋体" w:cs="宋体"/>
          <w:color w:val="auto"/>
          <w:sz w:val="21"/>
          <w:szCs w:val="21"/>
          <w:highlight w:val="none"/>
        </w:rPr>
        <w:t>3.项目联系方式</w:t>
      </w:r>
      <w:bookmarkEnd w:id="71"/>
      <w:bookmarkEnd w:id="72"/>
      <w:bookmarkEnd w:id="73"/>
      <w:bookmarkEnd w:id="74"/>
      <w:bookmarkEnd w:id="75"/>
      <w:bookmarkEnd w:id="76"/>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黄诚</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话：0776-2964446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监督部门：</w:t>
      </w:r>
      <w:r>
        <w:rPr>
          <w:rFonts w:hint="eastAsia" w:ascii="宋体" w:hAnsi="宋体" w:cs="宋体"/>
          <w:color w:val="auto"/>
          <w:sz w:val="21"/>
          <w:szCs w:val="21"/>
          <w:highlight w:val="none"/>
          <w:lang w:eastAsia="zh-CN"/>
        </w:rPr>
        <w:t>百色市田阳区政府采购服务中心</w:t>
      </w:r>
      <w:r>
        <w:rPr>
          <w:rFonts w:hint="eastAsia" w:ascii="宋体" w:hAnsi="宋体" w:eastAsia="宋体" w:cs="宋体"/>
          <w:color w:val="auto"/>
          <w:sz w:val="21"/>
          <w:szCs w:val="21"/>
          <w:highlight w:val="none"/>
        </w:rPr>
        <w:t> 电话：</w:t>
      </w:r>
      <w:r>
        <w:rPr>
          <w:rFonts w:hint="eastAsia" w:ascii="宋体" w:hAnsi="宋体" w:cs="宋体"/>
          <w:color w:val="auto"/>
          <w:sz w:val="21"/>
          <w:szCs w:val="21"/>
          <w:highlight w:val="none"/>
          <w:lang w:eastAsia="zh-CN"/>
        </w:rPr>
        <w:t>0776-3280823</w:t>
      </w:r>
    </w:p>
    <w:p>
      <w:pPr>
        <w:pStyle w:val="2"/>
        <w:rPr>
          <w:rFonts w:hint="default" w:eastAsia="宋体"/>
          <w:color w:val="auto"/>
          <w:highlight w:val="none"/>
          <w:lang w:val="en-US" w:eastAsia="zh-CN"/>
        </w:rPr>
      </w:pPr>
    </w:p>
    <w:p>
      <w:pPr>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Arial"/>
          <w:color w:val="auto"/>
          <w:szCs w:val="21"/>
          <w:highlight w:val="none"/>
          <w:lang w:eastAsia="zh-CN"/>
        </w:rPr>
      </w:pPr>
    </w:p>
    <w:p>
      <w:pPr>
        <w:pageBreakBefore w:val="0"/>
        <w:widowControl w:val="0"/>
        <w:kinsoku/>
        <w:wordWrap/>
        <w:overflowPunct/>
        <w:topLinePunct w:val="0"/>
        <w:autoSpaceDE/>
        <w:autoSpaceDN/>
        <w:bidi w:val="0"/>
        <w:adjustRightInd/>
        <w:snapToGrid/>
        <w:spacing w:line="360" w:lineRule="exact"/>
        <w:ind w:left="0" w:leftChars="0" w:firstLine="1680" w:firstLineChars="800"/>
        <w:jc w:val="right"/>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广西壮锦工程管理咨询有限公司</w:t>
      </w:r>
      <w:r>
        <w:rPr>
          <w:rFonts w:hint="eastAsia" w:ascii="宋体" w:hAnsi="宋体" w:cs="Arial"/>
          <w:color w:val="auto"/>
          <w:szCs w:val="21"/>
          <w:highlight w:val="none"/>
        </w:rPr>
        <w:t xml:space="preserve"> </w:t>
      </w:r>
    </w:p>
    <w:p>
      <w:pPr>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olor w:val="0000FF"/>
          <w:szCs w:val="21"/>
          <w:highlight w:val="none"/>
        </w:rPr>
      </w:pPr>
      <w:r>
        <w:rPr>
          <w:rFonts w:hint="eastAsia" w:ascii="宋体" w:hAnsi="宋体"/>
          <w:color w:val="auto"/>
          <w:szCs w:val="21"/>
          <w:highlight w:val="none"/>
        </w:rPr>
        <w:t xml:space="preserve">                                                          </w:t>
      </w:r>
      <w:r>
        <w:rPr>
          <w:rFonts w:hint="eastAsia" w:ascii="宋体" w:hAnsi="宋体"/>
          <w:color w:val="0000FF"/>
          <w:szCs w:val="21"/>
          <w:highlight w:val="none"/>
          <w:lang w:val="en-US" w:eastAsia="zh-CN"/>
        </w:rPr>
        <w:t xml:space="preserve">  </w:t>
      </w:r>
      <w:r>
        <w:rPr>
          <w:rFonts w:hint="eastAsia" w:ascii="宋体" w:hAnsi="宋体"/>
          <w:color w:val="0000FF"/>
          <w:szCs w:val="21"/>
          <w:highlight w:val="none"/>
        </w:rPr>
        <w:t>20</w:t>
      </w:r>
      <w:r>
        <w:rPr>
          <w:rFonts w:hint="eastAsia" w:ascii="宋体" w:hAnsi="宋体"/>
          <w:color w:val="0000FF"/>
          <w:szCs w:val="21"/>
          <w:highlight w:val="none"/>
          <w:lang w:val="en-US" w:eastAsia="zh-CN"/>
        </w:rPr>
        <w:t>20</w:t>
      </w:r>
      <w:r>
        <w:rPr>
          <w:rFonts w:hint="eastAsia" w:ascii="宋体" w:hAnsi="宋体"/>
          <w:color w:val="0000FF"/>
          <w:szCs w:val="21"/>
          <w:highlight w:val="none"/>
        </w:rPr>
        <w:t>年</w:t>
      </w:r>
      <w:r>
        <w:rPr>
          <w:rFonts w:hint="eastAsia" w:ascii="宋体" w:hAnsi="宋体"/>
          <w:color w:val="0000FF"/>
          <w:szCs w:val="21"/>
          <w:highlight w:val="none"/>
          <w:lang w:val="en-US" w:eastAsia="zh-CN"/>
        </w:rPr>
        <w:t>12</w:t>
      </w:r>
      <w:r>
        <w:rPr>
          <w:rFonts w:hint="eastAsia" w:ascii="宋体" w:hAnsi="宋体"/>
          <w:color w:val="0000FF"/>
          <w:szCs w:val="21"/>
          <w:highlight w:val="none"/>
        </w:rPr>
        <w:t>月</w:t>
      </w:r>
      <w:r>
        <w:rPr>
          <w:rFonts w:hint="eastAsia" w:ascii="宋体" w:hAnsi="宋体"/>
          <w:color w:val="0000FF"/>
          <w:szCs w:val="21"/>
          <w:highlight w:val="none"/>
          <w:lang w:val="en-US" w:eastAsia="zh-CN"/>
        </w:rPr>
        <w:t>25</w:t>
      </w:r>
      <w:r>
        <w:rPr>
          <w:rFonts w:hint="eastAsia" w:ascii="宋体" w:hAnsi="宋体"/>
          <w:color w:val="0000FF"/>
          <w:szCs w:val="21"/>
          <w:highlight w:val="none"/>
        </w:rPr>
        <w:t>日</w:t>
      </w:r>
    </w:p>
    <w:p>
      <w:pPr>
        <w:pStyle w:val="4"/>
        <w:numPr>
          <w:ilvl w:val="0"/>
          <w:numId w:val="0"/>
        </w:numPr>
        <w:jc w:val="center"/>
        <w:rPr>
          <w:rFonts w:ascii="宋体" w:hAnsi="宋体"/>
          <w:b/>
          <w:bCs w:val="0"/>
          <w:color w:val="auto"/>
          <w:sz w:val="36"/>
          <w:szCs w:val="36"/>
          <w:highlight w:val="none"/>
        </w:rPr>
      </w:pPr>
      <w:bookmarkStart w:id="77" w:name="_Toc29856"/>
      <w:r>
        <w:rPr>
          <w:rFonts w:hint="eastAsia" w:ascii="宋体" w:hAnsi="宋体"/>
          <w:b/>
          <w:bCs w:val="0"/>
          <w:color w:val="auto"/>
          <w:sz w:val="36"/>
          <w:szCs w:val="36"/>
          <w:highlight w:val="none"/>
          <w:lang w:eastAsia="zh-CN"/>
        </w:rPr>
        <w:t>第一章</w:t>
      </w:r>
      <w:r>
        <w:rPr>
          <w:rFonts w:hint="eastAsia" w:ascii="宋体" w:hAnsi="宋体"/>
          <w:b/>
          <w:bCs w:val="0"/>
          <w:color w:val="auto"/>
          <w:sz w:val="36"/>
          <w:szCs w:val="36"/>
          <w:highlight w:val="none"/>
          <w:lang w:val="en-US" w:eastAsia="zh-CN"/>
        </w:rPr>
        <w:t xml:space="preserve">  </w:t>
      </w:r>
      <w:r>
        <w:rPr>
          <w:rFonts w:hint="eastAsia" w:ascii="宋体" w:hAnsi="宋体"/>
          <w:b/>
          <w:bCs w:val="0"/>
          <w:color w:val="auto"/>
          <w:sz w:val="36"/>
          <w:szCs w:val="36"/>
          <w:highlight w:val="none"/>
        </w:rPr>
        <w:t xml:space="preserve"> 竞标须知前附表</w:t>
      </w:r>
      <w:bookmarkEnd w:id="77"/>
    </w:p>
    <w:p>
      <w:pPr>
        <w:rPr>
          <w:color w:val="auto"/>
          <w:highlight w:val="none"/>
        </w:rPr>
      </w:pP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904"/>
        <w:gridCol w:w="1825"/>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blHeader/>
        </w:trPr>
        <w:tc>
          <w:tcPr>
            <w:tcW w:w="721"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项号</w:t>
            </w:r>
          </w:p>
        </w:tc>
        <w:tc>
          <w:tcPr>
            <w:tcW w:w="904"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条款号</w:t>
            </w:r>
          </w:p>
        </w:tc>
        <w:tc>
          <w:tcPr>
            <w:tcW w:w="1825"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内容</w:t>
            </w:r>
          </w:p>
        </w:tc>
        <w:tc>
          <w:tcPr>
            <w:tcW w:w="6265"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w:t>
            </w:r>
          </w:p>
        </w:tc>
        <w:tc>
          <w:tcPr>
            <w:tcW w:w="904" w:type="dxa"/>
            <w:vAlign w:val="center"/>
          </w:tcPr>
          <w:p>
            <w:pPr>
              <w:spacing w:line="440" w:lineRule="exact"/>
              <w:jc w:val="center"/>
              <w:rPr>
                <w:rFonts w:ascii="宋体" w:hAnsi="宋体" w:cs="Courier New"/>
                <w:color w:val="auto"/>
                <w:spacing w:val="2"/>
                <w:szCs w:val="21"/>
                <w:highlight w:val="none"/>
              </w:rPr>
            </w:pPr>
            <w:r>
              <w:rPr>
                <w:rFonts w:ascii="宋体" w:hAnsi="宋体" w:cs="Courier New"/>
                <w:color w:val="auto"/>
                <w:spacing w:val="2"/>
                <w:sz w:val="24"/>
                <w:highlight w:val="none"/>
              </w:rPr>
              <w:t>1.1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项目名称</w:t>
            </w:r>
          </w:p>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项目编号</w:t>
            </w:r>
          </w:p>
        </w:tc>
        <w:tc>
          <w:tcPr>
            <w:tcW w:w="6265" w:type="dxa"/>
          </w:tcPr>
          <w:p>
            <w:pPr>
              <w:spacing w:line="300" w:lineRule="exact"/>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olor w:val="auto"/>
                <w:highlight w:val="none"/>
                <w:lang w:eastAsia="zh-CN"/>
              </w:rPr>
              <w:t>百色市田阳区2020年坡洪镇及五村镇乡村风貌提升基本整治型村庄片区建设工程</w:t>
            </w:r>
          </w:p>
          <w:p>
            <w:pPr>
              <w:adjustRightInd w:val="0"/>
              <w:snapToGrid w:val="0"/>
              <w:jc w:val="both"/>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shd w:val="clear" w:fill="FFFFFF"/>
                <w:lang w:eastAsia="zh-CN"/>
              </w:rPr>
              <w:t>BSZC2020-J2-210540-ZJGC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2</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2</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265" w:type="dxa"/>
            <w:vAlign w:val="center"/>
          </w:tcPr>
          <w:p>
            <w:pPr>
              <w:spacing w:line="30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田阳区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3</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3</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265" w:type="dxa"/>
            <w:vAlign w:val="center"/>
          </w:tcPr>
          <w:p>
            <w:pPr>
              <w:spacing w:line="300" w:lineRule="exact"/>
              <w:rPr>
                <w:rFonts w:ascii="宋体" w:hAnsi="Courier New"/>
                <w:color w:val="auto"/>
                <w:szCs w:val="21"/>
                <w:highlight w:val="none"/>
              </w:rPr>
            </w:pPr>
            <w:r>
              <w:rPr>
                <w:rFonts w:hint="eastAsia" w:ascii="宋体" w:hAnsi="Courier New"/>
                <w:color w:val="auto"/>
                <w:szCs w:val="21"/>
                <w:highlight w:val="none"/>
              </w:rPr>
              <w:t>符合国家现行工程施工质量验收规范合格标准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4</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4</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竞标范围</w:t>
            </w:r>
          </w:p>
        </w:tc>
        <w:tc>
          <w:tcPr>
            <w:tcW w:w="6265" w:type="dxa"/>
            <w:vAlign w:val="center"/>
          </w:tcPr>
          <w:p>
            <w:pPr>
              <w:spacing w:line="300" w:lineRule="exact"/>
              <w:jc w:val="left"/>
              <w:rPr>
                <w:rFonts w:ascii="宋体" w:hAnsi="宋体" w:cs="Courier New"/>
                <w:color w:val="auto"/>
                <w:spacing w:val="2"/>
                <w:szCs w:val="21"/>
                <w:highlight w:val="none"/>
              </w:rPr>
            </w:pPr>
            <w:r>
              <w:rPr>
                <w:rFonts w:hint="eastAsia" w:ascii="宋体" w:hAnsi="宋体" w:cs="Courier New"/>
                <w:color w:val="auto"/>
                <w:spacing w:val="2"/>
                <w:szCs w:val="21"/>
                <w:highlight w:val="none"/>
              </w:rPr>
              <w:t>百色市田阳区2020年坡洪镇及五村镇乡村风貌提升基本整治型村庄片区建设工程1项，本项目涉及五村镇达巴村、百谷村2个村8个屯，建设内容包括新建太阳能路灯、混凝土道路等基本整治建设，本项目具体内容及各项技术指标以该工程项目施工设计图纸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5</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5</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265" w:type="dxa"/>
            <w:vAlign w:val="center"/>
          </w:tcPr>
          <w:p>
            <w:pPr>
              <w:spacing w:line="300" w:lineRule="exact"/>
              <w:rPr>
                <w:rFonts w:ascii="宋体" w:hAnsi="Courier New"/>
                <w:color w:val="auto"/>
                <w:szCs w:val="21"/>
                <w:highlight w:val="none"/>
              </w:rPr>
            </w:pPr>
            <w:r>
              <w:rPr>
                <w:rFonts w:hint="eastAsia" w:ascii="宋体" w:hAnsi="宋体"/>
                <w:color w:val="FF0000"/>
                <w:szCs w:val="21"/>
                <w:highlight w:val="none"/>
                <w:u w:val="singl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7"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6</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6.1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hAnsi="宋体" w:cs="Courier New"/>
                <w:color w:val="auto"/>
                <w:spacing w:val="2"/>
                <w:szCs w:val="21"/>
                <w:highlight w:val="none"/>
              </w:rPr>
              <w:t>竞标人资格要求</w:t>
            </w:r>
          </w:p>
        </w:tc>
        <w:tc>
          <w:tcPr>
            <w:tcW w:w="6265" w:type="dxa"/>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及节能环保等有关政策。</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3.本项目的特定资格要求：</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3.1具有国内独立法人资格，符合《中华人民共和国政府采购法》的相关规定，具备建筑工程施工或市政公用工程</w:t>
            </w:r>
            <w:r>
              <w:rPr>
                <w:rFonts w:hint="eastAsia" w:ascii="宋体" w:hAnsi="宋体"/>
                <w:color w:val="auto"/>
                <w:szCs w:val="21"/>
                <w:highlight w:val="none"/>
                <w:lang w:eastAsia="zh-CN"/>
              </w:rPr>
              <w:t>施工总承包</w:t>
            </w:r>
            <w:r>
              <w:rPr>
                <w:rFonts w:hint="eastAsia" w:ascii="宋体" w:hAnsi="宋体"/>
                <w:color w:val="auto"/>
                <w:szCs w:val="21"/>
                <w:highlight w:val="none"/>
              </w:rPr>
              <w:t>三级以上（含三级）资质，并在人员、设备、资金等方面具有相应的施工能力的施工单位。</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3.2拟投入本工程的项目经理须具备</w:t>
            </w:r>
            <w:r>
              <w:rPr>
                <w:rFonts w:hint="eastAsia" w:ascii="宋体" w:hAnsi="宋体" w:eastAsia="宋体" w:cs="宋体"/>
                <w:color w:val="auto"/>
                <w:kern w:val="2"/>
                <w:sz w:val="21"/>
                <w:szCs w:val="21"/>
                <w:highlight w:val="none"/>
                <w:lang w:val="en-US" w:eastAsia="zh-CN" w:bidi="ar-SA"/>
              </w:rPr>
              <w:t>建筑工程施工或市政公用工程</w:t>
            </w:r>
            <w:r>
              <w:rPr>
                <w:rFonts w:hint="eastAsia" w:ascii="宋体" w:hAnsi="宋体"/>
                <w:color w:val="auto"/>
                <w:szCs w:val="21"/>
                <w:highlight w:val="none"/>
                <w:lang w:eastAsia="zh-CN"/>
              </w:rPr>
              <w:t>专业贰级</w:t>
            </w:r>
            <w:r>
              <w:rPr>
                <w:rFonts w:hint="eastAsia" w:ascii="宋体" w:hAnsi="宋体"/>
                <w:color w:val="auto"/>
                <w:szCs w:val="21"/>
                <w:highlight w:val="none"/>
              </w:rPr>
              <w:t>（含贰级）以上建造师执业证书，并具备有效的安全生产考核合格证书（B证）。</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3.3已经依法获得采购人和评审专家分别书面推荐并在规定时间内购买竞争性谈判文件的竞标人才有资格参与谈判；</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00" w:lineRule="exact"/>
              <w:jc w:val="left"/>
              <w:rPr>
                <w:rFonts w:ascii="宋体" w:hAnsi="宋体"/>
                <w:color w:val="auto"/>
                <w:szCs w:val="21"/>
                <w:highlight w:val="none"/>
              </w:rPr>
            </w:pPr>
            <w:r>
              <w:rPr>
                <w:rFonts w:hint="eastAsia" w:ascii="宋体" w:hAnsi="宋体"/>
                <w:color w:val="auto"/>
                <w:szCs w:val="21"/>
                <w:highlight w:val="none"/>
              </w:rPr>
              <w:t>3.5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7</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7</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报价方式</w:t>
            </w:r>
          </w:p>
        </w:tc>
        <w:tc>
          <w:tcPr>
            <w:tcW w:w="6265" w:type="dxa"/>
            <w:vAlign w:val="center"/>
          </w:tcPr>
          <w:p>
            <w:pPr>
              <w:pStyle w:val="48"/>
              <w:spacing w:line="300" w:lineRule="exact"/>
              <w:rPr>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8</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8.1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竞标有效期</w:t>
            </w:r>
          </w:p>
        </w:tc>
        <w:tc>
          <w:tcPr>
            <w:tcW w:w="6265"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竞标截止之日后</w:t>
            </w:r>
            <w:r>
              <w:rPr>
                <w:rFonts w:hint="eastAsia" w:ascii="宋体" w:hAnsi="宋体" w:cs="Courier New"/>
                <w:color w:val="auto"/>
                <w:spacing w:val="2"/>
                <w:szCs w:val="21"/>
                <w:highlight w:val="none"/>
                <w:u w:val="single"/>
              </w:rPr>
              <w:t xml:space="preserve"> 60</w:t>
            </w:r>
            <w:r>
              <w:rPr>
                <w:rFonts w:hint="eastAsia" w:ascii="宋体" w:hAnsi="宋体" w:cs="Courier New"/>
                <w:color w:val="auto"/>
                <w:spacing w:val="2"/>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9</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9.1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竞标保证金</w:t>
            </w:r>
          </w:p>
        </w:tc>
        <w:tc>
          <w:tcPr>
            <w:tcW w:w="6265" w:type="dxa"/>
            <w:vAlign w:val="center"/>
          </w:tcPr>
          <w:p>
            <w:pPr>
              <w:widowControl/>
              <w:autoSpaceDE w:val="0"/>
              <w:autoSpaceDN w:val="0"/>
              <w:spacing w:line="320" w:lineRule="exact"/>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rPr>
              <w:t>本项目竞标保证金为</w:t>
            </w:r>
            <w:r>
              <w:rPr>
                <w:rFonts w:hint="eastAsia" w:ascii="宋体" w:hAnsi="宋体" w:cs="Arial"/>
                <w:b/>
                <w:bCs w:val="0"/>
                <w:color w:val="auto"/>
                <w:szCs w:val="21"/>
                <w:highlight w:val="none"/>
                <w:u w:val="single"/>
                <w:lang w:eastAsia="zh-CN"/>
              </w:rPr>
              <w:t>人民币壹万元整（￥10000.00）；</w:t>
            </w:r>
          </w:p>
          <w:p>
            <w:pPr>
              <w:widowControl/>
              <w:autoSpaceDE w:val="0"/>
              <w:autoSpaceDN w:val="0"/>
              <w:spacing w:line="320" w:lineRule="exact"/>
              <w:rPr>
                <w:rFonts w:ascii="宋体" w:hAnsi="宋体" w:cs="Arial"/>
                <w:bCs/>
                <w:color w:val="auto"/>
                <w:szCs w:val="21"/>
                <w:highlight w:val="none"/>
              </w:rPr>
            </w:pPr>
            <w:r>
              <w:rPr>
                <w:rFonts w:hint="eastAsia" w:ascii="宋体" w:hAnsi="宋体" w:cs="Arial"/>
                <w:bCs/>
                <w:color w:val="auto"/>
                <w:szCs w:val="21"/>
                <w:highlight w:val="none"/>
              </w:rPr>
              <w:t>竞标人应在竞标截止日期前将竞标保证金从竞标人单位基本账户汇到以下银行账户上：</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开 户 名：广西壮锦工程管理咨询有限公司</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开户银行：广西北部湾银行百色分行营业部</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银行账号：800133911488883</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注：办理投标保证金手续时，请务必在银行转账单或电汇单上注明项目名称或项目编号的竞标保证金。</w:t>
            </w:r>
          </w:p>
          <w:p>
            <w:pPr>
              <w:widowControl/>
              <w:autoSpaceDE w:val="0"/>
              <w:autoSpaceDN w:val="0"/>
              <w:spacing w:line="320" w:lineRule="exact"/>
              <w:rPr>
                <w:rFonts w:ascii="宋体" w:hAnsi="宋体"/>
                <w:b/>
                <w:bCs/>
                <w:color w:val="auto"/>
                <w:highlight w:val="none"/>
              </w:rPr>
            </w:pPr>
            <w:r>
              <w:rPr>
                <w:rFonts w:hint="eastAsia" w:ascii="宋体" w:hAnsi="宋体" w:cs="Arial"/>
                <w:b/>
                <w:color w:val="auto"/>
                <w:szCs w:val="21"/>
                <w:highlight w:val="none"/>
              </w:rPr>
              <w:t>申请退保证所需要材料</w:t>
            </w:r>
            <w:r>
              <w:rPr>
                <w:rFonts w:hint="eastAsia" w:ascii="宋体" w:hAnsi="宋体"/>
                <w:b/>
                <w:bCs/>
                <w:color w:val="auto"/>
                <w:highlight w:val="none"/>
              </w:rPr>
              <w:t>:</w:t>
            </w:r>
          </w:p>
          <w:p>
            <w:pPr>
              <w:snapToGrid w:val="0"/>
              <w:spacing w:line="320" w:lineRule="exact"/>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b/>
                <w:color w:val="auto"/>
                <w:szCs w:val="21"/>
                <w:highlight w:val="none"/>
              </w:rPr>
              <w:t>落标单位：</w:t>
            </w:r>
            <w:r>
              <w:rPr>
                <w:rFonts w:hint="eastAsia" w:ascii="宋体" w:hAnsi="宋体" w:cs="Arial"/>
                <w:color w:val="auto"/>
                <w:szCs w:val="21"/>
                <w:highlight w:val="none"/>
              </w:rPr>
              <w:t>退保函原件，保证金银行底单（到账证明，若有），开户许可证</w:t>
            </w:r>
            <w:r>
              <w:rPr>
                <w:rFonts w:hint="eastAsia" w:ascii="宋体" w:hAnsi="宋体"/>
                <w:color w:val="auto"/>
                <w:sz w:val="24"/>
                <w:highlight w:val="none"/>
              </w:rPr>
              <w:t>（或基本存款账户信息）</w:t>
            </w:r>
            <w:r>
              <w:rPr>
                <w:rFonts w:hint="eastAsia" w:ascii="宋体" w:hAnsi="宋体" w:cs="Arial"/>
                <w:color w:val="auto"/>
                <w:szCs w:val="21"/>
                <w:highlight w:val="none"/>
              </w:rPr>
              <w:t>。</w:t>
            </w:r>
          </w:p>
          <w:p>
            <w:pPr>
              <w:autoSpaceDE w:val="0"/>
              <w:autoSpaceDN w:val="0"/>
              <w:adjustRightInd w:val="0"/>
              <w:snapToGrid w:val="0"/>
              <w:spacing w:line="300" w:lineRule="exact"/>
              <w:jc w:val="left"/>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b/>
                <w:color w:val="auto"/>
                <w:szCs w:val="21"/>
                <w:highlight w:val="none"/>
              </w:rPr>
              <w:t>成交单位：</w:t>
            </w:r>
            <w:r>
              <w:rPr>
                <w:rFonts w:hint="eastAsia" w:ascii="宋体" w:hAnsi="宋体" w:cs="Arial"/>
                <w:color w:val="auto"/>
                <w:szCs w:val="21"/>
                <w:highlight w:val="none"/>
              </w:rPr>
              <w:t>退保函原件，保证金银行底单（到账证明，若有），开户许可证</w:t>
            </w:r>
            <w:r>
              <w:rPr>
                <w:rFonts w:hint="eastAsia" w:ascii="宋体" w:hAnsi="宋体"/>
                <w:color w:val="auto"/>
                <w:sz w:val="24"/>
                <w:highlight w:val="none"/>
              </w:rPr>
              <w:t>（或基本存款账户信息）</w:t>
            </w:r>
            <w:r>
              <w:rPr>
                <w:rFonts w:hint="eastAsia" w:ascii="宋体" w:hAnsi="宋体" w:cs="Arial"/>
                <w:color w:val="auto"/>
                <w:szCs w:val="21"/>
                <w:highlight w:val="none"/>
              </w:rPr>
              <w:t>，合同书。</w:t>
            </w:r>
          </w:p>
          <w:p>
            <w:pPr>
              <w:autoSpaceDE w:val="0"/>
              <w:autoSpaceDN w:val="0"/>
              <w:adjustRightInd w:val="0"/>
              <w:snapToGrid w:val="0"/>
              <w:spacing w:line="300" w:lineRule="exact"/>
              <w:jc w:val="left"/>
              <w:rPr>
                <w:rFonts w:hint="eastAsia" w:ascii="宋体" w:hAnsi="宋体" w:eastAsia="宋体" w:cs="Arial"/>
                <w:color w:val="auto"/>
                <w:szCs w:val="21"/>
                <w:highlight w:val="none"/>
                <w:lang w:eastAsia="zh-CN"/>
              </w:rPr>
            </w:pPr>
            <w:r>
              <w:rPr>
                <w:rFonts w:hint="eastAsia" w:ascii="宋体" w:hAnsi="宋体" w:cs="Arial"/>
                <w:b/>
                <w:bCs/>
                <w:color w:val="auto"/>
                <w:szCs w:val="21"/>
                <w:highlight w:val="none"/>
              </w:rPr>
              <w:t>退保证金财务电话：</w:t>
            </w:r>
            <w:r>
              <w:rPr>
                <w:rFonts w:hint="eastAsia" w:ascii="宋体" w:hAnsi="宋体" w:cs="Arial"/>
                <w:b/>
                <w:bCs/>
                <w:color w:val="auto"/>
                <w:szCs w:val="21"/>
                <w:highlight w:val="none"/>
                <w:lang w:eastAsia="zh-CN"/>
              </w:rPr>
              <w:t>0776-2964446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10</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10</w:t>
            </w:r>
            <w:r>
              <w:rPr>
                <w:rFonts w:ascii="宋体" w:hAnsi="宋体" w:cs="Courier New"/>
                <w:color w:val="auto"/>
                <w:spacing w:val="2"/>
                <w:sz w:val="24"/>
                <w:highlight w:val="none"/>
              </w:rPr>
              <w:t>.</w:t>
            </w:r>
            <w:r>
              <w:rPr>
                <w:rFonts w:hint="eastAsia"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265" w:type="dxa"/>
            <w:vAlign w:val="center"/>
          </w:tcPr>
          <w:p>
            <w:pPr>
              <w:spacing w:line="30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竞标人自行现场勘查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11</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11.1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竞标文件份数</w:t>
            </w:r>
          </w:p>
        </w:tc>
        <w:tc>
          <w:tcPr>
            <w:tcW w:w="6265"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壹份正本，</w:t>
            </w:r>
            <w:r>
              <w:rPr>
                <w:rFonts w:hint="eastAsia" w:ascii="宋体" w:hAnsi="宋体" w:cs="Courier New"/>
                <w:color w:val="auto"/>
                <w:spacing w:val="2"/>
                <w:szCs w:val="21"/>
                <w:highlight w:val="none"/>
                <w:lang w:eastAsia="zh-CN"/>
              </w:rPr>
              <w:t>叁</w:t>
            </w:r>
            <w:r>
              <w:rPr>
                <w:rFonts w:hint="eastAsia" w:ascii="宋体" w:hAnsi="宋体" w:cs="Courier New"/>
                <w:color w:val="auto"/>
                <w:spacing w:val="2"/>
                <w:szCs w:val="21"/>
                <w:highlight w:val="none"/>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12</w:t>
            </w:r>
          </w:p>
        </w:tc>
        <w:tc>
          <w:tcPr>
            <w:tcW w:w="904" w:type="dxa"/>
            <w:vAlign w:val="center"/>
          </w:tcPr>
          <w:p>
            <w:pPr>
              <w:spacing w:line="440" w:lineRule="exact"/>
              <w:jc w:val="center"/>
              <w:rPr>
                <w:rFonts w:ascii="宋体" w:hAnsi="宋体" w:cs="Courier New"/>
                <w:color w:val="auto"/>
                <w:spacing w:val="2"/>
                <w:szCs w:val="21"/>
                <w:highlight w:val="none"/>
              </w:rPr>
            </w:pPr>
            <w:r>
              <w:rPr>
                <w:rFonts w:ascii="宋体" w:hAnsi="宋体" w:cs="Courier New"/>
                <w:color w:val="auto"/>
                <w:spacing w:val="2"/>
                <w:sz w:val="24"/>
                <w:highlight w:val="none"/>
              </w:rPr>
              <w:t>1</w:t>
            </w:r>
            <w:r>
              <w:rPr>
                <w:rFonts w:hint="eastAsia" w:ascii="宋体" w:hAnsi="宋体" w:cs="Courier New"/>
                <w:color w:val="auto"/>
                <w:spacing w:val="2"/>
                <w:sz w:val="24"/>
                <w:highlight w:val="none"/>
              </w:rPr>
              <w:t>2.1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竞标文件提交地点及截止时间</w:t>
            </w:r>
          </w:p>
        </w:tc>
        <w:tc>
          <w:tcPr>
            <w:tcW w:w="6265" w:type="dxa"/>
            <w:vAlign w:val="center"/>
          </w:tcPr>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rPr>
              <w:t>收件人：</w:t>
            </w:r>
            <w:r>
              <w:rPr>
                <w:rFonts w:hint="eastAsia" w:hAnsi="宋体"/>
                <w:color w:val="auto"/>
                <w:highlight w:val="none"/>
                <w:lang w:eastAsia="zh-CN"/>
              </w:rPr>
              <w:t>广西壮锦工程管理咨询有限公司</w:t>
            </w:r>
          </w:p>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地点：</w:t>
            </w:r>
            <w:r>
              <w:rPr>
                <w:rFonts w:hint="eastAsia" w:ascii="宋体" w:hAnsi="宋体"/>
                <w:color w:val="auto"/>
                <w:szCs w:val="21"/>
                <w:highlight w:val="none"/>
                <w:lang w:eastAsia="zh-CN"/>
              </w:rPr>
              <w:t>百色市右江区前程路4号长乐星城第一幢10层1006号</w:t>
            </w:r>
          </w:p>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时间：</w:t>
            </w:r>
            <w:r>
              <w:rPr>
                <w:rFonts w:hint="eastAsia" w:ascii="宋体" w:hAnsi="宋体" w:cs="Courier New"/>
                <w:b/>
                <w:bCs/>
                <w:color w:val="auto"/>
                <w:spacing w:val="2"/>
                <w:szCs w:val="21"/>
                <w:highlight w:val="none"/>
                <w:lang w:eastAsia="zh-CN"/>
              </w:rPr>
              <w:t>2021年01月07日10点00分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13</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13.1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color w:val="auto"/>
                <w:szCs w:val="21"/>
                <w:highlight w:val="none"/>
              </w:rPr>
              <w:t>谈判时间及</w:t>
            </w:r>
            <w:r>
              <w:rPr>
                <w:rFonts w:hint="eastAsia" w:ascii="宋体" w:hAnsi="宋体" w:cs="Courier New"/>
                <w:color w:val="auto"/>
                <w:spacing w:val="2"/>
                <w:szCs w:val="21"/>
                <w:highlight w:val="none"/>
              </w:rPr>
              <w:t>谈判地点</w:t>
            </w:r>
          </w:p>
        </w:tc>
        <w:tc>
          <w:tcPr>
            <w:tcW w:w="6265" w:type="dxa"/>
            <w:vAlign w:val="center"/>
          </w:tcPr>
          <w:p>
            <w:pPr>
              <w:spacing w:line="300" w:lineRule="exact"/>
              <w:rPr>
                <w:rFonts w:hint="eastAsia" w:eastAsia="宋体"/>
                <w:color w:val="auto"/>
                <w:szCs w:val="21"/>
                <w:highlight w:val="none"/>
                <w:lang w:eastAsia="zh-CN"/>
              </w:rPr>
            </w:pPr>
            <w:r>
              <w:rPr>
                <w:rFonts w:hint="eastAsia"/>
                <w:color w:val="auto"/>
                <w:szCs w:val="21"/>
                <w:highlight w:val="none"/>
              </w:rPr>
              <w:t>谈判时间：</w:t>
            </w:r>
            <w:r>
              <w:rPr>
                <w:rFonts w:hint="eastAsia"/>
                <w:b/>
                <w:bCs/>
                <w:color w:val="auto"/>
                <w:szCs w:val="21"/>
                <w:highlight w:val="none"/>
                <w:lang w:eastAsia="zh-CN"/>
              </w:rPr>
              <w:t>2021年01月07日10点00分</w:t>
            </w:r>
          </w:p>
          <w:p>
            <w:pPr>
              <w:spacing w:line="300" w:lineRule="exact"/>
              <w:rPr>
                <w:rFonts w:hint="eastAsia" w:ascii="宋体" w:hAnsi="宋体" w:eastAsia="宋体"/>
                <w:color w:val="auto"/>
                <w:kern w:val="0"/>
                <w:szCs w:val="21"/>
                <w:highlight w:val="none"/>
                <w:lang w:eastAsia="zh-CN"/>
              </w:rPr>
            </w:pPr>
            <w:r>
              <w:rPr>
                <w:rFonts w:hint="eastAsia" w:ascii="宋体" w:hAnsi="宋体" w:cs="Courier New"/>
                <w:color w:val="auto"/>
                <w:spacing w:val="2"/>
                <w:szCs w:val="21"/>
                <w:highlight w:val="none"/>
              </w:rPr>
              <w:t>谈判地点：</w:t>
            </w:r>
            <w:r>
              <w:rPr>
                <w:rFonts w:hint="eastAsia" w:ascii="宋体" w:hAnsi="宋体"/>
                <w:color w:val="auto"/>
                <w:szCs w:val="21"/>
                <w:highlight w:val="none"/>
                <w:lang w:eastAsia="zh-CN"/>
              </w:rPr>
              <w:t>百色市右江区前程路4号长乐星城第一幢10层1006号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14</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14.1</w:t>
            </w:r>
          </w:p>
        </w:tc>
        <w:tc>
          <w:tcPr>
            <w:tcW w:w="1825" w:type="dxa"/>
            <w:vAlign w:val="center"/>
          </w:tcPr>
          <w:p>
            <w:pPr>
              <w:spacing w:line="300" w:lineRule="exact"/>
              <w:jc w:val="center"/>
              <w:rPr>
                <w:color w:val="auto"/>
                <w:szCs w:val="21"/>
                <w:highlight w:val="none"/>
              </w:rPr>
            </w:pPr>
            <w:r>
              <w:rPr>
                <w:rFonts w:hint="eastAsia"/>
                <w:color w:val="auto"/>
                <w:szCs w:val="21"/>
                <w:highlight w:val="none"/>
              </w:rPr>
              <w:t>资格审查方式</w:t>
            </w:r>
          </w:p>
        </w:tc>
        <w:tc>
          <w:tcPr>
            <w:tcW w:w="6265" w:type="dxa"/>
            <w:vAlign w:val="center"/>
          </w:tcPr>
          <w:p>
            <w:pPr>
              <w:spacing w:line="300" w:lineRule="exact"/>
              <w:rPr>
                <w:color w:val="auto"/>
                <w:szCs w:val="21"/>
                <w:highlight w:val="none"/>
              </w:rPr>
            </w:pPr>
            <w:r>
              <w:rPr>
                <w:rFonts w:hint="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15</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15.1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265" w:type="dxa"/>
            <w:vAlign w:val="center"/>
          </w:tcPr>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16</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16.1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代理服务费</w:t>
            </w:r>
          </w:p>
        </w:tc>
        <w:tc>
          <w:tcPr>
            <w:tcW w:w="6265" w:type="dxa"/>
            <w:vAlign w:val="center"/>
          </w:tcPr>
          <w:p>
            <w:pPr>
              <w:spacing w:line="300" w:lineRule="exact"/>
              <w:rPr>
                <w:rFonts w:ascii="宋体"/>
                <w:bCs/>
                <w:color w:val="auto"/>
                <w:highlight w:val="none"/>
              </w:rPr>
            </w:pPr>
            <w:r>
              <w:rPr>
                <w:rFonts w:ascii="宋体"/>
                <w:bCs/>
                <w:color w:val="auto"/>
                <w:highlight w:val="none"/>
              </w:rPr>
              <w:t>①</w:t>
            </w:r>
            <w:r>
              <w:rPr>
                <w:rFonts w:hint="eastAsia" w:ascii="宋体"/>
                <w:bCs/>
                <w:color w:val="auto"/>
                <w:highlight w:val="none"/>
              </w:rPr>
              <w:t>代理服务费按计价格[2002]1980号文件及发改办价格[2003]857号文件规定收取，由成交人在领取通知书时向招标代理机构一次性支付。</w:t>
            </w:r>
            <w:r>
              <w:rPr>
                <w:rFonts w:ascii="宋体"/>
                <w:bCs/>
                <w:color w:val="auto"/>
                <w:highlight w:val="none"/>
              </w:rPr>
              <w:t>②本项目评审专家劳务费标准按照广西区财政厅桂财采〔2017〕15号《关于印发广西壮族自治区政府采购评审专家劳务报酬支付标准暂行规定的通知》文件规定执行。</w:t>
            </w:r>
          </w:p>
        </w:tc>
      </w:tr>
    </w:tbl>
    <w:p>
      <w:pPr>
        <w:pStyle w:val="5"/>
        <w:widowControl/>
        <w:rPr>
          <w:rFonts w:hint="default"/>
          <w:color w:val="auto"/>
          <w:highlight w:val="none"/>
        </w:rPr>
      </w:pPr>
      <w:r>
        <w:rPr>
          <w:rFonts w:hint="default"/>
          <w:color w:val="auto"/>
          <w:highlight w:val="none"/>
        </w:rPr>
        <w:br w:type="page"/>
      </w:r>
      <w:bookmarkStart w:id="78" w:name="_Toc5530"/>
      <w:bookmarkStart w:id="79" w:name="_Toc9820"/>
      <w:r>
        <w:rPr>
          <w:color w:val="auto"/>
          <w:highlight w:val="none"/>
        </w:rPr>
        <w:t>l.项</w:t>
      </w:r>
      <w:r>
        <w:rPr>
          <w:rFonts w:hAnsi="Courier New"/>
          <w:color w:val="auto"/>
          <w:szCs w:val="20"/>
          <w:highlight w:val="none"/>
        </w:rPr>
        <w:t>目</w:t>
      </w:r>
      <w:r>
        <w:rPr>
          <w:color w:val="auto"/>
          <w:highlight w:val="none"/>
        </w:rPr>
        <w:t>说明</w:t>
      </w:r>
      <w:bookmarkEnd w:id="78"/>
      <w:bookmarkEnd w:id="79"/>
    </w:p>
    <w:p>
      <w:pPr>
        <w:spacing w:line="380" w:lineRule="exact"/>
        <w:ind w:firstLine="420" w:firstLineChars="200"/>
        <w:rPr>
          <w:rFonts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 xml:space="preserve"> </w:t>
      </w:r>
      <w:r>
        <w:rPr>
          <w:rFonts w:ascii="宋体" w:hAnsi="宋体"/>
          <w:color w:val="auto"/>
          <w:szCs w:val="21"/>
          <w:highlight w:val="none"/>
        </w:rPr>
        <w:t>工程综合说明</w:t>
      </w:r>
      <w:r>
        <w:rPr>
          <w:rFonts w:hint="eastAsia" w:ascii="宋体" w:hAnsi="宋体"/>
          <w:color w:val="auto"/>
          <w:szCs w:val="21"/>
          <w:highlight w:val="none"/>
        </w:rPr>
        <w:t>见竞标须知</w:t>
      </w:r>
      <w:r>
        <w:rPr>
          <w:rFonts w:ascii="宋体" w:hAnsi="宋体"/>
          <w:color w:val="auto"/>
          <w:szCs w:val="21"/>
          <w:highlight w:val="none"/>
        </w:rPr>
        <w:t>“</w:t>
      </w:r>
      <w:r>
        <w:rPr>
          <w:rFonts w:hint="eastAsia" w:ascii="宋体" w:hAnsi="宋体"/>
          <w:color w:val="auto"/>
          <w:szCs w:val="21"/>
          <w:highlight w:val="none"/>
        </w:rPr>
        <w:t>竞标须知</w:t>
      </w:r>
      <w:r>
        <w:rPr>
          <w:rFonts w:ascii="宋体" w:hAnsi="宋体"/>
          <w:color w:val="auto"/>
          <w:szCs w:val="21"/>
          <w:highlight w:val="none"/>
        </w:rPr>
        <w:t>前附表”</w:t>
      </w:r>
      <w:r>
        <w:rPr>
          <w:rFonts w:hint="eastAsia" w:ascii="宋体" w:hAnsi="宋体"/>
          <w:color w:val="auto"/>
          <w:szCs w:val="21"/>
          <w:highlight w:val="none"/>
        </w:rPr>
        <w:t>。</w:t>
      </w:r>
    </w:p>
    <w:p>
      <w:pPr>
        <w:spacing w:line="380" w:lineRule="exact"/>
        <w:ind w:firstLine="435"/>
        <w:rPr>
          <w:rFonts w:ascii="宋体" w:hAnsi="宋体"/>
          <w:color w:val="auto"/>
          <w:szCs w:val="21"/>
          <w:highlight w:val="none"/>
        </w:rPr>
      </w:pPr>
      <w:r>
        <w:rPr>
          <w:rFonts w:ascii="宋体" w:hAnsi="宋体"/>
          <w:color w:val="auto"/>
          <w:szCs w:val="21"/>
          <w:highlight w:val="none"/>
        </w:rPr>
        <w:t>1.2 上述</w:t>
      </w:r>
      <w:r>
        <w:rPr>
          <w:rFonts w:hint="eastAsia" w:ascii="宋体" w:hAnsi="宋体"/>
          <w:color w:val="auto"/>
          <w:szCs w:val="21"/>
          <w:highlight w:val="none"/>
        </w:rPr>
        <w:t>工程</w:t>
      </w:r>
      <w:r>
        <w:rPr>
          <w:rFonts w:ascii="宋体" w:hAnsi="宋体"/>
          <w:color w:val="auto"/>
          <w:szCs w:val="21"/>
          <w:highlight w:val="none"/>
        </w:rPr>
        <w:t>按照《</w:t>
      </w:r>
      <w:r>
        <w:rPr>
          <w:rFonts w:ascii="宋体" w:hAnsi="宋体"/>
          <w:color w:val="auto"/>
          <w:highlight w:val="none"/>
        </w:rPr>
        <w:t>中华人民共和国政府采购法</w:t>
      </w:r>
      <w:r>
        <w:rPr>
          <w:rFonts w:ascii="宋体" w:hAnsi="宋体"/>
          <w:color w:val="auto"/>
          <w:szCs w:val="21"/>
          <w:highlight w:val="none"/>
        </w:rPr>
        <w:t>》</w:t>
      </w:r>
      <w:r>
        <w:rPr>
          <w:rFonts w:hint="eastAsia" w:ascii="宋体" w:hAnsi="宋体"/>
          <w:color w:val="auto"/>
          <w:szCs w:val="21"/>
          <w:highlight w:val="none"/>
        </w:rPr>
        <w:t>、</w:t>
      </w:r>
      <w:r>
        <w:rPr>
          <w:rFonts w:hint="eastAsia" w:ascii="宋体" w:hAnsi="Courier New"/>
          <w:color w:val="auto"/>
          <w:szCs w:val="21"/>
          <w:highlight w:val="none"/>
        </w:rPr>
        <w:t>及《中华人民共和国招标投标法》</w:t>
      </w:r>
      <w:r>
        <w:rPr>
          <w:rFonts w:ascii="宋体" w:hAnsi="宋体"/>
          <w:color w:val="auto"/>
          <w:szCs w:val="21"/>
          <w:highlight w:val="none"/>
        </w:rPr>
        <w:t>以及有关法律、法规和规章，现通过</w:t>
      </w:r>
      <w:r>
        <w:rPr>
          <w:rFonts w:hint="eastAsia" w:ascii="宋体" w:hAnsi="宋体"/>
          <w:color w:val="auto"/>
          <w:szCs w:val="21"/>
          <w:highlight w:val="none"/>
        </w:rPr>
        <w:t>竞争性谈判采购方式</w:t>
      </w:r>
      <w:r>
        <w:rPr>
          <w:rFonts w:ascii="宋体" w:hAnsi="宋体"/>
          <w:color w:val="auto"/>
          <w:szCs w:val="21"/>
          <w:highlight w:val="none"/>
        </w:rPr>
        <w:t>来择优选定施工单位。</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 竞标人资格要求：符合竞标须知前附表规定。</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1.4 本项目不接受联合体进行竞标。</w:t>
      </w:r>
    </w:p>
    <w:p>
      <w:pPr>
        <w:pStyle w:val="5"/>
        <w:rPr>
          <w:rFonts w:hint="default"/>
          <w:color w:val="auto"/>
          <w:highlight w:val="none"/>
        </w:rPr>
      </w:pPr>
      <w:bookmarkStart w:id="80" w:name="_Toc19198"/>
      <w:bookmarkStart w:id="81" w:name="_Toc24335"/>
      <w:r>
        <w:rPr>
          <w:color w:val="auto"/>
          <w:highlight w:val="none"/>
        </w:rPr>
        <w:t>2.资金情况</w:t>
      </w:r>
      <w:bookmarkEnd w:id="80"/>
      <w:bookmarkEnd w:id="81"/>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2.1资金来源：</w:t>
      </w:r>
      <w:r>
        <w:rPr>
          <w:rFonts w:hint="eastAsia" w:ascii="宋体" w:hAnsi="宋体" w:cs="Courier New"/>
          <w:color w:val="auto"/>
          <w:spacing w:val="2"/>
          <w:highlight w:val="none"/>
          <w:lang w:eastAsia="zh-CN"/>
        </w:rPr>
        <w:t>上级补助资金及本级财政补助资金</w:t>
      </w:r>
      <w:r>
        <w:rPr>
          <w:rFonts w:hint="eastAsia" w:ascii="宋体" w:hAnsi="宋体" w:cs="Courier New"/>
          <w:color w:val="auto"/>
          <w:spacing w:val="2"/>
          <w:highlight w:val="none"/>
        </w:rPr>
        <w:t>。</w:t>
      </w:r>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2.2资金到位及落实情况：已落实。</w:t>
      </w:r>
    </w:p>
    <w:p>
      <w:pPr>
        <w:pStyle w:val="5"/>
        <w:rPr>
          <w:rFonts w:hint="default"/>
          <w:color w:val="auto"/>
          <w:highlight w:val="none"/>
        </w:rPr>
      </w:pPr>
      <w:bookmarkStart w:id="82" w:name="_Toc27335"/>
      <w:bookmarkStart w:id="83" w:name="_Toc6611"/>
      <w:r>
        <w:rPr>
          <w:color w:val="auto"/>
          <w:highlight w:val="none"/>
        </w:rPr>
        <w:t>3.竞标费用</w:t>
      </w:r>
      <w:bookmarkEnd w:id="82"/>
      <w:bookmarkEnd w:id="83"/>
    </w:p>
    <w:p>
      <w:pPr>
        <w:pStyle w:val="14"/>
        <w:spacing w:line="380" w:lineRule="exact"/>
        <w:ind w:firstLine="417" w:firstLineChars="195"/>
        <w:rPr>
          <w:color w:val="auto"/>
          <w:highlight w:val="none"/>
        </w:rPr>
      </w:pPr>
      <w:r>
        <w:rPr>
          <w:rFonts w:hint="eastAsia"/>
          <w:color w:val="auto"/>
          <w:highlight w:val="none"/>
        </w:rPr>
        <w:t>竞标人准备和参加竞标活动所发生的一切费用自理，不管竞标结果如何，采购人及采购代理机构对上述费用不承担任何责任。</w:t>
      </w:r>
    </w:p>
    <w:p>
      <w:pPr>
        <w:pStyle w:val="5"/>
        <w:rPr>
          <w:rFonts w:hint="default"/>
          <w:color w:val="auto"/>
          <w:highlight w:val="none"/>
        </w:rPr>
      </w:pPr>
      <w:bookmarkStart w:id="84" w:name="_Toc28687"/>
      <w:bookmarkStart w:id="85" w:name="_Toc28874"/>
      <w:r>
        <w:rPr>
          <w:color w:val="auto"/>
          <w:highlight w:val="none"/>
        </w:rPr>
        <w:t>4.竞争性谈判文件的组成</w:t>
      </w:r>
      <w:bookmarkEnd w:id="84"/>
      <w:bookmarkEnd w:id="85"/>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4.1 竞争性谈判文件包括下列内容：</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竞标公告</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一</w:t>
      </w:r>
      <w:r>
        <w:rPr>
          <w:rFonts w:hint="eastAsia" w:ascii="宋体" w:hAnsi="宋体" w:cs="Courier New"/>
          <w:bCs/>
          <w:color w:val="auto"/>
          <w:spacing w:val="2"/>
          <w:highlight w:val="none"/>
        </w:rPr>
        <w:t>章 竞标须知</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第</w:t>
      </w:r>
      <w:r>
        <w:rPr>
          <w:rFonts w:hint="eastAsia" w:ascii="宋体" w:hAnsi="宋体" w:cs="Courier New"/>
          <w:color w:val="auto"/>
          <w:spacing w:val="2"/>
          <w:highlight w:val="none"/>
          <w:lang w:eastAsia="zh-CN"/>
        </w:rPr>
        <w:t>二</w:t>
      </w:r>
      <w:r>
        <w:rPr>
          <w:rFonts w:hint="eastAsia" w:ascii="宋体" w:hAnsi="宋体" w:cs="Courier New"/>
          <w:color w:val="auto"/>
          <w:spacing w:val="2"/>
          <w:highlight w:val="none"/>
        </w:rPr>
        <w:t xml:space="preserve">章 </w:t>
      </w:r>
      <w:r>
        <w:rPr>
          <w:rFonts w:hint="eastAsia" w:ascii="宋体" w:hAnsi="宋体" w:cs="Courier New"/>
          <w:bCs/>
          <w:color w:val="auto"/>
          <w:spacing w:val="2"/>
          <w:highlight w:val="none"/>
        </w:rPr>
        <w:t>合同格式</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三</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图纸及工程量清单</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四</w:t>
      </w:r>
      <w:r>
        <w:rPr>
          <w:rFonts w:hint="eastAsia" w:ascii="宋体" w:hAnsi="宋体" w:cs="Courier New"/>
          <w:bCs/>
          <w:color w:val="auto"/>
          <w:spacing w:val="2"/>
          <w:highlight w:val="none"/>
        </w:rPr>
        <w:t>章 技术规范</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五</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工程量清单报价说明</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六</w:t>
      </w:r>
      <w:r>
        <w:rPr>
          <w:rFonts w:hint="eastAsia" w:ascii="宋体" w:hAnsi="宋体" w:cs="Courier New"/>
          <w:bCs/>
          <w:color w:val="auto"/>
          <w:spacing w:val="2"/>
          <w:highlight w:val="none"/>
        </w:rPr>
        <w:t>章 竞标文件格式</w:t>
      </w:r>
    </w:p>
    <w:p>
      <w:pPr>
        <w:spacing w:line="380" w:lineRule="exact"/>
        <w:ind w:firstLine="428" w:firstLineChars="200"/>
        <w:rPr>
          <w:rFonts w:ascii="宋体" w:hAnsi="宋体" w:cs="Courier New"/>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七</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谈判办法</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根据本章第5条、第6条对竞争性谈判文件所作的澄清、修改，构成竞争性谈判文件组成部分。</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4.2</w:t>
      </w:r>
      <w:r>
        <w:rPr>
          <w:rFonts w:ascii="宋体" w:hAnsi="宋体" w:cs="Courier New"/>
          <w:color w:val="auto"/>
          <w:spacing w:val="2"/>
          <w:highlight w:val="none"/>
        </w:rPr>
        <w:t xml:space="preserve"> </w:t>
      </w:r>
      <w:r>
        <w:rPr>
          <w:rFonts w:hint="eastAsia" w:ascii="宋体" w:hAnsi="宋体" w:cs="Courier New"/>
          <w:color w:val="auto"/>
          <w:spacing w:val="2"/>
          <w:highlight w:val="none"/>
        </w:rPr>
        <w:t>竞标人应认真审阅竞争性谈判文件中所有的竞标须知、合同格式、技术规范和图纸。如果竞标人编制的竞标文件不符合竞争性谈判文件的要求，实质上不响应竞争性谈判文件要求的竞标文件，将作无效竞标处理。</w:t>
      </w:r>
    </w:p>
    <w:p>
      <w:pPr>
        <w:pStyle w:val="5"/>
        <w:rPr>
          <w:rFonts w:hint="default"/>
          <w:color w:val="auto"/>
          <w:highlight w:val="none"/>
        </w:rPr>
      </w:pPr>
      <w:bookmarkStart w:id="86" w:name="_Toc17242"/>
      <w:bookmarkStart w:id="87" w:name="_Toc13808"/>
      <w:r>
        <w:rPr>
          <w:color w:val="auto"/>
          <w:highlight w:val="none"/>
        </w:rPr>
        <w:t>5.竞争性谈判文件的解释</w:t>
      </w:r>
      <w:bookmarkEnd w:id="86"/>
      <w:bookmarkEnd w:id="87"/>
    </w:p>
    <w:p>
      <w:pPr>
        <w:spacing w:line="380" w:lineRule="exact"/>
        <w:ind w:firstLine="420" w:firstLineChars="200"/>
        <w:rPr>
          <w:rFonts w:ascii="宋体" w:hAnsi="宋体" w:cs="Courier New"/>
          <w:color w:val="auto"/>
          <w:spacing w:val="2"/>
          <w:highlight w:val="none"/>
        </w:rPr>
      </w:pPr>
      <w:r>
        <w:rPr>
          <w:rFonts w:hint="eastAsia" w:ascii="宋体" w:hAnsi="宋体"/>
          <w:color w:val="auto"/>
          <w:szCs w:val="21"/>
          <w:highlight w:val="none"/>
        </w:rPr>
        <w:t>竞标人</w:t>
      </w:r>
      <w:r>
        <w:rPr>
          <w:rFonts w:ascii="宋体" w:hAnsi="宋体"/>
          <w:color w:val="auto"/>
          <w:szCs w:val="21"/>
          <w:highlight w:val="none"/>
        </w:rPr>
        <w:t>在收到</w:t>
      </w:r>
      <w:r>
        <w:rPr>
          <w:rFonts w:hint="eastAsia" w:ascii="宋体" w:hAnsi="宋体"/>
          <w:color w:val="auto"/>
          <w:szCs w:val="21"/>
          <w:highlight w:val="none"/>
        </w:rPr>
        <w:t>竞争性谈判文件</w:t>
      </w:r>
      <w:r>
        <w:rPr>
          <w:rFonts w:ascii="宋体" w:hAnsi="宋体"/>
          <w:color w:val="auto"/>
          <w:szCs w:val="21"/>
          <w:highlight w:val="none"/>
        </w:rPr>
        <w:t>后，若有问题需要澄清，应于</w:t>
      </w:r>
      <w:r>
        <w:rPr>
          <w:rFonts w:hint="eastAsia" w:ascii="宋体" w:hAnsi="宋体"/>
          <w:color w:val="auto"/>
          <w:szCs w:val="21"/>
          <w:highlight w:val="none"/>
        </w:rPr>
        <w:t>获取竞争性谈判文件后</w:t>
      </w: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hint="eastAsia" w:ascii="宋体" w:hAnsi="宋体"/>
          <w:color w:val="auto"/>
          <w:szCs w:val="21"/>
          <w:highlight w:val="none"/>
        </w:rPr>
        <w:t>日</w:t>
      </w:r>
      <w:r>
        <w:rPr>
          <w:rFonts w:ascii="宋体" w:hAnsi="宋体"/>
          <w:color w:val="auto"/>
          <w:szCs w:val="21"/>
          <w:highlight w:val="none"/>
        </w:rPr>
        <w:t>内，以书面形式（包括书面文字、电传、传真、电报等，下同）向</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提出，</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将以书面形式予以解答，答复将送</w:t>
      </w:r>
      <w:r>
        <w:rPr>
          <w:rFonts w:hint="eastAsia" w:ascii="宋体" w:hAnsi="宋体"/>
          <w:color w:val="auto"/>
          <w:szCs w:val="21"/>
          <w:highlight w:val="none"/>
        </w:rPr>
        <w:t>达</w:t>
      </w:r>
      <w:r>
        <w:rPr>
          <w:rFonts w:ascii="宋体" w:hAnsi="宋体"/>
          <w:color w:val="auto"/>
          <w:szCs w:val="21"/>
          <w:highlight w:val="none"/>
        </w:rPr>
        <w:t>所有获得</w:t>
      </w:r>
      <w:r>
        <w:rPr>
          <w:rFonts w:hint="eastAsia" w:ascii="宋体" w:hAnsi="宋体"/>
          <w:color w:val="auto"/>
          <w:szCs w:val="21"/>
          <w:highlight w:val="none"/>
        </w:rPr>
        <w:t>竞争性谈判文件</w:t>
      </w:r>
      <w:r>
        <w:rPr>
          <w:rFonts w:ascii="宋体" w:hAnsi="宋体"/>
          <w:color w:val="auto"/>
          <w:szCs w:val="21"/>
          <w:highlight w:val="none"/>
        </w:rPr>
        <w:t>的</w:t>
      </w:r>
      <w:r>
        <w:rPr>
          <w:rFonts w:hint="eastAsia" w:ascii="宋体" w:hAnsi="宋体"/>
          <w:color w:val="auto"/>
          <w:szCs w:val="21"/>
          <w:highlight w:val="none"/>
        </w:rPr>
        <w:t>竞标人</w:t>
      </w:r>
      <w:r>
        <w:rPr>
          <w:rFonts w:ascii="宋体" w:hAnsi="宋体"/>
          <w:color w:val="auto"/>
          <w:szCs w:val="21"/>
          <w:highlight w:val="none"/>
        </w:rPr>
        <w:t>。</w:t>
      </w:r>
    </w:p>
    <w:p>
      <w:pPr>
        <w:pStyle w:val="5"/>
        <w:rPr>
          <w:rFonts w:hint="default"/>
          <w:color w:val="auto"/>
          <w:highlight w:val="none"/>
        </w:rPr>
      </w:pPr>
      <w:bookmarkStart w:id="88" w:name="_Toc13823"/>
      <w:bookmarkStart w:id="89" w:name="_Toc8146"/>
      <w:r>
        <w:rPr>
          <w:color w:val="auto"/>
          <w:highlight w:val="none"/>
        </w:rPr>
        <w:t>6.竞争性谈判文件的修改</w:t>
      </w:r>
      <w:bookmarkEnd w:id="88"/>
      <w:bookmarkEnd w:id="89"/>
    </w:p>
    <w:p>
      <w:pPr>
        <w:spacing w:line="380" w:lineRule="exact"/>
        <w:ind w:firstLine="214" w:firstLineChars="100"/>
        <w:rPr>
          <w:rFonts w:ascii="宋体" w:hAnsi="宋体" w:cs="Courier New"/>
          <w:color w:val="auto"/>
          <w:spacing w:val="2"/>
          <w:highlight w:val="none"/>
        </w:rPr>
      </w:pPr>
      <w:r>
        <w:rPr>
          <w:rFonts w:hint="eastAsia" w:ascii="宋体" w:hAnsi="宋体" w:cs="Courier New"/>
          <w:color w:val="auto"/>
          <w:spacing w:val="2"/>
          <w:highlight w:val="none"/>
        </w:rPr>
        <w:t xml:space="preserve">  6</w:t>
      </w:r>
      <w:r>
        <w:rPr>
          <w:rFonts w:ascii="宋体" w:hAnsi="宋体" w:cs="Courier New"/>
          <w:color w:val="auto"/>
          <w:spacing w:val="2"/>
          <w:highlight w:val="none"/>
        </w:rPr>
        <w:t>.</w:t>
      </w:r>
      <w:r>
        <w:rPr>
          <w:rFonts w:hint="eastAsia" w:ascii="宋体" w:hAnsi="宋体" w:cs="Courier New"/>
          <w:color w:val="auto"/>
          <w:spacing w:val="2"/>
          <w:highlight w:val="none"/>
        </w:rPr>
        <w:t>1</w:t>
      </w:r>
      <w:r>
        <w:rPr>
          <w:rFonts w:ascii="宋体" w:hAnsi="宋体" w:cs="Courier New"/>
          <w:color w:val="auto"/>
          <w:spacing w:val="2"/>
          <w:highlight w:val="none"/>
        </w:rPr>
        <w:t xml:space="preserve"> </w:t>
      </w:r>
      <w:r>
        <w:rPr>
          <w:rFonts w:hint="eastAsia" w:ascii="宋体" w:hAnsi="宋体" w:cs="Courier New"/>
          <w:color w:val="auto"/>
          <w:spacing w:val="2"/>
          <w:highlight w:val="none"/>
        </w:rPr>
        <w:t>采购人或采购代理机构对已发出的竞争性谈判文件进行必要澄清或者修改的，须在竞标截止时间</w:t>
      </w:r>
      <w:r>
        <w:rPr>
          <w:rFonts w:hint="eastAsia" w:ascii="宋体" w:hAnsi="宋体" w:cs="Courier New"/>
          <w:color w:val="auto"/>
          <w:spacing w:val="2"/>
          <w:highlight w:val="none"/>
          <w:u w:val="single"/>
        </w:rPr>
        <w:t xml:space="preserve"> 1 </w:t>
      </w:r>
      <w:r>
        <w:rPr>
          <w:rFonts w:hint="eastAsia" w:ascii="宋体" w:hAnsi="宋体" w:cs="Courier New"/>
          <w:color w:val="auto"/>
          <w:spacing w:val="2"/>
          <w:highlight w:val="none"/>
        </w:rPr>
        <w:t>日前，在信息发布媒体上发布，网址：</w:t>
      </w:r>
      <w:r>
        <w:rPr>
          <w:rFonts w:hint="eastAsia"/>
          <w:color w:val="auto"/>
          <w:highlight w:val="none"/>
        </w:rPr>
        <w:t>中国政府采购网</w:t>
      </w:r>
      <w:r>
        <w:rPr>
          <w:color w:val="auto"/>
          <w:highlight w:val="none"/>
        </w:rPr>
        <w:t>http://www.ccgp.gov.cn</w:t>
      </w:r>
      <w:r>
        <w:rPr>
          <w:rFonts w:hint="eastAsia"/>
          <w:color w:val="auto"/>
          <w:highlight w:val="none"/>
        </w:rPr>
        <w:t>、广西壮族自治区政府采购网http://zfcg.gxzf.gov.cn/</w:t>
      </w:r>
      <w:r>
        <w:rPr>
          <w:rFonts w:hint="eastAsia" w:ascii="宋体" w:hAnsi="宋体" w:cs="Courier New"/>
          <w:color w:val="auto"/>
          <w:spacing w:val="2"/>
          <w:highlight w:val="none"/>
        </w:rPr>
        <w:t>，所有竞争性谈判文件的收受人自行查看。该澄清或者修改内容做为竞争性谈判文件的组成部分，</w:t>
      </w:r>
      <w:r>
        <w:rPr>
          <w:rFonts w:ascii="宋体" w:hAnsi="宋体"/>
          <w:color w:val="auto"/>
          <w:szCs w:val="21"/>
          <w:highlight w:val="none"/>
        </w:rPr>
        <w:t>对</w:t>
      </w:r>
      <w:r>
        <w:rPr>
          <w:rFonts w:hint="eastAsia" w:ascii="宋体" w:hAnsi="宋体"/>
          <w:color w:val="auto"/>
          <w:szCs w:val="21"/>
          <w:highlight w:val="none"/>
        </w:rPr>
        <w:t>竞标人</w:t>
      </w:r>
      <w:r>
        <w:rPr>
          <w:rFonts w:ascii="宋体" w:hAnsi="宋体"/>
          <w:color w:val="auto"/>
          <w:szCs w:val="21"/>
          <w:highlight w:val="none"/>
        </w:rPr>
        <w:t>起约束作用。</w:t>
      </w:r>
    </w:p>
    <w:p>
      <w:pPr>
        <w:spacing w:line="380" w:lineRule="exact"/>
        <w:ind w:firstLine="420" w:firstLineChars="200"/>
        <w:rPr>
          <w:rFonts w:ascii="宋体" w:hAnsi="宋体" w:cs="Courier New"/>
          <w:color w:val="auto"/>
          <w:spacing w:val="2"/>
          <w:highlight w:val="none"/>
        </w:rPr>
      </w:pPr>
      <w:r>
        <w:rPr>
          <w:rFonts w:hint="eastAsia" w:ascii="宋体" w:hAnsi="宋体"/>
          <w:color w:val="auto"/>
          <w:szCs w:val="21"/>
          <w:highlight w:val="none"/>
        </w:rPr>
        <w:t xml:space="preserve">6.2 </w:t>
      </w:r>
      <w:r>
        <w:rPr>
          <w:rFonts w:ascii="宋体" w:hAnsi="宋体"/>
          <w:color w:val="auto"/>
          <w:szCs w:val="21"/>
          <w:highlight w:val="none"/>
        </w:rPr>
        <w:t>如果</w:t>
      </w:r>
      <w:r>
        <w:rPr>
          <w:rFonts w:hint="eastAsia" w:ascii="宋体" w:hAnsi="宋体"/>
          <w:color w:val="auto"/>
          <w:szCs w:val="21"/>
          <w:highlight w:val="none"/>
        </w:rPr>
        <w:t>竞争性谈判文件</w:t>
      </w:r>
      <w:r>
        <w:rPr>
          <w:rFonts w:ascii="宋体" w:hAnsi="宋体"/>
          <w:color w:val="auto"/>
          <w:szCs w:val="21"/>
          <w:highlight w:val="none"/>
        </w:rPr>
        <w:t>原定的编制</w:t>
      </w:r>
      <w:r>
        <w:rPr>
          <w:rFonts w:hint="eastAsia" w:ascii="宋体" w:hAnsi="宋体"/>
          <w:color w:val="auto"/>
          <w:szCs w:val="21"/>
          <w:highlight w:val="none"/>
        </w:rPr>
        <w:t>竞标文件</w:t>
      </w:r>
      <w:r>
        <w:rPr>
          <w:rFonts w:ascii="宋体" w:hAnsi="宋体"/>
          <w:color w:val="auto"/>
          <w:szCs w:val="21"/>
          <w:highlight w:val="none"/>
        </w:rPr>
        <w:t>的时间没有考虑因</w:t>
      </w:r>
      <w:r>
        <w:rPr>
          <w:rFonts w:hint="eastAsia" w:ascii="宋体" w:hAnsi="宋体"/>
          <w:color w:val="auto"/>
          <w:szCs w:val="21"/>
          <w:highlight w:val="none"/>
        </w:rPr>
        <w:t>竞争性谈判文件</w:t>
      </w:r>
      <w:r>
        <w:rPr>
          <w:rFonts w:ascii="宋体" w:hAnsi="宋体"/>
          <w:color w:val="auto"/>
          <w:szCs w:val="21"/>
          <w:highlight w:val="none"/>
        </w:rPr>
        <w:t>修改而引起</w:t>
      </w:r>
      <w:r>
        <w:rPr>
          <w:rFonts w:hint="eastAsia" w:ascii="宋体" w:hAnsi="宋体"/>
          <w:color w:val="auto"/>
          <w:szCs w:val="21"/>
          <w:highlight w:val="none"/>
        </w:rPr>
        <w:t>竞标文件</w:t>
      </w:r>
      <w:r>
        <w:rPr>
          <w:rFonts w:ascii="宋体" w:hAnsi="宋体"/>
          <w:color w:val="auto"/>
          <w:szCs w:val="21"/>
          <w:highlight w:val="none"/>
        </w:rPr>
        <w:t>修改所必须的时间，</w:t>
      </w:r>
      <w:r>
        <w:rPr>
          <w:rFonts w:hint="eastAsia" w:ascii="宋体" w:hAnsi="宋体"/>
          <w:color w:val="auto"/>
          <w:szCs w:val="21"/>
          <w:highlight w:val="none"/>
        </w:rPr>
        <w:t>采购</w:t>
      </w:r>
      <w:r>
        <w:rPr>
          <w:rFonts w:ascii="宋体" w:hAnsi="宋体"/>
          <w:color w:val="auto"/>
          <w:szCs w:val="21"/>
          <w:highlight w:val="none"/>
        </w:rPr>
        <w:t>单位可酌情延长提交</w:t>
      </w:r>
      <w:r>
        <w:rPr>
          <w:rFonts w:hint="eastAsia" w:ascii="宋体" w:hAnsi="宋体"/>
          <w:color w:val="auto"/>
          <w:szCs w:val="21"/>
          <w:highlight w:val="none"/>
        </w:rPr>
        <w:t>竞标文件</w:t>
      </w:r>
      <w:r>
        <w:rPr>
          <w:rFonts w:ascii="宋体" w:hAnsi="宋体"/>
          <w:color w:val="auto"/>
          <w:szCs w:val="21"/>
          <w:highlight w:val="none"/>
        </w:rPr>
        <w:t>的截止日期。</w:t>
      </w:r>
      <w:r>
        <w:rPr>
          <w:rFonts w:hint="eastAsia" w:ascii="宋体" w:hAnsi="宋体"/>
          <w:color w:val="auto"/>
          <w:szCs w:val="21"/>
          <w:highlight w:val="none"/>
        </w:rPr>
        <w:t>但至少应当在竞争性谈判文件要求提交竞标文件的截止时间</w:t>
      </w:r>
      <w:r>
        <w:rPr>
          <w:rFonts w:hint="eastAsia" w:ascii="宋体" w:hAnsi="宋体" w:cs="Courier New"/>
          <w:color w:val="auto"/>
          <w:spacing w:val="2"/>
          <w:highlight w:val="none"/>
          <w:u w:val="single"/>
        </w:rPr>
        <w:t xml:space="preserve"> 1 </w:t>
      </w:r>
      <w:r>
        <w:rPr>
          <w:rFonts w:hint="eastAsia" w:ascii="宋体" w:hAnsi="宋体" w:cs="Courier New"/>
          <w:color w:val="auto"/>
          <w:spacing w:val="2"/>
          <w:highlight w:val="none"/>
        </w:rPr>
        <w:t>日前</w:t>
      </w:r>
      <w:r>
        <w:rPr>
          <w:rFonts w:hint="eastAsia" w:ascii="宋体" w:hAnsi="宋体"/>
          <w:color w:val="auto"/>
          <w:szCs w:val="21"/>
          <w:highlight w:val="none"/>
        </w:rPr>
        <w:t>，在</w:t>
      </w:r>
      <w:r>
        <w:rPr>
          <w:rFonts w:hint="eastAsia"/>
          <w:color w:val="auto"/>
          <w:highlight w:val="none"/>
        </w:rPr>
        <w:t>中国政府采购网</w:t>
      </w:r>
      <w:r>
        <w:rPr>
          <w:color w:val="auto"/>
          <w:highlight w:val="none"/>
        </w:rPr>
        <w:t>http://www.ccgp.gov.cn</w:t>
      </w:r>
      <w:r>
        <w:rPr>
          <w:rFonts w:hint="eastAsia"/>
          <w:color w:val="auto"/>
          <w:highlight w:val="none"/>
        </w:rPr>
        <w:t>、广西壮族自治区政府采购网http://zfcg.gxzf.gov.cn/</w:t>
      </w:r>
      <w:r>
        <w:rPr>
          <w:rFonts w:hint="eastAsia" w:ascii="宋体" w:hAnsi="宋体"/>
          <w:color w:val="auto"/>
          <w:szCs w:val="21"/>
          <w:highlight w:val="none"/>
        </w:rPr>
        <w:t>上发布变更公告，</w:t>
      </w:r>
      <w:r>
        <w:rPr>
          <w:rFonts w:hint="eastAsia" w:ascii="宋体" w:hAnsi="宋体" w:cs="Courier New"/>
          <w:color w:val="auto"/>
          <w:spacing w:val="2"/>
          <w:highlight w:val="none"/>
        </w:rPr>
        <w:t>所有竞争性谈判文件的收受人自行查看。</w:t>
      </w:r>
    </w:p>
    <w:p>
      <w:pPr>
        <w:pStyle w:val="5"/>
        <w:rPr>
          <w:rFonts w:hint="default"/>
          <w:color w:val="auto"/>
          <w:highlight w:val="none"/>
        </w:rPr>
      </w:pPr>
      <w:bookmarkStart w:id="90" w:name="_Toc239659102"/>
      <w:bookmarkStart w:id="91" w:name="_Toc29416"/>
      <w:bookmarkStart w:id="92" w:name="_Toc22154"/>
      <w:bookmarkStart w:id="93" w:name="_Toc174353362"/>
      <w:bookmarkStart w:id="94" w:name="_Toc239659099"/>
      <w:bookmarkStart w:id="95" w:name="_Toc32360"/>
      <w:bookmarkStart w:id="96" w:name="_Toc18465"/>
      <w:r>
        <w:rPr>
          <w:color w:val="auto"/>
          <w:highlight w:val="none"/>
        </w:rPr>
        <w:t>10.竞标有效期</w:t>
      </w:r>
      <w:bookmarkEnd w:id="90"/>
      <w:bookmarkEnd w:id="91"/>
      <w:bookmarkEnd w:id="92"/>
    </w:p>
    <w:p>
      <w:pPr>
        <w:spacing w:line="380" w:lineRule="exact"/>
        <w:rPr>
          <w:rFonts w:ascii="宋体" w:hAnsi="宋体"/>
          <w:color w:val="auto"/>
          <w:szCs w:val="21"/>
          <w:highlight w:val="none"/>
        </w:rPr>
      </w:pPr>
      <w:r>
        <w:rPr>
          <w:rFonts w:ascii="宋体" w:hAnsi="宋体"/>
          <w:color w:val="auto"/>
          <w:szCs w:val="21"/>
          <w:highlight w:val="none"/>
        </w:rPr>
        <w:t xml:space="preserve">    10.1 竞标文件在本须知第</w:t>
      </w:r>
      <w:r>
        <w:rPr>
          <w:rFonts w:hint="eastAsia" w:ascii="宋体" w:hAnsi="宋体"/>
          <w:color w:val="auto"/>
          <w:szCs w:val="21"/>
          <w:highlight w:val="none"/>
          <w:lang w:val="en-US" w:eastAsia="zh-CN"/>
        </w:rPr>
        <w:t>8</w:t>
      </w:r>
      <w:r>
        <w:rPr>
          <w:rFonts w:ascii="宋体" w:hAnsi="宋体"/>
          <w:color w:val="auto"/>
          <w:szCs w:val="21"/>
          <w:highlight w:val="none"/>
        </w:rPr>
        <w:t>条规定的</w:t>
      </w:r>
      <w:r>
        <w:rPr>
          <w:rFonts w:hint="eastAsia" w:ascii="宋体" w:hAnsi="宋体"/>
          <w:color w:val="auto"/>
          <w:szCs w:val="21"/>
          <w:highlight w:val="none"/>
        </w:rPr>
        <w:t>竞</w:t>
      </w:r>
      <w:r>
        <w:rPr>
          <w:rFonts w:ascii="宋体" w:hAnsi="宋体"/>
          <w:color w:val="auto"/>
          <w:szCs w:val="21"/>
          <w:highlight w:val="none"/>
        </w:rPr>
        <w:t>标截止日期之后的</w:t>
      </w:r>
      <w:r>
        <w:rPr>
          <w:rFonts w:ascii="宋体" w:hAnsi="宋体"/>
          <w:color w:val="auto"/>
          <w:szCs w:val="21"/>
          <w:highlight w:val="none"/>
          <w:u w:val="single"/>
        </w:rPr>
        <w:t xml:space="preserve"> </w:t>
      </w:r>
      <w:r>
        <w:rPr>
          <w:rFonts w:hint="eastAsia" w:ascii="宋体" w:hAnsi="宋体"/>
          <w:color w:val="auto"/>
          <w:szCs w:val="21"/>
          <w:highlight w:val="none"/>
          <w:u w:val="single"/>
        </w:rPr>
        <w:t>60</w:t>
      </w:r>
      <w:r>
        <w:rPr>
          <w:rFonts w:ascii="宋体" w:hAnsi="宋体"/>
          <w:color w:val="auto"/>
          <w:szCs w:val="21"/>
          <w:highlight w:val="none"/>
        </w:rPr>
        <w:t>天（日历天）内有效。</w:t>
      </w:r>
    </w:p>
    <w:p>
      <w:pPr>
        <w:spacing w:line="380" w:lineRule="exact"/>
        <w:ind w:firstLine="435"/>
        <w:rPr>
          <w:rFonts w:ascii="宋体" w:hAnsi="宋体"/>
          <w:color w:val="auto"/>
          <w:szCs w:val="21"/>
          <w:highlight w:val="none"/>
        </w:rPr>
      </w:pPr>
      <w:r>
        <w:rPr>
          <w:rFonts w:ascii="宋体" w:hAnsi="宋体"/>
          <w:color w:val="auto"/>
          <w:szCs w:val="21"/>
          <w:highlight w:val="none"/>
        </w:rPr>
        <w:t>10.2 在原定竞标有效期满之前，如果出现特殊情况，经</w:t>
      </w:r>
      <w:r>
        <w:rPr>
          <w:rFonts w:hint="eastAsia" w:ascii="宋体" w:hAnsi="宋体"/>
          <w:color w:val="auto"/>
          <w:szCs w:val="21"/>
          <w:highlight w:val="none"/>
        </w:rPr>
        <w:t>政府采购监督管理部门</w:t>
      </w:r>
      <w:r>
        <w:rPr>
          <w:rFonts w:ascii="宋体" w:hAnsi="宋体"/>
          <w:color w:val="auto"/>
          <w:szCs w:val="21"/>
          <w:highlight w:val="none"/>
        </w:rPr>
        <w:t>核准，</w:t>
      </w:r>
      <w:r>
        <w:rPr>
          <w:rFonts w:hint="eastAsia" w:ascii="宋体" w:hAnsi="宋体"/>
          <w:color w:val="auto"/>
          <w:szCs w:val="21"/>
          <w:highlight w:val="none"/>
        </w:rPr>
        <w:t>采购</w:t>
      </w:r>
      <w:r>
        <w:rPr>
          <w:rFonts w:ascii="宋体" w:hAnsi="宋体"/>
          <w:color w:val="auto"/>
          <w:szCs w:val="21"/>
          <w:highlight w:val="none"/>
        </w:rPr>
        <w:t>人可以书面形式向竞标人提出延长竞标有效期的要求，竞标人须以书面形式予以答复。竞标人可以拒绝这种要求而不被没收保证金。同意延长竞标有效期的竞标人不允许修改其竞标文件，但需要相应地延长竞标保证金的有效期，在延长期内本须知第11条的规定仍然适用。</w:t>
      </w:r>
    </w:p>
    <w:p>
      <w:pPr>
        <w:pStyle w:val="5"/>
        <w:rPr>
          <w:rFonts w:hint="default"/>
          <w:color w:val="auto"/>
          <w:highlight w:val="none"/>
        </w:rPr>
      </w:pPr>
      <w:r>
        <w:rPr>
          <w:color w:val="auto"/>
          <w:highlight w:val="none"/>
        </w:rPr>
        <w:t>7.竞标报价</w:t>
      </w:r>
      <w:bookmarkEnd w:id="93"/>
      <w:bookmarkEnd w:id="94"/>
      <w:r>
        <w:rPr>
          <w:color w:val="auto"/>
          <w:highlight w:val="none"/>
        </w:rPr>
        <w:t>及控制价</w:t>
      </w:r>
      <w:bookmarkEnd w:id="95"/>
      <w:bookmarkEnd w:id="96"/>
    </w:p>
    <w:p>
      <w:pPr>
        <w:spacing w:line="380" w:lineRule="exact"/>
        <w:ind w:firstLine="451" w:firstLineChars="215"/>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本工程竞标报价采用</w:t>
      </w:r>
      <w:r>
        <w:rPr>
          <w:rFonts w:hint="eastAsia" w:ascii="宋体" w:hAnsi="宋体"/>
          <w:b/>
          <w:color w:val="auto"/>
          <w:szCs w:val="21"/>
          <w:highlight w:val="none"/>
          <w:u w:val="single"/>
        </w:rPr>
        <w:t>工程量清单报价</w:t>
      </w:r>
      <w:r>
        <w:rPr>
          <w:rFonts w:hint="eastAsia" w:ascii="宋体" w:hAnsi="宋体"/>
          <w:color w:val="auto"/>
          <w:szCs w:val="21"/>
          <w:highlight w:val="none"/>
        </w:rPr>
        <w:t>。</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7.1.1 本工程采用</w:t>
      </w:r>
      <w:r>
        <w:rPr>
          <w:rFonts w:hint="eastAsia" w:ascii="宋体" w:hAnsi="宋体"/>
          <w:b/>
          <w:color w:val="auto"/>
          <w:szCs w:val="21"/>
          <w:highlight w:val="none"/>
          <w:u w:val="single"/>
        </w:rPr>
        <w:t>固定综合单价合同</w:t>
      </w:r>
      <w:r>
        <w:rPr>
          <w:rFonts w:ascii="宋体" w:hAnsi="宋体"/>
          <w:color w:val="auto"/>
          <w:szCs w:val="21"/>
          <w:highlight w:val="none"/>
        </w:rPr>
        <w:t>，竞标报价为竞标人在竞标文件中提出的各项支付金额的总和。</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7.1.2 竞标人所填报的各项基价中的各种材料单价在合同实施期间不因市场价格变化因素而变动</w:t>
      </w:r>
      <w:r>
        <w:rPr>
          <w:rFonts w:hint="eastAsia" w:ascii="宋体" w:hAnsi="宋体"/>
          <w:color w:val="auto"/>
          <w:szCs w:val="21"/>
          <w:highlight w:val="none"/>
        </w:rPr>
        <w:t>（工程变更、政策性调整除外），</w:t>
      </w:r>
      <w:r>
        <w:rPr>
          <w:rFonts w:ascii="宋体" w:hAnsi="宋体"/>
          <w:color w:val="auto"/>
          <w:szCs w:val="21"/>
          <w:highlight w:val="none"/>
        </w:rPr>
        <w:t>竞标人在报综合单价时应考虑各种风险因素和自己的承受能力。</w:t>
      </w:r>
    </w:p>
    <w:p>
      <w:pPr>
        <w:pStyle w:val="17"/>
        <w:spacing w:line="380" w:lineRule="exact"/>
        <w:ind w:firstLine="451" w:firstLineChars="215"/>
        <w:rPr>
          <w:rFonts w:hint="eastAsia" w:hAnsi="宋体"/>
          <w:b/>
          <w:bCs/>
          <w:color w:val="auto"/>
          <w:szCs w:val="21"/>
          <w:highlight w:val="none"/>
          <w:u w:val="single"/>
          <w:lang w:eastAsia="zh-CN"/>
        </w:rPr>
      </w:pPr>
      <w:r>
        <w:rPr>
          <w:rFonts w:hAnsi="宋体"/>
          <w:color w:val="auto"/>
          <w:szCs w:val="21"/>
          <w:highlight w:val="none"/>
        </w:rPr>
        <w:t>7.1.3</w:t>
      </w:r>
      <w:r>
        <w:rPr>
          <w:rFonts w:hint="eastAsia" w:hAnsi="宋体"/>
          <w:color w:val="auto"/>
          <w:szCs w:val="21"/>
          <w:highlight w:val="none"/>
        </w:rPr>
        <w:t xml:space="preserve"> </w:t>
      </w:r>
      <w:r>
        <w:rPr>
          <w:rFonts w:hAnsi="宋体"/>
          <w:color w:val="auto"/>
          <w:szCs w:val="21"/>
          <w:highlight w:val="none"/>
        </w:rPr>
        <w:t>因设计变更引起</w:t>
      </w:r>
      <w:r>
        <w:rPr>
          <w:rFonts w:hint="eastAsia" w:hAnsi="宋体"/>
          <w:color w:val="auto"/>
          <w:szCs w:val="21"/>
          <w:highlight w:val="none"/>
        </w:rPr>
        <w:t>工程项目、</w:t>
      </w:r>
      <w:r>
        <w:rPr>
          <w:rFonts w:hAnsi="宋体"/>
          <w:color w:val="auto"/>
          <w:szCs w:val="21"/>
          <w:highlight w:val="none"/>
        </w:rPr>
        <w:t>工程量变化的，变更合同价款按下列方法进行：</w:t>
      </w:r>
      <w:r>
        <w:rPr>
          <w:rFonts w:hint="eastAsia" w:hAnsi="宋体"/>
          <w:color w:val="auto"/>
          <w:szCs w:val="21"/>
          <w:highlight w:val="none"/>
          <w:u w:val="single"/>
        </w:rPr>
        <w:t>⑴</w:t>
      </w:r>
      <w:r>
        <w:rPr>
          <w:rFonts w:hAnsi="宋体"/>
          <w:color w:val="auto"/>
          <w:szCs w:val="21"/>
          <w:highlight w:val="none"/>
          <w:u w:val="single"/>
        </w:rPr>
        <w:t>合同中已有适用于变更工程的价格，按合同已有的价格变更合同价款；</w:t>
      </w:r>
      <w:r>
        <w:rPr>
          <w:rFonts w:hint="eastAsia" w:hAnsi="宋体"/>
          <w:color w:val="auto"/>
          <w:szCs w:val="21"/>
          <w:highlight w:val="none"/>
          <w:u w:val="single"/>
        </w:rPr>
        <w:t>⑵</w:t>
      </w:r>
      <w:r>
        <w:rPr>
          <w:rFonts w:hAnsi="宋体"/>
          <w:color w:val="auto"/>
          <w:szCs w:val="21"/>
          <w:highlight w:val="none"/>
          <w:u w:val="single"/>
        </w:rPr>
        <w:t>合同中只有类似于</w:t>
      </w:r>
      <w:r>
        <w:rPr>
          <w:rFonts w:hint="eastAsia" w:hAnsi="宋体"/>
          <w:color w:val="auto"/>
          <w:szCs w:val="21"/>
          <w:highlight w:val="none"/>
          <w:u w:val="single"/>
        </w:rPr>
        <w:t>变更</w:t>
      </w:r>
      <w:r>
        <w:rPr>
          <w:rFonts w:hAnsi="宋体"/>
          <w:color w:val="auto"/>
          <w:szCs w:val="21"/>
          <w:highlight w:val="none"/>
          <w:u w:val="single"/>
        </w:rPr>
        <w:t>工程的价格，可以参照类似价格变更合同价款；</w:t>
      </w:r>
      <w:r>
        <w:rPr>
          <w:rFonts w:hint="eastAsia" w:hAnsi="宋体"/>
          <w:color w:val="auto"/>
          <w:szCs w:val="21"/>
          <w:highlight w:val="none"/>
          <w:u w:val="single"/>
        </w:rPr>
        <w:t>⑶</w:t>
      </w:r>
      <w:r>
        <w:rPr>
          <w:rFonts w:hAnsi="宋体"/>
          <w:color w:val="auto"/>
          <w:szCs w:val="21"/>
          <w:highlight w:val="none"/>
          <w:u w:val="single"/>
        </w:rPr>
        <w:t>合同中没有适用或类似于变更工程的价格，则有定额的套定额计算（</w:t>
      </w:r>
      <w:r>
        <w:rPr>
          <w:rFonts w:hint="eastAsia" w:hAnsi="宋体"/>
          <w:color w:val="auto"/>
          <w:szCs w:val="21"/>
          <w:highlight w:val="none"/>
          <w:u w:val="single"/>
        </w:rPr>
        <w:t>土石方</w:t>
      </w:r>
      <w:r>
        <w:rPr>
          <w:rFonts w:hAnsi="宋体"/>
          <w:color w:val="auto"/>
          <w:szCs w:val="21"/>
          <w:highlight w:val="none"/>
          <w:u w:val="single"/>
        </w:rPr>
        <w:t>除外），并乘以</w:t>
      </w:r>
      <w:r>
        <w:rPr>
          <w:rFonts w:hint="eastAsia" w:hAnsi="宋体"/>
          <w:color w:val="auto"/>
          <w:szCs w:val="21"/>
          <w:highlight w:val="none"/>
          <w:u w:val="single"/>
        </w:rPr>
        <w:t>竞标</w:t>
      </w:r>
      <w:r>
        <w:rPr>
          <w:rFonts w:hAnsi="宋体"/>
          <w:color w:val="auto"/>
          <w:szCs w:val="21"/>
          <w:highlight w:val="none"/>
          <w:u w:val="single"/>
        </w:rPr>
        <w:t>下浮系数（</w:t>
      </w:r>
      <w:r>
        <w:rPr>
          <w:rFonts w:hint="eastAsia" w:hAnsi="宋体"/>
          <w:color w:val="auto"/>
          <w:szCs w:val="21"/>
          <w:highlight w:val="none"/>
          <w:u w:val="single"/>
        </w:rPr>
        <w:t>成交</w:t>
      </w:r>
      <w:r>
        <w:rPr>
          <w:rFonts w:hAnsi="宋体"/>
          <w:color w:val="auto"/>
          <w:szCs w:val="21"/>
          <w:highlight w:val="none"/>
          <w:u w:val="single"/>
        </w:rPr>
        <w:t>价/</w:t>
      </w:r>
      <w:r>
        <w:rPr>
          <w:rFonts w:hint="eastAsia" w:hAnsi="宋体"/>
          <w:color w:val="auto"/>
          <w:szCs w:val="21"/>
          <w:highlight w:val="none"/>
          <w:u w:val="single"/>
        </w:rPr>
        <w:t>经相关部门审定的</w:t>
      </w:r>
      <w:r>
        <w:rPr>
          <w:rFonts w:hAnsi="宋体"/>
          <w:color w:val="auto"/>
          <w:szCs w:val="21"/>
          <w:highlight w:val="none"/>
          <w:u w:val="single"/>
        </w:rPr>
        <w:t>工程</w:t>
      </w:r>
      <w:r>
        <w:rPr>
          <w:rFonts w:hint="eastAsia" w:hAnsi="宋体"/>
          <w:color w:val="auto"/>
          <w:szCs w:val="21"/>
          <w:highlight w:val="none"/>
          <w:u w:val="single"/>
        </w:rPr>
        <w:t>采购</w:t>
      </w:r>
      <w:r>
        <w:rPr>
          <w:rFonts w:hAnsi="宋体"/>
          <w:color w:val="auto"/>
          <w:szCs w:val="21"/>
          <w:highlight w:val="none"/>
          <w:u w:val="single"/>
        </w:rPr>
        <w:t>控制价）计算，</w:t>
      </w:r>
      <w:r>
        <w:rPr>
          <w:rFonts w:hint="eastAsia" w:hAnsi="宋体"/>
          <w:b/>
          <w:bCs/>
          <w:color w:val="auto"/>
          <w:szCs w:val="21"/>
          <w:highlight w:val="none"/>
          <w:u w:val="single"/>
          <w:lang w:eastAsia="zh-CN"/>
        </w:rPr>
        <w:t>主要材料单价按照2020年第八期《百色市建设工程造价信息》发布价格信息；对于造价信息没有发布价格信息的材料，其价格参照市场工地价(除税价)，无价格公布的参照同期百色信息价及市场询价，材料单价已含到施工工地的运费。</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7.1.4 竞标人应认真填写工程量清单中所列的所有各细目的单价和合价，填写时应注意：</w:t>
      </w:r>
    </w:p>
    <w:p>
      <w:pPr>
        <w:tabs>
          <w:tab w:val="left" w:pos="102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⑴有</w:t>
      </w:r>
      <w:r>
        <w:rPr>
          <w:rFonts w:ascii="宋体" w:hAnsi="宋体"/>
          <w:color w:val="auto"/>
          <w:szCs w:val="21"/>
          <w:highlight w:val="none"/>
        </w:rPr>
        <w:t>工程数量的</w:t>
      </w:r>
      <w:r>
        <w:rPr>
          <w:rFonts w:hint="eastAsia" w:ascii="宋体" w:hAnsi="宋体"/>
          <w:color w:val="auto"/>
          <w:szCs w:val="21"/>
          <w:highlight w:val="none"/>
        </w:rPr>
        <w:t>项目</w:t>
      </w:r>
      <w:r>
        <w:rPr>
          <w:rFonts w:ascii="宋体" w:hAnsi="宋体"/>
          <w:color w:val="auto"/>
          <w:szCs w:val="21"/>
          <w:highlight w:val="none"/>
        </w:rPr>
        <w:t>应报单价和合价</w:t>
      </w:r>
      <w:r>
        <w:rPr>
          <w:rFonts w:hint="eastAsia" w:ascii="宋体" w:hAnsi="宋体"/>
          <w:color w:val="auto"/>
          <w:szCs w:val="21"/>
          <w:highlight w:val="none"/>
        </w:rPr>
        <w:t>；</w:t>
      </w:r>
    </w:p>
    <w:p>
      <w:pPr>
        <w:tabs>
          <w:tab w:val="left" w:pos="1026"/>
          <w:tab w:val="left" w:pos="111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w:t>
      </w:r>
      <w:r>
        <w:rPr>
          <w:rFonts w:ascii="宋体" w:hAnsi="宋体"/>
          <w:color w:val="auto"/>
          <w:szCs w:val="21"/>
          <w:highlight w:val="none"/>
        </w:rPr>
        <w:t>无工程数量的项目不报价</w:t>
      </w:r>
      <w:r>
        <w:rPr>
          <w:rFonts w:hint="eastAsia" w:ascii="宋体" w:hAnsi="宋体"/>
          <w:color w:val="auto"/>
          <w:szCs w:val="21"/>
          <w:highlight w:val="none"/>
        </w:rPr>
        <w:t>；</w:t>
      </w:r>
    </w:p>
    <w:p>
      <w:pPr>
        <w:tabs>
          <w:tab w:val="left" w:pos="-8"/>
          <w:tab w:val="left" w:pos="102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w:t>
      </w:r>
      <w:r>
        <w:rPr>
          <w:rFonts w:ascii="宋体" w:hAnsi="宋体"/>
          <w:color w:val="auto"/>
          <w:szCs w:val="21"/>
          <w:highlight w:val="none"/>
        </w:rPr>
        <w:t>除非</w:t>
      </w:r>
      <w:r>
        <w:rPr>
          <w:rFonts w:hint="eastAsia" w:ascii="宋体" w:hAnsi="宋体"/>
          <w:color w:val="auto"/>
          <w:szCs w:val="21"/>
          <w:highlight w:val="none"/>
        </w:rPr>
        <w:t>采购</w:t>
      </w:r>
      <w:r>
        <w:rPr>
          <w:rFonts w:ascii="宋体" w:hAnsi="宋体"/>
          <w:color w:val="auto"/>
          <w:szCs w:val="21"/>
          <w:highlight w:val="none"/>
        </w:rPr>
        <w:t>人对竞争性谈判文件予以修改，竞标人应按</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提供的工程量清单中列出的工程项目和工程量填报单价和合价。每一项目只允许有一个报价。任何有选择的报价将不予接受。竞标人未填单价或合价的工程项目，在实施后，</w:t>
      </w:r>
      <w:r>
        <w:rPr>
          <w:rFonts w:hint="eastAsia" w:ascii="宋体" w:hAnsi="宋体"/>
          <w:color w:val="auto"/>
          <w:szCs w:val="21"/>
          <w:highlight w:val="none"/>
        </w:rPr>
        <w:t>采购</w:t>
      </w:r>
      <w:r>
        <w:rPr>
          <w:rFonts w:ascii="宋体" w:hAnsi="宋体"/>
          <w:color w:val="auto"/>
          <w:szCs w:val="21"/>
          <w:highlight w:val="none"/>
        </w:rPr>
        <w:t>人将不予以支付，并视为该项费用已包括在其他有价款的单价或合价内，承包人必须按监理工程师的指令完成工程量清单中未填入单价或总额价的工程细目，但不能得到支付与结算。</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 xml:space="preserve">7.1.5 </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所提供的工程量清单,应认为已包括完成本工程的所有项目。凡设计图纸已指明的工程或图纸所示的附属工程、相关工程、衔接与后续工程所需的费用，竞标人应计入相关项目的单价中。</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380" w:lineRule="exact"/>
        <w:ind w:firstLine="315" w:firstLineChars="150"/>
        <w:rPr>
          <w:rFonts w:ascii="宋体" w:hAnsi="宋体"/>
          <w:color w:val="auto"/>
          <w:szCs w:val="21"/>
          <w:highlight w:val="none"/>
        </w:rPr>
      </w:pPr>
      <w:r>
        <w:rPr>
          <w:rFonts w:ascii="宋体" w:hAnsi="宋体"/>
          <w:color w:val="auto"/>
          <w:szCs w:val="21"/>
          <w:highlight w:val="none"/>
        </w:rPr>
        <w:t>7.1.7</w:t>
      </w:r>
      <w:r>
        <w:rPr>
          <w:rFonts w:hint="eastAsia" w:ascii="宋体" w:hAnsi="宋体"/>
          <w:color w:val="auto"/>
          <w:szCs w:val="21"/>
          <w:highlight w:val="none"/>
        </w:rPr>
        <w:t xml:space="preserve"> 竞标人在报价中所报的单价和合价，以及竞标报价汇总表中的价格均包括完成该工程项目的成本、利润、税金、开办费、技术措施、大型机械进出场费、风险费、政策性文件规定费用等所有费用。</w:t>
      </w:r>
    </w:p>
    <w:p>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7.1.7.1</w:t>
      </w:r>
      <w:r>
        <w:rPr>
          <w:rFonts w:ascii="宋体" w:hAnsi="宋体"/>
          <w:color w:val="auto"/>
          <w:szCs w:val="21"/>
          <w:highlight w:val="none"/>
        </w:rPr>
        <w:t>发包人不提供取土点、弃土点，土石方单价包含</w:t>
      </w:r>
      <w:r>
        <w:rPr>
          <w:rFonts w:hint="eastAsia" w:ascii="宋体" w:hAnsi="宋体"/>
          <w:color w:val="auto"/>
          <w:szCs w:val="21"/>
          <w:highlight w:val="none"/>
        </w:rPr>
        <w:t>但不限于以下费用</w:t>
      </w:r>
      <w:r>
        <w:rPr>
          <w:rFonts w:ascii="宋体" w:hAnsi="宋体"/>
          <w:color w:val="auto"/>
          <w:szCs w:val="21"/>
          <w:highlight w:val="none"/>
        </w:rPr>
        <w:t>：</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⑴</w:t>
      </w:r>
      <w:r>
        <w:rPr>
          <w:rFonts w:ascii="宋体" w:hAnsi="宋体"/>
          <w:color w:val="auto"/>
          <w:szCs w:val="21"/>
          <w:highlight w:val="none"/>
        </w:rPr>
        <w:t>有关土石方挖、填、弃（含超运）等一切作业的费用；</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⑵</w:t>
      </w:r>
      <w:r>
        <w:rPr>
          <w:rFonts w:ascii="宋体" w:hAnsi="宋体"/>
          <w:color w:val="auto"/>
          <w:szCs w:val="21"/>
          <w:highlight w:val="none"/>
        </w:rPr>
        <w:t>取、弃土场的租用、青苗补偿、场地的恢复、平整、压实、检测等一切作业的费用；</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⑶</w:t>
      </w:r>
      <w:r>
        <w:rPr>
          <w:rFonts w:ascii="宋体" w:hAnsi="宋体"/>
          <w:color w:val="auto"/>
          <w:szCs w:val="21"/>
          <w:highlight w:val="none"/>
        </w:rPr>
        <w:t>土石方作业的其他费用</w:t>
      </w:r>
      <w:r>
        <w:rPr>
          <w:rFonts w:hint="eastAsia" w:ascii="宋体" w:hAnsi="宋体"/>
          <w:color w:val="auto"/>
          <w:szCs w:val="21"/>
          <w:highlight w:val="none"/>
        </w:rPr>
        <w:t>，含政府临时性管制政策影响因素而发生的费用，如城乡清洁工程管理要求等因素；</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⑷土石方单价按市场报价。</w:t>
      </w:r>
    </w:p>
    <w:p>
      <w:pPr>
        <w:spacing w:line="380" w:lineRule="exact"/>
        <w:ind w:firstLine="434" w:firstLineChars="206"/>
        <w:rPr>
          <w:rFonts w:ascii="宋体" w:hAnsi="宋体"/>
          <w:b/>
          <w:color w:val="auto"/>
          <w:szCs w:val="21"/>
          <w:highlight w:val="none"/>
          <w:u w:val="single"/>
        </w:rPr>
      </w:pPr>
      <w:r>
        <w:rPr>
          <w:rFonts w:hint="eastAsia" w:ascii="宋体" w:hAnsi="宋体"/>
          <w:b/>
          <w:color w:val="auto"/>
          <w:szCs w:val="21"/>
          <w:highlight w:val="none"/>
          <w:u w:val="single"/>
        </w:rPr>
        <w:t>土石方单价以综合单价包干，结算时不对运距进行费用签证。</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8 承包人承建本工程所需的水电报装（含设备的购买、安装、维修、使用、拆除、维护及场地租用、恢复等一切与此相关的费用）由承包人负责，以上费用在竞标报价中综合考虑。</w:t>
      </w:r>
    </w:p>
    <w:p>
      <w:pPr>
        <w:spacing w:line="380" w:lineRule="exact"/>
        <w:ind w:firstLine="48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9</w:t>
      </w:r>
      <w:r>
        <w:rPr>
          <w:rFonts w:ascii="宋体" w:hAnsi="宋体"/>
          <w:color w:val="auto"/>
          <w:szCs w:val="21"/>
          <w:highlight w:val="none"/>
        </w:rPr>
        <w:t>工程量清单中涉及混凝土的细目,竞标人应综合考虑现行地方政府有关规定,自行报价。</w:t>
      </w:r>
    </w:p>
    <w:p>
      <w:pPr>
        <w:spacing w:line="380" w:lineRule="exact"/>
        <w:ind w:firstLine="480"/>
        <w:rPr>
          <w:rFonts w:ascii="宋体" w:hAnsi="宋体"/>
          <w:b/>
          <w:color w:val="auto"/>
          <w:szCs w:val="21"/>
          <w:highlight w:val="none"/>
        </w:rPr>
      </w:pPr>
      <w:r>
        <w:rPr>
          <w:rFonts w:ascii="宋体" w:hAnsi="宋体"/>
          <w:b/>
          <w:color w:val="auto"/>
          <w:szCs w:val="21"/>
          <w:highlight w:val="none"/>
        </w:rPr>
        <w:t>7.1.1</w:t>
      </w:r>
      <w:r>
        <w:rPr>
          <w:rFonts w:hint="eastAsia" w:ascii="宋体" w:hAnsi="宋体"/>
          <w:b/>
          <w:color w:val="auto"/>
          <w:szCs w:val="21"/>
          <w:highlight w:val="none"/>
        </w:rPr>
        <w:t>0</w:t>
      </w:r>
      <w:r>
        <w:rPr>
          <w:rFonts w:ascii="宋体" w:hAnsi="宋体"/>
          <w:b/>
          <w:color w:val="auto"/>
          <w:szCs w:val="21"/>
          <w:highlight w:val="none"/>
        </w:rPr>
        <w:t>竞标人在进行工程量清单竞标时，应按照</w:t>
      </w:r>
      <w:r>
        <w:rPr>
          <w:rFonts w:hint="eastAsia" w:ascii="宋体" w:hAnsi="宋体"/>
          <w:b/>
          <w:color w:val="auto"/>
          <w:szCs w:val="21"/>
          <w:highlight w:val="none"/>
        </w:rPr>
        <w:t>采购</w:t>
      </w:r>
      <w:r>
        <w:rPr>
          <w:rFonts w:ascii="宋体" w:hAnsi="宋体"/>
          <w:b/>
          <w:color w:val="auto"/>
          <w:szCs w:val="21"/>
          <w:highlight w:val="none"/>
        </w:rPr>
        <w:t>人的</w:t>
      </w:r>
      <w:r>
        <w:rPr>
          <w:rFonts w:hint="eastAsia" w:ascii="宋体" w:hAnsi="宋体"/>
          <w:b/>
          <w:color w:val="auto"/>
          <w:szCs w:val="21"/>
          <w:highlight w:val="none"/>
        </w:rPr>
        <w:t>工</w:t>
      </w:r>
      <w:r>
        <w:rPr>
          <w:rFonts w:ascii="宋体" w:hAnsi="宋体"/>
          <w:b/>
          <w:color w:val="auto"/>
          <w:szCs w:val="21"/>
          <w:highlight w:val="none"/>
        </w:rPr>
        <w:t>程量清单进行报价。竞标人对自己所填写的项目编码、项目名称、</w:t>
      </w:r>
      <w:r>
        <w:rPr>
          <w:rFonts w:hint="eastAsia" w:ascii="宋体" w:hAnsi="宋体"/>
          <w:b/>
          <w:color w:val="auto"/>
          <w:szCs w:val="21"/>
          <w:highlight w:val="none"/>
        </w:rPr>
        <w:t>项目特征、</w:t>
      </w:r>
      <w:r>
        <w:rPr>
          <w:rFonts w:ascii="宋体" w:hAnsi="宋体"/>
          <w:b/>
          <w:color w:val="auto"/>
          <w:szCs w:val="21"/>
          <w:highlight w:val="none"/>
        </w:rPr>
        <w:t>计量单位、工程数量负责。谈判中，如项目编码与项目名称、</w:t>
      </w:r>
      <w:r>
        <w:rPr>
          <w:rFonts w:hint="eastAsia" w:ascii="宋体" w:hAnsi="宋体"/>
          <w:b/>
          <w:color w:val="auto"/>
          <w:szCs w:val="21"/>
          <w:highlight w:val="none"/>
        </w:rPr>
        <w:t>项目特征</w:t>
      </w:r>
      <w:r>
        <w:rPr>
          <w:rFonts w:ascii="宋体" w:hAnsi="宋体"/>
          <w:b/>
          <w:color w:val="auto"/>
          <w:szCs w:val="21"/>
          <w:highlight w:val="none"/>
        </w:rPr>
        <w:t>不一致，以项目编码为准；如项目编码与</w:t>
      </w:r>
      <w:r>
        <w:rPr>
          <w:rFonts w:hint="eastAsia" w:ascii="宋体" w:hAnsi="宋体"/>
          <w:b/>
          <w:color w:val="auto"/>
          <w:szCs w:val="21"/>
          <w:highlight w:val="none"/>
        </w:rPr>
        <w:t>项目特征、</w:t>
      </w:r>
      <w:r>
        <w:rPr>
          <w:rFonts w:ascii="宋体" w:hAnsi="宋体"/>
          <w:b/>
          <w:color w:val="auto"/>
          <w:szCs w:val="21"/>
          <w:highlight w:val="none"/>
        </w:rPr>
        <w:t>计量单位、工程数量无法一一对应，该清单项目作废，该清单项目的费用视为包含在其他清单中；如作废的清单项目达到3项以上（含本数）或作废的清单项目造价累计超过单位工程竞标报价的2%（含本数），视为不响应竞争性谈判文件实质性内容，作</w:t>
      </w:r>
      <w:r>
        <w:rPr>
          <w:rFonts w:hint="eastAsia" w:ascii="宋体" w:hAnsi="宋体"/>
          <w:b/>
          <w:color w:val="auto"/>
          <w:szCs w:val="21"/>
          <w:highlight w:val="none"/>
        </w:rPr>
        <w:t>无效竞标</w:t>
      </w:r>
      <w:r>
        <w:rPr>
          <w:rFonts w:ascii="宋体" w:hAnsi="宋体"/>
          <w:b/>
          <w:color w:val="auto"/>
          <w:szCs w:val="21"/>
          <w:highlight w:val="none"/>
        </w:rPr>
        <w:t>处理。</w:t>
      </w:r>
    </w:p>
    <w:p>
      <w:pPr>
        <w:spacing w:line="380" w:lineRule="exact"/>
        <w:ind w:firstLine="480"/>
        <w:rPr>
          <w:rFonts w:ascii="宋体" w:hAnsi="宋体"/>
          <w:b/>
          <w:color w:val="auto"/>
          <w:szCs w:val="21"/>
          <w:highlight w:val="none"/>
        </w:rPr>
      </w:pPr>
      <w:r>
        <w:rPr>
          <w:rFonts w:ascii="宋体" w:hAnsi="宋体"/>
          <w:b/>
          <w:color w:val="auto"/>
          <w:szCs w:val="21"/>
          <w:highlight w:val="none"/>
        </w:rPr>
        <w:t>7.1.1</w:t>
      </w:r>
      <w:r>
        <w:rPr>
          <w:rFonts w:hint="eastAsia" w:ascii="宋体" w:hAnsi="宋体"/>
          <w:b/>
          <w:color w:val="auto"/>
          <w:szCs w:val="21"/>
          <w:highlight w:val="none"/>
        </w:rPr>
        <w:t>1竞标人必须按照采购人提供的工程量清单中的工程量来填报报价，工程量清单必须应用不褪色的材料手抄填写或打印。若竞标文件中的工程量与采购人提供的工程量不一致，将作无效竞标处理。</w:t>
      </w:r>
    </w:p>
    <w:p>
      <w:pPr>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7.1.12竞标人不得采用总价优惠、总价百分比优惠或以报价调整函的方式进行竞标报价，其优惠应直接体现在各项竞标报价的单价中，竞标函中的报价必须与工程量清单汇总表一致，否则作废标处理。</w:t>
      </w:r>
    </w:p>
    <w:p>
      <w:pPr>
        <w:spacing w:line="380" w:lineRule="exact"/>
        <w:ind w:firstLine="480"/>
        <w:rPr>
          <w:rFonts w:ascii="宋体" w:hAnsi="宋体"/>
          <w:color w:val="auto"/>
          <w:szCs w:val="21"/>
          <w:highlight w:val="none"/>
        </w:rPr>
      </w:pPr>
      <w:r>
        <w:rPr>
          <w:rFonts w:ascii="宋体" w:hAnsi="宋体"/>
          <w:color w:val="auto"/>
          <w:szCs w:val="21"/>
          <w:highlight w:val="none"/>
        </w:rPr>
        <w:t>7.1.1</w:t>
      </w:r>
      <w:r>
        <w:rPr>
          <w:rFonts w:hint="eastAsia" w:ascii="宋体" w:hAnsi="宋体"/>
          <w:color w:val="auto"/>
          <w:szCs w:val="21"/>
          <w:highlight w:val="none"/>
        </w:rPr>
        <w:t>3 因施工产生的污水、废水、建筑垃圾以及噪音扰民等的处置由承包人负责，相关费用结合工程量清单综合考虑。</w:t>
      </w:r>
    </w:p>
    <w:p>
      <w:pPr>
        <w:spacing w:line="380" w:lineRule="exact"/>
        <w:ind w:firstLine="480"/>
        <w:rPr>
          <w:rFonts w:ascii="宋体" w:hAnsi="宋体"/>
          <w:color w:val="auto"/>
          <w:szCs w:val="21"/>
          <w:highlight w:val="none"/>
        </w:rPr>
      </w:pPr>
      <w:r>
        <w:rPr>
          <w:rFonts w:hint="eastAsia" w:ascii="宋体" w:hAnsi="宋体"/>
          <w:color w:val="auto"/>
          <w:szCs w:val="21"/>
          <w:highlight w:val="none"/>
        </w:rPr>
        <w:t>7.1.14</w:t>
      </w:r>
      <w:r>
        <w:rPr>
          <w:rFonts w:ascii="宋体" w:hAnsi="宋体"/>
          <w:color w:val="auto"/>
          <w:szCs w:val="21"/>
          <w:highlight w:val="none"/>
        </w:rPr>
        <w:t>竞标人可先到工地踏勘以充分了解工地位置、情况、道路、储存空间、装卸限制及任何其他足以影响承包价的情况，任何因忽视或误解工地情况而导致的索赔或工期延长申请将不被批准。</w:t>
      </w:r>
      <w:r>
        <w:rPr>
          <w:rFonts w:hint="eastAsia" w:ascii="宋体" w:hAnsi="宋体"/>
          <w:color w:val="auto"/>
          <w:szCs w:val="21"/>
          <w:highlight w:val="none"/>
        </w:rPr>
        <w:t>由竞标人自行考虑主要材料价格涨跌的风险。因征地拆迁影响及重大设计变更等建设单位原因，在竞标后延迟开工或中途停建重新复工的施工工期内，按有关政府规定执行。</w:t>
      </w:r>
    </w:p>
    <w:p>
      <w:pPr>
        <w:spacing w:line="380" w:lineRule="exact"/>
        <w:ind w:firstLine="480"/>
        <w:rPr>
          <w:rFonts w:ascii="宋体" w:hAnsi="宋体"/>
          <w:color w:val="auto"/>
          <w:szCs w:val="21"/>
          <w:highlight w:val="none"/>
        </w:rPr>
      </w:pPr>
      <w:r>
        <w:rPr>
          <w:rFonts w:hint="eastAsia" w:ascii="宋体" w:hAnsi="宋体"/>
          <w:color w:val="auto"/>
          <w:szCs w:val="21"/>
          <w:highlight w:val="none"/>
        </w:rPr>
        <w:t>7.1.15竞标人应充分考虑沿路单位及过路车辆、行人的交通疏导问题，因交通管理导致的费用由竞标人自行承担。</w:t>
      </w:r>
    </w:p>
    <w:p>
      <w:pPr>
        <w:tabs>
          <w:tab w:val="left" w:pos="742"/>
        </w:tabs>
        <w:spacing w:line="380" w:lineRule="exact"/>
        <w:ind w:firstLine="81" w:firstLineChars="39"/>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7.2 计算依据：</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7.2.1.</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1</w:t>
      </w:r>
      <w:r>
        <w:rPr>
          <w:rFonts w:hint="eastAsia" w:ascii="宋体" w:hAnsi="宋体"/>
          <w:b/>
          <w:bCs/>
          <w:color w:val="0000FF"/>
          <w:szCs w:val="21"/>
          <w:highlight w:val="none"/>
          <w:lang w:eastAsia="zh-CN"/>
        </w:rPr>
        <w:t>）</w:t>
      </w:r>
      <w:r>
        <w:rPr>
          <w:rFonts w:hint="eastAsia" w:ascii="宋体" w:hAnsi="宋体"/>
          <w:b/>
          <w:bCs/>
          <w:color w:val="0000FF"/>
          <w:szCs w:val="21"/>
          <w:highlight w:val="none"/>
        </w:rPr>
        <w:t>《建设工程工程量清单计价规范》(GB50500-2013)及《建设工程工程量清单计价规范》(GB50500-2013)广西壮族自治区实施细则》；</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2</w:t>
      </w:r>
      <w:r>
        <w:rPr>
          <w:rFonts w:hint="eastAsia" w:ascii="宋体" w:hAnsi="宋体"/>
          <w:b/>
          <w:bCs/>
          <w:color w:val="0000FF"/>
          <w:szCs w:val="21"/>
          <w:highlight w:val="none"/>
          <w:lang w:eastAsia="zh-CN"/>
        </w:rPr>
        <w:t>）</w:t>
      </w:r>
      <w:r>
        <w:rPr>
          <w:rFonts w:hint="eastAsia" w:ascii="宋体" w:hAnsi="宋体"/>
          <w:b/>
          <w:bCs/>
          <w:color w:val="0000FF"/>
          <w:szCs w:val="21"/>
          <w:highlight w:val="none"/>
        </w:rPr>
        <w:t>《建设工程工程量计算规范》（GB50854～50862-2013）及其广西壮族自治区实施细则（修订本）；</w:t>
      </w: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3</w:t>
      </w:r>
      <w:r>
        <w:rPr>
          <w:rFonts w:hint="eastAsia" w:ascii="宋体" w:hAnsi="宋体"/>
          <w:b/>
          <w:bCs/>
          <w:color w:val="0000FF"/>
          <w:szCs w:val="21"/>
          <w:highlight w:val="none"/>
          <w:lang w:eastAsia="zh-CN"/>
        </w:rPr>
        <w:t>）</w:t>
      </w:r>
      <w:r>
        <w:rPr>
          <w:rFonts w:hint="eastAsia" w:ascii="宋体" w:hAnsi="宋体"/>
          <w:b/>
          <w:bCs/>
          <w:color w:val="0000FF"/>
          <w:szCs w:val="21"/>
          <w:highlight w:val="none"/>
        </w:rPr>
        <w:t>2013年《广西壮族自治区建筑装饰装修工程消耗量定额》及计价相关规定；</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4</w:t>
      </w:r>
      <w:r>
        <w:rPr>
          <w:rFonts w:hint="eastAsia" w:ascii="宋体" w:hAnsi="宋体"/>
          <w:b/>
          <w:bCs/>
          <w:color w:val="0000FF"/>
          <w:szCs w:val="21"/>
          <w:highlight w:val="none"/>
          <w:lang w:eastAsia="zh-CN"/>
        </w:rPr>
        <w:t>）</w:t>
      </w:r>
      <w:r>
        <w:rPr>
          <w:rFonts w:hint="eastAsia" w:ascii="宋体" w:hAnsi="宋体"/>
          <w:b/>
          <w:bCs/>
          <w:color w:val="0000FF"/>
          <w:szCs w:val="21"/>
          <w:highlight w:val="none"/>
        </w:rPr>
        <w:t>2013年《广西壮族自治区建筑装饰装修工程造价要素基期价》；</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5</w:t>
      </w:r>
      <w:r>
        <w:rPr>
          <w:rFonts w:hint="eastAsia" w:ascii="宋体" w:hAnsi="宋体"/>
          <w:b/>
          <w:bCs/>
          <w:color w:val="0000FF"/>
          <w:szCs w:val="21"/>
          <w:highlight w:val="none"/>
          <w:lang w:eastAsia="zh-CN"/>
        </w:rPr>
        <w:t>）</w:t>
      </w:r>
      <w:r>
        <w:rPr>
          <w:rFonts w:hint="eastAsia" w:ascii="宋体" w:hAnsi="宋体"/>
          <w:b/>
          <w:bCs/>
          <w:color w:val="0000FF"/>
          <w:szCs w:val="21"/>
          <w:highlight w:val="none"/>
        </w:rPr>
        <w:t>2015版《广西壮族自治区安装工程消耗量定额》及计价相关规定；</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6</w:t>
      </w:r>
      <w:r>
        <w:rPr>
          <w:rFonts w:hint="eastAsia" w:ascii="宋体" w:hAnsi="宋体"/>
          <w:b/>
          <w:bCs/>
          <w:color w:val="0000FF"/>
          <w:szCs w:val="21"/>
          <w:highlight w:val="none"/>
          <w:lang w:eastAsia="zh-CN"/>
        </w:rPr>
        <w:t>）</w:t>
      </w:r>
      <w:r>
        <w:rPr>
          <w:rFonts w:hint="eastAsia" w:ascii="宋体" w:hAnsi="宋体"/>
          <w:b/>
          <w:bCs/>
          <w:color w:val="0000FF"/>
          <w:szCs w:val="21"/>
          <w:highlight w:val="none"/>
        </w:rPr>
        <w:t>2016年《广西壮族自治区建设工程费用定额》及计价相关规定；</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7</w:t>
      </w:r>
      <w:r>
        <w:rPr>
          <w:rFonts w:hint="eastAsia" w:ascii="宋体" w:hAnsi="宋体"/>
          <w:b/>
          <w:bCs/>
          <w:color w:val="0000FF"/>
          <w:szCs w:val="21"/>
          <w:highlight w:val="none"/>
          <w:lang w:eastAsia="zh-CN"/>
        </w:rPr>
        <w:t>）</w:t>
      </w:r>
      <w:r>
        <w:rPr>
          <w:rFonts w:hint="eastAsia" w:ascii="宋体" w:hAnsi="宋体"/>
          <w:b/>
          <w:bCs/>
          <w:color w:val="0000FF"/>
          <w:szCs w:val="21"/>
          <w:highlight w:val="none"/>
        </w:rPr>
        <w:t>关于调整建设工程定额人工费及有关费率的通知（桂建标[2015]5号)；；</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8</w:t>
      </w:r>
      <w:r>
        <w:rPr>
          <w:rFonts w:hint="eastAsia" w:ascii="宋体" w:hAnsi="宋体"/>
          <w:b/>
          <w:bCs/>
          <w:color w:val="0000FF"/>
          <w:szCs w:val="21"/>
          <w:highlight w:val="none"/>
          <w:lang w:eastAsia="zh-CN"/>
        </w:rPr>
        <w:t>）</w:t>
      </w:r>
      <w:r>
        <w:rPr>
          <w:rFonts w:hint="eastAsia" w:ascii="宋体" w:hAnsi="宋体"/>
          <w:b/>
          <w:bCs/>
          <w:color w:val="0000FF"/>
          <w:szCs w:val="21"/>
          <w:highlight w:val="none"/>
        </w:rPr>
        <w:t>材料价格采用2020年第八期《百色市建设工程造价信息》发布价格信息；对于造价信息没有发布价格信息的材料，其价格参照市场工地价。</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7.2.2根据桂建管字[1999]第2号文件规定，竞标报价中不含劳动保险费。</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7.2.3工程措施项目中的安全施工费、文明施工费、环境保护费、临时设施费，按桂建质[2006]22号文规定的规费标准计取执行，不进行采购采购竞争。该四项费用经检查考核符合要求后，每月支付一次，但总价不得超出该四项费用的总费用。</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7.2.4 竞标人工程量清单中原有项目的工程量结算无论增减多少，均按原单价支付，承包人必须按发包人的指令进行施工，不得以任何理由拒绝，否则将视为违约，竞标人必须在报价中充分考虑由工程量变化带来的风险。</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7.2.5工伤保险费按桂建管[2008]37号文执行。建设工程检验试验费和检验试验配合费按桂建标[2009]7号文计取。检验试验费和检验试验配合费若竞标人不按桂建标[2009]7号文规定的计费标准报价或少报价、零报价的，工程结算时超过报价部分的及零报价的不给予计算。</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7.2.6本工程的竞标报价不准使用报价调整函、竞标函中的报价必须与工程量清单汇总表一致，否则作无效竞标处理。</w:t>
      </w:r>
    </w:p>
    <w:p>
      <w:pPr>
        <w:spacing w:line="380" w:lineRule="exact"/>
        <w:ind w:firstLine="452"/>
        <w:rPr>
          <w:rFonts w:ascii="宋体" w:hAnsi="宋体"/>
          <w:b/>
          <w:color w:val="auto"/>
          <w:szCs w:val="21"/>
          <w:highlight w:val="none"/>
        </w:rPr>
      </w:pPr>
      <w:bookmarkStart w:id="97" w:name="_Toc71782115"/>
      <w:r>
        <w:rPr>
          <w:rFonts w:ascii="宋体" w:hAnsi="宋体"/>
          <w:b/>
          <w:color w:val="auto"/>
          <w:szCs w:val="21"/>
          <w:highlight w:val="none"/>
        </w:rPr>
        <w:t>7.3</w:t>
      </w:r>
      <w:r>
        <w:rPr>
          <w:rFonts w:hint="eastAsia" w:ascii="宋体" w:hAnsi="宋体"/>
          <w:b/>
          <w:color w:val="auto"/>
          <w:szCs w:val="21"/>
          <w:highlight w:val="none"/>
        </w:rPr>
        <w:t xml:space="preserve"> 上限</w:t>
      </w:r>
      <w:r>
        <w:rPr>
          <w:rFonts w:ascii="宋体" w:hAnsi="宋体"/>
          <w:b/>
          <w:color w:val="auto"/>
          <w:szCs w:val="21"/>
          <w:highlight w:val="none"/>
        </w:rPr>
        <w:t>控制价</w:t>
      </w:r>
      <w:bookmarkEnd w:id="97"/>
      <w:r>
        <w:rPr>
          <w:rFonts w:hint="eastAsia" w:ascii="宋体" w:hAnsi="宋体"/>
          <w:b/>
          <w:color w:val="auto"/>
          <w:szCs w:val="21"/>
          <w:highlight w:val="none"/>
        </w:rPr>
        <w:t>。</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7.3.1</w:t>
      </w:r>
      <w:r>
        <w:rPr>
          <w:rFonts w:hint="eastAsia" w:ascii="宋体" w:hAnsi="宋体"/>
          <w:color w:val="auto"/>
          <w:szCs w:val="21"/>
          <w:highlight w:val="none"/>
        </w:rPr>
        <w:t xml:space="preserve"> </w:t>
      </w:r>
      <w:r>
        <w:rPr>
          <w:rFonts w:ascii="宋体" w:hAnsi="宋体"/>
          <w:color w:val="auto"/>
          <w:szCs w:val="21"/>
          <w:highlight w:val="none"/>
        </w:rPr>
        <w:t>本工程的</w:t>
      </w:r>
      <w:r>
        <w:rPr>
          <w:rFonts w:hint="eastAsia" w:ascii="宋体" w:hAnsi="宋体"/>
          <w:color w:val="auto"/>
          <w:szCs w:val="21"/>
          <w:highlight w:val="none"/>
        </w:rPr>
        <w:t>上限控制价为</w:t>
      </w:r>
      <w:r>
        <w:rPr>
          <w:rFonts w:hint="eastAsia" w:ascii="宋体" w:hAnsi="宋体" w:cs="宋体"/>
          <w:b/>
          <w:bCs/>
          <w:color w:val="0000FF"/>
          <w:kern w:val="0"/>
          <w:szCs w:val="21"/>
          <w:highlight w:val="none"/>
          <w:lang w:bidi="ar"/>
        </w:rPr>
        <w:t>人民币</w:t>
      </w:r>
      <w:r>
        <w:rPr>
          <w:rFonts w:hint="eastAsia" w:ascii="宋体" w:hAnsi="宋体" w:cs="宋体"/>
          <w:b/>
          <w:bCs/>
          <w:color w:val="0000FF"/>
          <w:kern w:val="0"/>
          <w:szCs w:val="21"/>
          <w:highlight w:val="none"/>
          <w:lang w:eastAsia="zh-CN" w:bidi="ar"/>
        </w:rPr>
        <w:t>玖拾玖万零柒佰柒拾元贰角捌分（￥990770.28元）</w:t>
      </w:r>
      <w:r>
        <w:rPr>
          <w:rFonts w:hint="eastAsia" w:ascii="宋体" w:hAnsi="宋体" w:cs="宋体"/>
          <w:color w:val="auto"/>
          <w:kern w:val="0"/>
          <w:szCs w:val="21"/>
          <w:highlight w:val="none"/>
          <w:lang w:bidi="ar"/>
        </w:rPr>
        <w:t>，具体</w:t>
      </w:r>
      <w:r>
        <w:rPr>
          <w:rFonts w:hint="eastAsia" w:ascii="宋体" w:hAnsi="宋体"/>
          <w:color w:val="auto"/>
          <w:szCs w:val="21"/>
          <w:highlight w:val="none"/>
        </w:rPr>
        <w:t>详见第</w:t>
      </w:r>
      <w:r>
        <w:rPr>
          <w:rFonts w:hint="eastAsia" w:ascii="宋体" w:hAnsi="宋体"/>
          <w:color w:val="auto"/>
          <w:szCs w:val="21"/>
          <w:highlight w:val="none"/>
          <w:lang w:eastAsia="zh-CN"/>
        </w:rPr>
        <w:t>七</w:t>
      </w:r>
      <w:r>
        <w:rPr>
          <w:rFonts w:hint="eastAsia" w:ascii="宋体" w:hAnsi="宋体"/>
          <w:color w:val="auto"/>
          <w:szCs w:val="21"/>
          <w:highlight w:val="none"/>
        </w:rPr>
        <w:t>章《评标办法》。</w:t>
      </w:r>
    </w:p>
    <w:p>
      <w:pPr>
        <w:spacing w:line="380" w:lineRule="exact"/>
        <w:ind w:firstLine="452"/>
        <w:rPr>
          <w:rFonts w:ascii="宋体" w:hAnsi="宋体"/>
          <w:color w:val="auto"/>
          <w:szCs w:val="21"/>
          <w:highlight w:val="none"/>
        </w:rPr>
      </w:pPr>
      <w:r>
        <w:rPr>
          <w:rFonts w:ascii="宋体" w:hAnsi="宋体"/>
          <w:color w:val="auto"/>
          <w:szCs w:val="21"/>
          <w:highlight w:val="none"/>
        </w:rPr>
        <w:t>7.3.2竞标人应认真对照施工设计图纸等文件核对</w:t>
      </w:r>
      <w:r>
        <w:rPr>
          <w:rFonts w:hint="eastAsia" w:ascii="宋体" w:hAnsi="宋体"/>
          <w:color w:val="auto"/>
          <w:szCs w:val="21"/>
          <w:highlight w:val="none"/>
        </w:rPr>
        <w:t>采购</w:t>
      </w:r>
      <w:r>
        <w:rPr>
          <w:rFonts w:ascii="宋体" w:hAnsi="宋体"/>
          <w:color w:val="auto"/>
          <w:szCs w:val="21"/>
          <w:highlight w:val="none"/>
        </w:rPr>
        <w:t>人公布的工程</w:t>
      </w:r>
      <w:r>
        <w:rPr>
          <w:rFonts w:hint="eastAsia" w:ascii="宋体" w:hAnsi="宋体"/>
          <w:color w:val="auto"/>
          <w:szCs w:val="21"/>
          <w:highlight w:val="none"/>
        </w:rPr>
        <w:t>上限控制价</w:t>
      </w:r>
      <w:r>
        <w:rPr>
          <w:rFonts w:ascii="宋体" w:hAnsi="宋体"/>
          <w:color w:val="auto"/>
          <w:szCs w:val="21"/>
          <w:highlight w:val="none"/>
        </w:rPr>
        <w:t>，发现工程</w:t>
      </w:r>
      <w:r>
        <w:rPr>
          <w:rFonts w:hint="eastAsia" w:ascii="宋体" w:hAnsi="宋体"/>
          <w:color w:val="auto"/>
          <w:szCs w:val="21"/>
          <w:highlight w:val="none"/>
        </w:rPr>
        <w:t>上限控制价</w:t>
      </w:r>
      <w:r>
        <w:rPr>
          <w:rFonts w:ascii="宋体" w:hAnsi="宋体"/>
          <w:color w:val="auto"/>
          <w:szCs w:val="21"/>
          <w:highlight w:val="none"/>
        </w:rPr>
        <w:t>明显误差的，必须在</w:t>
      </w:r>
      <w:r>
        <w:rPr>
          <w:rFonts w:hint="eastAsia" w:ascii="宋体" w:hAnsi="宋体"/>
          <w:color w:val="auto"/>
          <w:szCs w:val="21"/>
          <w:highlight w:val="none"/>
        </w:rPr>
        <w:t>竞</w:t>
      </w:r>
      <w:r>
        <w:rPr>
          <w:rFonts w:ascii="宋体" w:hAnsi="宋体"/>
          <w:color w:val="auto"/>
          <w:szCs w:val="21"/>
          <w:highlight w:val="none"/>
        </w:rPr>
        <w:t>标截止时间</w:t>
      </w:r>
      <w:r>
        <w:rPr>
          <w:rFonts w:hint="eastAsia" w:ascii="宋体" w:hAnsi="宋体"/>
          <w:color w:val="auto"/>
          <w:szCs w:val="21"/>
          <w:highlight w:val="none"/>
          <w:u w:val="single"/>
        </w:rPr>
        <w:t xml:space="preserve"> 1 </w:t>
      </w:r>
      <w:r>
        <w:rPr>
          <w:rFonts w:ascii="宋体" w:hAnsi="宋体"/>
          <w:color w:val="auto"/>
          <w:szCs w:val="21"/>
          <w:highlight w:val="none"/>
        </w:rPr>
        <w:t>天前向</w:t>
      </w:r>
      <w:r>
        <w:rPr>
          <w:rFonts w:hint="eastAsia" w:ascii="宋体" w:hAnsi="宋体"/>
          <w:color w:val="auto"/>
          <w:szCs w:val="21"/>
          <w:highlight w:val="none"/>
        </w:rPr>
        <w:t>采购代理机构</w:t>
      </w:r>
      <w:r>
        <w:rPr>
          <w:rFonts w:ascii="宋体" w:hAnsi="宋体"/>
          <w:color w:val="auto"/>
          <w:szCs w:val="21"/>
          <w:highlight w:val="none"/>
        </w:rPr>
        <w:t>提出书面异议或修正要求。</w:t>
      </w:r>
    </w:p>
    <w:p>
      <w:pPr>
        <w:spacing w:line="380" w:lineRule="exact"/>
        <w:ind w:firstLine="452"/>
        <w:rPr>
          <w:rFonts w:ascii="宋体" w:hAnsi="宋体"/>
          <w:color w:val="auto"/>
          <w:szCs w:val="21"/>
          <w:highlight w:val="none"/>
        </w:rPr>
      </w:pPr>
      <w:r>
        <w:rPr>
          <w:rFonts w:ascii="宋体" w:hAnsi="宋体"/>
          <w:color w:val="auto"/>
          <w:szCs w:val="21"/>
          <w:highlight w:val="none"/>
        </w:rPr>
        <w:t>7.3.3</w:t>
      </w:r>
      <w:r>
        <w:rPr>
          <w:rFonts w:hint="eastAsia" w:ascii="宋体" w:hAnsi="宋体"/>
          <w:color w:val="auto"/>
          <w:szCs w:val="21"/>
          <w:highlight w:val="none"/>
        </w:rPr>
        <w:t>采购代理机构</w:t>
      </w:r>
      <w:r>
        <w:rPr>
          <w:rFonts w:ascii="宋体" w:hAnsi="宋体"/>
          <w:color w:val="auto"/>
          <w:szCs w:val="21"/>
          <w:highlight w:val="none"/>
        </w:rPr>
        <w:t>在收到竞标人提出的书面异议或修正要求后，将对异议或修正要求进行核实。如</w:t>
      </w:r>
      <w:r>
        <w:rPr>
          <w:rFonts w:hint="eastAsia" w:ascii="宋体" w:hAnsi="宋体"/>
          <w:color w:val="auto"/>
          <w:szCs w:val="21"/>
          <w:highlight w:val="none"/>
        </w:rPr>
        <w:t>采购</w:t>
      </w:r>
      <w:r>
        <w:rPr>
          <w:rFonts w:ascii="宋体" w:hAnsi="宋体"/>
          <w:color w:val="auto"/>
          <w:szCs w:val="21"/>
          <w:highlight w:val="none"/>
        </w:rPr>
        <w:t>人认为有必要对工程</w:t>
      </w:r>
      <w:r>
        <w:rPr>
          <w:rFonts w:hint="eastAsia" w:ascii="宋体" w:hAnsi="宋体"/>
          <w:color w:val="auto"/>
          <w:szCs w:val="21"/>
          <w:highlight w:val="none"/>
        </w:rPr>
        <w:t>上限控制价</w:t>
      </w:r>
      <w:r>
        <w:rPr>
          <w:rFonts w:ascii="宋体" w:hAnsi="宋体"/>
          <w:color w:val="auto"/>
          <w:szCs w:val="21"/>
          <w:highlight w:val="none"/>
        </w:rPr>
        <w:t>进行修正的，将在</w:t>
      </w:r>
      <w:r>
        <w:rPr>
          <w:rFonts w:hint="eastAsia" w:ascii="宋体" w:hAnsi="宋体"/>
          <w:color w:val="auto"/>
          <w:szCs w:val="21"/>
          <w:highlight w:val="none"/>
        </w:rPr>
        <w:t>竞</w:t>
      </w:r>
      <w:r>
        <w:rPr>
          <w:rFonts w:ascii="宋体" w:hAnsi="宋体"/>
          <w:color w:val="auto"/>
          <w:szCs w:val="21"/>
          <w:highlight w:val="none"/>
        </w:rPr>
        <w:t>标截止时间</w:t>
      </w:r>
      <w:r>
        <w:rPr>
          <w:rFonts w:hint="eastAsia" w:ascii="宋体" w:hAnsi="宋体"/>
          <w:color w:val="auto"/>
          <w:szCs w:val="21"/>
          <w:highlight w:val="none"/>
          <w:u w:val="single"/>
        </w:rPr>
        <w:t xml:space="preserve"> 3</w:t>
      </w:r>
      <w:r>
        <w:rPr>
          <w:rFonts w:ascii="宋体" w:hAnsi="宋体"/>
          <w:color w:val="auto"/>
          <w:szCs w:val="21"/>
          <w:highlight w:val="none"/>
        </w:rPr>
        <w:t>天前重新公布修正后的工程</w:t>
      </w:r>
      <w:r>
        <w:rPr>
          <w:rFonts w:hint="eastAsia" w:ascii="宋体" w:hAnsi="宋体"/>
          <w:color w:val="auto"/>
          <w:szCs w:val="21"/>
          <w:highlight w:val="none"/>
        </w:rPr>
        <w:t>上限控制价</w:t>
      </w:r>
      <w:r>
        <w:rPr>
          <w:rFonts w:ascii="宋体" w:hAnsi="宋体"/>
          <w:color w:val="auto"/>
          <w:szCs w:val="21"/>
          <w:highlight w:val="none"/>
        </w:rPr>
        <w:t>。</w:t>
      </w:r>
    </w:p>
    <w:p>
      <w:pPr>
        <w:spacing w:line="380" w:lineRule="exact"/>
        <w:ind w:firstLine="452"/>
        <w:rPr>
          <w:rFonts w:ascii="宋体" w:hAnsi="宋体"/>
          <w:color w:val="auto"/>
          <w:szCs w:val="21"/>
          <w:highlight w:val="none"/>
        </w:rPr>
      </w:pPr>
      <w:r>
        <w:rPr>
          <w:rFonts w:ascii="宋体" w:hAnsi="宋体"/>
          <w:color w:val="auto"/>
          <w:szCs w:val="21"/>
          <w:highlight w:val="none"/>
        </w:rPr>
        <w:t>7.3.4根据《广西壮族自治区房屋建筑和市政基础设施工程工程量清单计价施工</w:t>
      </w:r>
      <w:r>
        <w:rPr>
          <w:rFonts w:hint="eastAsia" w:ascii="宋体" w:hAnsi="宋体"/>
          <w:color w:val="auto"/>
          <w:szCs w:val="21"/>
          <w:highlight w:val="none"/>
        </w:rPr>
        <w:t>采购</w:t>
      </w:r>
      <w:r>
        <w:rPr>
          <w:rFonts w:ascii="宋体" w:hAnsi="宋体"/>
          <w:color w:val="auto"/>
          <w:szCs w:val="21"/>
          <w:highlight w:val="none"/>
        </w:rPr>
        <w:t>谈判暂行规定》，</w:t>
      </w:r>
      <w:r>
        <w:rPr>
          <w:rFonts w:hint="eastAsia" w:ascii="宋体" w:hAnsi="宋体"/>
          <w:color w:val="auto"/>
          <w:szCs w:val="21"/>
          <w:highlight w:val="none"/>
        </w:rPr>
        <w:t>采购</w:t>
      </w:r>
      <w:r>
        <w:rPr>
          <w:rFonts w:ascii="宋体" w:hAnsi="宋体"/>
          <w:color w:val="auto"/>
          <w:szCs w:val="21"/>
          <w:highlight w:val="none"/>
        </w:rPr>
        <w:t>人最多只能对工程</w:t>
      </w:r>
      <w:r>
        <w:rPr>
          <w:rFonts w:hint="eastAsia" w:ascii="宋体" w:hAnsi="宋体"/>
          <w:color w:val="auto"/>
          <w:szCs w:val="21"/>
          <w:highlight w:val="none"/>
        </w:rPr>
        <w:t>上限控制价</w:t>
      </w:r>
      <w:r>
        <w:rPr>
          <w:rFonts w:ascii="宋体" w:hAnsi="宋体"/>
          <w:color w:val="auto"/>
          <w:szCs w:val="21"/>
          <w:highlight w:val="none"/>
        </w:rPr>
        <w:t>进行一次修正。</w:t>
      </w:r>
    </w:p>
    <w:p>
      <w:pPr>
        <w:spacing w:line="380" w:lineRule="exact"/>
        <w:rPr>
          <w:rFonts w:ascii="宋体" w:hAnsi="宋体"/>
          <w:color w:val="auto"/>
          <w:szCs w:val="21"/>
          <w:highlight w:val="none"/>
        </w:rPr>
      </w:pPr>
      <w:r>
        <w:rPr>
          <w:rFonts w:ascii="宋体" w:hAnsi="宋体"/>
          <w:color w:val="auto"/>
          <w:szCs w:val="21"/>
          <w:highlight w:val="none"/>
        </w:rPr>
        <w:t xml:space="preserve">    7.4 </w:t>
      </w:r>
      <w:r>
        <w:rPr>
          <w:rFonts w:hint="eastAsia" w:ascii="宋体" w:hAnsi="宋体"/>
          <w:color w:val="auto"/>
          <w:szCs w:val="21"/>
          <w:highlight w:val="none"/>
        </w:rPr>
        <w:t>竞</w:t>
      </w:r>
      <w:r>
        <w:rPr>
          <w:rFonts w:ascii="宋体" w:hAnsi="宋体"/>
          <w:color w:val="auto"/>
          <w:szCs w:val="21"/>
          <w:highlight w:val="none"/>
        </w:rPr>
        <w:t>标货币</w:t>
      </w:r>
    </w:p>
    <w:p>
      <w:pPr>
        <w:spacing w:line="380" w:lineRule="exact"/>
        <w:ind w:firstLine="420" w:firstLineChars="200"/>
        <w:rPr>
          <w:rFonts w:ascii="宋体"/>
          <w:b/>
          <w:bCs/>
          <w:color w:val="auto"/>
          <w:highlight w:val="none"/>
        </w:rPr>
      </w:pPr>
      <w:r>
        <w:rPr>
          <w:rFonts w:ascii="宋体" w:hAnsi="宋体"/>
          <w:color w:val="auto"/>
          <w:szCs w:val="21"/>
          <w:highlight w:val="none"/>
        </w:rPr>
        <w:t>竞标文件报价中的单价和合价全部采用人民币表示。</w:t>
      </w:r>
    </w:p>
    <w:p>
      <w:pPr>
        <w:pStyle w:val="5"/>
        <w:rPr>
          <w:rFonts w:hint="default"/>
          <w:color w:val="auto"/>
          <w:highlight w:val="none"/>
        </w:rPr>
      </w:pPr>
      <w:bookmarkStart w:id="98" w:name="_Toc10114"/>
      <w:bookmarkStart w:id="99" w:name="_Toc239659100"/>
      <w:bookmarkStart w:id="100" w:name="_Toc21087"/>
      <w:r>
        <w:rPr>
          <w:color w:val="auto"/>
          <w:highlight w:val="none"/>
        </w:rPr>
        <w:t>8.竞标文件的语言</w:t>
      </w:r>
      <w:bookmarkEnd w:id="98"/>
      <w:bookmarkEnd w:id="99"/>
      <w:bookmarkEnd w:id="100"/>
    </w:p>
    <w:p>
      <w:pPr>
        <w:spacing w:line="380" w:lineRule="exact"/>
        <w:ind w:firstLine="435"/>
        <w:rPr>
          <w:rFonts w:ascii="宋体" w:hAnsi="宋体"/>
          <w:color w:val="auto"/>
          <w:szCs w:val="21"/>
          <w:highlight w:val="none"/>
        </w:rPr>
      </w:pPr>
      <w:r>
        <w:rPr>
          <w:rFonts w:ascii="宋体" w:hAnsi="宋体"/>
          <w:color w:val="auto"/>
          <w:szCs w:val="21"/>
          <w:highlight w:val="none"/>
        </w:rPr>
        <w:t>竞标文件及竞标人与</w:t>
      </w:r>
      <w:r>
        <w:rPr>
          <w:rFonts w:hint="eastAsia" w:ascii="宋体" w:hAnsi="宋体"/>
          <w:color w:val="auto"/>
          <w:szCs w:val="21"/>
          <w:highlight w:val="none"/>
        </w:rPr>
        <w:t>采购</w:t>
      </w:r>
      <w:r>
        <w:rPr>
          <w:rFonts w:ascii="宋体" w:hAnsi="宋体"/>
          <w:color w:val="auto"/>
          <w:szCs w:val="21"/>
          <w:highlight w:val="none"/>
        </w:rPr>
        <w:t>人之间与</w:t>
      </w:r>
      <w:r>
        <w:rPr>
          <w:rFonts w:hint="eastAsia" w:ascii="宋体" w:hAnsi="宋体"/>
          <w:color w:val="auto"/>
          <w:szCs w:val="21"/>
          <w:highlight w:val="none"/>
        </w:rPr>
        <w:t>竞</w:t>
      </w:r>
      <w:r>
        <w:rPr>
          <w:rFonts w:ascii="宋体" w:hAnsi="宋体"/>
          <w:color w:val="auto"/>
          <w:szCs w:val="21"/>
          <w:highlight w:val="none"/>
        </w:rPr>
        <w:t>标有关的来往通知、函件和文件均应使用中文。</w:t>
      </w:r>
    </w:p>
    <w:p>
      <w:pPr>
        <w:pStyle w:val="5"/>
        <w:rPr>
          <w:rFonts w:hint="default"/>
          <w:color w:val="auto"/>
          <w:highlight w:val="none"/>
        </w:rPr>
      </w:pPr>
      <w:bookmarkStart w:id="101" w:name="_Toc239659101"/>
      <w:bookmarkStart w:id="102" w:name="_Toc31254"/>
      <w:bookmarkStart w:id="103" w:name="_Toc3107"/>
      <w:r>
        <w:rPr>
          <w:color w:val="auto"/>
          <w:highlight w:val="none"/>
        </w:rPr>
        <w:t>9.竞标文件的组成</w:t>
      </w:r>
      <w:bookmarkEnd w:id="101"/>
      <w:bookmarkEnd w:id="102"/>
      <w:bookmarkEnd w:id="103"/>
    </w:p>
    <w:p>
      <w:pPr>
        <w:spacing w:line="380" w:lineRule="exact"/>
        <w:ind w:firstLine="452"/>
        <w:rPr>
          <w:rFonts w:ascii="宋体" w:hAnsi="宋体"/>
          <w:color w:val="auto"/>
          <w:szCs w:val="21"/>
          <w:highlight w:val="none"/>
        </w:rPr>
      </w:pPr>
      <w:r>
        <w:rPr>
          <w:rFonts w:ascii="宋体" w:hAnsi="宋体"/>
          <w:color w:val="auto"/>
          <w:szCs w:val="21"/>
          <w:highlight w:val="none"/>
        </w:rPr>
        <w:t>9.1 竞标文件由竞标人资格审查部分、商务部分</w:t>
      </w:r>
      <w:r>
        <w:rPr>
          <w:rFonts w:hint="eastAsia" w:ascii="宋体" w:hAnsi="宋体"/>
          <w:color w:val="auto"/>
          <w:szCs w:val="21"/>
          <w:highlight w:val="none"/>
        </w:rPr>
        <w:t>、技术部分三</w:t>
      </w:r>
      <w:r>
        <w:rPr>
          <w:rFonts w:ascii="宋体" w:hAnsi="宋体"/>
          <w:color w:val="auto"/>
          <w:szCs w:val="21"/>
          <w:highlight w:val="none"/>
        </w:rPr>
        <w:t>部分组成。</w:t>
      </w:r>
    </w:p>
    <w:p>
      <w:pPr>
        <w:spacing w:line="380" w:lineRule="exact"/>
        <w:ind w:firstLine="452"/>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.2</w:t>
      </w:r>
      <w:r>
        <w:rPr>
          <w:rFonts w:hint="eastAsia" w:ascii="宋体" w:hAnsi="宋体"/>
          <w:b/>
          <w:color w:val="auto"/>
          <w:szCs w:val="21"/>
          <w:highlight w:val="none"/>
        </w:rPr>
        <w:t xml:space="preserve"> </w:t>
      </w:r>
      <w:r>
        <w:rPr>
          <w:rFonts w:ascii="宋体" w:hAnsi="宋体"/>
          <w:b/>
          <w:color w:val="auto"/>
          <w:szCs w:val="21"/>
          <w:highlight w:val="none"/>
        </w:rPr>
        <w:t>资格</w:t>
      </w:r>
      <w:r>
        <w:rPr>
          <w:rFonts w:hint="eastAsia" w:ascii="宋体" w:hAnsi="宋体"/>
          <w:b/>
          <w:color w:val="auto"/>
          <w:szCs w:val="21"/>
          <w:highlight w:val="none"/>
        </w:rPr>
        <w:t>审查</w:t>
      </w:r>
      <w:r>
        <w:rPr>
          <w:rFonts w:ascii="宋体" w:hAnsi="宋体"/>
          <w:b/>
          <w:color w:val="auto"/>
          <w:szCs w:val="21"/>
          <w:highlight w:val="none"/>
        </w:rPr>
        <w:t>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⑴竞标人基本情况</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⑵诚信声明；</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⑶竞标文件签署授权委托书；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⑷农民工工资保障金承诺书；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⑸竞标保证金交款凭证；</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⑹安全防护、文明施工措施方案的承诺书；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⑺项目管理机构及机械设备承诺函；</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⑻竞标人需要说明的其他资料；</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.3</w:t>
      </w:r>
      <w:r>
        <w:rPr>
          <w:rFonts w:hint="eastAsia" w:ascii="宋体" w:hAnsi="宋体"/>
          <w:b/>
          <w:color w:val="auto"/>
          <w:szCs w:val="21"/>
          <w:highlight w:val="none"/>
        </w:rPr>
        <w:t xml:space="preserve"> </w:t>
      </w:r>
      <w:r>
        <w:rPr>
          <w:rFonts w:ascii="宋体" w:hAnsi="宋体"/>
          <w:b/>
          <w:color w:val="auto"/>
          <w:szCs w:val="21"/>
          <w:highlight w:val="none"/>
        </w:rPr>
        <w:t xml:space="preserve"> 商务部分主要包括下列内容：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⑴竞标函；</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⑵已标价工程量清单。</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9.4 技术部分主要包括下列内容：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9.4.1施工组织设计</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⑴拟投入的主要施工机械设备表；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⑵劳动力计划表；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⑶计划开、竣工日期和施工进度网络图；</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⑷施工总平面图；</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⑸临时用地表。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9.4.2项目管理机构</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⑴项目管理机构配备情况表；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⑵项目经理简历表；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⑶项目总工简历表；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⑷项目其它主要人员简历表；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⑸项目管理机构配备情况辅助说明资料。</w:t>
      </w:r>
    </w:p>
    <w:p>
      <w:pPr>
        <w:spacing w:line="380" w:lineRule="exact"/>
        <w:ind w:firstLine="464" w:firstLineChars="221"/>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 xml:space="preserve">5 </w:t>
      </w:r>
      <w:r>
        <w:rPr>
          <w:rFonts w:ascii="宋体" w:hAnsi="宋体"/>
          <w:color w:val="auto"/>
          <w:szCs w:val="21"/>
          <w:highlight w:val="none"/>
        </w:rPr>
        <w:t>根据有关规定，竞标人在</w:t>
      </w:r>
      <w:r>
        <w:rPr>
          <w:rFonts w:hint="eastAsia" w:ascii="宋体" w:hAnsi="宋体"/>
          <w:color w:val="auto"/>
          <w:szCs w:val="21"/>
          <w:highlight w:val="none"/>
        </w:rPr>
        <w:t>竞</w:t>
      </w:r>
      <w:r>
        <w:rPr>
          <w:rFonts w:ascii="宋体" w:hAnsi="宋体"/>
          <w:color w:val="auto"/>
          <w:szCs w:val="21"/>
          <w:highlight w:val="none"/>
        </w:rPr>
        <w:t>标时必须在竞标文件中承诺，在发出成交通知书之日起7个工作日内足额将农民工工资保障金转入</w:t>
      </w:r>
      <w:r>
        <w:rPr>
          <w:rFonts w:hint="eastAsia" w:ascii="宋体" w:hAnsi="宋体"/>
          <w:color w:val="auto"/>
          <w:szCs w:val="21"/>
          <w:highlight w:val="none"/>
        </w:rPr>
        <w:t>有关</w:t>
      </w:r>
      <w:r>
        <w:rPr>
          <w:rFonts w:ascii="宋体" w:hAnsi="宋体"/>
          <w:color w:val="auto"/>
          <w:szCs w:val="21"/>
          <w:highlight w:val="none"/>
        </w:rPr>
        <w:t>部门设立的农民工工资保障金专用</w:t>
      </w:r>
      <w:r>
        <w:rPr>
          <w:rFonts w:hint="eastAsia" w:ascii="宋体" w:hAnsi="宋体"/>
          <w:color w:val="auto"/>
          <w:szCs w:val="21"/>
          <w:highlight w:val="none"/>
        </w:rPr>
        <w:t>账</w:t>
      </w:r>
      <w:r>
        <w:rPr>
          <w:rFonts w:ascii="宋体" w:hAnsi="宋体"/>
          <w:color w:val="auto"/>
          <w:szCs w:val="21"/>
          <w:highlight w:val="none"/>
        </w:rPr>
        <w:t>户。一旦其承包的建设工程项目中出现拖欠农民工和工人工资情况的，由</w:t>
      </w:r>
      <w:r>
        <w:rPr>
          <w:rFonts w:hint="eastAsia" w:ascii="宋体" w:hAnsi="宋体"/>
          <w:color w:val="auto"/>
          <w:szCs w:val="21"/>
          <w:highlight w:val="none"/>
        </w:rPr>
        <w:t>有关</w:t>
      </w:r>
      <w:r>
        <w:rPr>
          <w:rFonts w:ascii="宋体" w:hAnsi="宋体"/>
          <w:color w:val="auto"/>
          <w:szCs w:val="21"/>
          <w:highlight w:val="none"/>
        </w:rPr>
        <w:t>部门从其农民工工资保障金中先予划支。如竞标人的竞标文件</w:t>
      </w:r>
      <w:r>
        <w:rPr>
          <w:rFonts w:hint="eastAsia" w:ascii="宋体" w:hAnsi="宋体"/>
          <w:color w:val="auto"/>
          <w:szCs w:val="21"/>
          <w:highlight w:val="none"/>
        </w:rPr>
        <w:t>没有提交上述</w:t>
      </w:r>
      <w:r>
        <w:rPr>
          <w:rFonts w:ascii="宋体" w:hAnsi="宋体"/>
          <w:color w:val="auto"/>
          <w:szCs w:val="21"/>
          <w:highlight w:val="none"/>
        </w:rPr>
        <w:t>承诺的，视为无效竞标文件，取消其</w:t>
      </w:r>
      <w:r>
        <w:rPr>
          <w:rFonts w:hint="eastAsia" w:ascii="宋体" w:hAnsi="宋体"/>
          <w:color w:val="auto"/>
          <w:szCs w:val="21"/>
          <w:highlight w:val="none"/>
        </w:rPr>
        <w:t>竞</w:t>
      </w:r>
      <w:r>
        <w:rPr>
          <w:rFonts w:ascii="宋体" w:hAnsi="宋体"/>
          <w:color w:val="auto"/>
          <w:szCs w:val="21"/>
          <w:highlight w:val="none"/>
        </w:rPr>
        <w:t>标资格。</w:t>
      </w:r>
    </w:p>
    <w:p>
      <w:pPr>
        <w:pStyle w:val="5"/>
        <w:rPr>
          <w:rFonts w:hint="default"/>
          <w:color w:val="auto"/>
          <w:highlight w:val="none"/>
        </w:rPr>
      </w:pPr>
      <w:bookmarkStart w:id="104" w:name="_Toc27087"/>
      <w:bookmarkStart w:id="105" w:name="_Toc239659103"/>
      <w:bookmarkStart w:id="106" w:name="_Toc19220"/>
      <w:r>
        <w:rPr>
          <w:color w:val="auto"/>
          <w:highlight w:val="none"/>
        </w:rPr>
        <w:t>11.竞标保证金</w:t>
      </w:r>
      <w:bookmarkEnd w:id="104"/>
      <w:bookmarkEnd w:id="105"/>
      <w:bookmarkEnd w:id="106"/>
    </w:p>
    <w:p>
      <w:pPr>
        <w:pStyle w:val="17"/>
        <w:spacing w:line="380" w:lineRule="exact"/>
        <w:rPr>
          <w:rFonts w:hAnsi="宋体"/>
          <w:b/>
          <w:color w:val="auto"/>
          <w:szCs w:val="21"/>
          <w:highlight w:val="none"/>
        </w:rPr>
      </w:pPr>
      <w:r>
        <w:rPr>
          <w:rFonts w:hint="eastAsia" w:hAnsi="宋体"/>
          <w:b/>
          <w:color w:val="auto"/>
          <w:szCs w:val="21"/>
          <w:highlight w:val="none"/>
        </w:rPr>
        <w:t xml:space="preserve">    11.1竞标人应提供</w:t>
      </w:r>
      <w:r>
        <w:rPr>
          <w:rFonts w:hint="eastAsia" w:hAnsi="宋体"/>
          <w:b/>
          <w:color w:val="auto"/>
          <w:szCs w:val="21"/>
          <w:highlight w:val="none"/>
          <w:u w:val="single"/>
        </w:rPr>
        <w:t>竞标须知前附表第</w:t>
      </w:r>
      <w:r>
        <w:rPr>
          <w:rFonts w:hint="eastAsia" w:hAnsi="宋体"/>
          <w:b/>
          <w:color w:val="auto"/>
          <w:szCs w:val="21"/>
          <w:highlight w:val="none"/>
          <w:u w:val="single"/>
          <w:lang w:val="en-US" w:eastAsia="zh-CN"/>
        </w:rPr>
        <w:t>9</w:t>
      </w:r>
      <w:r>
        <w:rPr>
          <w:rFonts w:hint="eastAsia" w:hAnsi="宋体"/>
          <w:b/>
          <w:color w:val="auto"/>
          <w:szCs w:val="21"/>
          <w:highlight w:val="none"/>
          <w:u w:val="single"/>
        </w:rPr>
        <w:t>项规定</w:t>
      </w:r>
      <w:r>
        <w:rPr>
          <w:rFonts w:hint="eastAsia" w:hAnsi="宋体"/>
          <w:b/>
          <w:color w:val="auto"/>
          <w:szCs w:val="21"/>
          <w:highlight w:val="none"/>
        </w:rPr>
        <w:t>的竞标保证金，竞标保证金缴款凭据是竞标文件的一个组成部分。竞标人在办理竞标保证金交纳手续时，请务必在银行转账单或汇款单的用途或空白栏中注明项目名称及项目编号，并且交款单位名称必须与竞标人名称保持一致，不按以上要求作无效竞标保证金。</w:t>
      </w:r>
    </w:p>
    <w:p>
      <w:pPr>
        <w:spacing w:line="380" w:lineRule="exact"/>
        <w:rPr>
          <w:rFonts w:ascii="宋体" w:hAnsi="宋体"/>
          <w:b/>
          <w:color w:val="auto"/>
          <w:szCs w:val="21"/>
          <w:highlight w:val="none"/>
        </w:rPr>
      </w:pPr>
      <w:r>
        <w:rPr>
          <w:rFonts w:ascii="宋体" w:hAnsi="宋体"/>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11.2</w:t>
      </w:r>
      <w:r>
        <w:rPr>
          <w:rFonts w:hint="eastAsia" w:ascii="宋体" w:hAnsi="宋体"/>
          <w:b/>
          <w:color w:val="auto"/>
          <w:szCs w:val="21"/>
          <w:highlight w:val="none"/>
        </w:rPr>
        <w:t xml:space="preserve"> 对于未能按</w:t>
      </w:r>
      <w:r>
        <w:rPr>
          <w:rFonts w:hint="eastAsia" w:ascii="宋体" w:hAnsi="宋体"/>
          <w:b/>
          <w:color w:val="auto"/>
          <w:szCs w:val="21"/>
          <w:highlight w:val="none"/>
          <w:lang w:val="en-US" w:eastAsia="zh-CN"/>
        </w:rPr>
        <w:t>9</w:t>
      </w:r>
      <w:r>
        <w:rPr>
          <w:rFonts w:hint="eastAsia" w:ascii="宋体" w:hAnsi="宋体"/>
          <w:b/>
          <w:color w:val="auto"/>
          <w:szCs w:val="21"/>
          <w:highlight w:val="none"/>
        </w:rPr>
        <w:t>.1要求提交竞标保证金的竞标人，将视为不响应竞争性谈判文件要求而作无效竞标处理。</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3</w:t>
      </w:r>
      <w:r>
        <w:rPr>
          <w:rFonts w:ascii="宋体" w:hAnsi="宋体"/>
          <w:color w:val="auto"/>
          <w:szCs w:val="21"/>
          <w:highlight w:val="none"/>
        </w:rPr>
        <w:t xml:space="preserve"> 未成交的竞标人的竞标保证金将尽快退还（无息），最迟不超过成交通知发出后的</w:t>
      </w:r>
      <w:r>
        <w:rPr>
          <w:rFonts w:hint="eastAsia" w:ascii="宋体" w:hAnsi="宋体"/>
          <w:color w:val="auto"/>
          <w:szCs w:val="21"/>
          <w:highlight w:val="none"/>
        </w:rPr>
        <w:t>5</w:t>
      </w:r>
      <w:r>
        <w:rPr>
          <w:rFonts w:ascii="宋体" w:hAnsi="宋体"/>
          <w:color w:val="auto"/>
          <w:szCs w:val="21"/>
          <w:highlight w:val="none"/>
        </w:rPr>
        <w:t>天。</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4</w:t>
      </w:r>
      <w:r>
        <w:rPr>
          <w:rFonts w:ascii="宋体" w:hAnsi="宋体"/>
          <w:color w:val="auto"/>
          <w:szCs w:val="21"/>
          <w:highlight w:val="none"/>
        </w:rPr>
        <w:t xml:space="preserve"> 成交单位按要求签署合同后</w:t>
      </w:r>
      <w:r>
        <w:rPr>
          <w:rFonts w:hint="eastAsia" w:ascii="宋体" w:hAnsi="宋体"/>
          <w:color w:val="auto"/>
          <w:szCs w:val="21"/>
          <w:highlight w:val="none"/>
        </w:rPr>
        <w:t>5</w:t>
      </w:r>
      <w:r>
        <w:rPr>
          <w:rFonts w:ascii="宋体" w:hAnsi="宋体"/>
          <w:color w:val="auto"/>
          <w:szCs w:val="21"/>
          <w:highlight w:val="none"/>
        </w:rPr>
        <w:t>日内，将退还其竞标保证金（无息）。</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 xml:space="preserve"> 如竞标人有下列情况，将被没收竞标保证金：</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.1 竞标人在竞标有效期内撤回其竞标文件；</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.2 成交单位未能在规定期限内签署合同；</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竞标人拒绝按本须知第19条规定修正报价。</w:t>
      </w:r>
    </w:p>
    <w:p>
      <w:pPr>
        <w:pStyle w:val="5"/>
        <w:rPr>
          <w:rFonts w:hint="default"/>
          <w:color w:val="auto"/>
          <w:highlight w:val="none"/>
        </w:rPr>
      </w:pPr>
      <w:bookmarkStart w:id="107" w:name="_Toc239659104"/>
      <w:bookmarkStart w:id="108" w:name="_Toc2024"/>
      <w:bookmarkStart w:id="109" w:name="_Toc443"/>
      <w:r>
        <w:rPr>
          <w:color w:val="auto"/>
          <w:highlight w:val="none"/>
        </w:rPr>
        <w:t>12.竞标预备</w:t>
      </w:r>
      <w:bookmarkEnd w:id="107"/>
      <w:bookmarkEnd w:id="108"/>
      <w:bookmarkEnd w:id="109"/>
    </w:p>
    <w:p>
      <w:pPr>
        <w:spacing w:line="380" w:lineRule="exact"/>
        <w:rPr>
          <w:rFonts w:ascii="宋体" w:hAnsi="宋体"/>
          <w:color w:val="auto"/>
          <w:szCs w:val="21"/>
          <w:highlight w:val="none"/>
        </w:rPr>
      </w:pPr>
      <w:r>
        <w:rPr>
          <w:rFonts w:ascii="宋体" w:hAnsi="宋体"/>
          <w:color w:val="auto"/>
          <w:szCs w:val="21"/>
          <w:highlight w:val="none"/>
        </w:rPr>
        <w:t xml:space="preserve">    12.1 勘察现场</w:t>
      </w:r>
    </w:p>
    <w:p>
      <w:pPr>
        <w:spacing w:line="380" w:lineRule="exact"/>
        <w:rPr>
          <w:rFonts w:ascii="宋体" w:hAnsi="宋体"/>
          <w:color w:val="auto"/>
          <w:szCs w:val="21"/>
          <w:highlight w:val="none"/>
        </w:rPr>
      </w:pPr>
      <w:r>
        <w:rPr>
          <w:rFonts w:ascii="宋体" w:hAnsi="宋体"/>
          <w:color w:val="auto"/>
          <w:szCs w:val="21"/>
          <w:highlight w:val="none"/>
        </w:rPr>
        <w:t xml:space="preserve">    12.1.1 竞标人可自行对工程施工现场和周围环境进行勘察，以获取编制竞标文件和签署合同所需的资料。勘察现场所发生的费用由竞标人自</w:t>
      </w:r>
      <w:r>
        <w:rPr>
          <w:rFonts w:hint="eastAsia" w:ascii="宋体" w:hAnsi="宋体"/>
          <w:color w:val="auto"/>
          <w:szCs w:val="21"/>
          <w:highlight w:val="none"/>
        </w:rPr>
        <w:t>行</w:t>
      </w:r>
      <w:r>
        <w:rPr>
          <w:rFonts w:ascii="宋体" w:hAnsi="宋体"/>
          <w:color w:val="auto"/>
          <w:szCs w:val="21"/>
          <w:highlight w:val="none"/>
        </w:rPr>
        <w:t>承担。</w:t>
      </w:r>
    </w:p>
    <w:p>
      <w:pPr>
        <w:spacing w:line="380" w:lineRule="exact"/>
        <w:ind w:firstLine="480"/>
        <w:rPr>
          <w:rFonts w:ascii="宋体" w:hAnsi="宋体"/>
          <w:strike w:val="0"/>
          <w:dstrike w:val="0"/>
          <w:color w:val="auto"/>
          <w:szCs w:val="21"/>
          <w:highlight w:val="none"/>
        </w:rPr>
      </w:pPr>
      <w:r>
        <w:rPr>
          <w:rFonts w:ascii="宋体" w:hAnsi="宋体"/>
          <w:color w:val="auto"/>
          <w:szCs w:val="21"/>
          <w:highlight w:val="none"/>
        </w:rPr>
        <w:t xml:space="preserve">12.1.2 </w:t>
      </w:r>
      <w:r>
        <w:rPr>
          <w:rFonts w:hint="eastAsia" w:ascii="宋体" w:hAnsi="宋体"/>
          <w:color w:val="auto"/>
          <w:szCs w:val="21"/>
          <w:highlight w:val="none"/>
        </w:rPr>
        <w:t>采购</w:t>
      </w:r>
      <w:r>
        <w:rPr>
          <w:rFonts w:ascii="宋体" w:hAnsi="宋体"/>
          <w:color w:val="auto"/>
          <w:szCs w:val="21"/>
          <w:highlight w:val="none"/>
        </w:rPr>
        <w:t>人向竞标人提供的有关施工现场的</w:t>
      </w:r>
      <w:r>
        <w:rPr>
          <w:rFonts w:hint="eastAsia" w:ascii="宋体" w:hAnsi="宋体"/>
          <w:color w:val="auto"/>
          <w:szCs w:val="21"/>
          <w:highlight w:val="none"/>
        </w:rPr>
        <w:t>地质勘察资料及现场的市政管线资料均是以诚实可信的态度提供的</w:t>
      </w:r>
      <w:r>
        <w:rPr>
          <w:rFonts w:ascii="宋体" w:hAnsi="宋体"/>
          <w:color w:val="auto"/>
          <w:szCs w:val="21"/>
          <w:highlight w:val="none"/>
        </w:rPr>
        <w:t>，是</w:t>
      </w:r>
      <w:r>
        <w:rPr>
          <w:rFonts w:hint="eastAsia" w:ascii="宋体" w:hAnsi="宋体"/>
          <w:color w:val="auto"/>
          <w:szCs w:val="21"/>
          <w:highlight w:val="none"/>
        </w:rPr>
        <w:t>采购</w:t>
      </w:r>
      <w:r>
        <w:rPr>
          <w:rFonts w:ascii="宋体" w:hAnsi="宋体"/>
          <w:color w:val="auto"/>
          <w:szCs w:val="21"/>
          <w:highlight w:val="none"/>
        </w:rPr>
        <w:t>人现有的能使竞标人利用的资料。</w:t>
      </w:r>
      <w:r>
        <w:rPr>
          <w:rFonts w:hint="eastAsia" w:ascii="宋体" w:hAnsi="宋体"/>
          <w:strike w:val="0"/>
          <w:dstrike w:val="0"/>
          <w:color w:val="auto"/>
          <w:szCs w:val="21"/>
          <w:highlight w:val="none"/>
        </w:rPr>
        <w:t>竞标人有义务核实市政管线的真实性。采购</w:t>
      </w:r>
      <w:r>
        <w:rPr>
          <w:rFonts w:ascii="宋体" w:hAnsi="宋体"/>
          <w:strike w:val="0"/>
          <w:dstrike w:val="0"/>
          <w:color w:val="auto"/>
          <w:szCs w:val="21"/>
          <w:highlight w:val="none"/>
        </w:rPr>
        <w:t>人对竞标人由此而做出的推论、理解和结论概不负责。</w:t>
      </w:r>
    </w:p>
    <w:p>
      <w:pPr>
        <w:spacing w:line="380" w:lineRule="exact"/>
        <w:ind w:firstLine="48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竞</w:t>
      </w:r>
      <w:r>
        <w:rPr>
          <w:rFonts w:ascii="宋体" w:hAnsi="宋体"/>
          <w:color w:val="auto"/>
          <w:szCs w:val="21"/>
          <w:highlight w:val="none"/>
        </w:rPr>
        <w:t>标答疑</w:t>
      </w:r>
    </w:p>
    <w:p>
      <w:pPr>
        <w:spacing w:line="380" w:lineRule="exact"/>
        <w:ind w:firstLine="480"/>
        <w:rPr>
          <w:rFonts w:ascii="宋体" w:hAnsi="宋体"/>
          <w:color w:val="auto"/>
          <w:szCs w:val="21"/>
          <w:highlight w:val="none"/>
        </w:rPr>
      </w:pPr>
      <w:r>
        <w:rPr>
          <w:rFonts w:ascii="宋体" w:hAnsi="宋体"/>
          <w:color w:val="auto"/>
          <w:szCs w:val="21"/>
          <w:highlight w:val="none"/>
        </w:rPr>
        <w:t>12.2.1 竞标人提出的与</w:t>
      </w:r>
      <w:r>
        <w:rPr>
          <w:rFonts w:hint="eastAsia" w:ascii="宋体" w:hAnsi="宋体"/>
          <w:color w:val="auto"/>
          <w:szCs w:val="21"/>
          <w:highlight w:val="none"/>
        </w:rPr>
        <w:t>竞</w:t>
      </w:r>
      <w:r>
        <w:rPr>
          <w:rFonts w:ascii="宋体" w:hAnsi="宋体"/>
          <w:color w:val="auto"/>
          <w:szCs w:val="21"/>
          <w:highlight w:val="none"/>
        </w:rPr>
        <w:t>标有关的任何问题须在</w:t>
      </w:r>
      <w:r>
        <w:rPr>
          <w:rFonts w:hint="eastAsia" w:ascii="宋体" w:hAnsi="宋体"/>
          <w:color w:val="auto"/>
          <w:szCs w:val="21"/>
          <w:highlight w:val="none"/>
        </w:rPr>
        <w:t>竞</w:t>
      </w:r>
      <w:r>
        <w:rPr>
          <w:rFonts w:ascii="宋体" w:hAnsi="宋体"/>
          <w:color w:val="auto"/>
          <w:szCs w:val="21"/>
          <w:highlight w:val="none"/>
        </w:rPr>
        <w:t>标截止日期前</w:t>
      </w:r>
      <w:r>
        <w:rPr>
          <w:rFonts w:hint="eastAsia" w:ascii="宋体" w:hAnsi="宋体"/>
          <w:color w:val="auto"/>
          <w:szCs w:val="21"/>
          <w:highlight w:val="none"/>
          <w:u w:val="single"/>
        </w:rPr>
        <w:t xml:space="preserve"> 1</w:t>
      </w:r>
      <w:r>
        <w:rPr>
          <w:rFonts w:ascii="宋体" w:hAnsi="宋体"/>
          <w:color w:val="auto"/>
          <w:szCs w:val="21"/>
          <w:highlight w:val="none"/>
        </w:rPr>
        <w:t>天，以书面形式送达</w:t>
      </w:r>
      <w:r>
        <w:rPr>
          <w:rFonts w:hint="eastAsia" w:ascii="宋体" w:hAnsi="宋体"/>
          <w:color w:val="auto"/>
          <w:szCs w:val="21"/>
          <w:highlight w:val="none"/>
        </w:rPr>
        <w:t>采购</w:t>
      </w:r>
      <w:r>
        <w:rPr>
          <w:rFonts w:ascii="宋体" w:hAnsi="宋体"/>
          <w:color w:val="auto"/>
          <w:szCs w:val="21"/>
          <w:highlight w:val="none"/>
        </w:rPr>
        <w:t>人处。如果竞标人在规定的时间内提出的问题在</w:t>
      </w:r>
      <w:r>
        <w:rPr>
          <w:rFonts w:hint="eastAsia" w:ascii="宋体" w:hAnsi="宋体"/>
          <w:color w:val="auto"/>
          <w:szCs w:val="21"/>
          <w:highlight w:val="none"/>
        </w:rPr>
        <w:t>竞争性谈判</w:t>
      </w:r>
      <w:r>
        <w:rPr>
          <w:rFonts w:ascii="宋体" w:hAnsi="宋体"/>
          <w:color w:val="auto"/>
          <w:szCs w:val="21"/>
          <w:highlight w:val="none"/>
        </w:rPr>
        <w:t>补遗文件中未得到书面解答的，应立即以书面形式报告</w:t>
      </w:r>
      <w:r>
        <w:rPr>
          <w:rFonts w:hint="eastAsia" w:ascii="宋体" w:hAnsi="宋体"/>
          <w:color w:val="auto"/>
          <w:szCs w:val="21"/>
          <w:highlight w:val="none"/>
        </w:rPr>
        <w:t>政府采购监督管理部门</w:t>
      </w:r>
      <w:r>
        <w:rPr>
          <w:rFonts w:ascii="宋体" w:hAnsi="宋体"/>
          <w:color w:val="auto"/>
          <w:szCs w:val="21"/>
          <w:highlight w:val="none"/>
        </w:rPr>
        <w:t>，否则将视为提出的问题不再需要答复。</w:t>
      </w:r>
    </w:p>
    <w:p>
      <w:pPr>
        <w:spacing w:line="380" w:lineRule="exact"/>
        <w:ind w:firstLine="435"/>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竞争性谈判</w:t>
      </w:r>
      <w:r>
        <w:rPr>
          <w:rFonts w:ascii="宋体" w:hAnsi="宋体"/>
          <w:color w:val="auto"/>
          <w:szCs w:val="21"/>
          <w:highlight w:val="none"/>
        </w:rPr>
        <w:t>补遗文件包括所有问题和答复，补遗文件将迅速提供给所有获得竞争性谈判文件的竞标人。由于竞标人书面提出而产生的对本须知4.1款中所列竞争性谈判文件的修改，由</w:t>
      </w:r>
      <w:r>
        <w:rPr>
          <w:rFonts w:hint="eastAsia" w:ascii="宋体" w:hAnsi="宋体"/>
          <w:color w:val="auto"/>
          <w:szCs w:val="21"/>
          <w:highlight w:val="none"/>
        </w:rPr>
        <w:t>采购</w:t>
      </w:r>
      <w:r>
        <w:rPr>
          <w:rFonts w:ascii="宋体" w:hAnsi="宋体"/>
          <w:color w:val="auto"/>
          <w:szCs w:val="21"/>
          <w:highlight w:val="none"/>
        </w:rPr>
        <w:t>人按照本须知第6条的规定，以补充通知的方式发出。</w:t>
      </w:r>
    </w:p>
    <w:p>
      <w:pPr>
        <w:pStyle w:val="5"/>
        <w:rPr>
          <w:rFonts w:hint="default"/>
          <w:color w:val="auto"/>
          <w:highlight w:val="none"/>
        </w:rPr>
      </w:pPr>
      <w:bookmarkStart w:id="110" w:name="_Toc19238"/>
      <w:bookmarkStart w:id="111" w:name="_Toc22502"/>
      <w:bookmarkStart w:id="112" w:name="_Toc239659105"/>
      <w:r>
        <w:rPr>
          <w:color w:val="auto"/>
          <w:highlight w:val="none"/>
        </w:rPr>
        <w:t>13.竞标文件的份数和签署</w:t>
      </w:r>
      <w:bookmarkEnd w:id="110"/>
      <w:bookmarkEnd w:id="111"/>
      <w:bookmarkEnd w:id="112"/>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13.1 竞标人按本须知“前附表第</w:t>
      </w:r>
      <w:r>
        <w:rPr>
          <w:rFonts w:hint="eastAsia" w:ascii="宋体" w:hAnsi="宋体"/>
          <w:color w:val="auto"/>
          <w:szCs w:val="21"/>
          <w:highlight w:val="none"/>
          <w:lang w:val="en-US" w:eastAsia="zh-CN"/>
        </w:rPr>
        <w:t>11</w:t>
      </w:r>
      <w:r>
        <w:rPr>
          <w:rFonts w:ascii="宋体" w:hAnsi="宋体"/>
          <w:color w:val="auto"/>
          <w:szCs w:val="21"/>
          <w:highlight w:val="none"/>
        </w:rPr>
        <w:t>项”的规定，编制所需竞标文件“正本”和竞标文件“副本”份数，并明确标明“正本”和“副本”。</w:t>
      </w:r>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13.2 竞标文件正本与副本均应使用不能擦去的墨水书写或打印，</w:t>
      </w:r>
      <w:r>
        <w:rPr>
          <w:rFonts w:hint="eastAsia" w:ascii="宋体" w:hAnsi="宋体"/>
          <w:color w:val="auto"/>
          <w:szCs w:val="21"/>
          <w:highlight w:val="none"/>
        </w:rPr>
        <w:t>竞标文件副本也可使用正本的复印件，</w:t>
      </w:r>
      <w:r>
        <w:rPr>
          <w:rFonts w:ascii="宋体" w:hAnsi="宋体"/>
          <w:color w:val="auto"/>
          <w:szCs w:val="21"/>
          <w:highlight w:val="none"/>
        </w:rPr>
        <w:t>竞标文件正本与副本均由竞标人</w:t>
      </w:r>
      <w:r>
        <w:rPr>
          <w:rFonts w:hint="eastAsia" w:ascii="宋体" w:hAnsi="宋体"/>
          <w:color w:val="auto"/>
          <w:szCs w:val="21"/>
          <w:highlight w:val="none"/>
        </w:rPr>
        <w:t>在相关位置</w:t>
      </w:r>
      <w:r>
        <w:rPr>
          <w:rFonts w:ascii="宋体" w:hAnsi="宋体"/>
          <w:color w:val="auto"/>
          <w:szCs w:val="21"/>
          <w:highlight w:val="none"/>
        </w:rPr>
        <w:t>加盖单位章，法定代表人或其委托代理人签</w:t>
      </w:r>
      <w:r>
        <w:rPr>
          <w:rFonts w:hint="eastAsia" w:ascii="宋体" w:hAnsi="宋体"/>
          <w:color w:val="auto"/>
          <w:szCs w:val="21"/>
          <w:highlight w:val="none"/>
        </w:rPr>
        <w:t>字</w:t>
      </w:r>
      <w:r>
        <w:rPr>
          <w:rFonts w:ascii="宋体" w:hAnsi="宋体"/>
          <w:color w:val="auto"/>
          <w:szCs w:val="21"/>
          <w:highlight w:val="none"/>
        </w:rPr>
        <w:t>署</w:t>
      </w:r>
      <w:r>
        <w:rPr>
          <w:rFonts w:hint="eastAsia" w:ascii="宋体" w:hAnsi="宋体"/>
          <w:color w:val="auto"/>
          <w:szCs w:val="21"/>
          <w:highlight w:val="none"/>
        </w:rPr>
        <w:t>名</w:t>
      </w:r>
      <w:r>
        <w:rPr>
          <w:rFonts w:ascii="宋体" w:hAnsi="宋体"/>
          <w:color w:val="auto"/>
          <w:szCs w:val="21"/>
          <w:highlight w:val="none"/>
        </w:rPr>
        <w:t>。</w:t>
      </w:r>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13.3</w:t>
      </w:r>
      <w:r>
        <w:rPr>
          <w:rFonts w:hint="eastAsia" w:ascii="宋体" w:hAnsi="宋体"/>
          <w:color w:val="auto"/>
          <w:szCs w:val="21"/>
          <w:highlight w:val="none"/>
        </w:rPr>
        <w:t xml:space="preserve"> </w:t>
      </w:r>
      <w:r>
        <w:rPr>
          <w:rFonts w:ascii="宋体" w:hAnsi="宋体"/>
          <w:color w:val="auto"/>
          <w:szCs w:val="21"/>
          <w:highlight w:val="none"/>
        </w:rPr>
        <w:t>全套竞标文件应无涂改和行间插字，除非这些删改是根据</w:t>
      </w:r>
      <w:r>
        <w:rPr>
          <w:rFonts w:hint="eastAsia" w:ascii="宋体" w:hAnsi="宋体"/>
          <w:color w:val="auto"/>
          <w:szCs w:val="21"/>
          <w:highlight w:val="none"/>
        </w:rPr>
        <w:t>采购</w:t>
      </w:r>
      <w:r>
        <w:rPr>
          <w:rFonts w:ascii="宋体" w:hAnsi="宋体"/>
          <w:color w:val="auto"/>
          <w:szCs w:val="21"/>
          <w:highlight w:val="none"/>
        </w:rPr>
        <w:t>人指示进行的或者是竞标人造成的必须修改的错误。但修改处应由竞标文件签字人签字证明</w:t>
      </w:r>
      <w:r>
        <w:rPr>
          <w:rFonts w:hint="eastAsia" w:ascii="宋体" w:hAnsi="宋体"/>
          <w:color w:val="auto"/>
          <w:szCs w:val="21"/>
          <w:highlight w:val="none"/>
        </w:rPr>
        <w:t>并</w:t>
      </w:r>
      <w:r>
        <w:rPr>
          <w:rFonts w:ascii="宋体" w:hAnsi="宋体"/>
          <w:color w:val="auto"/>
          <w:szCs w:val="21"/>
          <w:highlight w:val="none"/>
        </w:rPr>
        <w:t>加盖</w:t>
      </w:r>
      <w:r>
        <w:rPr>
          <w:rFonts w:hint="eastAsia" w:ascii="宋体" w:hAnsi="宋体"/>
          <w:color w:val="auto"/>
          <w:szCs w:val="21"/>
          <w:highlight w:val="none"/>
        </w:rPr>
        <w:t>单位章</w:t>
      </w:r>
      <w:r>
        <w:rPr>
          <w:rFonts w:ascii="宋体" w:hAnsi="宋体"/>
          <w:color w:val="auto"/>
          <w:szCs w:val="21"/>
          <w:highlight w:val="none"/>
        </w:rPr>
        <w:t>，否则修改无效。</w:t>
      </w:r>
    </w:p>
    <w:p>
      <w:pPr>
        <w:pStyle w:val="5"/>
        <w:rPr>
          <w:rFonts w:hint="default"/>
          <w:color w:val="auto"/>
          <w:highlight w:val="none"/>
        </w:rPr>
      </w:pPr>
      <w:bookmarkStart w:id="113" w:name="_Toc239659106"/>
      <w:bookmarkStart w:id="114" w:name="_Toc26671"/>
      <w:bookmarkStart w:id="115" w:name="_Toc4353"/>
      <w:r>
        <w:rPr>
          <w:color w:val="auto"/>
          <w:highlight w:val="none"/>
        </w:rPr>
        <w:t>14.竞标文件提交截止时间</w:t>
      </w:r>
      <w:bookmarkEnd w:id="113"/>
      <w:bookmarkEnd w:id="114"/>
      <w:bookmarkEnd w:id="115"/>
    </w:p>
    <w:p>
      <w:pPr>
        <w:spacing w:line="380" w:lineRule="exact"/>
        <w:rPr>
          <w:rFonts w:ascii="宋体" w:hAnsi="宋体"/>
          <w:color w:val="auto"/>
          <w:szCs w:val="21"/>
          <w:highlight w:val="none"/>
        </w:rPr>
      </w:pPr>
      <w:r>
        <w:rPr>
          <w:rFonts w:ascii="宋体" w:hAnsi="宋体"/>
          <w:color w:val="auto"/>
          <w:szCs w:val="21"/>
          <w:highlight w:val="none"/>
        </w:rPr>
        <w:t xml:space="preserve">    14.1 竞标文件提交截止时间：</w:t>
      </w:r>
      <w:r>
        <w:rPr>
          <w:rFonts w:hint="eastAsia" w:ascii="宋体" w:hAnsi="宋体"/>
          <w:color w:val="auto"/>
          <w:szCs w:val="21"/>
          <w:highlight w:val="none"/>
        </w:rPr>
        <w:t>按</w:t>
      </w:r>
      <w:r>
        <w:rPr>
          <w:rFonts w:ascii="宋体" w:hAnsi="宋体"/>
          <w:color w:val="auto"/>
          <w:szCs w:val="21"/>
          <w:highlight w:val="none"/>
        </w:rPr>
        <w:t>本须知“前附表第</w:t>
      </w:r>
      <w:r>
        <w:rPr>
          <w:rFonts w:hint="eastAsia" w:ascii="宋体" w:hAnsi="宋体"/>
          <w:color w:val="auto"/>
          <w:szCs w:val="21"/>
          <w:highlight w:val="none"/>
          <w:lang w:val="en-US" w:eastAsia="zh-CN"/>
        </w:rPr>
        <w:t>12</w:t>
      </w:r>
      <w:r>
        <w:rPr>
          <w:rFonts w:ascii="宋体" w:hAnsi="宋体"/>
          <w:color w:val="auto"/>
          <w:szCs w:val="21"/>
          <w:highlight w:val="none"/>
        </w:rPr>
        <w:t>项”的规定。</w:t>
      </w:r>
    </w:p>
    <w:p>
      <w:pPr>
        <w:spacing w:line="380" w:lineRule="exact"/>
        <w:ind w:firstLine="435"/>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采购</w:t>
      </w:r>
      <w:r>
        <w:rPr>
          <w:rFonts w:ascii="宋体" w:hAnsi="宋体"/>
          <w:color w:val="auto"/>
          <w:szCs w:val="21"/>
          <w:highlight w:val="none"/>
        </w:rPr>
        <w:t>人可按本须知第6条规定以补充通知的方式，酌情延长提交竞标文件的截止时间。在上述情况下，</w:t>
      </w:r>
      <w:r>
        <w:rPr>
          <w:rFonts w:hint="eastAsia" w:ascii="宋体" w:hAnsi="宋体"/>
          <w:color w:val="auto"/>
          <w:szCs w:val="21"/>
          <w:highlight w:val="none"/>
        </w:rPr>
        <w:t>采购</w:t>
      </w:r>
      <w:r>
        <w:rPr>
          <w:rFonts w:ascii="宋体" w:hAnsi="宋体"/>
          <w:color w:val="auto"/>
          <w:szCs w:val="21"/>
          <w:highlight w:val="none"/>
        </w:rPr>
        <w:t>人与竞标人的全部</w:t>
      </w:r>
      <w:r>
        <w:rPr>
          <w:rFonts w:hint="eastAsia" w:ascii="宋体" w:hAnsi="宋体"/>
          <w:color w:val="auto"/>
          <w:szCs w:val="21"/>
          <w:highlight w:val="none"/>
          <w:lang w:eastAsia="zh-CN"/>
        </w:rPr>
        <w:t>权利</w:t>
      </w:r>
      <w:r>
        <w:rPr>
          <w:rFonts w:ascii="宋体" w:hAnsi="宋体"/>
          <w:color w:val="auto"/>
          <w:szCs w:val="21"/>
          <w:highlight w:val="none"/>
        </w:rPr>
        <w:t>、责任和义务，将适用于延长后新的竞标文件提交截止时间。</w:t>
      </w:r>
    </w:p>
    <w:p>
      <w:pPr>
        <w:pStyle w:val="5"/>
        <w:rPr>
          <w:rFonts w:hint="default"/>
          <w:color w:val="auto"/>
          <w:highlight w:val="none"/>
        </w:rPr>
      </w:pPr>
      <w:bookmarkStart w:id="116" w:name="_Toc239659107"/>
      <w:bookmarkStart w:id="117" w:name="_Toc12963"/>
      <w:bookmarkStart w:id="118" w:name="_Toc8420"/>
      <w:r>
        <w:rPr>
          <w:color w:val="auto"/>
          <w:highlight w:val="none"/>
        </w:rPr>
        <w:t>15.竞标文件的装订、密封、标志与提交</w:t>
      </w:r>
      <w:bookmarkEnd w:id="116"/>
      <w:bookmarkEnd w:id="117"/>
      <w:bookmarkEnd w:id="118"/>
    </w:p>
    <w:p>
      <w:pPr>
        <w:spacing w:line="380" w:lineRule="exact"/>
        <w:ind w:firstLine="480"/>
        <w:rPr>
          <w:rFonts w:ascii="宋体" w:hAnsi="宋体"/>
          <w:color w:val="auto"/>
          <w:szCs w:val="21"/>
          <w:highlight w:val="none"/>
        </w:rPr>
      </w:pPr>
      <w:r>
        <w:rPr>
          <w:rFonts w:ascii="宋体" w:hAnsi="宋体"/>
          <w:color w:val="auto"/>
          <w:szCs w:val="21"/>
          <w:highlight w:val="none"/>
        </w:rPr>
        <w:t>15.1 竞标文件装订要求：竞标文件中</w:t>
      </w:r>
      <w:r>
        <w:rPr>
          <w:rFonts w:hint="eastAsia" w:ascii="宋体" w:hAnsi="宋体"/>
          <w:color w:val="auto"/>
          <w:szCs w:val="21"/>
          <w:highlight w:val="none"/>
        </w:rPr>
        <w:t>资格审查部分</w:t>
      </w:r>
      <w:r>
        <w:rPr>
          <w:rFonts w:ascii="宋体" w:hAnsi="宋体"/>
          <w:color w:val="auto"/>
          <w:szCs w:val="21"/>
          <w:highlight w:val="none"/>
        </w:rPr>
        <w:t>、商务部分</w:t>
      </w:r>
      <w:r>
        <w:rPr>
          <w:rFonts w:hint="eastAsia" w:ascii="宋体" w:hAnsi="宋体"/>
          <w:color w:val="auto"/>
          <w:szCs w:val="21"/>
          <w:highlight w:val="none"/>
        </w:rPr>
        <w:t>、技术部分</w:t>
      </w:r>
      <w:r>
        <w:rPr>
          <w:rFonts w:ascii="宋体" w:hAnsi="宋体"/>
          <w:color w:val="auto"/>
          <w:szCs w:val="21"/>
          <w:highlight w:val="none"/>
        </w:rPr>
        <w:t>分开装订。</w:t>
      </w:r>
    </w:p>
    <w:p>
      <w:pPr>
        <w:spacing w:line="380" w:lineRule="exact"/>
        <w:ind w:firstLine="480"/>
        <w:rPr>
          <w:rFonts w:ascii="宋体" w:hAnsi="宋体"/>
          <w:color w:val="auto"/>
          <w:szCs w:val="21"/>
          <w:highlight w:val="none"/>
        </w:rPr>
      </w:pPr>
      <w:r>
        <w:rPr>
          <w:rFonts w:ascii="宋体" w:hAnsi="宋体"/>
          <w:color w:val="auto"/>
          <w:szCs w:val="21"/>
          <w:highlight w:val="none"/>
        </w:rPr>
        <w:t>15.2竞标人应将</w:t>
      </w:r>
      <w:r>
        <w:rPr>
          <w:rFonts w:hint="eastAsia" w:ascii="宋体" w:hAnsi="宋体"/>
          <w:color w:val="auto"/>
          <w:szCs w:val="21"/>
          <w:highlight w:val="none"/>
        </w:rPr>
        <w:t>资格审查部分、</w:t>
      </w:r>
      <w:r>
        <w:rPr>
          <w:rFonts w:ascii="宋体" w:hAnsi="宋体"/>
          <w:color w:val="auto"/>
          <w:szCs w:val="21"/>
          <w:highlight w:val="none"/>
        </w:rPr>
        <w:t>商务部分</w:t>
      </w:r>
      <w:r>
        <w:rPr>
          <w:rFonts w:hint="eastAsia" w:ascii="宋体" w:hAnsi="宋体"/>
          <w:color w:val="auto"/>
          <w:szCs w:val="21"/>
          <w:highlight w:val="none"/>
        </w:rPr>
        <w:t>、技术部分</w:t>
      </w:r>
      <w:r>
        <w:rPr>
          <w:rFonts w:ascii="宋体" w:hAnsi="宋体"/>
          <w:color w:val="auto"/>
          <w:szCs w:val="21"/>
          <w:highlight w:val="none"/>
        </w:rPr>
        <w:t>密封在同</w:t>
      </w:r>
      <w:r>
        <w:rPr>
          <w:rFonts w:hint="eastAsia" w:ascii="宋体" w:hAnsi="宋体"/>
          <w:color w:val="auto"/>
          <w:szCs w:val="21"/>
          <w:highlight w:val="none"/>
        </w:rPr>
        <w:t>1</w:t>
      </w:r>
      <w:r>
        <w:rPr>
          <w:rFonts w:ascii="宋体" w:hAnsi="宋体"/>
          <w:color w:val="auto"/>
          <w:szCs w:val="21"/>
          <w:highlight w:val="none"/>
        </w:rPr>
        <w:t>个</w:t>
      </w:r>
      <w:r>
        <w:rPr>
          <w:rFonts w:hint="eastAsia" w:ascii="宋体" w:hAnsi="宋体"/>
          <w:color w:val="auto"/>
          <w:szCs w:val="21"/>
          <w:highlight w:val="none"/>
        </w:rPr>
        <w:t>竞标文件</w:t>
      </w:r>
      <w:r>
        <w:rPr>
          <w:rFonts w:ascii="宋体" w:hAnsi="宋体"/>
          <w:color w:val="auto"/>
          <w:szCs w:val="21"/>
          <w:highlight w:val="none"/>
        </w:rPr>
        <w:t>密封袋中</w:t>
      </w:r>
      <w:r>
        <w:rPr>
          <w:rFonts w:hint="eastAsia" w:ascii="宋体" w:hAnsi="宋体" w:cs="Courier New"/>
          <w:color w:val="auto"/>
          <w:spacing w:val="2"/>
          <w:highlight w:val="none"/>
        </w:rPr>
        <w:t>，外层包装封口处须帖密封条</w:t>
      </w:r>
      <w:r>
        <w:rPr>
          <w:rFonts w:hint="eastAsia" w:ascii="宋体" w:hAnsi="宋体" w:cs="Courier New"/>
          <w:color w:val="auto"/>
          <w:spacing w:val="2"/>
          <w:highlight w:val="none"/>
          <w:lang w:eastAsia="zh-CN"/>
        </w:rPr>
        <w:t>且在</w:t>
      </w:r>
      <w:r>
        <w:rPr>
          <w:rFonts w:hint="eastAsia" w:ascii="宋体" w:hAnsi="宋体" w:eastAsia="宋体" w:cs="宋体"/>
          <w:color w:val="auto"/>
          <w:sz w:val="21"/>
          <w:szCs w:val="21"/>
          <w:highlight w:val="none"/>
        </w:rPr>
        <w:t>所有封贴处必须密封签章（公章、密封章均可）</w:t>
      </w:r>
      <w:r>
        <w:rPr>
          <w:rFonts w:hint="eastAsia" w:ascii="宋体" w:hAnsi="宋体"/>
          <w:color w:val="auto"/>
          <w:szCs w:val="21"/>
          <w:highlight w:val="none"/>
        </w:rPr>
        <w:t>。</w:t>
      </w:r>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15.3包封应写明竞标人名称和地址、邮政编码、项目名称、项目编号、采购代理机构名称，并注明谈判时间以前不得开封，以便竞标出现逾期送达时能原封退回。</w:t>
      </w:r>
    </w:p>
    <w:p>
      <w:pPr>
        <w:spacing w:line="380" w:lineRule="exact"/>
        <w:ind w:firstLine="480"/>
        <w:rPr>
          <w:rFonts w:ascii="宋体" w:hAnsi="宋体"/>
          <w:color w:val="auto"/>
          <w:szCs w:val="21"/>
          <w:highlight w:val="none"/>
        </w:rPr>
      </w:pPr>
      <w:r>
        <w:rPr>
          <w:rFonts w:hint="eastAsia" w:ascii="宋体" w:hAnsi="宋体" w:cs="Courier New"/>
          <w:color w:val="auto"/>
          <w:spacing w:val="2"/>
          <w:highlight w:val="none"/>
        </w:rPr>
        <w:t>15.4 未按本章</w:t>
      </w:r>
      <w:r>
        <w:rPr>
          <w:rFonts w:ascii="宋体" w:hAnsi="宋体"/>
          <w:color w:val="auto"/>
          <w:szCs w:val="21"/>
          <w:highlight w:val="none"/>
        </w:rPr>
        <w:t>第15.1款、第15.2款和第15.3 款的规定装订和密封及加写标记</w:t>
      </w:r>
      <w:r>
        <w:rPr>
          <w:rFonts w:hint="eastAsia" w:ascii="宋体" w:hAnsi="宋体" w:cs="Courier New"/>
          <w:color w:val="auto"/>
          <w:spacing w:val="2"/>
          <w:highlight w:val="none"/>
        </w:rPr>
        <w:t>，将作无效竞标处理。</w:t>
      </w:r>
    </w:p>
    <w:p>
      <w:pPr>
        <w:spacing w:line="380" w:lineRule="exact"/>
        <w:ind w:firstLine="48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 xml:space="preserve">5 </w:t>
      </w:r>
      <w:r>
        <w:rPr>
          <w:rFonts w:ascii="宋体" w:hAnsi="宋体"/>
          <w:color w:val="auto"/>
          <w:szCs w:val="21"/>
          <w:highlight w:val="none"/>
        </w:rPr>
        <w:t>在本须知第14条规定的</w:t>
      </w:r>
      <w:r>
        <w:rPr>
          <w:rFonts w:hint="eastAsia" w:ascii="宋体" w:hAnsi="宋体"/>
          <w:color w:val="auto"/>
          <w:szCs w:val="21"/>
          <w:highlight w:val="none"/>
        </w:rPr>
        <w:t>竞标</w:t>
      </w:r>
      <w:r>
        <w:rPr>
          <w:rFonts w:ascii="宋体" w:hAnsi="宋体"/>
          <w:color w:val="auto"/>
          <w:szCs w:val="21"/>
          <w:highlight w:val="none"/>
        </w:rPr>
        <w:t>截止时间以后</w:t>
      </w:r>
      <w:r>
        <w:rPr>
          <w:rFonts w:hint="eastAsia" w:ascii="宋体" w:hAnsi="宋体"/>
          <w:color w:val="auto"/>
          <w:szCs w:val="21"/>
          <w:highlight w:val="none"/>
        </w:rPr>
        <w:t>递交</w:t>
      </w:r>
      <w:r>
        <w:rPr>
          <w:rFonts w:ascii="宋体" w:hAnsi="宋体"/>
          <w:color w:val="auto"/>
          <w:szCs w:val="21"/>
          <w:highlight w:val="none"/>
        </w:rPr>
        <w:t>的竞标文件，将</w:t>
      </w:r>
      <w:r>
        <w:rPr>
          <w:rFonts w:hint="eastAsia" w:ascii="宋体" w:hAnsi="宋体"/>
          <w:color w:val="auto"/>
          <w:szCs w:val="21"/>
          <w:highlight w:val="none"/>
        </w:rPr>
        <w:t>作无效竞标处理</w:t>
      </w:r>
      <w:r>
        <w:rPr>
          <w:rFonts w:ascii="宋体" w:hAnsi="宋体"/>
          <w:color w:val="auto"/>
          <w:szCs w:val="21"/>
          <w:highlight w:val="none"/>
        </w:rPr>
        <w:t>并退回给竞标人。</w:t>
      </w:r>
    </w:p>
    <w:p>
      <w:pPr>
        <w:pStyle w:val="5"/>
        <w:rPr>
          <w:rFonts w:hint="default"/>
          <w:color w:val="auto"/>
          <w:highlight w:val="none"/>
        </w:rPr>
      </w:pPr>
      <w:bookmarkStart w:id="119" w:name="_Toc20051"/>
      <w:bookmarkStart w:id="120" w:name="_Toc5192"/>
      <w:bookmarkStart w:id="121" w:name="_Toc239659108"/>
      <w:r>
        <w:rPr>
          <w:color w:val="auto"/>
          <w:highlight w:val="none"/>
        </w:rPr>
        <w:t>16.竞标文件的修改与撤回</w:t>
      </w:r>
      <w:bookmarkEnd w:id="119"/>
      <w:bookmarkEnd w:id="120"/>
      <w:bookmarkEnd w:id="121"/>
    </w:p>
    <w:p>
      <w:pPr>
        <w:spacing w:line="380" w:lineRule="exact"/>
        <w:rPr>
          <w:rFonts w:ascii="宋体" w:hAnsi="宋体"/>
          <w:color w:val="auto"/>
          <w:szCs w:val="21"/>
          <w:highlight w:val="none"/>
        </w:rPr>
      </w:pPr>
      <w:r>
        <w:rPr>
          <w:rFonts w:ascii="宋体" w:hAnsi="宋体"/>
          <w:color w:val="auto"/>
          <w:szCs w:val="21"/>
          <w:highlight w:val="none"/>
        </w:rPr>
        <w:t xml:space="preserve">    16.1 竞标人可以在提交竞标文件以后，在规定的竞标文件提交截止时间之前，以书面形式向</w:t>
      </w:r>
      <w:r>
        <w:rPr>
          <w:rFonts w:hint="eastAsia" w:ascii="宋体" w:hAnsi="宋体"/>
          <w:color w:val="auto"/>
          <w:szCs w:val="21"/>
          <w:highlight w:val="none"/>
        </w:rPr>
        <w:t>采购</w:t>
      </w:r>
      <w:r>
        <w:rPr>
          <w:rFonts w:ascii="宋体" w:hAnsi="宋体"/>
          <w:color w:val="auto"/>
          <w:szCs w:val="21"/>
          <w:highlight w:val="none"/>
        </w:rPr>
        <w:t>人提交</w:t>
      </w:r>
      <w:r>
        <w:rPr>
          <w:rFonts w:hint="eastAsia" w:ascii="宋体" w:hAnsi="宋体"/>
          <w:color w:val="auto"/>
          <w:szCs w:val="21"/>
          <w:highlight w:val="none"/>
        </w:rPr>
        <w:t>补充、</w:t>
      </w:r>
      <w:r>
        <w:rPr>
          <w:rFonts w:ascii="宋体" w:hAnsi="宋体"/>
          <w:color w:val="auto"/>
          <w:szCs w:val="21"/>
          <w:highlight w:val="none"/>
        </w:rPr>
        <w:t>修改其竞标文件的通知。在竞标文件提交截止时间以后，不能更改竞标文件。</w:t>
      </w:r>
    </w:p>
    <w:p>
      <w:pPr>
        <w:spacing w:line="380" w:lineRule="exact"/>
        <w:ind w:firstLine="420"/>
        <w:rPr>
          <w:rFonts w:ascii="宋体" w:hAnsi="宋体"/>
          <w:color w:val="auto"/>
          <w:szCs w:val="21"/>
          <w:highlight w:val="none"/>
        </w:rPr>
      </w:pPr>
      <w:r>
        <w:rPr>
          <w:rFonts w:ascii="宋体" w:hAnsi="宋体"/>
          <w:color w:val="auto"/>
          <w:szCs w:val="21"/>
          <w:highlight w:val="none"/>
        </w:rPr>
        <w:t>16.2 竞标人的修改通知，应按本须知第15条规定编制、密封、标志和提交（在内封包上标明“修改”字样）。</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16.3竞标人在竞争性谈判文件要求提交竞标文件截止日期之前，可以撤回已提交的竞标文件，并书面通知采购人。竞标截止日期之后至竞标有效期满之前，竞标人对竞标文件的任何补充、修改，采购人不予接受，撤回竞标文件的还将被没收竞标保证金。</w:t>
      </w:r>
    </w:p>
    <w:p>
      <w:pPr>
        <w:pStyle w:val="5"/>
        <w:rPr>
          <w:rFonts w:hint="default"/>
          <w:color w:val="auto"/>
          <w:highlight w:val="none"/>
        </w:rPr>
      </w:pPr>
      <w:bookmarkStart w:id="122" w:name="_Toc239659109"/>
      <w:bookmarkStart w:id="123" w:name="_Toc813"/>
      <w:bookmarkStart w:id="124" w:name="_Toc15039"/>
      <w:r>
        <w:rPr>
          <w:color w:val="auto"/>
          <w:highlight w:val="none"/>
        </w:rPr>
        <w:t>17.</w:t>
      </w:r>
      <w:bookmarkEnd w:id="122"/>
      <w:r>
        <w:rPr>
          <w:color w:val="auto"/>
          <w:highlight w:val="none"/>
        </w:rPr>
        <w:t>开标</w:t>
      </w:r>
      <w:bookmarkEnd w:id="123"/>
      <w:bookmarkEnd w:id="124"/>
    </w:p>
    <w:p>
      <w:pPr>
        <w:spacing w:line="380" w:lineRule="exact"/>
        <w:ind w:firstLine="435"/>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rPr>
        <w:t>采购</w:t>
      </w:r>
      <w:r>
        <w:rPr>
          <w:rFonts w:ascii="宋体" w:hAnsi="宋体"/>
          <w:color w:val="auto"/>
          <w:szCs w:val="21"/>
          <w:highlight w:val="none"/>
        </w:rPr>
        <w:t>人将</w:t>
      </w:r>
      <w:r>
        <w:rPr>
          <w:rFonts w:hint="eastAsia" w:ascii="宋体" w:hAnsi="宋体"/>
          <w:color w:val="auto"/>
          <w:szCs w:val="21"/>
          <w:highlight w:val="none"/>
        </w:rPr>
        <w:t>竞标须知前附表要求的时间及地址举行开标会</w:t>
      </w:r>
      <w:r>
        <w:rPr>
          <w:rFonts w:ascii="宋体" w:hAnsi="宋体"/>
          <w:color w:val="auto"/>
          <w:szCs w:val="21"/>
          <w:highlight w:val="none"/>
        </w:rPr>
        <w:t>，竞标人的法定代表人或其委托代理人</w:t>
      </w:r>
      <w:r>
        <w:rPr>
          <w:rFonts w:hint="eastAsia" w:ascii="宋体" w:hAnsi="宋体"/>
          <w:color w:val="auto"/>
          <w:highlight w:val="none"/>
        </w:rPr>
        <w:t>必须持以下证件依时</w:t>
      </w:r>
      <w:r>
        <w:rPr>
          <w:rFonts w:hint="eastAsia" w:ascii="宋体" w:hAnsi="宋体"/>
          <w:color w:val="auto"/>
          <w:szCs w:val="21"/>
          <w:highlight w:val="none"/>
        </w:rPr>
        <w:t>到现场参加竞标，否则其竞标文件作无效竞标处理</w:t>
      </w:r>
      <w:r>
        <w:rPr>
          <w:rFonts w:ascii="宋体" w:hAnsi="宋体"/>
          <w:color w:val="auto"/>
          <w:szCs w:val="21"/>
          <w:highlight w:val="none"/>
        </w:rPr>
        <w:t>。</w:t>
      </w:r>
    </w:p>
    <w:p>
      <w:pPr>
        <w:pStyle w:val="13"/>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w:t>
      </w:r>
      <w:r>
        <w:rPr>
          <w:rFonts w:hint="eastAsia" w:ascii="宋体" w:hAnsi="宋体"/>
          <w:b/>
          <w:color w:val="auto"/>
          <w:sz w:val="21"/>
          <w:highlight w:val="none"/>
          <w:lang w:val="en-US" w:eastAsia="zh-CN"/>
        </w:rPr>
        <w:t>1</w:t>
      </w:r>
      <w:r>
        <w:rPr>
          <w:rFonts w:hint="eastAsia" w:ascii="宋体" w:hAnsi="宋体"/>
          <w:b/>
          <w:color w:val="auto"/>
          <w:sz w:val="21"/>
          <w:highlight w:val="none"/>
        </w:rPr>
        <w:t>）法定代表人参加竞标：应提供法定代表人资格证明书和法定代表人身份证复印件、身份证原件；委托代理参加竞标：应提供法</w:t>
      </w:r>
      <w:r>
        <w:rPr>
          <w:rFonts w:hint="eastAsia" w:ascii="宋体" w:hAnsi="宋体"/>
          <w:b/>
          <w:color w:val="auto"/>
          <w:sz w:val="21"/>
          <w:highlight w:val="none"/>
          <w:lang w:eastAsia="zh-CN"/>
        </w:rPr>
        <w:t>定代表</w:t>
      </w:r>
      <w:r>
        <w:rPr>
          <w:rFonts w:hint="eastAsia" w:ascii="宋体" w:hAnsi="宋体"/>
          <w:b/>
          <w:color w:val="auto"/>
          <w:sz w:val="21"/>
          <w:highlight w:val="none"/>
        </w:rPr>
        <w:t>人授权委托书原件和委托代理人身份证复印件、委托代理人身份证原件、法</w:t>
      </w:r>
      <w:r>
        <w:rPr>
          <w:rFonts w:hint="eastAsia" w:ascii="宋体" w:hAnsi="宋体"/>
          <w:b/>
          <w:color w:val="auto"/>
          <w:sz w:val="21"/>
          <w:highlight w:val="none"/>
          <w:lang w:eastAsia="zh-CN"/>
        </w:rPr>
        <w:t>定代表</w:t>
      </w:r>
      <w:r>
        <w:rPr>
          <w:rFonts w:hint="eastAsia" w:ascii="宋体" w:hAnsi="宋体"/>
          <w:b/>
          <w:color w:val="auto"/>
          <w:sz w:val="21"/>
          <w:highlight w:val="none"/>
        </w:rPr>
        <w:t>人身份证复印件；</w:t>
      </w:r>
    </w:p>
    <w:p>
      <w:pPr>
        <w:pStyle w:val="13"/>
        <w:tabs>
          <w:tab w:val="left" w:pos="347"/>
        </w:tabs>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（2）竞标保证金交款凭证；</w:t>
      </w:r>
    </w:p>
    <w:p>
      <w:pPr>
        <w:pStyle w:val="13"/>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（3）有效的企业营业执照副本复印件、有效的资质证书副本复印件；</w:t>
      </w:r>
    </w:p>
    <w:p>
      <w:pPr>
        <w:spacing w:line="380" w:lineRule="exact"/>
        <w:ind w:firstLine="435"/>
        <w:rPr>
          <w:rFonts w:ascii="宋体" w:hAnsi="宋体"/>
          <w:b/>
          <w:color w:val="auto"/>
          <w:szCs w:val="21"/>
          <w:highlight w:val="none"/>
        </w:rPr>
      </w:pPr>
      <w:r>
        <w:rPr>
          <w:rFonts w:hint="eastAsia" w:ascii="宋体"/>
          <w:b/>
          <w:color w:val="auto"/>
          <w:highlight w:val="none"/>
        </w:rPr>
        <w:t>申请退保证</w:t>
      </w:r>
      <w:r>
        <w:rPr>
          <w:rFonts w:hint="eastAsia" w:ascii="宋体"/>
          <w:b/>
          <w:color w:val="auto"/>
          <w:highlight w:val="none"/>
          <w:lang w:eastAsia="zh-CN"/>
        </w:rPr>
        <w:t>金</w:t>
      </w:r>
      <w:r>
        <w:rPr>
          <w:rFonts w:hint="eastAsia" w:ascii="宋体"/>
          <w:b/>
          <w:color w:val="auto"/>
          <w:highlight w:val="none"/>
        </w:rPr>
        <w:t>所需要材料：</w:t>
      </w:r>
      <w:r>
        <w:rPr>
          <w:rFonts w:hint="eastAsia" w:ascii="宋体"/>
          <w:color w:val="auto"/>
          <w:highlight w:val="none"/>
        </w:rPr>
        <w:t>退保函原件，保证金银行底单（到账证明，若有），</w:t>
      </w:r>
      <w:r>
        <w:rPr>
          <w:rFonts w:hint="eastAsia" w:ascii="宋体" w:hAnsi="宋体" w:cs="Arial"/>
          <w:color w:val="auto"/>
          <w:szCs w:val="21"/>
          <w:highlight w:val="none"/>
        </w:rPr>
        <w:t>开户许可证</w:t>
      </w:r>
      <w:r>
        <w:rPr>
          <w:rFonts w:hint="eastAsia" w:ascii="宋体" w:hAnsi="宋体"/>
          <w:color w:val="auto"/>
          <w:szCs w:val="21"/>
          <w:highlight w:val="none"/>
        </w:rPr>
        <w:t>。</w:t>
      </w:r>
    </w:p>
    <w:p>
      <w:pPr>
        <w:spacing w:line="380" w:lineRule="exact"/>
        <w:rPr>
          <w:rFonts w:ascii="宋体" w:hAnsi="宋体"/>
          <w:color w:val="auto"/>
          <w:szCs w:val="21"/>
          <w:highlight w:val="none"/>
        </w:rPr>
      </w:pPr>
      <w:r>
        <w:rPr>
          <w:rFonts w:hint="eastAsia" w:ascii="宋体" w:hAnsi="宋体"/>
          <w:color w:val="auto"/>
          <w:szCs w:val="21"/>
          <w:highlight w:val="none"/>
        </w:rPr>
        <w:t xml:space="preserve">    竞标人报名时的项目经理必须和竞标文件里面的项目经理一致，不一致的竞标文件无效。上述证件材料在开标时由采购人代表及监督部门代表进行核验，如上述材料缺项将按无效竞标文件处理，其竞标文件将退还竞标人。</w:t>
      </w:r>
    </w:p>
    <w:p>
      <w:pPr>
        <w:spacing w:line="380" w:lineRule="exact"/>
        <w:rPr>
          <w:rFonts w:ascii="宋体" w:hAnsi="宋体"/>
          <w:color w:val="auto"/>
          <w:szCs w:val="21"/>
          <w:highlight w:val="none"/>
        </w:rPr>
      </w:pPr>
      <w:r>
        <w:rPr>
          <w:rFonts w:ascii="宋体" w:hAnsi="宋体"/>
          <w:color w:val="auto"/>
          <w:szCs w:val="21"/>
          <w:highlight w:val="none"/>
        </w:rPr>
        <w:t xml:space="preserve">    17.</w:t>
      </w:r>
      <w:r>
        <w:rPr>
          <w:rFonts w:hint="eastAsia" w:ascii="宋体" w:hAnsi="宋体"/>
          <w:color w:val="auto"/>
          <w:szCs w:val="21"/>
          <w:highlight w:val="none"/>
        </w:rPr>
        <w:t>2开标</w:t>
      </w:r>
      <w:r>
        <w:rPr>
          <w:rFonts w:ascii="宋体" w:hAnsi="宋体"/>
          <w:color w:val="auto"/>
          <w:szCs w:val="21"/>
          <w:highlight w:val="none"/>
        </w:rPr>
        <w:t>会由</w:t>
      </w:r>
      <w:r>
        <w:rPr>
          <w:rFonts w:hint="eastAsia" w:ascii="宋体" w:hAnsi="宋体"/>
          <w:color w:val="auto"/>
          <w:szCs w:val="21"/>
          <w:highlight w:val="none"/>
          <w:lang w:eastAsia="zh-CN"/>
        </w:rPr>
        <w:t>广西壮锦工程管理咨询有限公司</w:t>
      </w:r>
      <w:r>
        <w:rPr>
          <w:rFonts w:ascii="宋体" w:hAnsi="宋体"/>
          <w:color w:val="auto"/>
          <w:szCs w:val="21"/>
          <w:highlight w:val="none"/>
        </w:rPr>
        <w:t>组织并主持，对竞标文件进行检查，确定它们是否完整，是否按要求提供了竞标保证金，文件签署是否正确，以及是否按本须知规定编制。但按规定提交合格撤回通知的竞标文件不予开封。</w:t>
      </w:r>
    </w:p>
    <w:p>
      <w:pPr>
        <w:spacing w:line="380" w:lineRule="exact"/>
        <w:ind w:firstLine="420" w:firstLineChars="200"/>
        <w:rPr>
          <w:rFonts w:ascii="宋体" w:hAnsi="宋体"/>
          <w:color w:val="auto"/>
          <w:szCs w:val="21"/>
          <w:highlight w:val="none"/>
        </w:rPr>
      </w:pPr>
      <w:bookmarkStart w:id="125" w:name="_Toc239659110"/>
      <w:bookmarkStart w:id="126" w:name="_Toc31202"/>
      <w:r>
        <w:rPr>
          <w:rFonts w:ascii="宋体" w:hAnsi="宋体"/>
          <w:color w:val="auto"/>
          <w:szCs w:val="21"/>
          <w:highlight w:val="none"/>
        </w:rPr>
        <w:t>17.</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开标</w:t>
      </w:r>
      <w:r>
        <w:rPr>
          <w:rFonts w:ascii="宋体" w:hAnsi="宋体"/>
          <w:color w:val="auto"/>
          <w:szCs w:val="21"/>
          <w:highlight w:val="none"/>
        </w:rPr>
        <w:t>会议程序</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（1）开标会议开始，主持人宣布谈判与评标期间的有关事项；</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（2）介绍参加开标会议的人员名单；</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（3）采购人代表和监标人员一同检验参加开标会的各竞标人是否按要求提交证明材料，同时检验各竞标单位是否按要求提交了竞标保证金，对证件不齐或无效或无法提交证件材料的作无效竞标处理；</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（4）采购代理机构当众宣布核查结果，并宣读有效竞标的竞标人名称以及采购代理机构认为需要宣布的其他内容；</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（5）各竞标人的代表交叉检验各竞标文件密封的完整性；</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 xml:space="preserve">（6）由采购人代表和监标人员一同检验竞标文件密封情况是否完整，文件签署是否正确，并宣读核查结果，请竞标人书面确认后退场。竞标人退场后移步谈判等候区，等待下一阶段的技术方案谈判及商务谈判。 </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（7）开标会议结束</w:t>
      </w:r>
      <w:r>
        <w:rPr>
          <w:rFonts w:ascii="宋体" w:hAnsi="宋体"/>
          <w:color w:val="auto"/>
          <w:szCs w:val="21"/>
          <w:highlight w:val="none"/>
        </w:rPr>
        <w:t>。</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17.4谈判准备</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1）采购代理机构组织谈判小组、采购人代表签到，核对谈判小组身份和采购人代表或监督授权函后发放评标、监督等标识证件。谈判小组将手机等通讯工具或相关电子设备关闭或设置为静音状态，或寄存在指定专用储物柜（盒）内统一集中保管。</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（2）采购代理机构告知回避要求，宣布评标工作纪律和程序，介绍政府采购相关政策法规，组织评审专家及采购人代表签署《政府采购评标委员会成员承诺书》，明确评审专家权利和义务以及应负的法律责任。</w:t>
      </w:r>
    </w:p>
    <w:p>
      <w:pPr>
        <w:spacing w:line="380" w:lineRule="exact"/>
        <w:ind w:firstLine="428" w:firstLineChars="200"/>
        <w:rPr>
          <w:rFonts w:ascii="宋体" w:hAnsi="宋体" w:cs="Courier New"/>
          <w:color w:val="auto"/>
          <w:spacing w:val="2"/>
          <w:highlight w:val="none"/>
          <w:lang w:bidi="ar"/>
        </w:rPr>
      </w:pPr>
      <w:r>
        <w:rPr>
          <w:rFonts w:hint="eastAsia" w:ascii="宋体" w:hAnsi="宋体" w:cs="Courier New"/>
          <w:color w:val="auto"/>
          <w:spacing w:val="2"/>
          <w:highlight w:val="none"/>
          <w:lang w:bidi="ar"/>
        </w:rPr>
        <w:t>（3）采购代理机构工作人员介绍谈判流程，公布竞谈采购项目上限控制价，现场拆封竞标文件交由评标委员会。</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17.5谈判：</w:t>
      </w:r>
    </w:p>
    <w:p>
      <w:pPr>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①出席评审的有关人员为谈判小组成员。竞标单位在谈判期间提交的密封的所有竞标文件须经谈判小组成员和监督人员同时验证后方能拆封，任何个人不得私自拆封。 </w:t>
      </w:r>
    </w:p>
    <w:p>
      <w:pPr>
        <w:spacing w:line="380" w:lineRule="exact"/>
        <w:ind w:firstLine="420"/>
        <w:rPr>
          <w:rFonts w:ascii="宋体" w:hAnsi="宋体"/>
          <w:color w:val="auto"/>
          <w:szCs w:val="21"/>
          <w:highlight w:val="none"/>
        </w:rPr>
      </w:pPr>
      <w:r>
        <w:rPr>
          <w:rFonts w:hint="eastAsia" w:ascii="宋体" w:hAnsi="宋体"/>
          <w:color w:val="auto"/>
          <w:szCs w:val="21"/>
          <w:highlight w:val="none"/>
        </w:rPr>
        <w:t>②谈判时，竞标单位的法人代表或委托代理人必须参加谈判。</w:t>
      </w:r>
    </w:p>
    <w:p>
      <w:pPr>
        <w:spacing w:line="380" w:lineRule="exact"/>
        <w:ind w:firstLine="420"/>
        <w:rPr>
          <w:rFonts w:ascii="宋体" w:hAnsi="宋体"/>
          <w:color w:val="auto"/>
          <w:szCs w:val="21"/>
          <w:highlight w:val="none"/>
        </w:rPr>
      </w:pPr>
      <w:r>
        <w:rPr>
          <w:rFonts w:hint="eastAsia" w:ascii="宋体" w:hAnsi="宋体"/>
          <w:color w:val="auto"/>
          <w:szCs w:val="21"/>
          <w:highlight w:val="none"/>
        </w:rPr>
        <w:t>③谈判小组通过对各竞标单位的竞标文件进行初步审查后，谈判双方以竞争性谈判条件为依据，由竞标单位对提交的竞标文件及服务承诺等做出陈述。谈判小组将根据竞标单位的竞标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spacing w:line="380" w:lineRule="exact"/>
        <w:ind w:firstLine="420"/>
        <w:rPr>
          <w:color w:val="auto"/>
          <w:highlight w:val="none"/>
        </w:rPr>
      </w:pPr>
      <w:r>
        <w:rPr>
          <w:rFonts w:hint="eastAsia" w:ascii="宋体" w:hAnsi="宋体"/>
          <w:color w:val="auto"/>
          <w:szCs w:val="21"/>
          <w:highlight w:val="none"/>
        </w:rPr>
        <w:t>④二次报价：谈判小组应在商务、技术和服务条件谈判后，邀请能满足竞争性谈判条件书所规定实质性要求的质量和服务的所有竞标人进行二次报价，并告知竞标人二次报价截止时间及二次报价文件编写有关规范。原则上，二次报价为最终报价。（注：竞标人的二次报价有所变动时，须提前做好相关准备并按时递交报价文件，报价高于采购人工程采购预算控制价的竞争性谈判响应文件将被拒绝。）</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17.6谈判原则</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17.6.1、必须公平、公正、客观，不带任何倾向性和启发性；</w:t>
      </w:r>
    </w:p>
    <w:p>
      <w:pPr>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17.6.2、谈判人员不得向外界透露任何与谈判有关的内容； </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17.6.3、任何单位和个人不得干扰、影响谈判的正常进行；</w:t>
      </w:r>
    </w:p>
    <w:p>
      <w:pPr>
        <w:pStyle w:val="5"/>
        <w:ind w:firstLine="420" w:firstLineChars="200"/>
        <w:rPr>
          <w:rFonts w:hint="default" w:ascii="宋体" w:eastAsia="宋体"/>
          <w:bCs w:val="0"/>
          <w:color w:val="auto"/>
          <w:kern w:val="2"/>
          <w:sz w:val="21"/>
          <w:szCs w:val="21"/>
          <w:highlight w:val="none"/>
        </w:rPr>
      </w:pPr>
      <w:bookmarkStart w:id="127" w:name="_Toc28619"/>
      <w:r>
        <w:rPr>
          <w:rFonts w:ascii="宋体" w:eastAsia="宋体"/>
          <w:bCs w:val="0"/>
          <w:color w:val="auto"/>
          <w:kern w:val="2"/>
          <w:sz w:val="21"/>
          <w:szCs w:val="21"/>
          <w:highlight w:val="none"/>
        </w:rPr>
        <w:t>17.6.4、谈判人员不得私下与竞标单位接触。</w:t>
      </w:r>
      <w:bookmarkEnd w:id="127"/>
    </w:p>
    <w:p>
      <w:pPr>
        <w:pStyle w:val="5"/>
        <w:rPr>
          <w:rFonts w:hint="default"/>
          <w:color w:val="auto"/>
          <w:highlight w:val="none"/>
        </w:rPr>
      </w:pPr>
      <w:bookmarkStart w:id="128" w:name="_Toc24476"/>
      <w:r>
        <w:rPr>
          <w:color w:val="auto"/>
          <w:highlight w:val="none"/>
        </w:rPr>
        <w:t>18.开标内容的保密</w:t>
      </w:r>
      <w:bookmarkEnd w:id="125"/>
      <w:bookmarkEnd w:id="126"/>
      <w:bookmarkEnd w:id="128"/>
    </w:p>
    <w:p>
      <w:pPr>
        <w:spacing w:line="380" w:lineRule="exact"/>
        <w:rPr>
          <w:rFonts w:ascii="宋体" w:hAnsi="宋体"/>
          <w:color w:val="auto"/>
          <w:szCs w:val="21"/>
          <w:highlight w:val="none"/>
        </w:rPr>
      </w:pPr>
      <w:r>
        <w:rPr>
          <w:rFonts w:ascii="宋体" w:hAnsi="宋体"/>
          <w:color w:val="auto"/>
          <w:szCs w:val="21"/>
          <w:highlight w:val="none"/>
        </w:rPr>
        <w:t xml:space="preserve">    18.1</w:t>
      </w:r>
      <w:r>
        <w:rPr>
          <w:rFonts w:hint="eastAsia" w:ascii="宋体" w:hAnsi="宋体"/>
          <w:color w:val="auto"/>
          <w:szCs w:val="21"/>
          <w:highlight w:val="none"/>
        </w:rPr>
        <w:t>开标</w:t>
      </w:r>
      <w:r>
        <w:rPr>
          <w:rFonts w:ascii="宋体" w:hAnsi="宋体"/>
          <w:color w:val="auto"/>
          <w:szCs w:val="21"/>
          <w:highlight w:val="none"/>
        </w:rPr>
        <w:t>后，直到宣布授予成交单位合同为止，凡属于审查、澄清、评价和比较的所有资料，有关授予合同的信息，都不应向竞标人或与</w:t>
      </w:r>
      <w:r>
        <w:rPr>
          <w:rFonts w:hint="eastAsia" w:ascii="宋体" w:hAnsi="宋体"/>
          <w:color w:val="auto"/>
          <w:szCs w:val="21"/>
          <w:highlight w:val="none"/>
        </w:rPr>
        <w:t>评标</w:t>
      </w:r>
      <w:r>
        <w:rPr>
          <w:rFonts w:ascii="宋体" w:hAnsi="宋体"/>
          <w:color w:val="auto"/>
          <w:szCs w:val="21"/>
          <w:highlight w:val="none"/>
        </w:rPr>
        <w:t>无关的其他人泄露。</w:t>
      </w:r>
    </w:p>
    <w:p>
      <w:pPr>
        <w:spacing w:line="380" w:lineRule="exact"/>
        <w:ind w:firstLine="435"/>
        <w:rPr>
          <w:rFonts w:ascii="宋体" w:hAnsi="宋体"/>
          <w:color w:val="auto"/>
          <w:szCs w:val="21"/>
          <w:highlight w:val="none"/>
        </w:rPr>
      </w:pPr>
      <w:r>
        <w:rPr>
          <w:rFonts w:ascii="宋体" w:hAnsi="宋体"/>
          <w:color w:val="auto"/>
          <w:szCs w:val="21"/>
          <w:highlight w:val="none"/>
        </w:rPr>
        <w:t>18.2 在竞标文件的审查、澄清、评价和比较以及授予合同的过程中，竞标人对</w:t>
      </w:r>
      <w:r>
        <w:rPr>
          <w:rFonts w:hint="eastAsia" w:ascii="宋体" w:hAnsi="宋体"/>
          <w:color w:val="auto"/>
          <w:szCs w:val="21"/>
          <w:highlight w:val="none"/>
        </w:rPr>
        <w:t>采购</w:t>
      </w:r>
      <w:r>
        <w:rPr>
          <w:rFonts w:ascii="宋体" w:hAnsi="宋体"/>
          <w:color w:val="auto"/>
          <w:szCs w:val="21"/>
          <w:highlight w:val="none"/>
        </w:rPr>
        <w:t>人和</w:t>
      </w:r>
      <w:r>
        <w:rPr>
          <w:rFonts w:hint="eastAsia" w:ascii="宋体" w:hAnsi="宋体"/>
          <w:color w:val="auto"/>
          <w:szCs w:val="21"/>
          <w:highlight w:val="none"/>
        </w:rPr>
        <w:t>谈判</w:t>
      </w:r>
      <w:r>
        <w:rPr>
          <w:rFonts w:ascii="宋体" w:hAnsi="宋体"/>
          <w:color w:val="auto"/>
          <w:szCs w:val="21"/>
          <w:highlight w:val="none"/>
        </w:rPr>
        <w:t>小组成员施加影响的任何行为，都将导致取消其</w:t>
      </w:r>
      <w:r>
        <w:rPr>
          <w:rFonts w:hint="eastAsia" w:ascii="宋体" w:hAnsi="宋体"/>
          <w:color w:val="auto"/>
          <w:szCs w:val="21"/>
          <w:highlight w:val="none"/>
        </w:rPr>
        <w:t>竞</w:t>
      </w:r>
      <w:r>
        <w:rPr>
          <w:rFonts w:ascii="宋体" w:hAnsi="宋体"/>
          <w:color w:val="auto"/>
          <w:szCs w:val="21"/>
          <w:highlight w:val="none"/>
        </w:rPr>
        <w:t>标资格。</w:t>
      </w:r>
    </w:p>
    <w:p>
      <w:pPr>
        <w:pStyle w:val="5"/>
        <w:rPr>
          <w:rFonts w:hint="default"/>
          <w:color w:val="auto"/>
          <w:highlight w:val="none"/>
        </w:rPr>
      </w:pPr>
      <w:bookmarkStart w:id="129" w:name="_Toc239659111"/>
      <w:bookmarkStart w:id="130" w:name="_Toc18319"/>
      <w:bookmarkStart w:id="131" w:name="_Toc10646"/>
      <w:r>
        <w:rPr>
          <w:color w:val="auto"/>
          <w:highlight w:val="none"/>
        </w:rPr>
        <w:t>19.竞标文件计算错误的修正</w:t>
      </w:r>
      <w:bookmarkEnd w:id="129"/>
      <w:bookmarkEnd w:id="130"/>
      <w:bookmarkEnd w:id="131"/>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 xml:space="preserve"> </w:t>
      </w:r>
      <w:r>
        <w:rPr>
          <w:rFonts w:ascii="宋体" w:hAnsi="宋体"/>
          <w:color w:val="auto"/>
          <w:szCs w:val="21"/>
          <w:highlight w:val="none"/>
        </w:rPr>
        <w:t>谈判小组将对确定为实质上响应竞争性谈判文件要求的竞标文件进行校核，看其是否有计算或表达上的错误，修正错误的原则如下：</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19.1.1</w:t>
      </w:r>
      <w:r>
        <w:rPr>
          <w:rFonts w:hint="eastAsia" w:ascii="宋体" w:hAnsi="宋体"/>
          <w:color w:val="auto"/>
          <w:szCs w:val="21"/>
          <w:highlight w:val="none"/>
        </w:rPr>
        <w:t xml:space="preserve"> </w:t>
      </w:r>
      <w:r>
        <w:rPr>
          <w:rFonts w:ascii="宋体" w:hAnsi="宋体"/>
          <w:color w:val="auto"/>
          <w:szCs w:val="21"/>
          <w:highlight w:val="none"/>
        </w:rPr>
        <w:t>如果数字表示的金额和用文字表示的金额不一致时，应以文字表示的金额为准；</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19.1.2</w:t>
      </w:r>
      <w:r>
        <w:rPr>
          <w:rFonts w:hint="eastAsia" w:ascii="宋体" w:hAnsi="宋体"/>
          <w:color w:val="auto"/>
          <w:szCs w:val="21"/>
          <w:highlight w:val="none"/>
        </w:rPr>
        <w:t xml:space="preserve"> </w:t>
      </w:r>
      <w:r>
        <w:rPr>
          <w:rFonts w:ascii="宋体" w:hAnsi="宋体"/>
          <w:color w:val="auto"/>
          <w:szCs w:val="21"/>
          <w:highlight w:val="none"/>
        </w:rPr>
        <w:t>当单价与数量的乘积与合价不一致时，以单价为准，除非谈判小组认为单价有明显的小数点错误，此时应以标出的合价为准，并修改单价</w:t>
      </w:r>
      <w:r>
        <w:rPr>
          <w:rFonts w:hint="eastAsia" w:ascii="宋体" w:hAnsi="宋体"/>
          <w:color w:val="auto"/>
          <w:szCs w:val="21"/>
          <w:highlight w:val="none"/>
        </w:rPr>
        <w:t>；</w:t>
      </w:r>
    </w:p>
    <w:p>
      <w:pPr>
        <w:spacing w:line="380" w:lineRule="exact"/>
        <w:ind w:firstLine="388" w:firstLineChars="185"/>
        <w:rPr>
          <w:rFonts w:ascii="宋体" w:hAnsi="宋体"/>
          <w:color w:val="auto"/>
          <w:szCs w:val="21"/>
          <w:highlight w:val="none"/>
        </w:rPr>
      </w:pPr>
      <w:r>
        <w:rPr>
          <w:rFonts w:hint="eastAsia" w:ascii="宋体" w:hAnsi="宋体"/>
          <w:color w:val="auto"/>
          <w:szCs w:val="21"/>
          <w:highlight w:val="none"/>
        </w:rPr>
        <w:t>19.1.3 当分项乘积累计得出的总额与标出的总额不一致时，以标出的分项乘积为准，并修改标出的总额；</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1.4</w:t>
      </w:r>
      <w:r>
        <w:rPr>
          <w:rFonts w:ascii="宋体" w:hAnsi="宋体"/>
          <w:color w:val="auto"/>
          <w:szCs w:val="21"/>
          <w:highlight w:val="none"/>
        </w:rPr>
        <w:t xml:space="preserve"> 竞标文件正本与竞标文件副本不符的以正本为准。</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19.2 按上述修正错误的原则及方法调整或修正竞标文件的竞标报价，</w:t>
      </w:r>
      <w:r>
        <w:rPr>
          <w:rFonts w:hint="eastAsia" w:ascii="宋体" w:hAnsi="宋体"/>
          <w:color w:val="auto"/>
          <w:szCs w:val="21"/>
          <w:highlight w:val="none"/>
        </w:rPr>
        <w:t>在</w:t>
      </w:r>
      <w:r>
        <w:rPr>
          <w:rFonts w:ascii="宋体" w:hAnsi="宋体"/>
          <w:color w:val="auto"/>
          <w:szCs w:val="21"/>
          <w:highlight w:val="none"/>
        </w:rPr>
        <w:t>竞标人</w:t>
      </w:r>
      <w:r>
        <w:rPr>
          <w:rFonts w:hint="eastAsia" w:ascii="宋体" w:hAnsi="宋体"/>
          <w:color w:val="auto"/>
          <w:szCs w:val="21"/>
          <w:highlight w:val="none"/>
        </w:rPr>
        <w:t>确认</w:t>
      </w:r>
      <w:r>
        <w:rPr>
          <w:rFonts w:ascii="宋体" w:hAnsi="宋体"/>
          <w:color w:val="auto"/>
          <w:szCs w:val="21"/>
          <w:highlight w:val="none"/>
        </w:rPr>
        <w:t>后，调整或修正后的竞标报价对竞标人起约束作用。如果竞标人不接受调整或修正后的报价，则其竞标文件将被拒绝并且其竞标保证金也将被没收，并不影响谈判工作。</w:t>
      </w:r>
    </w:p>
    <w:p>
      <w:pPr>
        <w:pStyle w:val="5"/>
        <w:rPr>
          <w:rFonts w:hint="default"/>
          <w:color w:val="auto"/>
          <w:highlight w:val="none"/>
        </w:rPr>
      </w:pPr>
      <w:bookmarkStart w:id="132" w:name="_Toc174353376"/>
      <w:bookmarkStart w:id="133" w:name="_Toc4114"/>
      <w:bookmarkStart w:id="134" w:name="_Toc120331586"/>
      <w:bookmarkStart w:id="135" w:name="_Toc239659113"/>
      <w:bookmarkStart w:id="136" w:name="_Toc16472"/>
      <w:bookmarkStart w:id="137" w:name="_Toc239659112"/>
      <w:bookmarkStart w:id="138" w:name="_Toc5434"/>
      <w:r>
        <w:rPr>
          <w:color w:val="auto"/>
          <w:highlight w:val="none"/>
        </w:rPr>
        <w:t>21.竞标文件的评价与比较</w:t>
      </w:r>
      <w:bookmarkEnd w:id="132"/>
      <w:bookmarkEnd w:id="133"/>
      <w:bookmarkEnd w:id="134"/>
      <w:bookmarkEnd w:id="135"/>
      <w:bookmarkEnd w:id="136"/>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 对竞标文件进行符合性鉴定。竞标文件应实质上响应竞争性谈判文件的要求，应与竞争性谈判文件所有条款、条件和规定，无明显差异或保留。谈判小组对实质上不响应竞争性谈判文件要求的竞标予以拒绝。并且不允许通过修正或撤消其不符合要求的差异或保留，使之成为具有响应性的竞标文件。</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2 竞标人或其竞标文件有</w:t>
      </w:r>
      <w:r>
        <w:rPr>
          <w:rFonts w:ascii="宋体" w:hAnsi="宋体"/>
          <w:b/>
          <w:color w:val="auto"/>
          <w:szCs w:val="21"/>
          <w:highlight w:val="none"/>
        </w:rPr>
        <w:t>下列情况之一者</w:t>
      </w:r>
      <w:r>
        <w:rPr>
          <w:rFonts w:hint="eastAsia" w:ascii="宋体" w:hAnsi="宋体"/>
          <w:b/>
          <w:color w:val="auto"/>
          <w:szCs w:val="21"/>
          <w:highlight w:val="none"/>
        </w:rPr>
        <w:t>，其竞标文件</w:t>
      </w:r>
      <w:r>
        <w:rPr>
          <w:rFonts w:ascii="宋体" w:hAnsi="宋体"/>
          <w:b/>
          <w:color w:val="auto"/>
          <w:szCs w:val="21"/>
          <w:highlight w:val="none"/>
        </w:rPr>
        <w:t>将视为无效</w:t>
      </w:r>
      <w:r>
        <w:rPr>
          <w:rFonts w:hint="eastAsia" w:ascii="宋体" w:hAnsi="宋体"/>
          <w:b/>
          <w:color w:val="auto"/>
          <w:szCs w:val="21"/>
          <w:highlight w:val="none"/>
        </w:rPr>
        <w:t>或作废标处理</w:t>
      </w:r>
      <w:r>
        <w:rPr>
          <w:rFonts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21.2.1</w:t>
      </w:r>
      <w:r>
        <w:rPr>
          <w:rFonts w:hint="eastAsia" w:ascii="宋体" w:hAnsi="宋体"/>
          <w:b/>
          <w:color w:val="auto"/>
          <w:szCs w:val="21"/>
          <w:highlight w:val="none"/>
        </w:rPr>
        <w:t xml:space="preserve"> </w:t>
      </w:r>
      <w:r>
        <w:rPr>
          <w:rFonts w:ascii="宋体" w:hAnsi="宋体"/>
          <w:b/>
          <w:color w:val="auto"/>
          <w:szCs w:val="21"/>
          <w:highlight w:val="none"/>
        </w:rPr>
        <w:t>竞标人的法定代表人或委托代理人未按时参加开标会议的</w:t>
      </w:r>
      <w:r>
        <w:rPr>
          <w:rFonts w:hint="eastAsia"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21.2.2 </w:t>
      </w:r>
      <w:r>
        <w:rPr>
          <w:rFonts w:ascii="宋体" w:hAnsi="宋体"/>
          <w:b/>
          <w:color w:val="auto"/>
          <w:szCs w:val="21"/>
          <w:highlight w:val="none"/>
        </w:rPr>
        <w:t>竞标文件未按照本须知第15条的要求装订、密封和标记的；</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 xml:space="preserve">3 </w:t>
      </w:r>
      <w:r>
        <w:rPr>
          <w:rFonts w:ascii="宋体" w:hAnsi="宋体"/>
          <w:b/>
          <w:color w:val="auto"/>
          <w:szCs w:val="21"/>
          <w:highlight w:val="none"/>
        </w:rPr>
        <w:t>本须知第9条规定的竞标文件有关内容未按本须知第13</w:t>
      </w:r>
      <w:r>
        <w:rPr>
          <w:rFonts w:hint="eastAsia" w:ascii="宋体" w:hAnsi="宋体"/>
          <w:b/>
          <w:color w:val="auto"/>
          <w:szCs w:val="21"/>
          <w:highlight w:val="none"/>
        </w:rPr>
        <w:t>条</w:t>
      </w:r>
      <w:r>
        <w:rPr>
          <w:rFonts w:ascii="宋体" w:hAnsi="宋体"/>
          <w:b/>
          <w:color w:val="auto"/>
          <w:szCs w:val="21"/>
          <w:highlight w:val="none"/>
        </w:rPr>
        <w:t>规定加盖竞标人</w:t>
      </w:r>
      <w:r>
        <w:rPr>
          <w:rFonts w:hint="eastAsia" w:ascii="宋体" w:hAnsi="宋体"/>
          <w:b/>
          <w:color w:val="auto"/>
          <w:szCs w:val="21"/>
          <w:highlight w:val="none"/>
        </w:rPr>
        <w:t>单位公</w:t>
      </w:r>
      <w:r>
        <w:rPr>
          <w:rFonts w:ascii="宋体" w:hAnsi="宋体"/>
          <w:b/>
          <w:color w:val="auto"/>
          <w:szCs w:val="21"/>
          <w:highlight w:val="none"/>
        </w:rPr>
        <w:t>章</w:t>
      </w:r>
      <w:r>
        <w:rPr>
          <w:rFonts w:hint="eastAsia" w:ascii="宋体" w:hAnsi="宋体"/>
          <w:b/>
          <w:color w:val="auto"/>
          <w:szCs w:val="21"/>
          <w:highlight w:val="none"/>
        </w:rPr>
        <w:t>、</w:t>
      </w:r>
      <w:r>
        <w:rPr>
          <w:rFonts w:ascii="宋体" w:hAnsi="宋体"/>
          <w:b/>
          <w:color w:val="auto"/>
          <w:szCs w:val="21"/>
          <w:highlight w:val="none"/>
        </w:rPr>
        <w:t>未经法定代表人或其委托代理人签字的</w:t>
      </w:r>
      <w:r>
        <w:rPr>
          <w:rFonts w:hint="eastAsia"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21.2.4 </w:t>
      </w:r>
      <w:r>
        <w:rPr>
          <w:rFonts w:ascii="宋体" w:hAnsi="宋体"/>
          <w:b/>
          <w:color w:val="auto"/>
          <w:szCs w:val="21"/>
          <w:highlight w:val="none"/>
        </w:rPr>
        <w:t>由委托代理人签字，但未随竞标文件一起提交有效的“授权委托书”原件的；</w:t>
      </w:r>
    </w:p>
    <w:p>
      <w:pPr>
        <w:spacing w:line="380" w:lineRule="exact"/>
        <w:rPr>
          <w:rFonts w:ascii="宋体" w:hAnsi="宋体"/>
          <w:b/>
          <w:color w:val="auto"/>
          <w:szCs w:val="21"/>
          <w:highlight w:val="none"/>
        </w:rPr>
      </w:pPr>
      <w:r>
        <w:rPr>
          <w:rFonts w:ascii="宋体" w:hAnsi="宋体"/>
          <w:b/>
          <w:color w:val="auto"/>
          <w:szCs w:val="21"/>
          <w:highlight w:val="none"/>
        </w:rPr>
        <w:t xml:space="preserve">    21.2.</w:t>
      </w:r>
      <w:r>
        <w:rPr>
          <w:rFonts w:hint="eastAsia" w:ascii="宋体" w:hAnsi="宋体"/>
          <w:b/>
          <w:color w:val="auto"/>
          <w:szCs w:val="21"/>
          <w:highlight w:val="none"/>
        </w:rPr>
        <w:t xml:space="preserve">5 </w:t>
      </w:r>
      <w:r>
        <w:rPr>
          <w:rFonts w:ascii="宋体" w:hAnsi="宋体"/>
          <w:b/>
          <w:color w:val="auto"/>
          <w:szCs w:val="21"/>
          <w:highlight w:val="none"/>
        </w:rPr>
        <w:t>竞标人未按照竞争性谈判文件</w:t>
      </w:r>
      <w:r>
        <w:rPr>
          <w:rFonts w:hint="eastAsia" w:ascii="宋体" w:hAnsi="宋体"/>
          <w:b/>
          <w:color w:val="auto"/>
          <w:szCs w:val="21"/>
          <w:highlight w:val="none"/>
        </w:rPr>
        <w:t>第11条</w:t>
      </w:r>
      <w:r>
        <w:rPr>
          <w:rFonts w:ascii="宋体" w:hAnsi="宋体"/>
          <w:b/>
          <w:color w:val="auto"/>
          <w:szCs w:val="21"/>
          <w:highlight w:val="none"/>
        </w:rPr>
        <w:t>的要求提供竞标保证金</w:t>
      </w:r>
      <w:r>
        <w:rPr>
          <w:rFonts w:hint="eastAsia" w:ascii="宋体" w:hAnsi="宋体"/>
          <w:b/>
          <w:color w:val="auto"/>
          <w:szCs w:val="21"/>
          <w:highlight w:val="none"/>
        </w:rPr>
        <w:t>的；</w:t>
      </w:r>
    </w:p>
    <w:p>
      <w:pPr>
        <w:spacing w:line="380" w:lineRule="exact"/>
        <w:rPr>
          <w:rFonts w:ascii="宋体" w:hAnsi="宋体"/>
          <w:b/>
          <w:color w:val="auto"/>
          <w:szCs w:val="21"/>
          <w:highlight w:val="none"/>
        </w:rPr>
      </w:pPr>
      <w:r>
        <w:rPr>
          <w:rFonts w:ascii="宋体" w:hAnsi="宋体"/>
          <w:b/>
          <w:color w:val="auto"/>
          <w:szCs w:val="21"/>
          <w:highlight w:val="none"/>
        </w:rPr>
        <w:t xml:space="preserve">    21.2.</w:t>
      </w:r>
      <w:r>
        <w:rPr>
          <w:rFonts w:hint="eastAsia" w:ascii="宋体" w:hAnsi="宋体"/>
          <w:b/>
          <w:color w:val="auto"/>
          <w:szCs w:val="21"/>
          <w:highlight w:val="none"/>
        </w:rPr>
        <w:t>6</w:t>
      </w:r>
      <w:r>
        <w:rPr>
          <w:rFonts w:ascii="宋体" w:hAnsi="宋体"/>
          <w:b/>
          <w:color w:val="auto"/>
          <w:szCs w:val="21"/>
          <w:highlight w:val="none"/>
        </w:rPr>
        <w:t xml:space="preserve"> 竞标文件的关键内容字迹模糊、</w:t>
      </w:r>
      <w:r>
        <w:rPr>
          <w:rFonts w:hint="eastAsia" w:ascii="宋体" w:hAnsi="宋体"/>
          <w:b/>
          <w:color w:val="auto"/>
          <w:szCs w:val="21"/>
          <w:highlight w:val="none"/>
        </w:rPr>
        <w:t>辨认</w:t>
      </w:r>
      <w:r>
        <w:rPr>
          <w:rFonts w:ascii="宋体" w:hAnsi="宋体"/>
          <w:b/>
          <w:color w:val="auto"/>
          <w:szCs w:val="21"/>
          <w:highlight w:val="none"/>
        </w:rPr>
        <w:t>不清</w:t>
      </w:r>
      <w:r>
        <w:rPr>
          <w:rFonts w:hint="eastAsia" w:ascii="宋体" w:hAnsi="宋体"/>
          <w:b/>
          <w:color w:val="auto"/>
          <w:szCs w:val="21"/>
          <w:highlight w:val="none"/>
        </w:rPr>
        <w:t>的</w:t>
      </w:r>
      <w:r>
        <w:rPr>
          <w:rFonts w:ascii="宋体" w:hAnsi="宋体"/>
          <w:b/>
          <w:color w:val="auto"/>
          <w:szCs w:val="21"/>
          <w:highlight w:val="none"/>
        </w:rPr>
        <w:t>；</w:t>
      </w:r>
    </w:p>
    <w:p>
      <w:pPr>
        <w:spacing w:line="380" w:lineRule="exact"/>
        <w:rPr>
          <w:rFonts w:ascii="宋体" w:hAnsi="宋体"/>
          <w:b/>
          <w:color w:val="auto"/>
          <w:szCs w:val="21"/>
          <w:highlight w:val="none"/>
        </w:rPr>
      </w:pPr>
      <w:r>
        <w:rPr>
          <w:rFonts w:hint="eastAsia" w:ascii="宋体" w:hAnsi="宋体"/>
          <w:b/>
          <w:color w:val="auto"/>
          <w:szCs w:val="21"/>
          <w:highlight w:val="none"/>
        </w:rPr>
        <w:t xml:space="preserve">    21.2.7 不按本须知第9条内容提供资料的；</w:t>
      </w:r>
      <w:r>
        <w:rPr>
          <w:rFonts w:hint="eastAsia" w:ascii="宋体" w:hAnsi="宋体"/>
          <w:b/>
          <w:color w:val="auto"/>
          <w:szCs w:val="21"/>
          <w:highlight w:val="none"/>
        </w:rPr>
        <w:tab/>
      </w:r>
    </w:p>
    <w:p>
      <w:pPr>
        <w:spacing w:line="380" w:lineRule="exact"/>
        <w:ind w:firstLine="43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8</w:t>
      </w:r>
      <w:r>
        <w:rPr>
          <w:rFonts w:ascii="宋体" w:hAnsi="宋体"/>
          <w:b/>
          <w:color w:val="auto"/>
          <w:szCs w:val="21"/>
          <w:highlight w:val="none"/>
        </w:rPr>
        <w:t xml:space="preserve"> 竞标文件内容不真实</w:t>
      </w:r>
      <w:r>
        <w:rPr>
          <w:rFonts w:hint="eastAsia" w:ascii="宋体" w:hAnsi="宋体"/>
          <w:b/>
          <w:color w:val="auto"/>
          <w:szCs w:val="21"/>
          <w:highlight w:val="none"/>
        </w:rPr>
        <w:t>的；</w:t>
      </w:r>
    </w:p>
    <w:p>
      <w:pPr>
        <w:spacing w:line="380" w:lineRule="exact"/>
        <w:ind w:firstLine="43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9</w:t>
      </w:r>
      <w:r>
        <w:rPr>
          <w:rFonts w:ascii="宋体" w:hAnsi="宋体"/>
          <w:b/>
          <w:color w:val="auto"/>
          <w:szCs w:val="21"/>
          <w:highlight w:val="none"/>
        </w:rPr>
        <w:t xml:space="preserve"> 竞标人无对农民工工资保障金的交纳与使用</w:t>
      </w:r>
      <w:r>
        <w:rPr>
          <w:rFonts w:hint="eastAsia" w:ascii="宋体" w:hAnsi="宋体"/>
          <w:b/>
          <w:color w:val="auto"/>
          <w:szCs w:val="21"/>
          <w:highlight w:val="none"/>
        </w:rPr>
        <w:t>作出</w:t>
      </w:r>
      <w:r>
        <w:rPr>
          <w:rFonts w:ascii="宋体" w:hAnsi="宋体"/>
          <w:b/>
          <w:color w:val="auto"/>
          <w:szCs w:val="21"/>
          <w:highlight w:val="none"/>
        </w:rPr>
        <w:t>承诺</w:t>
      </w:r>
      <w:r>
        <w:rPr>
          <w:rFonts w:hint="eastAsia" w:ascii="宋体" w:hAnsi="宋体"/>
          <w:b/>
          <w:color w:val="auto"/>
          <w:szCs w:val="21"/>
          <w:highlight w:val="none"/>
        </w:rPr>
        <w:t>和诚信声明的</w:t>
      </w:r>
      <w:r>
        <w:rPr>
          <w:rFonts w:ascii="宋体" w:hAnsi="宋体"/>
          <w:b/>
          <w:color w:val="auto"/>
          <w:szCs w:val="21"/>
          <w:highlight w:val="none"/>
        </w:rPr>
        <w:t>；</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10</w:t>
      </w:r>
      <w:r>
        <w:rPr>
          <w:rFonts w:ascii="宋体" w:hAnsi="宋体"/>
          <w:b/>
          <w:color w:val="auto"/>
          <w:szCs w:val="21"/>
          <w:highlight w:val="none"/>
        </w:rPr>
        <w:t xml:space="preserve"> 竞标文件实质上没有响应竞争性谈判文件的要求</w:t>
      </w:r>
      <w:r>
        <w:rPr>
          <w:rFonts w:hint="eastAsia" w:ascii="宋体" w:hAnsi="宋体"/>
          <w:b/>
          <w:color w:val="auto"/>
          <w:szCs w:val="21"/>
          <w:highlight w:val="none"/>
        </w:rPr>
        <w:t>的</w:t>
      </w:r>
      <w:r>
        <w:rPr>
          <w:rFonts w:ascii="宋体" w:hAnsi="宋体"/>
          <w:b/>
          <w:color w:val="auto"/>
          <w:szCs w:val="21"/>
          <w:highlight w:val="none"/>
        </w:rPr>
        <w:t>；</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11 作废的清单项目达到3项以上（含本数）或作废的清单项目造价累计超过单位工程竞标报价的2%（含本数）的；</w:t>
      </w:r>
    </w:p>
    <w:p>
      <w:pPr>
        <w:spacing w:line="380" w:lineRule="exact"/>
        <w:ind w:firstLine="420"/>
        <w:rPr>
          <w:rFonts w:ascii="宋体" w:hAnsi="宋体"/>
          <w:b/>
          <w:color w:val="auto"/>
          <w:szCs w:val="21"/>
          <w:highlight w:val="none"/>
        </w:rPr>
      </w:pPr>
      <w:r>
        <w:rPr>
          <w:rFonts w:hint="eastAsia" w:ascii="宋体" w:hAnsi="宋体"/>
          <w:b/>
          <w:color w:val="auto"/>
          <w:szCs w:val="21"/>
          <w:highlight w:val="none"/>
        </w:rPr>
        <w:t>21.2.12竞标人采用总价优惠或以总价百分比优惠的方式进行竞标报价的；</w:t>
      </w:r>
    </w:p>
    <w:p>
      <w:pPr>
        <w:spacing w:line="380" w:lineRule="exact"/>
        <w:ind w:firstLine="420"/>
        <w:rPr>
          <w:rFonts w:ascii="宋体" w:hAnsi="宋体"/>
          <w:b/>
          <w:color w:val="auto"/>
          <w:szCs w:val="21"/>
          <w:highlight w:val="none"/>
        </w:rPr>
      </w:pPr>
      <w:r>
        <w:rPr>
          <w:rFonts w:hint="eastAsia" w:ascii="宋体" w:hAnsi="宋体"/>
          <w:b/>
          <w:color w:val="auto"/>
          <w:szCs w:val="21"/>
          <w:highlight w:val="none"/>
        </w:rPr>
        <w:t>21.2.13竞标人拟投入本工程的项目经理在在建项目中任项目经理的；</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14竞标人未提供安全防护、文明施工措施方案的承诺书的；</w:t>
      </w:r>
    </w:p>
    <w:p>
      <w:pPr>
        <w:spacing w:line="380" w:lineRule="exact"/>
        <w:ind w:firstLine="450"/>
        <w:rPr>
          <w:rFonts w:ascii="宋体" w:hAnsi="宋体"/>
          <w:b/>
          <w:color w:val="auto"/>
          <w:szCs w:val="21"/>
          <w:highlight w:val="none"/>
        </w:rPr>
      </w:pPr>
      <w:r>
        <w:rPr>
          <w:rFonts w:hint="eastAsia" w:ascii="宋体" w:hAnsi="宋体"/>
          <w:b/>
          <w:color w:val="auto"/>
          <w:szCs w:val="21"/>
          <w:highlight w:val="none"/>
        </w:rPr>
        <w:t>21.2.15不同竞标人的竞标文件由同一单位或者个人编制的；不同竞标人委托同一单位或者个人办理竞标事宜的；不同竞标人的竞标文件载明的项目管理成员为同一人的；不同竞标人的竞标文件异常一致或者竞标报价呈规律性差异的；不同竞标人的竞标文件相互混装的；不同竞标人的竞标保证金从同一单位或者个人的账户转出的。</w:t>
      </w:r>
    </w:p>
    <w:p>
      <w:pPr>
        <w:pStyle w:val="5"/>
        <w:rPr>
          <w:rFonts w:hint="default"/>
          <w:color w:val="auto"/>
          <w:highlight w:val="none"/>
        </w:rPr>
      </w:pPr>
      <w:bookmarkStart w:id="139" w:name="_Toc7502"/>
      <w:r>
        <w:rPr>
          <w:color w:val="auto"/>
          <w:highlight w:val="none"/>
        </w:rPr>
        <w:t>20.竞标人资格审查</w:t>
      </w:r>
      <w:bookmarkEnd w:id="137"/>
      <w:bookmarkEnd w:id="138"/>
      <w:bookmarkEnd w:id="139"/>
    </w:p>
    <w:p>
      <w:pPr>
        <w:spacing w:line="380" w:lineRule="exact"/>
        <w:ind w:firstLine="457" w:firstLineChars="218"/>
        <w:rPr>
          <w:rFonts w:ascii="宋体" w:hAnsi="宋体"/>
          <w:color w:val="auto"/>
          <w:szCs w:val="21"/>
          <w:highlight w:val="none"/>
        </w:rPr>
      </w:pPr>
      <w:r>
        <w:rPr>
          <w:rFonts w:hint="eastAsia" w:ascii="宋体" w:hAnsi="宋体"/>
          <w:color w:val="auto"/>
          <w:szCs w:val="21"/>
          <w:highlight w:val="none"/>
        </w:rPr>
        <w:t>本工程采用资格后审，只有通过资格审查才能进入详评。所要提供的材料见本须知9.2条内容，资格审查资料有任何一项不合格者其资格审查视为不通过。</w:t>
      </w:r>
    </w:p>
    <w:p>
      <w:pPr>
        <w:pStyle w:val="5"/>
        <w:rPr>
          <w:rFonts w:hint="default"/>
          <w:color w:val="auto"/>
          <w:highlight w:val="none"/>
        </w:rPr>
      </w:pPr>
      <w:bookmarkStart w:id="140" w:name="_Toc239659114"/>
      <w:bookmarkStart w:id="141" w:name="_Toc18875"/>
      <w:bookmarkStart w:id="142" w:name="_Toc6672"/>
      <w:r>
        <w:rPr>
          <w:color w:val="auto"/>
          <w:highlight w:val="none"/>
        </w:rPr>
        <w:t>22.</w:t>
      </w:r>
      <w:bookmarkEnd w:id="140"/>
      <w:r>
        <w:rPr>
          <w:color w:val="auto"/>
          <w:highlight w:val="none"/>
        </w:rPr>
        <w:t>评标</w:t>
      </w:r>
      <w:bookmarkEnd w:id="141"/>
      <w:bookmarkEnd w:id="142"/>
    </w:p>
    <w:p>
      <w:pPr>
        <w:spacing w:line="380" w:lineRule="exact"/>
        <w:ind w:firstLine="420" w:firstLineChars="200"/>
        <w:rPr>
          <w:rFonts w:ascii="宋体" w:hAnsi="宋体"/>
          <w:bCs/>
          <w:color w:val="auto"/>
          <w:highlight w:val="none"/>
        </w:rPr>
      </w:pPr>
      <w:r>
        <w:rPr>
          <w:rFonts w:hint="eastAsia" w:ascii="宋体" w:hAnsi="宋体"/>
          <w:bCs/>
          <w:color w:val="auto"/>
          <w:highlight w:val="none"/>
        </w:rPr>
        <w:t>22.1 谈判小组依据广西财政厅相关政策</w:t>
      </w:r>
      <w:r>
        <w:rPr>
          <w:rFonts w:hint="eastAsia" w:ascii="宋体" w:hAnsi="宋体" w:cs="宋体"/>
          <w:bCs/>
          <w:color w:val="auto"/>
          <w:szCs w:val="21"/>
          <w:highlight w:val="none"/>
        </w:rPr>
        <w:t>从政府采购云平台专家库中随机抽取</w:t>
      </w:r>
      <w:r>
        <w:rPr>
          <w:rFonts w:hint="eastAsia" w:ascii="宋体" w:hAnsi="宋体"/>
          <w:bCs/>
          <w:color w:val="auto"/>
          <w:highlight w:val="none"/>
        </w:rPr>
        <w:t>。评标由采购人依法组建的谈判小组负责。谈判小组由采购人代表及有关技术、经济等方面的专家组成，其中</w:t>
      </w:r>
      <w:r>
        <w:rPr>
          <w:rFonts w:hint="eastAsia" w:hAnsi="宋体"/>
          <w:color w:val="auto"/>
          <w:highlight w:val="none"/>
        </w:rPr>
        <w:t>专家的人数不得少于成员总数的三分之二。</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22.2 谈判原则。谈判活动遵循公平、公正、科学和择优的原则。</w:t>
      </w:r>
    </w:p>
    <w:p>
      <w:pPr>
        <w:spacing w:line="380" w:lineRule="exact"/>
        <w:ind w:firstLine="420" w:firstLineChars="200"/>
        <w:rPr>
          <w:rFonts w:ascii="宋体" w:hAnsi="宋体"/>
          <w:color w:val="auto"/>
          <w:szCs w:val="21"/>
          <w:highlight w:val="none"/>
        </w:rPr>
      </w:pPr>
      <w:r>
        <w:rPr>
          <w:rFonts w:hint="eastAsia" w:ascii="宋体" w:hAnsi="宋体"/>
          <w:bCs/>
          <w:color w:val="auto"/>
          <w:highlight w:val="none"/>
        </w:rPr>
        <w:t>22.3 评标方法。谈判小组按照第八章“评标办法”规定的方法、评审因素、标准和程序对竞标文件进行评审。第八章“评标办法”没有规定的方法、评审因素和标准，不作为谈判依据。</w:t>
      </w:r>
    </w:p>
    <w:p>
      <w:pPr>
        <w:pStyle w:val="5"/>
        <w:rPr>
          <w:rFonts w:hint="default"/>
          <w:color w:val="auto"/>
          <w:highlight w:val="none"/>
        </w:rPr>
      </w:pPr>
      <w:bookmarkStart w:id="143" w:name="_Toc30049"/>
      <w:bookmarkStart w:id="144" w:name="_Toc17795"/>
      <w:bookmarkStart w:id="145" w:name="_Toc239659115"/>
      <w:r>
        <w:rPr>
          <w:color w:val="auto"/>
          <w:highlight w:val="none"/>
        </w:rPr>
        <w:t>23.成交公告</w:t>
      </w:r>
      <w:bookmarkEnd w:id="143"/>
      <w:bookmarkEnd w:id="144"/>
      <w:bookmarkEnd w:id="145"/>
    </w:p>
    <w:p>
      <w:pPr>
        <w:pStyle w:val="17"/>
        <w:spacing w:line="380" w:lineRule="exact"/>
        <w:ind w:firstLine="371" w:firstLineChars="177"/>
        <w:rPr>
          <w:rFonts w:hAnsi="宋体"/>
          <w:color w:val="auto"/>
          <w:szCs w:val="21"/>
          <w:highlight w:val="none"/>
        </w:rPr>
      </w:pPr>
      <w:r>
        <w:rPr>
          <w:rFonts w:hAnsi="宋体"/>
          <w:color w:val="auto"/>
          <w:szCs w:val="21"/>
          <w:highlight w:val="none"/>
        </w:rPr>
        <w:t>2</w:t>
      </w:r>
      <w:r>
        <w:rPr>
          <w:rFonts w:hint="eastAsia" w:hAnsi="宋体"/>
          <w:color w:val="auto"/>
          <w:szCs w:val="21"/>
          <w:highlight w:val="none"/>
        </w:rPr>
        <w:t>3</w:t>
      </w:r>
      <w:r>
        <w:rPr>
          <w:rFonts w:hAnsi="宋体"/>
          <w:color w:val="auto"/>
          <w:szCs w:val="21"/>
          <w:highlight w:val="none"/>
        </w:rPr>
        <w:t>.1 成交单位确定后，</w:t>
      </w:r>
      <w:r>
        <w:rPr>
          <w:rFonts w:hint="eastAsia" w:hAnsi="宋体"/>
          <w:color w:val="auto"/>
          <w:szCs w:val="21"/>
          <w:highlight w:val="none"/>
          <w:lang w:eastAsia="zh-CN"/>
        </w:rPr>
        <w:t>广西壮锦工程管理咨询有限公司</w:t>
      </w:r>
      <w:r>
        <w:rPr>
          <w:rFonts w:hAnsi="宋体"/>
          <w:color w:val="auto"/>
          <w:szCs w:val="21"/>
          <w:highlight w:val="none"/>
        </w:rPr>
        <w:t>在</w:t>
      </w:r>
      <w:r>
        <w:rPr>
          <w:rFonts w:hint="eastAsia" w:hAnsi="宋体"/>
          <w:color w:val="auto"/>
          <w:szCs w:val="21"/>
          <w:highlight w:val="none"/>
        </w:rPr>
        <w:t>中国政府采购网、</w:t>
      </w:r>
      <w:r>
        <w:rPr>
          <w:rFonts w:hint="eastAsia"/>
          <w:color w:val="auto"/>
          <w:szCs w:val="21"/>
          <w:highlight w:val="none"/>
        </w:rPr>
        <w:t>广西壮族自治区政府采购网</w:t>
      </w:r>
      <w:r>
        <w:rPr>
          <w:rFonts w:hint="eastAsia" w:hAnsi="宋体"/>
          <w:color w:val="auto"/>
          <w:szCs w:val="21"/>
          <w:highlight w:val="none"/>
        </w:rPr>
        <w:t>上</w:t>
      </w:r>
      <w:r>
        <w:rPr>
          <w:rFonts w:hAnsi="宋体"/>
          <w:color w:val="auto"/>
          <w:szCs w:val="21"/>
          <w:highlight w:val="none"/>
        </w:rPr>
        <w:t>发布成交公告。</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23.2 竞标人认为采购过程和成交结果使自己的权益受到损害的，成交公告发出之日</w:t>
      </w:r>
      <w:r>
        <w:rPr>
          <w:rFonts w:hint="eastAsia" w:ascii="宋体" w:hAnsi="宋体"/>
          <w:color w:val="auto"/>
          <w:szCs w:val="21"/>
          <w:highlight w:val="none"/>
          <w:lang w:eastAsia="zh-CN"/>
        </w:rPr>
        <w:t>起</w:t>
      </w:r>
      <w:r>
        <w:rPr>
          <w:rFonts w:hint="eastAsia" w:ascii="宋体" w:hAnsi="宋体"/>
          <w:color w:val="auto"/>
          <w:szCs w:val="21"/>
          <w:highlight w:val="none"/>
        </w:rPr>
        <w:t>七个工作日内以书面形式向采购代理机构提出质疑；</w:t>
      </w:r>
      <w:r>
        <w:rPr>
          <w:rFonts w:hint="eastAsia" w:ascii="宋体" w:hAnsi="宋体"/>
          <w:color w:val="auto"/>
          <w:highlight w:val="none"/>
        </w:rPr>
        <w:t>采购代理机构应当就采购人委托范围内的事项在收到竞标人的书面质疑后七个工作日内做出答复，但答复的内容不得涉及商业秘密。</w:t>
      </w:r>
    </w:p>
    <w:p>
      <w:pPr>
        <w:spacing w:line="380" w:lineRule="exact"/>
        <w:ind w:firstLine="420" w:firstLineChars="200"/>
        <w:rPr>
          <w:rFonts w:ascii="宋体" w:hAnsi="宋体"/>
          <w:color w:val="auto"/>
          <w:szCs w:val="21"/>
          <w:highlight w:val="none"/>
        </w:rPr>
      </w:pPr>
      <w:r>
        <w:rPr>
          <w:rFonts w:hint="eastAsia" w:ascii="宋体" w:hAnsi="宋体"/>
          <w:color w:val="auto"/>
          <w:highlight w:val="none"/>
        </w:rPr>
        <w:t>23.3 质疑竞标人必须首先经过质疑程序，在对</w:t>
      </w:r>
      <w:r>
        <w:rPr>
          <w:rFonts w:hint="eastAsia" w:hAnsi="宋体"/>
          <w:color w:val="auto"/>
          <w:szCs w:val="21"/>
          <w:highlight w:val="none"/>
          <w:lang w:eastAsia="zh-CN"/>
        </w:rPr>
        <w:t>广西壮锦工程管理咨询有限公司</w:t>
      </w:r>
      <w:r>
        <w:rPr>
          <w:rFonts w:hint="eastAsia" w:hAnsi="宋体"/>
          <w:color w:val="auto"/>
          <w:szCs w:val="21"/>
          <w:highlight w:val="none"/>
        </w:rPr>
        <w:t>的答复不满意或者</w:t>
      </w:r>
      <w:r>
        <w:rPr>
          <w:rFonts w:hint="eastAsia" w:hAnsi="宋体"/>
          <w:color w:val="auto"/>
          <w:szCs w:val="21"/>
          <w:highlight w:val="none"/>
          <w:lang w:eastAsia="zh-CN"/>
        </w:rPr>
        <w:t>广西壮锦工程管理咨询有限公司</w:t>
      </w:r>
      <w:r>
        <w:rPr>
          <w:rFonts w:hint="eastAsia" w:hAnsi="宋体"/>
          <w:color w:val="auto"/>
          <w:szCs w:val="21"/>
          <w:highlight w:val="none"/>
        </w:rPr>
        <w:t>未在规定时间内做出答复的，可以在答复期满后十五个工作日内书面向有关政府采购监督管理部门投诉。</w:t>
      </w:r>
    </w:p>
    <w:p>
      <w:pPr>
        <w:pStyle w:val="5"/>
        <w:rPr>
          <w:rFonts w:hint="default"/>
          <w:color w:val="auto"/>
          <w:highlight w:val="none"/>
        </w:rPr>
      </w:pPr>
      <w:bookmarkStart w:id="146" w:name="_Toc31988"/>
      <w:bookmarkStart w:id="147" w:name="_Toc5808"/>
      <w:bookmarkStart w:id="148" w:name="_Toc239659116"/>
      <w:r>
        <w:rPr>
          <w:color w:val="auto"/>
          <w:highlight w:val="none"/>
        </w:rPr>
        <w:t>24.成交通知书</w:t>
      </w:r>
      <w:bookmarkEnd w:id="146"/>
      <w:bookmarkEnd w:id="147"/>
      <w:bookmarkEnd w:id="148"/>
    </w:p>
    <w:p>
      <w:pPr>
        <w:spacing w:line="380" w:lineRule="exact"/>
        <w:ind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.1 在发布成交公告的同时，向成交单位发出书面成交通知书。</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.2 成交通知书注明成交</w:t>
      </w:r>
      <w:r>
        <w:rPr>
          <w:rFonts w:hint="eastAsia" w:ascii="宋体" w:hAnsi="宋体"/>
          <w:color w:val="auto"/>
          <w:szCs w:val="21"/>
          <w:highlight w:val="none"/>
        </w:rPr>
        <w:t>人</w:t>
      </w:r>
      <w:r>
        <w:rPr>
          <w:rFonts w:ascii="宋体" w:hAnsi="宋体"/>
          <w:color w:val="auto"/>
          <w:szCs w:val="21"/>
          <w:highlight w:val="none"/>
        </w:rPr>
        <w:t>、成交金额等。</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.3 成交通知书为合同的组成部分。</w:t>
      </w:r>
    </w:p>
    <w:p>
      <w:pPr>
        <w:pStyle w:val="5"/>
        <w:rPr>
          <w:rFonts w:hint="default"/>
          <w:color w:val="auto"/>
          <w:highlight w:val="none"/>
        </w:rPr>
      </w:pPr>
      <w:bookmarkStart w:id="149" w:name="_Toc239659117"/>
      <w:bookmarkStart w:id="150" w:name="_Toc16008"/>
      <w:bookmarkStart w:id="151" w:name="_Toc24788"/>
      <w:r>
        <w:rPr>
          <w:color w:val="auto"/>
          <w:highlight w:val="none"/>
        </w:rPr>
        <w:t>25.合同签订</w:t>
      </w:r>
      <w:bookmarkEnd w:id="149"/>
      <w:bookmarkEnd w:id="150"/>
      <w:bookmarkEnd w:id="151"/>
    </w:p>
    <w:p>
      <w:pPr>
        <w:spacing w:line="380" w:lineRule="exact"/>
        <w:ind w:firstLine="363" w:firstLineChars="173"/>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.1 成交单位应按约定的时间，由法定代表人或授权代表与</w:t>
      </w:r>
      <w:r>
        <w:rPr>
          <w:rFonts w:hint="eastAsia" w:ascii="宋体" w:hAnsi="宋体"/>
          <w:color w:val="auto"/>
          <w:szCs w:val="21"/>
          <w:highlight w:val="none"/>
        </w:rPr>
        <w:t>采购人</w:t>
      </w:r>
      <w:r>
        <w:rPr>
          <w:rFonts w:ascii="宋体" w:hAnsi="宋体"/>
          <w:color w:val="auto"/>
          <w:szCs w:val="21"/>
          <w:highlight w:val="none"/>
        </w:rPr>
        <w:t>代表签订合同。</w:t>
      </w:r>
      <w:r>
        <w:rPr>
          <w:rFonts w:hint="eastAsia" w:ascii="宋体" w:hAnsi="宋体"/>
          <w:color w:val="auto"/>
          <w:szCs w:val="21"/>
          <w:highlight w:val="none"/>
        </w:rPr>
        <w:t>如成交人不按规定签订合同，则采购人可以与排名在成交人之后的成交候选人依次递补签订合同或重新组织采购。</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2 合同签订必须按</w:t>
      </w:r>
      <w:r>
        <w:rPr>
          <w:rFonts w:ascii="宋体" w:hAnsi="宋体"/>
          <w:color w:val="auto"/>
          <w:highlight w:val="none"/>
        </w:rPr>
        <w:t>《中华人民共和国政府采购法》</w:t>
      </w:r>
      <w:r>
        <w:rPr>
          <w:rFonts w:hint="eastAsia" w:ascii="宋体" w:hAnsi="宋体"/>
          <w:color w:val="auto"/>
          <w:szCs w:val="21"/>
          <w:highlight w:val="none"/>
        </w:rPr>
        <w:t>和《中华人民共和国合同法》，否则由此造成的后果由采购人负责。</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25.3财政部门根据已备案的政府采购合同办理合同款项的支付，对未正式备案的政府采购合同，将不予办理合同价款的支付。</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25.4</w:t>
      </w:r>
      <w:r>
        <w:rPr>
          <w:rFonts w:ascii="宋体" w:hAnsi="宋体"/>
          <w:color w:val="auto"/>
          <w:szCs w:val="21"/>
          <w:highlight w:val="none"/>
        </w:rPr>
        <w:t>如果竞标人不按本须知第2</w:t>
      </w:r>
      <w:r>
        <w:rPr>
          <w:rFonts w:hint="eastAsia" w:ascii="宋体" w:hAnsi="宋体"/>
          <w:color w:val="auto"/>
          <w:szCs w:val="21"/>
          <w:highlight w:val="none"/>
        </w:rPr>
        <w:t>5</w:t>
      </w:r>
      <w:r>
        <w:rPr>
          <w:rFonts w:ascii="宋体" w:hAnsi="宋体"/>
          <w:color w:val="auto"/>
          <w:szCs w:val="21"/>
          <w:highlight w:val="none"/>
        </w:rPr>
        <w:t>.1条的规定执行，</w:t>
      </w:r>
      <w:r>
        <w:rPr>
          <w:rFonts w:hint="eastAsia" w:ascii="宋体" w:hAnsi="宋体"/>
          <w:color w:val="auto"/>
          <w:szCs w:val="21"/>
          <w:highlight w:val="none"/>
        </w:rPr>
        <w:t>采购</w:t>
      </w:r>
      <w:r>
        <w:rPr>
          <w:rFonts w:ascii="宋体" w:hAnsi="宋体"/>
          <w:color w:val="auto"/>
          <w:szCs w:val="21"/>
          <w:highlight w:val="none"/>
        </w:rPr>
        <w:t>人将有充分的理由废除授标，并没收其竞标保证金。</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 xml:space="preserve"> 如竞标人成交后不按时、足额将农民工工资保障金存入有关部门指定的</w:t>
      </w:r>
      <w:r>
        <w:rPr>
          <w:rFonts w:hint="eastAsia" w:ascii="宋体" w:hAnsi="宋体"/>
          <w:color w:val="auto"/>
          <w:szCs w:val="21"/>
          <w:highlight w:val="none"/>
        </w:rPr>
        <w:t>账</w:t>
      </w:r>
      <w:r>
        <w:rPr>
          <w:rFonts w:ascii="宋体" w:hAnsi="宋体"/>
          <w:color w:val="auto"/>
          <w:szCs w:val="21"/>
          <w:highlight w:val="none"/>
        </w:rPr>
        <w:t>户的，</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lang w:eastAsia="zh-CN"/>
        </w:rPr>
        <w:t>有权</w:t>
      </w:r>
      <w:r>
        <w:rPr>
          <w:rFonts w:ascii="宋体" w:hAnsi="宋体"/>
          <w:color w:val="auto"/>
          <w:szCs w:val="21"/>
          <w:highlight w:val="none"/>
        </w:rPr>
        <w:t>取消其成交资格。</w:t>
      </w:r>
    </w:p>
    <w:p>
      <w:pPr>
        <w:pStyle w:val="5"/>
        <w:rPr>
          <w:b/>
          <w:color w:val="auto"/>
          <w:highlight w:val="none"/>
        </w:rPr>
      </w:pPr>
      <w:bookmarkStart w:id="152" w:name="_Toc239659118"/>
      <w:bookmarkStart w:id="153" w:name="_Toc31251"/>
      <w:bookmarkStart w:id="154" w:name="_Toc12253"/>
      <w:r>
        <w:rPr>
          <w:color w:val="auto"/>
          <w:szCs w:val="21"/>
          <w:highlight w:val="none"/>
        </w:rPr>
        <w:t>26</w:t>
      </w:r>
      <w:bookmarkEnd w:id="152"/>
      <w:r>
        <w:rPr>
          <w:color w:val="auto"/>
          <w:szCs w:val="21"/>
          <w:highlight w:val="none"/>
        </w:rPr>
        <w:t>.</w:t>
      </w:r>
      <w:r>
        <w:rPr>
          <w:b/>
          <w:color w:val="auto"/>
          <w:highlight w:val="none"/>
        </w:rPr>
        <w:t>履约保证金</w:t>
      </w:r>
      <w:bookmarkEnd w:id="153"/>
      <w:bookmarkEnd w:id="154"/>
    </w:p>
    <w:p>
      <w:pPr>
        <w:ind w:firstLine="420" w:firstLineChars="200"/>
        <w:rPr>
          <w:rFonts w:hint="eastAsia" w:eastAsia="宋体"/>
          <w:b w:val="0"/>
          <w:bCs/>
          <w:color w:val="auto"/>
          <w:highlight w:val="none"/>
          <w:lang w:eastAsia="zh-CN"/>
        </w:rPr>
      </w:pPr>
      <w:r>
        <w:rPr>
          <w:rFonts w:hint="eastAsia"/>
          <w:b w:val="0"/>
          <w:bCs/>
          <w:color w:val="auto"/>
          <w:highlight w:val="none"/>
          <w:lang w:eastAsia="zh-CN"/>
        </w:rPr>
        <w:t>无</w:t>
      </w:r>
    </w:p>
    <w:p>
      <w:pPr>
        <w:pStyle w:val="5"/>
        <w:rPr>
          <w:rFonts w:hint="default" w:ascii="宋体"/>
          <w:b/>
          <w:color w:val="auto"/>
          <w:highlight w:val="none"/>
        </w:rPr>
      </w:pPr>
      <w:bookmarkStart w:id="155" w:name="_Toc21369"/>
      <w:bookmarkStart w:id="156" w:name="_Toc24238"/>
      <w:r>
        <w:rPr>
          <w:color w:val="auto"/>
          <w:highlight w:val="none"/>
        </w:rPr>
        <w:t>27.废标</w:t>
      </w:r>
      <w:bookmarkEnd w:id="155"/>
      <w:bookmarkEnd w:id="156"/>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27.1 有下列情形之一的，应予以废标：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⑴竞标截止时间止，竞标人不足三家的；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⑵符合专业条件的供应商或者对竞争性谈判文件作实质响应的供应商不足三家的；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⑶出现影响采购公正的违法、违规行为的；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⑷竞标人的报价均超过了工程控制价，采购人不能支付的；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⑸因重大变故，采购任务取消的。</w:t>
      </w:r>
    </w:p>
    <w:p>
      <w:pPr>
        <w:pStyle w:val="5"/>
        <w:rPr>
          <w:rFonts w:hint="default" w:ascii="宋体"/>
          <w:b/>
          <w:color w:val="auto"/>
          <w:szCs w:val="21"/>
          <w:highlight w:val="none"/>
        </w:rPr>
      </w:pPr>
      <w:bookmarkStart w:id="157" w:name="_Toc29808"/>
      <w:bookmarkStart w:id="158" w:name="_Toc6617"/>
      <w:r>
        <w:rPr>
          <w:color w:val="auto"/>
          <w:highlight w:val="none"/>
        </w:rPr>
        <w:t>28.投诉</w:t>
      </w:r>
      <w:bookmarkEnd w:id="157"/>
      <w:bookmarkEnd w:id="158"/>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28.1 竞标人必须首先经过质疑程序，在对采购代理机构的答复不满意或者采购代理机构未在规定时间内做出答复，可以在答复期满十五个工作日内以书面向</w:t>
      </w:r>
      <w:r>
        <w:rPr>
          <w:rFonts w:hint="eastAsia" w:ascii="宋体" w:hAnsi="宋体"/>
          <w:color w:val="auto"/>
          <w:szCs w:val="21"/>
          <w:highlight w:val="none"/>
          <w:lang w:eastAsia="zh-CN"/>
        </w:rPr>
        <w:t>百色市田阳区政府采购服务中心</w:t>
      </w:r>
      <w:r>
        <w:rPr>
          <w:rFonts w:hint="eastAsia" w:ascii="宋体" w:hAnsi="宋体"/>
          <w:color w:val="auto"/>
          <w:szCs w:val="21"/>
          <w:highlight w:val="none"/>
        </w:rPr>
        <w:t>投诉。</w:t>
      </w:r>
    </w:p>
    <w:p>
      <w:pPr>
        <w:pStyle w:val="5"/>
        <w:rPr>
          <w:rFonts w:hint="default" w:ascii="宋体"/>
          <w:b/>
          <w:color w:val="auto"/>
          <w:szCs w:val="21"/>
          <w:highlight w:val="none"/>
        </w:rPr>
      </w:pPr>
      <w:bookmarkStart w:id="159" w:name="_Toc24916"/>
      <w:bookmarkStart w:id="160" w:name="_Toc29782"/>
      <w:r>
        <w:rPr>
          <w:color w:val="auto"/>
          <w:highlight w:val="none"/>
        </w:rPr>
        <w:t>29.质疑及投诉的书面要求</w:t>
      </w:r>
      <w:bookmarkEnd w:id="159"/>
      <w:bookmarkEnd w:id="160"/>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29.1 质疑人或投诉人提供的书面材料（如材料中有外文资料应同时附上中文译本）应当包括以下材料：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⑴质疑人或投诉人的单位名称或姓名、详细地址、邮政编码、联系电话等；</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⑵被质疑人或被投诉人的单位名称或姓名；</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⑶质疑或投诉的事实及理由；</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⑷有关违纪违规的情况和有效证明材料；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⑸质疑人或投诉人的签章及质疑或投诉时间。</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如不按以上规定质疑或投诉的，视为无效投诉或质疑，不予受理。</w:t>
      </w:r>
    </w:p>
    <w:p>
      <w:pPr>
        <w:pStyle w:val="5"/>
        <w:rPr>
          <w:rFonts w:hint="default"/>
          <w:color w:val="auto"/>
          <w:highlight w:val="none"/>
        </w:rPr>
      </w:pPr>
      <w:bookmarkStart w:id="161" w:name="_Toc17440"/>
      <w:r>
        <w:rPr>
          <w:color w:val="auto"/>
          <w:highlight w:val="none"/>
        </w:rPr>
        <w:t>30.解释权</w:t>
      </w:r>
      <w:bookmarkEnd w:id="161"/>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本竞争性谈判文件是根据《中华人民共和国政府采购法》及相关法律法规编制，解释权属</w:t>
      </w:r>
      <w:r>
        <w:rPr>
          <w:rFonts w:hint="eastAsia" w:ascii="宋体" w:hAnsi="宋体"/>
          <w:color w:val="auto"/>
          <w:szCs w:val="21"/>
          <w:highlight w:val="none"/>
          <w:lang w:eastAsia="zh-CN"/>
        </w:rPr>
        <w:t>广西壮锦工程管理咨询有限公司</w:t>
      </w:r>
      <w:r>
        <w:rPr>
          <w:rFonts w:hint="eastAsia" w:ascii="宋体" w:hAnsi="宋体"/>
          <w:color w:val="auto"/>
          <w:szCs w:val="21"/>
          <w:highlight w:val="none"/>
        </w:rPr>
        <w:t>。</w:t>
      </w: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7"/>
        <w:adjustRightInd w:val="0"/>
        <w:snapToGrid w:val="0"/>
        <w:spacing w:line="480" w:lineRule="exact"/>
        <w:jc w:val="center"/>
        <w:outlineLvl w:val="0"/>
        <w:rPr>
          <w:rFonts w:hAnsi="宋体"/>
          <w:b/>
          <w:bCs/>
          <w:color w:val="auto"/>
          <w:sz w:val="30"/>
          <w:highlight w:val="none"/>
        </w:rPr>
      </w:pPr>
      <w:bookmarkStart w:id="162" w:name="_Toc4660"/>
      <w:bookmarkStart w:id="163" w:name="_Toc17268"/>
      <w:bookmarkStart w:id="164" w:name="_Toc68547805"/>
      <w:bookmarkStart w:id="165" w:name="_Toc68452841"/>
      <w:bookmarkStart w:id="166" w:name="_Toc239659123"/>
      <w:bookmarkStart w:id="167" w:name="_Toc101237568"/>
      <w:r>
        <w:rPr>
          <w:rFonts w:hint="eastAsia" w:hAnsi="宋体"/>
          <w:b/>
          <w:bCs/>
          <w:color w:val="auto"/>
          <w:sz w:val="30"/>
          <w:highlight w:val="none"/>
        </w:rPr>
        <w:t>第</w:t>
      </w:r>
      <w:r>
        <w:rPr>
          <w:rFonts w:hint="eastAsia" w:hAnsi="宋体"/>
          <w:b/>
          <w:bCs/>
          <w:color w:val="auto"/>
          <w:sz w:val="30"/>
          <w:highlight w:val="none"/>
          <w:lang w:eastAsia="zh-CN"/>
        </w:rPr>
        <w:t>二</w:t>
      </w:r>
      <w:r>
        <w:rPr>
          <w:rFonts w:hint="eastAsia" w:hAnsi="宋体"/>
          <w:b/>
          <w:bCs/>
          <w:color w:val="auto"/>
          <w:sz w:val="30"/>
          <w:highlight w:val="none"/>
        </w:rPr>
        <w:t xml:space="preserve">章   </w:t>
      </w:r>
      <w:bookmarkEnd w:id="162"/>
      <w:r>
        <w:rPr>
          <w:rFonts w:hint="eastAsia" w:hAnsi="宋体"/>
          <w:b/>
          <w:bCs/>
          <w:color w:val="auto"/>
          <w:sz w:val="30"/>
          <w:highlight w:val="none"/>
        </w:rPr>
        <w:t>合同格式</w:t>
      </w:r>
      <w:bookmarkEnd w:id="163"/>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ind w:firstLine="241" w:firstLineChars="50"/>
        <w:jc w:val="center"/>
        <w:rPr>
          <w:rFonts w:hint="default" w:ascii="宋体" w:hAnsi="宋体" w:eastAsia="宋体"/>
          <w:b/>
          <w:color w:val="auto"/>
          <w:sz w:val="48"/>
          <w:szCs w:val="48"/>
          <w:highlight w:val="none"/>
          <w:lang w:val="en-US" w:eastAsia="zh-CN"/>
        </w:rPr>
      </w:pPr>
      <w:r>
        <w:rPr>
          <w:rFonts w:hint="eastAsia" w:ascii="宋体" w:hAnsi="宋体"/>
          <w:b/>
          <w:color w:val="auto"/>
          <w:sz w:val="48"/>
          <w:szCs w:val="48"/>
          <w:highlight w:val="none"/>
          <w:u w:val="single"/>
          <w:lang w:eastAsia="zh-CN"/>
        </w:rPr>
        <w:t>（项目名称）</w:t>
      </w:r>
    </w:p>
    <w:p>
      <w:pPr>
        <w:ind w:firstLine="630" w:firstLineChars="50"/>
        <w:rPr>
          <w:rFonts w:hint="eastAsia" w:ascii="宋体" w:hAnsi="宋体"/>
          <w:color w:val="auto"/>
          <w:sz w:val="126"/>
          <w:szCs w:val="44"/>
          <w:highlight w:val="none"/>
        </w:rPr>
      </w:pPr>
    </w:p>
    <w:p>
      <w:pPr>
        <w:pStyle w:val="2"/>
        <w:rPr>
          <w:rFonts w:hint="eastAsia"/>
          <w:color w:val="auto"/>
          <w:highlight w:val="none"/>
        </w:rPr>
      </w:pPr>
    </w:p>
    <w:p>
      <w:pPr>
        <w:ind w:firstLine="2100" w:firstLineChars="250"/>
        <w:rPr>
          <w:rFonts w:hint="eastAsia" w:ascii="宋体" w:hAnsi="宋体"/>
          <w:color w:val="auto"/>
          <w:sz w:val="84"/>
          <w:szCs w:val="84"/>
          <w:highlight w:val="none"/>
        </w:rPr>
      </w:pPr>
      <w:r>
        <w:rPr>
          <w:rFonts w:hint="eastAsia" w:ascii="宋体" w:hAnsi="宋体"/>
          <w:color w:val="auto"/>
          <w:sz w:val="84"/>
          <w:szCs w:val="84"/>
          <w:highlight w:val="none"/>
        </w:rPr>
        <w:t>施 工 合 同 书</w:t>
      </w: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项目编号: </w:t>
      </w:r>
    </w:p>
    <w:p>
      <w:pPr>
        <w:jc w:val="center"/>
        <w:rPr>
          <w:rFonts w:hint="eastAsia" w:ascii="宋体" w:hAnsi="宋体"/>
          <w:color w:val="auto"/>
          <w:sz w:val="30"/>
          <w:szCs w:val="30"/>
          <w:highlight w:val="none"/>
        </w:rPr>
      </w:pPr>
    </w:p>
    <w:p>
      <w:pPr>
        <w:rPr>
          <w:rFonts w:hint="eastAsia" w:ascii="宋体" w:hAnsi="宋体"/>
          <w:color w:val="auto"/>
          <w:sz w:val="30"/>
          <w:szCs w:val="30"/>
          <w:highlight w:val="none"/>
        </w:rPr>
      </w:pPr>
    </w:p>
    <w:p>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发包人：</w:t>
      </w:r>
      <w:r>
        <w:rPr>
          <w:rFonts w:hint="eastAsia" w:ascii="宋体" w:hAnsi="宋体"/>
          <w:color w:val="auto"/>
          <w:sz w:val="30"/>
          <w:szCs w:val="30"/>
          <w:highlight w:val="none"/>
          <w:lang w:eastAsia="zh-CN"/>
        </w:rPr>
        <w:t>百色市田阳区住房和城乡建设局</w:t>
      </w:r>
      <w:r>
        <w:rPr>
          <w:rFonts w:hint="eastAsia" w:ascii="宋体" w:hAnsi="宋体"/>
          <w:color w:val="auto"/>
          <w:sz w:val="30"/>
          <w:szCs w:val="30"/>
          <w:highlight w:val="none"/>
        </w:rPr>
        <w:t xml:space="preserve">             </w:t>
      </w:r>
    </w:p>
    <w:p>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承包人：</w:t>
      </w:r>
    </w:p>
    <w:p>
      <w:pPr>
        <w:pStyle w:val="2"/>
        <w:ind w:left="0" w:leftChars="0" w:firstLine="0" w:firstLineChars="0"/>
        <w:rPr>
          <w:rFonts w:hint="eastAsia" w:ascii="宋体" w:hAnsi="宋体"/>
          <w:color w:val="auto"/>
          <w:sz w:val="30"/>
          <w:szCs w:val="30"/>
          <w:highlight w:val="none"/>
        </w:rPr>
      </w:pPr>
    </w:p>
    <w:p>
      <w:pPr>
        <w:pStyle w:val="2"/>
        <w:rPr>
          <w:rFonts w:hint="eastAsia" w:ascii="宋体" w:hAnsi="宋体"/>
          <w:color w:val="auto"/>
          <w:sz w:val="30"/>
          <w:szCs w:val="30"/>
          <w:highlight w:val="none"/>
        </w:rPr>
      </w:pPr>
    </w:p>
    <w:p>
      <w:pPr>
        <w:ind w:firstLine="3900" w:firstLineChars="1300"/>
        <w:rPr>
          <w:color w:val="auto"/>
          <w:highlight w:val="none"/>
        </w:rPr>
      </w:pPr>
      <w:r>
        <w:rPr>
          <w:rFonts w:hint="eastAsia" w:ascii="宋体" w:hAnsi="宋体"/>
          <w:color w:val="auto"/>
          <w:sz w:val="30"/>
          <w:szCs w:val="30"/>
          <w:highlight w:val="none"/>
        </w:rPr>
        <w:t>年   月   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授权委托书</w:t>
      </w:r>
    </w:p>
    <w:p>
      <w:pPr>
        <w:spacing w:line="520" w:lineRule="exact"/>
        <w:jc w:val="center"/>
        <w:rPr>
          <w:rFonts w:hint="eastAsia" w:ascii="宋体" w:hAnsi="宋体"/>
          <w:color w:val="auto"/>
          <w:sz w:val="24"/>
          <w:highlight w:val="none"/>
        </w:rPr>
      </w:pPr>
    </w:p>
    <w:p>
      <w:pPr>
        <w:spacing w:line="520" w:lineRule="exact"/>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同志为</w:t>
      </w:r>
      <w:r>
        <w:rPr>
          <w:rFonts w:hint="eastAsia" w:ascii="宋体" w:hAnsi="宋体"/>
          <w:color w:val="auto"/>
          <w:sz w:val="24"/>
          <w:highlight w:val="none"/>
          <w:u w:val="single"/>
        </w:rPr>
        <w:t xml:space="preserve">       工程</w:t>
      </w:r>
      <w:r>
        <w:rPr>
          <w:rFonts w:hint="eastAsia" w:ascii="宋体" w:hAnsi="宋体"/>
          <w:color w:val="auto"/>
          <w:sz w:val="24"/>
          <w:highlight w:val="none"/>
        </w:rPr>
        <w:t>的负责人，以我方名义签订合同，执行本工程中的有关技术、工程进度、现场管理、质量检验、工程结算等方面的工作，由</w:t>
      </w:r>
      <w:r>
        <w:rPr>
          <w:rFonts w:hint="eastAsia" w:ascii="宋体" w:hAnsi="宋体"/>
          <w:color w:val="auto"/>
          <w:sz w:val="24"/>
          <w:highlight w:val="none"/>
          <w:u w:val="single"/>
        </w:rPr>
        <w:t xml:space="preserve">    </w:t>
      </w:r>
      <w:r>
        <w:rPr>
          <w:rFonts w:hint="eastAsia" w:ascii="宋体" w:hAnsi="宋体"/>
          <w:color w:val="auto"/>
          <w:sz w:val="24"/>
          <w:highlight w:val="none"/>
        </w:rPr>
        <w:t>同志代表本单位全面负责。</w:t>
      </w:r>
    </w:p>
    <w:p>
      <w:pPr>
        <w:spacing w:line="520" w:lineRule="exact"/>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20" w:lineRule="exact"/>
        <w:ind w:firstLine="480" w:firstLineChars="200"/>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20" w:lineRule="exact"/>
        <w:ind w:firstLine="3120" w:firstLineChars="1300"/>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20" w:lineRule="exact"/>
        <w:ind w:firstLine="3120" w:firstLineChars="13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20" w:lineRule="exact"/>
        <w:ind w:firstLine="3720" w:firstLineChars="155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ind w:left="0" w:leftChars="0" w:firstLine="0" w:firstLineChars="0"/>
        <w:rPr>
          <w:color w:val="auto"/>
          <w:highlight w:val="none"/>
        </w:rPr>
      </w:pPr>
    </w:p>
    <w:p>
      <w:pPr>
        <w:pStyle w:val="4"/>
        <w:rPr>
          <w:rFonts w:hAnsi="宋体"/>
          <w:color w:val="auto"/>
          <w:sz w:val="24"/>
          <w:szCs w:val="24"/>
          <w:highlight w:val="none"/>
        </w:rPr>
      </w:pPr>
      <w:bookmarkStart w:id="168" w:name="_Toc44953399"/>
      <w:bookmarkStart w:id="169" w:name="_Toc138995774"/>
      <w:bookmarkStart w:id="170" w:name="_Toc26594"/>
      <w:bookmarkStart w:id="171" w:name="_Toc5127"/>
      <w:bookmarkStart w:id="172" w:name="_Toc121749419"/>
      <w:bookmarkStart w:id="173" w:name="_Toc44953371"/>
      <w:bookmarkStart w:id="174" w:name="_Toc32342"/>
      <w:r>
        <w:rPr>
          <w:rFonts w:hint="eastAsia" w:ascii="宋体" w:hAnsi="宋体" w:eastAsia="宋体"/>
          <w:b/>
          <w:bCs w:val="0"/>
          <w:color w:val="auto"/>
          <w:highlight w:val="none"/>
        </w:rPr>
        <w:t>一　协议书（格式）</w:t>
      </w:r>
      <w:bookmarkEnd w:id="168"/>
      <w:bookmarkEnd w:id="169"/>
      <w:bookmarkEnd w:id="170"/>
      <w:bookmarkEnd w:id="171"/>
    </w:p>
    <w:p>
      <w:pPr>
        <w:pStyle w:val="17"/>
        <w:spacing w:line="360" w:lineRule="auto"/>
        <w:rPr>
          <w:rFonts w:hint="eastAsia" w:hAnsi="宋体"/>
          <w:color w:val="auto"/>
          <w:sz w:val="24"/>
          <w:szCs w:val="24"/>
          <w:highlight w:val="none"/>
          <w:u w:val="single"/>
        </w:rPr>
      </w:pPr>
      <w:r>
        <w:rPr>
          <w:rFonts w:hAnsi="宋体"/>
          <w:color w:val="auto"/>
          <w:sz w:val="24"/>
          <w:szCs w:val="24"/>
          <w:highlight w:val="none"/>
        </w:rPr>
        <w:t>发包人(全称)：</w:t>
      </w:r>
      <w:r>
        <w:rPr>
          <w:rFonts w:hint="eastAsia" w:hAnsi="宋体"/>
          <w:color w:val="auto"/>
          <w:sz w:val="24"/>
          <w:szCs w:val="24"/>
          <w:highlight w:val="none"/>
          <w:u w:val="single"/>
        </w:rPr>
        <w:t xml:space="preserve">                            </w:t>
      </w:r>
      <w:r>
        <w:rPr>
          <w:rFonts w:hint="eastAsia" w:hAnsi="宋体"/>
          <w:color w:val="auto"/>
          <w:sz w:val="24"/>
          <w:szCs w:val="24"/>
          <w:highlight w:val="none"/>
        </w:rPr>
        <w:t>(简称甲方)</w:t>
      </w:r>
    </w:p>
    <w:p>
      <w:pPr>
        <w:pStyle w:val="17"/>
        <w:spacing w:line="360" w:lineRule="auto"/>
        <w:rPr>
          <w:rFonts w:hint="eastAsia" w:hAnsi="宋体"/>
          <w:color w:val="auto"/>
          <w:sz w:val="24"/>
          <w:szCs w:val="24"/>
          <w:highlight w:val="none"/>
          <w:u w:val="single"/>
        </w:rPr>
      </w:pPr>
      <w:r>
        <w:rPr>
          <w:rFonts w:hAnsi="宋体"/>
          <w:color w:val="auto"/>
          <w:sz w:val="24"/>
          <w:szCs w:val="24"/>
          <w:highlight w:val="none"/>
        </w:rPr>
        <w:t>承包人(全称)：</w:t>
      </w:r>
      <w:r>
        <w:rPr>
          <w:rFonts w:hAnsi="宋体"/>
          <w:color w:val="auto"/>
          <w:sz w:val="24"/>
          <w:szCs w:val="24"/>
          <w:highlight w:val="none"/>
          <w:u w:val="single"/>
        </w:rPr>
        <w:t xml:space="preserve">                            </w:t>
      </w:r>
      <w:r>
        <w:rPr>
          <w:rFonts w:hint="eastAsia" w:hAnsi="宋体"/>
          <w:color w:val="auto"/>
          <w:sz w:val="24"/>
          <w:szCs w:val="24"/>
          <w:highlight w:val="none"/>
        </w:rPr>
        <w:t>(简称乙方)</w:t>
      </w:r>
    </w:p>
    <w:p>
      <w:pPr>
        <w:pStyle w:val="17"/>
        <w:spacing w:line="360" w:lineRule="auto"/>
        <w:ind w:firstLine="480" w:firstLineChars="200"/>
        <w:rPr>
          <w:rFonts w:hAnsi="宋体"/>
          <w:color w:val="auto"/>
          <w:sz w:val="24"/>
          <w:szCs w:val="24"/>
          <w:highlight w:val="none"/>
        </w:rPr>
      </w:pPr>
      <w:r>
        <w:rPr>
          <w:rFonts w:hAnsi="宋体"/>
          <w:color w:val="auto"/>
          <w:sz w:val="24"/>
          <w:szCs w:val="24"/>
          <w:highlight w:val="none"/>
        </w:rPr>
        <w:t>依照</w:t>
      </w:r>
      <w:r>
        <w:rPr>
          <w:rFonts w:hint="eastAsia" w:hAnsi="宋体"/>
          <w:color w:val="auto"/>
          <w:sz w:val="24"/>
          <w:szCs w:val="24"/>
          <w:highlight w:val="none"/>
        </w:rPr>
        <w:t>《中华人民共和国政府采购法》、</w:t>
      </w:r>
      <w:r>
        <w:rPr>
          <w:rFonts w:hAnsi="宋体"/>
          <w:color w:val="auto"/>
          <w:sz w:val="24"/>
          <w:szCs w:val="24"/>
          <w:highlight w:val="none"/>
        </w:rPr>
        <w:t>《中华人民共和国合同法》、《中华人民共和国</w:t>
      </w:r>
      <w:r>
        <w:rPr>
          <w:rFonts w:hint="eastAsia" w:hAnsi="宋体"/>
          <w:color w:val="auto"/>
          <w:sz w:val="24"/>
          <w:szCs w:val="24"/>
          <w:highlight w:val="none"/>
        </w:rPr>
        <w:t>市政公用</w:t>
      </w:r>
      <w:r>
        <w:rPr>
          <w:rFonts w:hAnsi="宋体"/>
          <w:color w:val="auto"/>
          <w:sz w:val="24"/>
          <w:szCs w:val="24"/>
          <w:highlight w:val="none"/>
        </w:rPr>
        <w:t>法》及其他有关法律、行政法规，遵循平等、自愿、公平和诚实信用的原则，双方就本建设工程施工事项协商一致，订立本合同。</w:t>
      </w:r>
    </w:p>
    <w:p>
      <w:pPr>
        <w:pStyle w:val="17"/>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一、工程概况</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工程名称：</w:t>
      </w:r>
      <w:r>
        <w:rPr>
          <w:rFonts w:hint="eastAsia" w:hAnsi="宋体"/>
          <w:color w:val="auto"/>
          <w:sz w:val="24"/>
          <w:szCs w:val="24"/>
          <w:highlight w:val="none"/>
          <w:u w:val="single"/>
        </w:rPr>
        <w:t xml:space="preserve">                        </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工程地点：</w:t>
      </w:r>
      <w:r>
        <w:rPr>
          <w:rFonts w:hint="eastAsia" w:hAnsi="宋体"/>
          <w:color w:val="auto"/>
          <w:sz w:val="24"/>
          <w:szCs w:val="24"/>
          <w:highlight w:val="none"/>
          <w:u w:val="single"/>
        </w:rPr>
        <w:t xml:space="preserve">                        </w:t>
      </w:r>
    </w:p>
    <w:p>
      <w:pPr>
        <w:pStyle w:val="17"/>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工程内容：</w:t>
      </w:r>
      <w:r>
        <w:rPr>
          <w:rFonts w:hint="eastAsia" w:hAnsi="宋体"/>
          <w:color w:val="auto"/>
          <w:sz w:val="24"/>
          <w:szCs w:val="24"/>
          <w:highlight w:val="none"/>
          <w:u w:val="single"/>
        </w:rPr>
        <w:t xml:space="preserve">                        </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二、工程承包范围</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承包范围：</w:t>
      </w:r>
      <w:r>
        <w:rPr>
          <w:rFonts w:hint="eastAsia" w:ascii="宋体" w:hAnsi="宋体"/>
          <w:color w:val="auto"/>
          <w:sz w:val="24"/>
          <w:highlight w:val="none"/>
          <w:u w:val="single"/>
        </w:rPr>
        <w:t>按该项目的施工图设计施工。</w:t>
      </w:r>
      <w:r>
        <w:rPr>
          <w:rFonts w:hint="eastAsia" w:ascii="宋体" w:hAnsi="宋体"/>
          <w:color w:val="auto"/>
          <w:sz w:val="24"/>
          <w:highlight w:val="none"/>
        </w:rPr>
        <w:t>（如增加项目，需另有施工图纸与预算书）</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三、合同工期</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lang w:eastAsia="zh-CN"/>
        </w:rPr>
        <w:t>计划</w:t>
      </w:r>
      <w:r>
        <w:rPr>
          <w:rFonts w:hAnsi="宋体"/>
          <w:color w:val="auto"/>
          <w:sz w:val="24"/>
          <w:szCs w:val="24"/>
          <w:highlight w:val="none"/>
        </w:rPr>
        <w:t>开工日期：</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日</w:t>
      </w:r>
    </w:p>
    <w:p>
      <w:pPr>
        <w:pStyle w:val="17"/>
        <w:spacing w:line="360" w:lineRule="auto"/>
        <w:ind w:firstLine="480" w:firstLineChars="200"/>
        <w:rPr>
          <w:rFonts w:hAnsi="宋体"/>
          <w:color w:val="auto"/>
          <w:sz w:val="24"/>
          <w:szCs w:val="24"/>
          <w:highlight w:val="none"/>
        </w:rPr>
      </w:pPr>
      <w:r>
        <w:rPr>
          <w:rFonts w:hint="eastAsia" w:hAnsi="宋体"/>
          <w:color w:val="auto"/>
          <w:sz w:val="24"/>
          <w:szCs w:val="24"/>
          <w:highlight w:val="none"/>
          <w:lang w:eastAsia="zh-CN"/>
        </w:rPr>
        <w:t>计划</w:t>
      </w:r>
      <w:r>
        <w:rPr>
          <w:rFonts w:hAnsi="宋体"/>
          <w:color w:val="auto"/>
          <w:sz w:val="24"/>
          <w:szCs w:val="24"/>
          <w:highlight w:val="none"/>
        </w:rPr>
        <w:t>竣工日期</w:t>
      </w:r>
      <w:r>
        <w:rPr>
          <w:rFonts w:hint="eastAsia" w:hAnsi="宋体"/>
          <w:color w:val="auto"/>
          <w:sz w:val="24"/>
          <w:szCs w:val="24"/>
          <w:highlight w:val="none"/>
        </w:rPr>
        <w:t>：</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日</w:t>
      </w:r>
    </w:p>
    <w:p>
      <w:pPr>
        <w:pStyle w:val="17"/>
        <w:spacing w:line="360" w:lineRule="auto"/>
        <w:ind w:firstLine="480" w:firstLineChars="200"/>
        <w:rPr>
          <w:rFonts w:hint="eastAsia" w:hAnsi="宋体"/>
          <w:color w:val="auto"/>
          <w:sz w:val="24"/>
          <w:szCs w:val="24"/>
          <w:highlight w:val="none"/>
        </w:rPr>
      </w:pPr>
      <w:r>
        <w:rPr>
          <w:rFonts w:hAnsi="宋体"/>
          <w:color w:val="auto"/>
          <w:sz w:val="24"/>
          <w:szCs w:val="24"/>
          <w:highlight w:val="none"/>
        </w:rPr>
        <w:t>合同工期总日历天数：</w:t>
      </w:r>
      <w:r>
        <w:rPr>
          <w:rFonts w:hint="eastAsia" w:hAnsi="宋体"/>
          <w:color w:val="auto"/>
          <w:sz w:val="24"/>
          <w:szCs w:val="24"/>
          <w:highlight w:val="none"/>
          <w:u w:val="single"/>
        </w:rPr>
        <w:t xml:space="preserve">        </w:t>
      </w:r>
      <w:r>
        <w:rPr>
          <w:rFonts w:hint="eastAsia" w:hAnsi="宋体"/>
          <w:color w:val="auto"/>
          <w:sz w:val="24"/>
          <w:szCs w:val="24"/>
          <w:highlight w:val="none"/>
        </w:rPr>
        <w:t>天。</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四、质量标准</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工程质量标准：</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合格  </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五、</w:t>
      </w:r>
      <w:r>
        <w:rPr>
          <w:rFonts w:hint="eastAsia" w:hAnsi="宋体"/>
          <w:b/>
          <w:color w:val="auto"/>
          <w:sz w:val="24"/>
          <w:szCs w:val="24"/>
          <w:highlight w:val="none"/>
          <w:lang w:eastAsia="zh-CN"/>
        </w:rPr>
        <w:t>签约</w:t>
      </w:r>
      <w:r>
        <w:rPr>
          <w:rFonts w:hAnsi="宋体"/>
          <w:b/>
          <w:color w:val="auto"/>
          <w:sz w:val="24"/>
          <w:szCs w:val="24"/>
          <w:highlight w:val="none"/>
        </w:rPr>
        <w:t>合同价款</w:t>
      </w:r>
    </w:p>
    <w:p>
      <w:pPr>
        <w:pStyle w:val="17"/>
        <w:spacing w:line="360" w:lineRule="auto"/>
        <w:ind w:firstLine="480" w:firstLineChars="200"/>
        <w:rPr>
          <w:rFonts w:hint="eastAsia" w:hAnsi="宋体"/>
          <w:color w:val="auto"/>
          <w:sz w:val="24"/>
          <w:szCs w:val="24"/>
          <w:highlight w:val="none"/>
        </w:rPr>
      </w:pPr>
      <w:r>
        <w:rPr>
          <w:rFonts w:hAnsi="宋体"/>
          <w:color w:val="auto"/>
          <w:sz w:val="24"/>
          <w:szCs w:val="24"/>
          <w:highlight w:val="none"/>
        </w:rPr>
        <w:t>金额(大写)：人民币</w:t>
      </w:r>
      <w:r>
        <w:rPr>
          <w:rFonts w:hAnsi="宋体"/>
          <w:color w:val="auto"/>
          <w:sz w:val="24"/>
          <w:szCs w:val="24"/>
          <w:highlight w:val="none"/>
          <w:u w:val="single"/>
        </w:rPr>
        <w:t xml:space="preserve">                                 </w:t>
      </w:r>
      <w:r>
        <w:rPr>
          <w:rFonts w:hAnsi="宋体"/>
          <w:color w:val="auto"/>
          <w:sz w:val="24"/>
          <w:szCs w:val="24"/>
          <w:highlight w:val="none"/>
        </w:rPr>
        <w:t>元(￥</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六、组成合同的文件</w:t>
      </w:r>
    </w:p>
    <w:p>
      <w:pPr>
        <w:pStyle w:val="17"/>
        <w:spacing w:line="360" w:lineRule="auto"/>
        <w:ind w:firstLine="480" w:firstLineChars="200"/>
        <w:rPr>
          <w:rFonts w:hAnsi="宋体"/>
          <w:color w:val="auto"/>
          <w:sz w:val="24"/>
          <w:szCs w:val="24"/>
          <w:highlight w:val="none"/>
        </w:rPr>
      </w:pPr>
      <w:r>
        <w:rPr>
          <w:rFonts w:hAnsi="宋体"/>
          <w:color w:val="auto"/>
          <w:sz w:val="24"/>
          <w:szCs w:val="24"/>
          <w:highlight w:val="none"/>
        </w:rPr>
        <w:t>组成本合同的文件包括：</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1、授权委托书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、本合同协议书</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w:t>
      </w:r>
      <w:r>
        <w:rPr>
          <w:rFonts w:ascii="宋体" w:hAnsi="宋体"/>
          <w:color w:val="auto"/>
          <w:sz w:val="24"/>
          <w:highlight w:val="none"/>
        </w:rPr>
        <w:t>本合同专用条款</w:t>
      </w:r>
      <w:r>
        <w:rPr>
          <w:rFonts w:hint="eastAsia" w:ascii="宋体" w:hAnsi="宋体"/>
          <w:color w:val="auto"/>
          <w:sz w:val="24"/>
          <w:highlight w:val="none"/>
          <w:lang w:eastAsia="zh-CN"/>
        </w:rPr>
        <w:t>、通用条款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5、工程质量保修书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6、安全生产协议书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7、廉政合同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双方有关工程的洽商、变更等书面协议或文件视为本合同的组成部分。</w:t>
      </w:r>
    </w:p>
    <w:p>
      <w:pPr>
        <w:pStyle w:val="17"/>
        <w:spacing w:line="360" w:lineRule="auto"/>
        <w:ind w:firstLine="482" w:firstLineChars="200"/>
        <w:rPr>
          <w:rFonts w:hint="eastAsia" w:hAnsi="宋体"/>
          <w:b/>
          <w:color w:val="auto"/>
          <w:sz w:val="24"/>
          <w:szCs w:val="24"/>
          <w:highlight w:val="none"/>
        </w:rPr>
      </w:pPr>
      <w:r>
        <w:rPr>
          <w:rFonts w:hAnsi="宋体"/>
          <w:b/>
          <w:color w:val="auto"/>
          <w:sz w:val="24"/>
          <w:szCs w:val="24"/>
          <w:highlight w:val="none"/>
        </w:rPr>
        <w:t>七、本协议书中有关词语含义</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本协议书中有关词语含义</w:t>
      </w:r>
      <w:r>
        <w:rPr>
          <w:rFonts w:hAnsi="宋体"/>
          <w:color w:val="auto"/>
          <w:sz w:val="24"/>
          <w:szCs w:val="24"/>
          <w:highlight w:val="none"/>
        </w:rPr>
        <w:t>与竞争性谈判文件第</w:t>
      </w:r>
      <w:r>
        <w:rPr>
          <w:rFonts w:hint="eastAsia" w:hAnsi="宋体"/>
          <w:color w:val="auto"/>
          <w:sz w:val="24"/>
          <w:szCs w:val="24"/>
          <w:highlight w:val="none"/>
        </w:rPr>
        <w:t>三</w:t>
      </w:r>
      <w:r>
        <w:rPr>
          <w:rFonts w:hAnsi="宋体"/>
          <w:color w:val="auto"/>
          <w:sz w:val="24"/>
          <w:szCs w:val="24"/>
          <w:highlight w:val="none"/>
        </w:rPr>
        <w:t>章(通用条款)中分别赋予它们的定义相同。</w:t>
      </w:r>
    </w:p>
    <w:p>
      <w:pPr>
        <w:pStyle w:val="17"/>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八、甲方工作及责任</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1、甲方必须派技术人员配合乙方施工指导、签证工作。</w:t>
      </w:r>
    </w:p>
    <w:p>
      <w:pPr>
        <w:pStyle w:val="17"/>
        <w:spacing w:line="360" w:lineRule="auto"/>
        <w:ind w:firstLine="360" w:firstLineChars="150"/>
        <w:rPr>
          <w:rFonts w:hint="eastAsia" w:hAnsi="宋体"/>
          <w:color w:val="auto"/>
          <w:sz w:val="24"/>
          <w:szCs w:val="24"/>
          <w:highlight w:val="none"/>
        </w:rPr>
      </w:pPr>
      <w:r>
        <w:rPr>
          <w:rFonts w:hint="eastAsia" w:hAnsi="宋体"/>
          <w:color w:val="auto"/>
          <w:sz w:val="24"/>
          <w:szCs w:val="24"/>
          <w:highlight w:val="none"/>
        </w:rPr>
        <w:t xml:space="preserve"> 2、乙方施工完毕，甲方负责组织有关单位对工程进行验收，做好签证结算。</w:t>
      </w:r>
    </w:p>
    <w:p>
      <w:pPr>
        <w:pStyle w:val="17"/>
        <w:spacing w:line="360" w:lineRule="auto"/>
        <w:ind w:firstLine="480" w:firstLineChars="200"/>
        <w:rPr>
          <w:rFonts w:hint="eastAsia" w:hAnsi="宋体"/>
          <w:color w:val="auto"/>
          <w:sz w:val="24"/>
          <w:szCs w:val="24"/>
          <w:highlight w:val="none"/>
          <w:u w:val="none"/>
        </w:rPr>
      </w:pPr>
      <w:r>
        <w:rPr>
          <w:rFonts w:hint="eastAsia" w:hAnsi="宋体"/>
          <w:color w:val="auto"/>
          <w:sz w:val="24"/>
          <w:szCs w:val="24"/>
          <w:highlight w:val="none"/>
          <w:u w:val="none"/>
          <w:lang w:val="en-US" w:eastAsia="zh-CN"/>
        </w:rPr>
        <w:t>3、</w:t>
      </w:r>
      <w:r>
        <w:rPr>
          <w:rFonts w:hint="eastAsia" w:hAnsi="宋体"/>
          <w:color w:val="auto"/>
          <w:sz w:val="24"/>
          <w:szCs w:val="24"/>
          <w:highlight w:val="none"/>
          <w:u w:val="none"/>
        </w:rPr>
        <w:t>按合同约定及时支付工程款。</w:t>
      </w:r>
    </w:p>
    <w:p>
      <w:pPr>
        <w:pStyle w:val="17"/>
        <w:spacing w:line="360" w:lineRule="auto"/>
        <w:ind w:firstLine="420"/>
        <w:rPr>
          <w:rFonts w:hint="eastAsia" w:hAnsi="宋体"/>
          <w:b/>
          <w:color w:val="auto"/>
          <w:sz w:val="24"/>
          <w:szCs w:val="24"/>
          <w:highlight w:val="none"/>
        </w:rPr>
      </w:pPr>
      <w:r>
        <w:rPr>
          <w:rFonts w:hint="eastAsia" w:hAnsi="宋体"/>
          <w:b/>
          <w:color w:val="auto"/>
          <w:sz w:val="24"/>
          <w:szCs w:val="24"/>
          <w:highlight w:val="none"/>
        </w:rPr>
        <w:t>九、乙方工作及责任</w:t>
      </w:r>
    </w:p>
    <w:p>
      <w:pPr>
        <w:pStyle w:val="17"/>
        <w:spacing w:line="360" w:lineRule="auto"/>
        <w:ind w:firstLine="420"/>
        <w:rPr>
          <w:rFonts w:hint="eastAsia" w:hAnsi="宋体"/>
          <w:b/>
          <w:color w:val="auto"/>
          <w:sz w:val="24"/>
          <w:szCs w:val="24"/>
          <w:highlight w:val="none"/>
        </w:rPr>
      </w:pPr>
      <w:r>
        <w:rPr>
          <w:rFonts w:hint="eastAsia" w:hAnsi="宋体"/>
          <w:color w:val="auto"/>
          <w:sz w:val="24"/>
          <w:szCs w:val="24"/>
          <w:highlight w:val="none"/>
        </w:rPr>
        <w:t>1、乙方必须按照甲方的要求为进行施工，并接受甲方的监督检查，工程质量达到国家验收规范的合格等级。</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2、如因质量问题造成的返工，一切费用乙方负责。</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3、乙方应按规定做好施工工地的安全</w:t>
      </w:r>
      <w:r>
        <w:rPr>
          <w:rFonts w:hint="eastAsia" w:hAnsi="宋体"/>
          <w:color w:val="auto"/>
          <w:sz w:val="24"/>
          <w:szCs w:val="24"/>
          <w:highlight w:val="none"/>
          <w:lang w:eastAsia="zh-CN"/>
        </w:rPr>
        <w:t>保护</w:t>
      </w:r>
      <w:r>
        <w:rPr>
          <w:rFonts w:hint="eastAsia" w:hAnsi="宋体"/>
          <w:color w:val="auto"/>
          <w:sz w:val="24"/>
          <w:szCs w:val="24"/>
          <w:highlight w:val="none"/>
        </w:rPr>
        <w:t>、防护工作，要做好各项安全管理工作，因安全防护措施不力而发生的事故及此产生的一切后果由乙方负责。</w:t>
      </w:r>
    </w:p>
    <w:p>
      <w:pPr>
        <w:pStyle w:val="17"/>
        <w:spacing w:line="360" w:lineRule="auto"/>
        <w:ind w:firstLine="482" w:firstLineChars="200"/>
        <w:rPr>
          <w:rFonts w:hint="eastAsia" w:hAnsi="宋体"/>
          <w:color w:val="auto"/>
          <w:sz w:val="24"/>
          <w:szCs w:val="24"/>
          <w:highlight w:val="none"/>
        </w:rPr>
      </w:pPr>
      <w:r>
        <w:rPr>
          <w:rFonts w:hint="eastAsia" w:hAnsi="宋体"/>
          <w:b/>
          <w:color w:val="auto"/>
          <w:sz w:val="24"/>
          <w:szCs w:val="24"/>
          <w:highlight w:val="none"/>
        </w:rPr>
        <w:t>十、</w:t>
      </w:r>
      <w:r>
        <w:rPr>
          <w:rFonts w:hint="eastAsia" w:hAnsi="宋体"/>
          <w:color w:val="auto"/>
          <w:sz w:val="24"/>
          <w:szCs w:val="24"/>
          <w:highlight w:val="none"/>
        </w:rPr>
        <w:t>甲方在应付款中扣出的质量保修金，在工程完工</w:t>
      </w:r>
      <w:r>
        <w:rPr>
          <w:rFonts w:hint="eastAsia" w:hAnsi="宋体"/>
          <w:color w:val="auto"/>
          <w:sz w:val="24"/>
          <w:szCs w:val="24"/>
          <w:highlight w:val="none"/>
          <w:lang w:eastAsia="zh-CN"/>
        </w:rPr>
        <w:t>验收合格</w:t>
      </w:r>
      <w:r>
        <w:rPr>
          <w:rFonts w:hint="eastAsia" w:hAnsi="宋体"/>
          <w:color w:val="auto"/>
          <w:sz w:val="24"/>
          <w:szCs w:val="24"/>
          <w:highlight w:val="none"/>
        </w:rPr>
        <w:t>一年后，如未发现工程质量问题，将保修金(不计利息)退回乙方。在保修期内乙方应按保修内容进行保修，若乙方接到甲方保修通知书在5天内未派人进行修理的，甲方则安排其它公司修理，在保修期内发生的修理费用由乙方负责或由甲方从保修金中扣出。</w:t>
      </w:r>
    </w:p>
    <w:p>
      <w:pPr>
        <w:pStyle w:val="17"/>
        <w:spacing w:line="360" w:lineRule="auto"/>
        <w:rPr>
          <w:rFonts w:hint="eastAsia" w:hAnsi="宋体"/>
          <w:b/>
          <w:color w:val="auto"/>
          <w:sz w:val="24"/>
          <w:szCs w:val="24"/>
          <w:highlight w:val="none"/>
        </w:rPr>
      </w:pPr>
      <w:r>
        <w:rPr>
          <w:rFonts w:hint="eastAsia" w:hAnsi="宋体"/>
          <w:color w:val="auto"/>
          <w:sz w:val="24"/>
          <w:szCs w:val="24"/>
          <w:highlight w:val="none"/>
        </w:rPr>
        <w:t xml:space="preserve"> </w:t>
      </w:r>
      <w:r>
        <w:rPr>
          <w:rFonts w:hint="eastAsia" w:hAnsi="宋体"/>
          <w:b/>
          <w:color w:val="auto"/>
          <w:sz w:val="24"/>
          <w:szCs w:val="24"/>
          <w:highlight w:val="none"/>
        </w:rPr>
        <w:t xml:space="preserve">   十一、双方需约定条款</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u w:val="single"/>
        </w:rPr>
        <w:t>如增加工程量需经双方签证确认。</w:t>
      </w:r>
    </w:p>
    <w:p>
      <w:pPr>
        <w:pStyle w:val="17"/>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u w:val="single"/>
        </w:rPr>
        <w:t xml:space="preserve">                               </w:t>
      </w:r>
    </w:p>
    <w:p>
      <w:pPr>
        <w:pStyle w:val="17"/>
        <w:tabs>
          <w:tab w:val="left" w:pos="525"/>
        </w:tabs>
        <w:spacing w:line="360" w:lineRule="auto"/>
        <w:rPr>
          <w:rFonts w:hint="eastAsia" w:hAnsi="宋体"/>
          <w:b/>
          <w:color w:val="auto"/>
          <w:sz w:val="24"/>
          <w:szCs w:val="24"/>
          <w:highlight w:val="none"/>
        </w:rPr>
      </w:pPr>
      <w:r>
        <w:rPr>
          <w:rFonts w:hint="eastAsia" w:hAnsi="宋体"/>
          <w:color w:val="auto"/>
          <w:sz w:val="24"/>
          <w:szCs w:val="24"/>
          <w:highlight w:val="none"/>
        </w:rPr>
        <w:t xml:space="preserve"> </w:t>
      </w:r>
      <w:r>
        <w:rPr>
          <w:rFonts w:hint="eastAsia" w:hAnsi="宋体"/>
          <w:b/>
          <w:color w:val="auto"/>
          <w:sz w:val="24"/>
          <w:szCs w:val="24"/>
          <w:highlight w:val="none"/>
        </w:rPr>
        <w:t xml:space="preserve">   十二、合同生效与终止</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本合同经双方签字盖章后生效，支付完工程款后失效。本合同一式四份，甲、乙方各执两份。</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发包人：（甲方）盖章          承包人：（乙方）盖章</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法定代表人：                 法定代表人：</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委托代理人：                 委托代理人：</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开户：                       开户：</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帐号：                       帐号：</w:t>
      </w:r>
    </w:p>
    <w:p>
      <w:pPr>
        <w:pStyle w:val="17"/>
        <w:spacing w:line="360" w:lineRule="auto"/>
        <w:ind w:firstLine="480" w:firstLineChars="200"/>
        <w:rPr>
          <w:rFonts w:hint="eastAsia" w:hAnsi="宋体"/>
          <w:color w:val="auto"/>
          <w:highlight w:val="none"/>
        </w:rPr>
      </w:pPr>
      <w:r>
        <w:rPr>
          <w:rFonts w:hint="eastAsia" w:hAnsi="宋体"/>
          <w:color w:val="auto"/>
          <w:sz w:val="24"/>
          <w:szCs w:val="24"/>
          <w:highlight w:val="none"/>
        </w:rPr>
        <w:t>日期：   年   月    日       日期：   年   月    日</w:t>
      </w:r>
    </w:p>
    <w:p>
      <w:pPr>
        <w:pStyle w:val="13"/>
        <w:rPr>
          <w:rFonts w:ascii="宋体" w:hAnsi="宋体"/>
          <w:color w:val="auto"/>
          <w:highlight w:val="none"/>
        </w:rPr>
      </w:pPr>
    </w:p>
    <w:p>
      <w:pPr>
        <w:pStyle w:val="13"/>
        <w:rPr>
          <w:rFonts w:ascii="宋体" w:hAnsi="宋体"/>
          <w:color w:val="auto"/>
          <w:highlight w:val="none"/>
        </w:rPr>
      </w:pPr>
    </w:p>
    <w:p>
      <w:pPr>
        <w:pStyle w:val="4"/>
        <w:rPr>
          <w:rFonts w:ascii="宋体" w:hAnsi="宋体" w:eastAsia="宋体"/>
          <w:b/>
          <w:bCs w:val="0"/>
          <w:color w:val="auto"/>
          <w:sz w:val="24"/>
          <w:highlight w:val="none"/>
        </w:rPr>
      </w:pPr>
      <w:bookmarkStart w:id="175" w:name="_Toc9617"/>
      <w:r>
        <w:rPr>
          <w:rFonts w:hint="eastAsia" w:ascii="宋体" w:hAnsi="宋体" w:eastAsia="宋体"/>
          <w:b/>
          <w:bCs w:val="0"/>
          <w:color w:val="auto"/>
          <w:sz w:val="24"/>
          <w:highlight w:val="none"/>
        </w:rPr>
        <w:t xml:space="preserve">二  </w:t>
      </w:r>
      <w:bookmarkStart w:id="176" w:name="_Toc138995750"/>
      <w:r>
        <w:rPr>
          <w:rFonts w:hint="eastAsia" w:ascii="宋体" w:hAnsi="宋体" w:eastAsia="宋体"/>
          <w:b/>
          <w:bCs w:val="0"/>
          <w:color w:val="auto"/>
          <w:sz w:val="24"/>
          <w:highlight w:val="none"/>
        </w:rPr>
        <w:t>通用合同条款</w:t>
      </w:r>
      <w:bookmarkEnd w:id="172"/>
      <w:bookmarkEnd w:id="173"/>
      <w:bookmarkEnd w:id="174"/>
      <w:bookmarkEnd w:id="175"/>
      <w:bookmarkEnd w:id="176"/>
    </w:p>
    <w:p>
      <w:pPr>
        <w:pStyle w:val="53"/>
        <w:jc w:val="center"/>
        <w:outlineLvl w:val="9"/>
        <w:rPr>
          <w:rFonts w:ascii="宋体" w:hAnsi="宋体" w:eastAsia="宋体" w:cs="Times New Roman"/>
          <w:bCs/>
          <w:color w:val="auto"/>
          <w:sz w:val="24"/>
          <w:szCs w:val="32"/>
          <w:highlight w:val="none"/>
        </w:rPr>
      </w:pPr>
      <w:bookmarkStart w:id="177" w:name="_Toc21745"/>
      <w:bookmarkStart w:id="178" w:name="_Toc23129"/>
      <w:bookmarkStart w:id="179" w:name="_Toc435288773"/>
      <w:bookmarkStart w:id="180" w:name="_Toc445913581"/>
      <w:r>
        <w:rPr>
          <w:rFonts w:hint="eastAsia" w:ascii="宋体" w:hAnsi="宋体" w:eastAsia="宋体" w:cs="Times New Roman"/>
          <w:bCs/>
          <w:color w:val="auto"/>
          <w:sz w:val="24"/>
          <w:szCs w:val="32"/>
          <w:highlight w:val="none"/>
        </w:rPr>
        <w:t>采用国家工商行政管理局和建设部颁发的《建设工程施工合同》(GF-1999-0201)的通用条款。</w:t>
      </w:r>
      <w:bookmarkEnd w:id="177"/>
      <w:bookmarkEnd w:id="178"/>
      <w:bookmarkEnd w:id="179"/>
      <w:bookmarkEnd w:id="180"/>
    </w:p>
    <w:p>
      <w:pPr>
        <w:pStyle w:val="17"/>
        <w:adjustRightInd w:val="0"/>
        <w:snapToGrid w:val="0"/>
        <w:spacing w:line="480" w:lineRule="exact"/>
        <w:ind w:left="97" w:leftChars="46" w:firstLine="323" w:firstLineChars="154"/>
        <w:rPr>
          <w:rFonts w:hAnsi="宋体"/>
          <w:color w:val="auto"/>
          <w:szCs w:val="21"/>
          <w:highlight w:val="none"/>
        </w:rPr>
      </w:pPr>
      <w:r>
        <w:rPr>
          <w:rFonts w:hAnsi="宋体"/>
          <w:color w:val="auto"/>
          <w:szCs w:val="21"/>
          <w:highlight w:val="none"/>
        </w:rPr>
        <w:br w:type="page"/>
      </w:r>
    </w:p>
    <w:p>
      <w:pPr>
        <w:pStyle w:val="4"/>
        <w:rPr>
          <w:rFonts w:ascii="宋体" w:hAnsi="宋体" w:eastAsia="宋体"/>
          <w:b/>
          <w:bCs w:val="0"/>
          <w:color w:val="auto"/>
          <w:sz w:val="24"/>
          <w:highlight w:val="none"/>
        </w:rPr>
      </w:pPr>
      <w:bookmarkStart w:id="181" w:name="_Toc138995751"/>
      <w:bookmarkStart w:id="182" w:name="_Toc121749420"/>
      <w:bookmarkStart w:id="183" w:name="_Toc26171"/>
      <w:bookmarkStart w:id="184" w:name="_Toc44953372"/>
      <w:bookmarkStart w:id="185" w:name="_Toc8681"/>
      <w:r>
        <w:rPr>
          <w:rFonts w:hint="eastAsia" w:ascii="宋体" w:hAnsi="宋体" w:eastAsia="宋体"/>
          <w:b/>
          <w:bCs w:val="0"/>
          <w:color w:val="auto"/>
          <w:sz w:val="24"/>
          <w:highlight w:val="none"/>
        </w:rPr>
        <w:t>三　专用合同条款</w:t>
      </w:r>
      <w:bookmarkEnd w:id="181"/>
      <w:bookmarkEnd w:id="182"/>
      <w:bookmarkEnd w:id="183"/>
      <w:bookmarkEnd w:id="184"/>
      <w:bookmarkEnd w:id="185"/>
    </w:p>
    <w:p>
      <w:pPr>
        <w:pStyle w:val="17"/>
        <w:spacing w:line="440" w:lineRule="exact"/>
        <w:ind w:firstLine="420" w:firstLineChars="200"/>
        <w:rPr>
          <w:color w:val="auto"/>
          <w:highlight w:val="none"/>
        </w:rPr>
      </w:pPr>
    </w:p>
    <w:p>
      <w:pPr>
        <w:pStyle w:val="17"/>
        <w:spacing w:line="440" w:lineRule="exact"/>
        <w:ind w:firstLine="420" w:firstLineChars="200"/>
        <w:rPr>
          <w:rFonts w:hint="eastAsia" w:hAnsi="宋体"/>
          <w:b/>
          <w:color w:val="auto"/>
          <w:sz w:val="24"/>
          <w:szCs w:val="24"/>
          <w:highlight w:val="none"/>
        </w:rPr>
      </w:pPr>
      <w:r>
        <w:rPr>
          <w:color w:val="auto"/>
          <w:highlight w:val="none"/>
        </w:rPr>
        <w:fldChar w:fldCharType="begin"/>
      </w:r>
      <w:r>
        <w:rPr>
          <w:rFonts w:hAnsi="宋体"/>
          <w:b/>
          <w:color w:val="auto"/>
          <w:sz w:val="24"/>
          <w:szCs w:val="24"/>
          <w:highlight w:val="none"/>
        </w:rPr>
        <w:instrText xml:space="preserve"> TC “</w:instrText>
      </w:r>
      <w:bookmarkStart w:id="186" w:name="_Toc118023777"/>
      <w:r>
        <w:rPr>
          <w:rFonts w:hint="eastAsia" w:hAnsi="宋体"/>
          <w:b/>
          <w:color w:val="auto"/>
          <w:sz w:val="24"/>
          <w:szCs w:val="24"/>
          <w:highlight w:val="none"/>
        </w:rPr>
        <w:instrText xml:space="preserve">一、词语定义及合同文件</w:instrText>
      </w:r>
      <w:bookmarkEnd w:id="186"/>
      <w:r>
        <w:rPr>
          <w:rFonts w:hAnsi="宋体"/>
          <w:b/>
          <w:color w:val="auto"/>
          <w:sz w:val="24"/>
          <w:szCs w:val="24"/>
          <w:highlight w:val="none"/>
        </w:rPr>
        <w:instrText xml:space="preserve">” \l 1 \f s </w:instrText>
      </w:r>
      <w:r>
        <w:rPr>
          <w:rFonts w:hAnsi="宋体"/>
          <w:b/>
          <w:color w:val="auto"/>
          <w:sz w:val="24"/>
          <w:szCs w:val="24"/>
          <w:highlight w:val="none"/>
        </w:rPr>
        <w:fldChar w:fldCharType="end"/>
      </w:r>
      <w:r>
        <w:rPr>
          <w:rFonts w:hint="eastAsia" w:hAnsi="宋体"/>
          <w:b/>
          <w:color w:val="auto"/>
          <w:sz w:val="24"/>
          <w:szCs w:val="24"/>
          <w:highlight w:val="none"/>
        </w:rPr>
        <w:t>一、词语定义及合同文件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1、合同文件及解释顺序</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合同文件组成及解释顺序：</w:t>
      </w:r>
      <w:r>
        <w:rPr>
          <w:rFonts w:hint="eastAsia" w:hAnsi="宋体"/>
          <w:color w:val="auto"/>
          <w:sz w:val="24"/>
          <w:szCs w:val="24"/>
          <w:highlight w:val="none"/>
          <w:u w:val="single"/>
        </w:rPr>
        <w:t>合同文件组成按本协议书第六款规定，解释顺序按通用条款第2.1规定。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2、语言文字和适用法律、标准及规范</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2.1本合同除使用汉语外，无其他语言文字。</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2.2适用法律和法规</w:t>
      </w:r>
    </w:p>
    <w:p>
      <w:pPr>
        <w:pStyle w:val="17"/>
        <w:spacing w:line="440" w:lineRule="exact"/>
        <w:ind w:left="420" w:leftChars="200" w:firstLine="24" w:firstLineChars="10"/>
        <w:rPr>
          <w:rFonts w:hint="eastAsia" w:hAnsi="宋体"/>
          <w:color w:val="auto"/>
          <w:sz w:val="24"/>
          <w:szCs w:val="24"/>
          <w:highlight w:val="none"/>
          <w:u w:val="single"/>
        </w:rPr>
      </w:pPr>
      <w:r>
        <w:rPr>
          <w:rFonts w:hint="eastAsia" w:hAnsi="宋体"/>
          <w:color w:val="auto"/>
          <w:sz w:val="24"/>
          <w:szCs w:val="24"/>
          <w:highlight w:val="none"/>
        </w:rPr>
        <w:t>需要明示的法律、行政法规：</w:t>
      </w:r>
      <w:r>
        <w:rPr>
          <w:rFonts w:hint="eastAsia" w:hAnsi="宋体"/>
          <w:color w:val="auto"/>
          <w:sz w:val="24"/>
          <w:szCs w:val="24"/>
          <w:highlight w:val="none"/>
          <w:u w:val="single"/>
        </w:rPr>
        <w:t>现行的国家法律和行政法规，项目所在地政府的有关法规和规章。</w:t>
      </w:r>
      <w:r>
        <w:rPr>
          <w:rFonts w:hint="eastAsia" w:hAnsi="宋体"/>
          <w:color w:val="auto"/>
          <w:sz w:val="24"/>
          <w:szCs w:val="24"/>
          <w:highlight w:val="none"/>
        </w:rPr>
        <w:t>发包人提供标准、规范的时间：</w:t>
      </w:r>
      <w:r>
        <w:rPr>
          <w:rFonts w:hint="eastAsia" w:hAnsi="宋体"/>
          <w:color w:val="auto"/>
          <w:sz w:val="24"/>
          <w:szCs w:val="24"/>
          <w:highlight w:val="none"/>
          <w:u w:val="single"/>
        </w:rPr>
        <w:t xml:space="preserve">  无。</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国内没有相应标准、规范时的约定：</w:t>
      </w:r>
      <w:r>
        <w:rPr>
          <w:rFonts w:hint="eastAsia" w:hAnsi="宋体"/>
          <w:color w:val="auto"/>
          <w:sz w:val="24"/>
          <w:szCs w:val="24"/>
          <w:highlight w:val="none"/>
          <w:u w:val="single"/>
        </w:rPr>
        <w:t xml:space="preserve">  无。 </w:t>
      </w:r>
    </w:p>
    <w:p>
      <w:pPr>
        <w:pStyle w:val="17"/>
        <w:spacing w:line="440" w:lineRule="exact"/>
        <w:ind w:firstLine="441" w:firstLineChars="210"/>
        <w:rPr>
          <w:rFonts w:hint="eastAsia" w:hAnsi="宋体"/>
          <w:color w:val="auto"/>
          <w:sz w:val="24"/>
          <w:szCs w:val="24"/>
          <w:highlight w:val="none"/>
        </w:rPr>
      </w:pPr>
      <w:r>
        <w:rPr>
          <w:color w:val="auto"/>
          <w:highlight w:val="none"/>
        </w:rPr>
        <w:fldChar w:fldCharType="begin"/>
      </w:r>
      <w:r>
        <w:rPr>
          <w:rFonts w:hAnsi="宋体"/>
          <w:color w:val="auto"/>
          <w:sz w:val="24"/>
          <w:szCs w:val="24"/>
          <w:highlight w:val="none"/>
        </w:rPr>
        <w:instrText xml:space="preserve"> TC “</w:instrText>
      </w:r>
      <w:bookmarkStart w:id="187" w:name="_Toc118023779"/>
      <w:r>
        <w:rPr>
          <w:rFonts w:hint="eastAsia" w:hAnsi="宋体"/>
          <w:color w:val="auto"/>
          <w:sz w:val="24"/>
          <w:szCs w:val="24"/>
          <w:highlight w:val="none"/>
        </w:rPr>
        <w:instrText xml:space="preserve">4、图纸</w:instrText>
      </w:r>
      <w:bookmarkEnd w:id="187"/>
      <w:r>
        <w:rPr>
          <w:rFonts w:hAnsi="宋体"/>
          <w:color w:val="auto"/>
          <w:sz w:val="24"/>
          <w:szCs w:val="24"/>
          <w:highlight w:val="none"/>
        </w:rPr>
        <w:instrText xml:space="preserve">” \l 2 \f s </w:instrText>
      </w:r>
      <w:r>
        <w:rPr>
          <w:rFonts w:hAnsi="宋体"/>
          <w:color w:val="auto"/>
          <w:sz w:val="24"/>
          <w:szCs w:val="24"/>
          <w:highlight w:val="none"/>
        </w:rPr>
        <w:fldChar w:fldCharType="end"/>
      </w:r>
      <w:r>
        <w:rPr>
          <w:rFonts w:hint="eastAsia" w:hAnsi="宋体"/>
          <w:color w:val="auto"/>
          <w:sz w:val="24"/>
          <w:szCs w:val="24"/>
          <w:highlight w:val="none"/>
        </w:rPr>
        <w:t>3. 图纸</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3.1 发包人向承包人提供图纸日期和套数：合同签</w:t>
      </w:r>
      <w:r>
        <w:rPr>
          <w:rFonts w:hint="eastAsia" w:hAnsi="宋体"/>
          <w:color w:val="auto"/>
          <w:sz w:val="24"/>
          <w:szCs w:val="24"/>
          <w:highlight w:val="none"/>
          <w:lang w:eastAsia="zh-CN"/>
        </w:rPr>
        <w:t>订</w:t>
      </w:r>
      <w:r>
        <w:rPr>
          <w:rFonts w:hint="eastAsia" w:hAnsi="宋体"/>
          <w:color w:val="auto"/>
          <w:sz w:val="24"/>
          <w:szCs w:val="24"/>
          <w:highlight w:val="none"/>
          <w:u w:val="single"/>
        </w:rPr>
        <w:t xml:space="preserve"> 5 </w:t>
      </w:r>
      <w:r>
        <w:rPr>
          <w:rFonts w:hint="eastAsia" w:hAnsi="宋体"/>
          <w:color w:val="auto"/>
          <w:sz w:val="24"/>
          <w:szCs w:val="24"/>
          <w:highlight w:val="none"/>
        </w:rPr>
        <w:t>天后提供一式</w:t>
      </w:r>
      <w:r>
        <w:rPr>
          <w:rFonts w:hint="eastAsia" w:hAnsi="宋体"/>
          <w:color w:val="auto"/>
          <w:sz w:val="24"/>
          <w:szCs w:val="24"/>
          <w:highlight w:val="none"/>
          <w:u w:val="single"/>
        </w:rPr>
        <w:t xml:space="preserve"> 1 </w:t>
      </w:r>
      <w:r>
        <w:rPr>
          <w:rFonts w:hint="eastAsia" w:hAnsi="宋体"/>
          <w:color w:val="auto"/>
          <w:sz w:val="24"/>
          <w:szCs w:val="24"/>
          <w:highlight w:val="none"/>
        </w:rPr>
        <w:t>份图纸。</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发包人对图纸的保密要求：</w:t>
      </w:r>
      <w:r>
        <w:rPr>
          <w:rFonts w:hint="eastAsia" w:hAnsi="宋体"/>
          <w:color w:val="auto"/>
          <w:sz w:val="24"/>
          <w:szCs w:val="24"/>
          <w:highlight w:val="none"/>
          <w:u w:val="single"/>
        </w:rPr>
        <w:t>未经发包人同意，不得将图纸转借给第三方。</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使用国外图纸的要求及费用承担：</w:t>
      </w:r>
      <w:r>
        <w:rPr>
          <w:rFonts w:hint="eastAsia" w:hAnsi="宋体"/>
          <w:color w:val="auto"/>
          <w:sz w:val="24"/>
          <w:szCs w:val="24"/>
          <w:highlight w:val="none"/>
          <w:u w:val="single"/>
        </w:rPr>
        <w:t xml:space="preserve">  无。</w:t>
      </w:r>
    </w:p>
    <w:p>
      <w:pPr>
        <w:pStyle w:val="17"/>
        <w:spacing w:line="440" w:lineRule="exact"/>
        <w:ind w:firstLine="441" w:firstLineChars="210"/>
        <w:rPr>
          <w:rFonts w:hint="eastAsia" w:hAnsi="宋体"/>
          <w:b/>
          <w:color w:val="auto"/>
          <w:sz w:val="24"/>
          <w:szCs w:val="24"/>
          <w:highlight w:val="none"/>
        </w:rPr>
      </w:pPr>
      <w:r>
        <w:rPr>
          <w:color w:val="auto"/>
          <w:highlight w:val="none"/>
        </w:rPr>
        <w:fldChar w:fldCharType="begin"/>
      </w:r>
      <w:r>
        <w:rPr>
          <w:rFonts w:hAnsi="宋体"/>
          <w:b/>
          <w:color w:val="auto"/>
          <w:sz w:val="24"/>
          <w:szCs w:val="24"/>
          <w:highlight w:val="none"/>
        </w:rPr>
        <w:instrText xml:space="preserve"> TC “</w:instrText>
      </w:r>
      <w:bookmarkStart w:id="188" w:name="_Toc118023780"/>
      <w:r>
        <w:rPr>
          <w:rFonts w:hint="eastAsia" w:hAnsi="宋体"/>
          <w:b/>
          <w:color w:val="auto"/>
          <w:sz w:val="24"/>
          <w:szCs w:val="24"/>
          <w:highlight w:val="none"/>
        </w:rPr>
        <w:instrText xml:space="preserve">二、双方一般权利和义务</w:instrText>
      </w:r>
      <w:bookmarkEnd w:id="188"/>
      <w:r>
        <w:rPr>
          <w:rFonts w:hAnsi="宋体"/>
          <w:b/>
          <w:color w:val="auto"/>
          <w:sz w:val="24"/>
          <w:szCs w:val="24"/>
          <w:highlight w:val="none"/>
        </w:rPr>
        <w:instrText xml:space="preserve">” \l 1 \f s </w:instrText>
      </w:r>
      <w:r>
        <w:rPr>
          <w:rFonts w:hAnsi="宋体"/>
          <w:b/>
          <w:color w:val="auto"/>
          <w:sz w:val="24"/>
          <w:szCs w:val="24"/>
          <w:highlight w:val="none"/>
        </w:rPr>
        <w:fldChar w:fldCharType="end"/>
      </w:r>
      <w:r>
        <w:rPr>
          <w:rFonts w:hint="eastAsia" w:hAnsi="宋体"/>
          <w:b/>
          <w:color w:val="auto"/>
          <w:sz w:val="24"/>
          <w:szCs w:val="24"/>
          <w:highlight w:val="none"/>
        </w:rPr>
        <w:t>二、双方一般权利和义务</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4、发包人工作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4.1发包人应按约定的时间和要求完成以下工作：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（1）施工场地具备施工条件的要求及完成的时间：</w:t>
      </w:r>
      <w:r>
        <w:rPr>
          <w:rFonts w:hint="eastAsia" w:hAnsi="宋体"/>
          <w:color w:val="auto"/>
          <w:sz w:val="24"/>
          <w:szCs w:val="24"/>
          <w:highlight w:val="none"/>
          <w:u w:val="single"/>
        </w:rPr>
        <w:t>协助施工单位做路通、水通、电通。</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（2）将施工所需的水、电、电讯线路至施工场地的时间、地点和供应要求：</w:t>
      </w:r>
      <w:r>
        <w:rPr>
          <w:rFonts w:hint="eastAsia" w:hAnsi="宋体"/>
          <w:color w:val="auto"/>
          <w:sz w:val="24"/>
          <w:szCs w:val="24"/>
          <w:highlight w:val="none"/>
          <w:u w:val="single"/>
        </w:rPr>
        <w:t>开工前接至施工现场。</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（3）施工场地与公共道路的通道开通时间和要求：</w:t>
      </w:r>
      <w:r>
        <w:rPr>
          <w:rFonts w:hint="eastAsia" w:hAnsi="宋体"/>
          <w:color w:val="auto"/>
          <w:sz w:val="24"/>
          <w:szCs w:val="24"/>
          <w:highlight w:val="none"/>
          <w:u w:val="single"/>
        </w:rPr>
        <w:t xml:space="preserve"> 已开通。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（4）工程地质和地下管线资料的提供时间：</w:t>
      </w:r>
      <w:r>
        <w:rPr>
          <w:rFonts w:hint="eastAsia" w:hAnsi="宋体"/>
          <w:color w:val="auto"/>
          <w:sz w:val="24"/>
          <w:szCs w:val="24"/>
          <w:highlight w:val="none"/>
          <w:u w:val="single"/>
        </w:rPr>
        <w:t>招标时已提供，由承包人现场勘测，费用自理。</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（5）由发包人办理的施工所需证件、批件的名称和完成时间：</w:t>
      </w:r>
      <w:r>
        <w:rPr>
          <w:rFonts w:hint="eastAsia" w:hAnsi="宋体"/>
          <w:color w:val="auto"/>
          <w:sz w:val="24"/>
          <w:szCs w:val="24"/>
          <w:highlight w:val="none"/>
          <w:u w:val="single"/>
        </w:rPr>
        <w:t>开工前 五天。</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（6）水准点与座制点交验要求：</w:t>
      </w:r>
      <w:r>
        <w:rPr>
          <w:rFonts w:hint="eastAsia" w:hAnsi="宋体"/>
          <w:color w:val="auto"/>
          <w:sz w:val="24"/>
          <w:szCs w:val="24"/>
          <w:highlight w:val="none"/>
          <w:u w:val="single"/>
        </w:rPr>
        <w:t>于开工前3日内现场交验，双方做好签认工作。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（7）图纸会审和设计交底时间：</w:t>
      </w:r>
      <w:r>
        <w:rPr>
          <w:rFonts w:hint="eastAsia" w:hAnsi="宋体"/>
          <w:color w:val="auto"/>
          <w:sz w:val="24"/>
          <w:szCs w:val="24"/>
          <w:highlight w:val="none"/>
          <w:u w:val="single"/>
        </w:rPr>
        <w:t>开工前三天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（8）协调处理施工场地周围地下管线和邻近市政公用物、构筑物（含文物保护市政公用）、古树名木的保护工作：</w:t>
      </w:r>
      <w:r>
        <w:rPr>
          <w:rFonts w:hint="eastAsia" w:hAnsi="宋体"/>
          <w:color w:val="auto"/>
          <w:sz w:val="24"/>
          <w:szCs w:val="24"/>
          <w:highlight w:val="none"/>
          <w:u w:val="single"/>
        </w:rPr>
        <w:t>由发包人协调，相应费用由承包人承担。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（9）双方约定发包人应做的其他工作：</w:t>
      </w:r>
      <w:r>
        <w:rPr>
          <w:rFonts w:hint="eastAsia" w:hAnsi="宋体"/>
          <w:color w:val="auto"/>
          <w:sz w:val="24"/>
          <w:szCs w:val="24"/>
          <w:highlight w:val="none"/>
          <w:u w:val="single"/>
        </w:rPr>
        <w:t>待定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4.2发包人委托承包人办理的工作：</w:t>
      </w:r>
      <w:r>
        <w:rPr>
          <w:rFonts w:hint="eastAsia" w:hAnsi="宋体"/>
          <w:color w:val="auto"/>
          <w:sz w:val="24"/>
          <w:szCs w:val="24"/>
          <w:highlight w:val="none"/>
          <w:u w:val="single"/>
        </w:rPr>
        <w:t xml:space="preserve">  待定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5、承包人工作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5.1承包人应按约定时间的要求，完成以下工作：</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(1)需由设计资质等级和业务范围允许的承包人完成的设计文件提交时间：</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无</w:t>
      </w:r>
      <w:r>
        <w:rPr>
          <w:rFonts w:hint="eastAsia" w:hAnsi="宋体"/>
          <w:color w:val="auto"/>
          <w:sz w:val="24"/>
          <w:szCs w:val="24"/>
          <w:highlight w:val="none"/>
          <w:u w:val="single"/>
        </w:rPr>
        <w:t xml:space="preserve">。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(2)应提供计划、报表的名称及完成时问：</w:t>
      </w:r>
      <w:r>
        <w:rPr>
          <w:rFonts w:hint="eastAsia" w:hAnsi="宋体"/>
          <w:color w:val="auto"/>
          <w:sz w:val="24"/>
          <w:szCs w:val="24"/>
          <w:highlight w:val="none"/>
          <w:u w:val="single"/>
        </w:rPr>
        <w:t xml:space="preserve"> 每月25日向监理、发包人提供当月工程进度报表以及下月进度计划各一式两份。</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(3)承担施工安全保卫工作及非夜间施工照明的责任和要求：</w:t>
      </w:r>
      <w:r>
        <w:rPr>
          <w:rFonts w:hint="eastAsia" w:hAnsi="宋体"/>
          <w:color w:val="auto"/>
          <w:sz w:val="24"/>
          <w:szCs w:val="24"/>
          <w:highlight w:val="none"/>
          <w:u w:val="single"/>
        </w:rPr>
        <w:t xml:space="preserve">  承包人应采取一切合理的预防措施，防止人员伤亡、财产损失事故，费用由承包人承担。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(4)向发包人提供的办公和生活房屋及设施的要求：</w:t>
      </w:r>
      <w:r>
        <w:rPr>
          <w:rFonts w:hint="eastAsia" w:hAnsi="宋体"/>
          <w:color w:val="auto"/>
          <w:sz w:val="24"/>
          <w:szCs w:val="24"/>
          <w:highlight w:val="none"/>
          <w:u w:val="single"/>
        </w:rPr>
        <w:t>无。</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(5)需承包人办理的有关施工场地交通、环卫和施工噪音管理等手续：</w:t>
      </w:r>
      <w:r>
        <w:rPr>
          <w:rFonts w:hint="eastAsia" w:hAnsi="宋体"/>
          <w:color w:val="auto"/>
          <w:sz w:val="24"/>
          <w:szCs w:val="24"/>
          <w:highlight w:val="none"/>
          <w:u w:val="single"/>
        </w:rPr>
        <w:t>按需要办理交通特别通行证时、施工现场需要排放有害物质时及施工噪音超过工程所在地主管部门的规定时，由承包人办理有关手续和负责费用。</w:t>
      </w:r>
    </w:p>
    <w:p>
      <w:pPr>
        <w:pStyle w:val="17"/>
        <w:spacing w:line="440" w:lineRule="exact"/>
        <w:ind w:firstLine="504" w:firstLineChars="210"/>
        <w:rPr>
          <w:rFonts w:hAnsi="宋体"/>
          <w:color w:val="auto"/>
          <w:sz w:val="24"/>
          <w:szCs w:val="24"/>
          <w:highlight w:val="none"/>
          <w:u w:val="single"/>
        </w:rPr>
      </w:pPr>
      <w:r>
        <w:rPr>
          <w:rFonts w:hint="eastAsia" w:hAnsi="宋体"/>
          <w:color w:val="auto"/>
          <w:sz w:val="24"/>
          <w:szCs w:val="24"/>
          <w:highlight w:val="none"/>
        </w:rPr>
        <w:t>(6)已完工程成品保护的特殊要求及费用承担：</w:t>
      </w:r>
      <w:r>
        <w:rPr>
          <w:rFonts w:hint="eastAsia" w:hAnsi="宋体"/>
          <w:color w:val="auto"/>
          <w:sz w:val="24"/>
          <w:szCs w:val="24"/>
          <w:highlight w:val="none"/>
          <w:u w:val="single"/>
        </w:rPr>
        <w:t>在竣工验收移交全部工程前，由承包人负责采取保护措施，并承担相关费用</w:t>
      </w:r>
      <w:r>
        <w:rPr>
          <w:rFonts w:hint="eastAsia" w:hAnsi="宋体"/>
          <w:color w:val="auto"/>
          <w:sz w:val="24"/>
          <w:szCs w:val="24"/>
          <w:highlight w:val="none"/>
        </w:rPr>
        <w:t xml:space="preserve">。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(7)施工场地周围地下管线和邻近市政公用物、构筑物(含文物保护市政公用)、古树名木的保护要求及费用承担：</w:t>
      </w:r>
      <w:r>
        <w:rPr>
          <w:rFonts w:hint="eastAsia" w:hAnsi="宋体"/>
          <w:color w:val="auto"/>
          <w:sz w:val="24"/>
          <w:szCs w:val="24"/>
          <w:highlight w:val="none"/>
          <w:u w:val="single"/>
        </w:rPr>
        <w:t>承包人施工时应探明并负责保护且承担费用，施工时如损坏地下管线、邻近市政公用物、构筑物，所发生费用由承包人承担。</w:t>
      </w:r>
      <w:r>
        <w:rPr>
          <w:rFonts w:hint="eastAsia" w:hAnsi="宋体"/>
          <w:color w:val="auto"/>
          <w:sz w:val="24"/>
          <w:highlight w:val="none"/>
          <w:u w:val="single"/>
        </w:rPr>
        <w:t>但因发包人提供的地下管线资料不准确导致的损坏，费用由发包人承担</w:t>
      </w:r>
      <w:r>
        <w:rPr>
          <w:rFonts w:hint="eastAsia" w:hAnsi="宋体"/>
          <w:color w:val="auto"/>
          <w:sz w:val="24"/>
          <w:highlight w:val="none"/>
          <w:u w:val="single"/>
          <w:lang w:eastAsia="zh-CN"/>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(8)施工场地清洁卫生的要求：</w:t>
      </w:r>
      <w:r>
        <w:rPr>
          <w:rFonts w:hint="eastAsia" w:hAnsi="宋体"/>
          <w:color w:val="auto"/>
          <w:sz w:val="24"/>
          <w:szCs w:val="24"/>
          <w:highlight w:val="none"/>
          <w:u w:val="single"/>
        </w:rPr>
        <w:t>由于施工造成的环境污染，其责任和费用均由承包人承担。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(9)双方约定承包人应做的其他工作：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1)配合发包人做好安全文明宣传、领导检查宣传等工作，相关费用由承包人承担。</w:t>
      </w:r>
    </w:p>
    <w:p>
      <w:pPr>
        <w:pStyle w:val="17"/>
        <w:spacing w:line="440" w:lineRule="exact"/>
        <w:ind w:firstLine="504" w:firstLineChars="210"/>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承包人生活设施及施工场地，应自费配备消防设备，防止火灾发生。</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3)承包人的临时用地（含项目部驻地等）租用费（含拆迁补偿）、临时用地的环保、恢复、临时用地的青苗补偿及地面附着物拆除等费用均由承包人负责，以上费用在竞标报价中综合考虑。</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4)取土场及弃土场由承包人自行解决，但不得违反相关管理规定，并承担相关费用。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5)经过城市道路的施工车辆，必须按交警、城管、运输等部门相关规定执行。由于施工车辆造成的道路、环境等污染，其责任和费用均由承包人承担。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6)承包人负责合同实施期间其合同段内临时交通道路（含场内外连接公共交通道路）和交通设施的修建、维修、养护和交通管理工作，并承担一切费用。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三、施工组织设计和工期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6、进度计划</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6.1承包提供施工组织设计（施工方案）和进度计划的时间：</w:t>
      </w:r>
      <w:r>
        <w:rPr>
          <w:rFonts w:hint="eastAsia" w:ascii="宋体" w:hAnsi="宋体"/>
          <w:color w:val="auto"/>
          <w:sz w:val="24"/>
          <w:highlight w:val="none"/>
          <w:u w:val="single"/>
        </w:rPr>
        <w:t xml:space="preserve"> 开工前七天。</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6.2群体工程中有关进度计划的要求：</w:t>
      </w:r>
      <w:r>
        <w:rPr>
          <w:rFonts w:hint="eastAsia" w:ascii="宋体" w:hAnsi="宋体"/>
          <w:b/>
          <w:color w:val="auto"/>
          <w:sz w:val="24"/>
          <w:highlight w:val="none"/>
        </w:rPr>
        <w:t xml:space="preserve"> </w:t>
      </w:r>
      <w:r>
        <w:rPr>
          <w:rFonts w:hint="eastAsia" w:ascii="宋体" w:hAnsi="宋体"/>
          <w:color w:val="auto"/>
          <w:sz w:val="24"/>
          <w:highlight w:val="none"/>
          <w:u w:val="single"/>
        </w:rPr>
        <w:t>无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7、工期延误</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7.1双方约定工期顺延的其他情况：</w:t>
      </w:r>
    </w:p>
    <w:p>
      <w:pPr>
        <w:spacing w:line="440" w:lineRule="exact"/>
        <w:ind w:firstLine="504" w:firstLineChars="210"/>
        <w:rPr>
          <w:rFonts w:hint="eastAsia" w:ascii="宋体" w:hAnsi="宋体"/>
          <w:color w:val="auto"/>
          <w:sz w:val="24"/>
          <w:highlight w:val="none"/>
          <w:u w:val="single"/>
        </w:rPr>
      </w:pPr>
      <w:r>
        <w:rPr>
          <w:rFonts w:hint="eastAsia" w:ascii="宋体" w:hAnsi="宋体"/>
          <w:color w:val="auto"/>
          <w:sz w:val="24"/>
          <w:highlight w:val="none"/>
          <w:u w:val="single"/>
        </w:rPr>
        <w:t>雨天、国家规定节假日、甲方原因导致停工或增加项目、工程量导致工期延长及不可抗力原因导致停工。</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7.2 非上述原因，承包人不能按合同约定的时间竣工，承包人应承担违约责任。应向发包人支付误期赔偿费（每天赔偿金额为</w:t>
      </w:r>
      <w:r>
        <w:rPr>
          <w:rFonts w:hint="eastAsia" w:ascii="宋体" w:hAnsi="宋体"/>
          <w:color w:val="auto"/>
          <w:sz w:val="24"/>
          <w:highlight w:val="none"/>
          <w:u w:val="single"/>
        </w:rPr>
        <w:t>合同价的万分之</w:t>
      </w:r>
      <w:r>
        <w:rPr>
          <w:rFonts w:hint="eastAsia" w:ascii="宋体" w:hAnsi="宋体"/>
          <w:color w:val="auto"/>
          <w:sz w:val="24"/>
          <w:highlight w:val="none"/>
          <w:u w:val="single"/>
          <w:lang w:eastAsia="zh-CN"/>
        </w:rPr>
        <w:t>一</w:t>
      </w:r>
      <w:r>
        <w:rPr>
          <w:rFonts w:hint="eastAsia" w:ascii="宋体" w:hAnsi="宋体"/>
          <w:color w:val="auto"/>
          <w:sz w:val="24"/>
          <w:highlight w:val="none"/>
        </w:rPr>
        <w:t>），误期时间从</w:t>
      </w:r>
      <w:r>
        <w:rPr>
          <w:rFonts w:hint="eastAsia" w:ascii="宋体" w:hAnsi="宋体"/>
          <w:color w:val="auto"/>
          <w:sz w:val="24"/>
          <w:highlight w:val="none"/>
          <w:lang w:eastAsia="zh-CN"/>
        </w:rPr>
        <w:t>计划</w:t>
      </w:r>
      <w:r>
        <w:rPr>
          <w:rFonts w:hint="eastAsia" w:ascii="宋体" w:hAnsi="宋体"/>
          <w:color w:val="auto"/>
          <w:sz w:val="24"/>
          <w:highlight w:val="none"/>
        </w:rPr>
        <w:t>竣工日期起直到全部工程或相应部分工程竣工验收各方签章日期之间的天数（扣除发包人批准顺延的工期），</w:t>
      </w:r>
      <w:r>
        <w:rPr>
          <w:rFonts w:hint="eastAsia" w:ascii="宋体" w:hAnsi="宋体"/>
          <w:b w:val="0"/>
          <w:bCs w:val="0"/>
          <w:color w:val="auto"/>
          <w:sz w:val="24"/>
          <w:highlight w:val="none"/>
          <w:u w:val="none"/>
        </w:rPr>
        <w:t>其误期赔偿费限额</w:t>
      </w:r>
      <w:r>
        <w:rPr>
          <w:rFonts w:hint="eastAsia" w:ascii="宋体" w:hAnsi="宋体"/>
          <w:color w:val="auto"/>
          <w:sz w:val="24"/>
          <w:highlight w:val="none"/>
        </w:rPr>
        <w:t>为合同价的</w:t>
      </w:r>
      <w:r>
        <w:rPr>
          <w:rFonts w:hint="eastAsia" w:ascii="宋体" w:hAnsi="宋体"/>
          <w:color w:val="auto"/>
          <w:sz w:val="24"/>
          <w:highlight w:val="none"/>
          <w:u w:val="single"/>
        </w:rPr>
        <w:t>5 %</w:t>
      </w:r>
      <w:r>
        <w:rPr>
          <w:rFonts w:hint="eastAsia" w:ascii="宋体" w:hAnsi="宋体"/>
          <w:color w:val="auto"/>
          <w:sz w:val="24"/>
          <w:highlight w:val="none"/>
        </w:rPr>
        <w:t>。发包人可从应向承包人支付的任何金额中扣除此项赔款费或其他方式收回此款，此赔偿款的支付并不能解除承包人应完成工程的责任或合同规定的其他责任。</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3 因工程量变化和设计变更的工期予以顺延，即工期相应变化，质量要求不变。</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承包人必须按照合同工期或发包人同意顺延的工期竣工。</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四、质量与验收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8、工程质量</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8.1发包人对工程质量的特殊要求：</w:t>
      </w:r>
      <w:r>
        <w:rPr>
          <w:rFonts w:hAnsi="宋体"/>
          <w:color w:val="auto"/>
          <w:sz w:val="24"/>
          <w:szCs w:val="24"/>
          <w:highlight w:val="none"/>
          <w:u w:val="single"/>
        </w:rPr>
        <w:t>工程质量符合</w:t>
      </w:r>
      <w:r>
        <w:rPr>
          <w:rFonts w:hint="eastAsia" w:hAnsi="宋体"/>
          <w:color w:val="auto"/>
          <w:sz w:val="24"/>
          <w:szCs w:val="24"/>
          <w:highlight w:val="none"/>
          <w:u w:val="single"/>
        </w:rPr>
        <w:t>国家现行</w:t>
      </w:r>
      <w:r>
        <w:rPr>
          <w:rFonts w:hAnsi="宋体"/>
          <w:color w:val="auto"/>
          <w:sz w:val="24"/>
          <w:szCs w:val="24"/>
          <w:highlight w:val="none"/>
          <w:u w:val="single"/>
        </w:rPr>
        <w:t>《工程施工质量验收规范》合格标准</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9、隐蔽工程的中间验收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9.1质量标准的评定以国家或行业的质量检验评定标准为依据。</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9.2双方约定中间验收部位：</w:t>
      </w:r>
      <w:r>
        <w:rPr>
          <w:rFonts w:hint="eastAsia" w:hAnsi="宋体"/>
          <w:color w:val="auto"/>
          <w:sz w:val="24"/>
          <w:szCs w:val="24"/>
          <w:highlight w:val="none"/>
          <w:u w:val="single"/>
        </w:rPr>
        <w:t xml:space="preserve"> 无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9.3隐蔽工程和中间验收必须按照验收规范要求的程序组织验收，所有隐蔽工程、分部分项工程的质量验收，承包人应提前24小时书面通知业主代表，经业主项目负责人确认验收合格后，才能施工下道工序。如发现有不合格工程，承包人必须无条件、立即返工，并由此延误的工期不予顺延。如经项目负责人三次书面通知整改仍不改，且强行施工下道工序的，发包方有权解除本合同并要求承包方无条件立即退场，承包方应无条件立即清场退出，并赔偿一切损失及所有费用。 </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五、安全施工</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u w:val="single"/>
        </w:rPr>
        <w:t xml:space="preserve"> 按GF-1999-0201通用条款执行。</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六、合同价款与支付</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10、合同价款及调整</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10.1本合同价款采用</w:t>
      </w:r>
      <w:r>
        <w:rPr>
          <w:rFonts w:hint="eastAsia" w:hAnsi="宋体"/>
          <w:color w:val="auto"/>
          <w:sz w:val="24"/>
          <w:szCs w:val="24"/>
          <w:highlight w:val="none"/>
          <w:u w:val="single"/>
        </w:rPr>
        <w:t xml:space="preserve"> 固定综合单价合同</w:t>
      </w:r>
      <w:r>
        <w:rPr>
          <w:rFonts w:hint="eastAsia" w:hAnsi="宋体"/>
          <w:color w:val="auto"/>
          <w:sz w:val="24"/>
          <w:szCs w:val="24"/>
          <w:highlight w:val="none"/>
        </w:rPr>
        <w:t xml:space="preserve"> 方式确定。</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 xml:space="preserve">采用 </w:t>
      </w:r>
      <w:r>
        <w:rPr>
          <w:rFonts w:hint="eastAsia" w:hAnsi="宋体"/>
          <w:color w:val="auto"/>
          <w:sz w:val="24"/>
          <w:szCs w:val="24"/>
          <w:highlight w:val="none"/>
          <w:u w:val="single"/>
        </w:rPr>
        <w:t>固定综合单价合同</w:t>
      </w:r>
      <w:r>
        <w:rPr>
          <w:rFonts w:hint="eastAsia" w:hAnsi="宋体"/>
          <w:color w:val="auto"/>
          <w:sz w:val="24"/>
          <w:szCs w:val="24"/>
          <w:highlight w:val="none"/>
        </w:rPr>
        <w:t xml:space="preserve"> 方式，合同价款中包括的风险范围： </w:t>
      </w:r>
      <w:r>
        <w:rPr>
          <w:rFonts w:hint="eastAsia" w:hAnsi="宋体"/>
          <w:color w:val="auto"/>
          <w:sz w:val="24"/>
          <w:szCs w:val="24"/>
          <w:highlight w:val="none"/>
          <w:u w:val="single"/>
        </w:rPr>
        <w:t>除工程变更和政策性调整以外的其他风险。</w:t>
      </w:r>
    </w:p>
    <w:p>
      <w:pPr>
        <w:spacing w:line="440" w:lineRule="exact"/>
        <w:ind w:firstLine="616" w:firstLineChars="257"/>
        <w:rPr>
          <w:rFonts w:hint="eastAsia" w:ascii="宋体" w:hAnsi="宋体"/>
          <w:color w:val="auto"/>
          <w:sz w:val="24"/>
          <w:highlight w:val="none"/>
          <w:u w:val="single"/>
        </w:rPr>
      </w:pPr>
      <w:r>
        <w:rPr>
          <w:rFonts w:hint="eastAsia" w:ascii="宋体" w:hAnsi="宋体"/>
          <w:color w:val="auto"/>
          <w:sz w:val="24"/>
          <w:highlight w:val="none"/>
        </w:rPr>
        <w:t>风险范围以外合同价款调整方法：</w:t>
      </w:r>
      <w:r>
        <w:rPr>
          <w:rFonts w:hint="eastAsia" w:ascii="宋体" w:hAnsi="宋体"/>
          <w:color w:val="auto"/>
          <w:sz w:val="24"/>
          <w:highlight w:val="none"/>
          <w:u w:val="single"/>
        </w:rPr>
        <w:t>（一）因设计变更引起工程项目、工程量任何变化的，变更合同价款按下列方法进行：⑴</w:t>
      </w:r>
      <w:r>
        <w:rPr>
          <w:rFonts w:ascii="宋体" w:hAnsi="宋体"/>
          <w:color w:val="auto"/>
          <w:sz w:val="24"/>
          <w:highlight w:val="none"/>
          <w:u w:val="single"/>
        </w:rPr>
        <w:t>合同中已有适用于变更工程的价格，按合同已有的价格变更合同价款；</w:t>
      </w:r>
      <w:r>
        <w:rPr>
          <w:rFonts w:hint="eastAsia" w:ascii="宋体" w:hAnsi="宋体"/>
          <w:color w:val="auto"/>
          <w:sz w:val="24"/>
          <w:highlight w:val="none"/>
          <w:u w:val="single"/>
        </w:rPr>
        <w:t>⑵</w:t>
      </w:r>
      <w:r>
        <w:rPr>
          <w:rFonts w:ascii="宋体" w:hAnsi="宋体"/>
          <w:color w:val="auto"/>
          <w:sz w:val="24"/>
          <w:highlight w:val="none"/>
          <w:u w:val="single"/>
        </w:rPr>
        <w:t>合同中只有类似于</w:t>
      </w:r>
      <w:r>
        <w:rPr>
          <w:rFonts w:hint="eastAsia" w:ascii="宋体" w:hAnsi="宋体"/>
          <w:color w:val="auto"/>
          <w:sz w:val="24"/>
          <w:highlight w:val="none"/>
          <w:u w:val="single"/>
        </w:rPr>
        <w:t>变更</w:t>
      </w:r>
      <w:r>
        <w:rPr>
          <w:rFonts w:ascii="宋体" w:hAnsi="宋体"/>
          <w:color w:val="auto"/>
          <w:sz w:val="24"/>
          <w:highlight w:val="none"/>
          <w:u w:val="single"/>
        </w:rPr>
        <w:t>工程的价格，可以参照类似价格变更合同价款；</w:t>
      </w:r>
      <w:r>
        <w:rPr>
          <w:rFonts w:hint="eastAsia" w:ascii="宋体" w:hAnsi="宋体"/>
          <w:color w:val="auto"/>
          <w:sz w:val="24"/>
          <w:highlight w:val="none"/>
          <w:u w:val="single"/>
        </w:rPr>
        <w:t>⑶</w:t>
      </w:r>
      <w:r>
        <w:rPr>
          <w:rFonts w:ascii="宋体" w:hAnsi="宋体"/>
          <w:color w:val="auto"/>
          <w:sz w:val="24"/>
          <w:highlight w:val="none"/>
          <w:u w:val="single"/>
        </w:rPr>
        <w:t>合同中没有适用或类似于变更工程的价格，则有定额的套定额计算（</w:t>
      </w:r>
      <w:r>
        <w:rPr>
          <w:rFonts w:hint="eastAsia" w:ascii="宋体" w:hAnsi="宋体"/>
          <w:color w:val="auto"/>
          <w:sz w:val="24"/>
          <w:highlight w:val="none"/>
          <w:u w:val="single"/>
        </w:rPr>
        <w:t>土石方</w:t>
      </w:r>
      <w:r>
        <w:rPr>
          <w:rFonts w:ascii="宋体" w:hAnsi="宋体"/>
          <w:color w:val="auto"/>
          <w:sz w:val="24"/>
          <w:highlight w:val="none"/>
          <w:u w:val="single"/>
        </w:rPr>
        <w:t>除外），并乘以</w:t>
      </w:r>
      <w:r>
        <w:rPr>
          <w:rFonts w:hint="eastAsia" w:ascii="宋体" w:hAnsi="宋体"/>
          <w:color w:val="auto"/>
          <w:sz w:val="24"/>
          <w:highlight w:val="none"/>
          <w:u w:val="single"/>
        </w:rPr>
        <w:t>竞标</w:t>
      </w:r>
      <w:r>
        <w:rPr>
          <w:rFonts w:ascii="宋体" w:hAnsi="宋体"/>
          <w:color w:val="auto"/>
          <w:sz w:val="24"/>
          <w:highlight w:val="none"/>
          <w:u w:val="single"/>
        </w:rPr>
        <w:t>下浮系数（</w:t>
      </w:r>
      <w:r>
        <w:rPr>
          <w:rFonts w:hint="eastAsia" w:ascii="宋体" w:hAnsi="宋体"/>
          <w:color w:val="auto"/>
          <w:sz w:val="24"/>
          <w:highlight w:val="none"/>
          <w:u w:val="single"/>
        </w:rPr>
        <w:t>成交</w:t>
      </w:r>
      <w:r>
        <w:rPr>
          <w:rFonts w:ascii="宋体" w:hAnsi="宋体"/>
          <w:color w:val="auto"/>
          <w:sz w:val="24"/>
          <w:highlight w:val="none"/>
          <w:u w:val="single"/>
        </w:rPr>
        <w:t>价/</w:t>
      </w:r>
      <w:r>
        <w:rPr>
          <w:rFonts w:hint="eastAsia" w:ascii="宋体" w:hAnsi="宋体"/>
          <w:color w:val="auto"/>
          <w:sz w:val="24"/>
          <w:highlight w:val="none"/>
          <w:u w:val="single"/>
        </w:rPr>
        <w:t>经相关部门审定的</w:t>
      </w:r>
      <w:r>
        <w:rPr>
          <w:rFonts w:ascii="宋体" w:hAnsi="宋体"/>
          <w:color w:val="auto"/>
          <w:sz w:val="24"/>
          <w:highlight w:val="none"/>
          <w:u w:val="single"/>
        </w:rPr>
        <w:t>工程</w:t>
      </w:r>
      <w:r>
        <w:rPr>
          <w:rFonts w:hint="eastAsia" w:ascii="宋体" w:hAnsi="宋体"/>
          <w:color w:val="auto"/>
          <w:sz w:val="24"/>
          <w:highlight w:val="none"/>
          <w:u w:val="single"/>
        </w:rPr>
        <w:t>招标</w:t>
      </w:r>
      <w:r>
        <w:rPr>
          <w:rFonts w:ascii="宋体" w:hAnsi="宋体"/>
          <w:color w:val="auto"/>
          <w:sz w:val="24"/>
          <w:highlight w:val="none"/>
          <w:u w:val="single"/>
        </w:rPr>
        <w:t>控制价）计算，其中</w:t>
      </w:r>
      <w:r>
        <w:rPr>
          <w:rFonts w:hint="eastAsia" w:ascii="宋体" w:hAnsi="宋体"/>
          <w:b/>
          <w:bCs/>
          <w:color w:val="0000FF"/>
          <w:sz w:val="24"/>
          <w:highlight w:val="none"/>
          <w:u w:val="single"/>
        </w:rPr>
        <w:t>主要材料单价按照</w:t>
      </w:r>
      <w:r>
        <w:rPr>
          <w:rFonts w:hint="eastAsia" w:ascii="宋体" w:hAnsi="宋体"/>
          <w:b/>
          <w:bCs/>
          <w:color w:val="0000FF"/>
          <w:sz w:val="24"/>
          <w:highlight w:val="none"/>
          <w:u w:val="single"/>
          <w:lang w:eastAsia="zh-CN"/>
        </w:rPr>
        <w:t>2020年第八期《百色市建设工程造价信息》发布价格信息；对于造价信息没有发布价格信息的材料，其价格参照市场工地价</w:t>
      </w:r>
      <w:r>
        <w:rPr>
          <w:rFonts w:hint="eastAsia" w:ascii="宋体" w:hAnsi="宋体"/>
          <w:b/>
          <w:bCs/>
          <w:color w:val="0000FF"/>
          <w:sz w:val="24"/>
          <w:highlight w:val="none"/>
          <w:u w:val="single"/>
        </w:rPr>
        <w:t>(除税价)，无价格公布的参照同期百色信息价及市场询价，材料单价已含到施工工地的运费</w:t>
      </w:r>
      <w:r>
        <w:rPr>
          <w:rFonts w:hint="eastAsia" w:ascii="宋体" w:hAnsi="宋体"/>
          <w:b/>
          <w:bCs/>
          <w:color w:val="auto"/>
          <w:sz w:val="24"/>
          <w:highlight w:val="none"/>
          <w:u w:val="single"/>
          <w:lang w:eastAsia="zh-CN"/>
        </w:rPr>
        <w:t>。</w:t>
      </w:r>
      <w:r>
        <w:rPr>
          <w:rFonts w:hint="eastAsia" w:ascii="宋体" w:hAnsi="宋体"/>
          <w:color w:val="auto"/>
          <w:sz w:val="24"/>
          <w:highlight w:val="none"/>
          <w:u w:val="single"/>
        </w:rPr>
        <w:t>经建设单位、施工单位、监理单位三方签证，以相关部门审计结果为准</w:t>
      </w:r>
      <w:r>
        <w:rPr>
          <w:rFonts w:ascii="宋体" w:hAnsi="宋体"/>
          <w:color w:val="auto"/>
          <w:sz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u w:val="single"/>
        </w:rPr>
        <w:t>（二）国家和自治区政策性调整有关费用标准的，按文件规定执行。</w:t>
      </w:r>
      <w:r>
        <w:rPr>
          <w:rFonts w:hint="eastAsia" w:hAnsi="宋体"/>
          <w:color w:val="auto"/>
          <w:sz w:val="24"/>
          <w:szCs w:val="24"/>
          <w:highlight w:val="none"/>
        </w:rPr>
        <w:t xml:space="preserve">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10.2双方约定合同价款的其他调整因素：</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b/>
          <w:bCs/>
          <w:color w:val="auto"/>
          <w:sz w:val="24"/>
          <w:szCs w:val="24"/>
          <w:highlight w:val="none"/>
        </w:rPr>
      </w:pPr>
      <w:r>
        <w:rPr>
          <w:rFonts w:hint="eastAsia" w:hAnsi="宋体"/>
          <w:color w:val="auto"/>
          <w:sz w:val="24"/>
          <w:szCs w:val="24"/>
          <w:highlight w:val="none"/>
        </w:rPr>
        <w:t>11、</w:t>
      </w:r>
      <w:r>
        <w:rPr>
          <w:rFonts w:hint="eastAsia" w:hAnsi="宋体"/>
          <w:b/>
          <w:bCs/>
          <w:color w:val="auto"/>
          <w:sz w:val="24"/>
          <w:szCs w:val="24"/>
          <w:highlight w:val="none"/>
        </w:rPr>
        <w:t>工程预付款：</w:t>
      </w:r>
      <w:r>
        <w:rPr>
          <w:rFonts w:hint="eastAsia" w:hAnsi="宋体"/>
          <w:b/>
          <w:bCs/>
          <w:color w:val="auto"/>
          <w:sz w:val="24"/>
          <w:szCs w:val="24"/>
          <w:highlight w:val="none"/>
          <w:u w:val="single"/>
        </w:rPr>
        <w:t xml:space="preserve">  无。</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12、工程量确认</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12.1承包人向发包人提交已完工程量报告的时间：</w:t>
      </w:r>
      <w:r>
        <w:rPr>
          <w:rFonts w:hint="eastAsia" w:hAnsi="宋体"/>
          <w:color w:val="auto"/>
          <w:sz w:val="24"/>
          <w:szCs w:val="24"/>
          <w:highlight w:val="none"/>
          <w:u w:val="single"/>
        </w:rPr>
        <w:t>每月25日前报工程进度。</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12.1.1</w:t>
      </w:r>
      <w:r>
        <w:rPr>
          <w:rFonts w:ascii="宋体" w:hAnsi="宋体"/>
          <w:color w:val="auto"/>
          <w:sz w:val="24"/>
          <w:highlight w:val="none"/>
        </w:rPr>
        <w:t>工程量清单所列的工程量，不能作为承包人按合同履行其责任依据，实际施工中发生的工程量增加或减少并不影响承包人履行合同的责任，工程结算以完成的实际工程量为准。</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13、工程款（进度款）支付</w:t>
      </w:r>
    </w:p>
    <w:p>
      <w:pPr>
        <w:pStyle w:val="17"/>
        <w:spacing w:line="440" w:lineRule="exact"/>
        <w:ind w:firstLine="506" w:firstLineChars="210"/>
        <w:rPr>
          <w:rFonts w:hint="eastAsia" w:hAnsi="宋体"/>
          <w:color w:val="0000FF"/>
          <w:sz w:val="24"/>
          <w:szCs w:val="24"/>
          <w:highlight w:val="none"/>
          <w:u w:val="single"/>
        </w:rPr>
      </w:pPr>
      <w:r>
        <w:rPr>
          <w:rFonts w:hAnsi="宋体"/>
          <w:b/>
          <w:color w:val="auto"/>
          <w:sz w:val="24"/>
          <w:szCs w:val="24"/>
          <w:highlight w:val="none"/>
        </w:rPr>
        <w:t>13.1</w:t>
      </w:r>
      <w:r>
        <w:rPr>
          <w:rFonts w:hint="eastAsia" w:hAnsi="宋体"/>
          <w:b/>
          <w:color w:val="FF0000"/>
          <w:sz w:val="24"/>
          <w:szCs w:val="24"/>
          <w:highlight w:val="none"/>
          <w:u w:val="single"/>
        </w:rPr>
        <w:t>本工程款原则上按月支付，合同内进度款支付限额为已完成合格工程量的</w:t>
      </w:r>
      <w:r>
        <w:rPr>
          <w:rFonts w:hint="eastAsia" w:hAnsi="宋体"/>
          <w:b/>
          <w:color w:val="FF0000"/>
          <w:sz w:val="24"/>
          <w:szCs w:val="24"/>
          <w:highlight w:val="none"/>
          <w:u w:val="single"/>
          <w:lang w:val="en-US" w:eastAsia="zh-CN"/>
        </w:rPr>
        <w:t>80</w:t>
      </w:r>
      <w:r>
        <w:rPr>
          <w:rFonts w:hint="eastAsia" w:hAnsi="宋体"/>
          <w:b/>
          <w:color w:val="FF0000"/>
          <w:sz w:val="24"/>
          <w:szCs w:val="24"/>
          <w:highlight w:val="none"/>
          <w:u w:val="single"/>
        </w:rPr>
        <w:t>%（经发包人和监理工程师确认后，提供项目所在地预缴完税证明复印件及增值税发票之日起15天内支付），工程变更部分进度款支付限额为已完成工程量的</w:t>
      </w:r>
      <w:r>
        <w:rPr>
          <w:rFonts w:hint="eastAsia" w:hAnsi="宋体"/>
          <w:b/>
          <w:color w:val="FF0000"/>
          <w:sz w:val="24"/>
          <w:szCs w:val="24"/>
          <w:highlight w:val="none"/>
          <w:u w:val="single"/>
          <w:lang w:val="en-US" w:eastAsia="zh-CN"/>
        </w:rPr>
        <w:t>70</w:t>
      </w:r>
      <w:r>
        <w:rPr>
          <w:rFonts w:hint="eastAsia" w:hAnsi="宋体"/>
          <w:b/>
          <w:color w:val="FF0000"/>
          <w:sz w:val="24"/>
          <w:szCs w:val="24"/>
          <w:highlight w:val="none"/>
          <w:u w:val="single"/>
        </w:rPr>
        <w:t>%</w:t>
      </w:r>
      <w:r>
        <w:rPr>
          <w:rFonts w:hint="eastAsia" w:hAnsi="宋体"/>
          <w:b/>
          <w:color w:val="FF0000"/>
          <w:sz w:val="24"/>
          <w:szCs w:val="24"/>
          <w:highlight w:val="none"/>
          <w:u w:val="single"/>
          <w:lang w:val="en-US" w:eastAsia="zh-CN"/>
        </w:rPr>
        <w:t>；</w:t>
      </w:r>
      <w:r>
        <w:rPr>
          <w:rFonts w:hint="eastAsia" w:hAnsi="宋体"/>
          <w:b/>
          <w:color w:val="FF0000"/>
          <w:sz w:val="24"/>
          <w:szCs w:val="24"/>
          <w:highlight w:val="none"/>
          <w:u w:val="single"/>
        </w:rPr>
        <w:t>结算经审计部门审定后，工程款支付至结算总价的97%，发包人按工程价款结算总额的3%预留工程质量保修金，待工程保修期满后再清算（不计利息）</w:t>
      </w:r>
      <w:r>
        <w:rPr>
          <w:rFonts w:hAnsi="宋体"/>
          <w:b/>
          <w:bCs w:val="0"/>
          <w:color w:val="FF0000"/>
          <w:sz w:val="24"/>
          <w:szCs w:val="24"/>
          <w:highlight w:val="none"/>
          <w:u w:val="single"/>
        </w:rPr>
        <w:t>。</w:t>
      </w:r>
    </w:p>
    <w:p>
      <w:pPr>
        <w:pStyle w:val="17"/>
        <w:tabs>
          <w:tab w:val="left" w:pos="420"/>
        </w:tabs>
        <w:spacing w:line="44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rPr>
        <w:t>13.2工程款支付方式：</w:t>
      </w:r>
      <w:r>
        <w:rPr>
          <w:rFonts w:hint="eastAsia" w:hAnsi="宋体"/>
          <w:color w:val="auto"/>
          <w:sz w:val="24"/>
          <w:szCs w:val="24"/>
          <w:highlight w:val="none"/>
          <w:u w:val="single"/>
        </w:rPr>
        <w:t xml:space="preserve"> 银行转账。</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14、材料设备供应：</w:t>
      </w:r>
      <w:r>
        <w:rPr>
          <w:rFonts w:hint="eastAsia" w:hAnsi="宋体"/>
          <w:color w:val="auto"/>
          <w:sz w:val="24"/>
          <w:szCs w:val="24"/>
          <w:highlight w:val="none"/>
          <w:u w:val="single"/>
        </w:rPr>
        <w:t>由承包方组织。</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七、工程变更</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工程变更</w:t>
      </w:r>
      <w:r>
        <w:rPr>
          <w:rFonts w:hint="eastAsia" w:hAnsi="宋体"/>
          <w:color w:val="auto"/>
          <w:sz w:val="24"/>
          <w:szCs w:val="24"/>
          <w:highlight w:val="none"/>
          <w:u w:val="single"/>
        </w:rPr>
        <w:t>，需经双方确认签证后套用定额计算工程费用，然后据此相应增加工程造价。</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八、竣工验收与结算</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15、竣工验收：</w:t>
      </w:r>
      <w:r>
        <w:rPr>
          <w:rFonts w:hint="eastAsia" w:hAnsi="宋体"/>
          <w:color w:val="auto"/>
          <w:sz w:val="24"/>
          <w:szCs w:val="24"/>
          <w:highlight w:val="none"/>
          <w:u w:val="single"/>
        </w:rPr>
        <w:t>工程完工30天内由发包方组织工程验收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15.1承包人提供竣工图的约定： </w:t>
      </w:r>
      <w:r>
        <w:rPr>
          <w:rFonts w:hint="eastAsia" w:hAnsi="宋体"/>
          <w:color w:val="auto"/>
          <w:sz w:val="24"/>
          <w:szCs w:val="24"/>
          <w:highlight w:val="none"/>
          <w:u w:val="single"/>
        </w:rPr>
        <w:t>发包方正式提出要求15天内，承包方必须提供5份竣工图。</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15.2中间交工工程的范围和竣工时间：</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15.3承包方在工程验收后10日内，将工程结算单交发包方，由发包方送审计部门确认。</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九、违约、索赔和争议</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16、违约</w:t>
      </w:r>
    </w:p>
    <w:p>
      <w:pPr>
        <w:pStyle w:val="17"/>
        <w:spacing w:line="440" w:lineRule="exact"/>
        <w:ind w:firstLine="504" w:firstLineChars="210"/>
        <w:rPr>
          <w:rFonts w:hint="eastAsia" w:hAnsi="宋体"/>
          <w:color w:val="auto"/>
          <w:sz w:val="24"/>
          <w:szCs w:val="24"/>
          <w:highlight w:val="none"/>
          <w:lang w:eastAsia="zh-CN"/>
        </w:rPr>
      </w:pPr>
      <w:r>
        <w:rPr>
          <w:rFonts w:hint="eastAsia" w:hAnsi="宋体"/>
          <w:color w:val="auto"/>
          <w:sz w:val="24"/>
          <w:szCs w:val="24"/>
          <w:highlight w:val="none"/>
        </w:rPr>
        <w:t>16.1</w:t>
      </w:r>
      <w:r>
        <w:rPr>
          <w:rFonts w:hint="eastAsia" w:hAnsi="宋体"/>
          <w:color w:val="auto"/>
          <w:sz w:val="24"/>
          <w:szCs w:val="24"/>
          <w:highlight w:val="none"/>
          <w:lang w:eastAsia="zh-CN"/>
        </w:rPr>
        <w:t>发包人违约的情形：</w:t>
      </w:r>
    </w:p>
    <w:p>
      <w:pPr>
        <w:pStyle w:val="17"/>
        <w:spacing w:line="440" w:lineRule="exact"/>
        <w:ind w:firstLine="504" w:firstLineChars="21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16.1.1本通用条款第26.4款提到的发包人不按合同约定支付工程款，导致施工无法进行；</w:t>
      </w:r>
    </w:p>
    <w:p>
      <w:pPr>
        <w:pStyle w:val="17"/>
        <w:spacing w:line="440" w:lineRule="exact"/>
        <w:ind w:firstLine="504" w:firstLineChars="21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16.1.2本通用条款第33.3款提到的发包人无正当理由不支付工程竣工结算价款；</w:t>
      </w:r>
    </w:p>
    <w:p>
      <w:pPr>
        <w:pStyle w:val="17"/>
        <w:spacing w:line="440" w:lineRule="exact"/>
        <w:ind w:firstLine="504" w:firstLineChars="210"/>
        <w:rPr>
          <w:rFonts w:hint="default" w:hAnsi="宋体"/>
          <w:color w:val="auto"/>
          <w:sz w:val="24"/>
          <w:szCs w:val="24"/>
          <w:highlight w:val="none"/>
          <w:lang w:val="en-US" w:eastAsia="zh-CN"/>
        </w:rPr>
      </w:pPr>
      <w:r>
        <w:rPr>
          <w:rFonts w:hint="eastAsia" w:hAnsi="宋体"/>
          <w:color w:val="auto"/>
          <w:sz w:val="24"/>
          <w:szCs w:val="24"/>
          <w:highlight w:val="none"/>
          <w:lang w:val="en-US" w:eastAsia="zh-CN"/>
        </w:rPr>
        <w:t>16.1.3发包人不履行合同义务或不按合同约定履行义务的其他情况。</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lang w:val="en-US" w:eastAsia="zh-CN"/>
        </w:rPr>
        <w:t>16.2</w:t>
      </w:r>
      <w:r>
        <w:rPr>
          <w:rFonts w:hint="eastAsia" w:hAnsi="宋体"/>
          <w:color w:val="auto"/>
          <w:sz w:val="24"/>
          <w:szCs w:val="24"/>
          <w:highlight w:val="none"/>
        </w:rPr>
        <w:t>本合同中关于发包人违约的具体责任如下：</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本合同通用条款第24条约定发包人违约应承担的违约责任：</w:t>
      </w:r>
      <w:r>
        <w:rPr>
          <w:rFonts w:hint="eastAsia" w:hAnsi="宋体"/>
          <w:color w:val="auto"/>
          <w:sz w:val="24"/>
          <w:szCs w:val="24"/>
          <w:highlight w:val="none"/>
          <w:u w:val="single"/>
          <w:lang w:val="en-US" w:eastAsia="zh-CN"/>
        </w:rPr>
        <w:t>执行通用条款</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本合同通用条款第26.4条约定发包人违约应承担责任：</w:t>
      </w:r>
      <w:r>
        <w:rPr>
          <w:rFonts w:hint="eastAsia" w:hAnsi="宋体"/>
          <w:color w:val="auto"/>
          <w:sz w:val="24"/>
          <w:szCs w:val="24"/>
          <w:highlight w:val="none"/>
          <w:u w:val="single"/>
          <w:lang w:val="en-US" w:eastAsia="zh-CN"/>
        </w:rPr>
        <w:t>执行通用条款</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本合同通用条款第33.3条约定发包人违约应承担的违约责任：</w:t>
      </w:r>
      <w:r>
        <w:rPr>
          <w:rFonts w:hint="eastAsia" w:hAnsi="宋体"/>
          <w:color w:val="auto"/>
          <w:sz w:val="24"/>
          <w:szCs w:val="24"/>
          <w:highlight w:val="none"/>
          <w:u w:val="single"/>
        </w:rPr>
        <w:t>如发生，双方协商解决。</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双方约定的发包人其他违约责任 </w:t>
      </w:r>
      <w:r>
        <w:rPr>
          <w:rFonts w:hint="eastAsia" w:hAnsi="宋体"/>
          <w:color w:val="auto"/>
          <w:sz w:val="24"/>
          <w:szCs w:val="24"/>
          <w:highlight w:val="none"/>
          <w:u w:val="single"/>
        </w:rPr>
        <w:t>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w:t>
      </w:r>
      <w:r>
        <w:rPr>
          <w:rFonts w:hint="eastAsia" w:hAnsi="宋体"/>
          <w:color w:val="auto"/>
          <w:sz w:val="24"/>
          <w:szCs w:val="24"/>
          <w:highlight w:val="none"/>
          <w:lang w:val="en-US" w:eastAsia="zh-CN"/>
        </w:rPr>
        <w:t>3</w:t>
      </w:r>
      <w:r>
        <w:rPr>
          <w:rFonts w:hint="eastAsia" w:hAnsi="宋体"/>
          <w:color w:val="auto"/>
          <w:sz w:val="24"/>
          <w:szCs w:val="24"/>
          <w:highlight w:val="none"/>
        </w:rPr>
        <w:t>本合同中关于承包违约的具体责任如下：</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本合同通用条款第14.2款约定承包人违约承担的违约责任：</w:t>
      </w:r>
      <w:r>
        <w:rPr>
          <w:rFonts w:hint="eastAsia" w:hAnsi="宋体"/>
          <w:color w:val="auto"/>
          <w:sz w:val="24"/>
          <w:szCs w:val="24"/>
          <w:highlight w:val="none"/>
          <w:u w:val="single"/>
        </w:rPr>
        <w:t>承包人每延误一天，向发包人支付合同价0.0</w:t>
      </w:r>
      <w:r>
        <w:rPr>
          <w:rFonts w:hint="eastAsia" w:hAnsi="宋体"/>
          <w:color w:val="auto"/>
          <w:sz w:val="24"/>
          <w:szCs w:val="24"/>
          <w:highlight w:val="none"/>
          <w:u w:val="single"/>
          <w:lang w:val="en-US" w:eastAsia="zh-CN"/>
        </w:rPr>
        <w:t>1</w:t>
      </w:r>
      <w:r>
        <w:rPr>
          <w:rFonts w:hint="eastAsia" w:hAnsi="宋体"/>
          <w:color w:val="auto"/>
          <w:sz w:val="24"/>
          <w:szCs w:val="24"/>
          <w:highlight w:val="none"/>
          <w:u w:val="single"/>
        </w:rPr>
        <w:t>%/天的违约赔偿费；赔偿限额为合同价的5%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17、争议</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u w:val="single"/>
        </w:rPr>
        <w:t>双方约定，在履行合同过程中产生争议时，由双方当事人协商解决。如果协商不成，任何一方均有权向施工所在地的人民法院起诉。</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十、其他</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18、工程分包</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18.1本工程发包人同意承包人分包的工程：</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19不可抗力</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19.1双方关于不可抗力的约定：按照合同通用条款39.1款规定，双方约定：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1、（6）级以上的地震；</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2、（7）级以上的持续（1）天的大风；</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3、（暴雨）级以上的持续（3）天的大雨；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4、（20）年以上未发生，持续（3）天的高温天气；</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5、（20）年以上未发生，持续（3）天的严寒天气；</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6、（20）年以上未发生过的洪水。</w:t>
      </w:r>
    </w:p>
    <w:p>
      <w:pPr>
        <w:pStyle w:val="17"/>
        <w:spacing w:line="440" w:lineRule="exact"/>
        <w:ind w:firstLine="504" w:firstLineChars="210"/>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7、法律法规规定的其他影响施工的不可抗力情形。</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以上几种形式，应以造成灾害和影响施工为准。</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20、保险</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20.1本工程双方约定投保内容如下：</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（1）发包人投保内容：</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i/>
          <w:color w:val="auto"/>
          <w:sz w:val="24"/>
          <w:szCs w:val="24"/>
          <w:highlight w:val="none"/>
        </w:rPr>
      </w:pPr>
      <w:r>
        <w:rPr>
          <w:rFonts w:hint="eastAsia" w:hAnsi="宋体"/>
          <w:color w:val="auto"/>
          <w:sz w:val="24"/>
          <w:szCs w:val="24"/>
          <w:highlight w:val="none"/>
        </w:rPr>
        <w:t>发包人委托承包人办理的保险事项：</w:t>
      </w:r>
      <w:r>
        <w:rPr>
          <w:rFonts w:hint="eastAsia" w:hAnsi="宋体"/>
          <w:i w:val="0"/>
          <w:iCs/>
          <w:color w:val="auto"/>
          <w:sz w:val="24"/>
          <w:szCs w:val="24"/>
          <w:highlight w:val="none"/>
          <w:u w:val="single"/>
        </w:rPr>
        <w:t xml:space="preserve"> 无 </w:t>
      </w:r>
      <w:r>
        <w:rPr>
          <w:rFonts w:hint="eastAsia" w:hAnsi="宋体"/>
          <w:i/>
          <w:color w:val="auto"/>
          <w:sz w:val="24"/>
          <w:szCs w:val="24"/>
          <w:highlight w:val="none"/>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（2）承包人投保内容：</w:t>
      </w:r>
      <w:r>
        <w:rPr>
          <w:rFonts w:hint="eastAsia" w:hAnsi="宋体"/>
          <w:color w:val="auto"/>
          <w:sz w:val="24"/>
          <w:szCs w:val="24"/>
          <w:highlight w:val="none"/>
          <w:u w:val="single"/>
          <w:lang w:eastAsia="zh-CN"/>
        </w:rPr>
        <w:t>工</w:t>
      </w:r>
      <w:r>
        <w:rPr>
          <w:rFonts w:hint="eastAsia" w:hAnsi="宋体"/>
          <w:color w:val="auto"/>
          <w:sz w:val="24"/>
          <w:szCs w:val="24"/>
          <w:highlight w:val="none"/>
          <w:u w:val="single"/>
        </w:rPr>
        <w:t>程险、雇主责任险、第三者责任险、施工人员意外伤亡和人身事故险，上述保险由发包人统一代承包人与保险公司办理保险合同，保险费由承包人负责，具体保险索赔事宜由承包人与保险公司直接联系。</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21、担保</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21.1本工程双方约定担保事项：</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22、合同份数</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22.1双方约定合同副本份数： </w:t>
      </w:r>
      <w:r>
        <w:rPr>
          <w:rFonts w:hint="eastAsia" w:hAnsi="宋体"/>
          <w:color w:val="auto"/>
          <w:sz w:val="24"/>
          <w:szCs w:val="24"/>
          <w:highlight w:val="none"/>
          <w:u w:val="single"/>
        </w:rPr>
        <w:t>本合同一式四份。</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23、补充条款：</w:t>
      </w:r>
      <w:r>
        <w:rPr>
          <w:rFonts w:hint="eastAsia" w:hAnsi="宋体"/>
          <w:color w:val="auto"/>
          <w:sz w:val="24"/>
          <w:szCs w:val="24"/>
          <w:highlight w:val="none"/>
          <w:u w:val="single"/>
        </w:rPr>
        <w:t>合同未尽事宜，双方协商确定。</w:t>
      </w:r>
    </w:p>
    <w:p>
      <w:pPr>
        <w:pStyle w:val="17"/>
        <w:spacing w:line="440" w:lineRule="exact"/>
        <w:rPr>
          <w:rFonts w:hint="eastAsia" w:hAnsi="宋体"/>
          <w:color w:val="auto"/>
          <w:sz w:val="24"/>
          <w:szCs w:val="24"/>
          <w:highlight w:val="none"/>
        </w:rPr>
      </w:pPr>
    </w:p>
    <w:p>
      <w:pPr>
        <w:spacing w:line="360" w:lineRule="auto"/>
        <w:ind w:firstLine="200"/>
        <w:jc w:val="center"/>
        <w:rPr>
          <w:rFonts w:hint="eastAsia" w:ascii="宋体" w:hAnsi="宋体"/>
          <w:b/>
          <w:color w:val="auto"/>
          <w:sz w:val="44"/>
          <w:szCs w:val="44"/>
          <w:highlight w:val="none"/>
        </w:rPr>
      </w:pPr>
      <w:r>
        <w:rPr>
          <w:rFonts w:ascii="宋体" w:hAnsi="宋体"/>
          <w:b/>
          <w:color w:val="auto"/>
          <w:sz w:val="44"/>
          <w:szCs w:val="44"/>
          <w:highlight w:val="none"/>
        </w:rPr>
        <w:br w:type="page"/>
      </w:r>
      <w:r>
        <w:rPr>
          <w:rFonts w:hint="eastAsia" w:ascii="宋体" w:hAnsi="宋体"/>
          <w:b/>
          <w:color w:val="auto"/>
          <w:sz w:val="44"/>
          <w:szCs w:val="44"/>
          <w:highlight w:val="none"/>
        </w:rPr>
        <w:t>工程质量保修书</w:t>
      </w:r>
    </w:p>
    <w:p>
      <w:pPr>
        <w:spacing w:line="360" w:lineRule="auto"/>
        <w:ind w:firstLine="200"/>
        <w:rPr>
          <w:rFonts w:hint="eastAsia" w:ascii="宋体" w:hAnsi="宋体"/>
          <w:color w:val="auto"/>
          <w:sz w:val="32"/>
          <w:szCs w:val="32"/>
          <w:highlight w:val="none"/>
        </w:rPr>
      </w:pP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lang w:eastAsia="zh-CN"/>
        </w:rPr>
        <w:t>百色市田阳区住房和城乡建设局</w:t>
      </w:r>
      <w:r>
        <w:rPr>
          <w:rFonts w:hint="eastAsia" w:ascii="宋体" w:hAnsi="宋体"/>
          <w:color w:val="auto"/>
          <w:sz w:val="24"/>
          <w:highlight w:val="none"/>
          <w:u w:val="single"/>
        </w:rPr>
        <w:t xml:space="preserve">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发包人、承包人根据《中华人民共和国市政公用法》、《建筑工程质量管理条例》及有关法律、法规、规章的管理规定，经协商一致，对</w:t>
      </w:r>
      <w:r>
        <w:rPr>
          <w:rFonts w:hint="eastAsia" w:ascii="宋体" w:hAnsi="宋体"/>
          <w:color w:val="auto"/>
          <w:sz w:val="24"/>
          <w:highlight w:val="none"/>
          <w:u w:val="single"/>
        </w:rPr>
        <w:t xml:space="preserve">                    工程</w:t>
      </w:r>
      <w:r>
        <w:rPr>
          <w:rFonts w:hint="eastAsia" w:ascii="宋体" w:hAnsi="宋体"/>
          <w:color w:val="auto"/>
          <w:sz w:val="24"/>
          <w:highlight w:val="none"/>
        </w:rPr>
        <w:t>签订工程质量保修书。</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一、工程质量保修范围和内容</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承包人在质量保修期内，按照有关法律、法规、规章的管理规定和双方约定，承担本工程质量保修责任。</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质量保修范围双方约定如下：</w:t>
      </w:r>
      <w:r>
        <w:rPr>
          <w:rFonts w:hint="eastAsia" w:ascii="宋体" w:hAnsi="宋体"/>
          <w:color w:val="auto"/>
          <w:sz w:val="24"/>
          <w:highlight w:val="none"/>
          <w:u w:val="single"/>
        </w:rPr>
        <w:t>工程完工验收合格后，1年内没有质量问题，付清扣</w:t>
      </w:r>
      <w:r>
        <w:rPr>
          <w:rFonts w:hint="eastAsia" w:ascii="宋体" w:hAnsi="宋体"/>
          <w:color w:val="auto"/>
          <w:sz w:val="24"/>
          <w:highlight w:val="none"/>
          <w:u w:val="single"/>
          <w:lang w:eastAsia="zh-CN"/>
        </w:rPr>
        <w:t>留</w:t>
      </w:r>
      <w:r>
        <w:rPr>
          <w:rFonts w:hint="eastAsia" w:ascii="宋体" w:hAnsi="宋体"/>
          <w:color w:val="auto"/>
          <w:sz w:val="24"/>
          <w:highlight w:val="none"/>
          <w:u w:val="single"/>
        </w:rPr>
        <w:t>的工程保修金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二、质量保修期</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双方根据《建设工程质量管理条例》及有关规定，约定本工程的质量保修期如下：</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按国家现行有关规定执行 </w:t>
      </w:r>
      <w:r>
        <w:rPr>
          <w:rFonts w:hint="eastAsia" w:ascii="宋体" w:hAnsi="宋体"/>
          <w:color w:val="auto"/>
          <w:sz w:val="24"/>
          <w:highlight w:val="none"/>
        </w:rPr>
        <w:t>。质量保修期为一年即自工程</w:t>
      </w:r>
      <w:r>
        <w:rPr>
          <w:rFonts w:hint="eastAsia" w:ascii="宋体" w:hAnsi="宋体"/>
          <w:color w:val="auto"/>
          <w:sz w:val="24"/>
          <w:highlight w:val="none"/>
          <w:u w:val="single"/>
        </w:rPr>
        <w:t>完工</w:t>
      </w:r>
      <w:r>
        <w:rPr>
          <w:rFonts w:hint="eastAsia" w:ascii="宋体" w:hAnsi="宋体"/>
          <w:color w:val="auto"/>
          <w:sz w:val="24"/>
          <w:highlight w:val="none"/>
        </w:rPr>
        <w:t>验收合格之日起计算。</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三、质量保修责任</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1、属于保修范围、内容的项目，承包人应当在接到保修通知之日起5天内派人保修。承包人不在约定期限内派人保修的，发包人可以委托他人修理。</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2、发生须紧急抢修事故的，承包人在接到故通知后，应当立即到达事故现场抢修。</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3、对于涉及结构安全的质量问题，应当按规定，立即向当地建设行政主管部门报告，采取安全防范措施；由原财政投资评审中心或者具有相应资质等级的财政投资评审中心提出保修方案，承包人实施保修。</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4、质量保修完成后，由发包人组织验收。</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5、质量保修期为壹年</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四、保修费用</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本工程约定的工程质量保修金为施工结算价的</w:t>
      </w:r>
      <w:r>
        <w:rPr>
          <w:rFonts w:hint="eastAsia" w:ascii="宋体" w:hAnsi="宋体"/>
          <w:color w:val="auto"/>
          <w:sz w:val="24"/>
          <w:highlight w:val="none"/>
          <w:lang w:val="en-US" w:eastAsia="zh-CN"/>
        </w:rPr>
        <w:t>3</w:t>
      </w:r>
      <w:r>
        <w:rPr>
          <w:rFonts w:hint="eastAsia" w:ascii="宋体" w:hAnsi="宋体"/>
          <w:color w:val="auto"/>
          <w:sz w:val="24"/>
          <w:highlight w:val="none"/>
        </w:rPr>
        <w:t>%。质量保修金银行利率为零。</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五、质量保修金的返还</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甲方在应付款中扣出的质量保修金，在工程完工交付使用一年后，如未发现工程质量问题，将保修金（不计利息）退回乙方。在保修期内乙方应按保修内容进行保修，若乙方接到甲方保修通知书在5天内未派人进行修理的，甲方则安排其它公司修理，在保修期内发生的修理费用由乙方负责或由甲方从保修金中扣出。</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六、其他</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 xml:space="preserve"> 无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本项目质量保修书，由施工合同发包人、承包人双方在</w:t>
      </w:r>
      <w:r>
        <w:rPr>
          <w:rFonts w:hint="eastAsia" w:ascii="宋体" w:hAnsi="宋体"/>
          <w:color w:val="auto"/>
          <w:sz w:val="24"/>
          <w:highlight w:val="none"/>
          <w:u w:val="single"/>
        </w:rPr>
        <w:t>完工</w:t>
      </w:r>
      <w:r>
        <w:rPr>
          <w:rFonts w:hint="eastAsia" w:ascii="宋体" w:hAnsi="宋体"/>
          <w:color w:val="auto"/>
          <w:sz w:val="24"/>
          <w:highlight w:val="none"/>
        </w:rPr>
        <w:t>验收前共同签署，作为施工合同附件，其有效期至保修期满。</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发包人（公章）：                   承包人（公章）：</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法定代表人（签字）：               法定代表人（签字）：</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委托代理人（签字）：               委托项目代理人：</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624" w:firstLineChars="260"/>
        <w:rPr>
          <w:rFonts w:hint="eastAsia" w:ascii="宋体" w:hAnsi="宋体"/>
          <w:color w:val="auto"/>
          <w:sz w:val="24"/>
          <w:highlight w:val="none"/>
        </w:rPr>
      </w:pPr>
      <w:r>
        <w:rPr>
          <w:rFonts w:hint="eastAsia" w:ascii="宋体" w:hAnsi="宋体"/>
          <w:color w:val="auto"/>
          <w:sz w:val="24"/>
          <w:highlight w:val="none"/>
        </w:rPr>
        <w:t>年  月   日                        年  月  日</w:t>
      </w:r>
    </w:p>
    <w:p>
      <w:pPr>
        <w:spacing w:line="440" w:lineRule="exact"/>
        <w:rPr>
          <w:rFonts w:hint="eastAsia" w:ascii="宋体" w:hAnsi="宋体"/>
          <w:b/>
          <w:color w:val="auto"/>
          <w:sz w:val="44"/>
          <w:szCs w:val="44"/>
          <w:highlight w:val="none"/>
        </w:rPr>
      </w:pPr>
    </w:p>
    <w:p>
      <w:pPr>
        <w:spacing w:line="440" w:lineRule="exact"/>
        <w:rPr>
          <w:rFonts w:hint="eastAsia" w:ascii="宋体" w:hAnsi="宋体"/>
          <w:b/>
          <w:color w:val="auto"/>
          <w:sz w:val="44"/>
          <w:szCs w:val="44"/>
          <w:highlight w:val="none"/>
        </w:rPr>
      </w:pPr>
    </w:p>
    <w:p>
      <w:pPr>
        <w:spacing w:line="440" w:lineRule="exact"/>
        <w:jc w:val="center"/>
        <w:rPr>
          <w:rFonts w:ascii="宋体" w:hAnsi="宋体"/>
          <w:b/>
          <w:color w:val="auto"/>
          <w:sz w:val="44"/>
          <w:szCs w:val="44"/>
          <w:highlight w:val="none"/>
        </w:rPr>
      </w:pPr>
      <w:r>
        <w:rPr>
          <w:rFonts w:ascii="宋体" w:hAnsi="宋体"/>
          <w:b/>
          <w:color w:val="auto"/>
          <w:sz w:val="44"/>
          <w:szCs w:val="44"/>
          <w:highlight w:val="none"/>
        </w:rPr>
        <w:br w:type="page"/>
      </w:r>
    </w:p>
    <w:p>
      <w:pPr>
        <w:spacing w:line="44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安全生产协议书</w:t>
      </w:r>
    </w:p>
    <w:p>
      <w:pPr>
        <w:spacing w:line="440" w:lineRule="exact"/>
        <w:rPr>
          <w:rFonts w:hint="eastAsia" w:ascii="宋体" w:hAnsi="宋体"/>
          <w:color w:val="auto"/>
          <w:sz w:val="32"/>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甲方(建设单位)：</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乙方(施工单位)： </w:t>
      </w:r>
    </w:p>
    <w:p>
      <w:pPr>
        <w:spacing w:line="440" w:lineRule="exact"/>
        <w:rPr>
          <w:rFonts w:hint="eastAsia" w:ascii="宋体" w:hAnsi="宋体"/>
          <w:color w:val="auto"/>
          <w:sz w:val="24"/>
          <w:highlight w:val="none"/>
          <w:u w:val="single"/>
        </w:rPr>
      </w:pPr>
      <w:r>
        <w:rPr>
          <w:rFonts w:hint="eastAsia" w:ascii="宋体" w:hAnsi="宋体"/>
          <w:color w:val="auto"/>
          <w:sz w:val="24"/>
          <w:highlight w:val="none"/>
        </w:rPr>
        <w:t xml:space="preserve">工程名称：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根据《中华人民共和国安全生产法》、《中华人民共和国消防法》、《中华人民共和国治安法》、《建设工程安全管理条例》等有关法律规定，为进一步加强发包人对施工承包人的安全保卫工作的宏观控制和监督管理，防止和杜绝安全事故发生，维护正常的工程建设秩序，发包人与承包人针对以上发包(承包)的项目工程特签定本协议。</w:t>
      </w:r>
    </w:p>
    <w:p>
      <w:pPr>
        <w:spacing w:line="44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第一条甲方职责：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2、协助乙方办理有关施工手续，并进行治安安全教育；按照“安全第一、预防为主”和坚持“管生产必须管安全”的原则进行安全生产管理，做到生产与安全工作同时计划、布置、检查、督促。</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3、重要的安全设施必须坚持与主体工程“三同时”的原则，即：同时设计、审批，同时施工，同时验收投入使用。</w:t>
      </w:r>
    </w:p>
    <w:p>
      <w:pPr>
        <w:spacing w:line="440" w:lineRule="exact"/>
        <w:ind w:firstLine="630"/>
        <w:rPr>
          <w:rFonts w:hint="eastAsia" w:ascii="宋体" w:hAnsi="宋体"/>
          <w:color w:val="auto"/>
          <w:sz w:val="24"/>
          <w:highlight w:val="none"/>
        </w:rPr>
      </w:pPr>
      <w:r>
        <w:rPr>
          <w:rFonts w:hint="eastAsia" w:ascii="宋体" w:hAnsi="宋体"/>
          <w:color w:val="auto"/>
          <w:sz w:val="24"/>
          <w:highlight w:val="none"/>
        </w:rPr>
        <w:t>4、定期召开安全生产调度会，及时传达中央及地方有关安全生产的精神。</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5、组织对乙方施工现场安全生产检查，监督乙方及时处理发现的各种安全隐患。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6、当乙方出现安全、文明施工严重失控情况下，甲方有权做出停工整顿，限期整改的决定。</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7、甲方认为确实有必要暂停工时，应当以书面形式要求乙方暂停施工，并提出书面意见。当乙方实施处理意见并以书面形式提出复工要求后，甲方应当在24小时内组织验收、检查是否合格，并签字后给予答复。</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8、在保证安全的前提下，尽量为乙方提供各项施工便利。</w:t>
      </w:r>
    </w:p>
    <w:p>
      <w:pPr>
        <w:spacing w:line="44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第二条  乙方职责：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整改、总结。</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1％~3％配备安全员，专职负责所有员工的生产安全和治安保卫工作及预防事故的发生；安全机构人员，有权按有关规定发布指令，并采取保护性措施防止事故发生。</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4、乙方在任何时候都应采取各种合理的预防措施，防止其员工发生任何违法、违禁、暴力或妨碍治安的行为。</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市政公用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7、操作人员上岗必须按规定穿戴防护用品，否则不得上岗；施工负责人和安全检查员应随时检查劳动防护用品的穿戴情况。</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8、所有施工机具设备和高空作业的设备均应定期检查，并有安全员的签字记录，保证其经常处于完好状态；不合格的机具、设备和劳动保护用品严禁使用。</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9、施工中采用新技术、新工艺、新设备、新材料时，必须制定相应的安全技术措施，施工现场必须具有相关的安全标志牌。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10、自觉接受甲方、监理单位等有关安全生产、治安保卫方面的检查、指导和管理；对于甲方查处的隐患，乙方必须限期整改。</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11、对甲方违反安全生产规定、制度的指令，乙方有权拒绝执行、有权要求甲方改进。</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12、当乙方出现安全、文明施工严重失控情况下，在甲方认为确定有必要暂停施工并提出要求乙方暂停施工的书面意见后，乙方应当按甲方要求停止施工；乙方实施处理意见后，以书面形式向甲方提出复工要求；在甲方组织验收并签字同意后，乙方重新施工。</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13、乙方施工人员应在所处施工区域、水上作业环境、操作设施设备、工器具等方面进行认真自查，发现隐患立即停止施工，并经落实整改后方准继续施工。一经开工，就表示乙方确认施工场所、水上作业环境、实施设备、工器具等达到符合安全要求和处于安全状况，乙方对施工过程中由于上述因素而导致的事故后果负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14、乙方必须坚持文明施工，对所承担工程区域的文明施工负责，做到工完料尽场地清。</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15、乙方必须按照本工程项目特点，组织制定本工程实施中的生产安全事故应急救援预案；如果发生安全事故，应按照《国务院关于特大安全事故行政责任追究的规定》以及其他有关规定，及时上报有关部门。</w:t>
      </w:r>
    </w:p>
    <w:p>
      <w:pPr>
        <w:spacing w:line="440" w:lineRule="exact"/>
        <w:ind w:firstLine="120" w:firstLineChars="50"/>
        <w:rPr>
          <w:rFonts w:hint="eastAsia" w:ascii="宋体" w:hAnsi="宋体"/>
          <w:color w:val="auto"/>
          <w:sz w:val="24"/>
          <w:highlight w:val="none"/>
        </w:rPr>
      </w:pPr>
      <w:r>
        <w:rPr>
          <w:rFonts w:hint="eastAsia" w:ascii="宋体" w:hAnsi="宋体"/>
          <w:color w:val="auto"/>
          <w:sz w:val="24"/>
          <w:highlight w:val="none"/>
        </w:rPr>
        <w:t xml:space="preserve">   16、乙方人员在施工期间造成伤亡、电气、机械、水上施工等重大事故(包括造成甲方人员、他方人员伤亡)和发生不安全情况应及时向甲方通报。事故的损失和善后处理费用，由乙方全部负责；甲方有权根据事故性质及程度对以方进行处罚，罚款从安全担保金中扣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17、乙方承诺以本合同价款的5％作为安全担保金，在工程进行期间，当出现安全、保卫违规情况或发生安全、保卫事故等情况，因乙方原因造成甲方经济、信誉损失的，甲方据实计算扣款额，在当期工程进度款或计算款中予以扣除，累计扣款总额如超过本合同价款5％，超出部分乙方仍须承担。</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因甲方或乙方违约造成安全事故，将依法追究有关责任人责任。</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第四条 </w:t>
      </w:r>
      <w:r>
        <w:rPr>
          <w:rFonts w:hint="eastAsia" w:ascii="宋体" w:hAnsi="宋体"/>
          <w:color w:val="auto"/>
          <w:sz w:val="24"/>
          <w:highlight w:val="none"/>
        </w:rPr>
        <w:t xml:space="preserve"> 本协议书在执行过程中如遇有与国家、地方政</w:t>
      </w:r>
    </w:p>
    <w:p>
      <w:pPr>
        <w:spacing w:line="440" w:lineRule="exact"/>
        <w:rPr>
          <w:rFonts w:hint="eastAsia" w:ascii="宋体" w:hAnsi="宋体"/>
          <w:color w:val="auto"/>
          <w:sz w:val="24"/>
          <w:highlight w:val="none"/>
        </w:rPr>
      </w:pPr>
      <w:r>
        <w:rPr>
          <w:rFonts w:hint="eastAsia" w:ascii="宋体" w:hAnsi="宋体"/>
          <w:color w:val="auto"/>
          <w:sz w:val="24"/>
          <w:highlight w:val="none"/>
        </w:rPr>
        <w:t>府的有关规定不一致时，按照国家、地方的有关规定执行。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第五条</w:t>
      </w:r>
      <w:r>
        <w:rPr>
          <w:rFonts w:hint="eastAsia" w:ascii="宋体" w:hAnsi="宋体"/>
          <w:color w:val="auto"/>
          <w:sz w:val="24"/>
          <w:highlight w:val="none"/>
        </w:rPr>
        <w:t xml:space="preserve"> 本协议书作为甲方与乙方关于</w:t>
      </w:r>
      <w:r>
        <w:rPr>
          <w:rFonts w:hint="eastAsia" w:ascii="宋体" w:hAnsi="宋体"/>
          <w:color w:val="auto"/>
          <w:sz w:val="24"/>
          <w:highlight w:val="none"/>
          <w:u w:val="single"/>
        </w:rPr>
        <w:t xml:space="preserve">                 工程</w:t>
      </w:r>
      <w:r>
        <w:rPr>
          <w:rFonts w:hint="eastAsia" w:ascii="宋体" w:hAnsi="宋体"/>
          <w:color w:val="auto"/>
          <w:sz w:val="24"/>
          <w:highlight w:val="none"/>
        </w:rPr>
        <w:t>施工合同的附件，与承发包合同具有同样的法律效力。由双方法定代表人或其授权的代理人签署与加盖公章后生效，全部工程竣工验收后失效。</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第六条</w:t>
      </w:r>
      <w:r>
        <w:rPr>
          <w:rFonts w:hint="eastAsia" w:ascii="宋体" w:hAnsi="宋体"/>
          <w:color w:val="auto"/>
          <w:sz w:val="24"/>
          <w:highlight w:val="none"/>
        </w:rPr>
        <w:t xml:space="preserve">  本合同一式四份，由甲乙双方各执一份，递交甲乙双方的监督单位各一份。</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甲方（盖章）：             乙方（盖章）：</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授权代理人：                 授权代理人：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代理人职务：                 代理人职务：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地址：                       地址：</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日期：   年   月  日         日期：年   月  日</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spacing w:line="440" w:lineRule="exact"/>
        <w:rPr>
          <w:rFonts w:hint="eastAsia" w:ascii="宋体" w:hAnsi="宋体"/>
          <w:color w:val="auto"/>
          <w:sz w:val="24"/>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廉政合同</w:t>
      </w:r>
    </w:p>
    <w:p>
      <w:pPr>
        <w:spacing w:line="360" w:lineRule="auto"/>
        <w:rPr>
          <w:rFonts w:hint="eastAsia" w:ascii="宋体" w:hAnsi="宋体"/>
          <w:color w:val="auto"/>
          <w:sz w:val="32"/>
          <w:highlight w:val="none"/>
        </w:rPr>
      </w:pPr>
    </w:p>
    <w:p>
      <w:pPr>
        <w:spacing w:line="420" w:lineRule="exact"/>
        <w:rPr>
          <w:rFonts w:hint="eastAsia" w:ascii="宋体" w:hAnsi="宋体"/>
          <w:color w:val="auto"/>
          <w:sz w:val="24"/>
          <w:highlight w:val="none"/>
        </w:rPr>
      </w:pPr>
      <w:r>
        <w:rPr>
          <w:rFonts w:hint="eastAsia" w:ascii="宋体" w:hAnsi="宋体"/>
          <w:color w:val="auto"/>
          <w:sz w:val="24"/>
          <w:highlight w:val="none"/>
        </w:rPr>
        <w:t>甲方(建设单位)：</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420" w:lineRule="exact"/>
        <w:rPr>
          <w:rFonts w:hint="eastAsia" w:ascii="宋体" w:hAnsi="宋体"/>
          <w:color w:val="auto"/>
          <w:sz w:val="24"/>
          <w:highlight w:val="none"/>
        </w:rPr>
      </w:pPr>
      <w:r>
        <w:rPr>
          <w:rFonts w:hint="eastAsia" w:ascii="宋体" w:hAnsi="宋体"/>
          <w:color w:val="auto"/>
          <w:sz w:val="24"/>
          <w:highlight w:val="none"/>
        </w:rPr>
        <w:t>乙方(施工单位)：</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工程名称： </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为加强工程建设中的廉政建设，规范工程建设项目合作双方的各项活动，防止发生各种谋划取不正当利益的违法违纪行为，保护国家、集体和当事人的合法权益，根据国家有关工程建设的法律法规和廉政建设责任制规定，特订立如下合同。</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第一条  甲方双方的责任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1、严格遵守国家关于市场准入、项目招竞标、工程建设、施工安装和市场活动等有关法律、法规相关政策，以及廉政建设的各项规定。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2、严格执行</w:t>
      </w:r>
      <w:r>
        <w:rPr>
          <w:rFonts w:hint="eastAsia" w:ascii="宋体" w:hAnsi="宋体"/>
          <w:color w:val="auto"/>
          <w:sz w:val="24"/>
          <w:highlight w:val="none"/>
          <w:u w:val="single"/>
        </w:rPr>
        <w:t>以上发包（承包）的工程工合同</w:t>
      </w:r>
      <w:r>
        <w:rPr>
          <w:rFonts w:hint="eastAsia" w:ascii="宋体" w:hAnsi="宋体"/>
          <w:color w:val="auto"/>
          <w:sz w:val="24"/>
          <w:highlight w:val="none"/>
        </w:rPr>
        <w:t>的合同文件，自觉按合同办事。</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3、业务活动坚持公开、公正、诚信、透明的原则(法律法规另有规定除外)，不得为获取不正当的利益损害国家、集体和对方利益，不得违反工程建设管理、施工安装的规章制度。</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4、发现对方在业务活动中有违规、违纪、违反行为的，应及时提醒对方，情节严重的，应向其上级主管部门或纪检监察司法有关机关举报。</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第二条  甲方的义务</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甲方的领导和从事工程管理的工作人员，在工程建设的事前、事中、事后应遵守以下规定：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1、不准向乙方索要或接受回扣、礼金、有价证券、贵重物品和好处费、感谢费等。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2、不准在乙方报销任何应由甲方或个人支付的费用。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3、不准要求、暗示或接受乙方为其住房装修、婚丧嫁娶、配偶子女的工作安排以及出国(境)、旅游提供方便等。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4、不准参加有可能影响公正执行公务的乙方安排的宴请、健身和娱乐等活动。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5、不准向乙方介绍或为配偶、子女、亲属参与同甲方项目工程施工合同有关的设备材料供应、工程分包、劳务等经济活动。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6、不准以任何理由向乙方推荐分包单位或推销材料，不得要求乙方购买合同规定外的材料和设备。</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第三条  乙方义务</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乙方应与甲方保持正常的业务交往，按照有关法律法规和程序开展业务工作，严格执行工程建设的有关方针、政策和要求，尤其是有关市政公用施工安装的强制性标准和规范，并遵守以下规定；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1、不准以任何理由向甲方及其工作人员行贿或馈赠礼金、有价证券、贵重礼品和回扣、好处费、感谢费等。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2、不准以任何名义为甲方及其工作人员报销应由甲方单位或个人支付的任何费用。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3、不准接受或暗示为甲方及其工作人员装修住房、婚丧嫁娶、配偶子女的工作安排以及出国(境)、旅游提供方便等。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4、不准以任何理由为甲方及其工作人员安排有可能影响公正执行公务的宴请、健身和娱乐等活动。</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第四条  违约责任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1、甲方及其工作人员违反本合同第一、二条责任行为的，按照管理权限，依据有关规定给予党纪、政纪处分或组织处理；涉嫌犯罪的，移交司法机关追究刑事责任；给乙方单位造成经济损失的，应予以赔偿。</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已方及其工作人员违反本合同第一、三条责任行为的，按照管理权限，依据有关规定给予党纪、政纪处分或组织处理并扣罚廉政保证金；给甲方单位造成经济损失的，应予以赔偿；情节严重的，甲方建议工程建设主管部门给予已方一至三年内不得进入其主管的工程建设市场的处罚；涉嫌犯罪的，移交司法机关追究刑事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第五条</w:t>
      </w:r>
      <w:r>
        <w:rPr>
          <w:rFonts w:hint="eastAsia" w:ascii="宋体" w:hAnsi="宋体"/>
          <w:color w:val="auto"/>
          <w:sz w:val="24"/>
          <w:highlight w:val="none"/>
        </w:rPr>
        <w:t xml:space="preserve">  本合同由双方或双方上级单位的纪检监察机关负责监督执行。</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第六条 </w:t>
      </w:r>
      <w:r>
        <w:rPr>
          <w:rFonts w:hint="eastAsia" w:ascii="宋体" w:hAnsi="宋体"/>
          <w:color w:val="auto"/>
          <w:sz w:val="24"/>
          <w:highlight w:val="none"/>
        </w:rPr>
        <w:t xml:space="preserve"> 本合同有效期为甲已双方签署之日起至该工程项目竣工验收后止。</w:t>
      </w:r>
    </w:p>
    <w:p>
      <w:pPr>
        <w:spacing w:line="420" w:lineRule="exact"/>
        <w:ind w:firstLine="472" w:firstLineChars="196"/>
        <w:rPr>
          <w:rFonts w:hint="eastAsia" w:ascii="宋体" w:hAnsi="宋体"/>
          <w:color w:val="auto"/>
          <w:sz w:val="24"/>
          <w:highlight w:val="none"/>
        </w:rPr>
      </w:pPr>
      <w:r>
        <w:rPr>
          <w:rFonts w:hint="eastAsia" w:ascii="宋体" w:hAnsi="宋体"/>
          <w:b/>
          <w:color w:val="auto"/>
          <w:sz w:val="24"/>
          <w:highlight w:val="none"/>
        </w:rPr>
        <w:t xml:space="preserve">第七条  </w:t>
      </w:r>
      <w:r>
        <w:rPr>
          <w:rFonts w:hint="eastAsia" w:ascii="宋体" w:hAnsi="宋体"/>
          <w:color w:val="auto"/>
          <w:sz w:val="24"/>
          <w:highlight w:val="none"/>
        </w:rPr>
        <w:t>本合同作为</w:t>
      </w:r>
      <w:r>
        <w:rPr>
          <w:rFonts w:hint="eastAsia" w:ascii="宋体" w:hAnsi="宋体"/>
          <w:color w:val="auto"/>
          <w:sz w:val="24"/>
          <w:highlight w:val="none"/>
          <w:u w:val="single"/>
        </w:rPr>
        <w:t xml:space="preserve">                      工程</w:t>
      </w:r>
      <w:r>
        <w:rPr>
          <w:rFonts w:hint="eastAsia" w:ascii="宋体" w:hAnsi="宋体"/>
          <w:color w:val="auto"/>
          <w:sz w:val="24"/>
          <w:highlight w:val="none"/>
        </w:rPr>
        <w:t>施工合同的附件，与工程施工合具有同等的法律效力。</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 xml:space="preserve">第八条  </w:t>
      </w:r>
      <w:r>
        <w:rPr>
          <w:rFonts w:hint="eastAsia" w:ascii="宋体" w:hAnsi="宋体"/>
          <w:color w:val="auto"/>
          <w:sz w:val="24"/>
          <w:highlight w:val="none"/>
        </w:rPr>
        <w:t>本合同一式四份，由甲乙双方各执一份，递交甲乙双方的监督单位各一份。</w:t>
      </w:r>
    </w:p>
    <w:p>
      <w:pPr>
        <w:spacing w:line="420" w:lineRule="exact"/>
        <w:rPr>
          <w:rFonts w:hint="eastAsia" w:ascii="宋体" w:hAnsi="宋体"/>
          <w:b/>
          <w:color w:val="auto"/>
          <w:sz w:val="24"/>
          <w:highlight w:val="none"/>
        </w:rPr>
      </w:pP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甲方（盖章）：                乙方（盖章）：</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授权代理人：                 授权代理人：</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代理人职务：                 代理人职务：</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地址：                       地址：</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日期：     年   月  日       日期：   年   月  日</w:t>
      </w:r>
    </w:p>
    <w:p>
      <w:pPr>
        <w:pStyle w:val="17"/>
        <w:spacing w:line="360" w:lineRule="auto"/>
        <w:rPr>
          <w:rFonts w:hAnsi="宋体"/>
          <w:color w:val="auto"/>
          <w:sz w:val="24"/>
          <w:highlight w:val="none"/>
        </w:rPr>
      </w:pPr>
    </w:p>
    <w:bookmarkEnd w:id="164"/>
    <w:bookmarkEnd w:id="165"/>
    <w:bookmarkEnd w:id="166"/>
    <w:bookmarkEnd w:id="167"/>
    <w:p>
      <w:pPr>
        <w:spacing w:line="400" w:lineRule="exact"/>
        <w:rPr>
          <w:rFonts w:ascii="宋体"/>
          <w:b/>
          <w:color w:val="auto"/>
          <w:szCs w:val="21"/>
          <w:highlight w:val="none"/>
        </w:rPr>
      </w:pPr>
    </w:p>
    <w:p>
      <w:pPr>
        <w:spacing w:line="400" w:lineRule="exact"/>
        <w:rPr>
          <w:rFonts w:ascii="宋体"/>
          <w:b/>
          <w:color w:val="auto"/>
          <w:szCs w:val="21"/>
          <w:highlight w:val="none"/>
        </w:rPr>
      </w:pPr>
      <w:r>
        <w:rPr>
          <w:rFonts w:hint="eastAsia" w:ascii="宋体"/>
          <w:b/>
          <w:color w:val="auto"/>
          <w:szCs w:val="21"/>
          <w:highlight w:val="none"/>
        </w:rPr>
        <w:br w:type="page"/>
      </w:r>
    </w:p>
    <w:p>
      <w:pPr>
        <w:spacing w:line="400" w:lineRule="exact"/>
        <w:rPr>
          <w:rFonts w:ascii="宋体"/>
          <w:b/>
          <w:color w:val="auto"/>
          <w:szCs w:val="21"/>
          <w:highlight w:val="none"/>
        </w:rPr>
      </w:pPr>
    </w:p>
    <w:p>
      <w:pPr>
        <w:pStyle w:val="3"/>
        <w:rPr>
          <w:color w:val="auto"/>
          <w:highlight w:val="none"/>
        </w:rPr>
      </w:pPr>
      <w:bookmarkStart w:id="189" w:name="_Toc20628"/>
      <w:bookmarkStart w:id="190" w:name="_Toc13073"/>
      <w:r>
        <w:rPr>
          <w:rFonts w:hint="eastAsia"/>
          <w:color w:val="auto"/>
          <w:highlight w:val="none"/>
        </w:rPr>
        <w:t>第</w:t>
      </w:r>
      <w:r>
        <w:rPr>
          <w:rFonts w:hint="eastAsia"/>
          <w:color w:val="auto"/>
          <w:highlight w:val="none"/>
          <w:lang w:eastAsia="zh-CN"/>
        </w:rPr>
        <w:t>三</w:t>
      </w:r>
      <w:r>
        <w:rPr>
          <w:rFonts w:hint="eastAsia"/>
          <w:color w:val="auto"/>
          <w:highlight w:val="none"/>
        </w:rPr>
        <w:t>章  图纸及工程量清单</w:t>
      </w:r>
      <w:bookmarkEnd w:id="189"/>
      <w:bookmarkEnd w:id="190"/>
    </w:p>
    <w:p>
      <w:pPr>
        <w:spacing w:after="156" w:afterLines="50" w:line="400" w:lineRule="exact"/>
        <w:rPr>
          <w:color w:val="auto"/>
          <w:sz w:val="32"/>
          <w:szCs w:val="32"/>
          <w:highlight w:val="none"/>
        </w:rPr>
      </w:pPr>
    </w:p>
    <w:p>
      <w:pPr>
        <w:spacing w:after="156" w:afterLines="50" w:line="400" w:lineRule="exact"/>
        <w:rPr>
          <w:color w:val="auto"/>
          <w:sz w:val="32"/>
          <w:szCs w:val="32"/>
          <w:highlight w:val="none"/>
        </w:rPr>
      </w:pPr>
    </w:p>
    <w:p>
      <w:pPr>
        <w:spacing w:after="156" w:afterLines="50" w:line="400" w:lineRule="exact"/>
        <w:jc w:val="center"/>
        <w:rPr>
          <w:color w:val="auto"/>
          <w:sz w:val="28"/>
          <w:szCs w:val="28"/>
          <w:highlight w:val="none"/>
        </w:rPr>
      </w:pPr>
      <w:r>
        <w:rPr>
          <w:rFonts w:hint="eastAsia"/>
          <w:color w:val="auto"/>
          <w:sz w:val="28"/>
          <w:szCs w:val="28"/>
          <w:highlight w:val="none"/>
        </w:rPr>
        <w:t>（另附）</w:t>
      </w:r>
    </w:p>
    <w:p>
      <w:pPr>
        <w:spacing w:after="156" w:afterLines="50" w:line="400" w:lineRule="exact"/>
        <w:rPr>
          <w:color w:val="auto"/>
          <w:sz w:val="32"/>
          <w:szCs w:val="32"/>
          <w:highlight w:val="none"/>
        </w:rPr>
      </w:pPr>
    </w:p>
    <w:p>
      <w:pPr>
        <w:pStyle w:val="3"/>
        <w:rPr>
          <w:color w:val="auto"/>
          <w:highlight w:val="none"/>
        </w:rPr>
      </w:pPr>
      <w:bookmarkStart w:id="191" w:name="_Toc25559"/>
      <w:bookmarkStart w:id="192" w:name="_Toc383"/>
      <w:r>
        <w:rPr>
          <w:rFonts w:hint="eastAsia"/>
          <w:color w:val="auto"/>
          <w:highlight w:val="none"/>
        </w:rPr>
        <w:t>第</w:t>
      </w:r>
      <w:r>
        <w:rPr>
          <w:rFonts w:hint="eastAsia"/>
          <w:color w:val="auto"/>
          <w:highlight w:val="none"/>
          <w:lang w:eastAsia="zh-CN"/>
        </w:rPr>
        <w:t>四</w:t>
      </w:r>
      <w:r>
        <w:rPr>
          <w:rFonts w:hint="eastAsia"/>
          <w:color w:val="auto"/>
          <w:highlight w:val="none"/>
        </w:rPr>
        <w:t>章  技术规范</w:t>
      </w:r>
      <w:bookmarkEnd w:id="191"/>
      <w:bookmarkEnd w:id="192"/>
    </w:p>
    <w:p>
      <w:pPr>
        <w:spacing w:after="156" w:afterLines="50" w:line="400" w:lineRule="exact"/>
        <w:rPr>
          <w:color w:val="auto"/>
          <w:sz w:val="32"/>
          <w:szCs w:val="32"/>
          <w:highlight w:val="none"/>
        </w:rPr>
      </w:pPr>
    </w:p>
    <w:p>
      <w:pPr>
        <w:spacing w:after="156" w:afterLines="50" w:line="400" w:lineRule="exact"/>
        <w:rPr>
          <w:color w:val="auto"/>
          <w:sz w:val="32"/>
          <w:szCs w:val="32"/>
          <w:highlight w:val="none"/>
        </w:rPr>
      </w:pPr>
    </w:p>
    <w:p>
      <w:pPr>
        <w:spacing w:after="156" w:afterLines="50" w:line="400" w:lineRule="exact"/>
        <w:ind w:firstLine="422" w:firstLineChars="200"/>
        <w:rPr>
          <w:b/>
          <w:color w:val="auto"/>
          <w:szCs w:val="21"/>
          <w:highlight w:val="none"/>
        </w:rPr>
      </w:pPr>
      <w:r>
        <w:rPr>
          <w:rFonts w:hint="eastAsia"/>
          <w:b/>
          <w:color w:val="auto"/>
          <w:szCs w:val="21"/>
          <w:highlight w:val="none"/>
        </w:rPr>
        <w:t>一、现场自然条件</w:t>
      </w:r>
    </w:p>
    <w:p>
      <w:pPr>
        <w:spacing w:after="156" w:afterLines="50" w:line="400" w:lineRule="exact"/>
        <w:ind w:firstLine="420" w:firstLineChars="200"/>
        <w:rPr>
          <w:color w:val="auto"/>
          <w:szCs w:val="21"/>
          <w:highlight w:val="none"/>
        </w:rPr>
      </w:pPr>
      <w:r>
        <w:rPr>
          <w:rFonts w:hint="eastAsia"/>
          <w:color w:val="auto"/>
          <w:szCs w:val="21"/>
          <w:highlight w:val="none"/>
        </w:rPr>
        <w:t>满足施工要求</w:t>
      </w:r>
    </w:p>
    <w:p>
      <w:pPr>
        <w:spacing w:after="156" w:afterLines="50" w:line="400" w:lineRule="exact"/>
        <w:ind w:firstLine="422" w:firstLineChars="200"/>
        <w:rPr>
          <w:b/>
          <w:color w:val="auto"/>
          <w:szCs w:val="21"/>
          <w:highlight w:val="none"/>
        </w:rPr>
      </w:pPr>
      <w:r>
        <w:rPr>
          <w:rFonts w:hint="eastAsia"/>
          <w:b/>
          <w:color w:val="auto"/>
          <w:szCs w:val="21"/>
          <w:highlight w:val="none"/>
        </w:rPr>
        <w:t>二、现场施工条件</w:t>
      </w:r>
    </w:p>
    <w:p>
      <w:pPr>
        <w:spacing w:after="156" w:afterLines="50" w:line="400" w:lineRule="exact"/>
        <w:ind w:firstLine="420" w:firstLineChars="200"/>
        <w:rPr>
          <w:color w:val="auto"/>
          <w:szCs w:val="21"/>
          <w:highlight w:val="none"/>
        </w:rPr>
      </w:pPr>
      <w:r>
        <w:rPr>
          <w:rFonts w:hint="eastAsia"/>
          <w:color w:val="auto"/>
          <w:szCs w:val="21"/>
          <w:highlight w:val="none"/>
        </w:rPr>
        <w:t>三通一平已完成</w:t>
      </w:r>
    </w:p>
    <w:p>
      <w:pPr>
        <w:spacing w:after="156" w:afterLines="50" w:line="400" w:lineRule="exact"/>
        <w:ind w:firstLine="422" w:firstLineChars="200"/>
        <w:rPr>
          <w:b/>
          <w:color w:val="auto"/>
          <w:szCs w:val="21"/>
          <w:highlight w:val="none"/>
        </w:rPr>
      </w:pPr>
      <w:r>
        <w:rPr>
          <w:rFonts w:hint="eastAsia"/>
          <w:b/>
          <w:color w:val="auto"/>
          <w:szCs w:val="21"/>
          <w:highlight w:val="none"/>
        </w:rPr>
        <w:t>三、本工程采用的技术规范</w:t>
      </w:r>
    </w:p>
    <w:p>
      <w:pPr>
        <w:spacing w:after="156" w:afterLines="50" w:line="400" w:lineRule="exact"/>
        <w:ind w:firstLine="420" w:firstLineChars="200"/>
        <w:rPr>
          <w:color w:val="auto"/>
          <w:szCs w:val="21"/>
          <w:highlight w:val="none"/>
        </w:rPr>
      </w:pPr>
      <w:r>
        <w:rPr>
          <w:rFonts w:hint="eastAsia"/>
          <w:color w:val="auto"/>
          <w:szCs w:val="21"/>
          <w:highlight w:val="none"/>
        </w:rPr>
        <w:t>本工程技术范围采用水利部现行工程施工规范、验收标准及强制性标准条文</w:t>
      </w:r>
    </w:p>
    <w:p>
      <w:pPr>
        <w:spacing w:after="156" w:afterLines="50" w:line="400" w:lineRule="exact"/>
        <w:ind w:firstLine="422" w:firstLineChars="200"/>
        <w:rPr>
          <w:b/>
          <w:color w:val="auto"/>
          <w:szCs w:val="21"/>
          <w:highlight w:val="none"/>
        </w:rPr>
      </w:pPr>
      <w:r>
        <w:rPr>
          <w:rFonts w:hint="eastAsia"/>
          <w:b/>
          <w:color w:val="auto"/>
          <w:szCs w:val="21"/>
          <w:highlight w:val="none"/>
        </w:rPr>
        <w:t>四、其他要求</w:t>
      </w:r>
    </w:p>
    <w:p>
      <w:pPr>
        <w:spacing w:after="156" w:afterLines="50" w:line="400" w:lineRule="exact"/>
        <w:rPr>
          <w:rFonts w:ascii="宋体" w:hAnsi="宋体"/>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pStyle w:val="3"/>
        <w:rPr>
          <w:rFonts w:ascii="宋体" w:hAnsi="宋体"/>
          <w:color w:val="auto"/>
          <w:highlight w:val="none"/>
        </w:rPr>
      </w:pPr>
      <w:bookmarkStart w:id="193" w:name="_Toc15909"/>
      <w:bookmarkStart w:id="194" w:name="_Toc239659126"/>
      <w:bookmarkStart w:id="195" w:name="_Toc4360"/>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rPr>
        <w:t xml:space="preserve">  </w:t>
      </w:r>
      <w:r>
        <w:rPr>
          <w:color w:val="auto"/>
          <w:highlight w:val="none"/>
        </w:rPr>
        <w:t>工程量清单报价说明</w:t>
      </w:r>
      <w:bookmarkEnd w:id="193"/>
      <w:bookmarkEnd w:id="194"/>
      <w:bookmarkEnd w:id="195"/>
    </w:p>
    <w:p>
      <w:pPr>
        <w:spacing w:line="42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lang w:val="en-US" w:eastAsia="zh-CN"/>
        </w:rPr>
        <w:t>1.</w:t>
      </w:r>
      <w:r>
        <w:rPr>
          <w:rFonts w:ascii="宋体" w:hAnsi="宋体" w:eastAsia="宋体" w:cs="Times New Roman"/>
          <w:color w:val="auto"/>
          <w:highlight w:val="none"/>
        </w:rPr>
        <w:t>本工程量清单依据</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1</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《建设工程工程量清单计价规范》(GB50500-2013)及《建设工程工程量清单计价规范》(GB50500-2013)广西壮族自治区实施细则》；</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2</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《建设工程工程量计算规范》（GB50854～50862-2013）及其广西壮族自治区实施细则（修订本）；</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3</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2013年《广西壮族自治区建筑装饰装修工程消耗量定额》及计价相关规定；</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4</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2013年《广西壮族自治区建筑装饰装修工程造价要素基期价》；</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5</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2015版《广西壮族自治区安装工程消耗量定额》及计价相关规定；</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6</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2016年《广西壮族自治区建设工程费用定额》及计价相关规定；</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7</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关于调整建设工程定额人工费及有关费率的通知（桂建标[2015]5号)；；</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8</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材料价格采用2020年第八期《百色市建设工程造价信息》发布价格信息；对于造价信息没有发布价格信息的材料，其价格参照市场工地价。</w:t>
      </w:r>
    </w:p>
    <w:p>
      <w:pPr>
        <w:spacing w:line="420" w:lineRule="exact"/>
        <w:ind w:firstLine="420" w:firstLineChars="200"/>
        <w:rPr>
          <w:rFonts w:ascii="宋体" w:hAnsi="宋体" w:eastAsia="宋体" w:cs="Times New Roman"/>
          <w:color w:val="auto"/>
          <w:highlight w:val="none"/>
        </w:rPr>
      </w:pPr>
      <w:r>
        <w:rPr>
          <w:rFonts w:ascii="宋体" w:hAnsi="宋体" w:eastAsia="宋体" w:cs="Times New Roman"/>
          <w:color w:val="auto"/>
          <w:highlight w:val="none"/>
        </w:rPr>
        <w:t>2</w:t>
      </w:r>
      <w:r>
        <w:rPr>
          <w:rFonts w:hint="eastAsia" w:ascii="宋体" w:hAnsi="宋体" w:eastAsia="宋体" w:cs="Times New Roman"/>
          <w:color w:val="auto"/>
          <w:highlight w:val="none"/>
        </w:rPr>
        <w:t>.</w:t>
      </w:r>
      <w:r>
        <w:rPr>
          <w:rFonts w:ascii="宋体" w:hAnsi="宋体" w:eastAsia="宋体" w:cs="Times New Roman"/>
          <w:color w:val="auto"/>
          <w:highlight w:val="none"/>
        </w:rPr>
        <w:t>工程量清单应与竞标须知、合同协议条款、合同的通用条款、合同专用条款、技术规范及图纸等文件一起结合使用。</w:t>
      </w:r>
    </w:p>
    <w:p>
      <w:pPr>
        <w:spacing w:line="42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工程量清单中所列工程量系发包人按照现有图纸及有关资料依据建设行政主管部门所颁布的计量规则计算的，它是竞争性谈判文件的组成部分，作为竞标报价的共同基础。成交后结算支付，以经财政</w:t>
      </w:r>
      <w:r>
        <w:rPr>
          <w:rFonts w:hint="eastAsia" w:ascii="宋体" w:hAnsi="宋体"/>
          <w:color w:val="auto"/>
          <w:highlight w:val="none"/>
        </w:rPr>
        <w:t>部门</w:t>
      </w:r>
      <w:r>
        <w:rPr>
          <w:rFonts w:ascii="宋体" w:hAnsi="宋体"/>
          <w:color w:val="auto"/>
          <w:highlight w:val="none"/>
        </w:rPr>
        <w:t>投资评审中心</w:t>
      </w:r>
      <w:r>
        <w:rPr>
          <w:rFonts w:hint="eastAsia" w:ascii="宋体" w:hAnsi="宋体"/>
          <w:color w:val="auto"/>
          <w:highlight w:val="none"/>
        </w:rPr>
        <w:t>按</w:t>
      </w:r>
      <w:r>
        <w:rPr>
          <w:rFonts w:ascii="宋体" w:hAnsi="宋体"/>
          <w:color w:val="auto"/>
          <w:highlight w:val="none"/>
        </w:rPr>
        <w:t>审定的设计图纸和设计变更实际工程量为依据，按成交单位竞标所报的工程量清单的单价支付费用。</w:t>
      </w:r>
    </w:p>
    <w:p>
      <w:pPr>
        <w:spacing w:line="420" w:lineRule="exact"/>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.工程量清单中各分项工程的综合单价为本工程包干单价，不管竞标人今后施工方案如何改变及工程量实际发生多少，均按包干单价执行。</w:t>
      </w:r>
    </w:p>
    <w:p>
      <w:pPr>
        <w:spacing w:line="420" w:lineRule="exact"/>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对工程和材料的一般指示或说明已写于合同文件、图纸和技术规范内。给工程量清单各细目标价前，须参阅合同文件和技术规范的有关部分。</w:t>
      </w:r>
    </w:p>
    <w:p>
      <w:pPr>
        <w:spacing w:line="420" w:lineRule="exact"/>
        <w:ind w:firstLine="42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所有报价应以人民币表示。</w:t>
      </w:r>
    </w:p>
    <w:p>
      <w:pPr>
        <w:spacing w:line="420" w:lineRule="exact"/>
        <w:ind w:left="2" w:leftChars="1" w:firstLine="420" w:firstLineChars="200"/>
        <w:rPr>
          <w:color w:val="auto"/>
          <w:szCs w:val="21"/>
          <w:highlight w:val="none"/>
        </w:rPr>
      </w:pPr>
      <w:r>
        <w:rPr>
          <w:rFonts w:hint="eastAsia" w:ascii="宋体" w:hAnsi="宋体"/>
          <w:color w:val="auto"/>
          <w:highlight w:val="none"/>
        </w:rPr>
        <w:t>7.工程量清单另册发放。</w:t>
      </w:r>
    </w:p>
    <w:p>
      <w:pPr>
        <w:rPr>
          <w:color w:val="auto"/>
          <w:highlight w:val="none"/>
        </w:rPr>
      </w:pPr>
      <w:bookmarkStart w:id="196" w:name="_Toc19597"/>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
        <w:spacing w:line="800" w:lineRule="exact"/>
        <w:rPr>
          <w:color w:val="auto"/>
          <w:highlight w:val="none"/>
        </w:rPr>
      </w:pPr>
      <w:bookmarkStart w:id="197" w:name="_Toc25850"/>
      <w:r>
        <w:rPr>
          <w:rFonts w:hint="eastAsia"/>
          <w:color w:val="auto"/>
          <w:highlight w:val="none"/>
        </w:rPr>
        <w:t>第</w:t>
      </w:r>
      <w:r>
        <w:rPr>
          <w:rFonts w:hint="eastAsia"/>
          <w:color w:val="auto"/>
          <w:highlight w:val="none"/>
          <w:lang w:eastAsia="zh-CN"/>
        </w:rPr>
        <w:t>六</w:t>
      </w:r>
      <w:r>
        <w:rPr>
          <w:rFonts w:hint="eastAsia"/>
          <w:color w:val="auto"/>
          <w:highlight w:val="none"/>
        </w:rPr>
        <w:t>章  竞标文件格式</w:t>
      </w:r>
      <w:bookmarkEnd w:id="196"/>
      <w:bookmarkEnd w:id="197"/>
    </w:p>
    <w:p>
      <w:pPr>
        <w:jc w:val="left"/>
        <w:rPr>
          <w:color w:val="auto"/>
          <w:highlight w:val="none"/>
        </w:rPr>
      </w:pPr>
    </w:p>
    <w:p>
      <w:pPr>
        <w:spacing w:line="400" w:lineRule="exact"/>
        <w:rPr>
          <w:rFonts w:ascii="宋体" w:hAnsi="宋体"/>
          <w:b/>
          <w:color w:val="auto"/>
          <w:szCs w:val="21"/>
          <w:highlight w:val="none"/>
        </w:rPr>
      </w:pPr>
    </w:p>
    <w:p>
      <w:pPr>
        <w:pStyle w:val="4"/>
        <w:jc w:val="left"/>
        <w:rPr>
          <w:rFonts w:ascii="宋体" w:hAnsi="宋体"/>
          <w:color w:val="auto"/>
          <w:szCs w:val="21"/>
          <w:highlight w:val="none"/>
        </w:rPr>
      </w:pPr>
      <w:bookmarkStart w:id="198" w:name="_Toc25901"/>
      <w:bookmarkStart w:id="199" w:name="_Toc24523"/>
      <w:r>
        <w:rPr>
          <w:rFonts w:hint="eastAsia"/>
          <w:color w:val="auto"/>
          <w:highlight w:val="none"/>
        </w:rPr>
        <w:t>资格审查部分</w:t>
      </w:r>
      <w:bookmarkEnd w:id="198"/>
      <w:bookmarkEnd w:id="199"/>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资格审查部分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br w:type="page"/>
      </w: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⑴竞标人基本情况</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⑵诚信声明；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⑶竞标文件签署授权委托书；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⑷农民工工资保障金承诺书；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⑸竞标保证金交款凭证；</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⑹安全防护、文明施工措施方案的承诺书；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⑺项目管理机构及机械设备承诺函；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⑻竞标人需要说明的其他资料；</w:t>
      </w:r>
    </w:p>
    <w:p>
      <w:pPr>
        <w:spacing w:line="54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br w:type="page"/>
      </w:r>
    </w:p>
    <w:p>
      <w:pPr>
        <w:spacing w:line="400" w:lineRule="exact"/>
        <w:rPr>
          <w:rFonts w:ascii="宋体" w:hAnsi="宋体"/>
          <w:b/>
          <w:color w:val="auto"/>
          <w:szCs w:val="21"/>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一、竞标人基本情况表</w:t>
      </w:r>
    </w:p>
    <w:tbl>
      <w:tblPr>
        <w:tblStyle w:val="3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945"/>
        <w:gridCol w:w="1365"/>
        <w:gridCol w:w="630"/>
        <w:gridCol w:w="606"/>
        <w:gridCol w:w="1365"/>
        <w:gridCol w:w="735"/>
        <w:gridCol w:w="50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08" w:type="dxa"/>
            <w:gridSpan w:val="2"/>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竞标人名称</w:t>
            </w:r>
          </w:p>
        </w:tc>
        <w:tc>
          <w:tcPr>
            <w:tcW w:w="7342" w:type="dxa"/>
            <w:gridSpan w:val="8"/>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gridSpan w:val="2"/>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注册地址</w:t>
            </w:r>
          </w:p>
        </w:tc>
        <w:tc>
          <w:tcPr>
            <w:tcW w:w="3546" w:type="dxa"/>
            <w:gridSpan w:val="4"/>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邮政编码</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8" w:type="dxa"/>
            <w:gridSpan w:val="2"/>
            <w:vMerge w:val="restart"/>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联系方式</w:t>
            </w:r>
          </w:p>
        </w:tc>
        <w:tc>
          <w:tcPr>
            <w:tcW w:w="94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联系人</w:t>
            </w:r>
          </w:p>
        </w:tc>
        <w:tc>
          <w:tcPr>
            <w:tcW w:w="2601" w:type="dxa"/>
            <w:gridSpan w:val="3"/>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电话</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8" w:type="dxa"/>
            <w:gridSpan w:val="2"/>
            <w:vMerge w:val="continue"/>
            <w:vAlign w:val="center"/>
          </w:tcPr>
          <w:p>
            <w:pPr>
              <w:spacing w:line="360" w:lineRule="exact"/>
              <w:jc w:val="center"/>
              <w:rPr>
                <w:rFonts w:ascii="宋体" w:hAnsi="宋体"/>
                <w:color w:val="auto"/>
                <w:szCs w:val="21"/>
                <w:highlight w:val="none"/>
              </w:rPr>
            </w:pPr>
          </w:p>
        </w:tc>
        <w:tc>
          <w:tcPr>
            <w:tcW w:w="94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传  真</w:t>
            </w:r>
          </w:p>
        </w:tc>
        <w:tc>
          <w:tcPr>
            <w:tcW w:w="2601" w:type="dxa"/>
            <w:gridSpan w:val="3"/>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网址</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9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65" w:type="dxa"/>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365" w:type="dxa"/>
            <w:vAlign w:val="center"/>
          </w:tcPr>
          <w:p>
            <w:pPr>
              <w:spacing w:line="360" w:lineRule="auto"/>
              <w:jc w:val="center"/>
              <w:rPr>
                <w:rFonts w:ascii="宋体" w:hAnsi="宋体"/>
                <w:color w:val="auto"/>
                <w:szCs w:val="21"/>
                <w:highlight w:val="none"/>
              </w:rPr>
            </w:pPr>
          </w:p>
        </w:tc>
        <w:tc>
          <w:tcPr>
            <w:tcW w:w="7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96"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项目总工</w:t>
            </w:r>
          </w:p>
        </w:tc>
        <w:tc>
          <w:tcPr>
            <w:tcW w:w="9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65" w:type="dxa"/>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365" w:type="dxa"/>
            <w:vAlign w:val="center"/>
          </w:tcPr>
          <w:p>
            <w:pPr>
              <w:spacing w:line="360" w:lineRule="auto"/>
              <w:jc w:val="center"/>
              <w:rPr>
                <w:rFonts w:ascii="宋体" w:hAnsi="宋体"/>
                <w:color w:val="auto"/>
                <w:szCs w:val="21"/>
                <w:highlight w:val="none"/>
              </w:rPr>
            </w:pPr>
          </w:p>
        </w:tc>
        <w:tc>
          <w:tcPr>
            <w:tcW w:w="7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96"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开户银行</w:t>
            </w:r>
          </w:p>
        </w:tc>
        <w:tc>
          <w:tcPr>
            <w:tcW w:w="2049" w:type="dxa"/>
            <w:gridSpan w:val="2"/>
            <w:vAlign w:val="center"/>
          </w:tcPr>
          <w:p>
            <w:pPr>
              <w:spacing w:line="360" w:lineRule="auto"/>
              <w:jc w:val="center"/>
              <w:rPr>
                <w:rFonts w:ascii="宋体" w:hAnsi="宋体"/>
                <w:color w:val="auto"/>
                <w:szCs w:val="21"/>
                <w:highlight w:val="none"/>
              </w:rPr>
            </w:pPr>
          </w:p>
        </w:tc>
        <w:tc>
          <w:tcPr>
            <w:tcW w:w="13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银行账号</w:t>
            </w:r>
          </w:p>
        </w:tc>
        <w:tc>
          <w:tcPr>
            <w:tcW w:w="2601" w:type="dxa"/>
            <w:gridSpan w:val="3"/>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195"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310" w:type="dxa"/>
            <w:gridSpan w:val="2"/>
            <w:vAlign w:val="center"/>
          </w:tcPr>
          <w:p>
            <w:pPr>
              <w:spacing w:line="360" w:lineRule="auto"/>
              <w:jc w:val="center"/>
              <w:rPr>
                <w:rFonts w:ascii="宋体" w:hAnsi="宋体"/>
                <w:color w:val="auto"/>
                <w:szCs w:val="21"/>
                <w:highlight w:val="none"/>
              </w:rPr>
            </w:pPr>
          </w:p>
        </w:tc>
        <w:tc>
          <w:tcPr>
            <w:tcW w:w="2601"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营业执照号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注册建造师人数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企业资质等级及证号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高级职称人数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安全生产许可证号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中级职称人数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组织机构代码证号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初级职称人数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税务登记证号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技工人数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w:t>
            </w:r>
          </w:p>
        </w:tc>
        <w:tc>
          <w:tcPr>
            <w:tcW w:w="7342" w:type="dxa"/>
            <w:gridSpan w:val="8"/>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7342" w:type="dxa"/>
            <w:gridSpan w:val="8"/>
            <w:vAlign w:val="center"/>
          </w:tcPr>
          <w:p>
            <w:pPr>
              <w:spacing w:line="360" w:lineRule="auto"/>
              <w:ind w:firstLine="420" w:firstLineChars="200"/>
              <w:jc w:val="center"/>
              <w:rPr>
                <w:rFonts w:ascii="宋体" w:hAnsi="宋体"/>
                <w:color w:val="auto"/>
                <w:szCs w:val="21"/>
                <w:highlight w:val="none"/>
              </w:rPr>
            </w:pPr>
          </w:p>
        </w:tc>
      </w:tr>
    </w:tbl>
    <w:p>
      <w:pPr>
        <w:rPr>
          <w:rFonts w:ascii="宋体" w:hAnsi="宋体"/>
          <w:color w:val="auto"/>
          <w:highlight w:val="none"/>
        </w:rPr>
      </w:pPr>
    </w:p>
    <w:p>
      <w:pPr>
        <w:spacing w:line="400" w:lineRule="exact"/>
        <w:rPr>
          <w:rFonts w:ascii="宋体" w:hAnsi="宋体"/>
          <w:color w:val="auto"/>
          <w:szCs w:val="21"/>
          <w:highlight w:val="none"/>
        </w:rPr>
      </w:pPr>
      <w:r>
        <w:rPr>
          <w:rFonts w:hint="eastAsia"/>
          <w:color w:val="auto"/>
          <w:szCs w:val="21"/>
          <w:highlight w:val="none"/>
        </w:rPr>
        <w:t>注：必须附上以下证书的复印件</w:t>
      </w:r>
      <w:r>
        <w:rPr>
          <w:rFonts w:hint="eastAsia" w:ascii="宋体" w:hAnsi="宋体"/>
          <w:color w:val="auto"/>
          <w:szCs w:val="21"/>
          <w:highlight w:val="none"/>
        </w:rPr>
        <w:t>，复印件要求清晰可辨</w:t>
      </w:r>
    </w:p>
    <w:p>
      <w:pPr>
        <w:snapToGrid w:val="0"/>
        <w:spacing w:line="400" w:lineRule="exact"/>
        <w:rPr>
          <w:rFonts w:ascii="黑体" w:hAnsi="宋体" w:eastAsia="黑体"/>
          <w:color w:val="auto"/>
          <w:highlight w:val="none"/>
        </w:rPr>
      </w:pPr>
      <w:r>
        <w:rPr>
          <w:rFonts w:hint="eastAsia" w:ascii="黑体" w:hAnsi="宋体" w:eastAsia="黑体"/>
          <w:color w:val="auto"/>
          <w:szCs w:val="21"/>
          <w:highlight w:val="none"/>
        </w:rPr>
        <w:t>1.有效的法人营业执照副本；2.有效的资质证书副本；3.有效的安全生产许可证；4.有效的组织机构代码证；5.有效的税务登记证副本；6.</w:t>
      </w:r>
      <w:r>
        <w:rPr>
          <w:rFonts w:hint="eastAsia" w:ascii="黑体" w:eastAsia="黑体"/>
          <w:color w:val="auto"/>
          <w:highlight w:val="none"/>
        </w:rPr>
        <w:t>项目经理的资格</w:t>
      </w:r>
      <w:r>
        <w:rPr>
          <w:rFonts w:hint="eastAsia" w:ascii="黑体" w:hAnsi="宋体" w:eastAsia="黑体"/>
          <w:color w:val="auto"/>
          <w:szCs w:val="21"/>
          <w:highlight w:val="none"/>
        </w:rPr>
        <w:t>证书、身份证复印件。如已更换成“加载统一社会信用代码的‘三证合一’营业执照”时不需再提供组织机构代码证和税务登记。</w:t>
      </w:r>
    </w:p>
    <w:p>
      <w:pPr>
        <w:spacing w:line="360" w:lineRule="auto"/>
        <w:rPr>
          <w:rFonts w:ascii="宋体" w:hAnsi="宋体"/>
          <w:color w:val="auto"/>
          <w:highlight w:val="none"/>
        </w:rPr>
      </w:pPr>
      <w:r>
        <w:rPr>
          <w:rFonts w:ascii="宋体" w:hAnsi="宋体"/>
          <w:color w:val="auto"/>
          <w:highlight w:val="none"/>
        </w:rPr>
        <w:br w:type="page"/>
      </w:r>
    </w:p>
    <w:p>
      <w:pPr>
        <w:jc w:val="center"/>
        <w:rPr>
          <w:color w:val="auto"/>
          <w:highlight w:val="none"/>
        </w:rPr>
      </w:pPr>
      <w:r>
        <w:rPr>
          <w:rFonts w:hint="eastAsia" w:ascii="黑体" w:eastAsia="黑体"/>
          <w:color w:val="auto"/>
          <w:sz w:val="28"/>
          <w:szCs w:val="28"/>
          <w:highlight w:val="none"/>
        </w:rPr>
        <w:t>二、</w:t>
      </w:r>
      <w:r>
        <w:rPr>
          <w:rFonts w:ascii="黑体" w:eastAsia="黑体"/>
          <w:color w:val="auto"/>
          <w:sz w:val="28"/>
          <w:szCs w:val="28"/>
          <w:highlight w:val="none"/>
        </w:rPr>
        <w:t>诚信声明</w:t>
      </w:r>
    </w:p>
    <w:p>
      <w:pPr>
        <w:spacing w:line="520" w:lineRule="exact"/>
        <w:rPr>
          <w:rFonts w:ascii="宋体" w:hAnsi="宋体"/>
          <w:color w:val="auto"/>
          <w:highlight w:val="none"/>
        </w:rPr>
      </w:pPr>
    </w:p>
    <w:p>
      <w:pPr>
        <w:spacing w:line="520" w:lineRule="exact"/>
        <w:ind w:firstLine="525" w:firstLineChars="250"/>
        <w:rPr>
          <w:rFonts w:ascii="宋体" w:hAnsi="宋体"/>
          <w:color w:val="auto"/>
          <w:highlight w:val="none"/>
        </w:rPr>
      </w:pPr>
      <w:r>
        <w:rPr>
          <w:rFonts w:hint="eastAsia" w:ascii="宋体" w:hAnsi="宋体"/>
          <w:color w:val="auto"/>
          <w:highlight w:val="none"/>
        </w:rPr>
        <w:t>本人</w:t>
      </w:r>
      <w:r>
        <w:rPr>
          <w:rFonts w:ascii="宋体" w:hAnsi="宋体"/>
          <w:color w:val="auto"/>
          <w:highlight w:val="none"/>
          <w:u w:val="single"/>
        </w:rPr>
        <w:t xml:space="preserve">       </w:t>
      </w:r>
      <w:r>
        <w:rPr>
          <w:rFonts w:hint="eastAsia" w:ascii="宋体" w:hAnsi="宋体"/>
          <w:color w:val="auto"/>
          <w:highlight w:val="none"/>
          <w:u w:val="single"/>
        </w:rPr>
        <w:t>（法定代表人、身份证号码）</w:t>
      </w:r>
      <w:r>
        <w:rPr>
          <w:rFonts w:ascii="宋体" w:hAnsi="宋体"/>
          <w:color w:val="auto"/>
          <w:highlight w:val="none"/>
          <w:u w:val="single"/>
        </w:rPr>
        <w:t xml:space="preserve">         </w:t>
      </w:r>
      <w:r>
        <w:rPr>
          <w:rFonts w:hint="eastAsia" w:ascii="宋体" w:hAnsi="宋体"/>
          <w:color w:val="auto"/>
          <w:highlight w:val="none"/>
        </w:rPr>
        <w:t>郑重声明，本企业参加</w:t>
      </w:r>
      <w:r>
        <w:rPr>
          <w:rFonts w:ascii="宋体" w:hAnsi="宋体"/>
          <w:color w:val="auto"/>
          <w:highlight w:val="none"/>
          <w:u w:val="single"/>
        </w:rPr>
        <w:t xml:space="preserve">         </w:t>
      </w:r>
      <w:r>
        <w:rPr>
          <w:rFonts w:hint="eastAsia" w:ascii="宋体" w:hAnsi="宋体"/>
          <w:color w:val="auto"/>
          <w:highlight w:val="none"/>
        </w:rPr>
        <w:t>工程竞标活动所提交的所有资料、填写数据及所包含的附件资料内容是真实的、合法的、有效的，同样我在此所作的声明也是真实有效的，并愿意对在竞标过程中有关部门的调查结果承担责任。</w:t>
      </w:r>
    </w:p>
    <w:p>
      <w:pPr>
        <w:spacing w:line="520" w:lineRule="exact"/>
        <w:ind w:firstLine="480"/>
        <w:rPr>
          <w:rFonts w:ascii="宋体" w:hAnsi="宋体"/>
          <w:color w:val="auto"/>
          <w:highlight w:val="none"/>
        </w:rPr>
      </w:pPr>
      <w:r>
        <w:rPr>
          <w:rFonts w:hint="eastAsia" w:ascii="宋体" w:hAnsi="宋体"/>
          <w:color w:val="auto"/>
          <w:highlight w:val="none"/>
        </w:rPr>
        <w:t>本企业提交的所有竞标资料如有不实，愿接受政府采购监督管理部门和建设行政主管部门依据有关法律法规给予的处罚。</w:t>
      </w:r>
    </w:p>
    <w:p>
      <w:pPr>
        <w:spacing w:line="520" w:lineRule="exact"/>
        <w:rPr>
          <w:rFonts w:ascii="宋体" w:hAnsi="宋体"/>
          <w:color w:val="auto"/>
          <w:highlight w:val="none"/>
        </w:rPr>
      </w:pPr>
    </w:p>
    <w:p>
      <w:pPr>
        <w:spacing w:line="520" w:lineRule="exact"/>
        <w:rPr>
          <w:rFonts w:ascii="宋体" w:hAnsi="宋体"/>
          <w:color w:val="auto"/>
          <w:highlight w:val="none"/>
        </w:rPr>
      </w:pPr>
    </w:p>
    <w:p>
      <w:pPr>
        <w:spacing w:line="520" w:lineRule="exact"/>
        <w:ind w:firstLine="4410" w:firstLineChars="2100"/>
        <w:rPr>
          <w:rFonts w:ascii="宋体" w:hAnsi="宋体"/>
          <w:color w:val="auto"/>
          <w:highlight w:val="none"/>
        </w:rPr>
      </w:pPr>
      <w:r>
        <w:rPr>
          <w:rFonts w:hint="eastAsia" w:ascii="宋体" w:hAnsi="宋体"/>
          <w:color w:val="auto"/>
          <w:highlight w:val="none"/>
        </w:rPr>
        <w:t>竞标人：</w:t>
      </w:r>
      <w:r>
        <w:rPr>
          <w:rFonts w:hint="eastAsia" w:ascii="宋体" w:hAnsi="宋体"/>
          <w:color w:val="auto"/>
          <w:highlight w:val="none"/>
          <w:u w:val="single"/>
        </w:rPr>
        <w:t xml:space="preserve">   （全称）         </w:t>
      </w:r>
      <w:r>
        <w:rPr>
          <w:rFonts w:hint="eastAsia" w:ascii="宋体" w:hAnsi="宋体"/>
          <w:color w:val="auto"/>
          <w:highlight w:val="none"/>
        </w:rPr>
        <w:t>（盖单位章）</w:t>
      </w:r>
    </w:p>
    <w:p>
      <w:pPr>
        <w:spacing w:line="520" w:lineRule="exact"/>
        <w:ind w:firstLine="4410" w:firstLineChars="21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520" w:lineRule="exact"/>
        <w:ind w:firstLine="5775" w:firstLineChars="275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bookmarkStart w:id="200" w:name="_Toc163270989"/>
      <w:bookmarkStart w:id="201" w:name="_Toc158458008"/>
    </w:p>
    <w:p>
      <w:pPr>
        <w:jc w:val="center"/>
        <w:rPr>
          <w:color w:val="auto"/>
          <w:highlight w:val="none"/>
        </w:rPr>
      </w:pPr>
      <w:bookmarkStart w:id="202" w:name="_Toc173558684"/>
      <w:r>
        <w:rPr>
          <w:rFonts w:hint="eastAsia" w:ascii="黑体" w:eastAsia="黑体"/>
          <w:color w:val="auto"/>
          <w:sz w:val="28"/>
          <w:szCs w:val="28"/>
          <w:highlight w:val="none"/>
        </w:rPr>
        <w:t>三、</w:t>
      </w:r>
      <w:r>
        <w:rPr>
          <w:rFonts w:ascii="黑体" w:eastAsia="黑体"/>
          <w:color w:val="auto"/>
          <w:sz w:val="28"/>
          <w:szCs w:val="28"/>
          <w:highlight w:val="none"/>
        </w:rPr>
        <w:t>竞标文件签署授权委托书</w:t>
      </w:r>
    </w:p>
    <w:p>
      <w:pPr>
        <w:spacing w:after="156" w:line="360" w:lineRule="auto"/>
        <w:rPr>
          <w:rFonts w:ascii="宋体" w:hAnsi="宋体"/>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本授权委托书声明：我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竞标人</w:t>
      </w:r>
      <w:r>
        <w:rPr>
          <w:rFonts w:ascii="宋体" w:hAnsi="宋体"/>
          <w:color w:val="auto"/>
          <w:highlight w:val="none"/>
        </w:rPr>
        <w:t>名称）的法定代表人，现授权委托</w:t>
      </w:r>
      <w:r>
        <w:rPr>
          <w:rFonts w:ascii="宋体" w:hAnsi="宋体"/>
          <w:color w:val="auto"/>
          <w:highlight w:val="none"/>
          <w:u w:val="single"/>
        </w:rPr>
        <w:t xml:space="preserve">           </w:t>
      </w:r>
      <w:r>
        <w:rPr>
          <w:rFonts w:ascii="宋体" w:hAnsi="宋体"/>
          <w:color w:val="auto"/>
          <w:highlight w:val="none"/>
        </w:rPr>
        <w:t>（单位名称）的</w:t>
      </w:r>
      <w:r>
        <w:rPr>
          <w:rFonts w:ascii="宋体" w:hAnsi="宋体"/>
          <w:color w:val="auto"/>
          <w:highlight w:val="none"/>
          <w:u w:val="single"/>
        </w:rPr>
        <w:t xml:space="preserve">        </w:t>
      </w:r>
      <w:r>
        <w:rPr>
          <w:rFonts w:ascii="宋体" w:hAnsi="宋体"/>
          <w:color w:val="auto"/>
          <w:highlight w:val="none"/>
        </w:rPr>
        <w:t>（姓名）为我公司签署</w:t>
      </w:r>
      <w:r>
        <w:rPr>
          <w:rFonts w:hint="eastAsia" w:ascii="宋体" w:hAnsi="宋体"/>
          <w:color w:val="auto"/>
          <w:highlight w:val="none"/>
          <w:u w:val="single"/>
          <w:lang w:eastAsia="zh-CN"/>
        </w:rPr>
        <w:t>（项目名称）</w:t>
      </w:r>
      <w:r>
        <w:rPr>
          <w:rFonts w:ascii="宋体" w:hAnsi="宋体"/>
          <w:color w:val="auto"/>
          <w:highlight w:val="none"/>
        </w:rPr>
        <w:t>的</w:t>
      </w:r>
      <w:r>
        <w:rPr>
          <w:rFonts w:hint="eastAsia" w:ascii="宋体" w:hAnsi="宋体"/>
          <w:color w:val="auto"/>
          <w:highlight w:val="none"/>
        </w:rPr>
        <w:t>竞标文件</w:t>
      </w:r>
      <w:r>
        <w:rPr>
          <w:rFonts w:ascii="宋体" w:hAnsi="宋体"/>
          <w:color w:val="auto"/>
          <w:highlight w:val="none"/>
        </w:rPr>
        <w:t>的法定代表人授权委托代理人，我承认代理人全权代表我所签署的本工程的</w:t>
      </w:r>
      <w:r>
        <w:rPr>
          <w:rFonts w:hint="eastAsia" w:ascii="宋体" w:hAnsi="宋体"/>
          <w:color w:val="auto"/>
          <w:highlight w:val="none"/>
        </w:rPr>
        <w:t>竞标文件</w:t>
      </w:r>
      <w:r>
        <w:rPr>
          <w:rFonts w:ascii="宋体" w:hAnsi="宋体"/>
          <w:color w:val="auto"/>
          <w:highlight w:val="none"/>
        </w:rPr>
        <w:t>的内容。</w:t>
      </w:r>
    </w:p>
    <w:p>
      <w:pPr>
        <w:spacing w:line="360" w:lineRule="auto"/>
        <w:ind w:firstLine="420" w:firstLineChars="200"/>
        <w:rPr>
          <w:rFonts w:ascii="宋体" w:hAnsi="宋体"/>
          <w:color w:val="auto"/>
          <w:highlight w:val="none"/>
        </w:rPr>
      </w:pPr>
      <w:r>
        <w:rPr>
          <w:rFonts w:ascii="宋体" w:hAnsi="宋体"/>
          <w:color w:val="auto"/>
          <w:highlight w:val="none"/>
        </w:rPr>
        <w:t>代理人无转委托权，特此委托。</w:t>
      </w:r>
    </w:p>
    <w:p>
      <w:pPr>
        <w:spacing w:line="360" w:lineRule="auto"/>
        <w:ind w:firstLine="413" w:firstLineChars="196"/>
        <w:rPr>
          <w:rFonts w:ascii="宋体" w:hAnsi="宋体"/>
          <w:color w:val="auto"/>
          <w:highlight w:val="none"/>
        </w:rPr>
      </w:pPr>
      <w:r>
        <w:rPr>
          <w:rFonts w:hint="eastAsia"/>
          <w:b/>
          <w:color w:val="auto"/>
          <w:highlight w:val="none"/>
        </w:rPr>
        <w:t>附：法定代表人身份证复印件、委托代理人身份证复印件</w:t>
      </w:r>
    </w:p>
    <w:p>
      <w:pPr>
        <w:spacing w:line="360" w:lineRule="auto"/>
        <w:rPr>
          <w:rFonts w:ascii="宋体" w:hAnsi="宋体"/>
          <w:color w:val="auto"/>
          <w:highlight w:val="none"/>
        </w:rPr>
      </w:pPr>
    </w:p>
    <w:p>
      <w:pPr>
        <w:spacing w:line="360" w:lineRule="auto"/>
        <w:ind w:left="2699"/>
        <w:rPr>
          <w:rFonts w:ascii="宋体" w:hAnsi="宋体"/>
          <w:color w:val="auto"/>
          <w:highlight w:val="none"/>
          <w:u w:val="single"/>
        </w:rPr>
      </w:pPr>
      <w:r>
        <w:rPr>
          <w:rFonts w:ascii="宋体" w:hAnsi="宋体"/>
          <w:color w:val="auto"/>
          <w:highlight w:val="none"/>
        </w:rPr>
        <w:t>代理人：</w:t>
      </w:r>
      <w:r>
        <w:rPr>
          <w:rFonts w:ascii="宋体" w:hAnsi="宋体"/>
          <w:color w:val="auto"/>
          <w:highlight w:val="none"/>
          <w:u w:val="single"/>
        </w:rPr>
        <w:t xml:space="preserve">   （签字）</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性别 ：</w:t>
      </w:r>
      <w:r>
        <w:rPr>
          <w:rFonts w:ascii="宋体" w:hAnsi="宋体"/>
          <w:color w:val="auto"/>
          <w:highlight w:val="none"/>
          <w:u w:val="single"/>
        </w:rPr>
        <w:t xml:space="preserve">          </w:t>
      </w:r>
      <w:r>
        <w:rPr>
          <w:rFonts w:ascii="宋体" w:hAnsi="宋体"/>
          <w:color w:val="auto"/>
          <w:highlight w:val="none"/>
        </w:rPr>
        <w:t>年龄：_______</w:t>
      </w:r>
    </w:p>
    <w:p>
      <w:pPr>
        <w:spacing w:line="360" w:lineRule="auto"/>
        <w:ind w:left="2699"/>
        <w:rPr>
          <w:rFonts w:ascii="宋体" w:hAnsi="宋体"/>
          <w:color w:val="auto"/>
          <w:highlight w:val="none"/>
          <w:u w:val="single"/>
        </w:rPr>
      </w:pPr>
      <w:r>
        <w:rPr>
          <w:rFonts w:ascii="宋体" w:hAnsi="宋体"/>
          <w:color w:val="auto"/>
          <w:highlight w:val="none"/>
        </w:rPr>
        <w:t>身份证号码：</w:t>
      </w:r>
      <w:r>
        <w:rPr>
          <w:rFonts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 xml:space="preserve">             </w:t>
      </w:r>
    </w:p>
    <w:p>
      <w:pPr>
        <w:spacing w:line="360" w:lineRule="auto"/>
        <w:ind w:left="2699"/>
        <w:rPr>
          <w:rFonts w:ascii="宋体" w:hAnsi="宋体"/>
          <w:color w:val="auto"/>
          <w:highlight w:val="none"/>
        </w:rPr>
      </w:pPr>
      <w:r>
        <w:rPr>
          <w:rFonts w:hint="eastAsia" w:ascii="宋体" w:hAnsi="宋体"/>
          <w:color w:val="auto"/>
          <w:highlight w:val="none"/>
        </w:rPr>
        <w:t>竞标人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ascii="宋体" w:hAnsi="宋体"/>
          <w:color w:val="auto"/>
          <w:highlight w:val="none"/>
        </w:rPr>
        <w:t>（盖</w:t>
      </w:r>
      <w:r>
        <w:rPr>
          <w:rFonts w:hint="eastAsia" w:ascii="宋体" w:hAnsi="宋体"/>
          <w:color w:val="auto"/>
          <w:highlight w:val="none"/>
        </w:rPr>
        <w:t>单位</w:t>
      </w:r>
      <w:r>
        <w:rPr>
          <w:rFonts w:ascii="宋体" w:hAnsi="宋体"/>
          <w:color w:val="auto"/>
          <w:highlight w:val="none"/>
        </w:rPr>
        <w:t>章）</w:t>
      </w:r>
    </w:p>
    <w:p>
      <w:pPr>
        <w:spacing w:line="360" w:lineRule="auto"/>
        <w:ind w:left="2699"/>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（签字）</w:t>
      </w:r>
    </w:p>
    <w:p>
      <w:pPr>
        <w:spacing w:line="360" w:lineRule="auto"/>
        <w:ind w:left="2699"/>
        <w:rPr>
          <w:rFonts w:hAnsi="宋体"/>
          <w:color w:val="auto"/>
          <w:highlight w:val="none"/>
        </w:rPr>
      </w:pPr>
      <w:r>
        <w:rPr>
          <w:color w:val="auto"/>
          <w:highlight w:val="none"/>
        </w:rPr>
        <w:t xml:space="preserve">授权委托日期：     </w:t>
      </w:r>
      <w:r>
        <w:rPr>
          <w:rFonts w:hint="eastAsia"/>
          <w:color w:val="auto"/>
          <w:highlight w:val="none"/>
        </w:rPr>
        <w:t xml:space="preserve">    </w:t>
      </w:r>
      <w:r>
        <w:rPr>
          <w:color w:val="auto"/>
          <w:highlight w:val="none"/>
        </w:rPr>
        <w:t>年     月     日</w:t>
      </w:r>
    </w:p>
    <w:p>
      <w:pPr>
        <w:pStyle w:val="17"/>
        <w:snapToGrid w:val="0"/>
        <w:spacing w:line="260" w:lineRule="atLeast"/>
        <w:rPr>
          <w:rFonts w:hAnsi="宋体"/>
          <w:color w:val="auto"/>
          <w:highlight w:val="none"/>
        </w:rPr>
      </w:pPr>
      <w:r>
        <w:rPr>
          <w:rFonts w:hAnsi="宋体"/>
          <w:color w:val="auto"/>
          <w:highlight w:val="none"/>
        </w:rPr>
        <w:br w:type="page"/>
      </w:r>
    </w:p>
    <w:p>
      <w:pPr>
        <w:jc w:val="center"/>
        <w:rPr>
          <w:color w:val="auto"/>
          <w:highlight w:val="none"/>
        </w:rPr>
      </w:pPr>
      <w:r>
        <w:rPr>
          <w:rFonts w:hint="eastAsia" w:ascii="黑体" w:eastAsia="黑体"/>
          <w:color w:val="auto"/>
          <w:sz w:val="28"/>
          <w:szCs w:val="28"/>
          <w:highlight w:val="none"/>
        </w:rPr>
        <w:t>四、</w:t>
      </w:r>
      <w:r>
        <w:rPr>
          <w:rFonts w:ascii="黑体" w:eastAsia="黑体"/>
          <w:color w:val="auto"/>
          <w:sz w:val="28"/>
          <w:szCs w:val="28"/>
          <w:highlight w:val="none"/>
        </w:rPr>
        <w:t>农民工工资保障金承诺书</w:t>
      </w:r>
    </w:p>
    <w:p>
      <w:pPr>
        <w:pStyle w:val="17"/>
        <w:spacing w:after="50" w:line="400" w:lineRule="exact"/>
        <w:rPr>
          <w:rFonts w:hAnsi="Times New Roman"/>
          <w:b/>
          <w:color w:val="auto"/>
          <w:sz w:val="28"/>
          <w:highlight w:val="none"/>
        </w:rPr>
      </w:pPr>
    </w:p>
    <w:p>
      <w:pPr>
        <w:pStyle w:val="17"/>
        <w:spacing w:after="50" w:line="400" w:lineRule="exact"/>
        <w:rPr>
          <w:rFonts w:hAnsi="Times New Roman"/>
          <w:bCs/>
          <w:color w:val="auto"/>
          <w:highlight w:val="none"/>
        </w:rPr>
      </w:pPr>
      <w:r>
        <w:rPr>
          <w:rFonts w:hint="eastAsia" w:hAnsi="Times New Roman"/>
          <w:bCs/>
          <w:color w:val="auto"/>
          <w:highlight w:val="none"/>
        </w:rPr>
        <w:t>竞标人应在竞标文件中出具农民工工资保障金承诺书，主要承诺以下内容：</w:t>
      </w:r>
    </w:p>
    <w:p>
      <w:pPr>
        <w:pStyle w:val="17"/>
        <w:spacing w:after="50" w:line="400" w:lineRule="exact"/>
        <w:ind w:firstLine="420" w:firstLineChars="200"/>
        <w:rPr>
          <w:rFonts w:hAnsi="Times New Roman"/>
          <w:bCs/>
          <w:color w:val="auto"/>
          <w:highlight w:val="none"/>
        </w:rPr>
      </w:pPr>
      <w:r>
        <w:rPr>
          <w:rFonts w:hint="eastAsia" w:hAnsi="Times New Roman"/>
          <w:bCs/>
          <w:color w:val="auto"/>
          <w:highlight w:val="none"/>
        </w:rPr>
        <w:t>1.竞标人成交后7个工作日内，按成交金额的2%且不多于80万元的农民工工资保障金足额交纳到指定的账户；</w:t>
      </w:r>
    </w:p>
    <w:p>
      <w:pPr>
        <w:spacing w:after="50" w:line="400" w:lineRule="exact"/>
        <w:ind w:firstLine="420" w:firstLineChars="200"/>
        <w:rPr>
          <w:rFonts w:ascii="宋体"/>
          <w:bCs/>
          <w:color w:val="auto"/>
          <w:highlight w:val="none"/>
        </w:rPr>
      </w:pPr>
      <w:r>
        <w:rPr>
          <w:rFonts w:hint="eastAsia" w:ascii="宋体"/>
          <w:bCs/>
          <w:color w:val="auto"/>
          <w:highlight w:val="none"/>
        </w:rPr>
        <w:t>2.一旦竞标人承建的</w:t>
      </w:r>
      <w:r>
        <w:rPr>
          <w:rFonts w:hint="eastAsia" w:ascii="宋体" w:hAnsi="Courier New"/>
          <w:color w:val="auto"/>
          <w:szCs w:val="20"/>
          <w:highlight w:val="none"/>
        </w:rPr>
        <w:t>项目</w:t>
      </w:r>
      <w:r>
        <w:rPr>
          <w:rFonts w:hint="eastAsia" w:ascii="宋体"/>
          <w:bCs/>
          <w:color w:val="auto"/>
          <w:highlight w:val="none"/>
        </w:rPr>
        <w:t>中出现拖欠农民工和工人工资情况，从其农民工工资保障金中先予划支；</w:t>
      </w:r>
    </w:p>
    <w:p>
      <w:pPr>
        <w:spacing w:after="50" w:line="400" w:lineRule="exact"/>
        <w:rPr>
          <w:rFonts w:ascii="宋体"/>
          <w:bCs/>
          <w:color w:val="auto"/>
          <w:sz w:val="28"/>
          <w:highlight w:val="none"/>
        </w:rPr>
      </w:pPr>
    </w:p>
    <w:p>
      <w:pPr>
        <w:spacing w:after="50" w:line="400" w:lineRule="exact"/>
        <w:rPr>
          <w:rFonts w:ascii="宋体"/>
          <w:bCs/>
          <w:color w:val="auto"/>
          <w:sz w:val="28"/>
          <w:highlight w:val="none"/>
        </w:rPr>
      </w:pPr>
    </w:p>
    <w:p>
      <w:pPr>
        <w:spacing w:after="50" w:line="400" w:lineRule="exact"/>
        <w:rPr>
          <w:rFonts w:ascii="宋体"/>
          <w:bCs/>
          <w:color w:val="auto"/>
          <w:sz w:val="28"/>
          <w:highlight w:val="none"/>
        </w:rPr>
      </w:pPr>
    </w:p>
    <w:p>
      <w:pPr>
        <w:pStyle w:val="17"/>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17"/>
        <w:rPr>
          <w:color w:val="auto"/>
          <w:highlight w:val="none"/>
        </w:rPr>
      </w:pPr>
    </w:p>
    <w:p>
      <w:pPr>
        <w:pStyle w:val="17"/>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spacing w:after="50" w:line="400" w:lineRule="exact"/>
        <w:rPr>
          <w:rFonts w:ascii="宋体"/>
          <w:bCs/>
          <w:color w:val="auto"/>
          <w:sz w:val="28"/>
          <w:highlight w:val="none"/>
        </w:rPr>
      </w:pPr>
    </w:p>
    <w:p>
      <w:pPr>
        <w:pStyle w:val="48"/>
        <w:spacing w:after="50" w:line="400" w:lineRule="exact"/>
        <w:rPr>
          <w:rFonts w:hAnsi="Times New Roman"/>
          <w:bCs/>
          <w:color w:val="auto"/>
          <w:szCs w:val="24"/>
          <w:highlight w:val="none"/>
        </w:rPr>
      </w:pPr>
      <w:r>
        <w:rPr>
          <w:rFonts w:hint="eastAsia" w:hAnsi="Times New Roman"/>
          <w:bCs/>
          <w:color w:val="auto"/>
          <w:szCs w:val="24"/>
          <w:highlight w:val="none"/>
        </w:rPr>
        <w:t>竞标人：</w:t>
      </w:r>
      <w:r>
        <w:rPr>
          <w:rFonts w:hint="eastAsia" w:hAnsi="Times New Roman"/>
          <w:bCs/>
          <w:color w:val="auto"/>
          <w:szCs w:val="24"/>
          <w:highlight w:val="none"/>
          <w:u w:val="single"/>
        </w:rPr>
        <w:t xml:space="preserve">   （全称）                  </w:t>
      </w:r>
      <w:r>
        <w:rPr>
          <w:rFonts w:hint="eastAsia" w:hAnsi="Times New Roman"/>
          <w:bCs/>
          <w:color w:val="auto"/>
          <w:szCs w:val="24"/>
          <w:highlight w:val="none"/>
        </w:rPr>
        <w:t>（盖单位章）</w:t>
      </w:r>
    </w:p>
    <w:p>
      <w:pPr>
        <w:spacing w:after="50" w:line="400" w:lineRule="exact"/>
        <w:rPr>
          <w:color w:val="auto"/>
          <w:highlight w:val="none"/>
        </w:rPr>
      </w:pPr>
    </w:p>
    <w:p>
      <w:pPr>
        <w:spacing w:after="50" w:line="400" w:lineRule="exact"/>
        <w:rPr>
          <w:rFonts w:ascii="宋体"/>
          <w:bCs/>
          <w:color w:val="auto"/>
          <w:highlight w:val="none"/>
        </w:rPr>
      </w:pPr>
      <w:r>
        <w:rPr>
          <w:rFonts w:hint="eastAsia"/>
          <w:color w:val="auto"/>
          <w:highlight w:val="none"/>
        </w:rPr>
        <w:t>法定代表人或授权委托代理人</w:t>
      </w:r>
      <w:r>
        <w:rPr>
          <w:rFonts w:hint="eastAsia" w:ascii="宋体"/>
          <w:bCs/>
          <w:color w:val="auto"/>
          <w:highlight w:val="none"/>
        </w:rPr>
        <w:t>：</w:t>
      </w:r>
      <w:r>
        <w:rPr>
          <w:rFonts w:hint="eastAsia" w:ascii="宋体"/>
          <w:bCs/>
          <w:color w:val="auto"/>
          <w:highlight w:val="none"/>
          <w:u w:val="single"/>
        </w:rPr>
        <w:t xml:space="preserve">             </w:t>
      </w:r>
      <w:r>
        <w:rPr>
          <w:rFonts w:hint="eastAsia" w:ascii="宋体"/>
          <w:bCs/>
          <w:color w:val="auto"/>
          <w:highlight w:val="none"/>
        </w:rPr>
        <w:t>（签字）</w:t>
      </w:r>
    </w:p>
    <w:p>
      <w:pPr>
        <w:spacing w:after="50" w:line="400" w:lineRule="exact"/>
        <w:ind w:firstLine="1260" w:firstLineChars="600"/>
        <w:rPr>
          <w:rFonts w:ascii="宋体"/>
          <w:bCs/>
          <w:color w:val="auto"/>
          <w:highlight w:val="none"/>
        </w:rPr>
      </w:pPr>
    </w:p>
    <w:p>
      <w:pPr>
        <w:ind w:firstLine="1785" w:firstLineChars="850"/>
        <w:rPr>
          <w:color w:val="auto"/>
          <w:highlight w:val="none"/>
        </w:rPr>
      </w:pPr>
      <w:r>
        <w:rPr>
          <w:rFonts w:hint="eastAsia"/>
          <w:color w:val="auto"/>
          <w:highlight w:val="none"/>
        </w:rPr>
        <w:t>年   月   日</w:t>
      </w: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color w:val="auto"/>
          <w:highlight w:val="none"/>
        </w:rPr>
      </w:pPr>
      <w:r>
        <w:rPr>
          <w:rFonts w:hint="eastAsia" w:ascii="黑体" w:eastAsia="黑体"/>
          <w:color w:val="auto"/>
          <w:sz w:val="28"/>
          <w:szCs w:val="28"/>
          <w:highlight w:val="none"/>
        </w:rPr>
        <w:t>五、竞标保证金交款凭证</w:t>
      </w:r>
    </w:p>
    <w:p>
      <w:pPr>
        <w:rPr>
          <w:rFonts w:ascii="宋体" w:hAnsi="宋体"/>
          <w:color w:val="auto"/>
          <w:highlight w:val="none"/>
        </w:rPr>
      </w:pPr>
    </w:p>
    <w:p>
      <w:pPr>
        <w:rPr>
          <w:rFonts w:ascii="宋体" w:hAnsi="宋体"/>
          <w:color w:val="auto"/>
          <w:highlight w:val="none"/>
        </w:rPr>
      </w:pPr>
    </w:p>
    <w:p>
      <w:pPr>
        <w:jc w:val="center"/>
        <w:rPr>
          <w:rFonts w:ascii="宋体" w:hAnsi="宋体"/>
          <w:color w:val="auto"/>
          <w:highlight w:val="none"/>
        </w:rPr>
      </w:pPr>
      <w:r>
        <w:rPr>
          <w:rFonts w:hint="eastAsia" w:ascii="宋体" w:hAnsi="宋体"/>
          <w:color w:val="auto"/>
          <w:highlight w:val="none"/>
        </w:rPr>
        <w:t>（附竞标保证金交款凭证复印件，原件核查</w:t>
      </w:r>
      <w:r>
        <w:rPr>
          <w:rFonts w:ascii="宋体" w:hAnsi="宋体"/>
          <w:color w:val="auto"/>
          <w:highlight w:val="none"/>
        </w:rPr>
        <w:t>)</w:t>
      </w:r>
    </w:p>
    <w:p>
      <w:pPr>
        <w:pStyle w:val="17"/>
        <w:snapToGrid w:val="0"/>
        <w:spacing w:line="294" w:lineRule="atLeast"/>
        <w:rPr>
          <w:rFonts w:hAnsi="宋体"/>
          <w:color w:val="auto"/>
          <w:highlight w:val="none"/>
        </w:rPr>
      </w:pPr>
    </w:p>
    <w:p>
      <w:pPr>
        <w:pStyle w:val="17"/>
        <w:snapToGrid w:val="0"/>
        <w:spacing w:line="289" w:lineRule="atLeast"/>
        <w:rPr>
          <w:rFonts w:hAnsi="宋体"/>
          <w:color w:val="auto"/>
          <w:sz w:val="24"/>
          <w:highlight w:val="none"/>
        </w:rPr>
      </w:pPr>
    </w:p>
    <w:p>
      <w:pPr>
        <w:pStyle w:val="17"/>
        <w:snapToGrid w:val="0"/>
        <w:spacing w:line="402" w:lineRule="atLeast"/>
        <w:rPr>
          <w:rFonts w:hAnsi="宋体"/>
          <w:color w:val="auto"/>
          <w:sz w:val="24"/>
          <w:highlight w:val="none"/>
        </w:rPr>
      </w:pPr>
    </w:p>
    <w:p>
      <w:pPr>
        <w:pStyle w:val="17"/>
        <w:snapToGrid w:val="0"/>
        <w:spacing w:line="402" w:lineRule="atLeast"/>
        <w:rPr>
          <w:rFonts w:hAnsi="宋体"/>
          <w:color w:val="auto"/>
          <w:sz w:val="24"/>
          <w:highlight w:val="none"/>
        </w:rPr>
      </w:pPr>
    </w:p>
    <w:p>
      <w:pPr>
        <w:pStyle w:val="17"/>
        <w:snapToGrid w:val="0"/>
        <w:spacing w:line="402" w:lineRule="atLeast"/>
        <w:rPr>
          <w:rFonts w:hAnsi="宋体"/>
          <w:color w:val="auto"/>
          <w:sz w:val="24"/>
          <w:highlight w:val="none"/>
        </w:rPr>
      </w:pPr>
    </w:p>
    <w:p>
      <w:pPr>
        <w:spacing w:line="360" w:lineRule="auto"/>
        <w:jc w:val="center"/>
        <w:rPr>
          <w:rFonts w:ascii="宋体" w:hAnsi="宋体"/>
          <w:color w:val="auto"/>
          <w:highlight w:val="none"/>
        </w:rPr>
      </w:pPr>
      <w:r>
        <w:rPr>
          <w:rFonts w:hAnsi="宋体"/>
          <w:color w:val="auto"/>
          <w:sz w:val="24"/>
          <w:highlight w:val="none"/>
        </w:rPr>
        <w:br w:type="page"/>
      </w:r>
      <w:bookmarkEnd w:id="200"/>
      <w:bookmarkEnd w:id="201"/>
      <w:bookmarkEnd w:id="202"/>
      <w:r>
        <w:rPr>
          <w:rFonts w:hint="eastAsia" w:ascii="黑体" w:eastAsia="黑体"/>
          <w:color w:val="auto"/>
          <w:sz w:val="28"/>
          <w:szCs w:val="28"/>
          <w:highlight w:val="none"/>
        </w:rPr>
        <w:t>六、</w:t>
      </w:r>
      <w:r>
        <w:rPr>
          <w:rFonts w:ascii="黑体" w:eastAsia="黑体"/>
          <w:color w:val="auto"/>
          <w:sz w:val="28"/>
          <w:szCs w:val="28"/>
          <w:highlight w:val="none"/>
        </w:rPr>
        <w:t>安全防护、文明施工措施方案的承诺书</w:t>
      </w:r>
    </w:p>
    <w:p>
      <w:pPr>
        <w:spacing w:line="540" w:lineRule="exact"/>
        <w:jc w:val="left"/>
        <w:rPr>
          <w:rFonts w:ascii="宋体" w:hAnsi="宋体"/>
          <w:color w:val="auto"/>
          <w:highlight w:val="none"/>
        </w:rPr>
      </w:pPr>
    </w:p>
    <w:p>
      <w:pPr>
        <w:spacing w:line="540" w:lineRule="exact"/>
        <w:jc w:val="lef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（采购人名称）     </w:t>
      </w:r>
      <w:r>
        <w:rPr>
          <w:rFonts w:hint="eastAsia" w:ascii="宋体" w:hAnsi="宋体"/>
          <w:color w:val="auto"/>
          <w:highlight w:val="none"/>
        </w:rPr>
        <w:t>：</w:t>
      </w:r>
    </w:p>
    <w:p>
      <w:pPr>
        <w:spacing w:line="540" w:lineRule="exact"/>
        <w:ind w:firstLine="422" w:firstLineChars="201"/>
        <w:jc w:val="left"/>
        <w:rPr>
          <w:rFonts w:ascii="宋体" w:hAnsi="宋体"/>
          <w:color w:val="auto"/>
          <w:highlight w:val="none"/>
        </w:rPr>
      </w:pPr>
      <w:r>
        <w:rPr>
          <w:rFonts w:hint="eastAsia" w:ascii="宋体" w:hAnsi="宋体"/>
          <w:color w:val="auto"/>
          <w:highlight w:val="none"/>
        </w:rPr>
        <w:t>根据桂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文件规定，我方在此向采购人承诺：</w:t>
      </w:r>
    </w:p>
    <w:p>
      <w:pPr>
        <w:spacing w:line="540" w:lineRule="exact"/>
        <w:ind w:left="-10" w:firstLine="455" w:firstLineChars="217"/>
        <w:jc w:val="left"/>
        <w:rPr>
          <w:rFonts w:ascii="宋体" w:hAnsi="宋体"/>
          <w:color w:val="auto"/>
          <w:highlight w:val="none"/>
        </w:rPr>
      </w:pPr>
      <w:r>
        <w:rPr>
          <w:rFonts w:hint="eastAsia" w:ascii="宋体" w:hAnsi="宋体"/>
          <w:color w:val="auto"/>
          <w:highlight w:val="none"/>
        </w:rPr>
        <w:t>1．我方参与竞标的</w:t>
      </w:r>
      <w:r>
        <w:rPr>
          <w:rFonts w:hint="eastAsia" w:ascii="宋体" w:hAnsi="宋体"/>
          <w:color w:val="auto"/>
          <w:highlight w:val="none"/>
          <w:u w:val="single"/>
        </w:rPr>
        <w:t xml:space="preserve">    （工程名称）   </w:t>
      </w:r>
      <w:r>
        <w:rPr>
          <w:rFonts w:hint="eastAsia" w:ascii="宋体" w:hAnsi="宋体"/>
          <w:color w:val="auto"/>
          <w:highlight w:val="none"/>
        </w:rPr>
        <w:t>项目，一旦成交，我方保证在施工过程中，严格执行《广西壮族自治区建筑工程安全防护、文明施工措施费及使用管理细则》（桂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文）的有关规定，确保建设工程各项安全防护、文明施工措施落实到位。</w:t>
      </w:r>
    </w:p>
    <w:p>
      <w:pPr>
        <w:spacing w:line="540" w:lineRule="exact"/>
        <w:ind w:left="-10" w:firstLine="455" w:firstLineChars="217"/>
        <w:jc w:val="left"/>
        <w:rPr>
          <w:rFonts w:ascii="宋体" w:hAnsi="宋体"/>
          <w:color w:val="auto"/>
          <w:highlight w:val="none"/>
        </w:rPr>
      </w:pPr>
      <w:r>
        <w:rPr>
          <w:rFonts w:hint="eastAsia" w:ascii="宋体" w:hAnsi="宋体"/>
          <w:color w:val="auto"/>
          <w:highlight w:val="none"/>
        </w:rPr>
        <w:t>2．如我方在承包的</w:t>
      </w:r>
      <w:r>
        <w:rPr>
          <w:rFonts w:hint="eastAsia" w:ascii="宋体" w:hAnsi="宋体"/>
          <w:color w:val="auto"/>
          <w:highlight w:val="none"/>
          <w:u w:val="single"/>
        </w:rPr>
        <w:t xml:space="preserve">    （工程名称）    </w:t>
      </w:r>
      <w:r>
        <w:rPr>
          <w:rFonts w:hint="eastAsia" w:ascii="宋体" w:hAnsi="宋体"/>
          <w:color w:val="auto"/>
          <w:highlight w:val="none"/>
        </w:rPr>
        <w:t>项目中出现未按桂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文附件一规定执行的情形，我方愿意按照相关规定接受建设单位及有关主管部门的处罚。</w:t>
      </w:r>
    </w:p>
    <w:p>
      <w:pPr>
        <w:spacing w:line="540" w:lineRule="exact"/>
        <w:jc w:val="left"/>
        <w:rPr>
          <w:rFonts w:ascii="宋体" w:hAnsi="宋体"/>
          <w:color w:val="auto"/>
          <w:highlight w:val="none"/>
        </w:rPr>
      </w:pPr>
    </w:p>
    <w:p>
      <w:pPr>
        <w:spacing w:line="540" w:lineRule="exact"/>
        <w:jc w:val="left"/>
        <w:rPr>
          <w:rFonts w:ascii="宋体" w:hAnsi="宋体"/>
          <w:color w:val="auto"/>
          <w:highlight w:val="none"/>
        </w:rPr>
      </w:pPr>
    </w:p>
    <w:p>
      <w:pPr>
        <w:spacing w:line="540" w:lineRule="exact"/>
        <w:ind w:firstLine="2186" w:firstLineChars="1041"/>
        <w:jc w:val="left"/>
        <w:rPr>
          <w:rFonts w:ascii="宋体" w:hAnsi="宋体"/>
          <w:color w:val="auto"/>
          <w:highlight w:val="none"/>
          <w:u w:val="single"/>
        </w:rPr>
      </w:pPr>
      <w:r>
        <w:rPr>
          <w:rFonts w:hint="eastAsia" w:ascii="宋体" w:hAnsi="宋体"/>
          <w:color w:val="auto"/>
          <w:highlight w:val="none"/>
        </w:rPr>
        <w:t>竞标人：</w:t>
      </w:r>
      <w:r>
        <w:rPr>
          <w:rFonts w:hint="eastAsia" w:ascii="宋体" w:hAnsi="宋体"/>
          <w:color w:val="auto"/>
          <w:highlight w:val="none"/>
          <w:u w:val="single"/>
        </w:rPr>
        <w:t xml:space="preserve">    （全称）              （盖单位章）</w:t>
      </w:r>
    </w:p>
    <w:p>
      <w:pPr>
        <w:spacing w:line="540" w:lineRule="exact"/>
        <w:ind w:firstLine="2186" w:firstLineChars="1041"/>
        <w:jc w:val="left"/>
        <w:rPr>
          <w:rFonts w:ascii="宋体" w:hAnsi="宋体"/>
          <w:color w:val="auto"/>
          <w:highlight w:val="none"/>
          <w:u w:val="singl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（签字）</w:t>
      </w:r>
    </w:p>
    <w:p>
      <w:pPr>
        <w:spacing w:line="540" w:lineRule="exact"/>
        <w:ind w:firstLine="2186" w:firstLineChars="1041"/>
        <w:jc w:val="left"/>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rPr>
          <w:rFonts w:ascii="宋体" w:hAnsi="宋体"/>
          <w:b/>
          <w:bCs/>
          <w:color w:val="auto"/>
          <w:sz w:val="24"/>
          <w:highlight w:val="none"/>
        </w:rPr>
      </w:pPr>
    </w:p>
    <w:p>
      <w:pPr>
        <w:spacing w:line="360" w:lineRule="auto"/>
        <w:jc w:val="center"/>
        <w:rPr>
          <w:color w:val="auto"/>
          <w:highlight w:val="none"/>
        </w:rPr>
      </w:pPr>
      <w:r>
        <w:rPr>
          <w:color w:val="auto"/>
          <w:szCs w:val="36"/>
          <w:highlight w:val="none"/>
        </w:rPr>
        <w:br w:type="page"/>
      </w:r>
      <w:r>
        <w:rPr>
          <w:rFonts w:hint="eastAsia" w:ascii="黑体" w:hAnsi="宋体" w:eastAsia="黑体"/>
          <w:bCs/>
          <w:color w:val="auto"/>
          <w:sz w:val="28"/>
          <w:szCs w:val="28"/>
          <w:highlight w:val="none"/>
        </w:rPr>
        <w:t>桂建质安[2006]22号文附件一</w:t>
      </w:r>
    </w:p>
    <w:p>
      <w:pPr>
        <w:jc w:val="center"/>
        <w:rPr>
          <w:rFonts w:ascii="宋体" w:hAnsi="宋体"/>
          <w:b/>
          <w:color w:val="auto"/>
          <w:sz w:val="28"/>
          <w:szCs w:val="28"/>
          <w:highlight w:val="none"/>
        </w:rPr>
      </w:pPr>
      <w:r>
        <w:rPr>
          <w:rFonts w:hint="eastAsia" w:ascii="宋体" w:hAnsi="宋体"/>
          <w:b/>
          <w:color w:val="auto"/>
          <w:sz w:val="28"/>
          <w:szCs w:val="28"/>
          <w:highlight w:val="none"/>
        </w:rPr>
        <w:t>广西壮族自治区建筑工程安全防护、文明施工措施项目清单内容</w:t>
      </w:r>
    </w:p>
    <w:tbl>
      <w:tblPr>
        <w:tblStyle w:val="33"/>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50"/>
        <w:gridCol w:w="141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9" w:type="dxa"/>
            <w:vAlign w:val="center"/>
          </w:tcPr>
          <w:p>
            <w:pPr>
              <w:jc w:val="center"/>
              <w:rPr>
                <w:rFonts w:ascii="宋体" w:hAnsi="宋体"/>
                <w:color w:val="auto"/>
                <w:highlight w:val="none"/>
              </w:rPr>
            </w:pPr>
            <w:r>
              <w:rPr>
                <w:rFonts w:hint="eastAsia" w:ascii="宋体" w:hAnsi="宋体"/>
                <w:color w:val="auto"/>
                <w:highlight w:val="none"/>
              </w:rPr>
              <w:t>类别</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6813" w:type="dxa"/>
            <w:vAlign w:val="center"/>
          </w:tcPr>
          <w:p>
            <w:pPr>
              <w:jc w:val="center"/>
              <w:rPr>
                <w:rFonts w:ascii="宋体" w:hAnsi="宋体"/>
                <w:color w:val="auto"/>
                <w:highlight w:val="none"/>
              </w:rPr>
            </w:pPr>
            <w:r>
              <w:rPr>
                <w:rFonts w:hint="eastAsia" w:ascii="宋体" w:hAnsi="宋体"/>
                <w:color w:val="auto"/>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restart"/>
            <w:vAlign w:val="center"/>
          </w:tcPr>
          <w:p>
            <w:pPr>
              <w:jc w:val="center"/>
              <w:rPr>
                <w:rFonts w:ascii="宋体" w:hAnsi="宋体"/>
                <w:color w:val="auto"/>
                <w:highlight w:val="none"/>
              </w:rPr>
            </w:pPr>
            <w:r>
              <w:rPr>
                <w:rFonts w:hint="eastAsia" w:ascii="宋体" w:hAnsi="宋体"/>
                <w:color w:val="auto"/>
                <w:highlight w:val="none"/>
              </w:rPr>
              <w:t>文明施工与</w:t>
            </w:r>
          </w:p>
          <w:p>
            <w:pPr>
              <w:jc w:val="center"/>
              <w:rPr>
                <w:rFonts w:ascii="宋体" w:hAnsi="宋体"/>
                <w:color w:val="auto"/>
                <w:highlight w:val="none"/>
              </w:rPr>
            </w:pPr>
            <w:r>
              <w:rPr>
                <w:rFonts w:hint="eastAsia" w:ascii="宋体" w:hAnsi="宋体"/>
                <w:color w:val="auto"/>
                <w:highlight w:val="none"/>
              </w:rPr>
              <w:t>环境保护</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安全警示</w:t>
            </w:r>
          </w:p>
          <w:p>
            <w:pPr>
              <w:jc w:val="center"/>
              <w:rPr>
                <w:rFonts w:ascii="宋体" w:hAnsi="宋体"/>
                <w:color w:val="auto"/>
                <w:highlight w:val="none"/>
              </w:rPr>
            </w:pPr>
            <w:r>
              <w:rPr>
                <w:rFonts w:hint="eastAsia" w:ascii="宋体" w:hAnsi="宋体"/>
                <w:color w:val="auto"/>
                <w:highlight w:val="none"/>
              </w:rPr>
              <w:t>标志牌</w:t>
            </w:r>
          </w:p>
        </w:tc>
        <w:tc>
          <w:tcPr>
            <w:tcW w:w="6813" w:type="dxa"/>
          </w:tcPr>
          <w:p>
            <w:pPr>
              <w:rPr>
                <w:rFonts w:ascii="宋体" w:hAnsi="宋体"/>
                <w:color w:val="auto"/>
                <w:highlight w:val="none"/>
              </w:rPr>
            </w:pPr>
            <w:r>
              <w:rPr>
                <w:rFonts w:hint="eastAsia" w:ascii="宋体" w:hAnsi="宋体"/>
                <w:color w:val="auto"/>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现场围挡</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1.现场采用封闭围挡，高度不小于1.8m。</w:t>
            </w:r>
          </w:p>
          <w:p>
            <w:pPr>
              <w:adjustRightInd w:val="0"/>
              <w:textAlignment w:val="baseline"/>
              <w:rPr>
                <w:rFonts w:ascii="宋体" w:hAnsi="宋体"/>
                <w:color w:val="auto"/>
                <w:highlight w:val="none"/>
              </w:rPr>
            </w:pPr>
            <w:r>
              <w:rPr>
                <w:rFonts w:hint="eastAsia" w:ascii="宋体" w:hAnsi="宋体"/>
                <w:color w:val="auto"/>
                <w:highlight w:val="none"/>
              </w:rPr>
              <w:t>2.围挡材料可用彩色、定型钢板，砖、砼砌块等墙体。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五板一图</w:t>
            </w:r>
          </w:p>
        </w:tc>
        <w:tc>
          <w:tcPr>
            <w:tcW w:w="6813" w:type="dxa"/>
          </w:tcPr>
          <w:p>
            <w:pPr>
              <w:rPr>
                <w:rFonts w:ascii="宋体" w:hAnsi="宋体"/>
                <w:color w:val="auto"/>
                <w:highlight w:val="none"/>
              </w:rPr>
            </w:pPr>
            <w:r>
              <w:rPr>
                <w:rFonts w:hint="eastAsia" w:ascii="宋体" w:hAnsi="宋体"/>
                <w:color w:val="auto"/>
                <w:highlight w:val="none"/>
              </w:rP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企业标志</w:t>
            </w:r>
          </w:p>
        </w:tc>
        <w:tc>
          <w:tcPr>
            <w:tcW w:w="6813" w:type="dxa"/>
            <w:vAlign w:val="center"/>
          </w:tcPr>
          <w:p>
            <w:pPr>
              <w:rPr>
                <w:rFonts w:ascii="宋体" w:hAnsi="宋体"/>
                <w:color w:val="auto"/>
                <w:highlight w:val="none"/>
              </w:rPr>
            </w:pPr>
            <w:r>
              <w:rPr>
                <w:rFonts w:hint="eastAsia" w:ascii="宋体" w:hAnsi="宋体"/>
                <w:color w:val="auto"/>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场容场貌</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1.道路畅通；</w:t>
            </w:r>
          </w:p>
          <w:p>
            <w:pPr>
              <w:adjustRightInd w:val="0"/>
              <w:textAlignment w:val="baseline"/>
              <w:rPr>
                <w:rFonts w:ascii="宋体" w:hAnsi="宋体"/>
                <w:color w:val="auto"/>
                <w:highlight w:val="none"/>
              </w:rPr>
            </w:pPr>
            <w:r>
              <w:rPr>
                <w:rFonts w:hint="eastAsia" w:ascii="宋体" w:hAnsi="宋体"/>
                <w:color w:val="auto"/>
                <w:highlight w:val="none"/>
              </w:rPr>
              <w:t>2.排水沟、排水设施畅通；</w:t>
            </w:r>
          </w:p>
          <w:p>
            <w:pPr>
              <w:adjustRightInd w:val="0"/>
              <w:textAlignment w:val="baseline"/>
              <w:rPr>
                <w:rFonts w:ascii="宋体" w:hAnsi="宋体"/>
                <w:color w:val="auto"/>
                <w:highlight w:val="none"/>
              </w:rPr>
            </w:pPr>
            <w:r>
              <w:rPr>
                <w:rFonts w:hint="eastAsia" w:ascii="宋体" w:hAnsi="宋体"/>
                <w:color w:val="auto"/>
                <w:highlight w:val="none"/>
              </w:rPr>
              <w:t>3.工地地面硬化处理（办公区，生活区，现场道路，材料堆放、混凝土搅拌、砂浆搅拌、钢筋加工等场地，外脚手架基础等）。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材料堆放</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1.材料、构件、料具等堆放时，悬挂有名称、品种、规格等标牌；</w:t>
            </w:r>
          </w:p>
          <w:p>
            <w:pPr>
              <w:adjustRightInd w:val="0"/>
              <w:textAlignment w:val="baseline"/>
              <w:rPr>
                <w:rFonts w:ascii="宋体" w:hAnsi="宋体"/>
                <w:color w:val="auto"/>
                <w:highlight w:val="none"/>
              </w:rPr>
            </w:pPr>
            <w:r>
              <w:rPr>
                <w:rFonts w:hint="eastAsia" w:ascii="宋体" w:hAnsi="宋体"/>
                <w:color w:val="auto"/>
                <w:highlight w:val="none"/>
              </w:rPr>
              <w:t>2.水泥和其他易飞扬细颗粒建筑材料应封闭存放或采取覆盖等措施；</w:t>
            </w:r>
          </w:p>
          <w:p>
            <w:pPr>
              <w:adjustRightInd w:val="0"/>
              <w:textAlignment w:val="baseline"/>
              <w:rPr>
                <w:rFonts w:ascii="宋体" w:hAnsi="宋体"/>
                <w:color w:val="auto"/>
                <w:highlight w:val="none"/>
              </w:rPr>
            </w:pPr>
            <w:r>
              <w:rPr>
                <w:rFonts w:hint="eastAsia" w:ascii="宋体" w:hAnsi="宋体"/>
                <w:color w:val="auto"/>
                <w:highlight w:val="none"/>
              </w:rPr>
              <w:t>3.易燃、易爆和有毒有害物品分类存放。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现场防火</w:t>
            </w:r>
          </w:p>
        </w:tc>
        <w:tc>
          <w:tcPr>
            <w:tcW w:w="6813" w:type="dxa"/>
            <w:vAlign w:val="center"/>
          </w:tcPr>
          <w:p>
            <w:pPr>
              <w:rPr>
                <w:rFonts w:ascii="宋体" w:hAnsi="宋体"/>
                <w:color w:val="auto"/>
                <w:highlight w:val="none"/>
              </w:rPr>
            </w:pPr>
            <w:r>
              <w:rPr>
                <w:rFonts w:hint="eastAsia" w:ascii="宋体" w:hAnsi="宋体"/>
                <w:color w:val="auto"/>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垃圾清运</w:t>
            </w:r>
          </w:p>
        </w:tc>
        <w:tc>
          <w:tcPr>
            <w:tcW w:w="6813" w:type="dxa"/>
          </w:tcPr>
          <w:p>
            <w:pPr>
              <w:rPr>
                <w:rFonts w:ascii="宋体" w:hAnsi="宋体"/>
                <w:color w:val="auto"/>
                <w:highlight w:val="none"/>
              </w:rPr>
            </w:pPr>
            <w:r>
              <w:rPr>
                <w:rFonts w:hint="eastAsia" w:ascii="宋体" w:hAnsi="宋体"/>
                <w:color w:val="auto"/>
                <w:highlight w:val="none"/>
              </w:rPr>
              <w:t>施工现场应设置密闭式垃圾站，施工垃圾、生活垃圾应分类存放。</w:t>
            </w:r>
          </w:p>
          <w:p>
            <w:pPr>
              <w:rPr>
                <w:rFonts w:ascii="宋体" w:hAnsi="宋体"/>
                <w:color w:val="auto"/>
                <w:highlight w:val="none"/>
              </w:rPr>
            </w:pPr>
            <w:r>
              <w:rPr>
                <w:rFonts w:hint="eastAsia" w:ascii="宋体" w:hAnsi="宋体"/>
                <w:color w:val="auto"/>
                <w:highlight w:val="none"/>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宣传栏、环保及不扰民措施</w:t>
            </w:r>
          </w:p>
        </w:tc>
        <w:tc>
          <w:tcPr>
            <w:tcW w:w="6813" w:type="dxa"/>
          </w:tcPr>
          <w:p>
            <w:pPr>
              <w:rPr>
                <w:rFonts w:ascii="宋体" w:hAnsi="宋体"/>
                <w:color w:val="auto"/>
                <w:highlight w:val="none"/>
              </w:rPr>
            </w:pPr>
            <w:r>
              <w:rPr>
                <w:rFonts w:hint="eastAsia" w:ascii="宋体" w:hAnsi="宋体"/>
                <w:color w:val="auto"/>
                <w:highlight w:val="none"/>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9" w:type="dxa"/>
            <w:vMerge w:val="restart"/>
            <w:vAlign w:val="center"/>
          </w:tcPr>
          <w:p>
            <w:pPr>
              <w:jc w:val="center"/>
              <w:rPr>
                <w:rFonts w:ascii="宋体" w:hAnsi="宋体"/>
                <w:color w:val="auto"/>
                <w:highlight w:val="none"/>
              </w:rPr>
            </w:pPr>
            <w:r>
              <w:rPr>
                <w:rFonts w:hint="eastAsia" w:ascii="宋体" w:hAnsi="宋体"/>
                <w:color w:val="auto"/>
                <w:highlight w:val="none"/>
              </w:rPr>
              <w:t>临时</w:t>
            </w:r>
          </w:p>
          <w:p>
            <w:pPr>
              <w:jc w:val="center"/>
              <w:rPr>
                <w:rFonts w:ascii="宋体" w:hAnsi="宋体"/>
                <w:color w:val="auto"/>
                <w:highlight w:val="none"/>
              </w:rPr>
            </w:pPr>
            <w:r>
              <w:rPr>
                <w:rFonts w:hint="eastAsia" w:ascii="宋体" w:hAnsi="宋体"/>
                <w:color w:val="auto"/>
                <w:highlight w:val="none"/>
              </w:rPr>
              <w:t>措施</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现场办公</w:t>
            </w:r>
          </w:p>
          <w:p>
            <w:pPr>
              <w:jc w:val="center"/>
              <w:rPr>
                <w:rFonts w:ascii="宋体" w:hAnsi="宋体"/>
                <w:color w:val="auto"/>
                <w:highlight w:val="none"/>
              </w:rPr>
            </w:pPr>
            <w:r>
              <w:rPr>
                <w:rFonts w:hint="eastAsia" w:ascii="宋体" w:hAnsi="宋体"/>
                <w:color w:val="auto"/>
                <w:highlight w:val="none"/>
              </w:rPr>
              <w:t>生活设施</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1.施工现场办公、生活区与作业区分开设置，保持安全距离。</w:t>
            </w:r>
          </w:p>
          <w:p>
            <w:pPr>
              <w:adjustRightInd w:val="0"/>
              <w:textAlignment w:val="baseline"/>
              <w:rPr>
                <w:rFonts w:ascii="宋体" w:hAnsi="宋体"/>
                <w:color w:val="auto"/>
                <w:highlight w:val="none"/>
              </w:rPr>
            </w:pPr>
            <w:r>
              <w:rPr>
                <w:rFonts w:hint="eastAsia" w:ascii="宋体" w:hAnsi="宋体"/>
                <w:color w:val="auto"/>
                <w:highlight w:val="none"/>
              </w:rPr>
              <w:t>2.工地办公室、现场宿舍、食堂、、厕所、饮水、沐浴、休息场所等符合卫生和安全要求；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9" w:type="dxa"/>
            <w:vMerge w:val="continue"/>
            <w:vAlign w:val="center"/>
          </w:tcPr>
          <w:p>
            <w:pPr>
              <w:jc w:val="center"/>
              <w:rPr>
                <w:rFonts w:ascii="宋体" w:hAnsi="宋体"/>
                <w:color w:val="auto"/>
                <w:highlight w:val="none"/>
              </w:rPr>
            </w:pPr>
          </w:p>
        </w:tc>
        <w:tc>
          <w:tcPr>
            <w:tcW w:w="850" w:type="dxa"/>
            <w:vMerge w:val="restart"/>
            <w:vAlign w:val="center"/>
          </w:tcPr>
          <w:p>
            <w:pPr>
              <w:jc w:val="center"/>
              <w:rPr>
                <w:rFonts w:ascii="宋体" w:hAnsi="宋体"/>
                <w:color w:val="auto"/>
                <w:highlight w:val="none"/>
              </w:rPr>
            </w:pPr>
            <w:r>
              <w:rPr>
                <w:rFonts w:hint="eastAsia" w:ascii="宋体" w:hAnsi="宋体"/>
                <w:color w:val="auto"/>
                <w:highlight w:val="none"/>
              </w:rPr>
              <w:t>施工现场临时用电</w:t>
            </w:r>
          </w:p>
        </w:tc>
        <w:tc>
          <w:tcPr>
            <w:tcW w:w="1418" w:type="dxa"/>
            <w:vAlign w:val="center"/>
          </w:tcPr>
          <w:p>
            <w:pPr>
              <w:jc w:val="center"/>
              <w:rPr>
                <w:rFonts w:ascii="宋体" w:hAnsi="宋体"/>
                <w:color w:val="auto"/>
                <w:highlight w:val="none"/>
              </w:rPr>
            </w:pPr>
            <w:r>
              <w:rPr>
                <w:rFonts w:hint="eastAsia" w:ascii="宋体" w:hAnsi="宋体"/>
                <w:color w:val="auto"/>
                <w:highlight w:val="none"/>
              </w:rPr>
              <w:t>配电线路</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1.按照TN-S系统要求配备五芯电缆、四芯电缆和三芯电缆。</w:t>
            </w:r>
          </w:p>
          <w:p>
            <w:pPr>
              <w:adjustRightInd w:val="0"/>
              <w:textAlignment w:val="baseline"/>
              <w:rPr>
                <w:rFonts w:ascii="宋体" w:hAnsi="宋体"/>
                <w:color w:val="auto"/>
                <w:highlight w:val="none"/>
              </w:rPr>
            </w:pPr>
            <w:r>
              <w:rPr>
                <w:rFonts w:hint="eastAsia" w:ascii="宋体" w:hAnsi="宋体"/>
                <w:color w:val="auto"/>
                <w:highlight w:val="none"/>
              </w:rPr>
              <w:t>2.按要求架设临时用电线路的电杆、横担、瓷夹、瓷瓶等，或电缆埋地的地沟。</w:t>
            </w:r>
          </w:p>
          <w:p>
            <w:pPr>
              <w:adjustRightInd w:val="0"/>
              <w:textAlignment w:val="baseline"/>
              <w:rPr>
                <w:rFonts w:ascii="宋体" w:hAnsi="宋体"/>
                <w:color w:val="auto"/>
                <w:highlight w:val="none"/>
              </w:rPr>
            </w:pPr>
            <w:r>
              <w:rPr>
                <w:rFonts w:hint="eastAsia" w:ascii="宋体" w:hAnsi="宋体"/>
                <w:color w:val="auto"/>
                <w:highlight w:val="none"/>
              </w:rPr>
              <w:t>3.对靠近施工现场的外电线路，设置木质、塑料等绝缘体的防护设施。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9" w:type="dxa"/>
            <w:vMerge w:val="continue"/>
            <w:vAlign w:val="center"/>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配电箱开关箱</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1.按三级配电要求，配备总配电箱、分配电箱、开关箱三类（铁质）标准电箱准电箱。开关箱应符合一机、一箱、一闸、一漏。三类电箱中的各类电器应是合格品。</w:t>
            </w:r>
          </w:p>
          <w:p>
            <w:pPr>
              <w:adjustRightInd w:val="0"/>
              <w:textAlignment w:val="baseline"/>
              <w:rPr>
                <w:rFonts w:ascii="宋体" w:hAnsi="宋体"/>
                <w:color w:val="auto"/>
                <w:highlight w:val="none"/>
              </w:rPr>
            </w:pPr>
            <w:r>
              <w:rPr>
                <w:rFonts w:hint="eastAsia" w:ascii="宋体" w:hAnsi="宋体"/>
                <w:color w:val="auto"/>
                <w:highlight w:val="none"/>
              </w:rPr>
              <w:t>2.按两级保护的要求，选取符合容量要求和质量合格的总配电箱和开关箱中的漏电保护器。</w:t>
            </w:r>
          </w:p>
          <w:p>
            <w:pPr>
              <w:adjustRightInd w:val="0"/>
              <w:textAlignment w:val="baseline"/>
              <w:rPr>
                <w:rFonts w:ascii="宋体" w:hAnsi="宋体"/>
                <w:color w:val="auto"/>
                <w:highlight w:val="none"/>
              </w:rPr>
            </w:pPr>
            <w:r>
              <w:rPr>
                <w:rFonts w:hint="eastAsia" w:ascii="宋体" w:hAnsi="宋体"/>
                <w:color w:val="auto"/>
                <w:highlight w:val="none"/>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接地保护</w:t>
            </w:r>
          </w:p>
          <w:p>
            <w:pPr>
              <w:jc w:val="center"/>
              <w:rPr>
                <w:rFonts w:ascii="宋体" w:hAnsi="宋体"/>
                <w:color w:val="auto"/>
                <w:highlight w:val="none"/>
              </w:rPr>
            </w:pPr>
            <w:r>
              <w:rPr>
                <w:rFonts w:hint="eastAsia" w:ascii="宋体" w:hAnsi="宋体"/>
                <w:color w:val="auto"/>
                <w:highlight w:val="none"/>
              </w:rPr>
              <w:t>装置</w:t>
            </w:r>
          </w:p>
        </w:tc>
        <w:tc>
          <w:tcPr>
            <w:tcW w:w="6813" w:type="dxa"/>
            <w:vAlign w:val="center"/>
          </w:tcPr>
          <w:p>
            <w:pPr>
              <w:rPr>
                <w:rFonts w:ascii="宋体" w:hAnsi="宋体"/>
                <w:color w:val="auto"/>
                <w:highlight w:val="none"/>
              </w:rPr>
            </w:pPr>
            <w:r>
              <w:rPr>
                <w:rFonts w:hint="eastAsia" w:ascii="宋体" w:hAnsi="宋体"/>
                <w:color w:val="auto"/>
                <w:highlight w:val="none"/>
              </w:rPr>
              <w:t>施工现场应设置不少于三处的保护接地装置。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9" w:type="dxa"/>
            <w:vMerge w:val="continue"/>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现场变配</w:t>
            </w:r>
          </w:p>
          <w:p>
            <w:pPr>
              <w:jc w:val="center"/>
              <w:rPr>
                <w:rFonts w:ascii="宋体" w:hAnsi="宋体"/>
                <w:color w:val="auto"/>
                <w:highlight w:val="none"/>
              </w:rPr>
            </w:pPr>
            <w:r>
              <w:rPr>
                <w:rFonts w:hint="eastAsia" w:ascii="宋体" w:hAnsi="宋体"/>
                <w:color w:val="auto"/>
                <w:highlight w:val="none"/>
              </w:rPr>
              <w:t>电装置</w:t>
            </w:r>
          </w:p>
        </w:tc>
        <w:tc>
          <w:tcPr>
            <w:tcW w:w="6813" w:type="dxa"/>
            <w:vAlign w:val="bottom"/>
          </w:tcPr>
          <w:p>
            <w:pPr>
              <w:rPr>
                <w:rFonts w:ascii="宋体" w:hAnsi="宋体"/>
                <w:color w:val="auto"/>
                <w:highlight w:val="none"/>
              </w:rPr>
            </w:pPr>
            <w:r>
              <w:rPr>
                <w:rFonts w:hint="eastAsia" w:ascii="宋体" w:hAnsi="宋体"/>
                <w:color w:val="auto"/>
                <w:highlight w:val="none"/>
              </w:rPr>
              <w:t>总配电室建筑材料必须达到三级防火要求，室内做硬地坪、电缆沟、吊顶。</w:t>
            </w:r>
          </w:p>
        </w:tc>
      </w:tr>
    </w:tbl>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tbl>
      <w:tblPr>
        <w:tblStyle w:val="3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43"/>
        <w:gridCol w:w="168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2" w:type="dxa"/>
            <w:vAlign w:val="center"/>
          </w:tcPr>
          <w:p>
            <w:pPr>
              <w:jc w:val="center"/>
              <w:rPr>
                <w:rFonts w:ascii="宋体" w:hAnsi="宋体"/>
                <w:color w:val="auto"/>
                <w:highlight w:val="none"/>
              </w:rPr>
            </w:pPr>
            <w:r>
              <w:rPr>
                <w:rFonts w:hint="eastAsia" w:ascii="宋体" w:hAnsi="宋体"/>
                <w:color w:val="auto"/>
                <w:highlight w:val="none"/>
              </w:rPr>
              <w:t>类别</w:t>
            </w:r>
          </w:p>
        </w:tc>
        <w:tc>
          <w:tcPr>
            <w:tcW w:w="2426"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6622" w:type="dxa"/>
            <w:vAlign w:val="center"/>
          </w:tcPr>
          <w:p>
            <w:pPr>
              <w:jc w:val="center"/>
              <w:rPr>
                <w:rFonts w:ascii="宋体" w:hAnsi="宋体"/>
                <w:color w:val="auto"/>
                <w:highlight w:val="none"/>
              </w:rPr>
            </w:pPr>
            <w:r>
              <w:rPr>
                <w:rFonts w:hint="eastAsia" w:ascii="宋体" w:hAnsi="宋体"/>
                <w:color w:val="auto"/>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2" w:type="dxa"/>
            <w:vMerge w:val="restart"/>
            <w:vAlign w:val="center"/>
          </w:tcPr>
          <w:p>
            <w:pPr>
              <w:jc w:val="center"/>
              <w:rPr>
                <w:rFonts w:ascii="宋体" w:hAnsi="宋体"/>
                <w:color w:val="auto"/>
                <w:highlight w:val="none"/>
              </w:rPr>
            </w:pPr>
            <w:r>
              <w:rPr>
                <w:rFonts w:hint="eastAsia" w:ascii="宋体" w:hAnsi="宋体"/>
                <w:color w:val="auto"/>
                <w:highlight w:val="none"/>
              </w:rPr>
              <w:t>安全施工</w:t>
            </w:r>
          </w:p>
        </w:tc>
        <w:tc>
          <w:tcPr>
            <w:tcW w:w="743" w:type="dxa"/>
            <w:vMerge w:val="restart"/>
            <w:vAlign w:val="center"/>
          </w:tcPr>
          <w:p>
            <w:pPr>
              <w:jc w:val="center"/>
              <w:rPr>
                <w:rFonts w:ascii="宋体" w:hAnsi="宋体"/>
                <w:color w:val="auto"/>
                <w:highlight w:val="none"/>
              </w:rPr>
            </w:pPr>
            <w:r>
              <w:rPr>
                <w:rFonts w:hint="eastAsia" w:ascii="宋体" w:hAnsi="宋体"/>
                <w:color w:val="auto"/>
                <w:highlight w:val="none"/>
              </w:rPr>
              <w:t>临边洞口交叉高处作业防护</w:t>
            </w:r>
          </w:p>
        </w:tc>
        <w:tc>
          <w:tcPr>
            <w:tcW w:w="1683" w:type="dxa"/>
            <w:vAlign w:val="center"/>
          </w:tcPr>
          <w:p>
            <w:pPr>
              <w:rPr>
                <w:rFonts w:ascii="宋体" w:hAnsi="宋体"/>
                <w:color w:val="auto"/>
                <w:highlight w:val="none"/>
              </w:rPr>
            </w:pPr>
            <w:r>
              <w:rPr>
                <w:rFonts w:hint="eastAsia" w:ascii="宋体" w:hAnsi="宋体"/>
                <w:color w:val="auto"/>
                <w:highlight w:val="none"/>
              </w:rPr>
              <w:t>楼层、屋面、阳台等临边防护</w:t>
            </w:r>
          </w:p>
        </w:tc>
        <w:tc>
          <w:tcPr>
            <w:tcW w:w="6622" w:type="dxa"/>
            <w:vAlign w:val="center"/>
          </w:tcPr>
          <w:p>
            <w:pPr>
              <w:rPr>
                <w:rFonts w:ascii="宋体" w:hAnsi="宋体"/>
                <w:color w:val="auto"/>
                <w:highlight w:val="none"/>
              </w:rPr>
            </w:pPr>
            <w:r>
              <w:rPr>
                <w:rFonts w:hint="eastAsia" w:ascii="宋体" w:hAnsi="宋体"/>
                <w:color w:val="auto"/>
                <w:highlight w:val="none"/>
              </w:rPr>
              <w:t>用密目式安全立网全封闭，作业层另加两道防护栏杆和18cm高的踢脚板。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通道口防护</w:t>
            </w:r>
          </w:p>
        </w:tc>
        <w:tc>
          <w:tcPr>
            <w:tcW w:w="6622" w:type="dxa"/>
            <w:vAlign w:val="center"/>
          </w:tcPr>
          <w:p>
            <w:pPr>
              <w:rPr>
                <w:rFonts w:ascii="宋体" w:hAnsi="宋体"/>
                <w:color w:val="auto"/>
                <w:highlight w:val="none"/>
              </w:rPr>
            </w:pPr>
            <w:r>
              <w:rPr>
                <w:rFonts w:hint="eastAsia" w:ascii="宋体" w:hAnsi="宋体"/>
                <w:color w:val="auto"/>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预留洞口防护</w:t>
            </w:r>
          </w:p>
        </w:tc>
        <w:tc>
          <w:tcPr>
            <w:tcW w:w="6622" w:type="dxa"/>
            <w:vAlign w:val="center"/>
          </w:tcPr>
          <w:p>
            <w:pPr>
              <w:rPr>
                <w:rFonts w:ascii="宋体" w:hAnsi="宋体"/>
                <w:color w:val="auto"/>
                <w:highlight w:val="none"/>
              </w:rPr>
            </w:pPr>
            <w:r>
              <w:rPr>
                <w:rFonts w:hint="eastAsia" w:ascii="宋体" w:hAnsi="宋体"/>
                <w:color w:val="auto"/>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电梯井口防护</w:t>
            </w:r>
          </w:p>
        </w:tc>
        <w:tc>
          <w:tcPr>
            <w:tcW w:w="6622" w:type="dxa"/>
            <w:vAlign w:val="center"/>
          </w:tcPr>
          <w:p>
            <w:pPr>
              <w:rPr>
                <w:rFonts w:ascii="宋体" w:hAnsi="宋体"/>
                <w:color w:val="auto"/>
                <w:highlight w:val="none"/>
              </w:rPr>
            </w:pPr>
            <w:r>
              <w:rPr>
                <w:rFonts w:hint="eastAsia" w:ascii="宋体" w:hAnsi="宋体"/>
                <w:color w:val="auto"/>
                <w:highlight w:val="none"/>
              </w:rPr>
              <w:t>设置定型化、工具化、标准化的防护门。在电梯井内每隔2层（不大于10m）设置一道安全平网。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楼梯边防护</w:t>
            </w:r>
          </w:p>
        </w:tc>
        <w:tc>
          <w:tcPr>
            <w:tcW w:w="6622" w:type="dxa"/>
            <w:vAlign w:val="center"/>
          </w:tcPr>
          <w:p>
            <w:pPr>
              <w:rPr>
                <w:rFonts w:ascii="宋体" w:hAnsi="宋体"/>
                <w:color w:val="auto"/>
                <w:highlight w:val="none"/>
              </w:rPr>
            </w:pPr>
            <w:r>
              <w:rPr>
                <w:rFonts w:hint="eastAsia" w:ascii="宋体" w:hAnsi="宋体"/>
                <w:color w:val="auto"/>
                <w:highlight w:val="none"/>
              </w:rPr>
              <w:t>设1.2m高的定型化、工具化、标准化的防护栏，18cm高的踢脚板。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垂直方向交叉作业防护</w:t>
            </w:r>
          </w:p>
        </w:tc>
        <w:tc>
          <w:tcPr>
            <w:tcW w:w="6622" w:type="dxa"/>
            <w:vAlign w:val="center"/>
          </w:tcPr>
          <w:p>
            <w:pPr>
              <w:rPr>
                <w:rFonts w:ascii="宋体" w:hAnsi="宋体"/>
                <w:color w:val="auto"/>
                <w:highlight w:val="none"/>
              </w:rPr>
            </w:pPr>
            <w:r>
              <w:rPr>
                <w:rFonts w:hint="eastAsia" w:ascii="宋体" w:hAnsi="宋体"/>
                <w:color w:val="auto"/>
                <w:highlight w:val="none"/>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基坑、卸料平台防护</w:t>
            </w:r>
          </w:p>
        </w:tc>
        <w:tc>
          <w:tcPr>
            <w:tcW w:w="6622" w:type="dxa"/>
            <w:vAlign w:val="center"/>
          </w:tcPr>
          <w:p>
            <w:pPr>
              <w:rPr>
                <w:rFonts w:ascii="宋体" w:hAnsi="宋体"/>
                <w:color w:val="auto"/>
                <w:highlight w:val="none"/>
              </w:rPr>
            </w:pPr>
            <w:r>
              <w:rPr>
                <w:rFonts w:hint="eastAsia" w:ascii="宋体" w:hAnsi="宋体"/>
                <w:color w:val="auto"/>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2" w:type="dxa"/>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安全防护用品</w:t>
            </w:r>
          </w:p>
        </w:tc>
        <w:tc>
          <w:tcPr>
            <w:tcW w:w="6622" w:type="dxa"/>
          </w:tcPr>
          <w:p>
            <w:pPr>
              <w:rPr>
                <w:rFonts w:ascii="宋体" w:hAnsi="宋体"/>
                <w:color w:val="auto"/>
                <w:highlight w:val="none"/>
              </w:rPr>
            </w:pPr>
            <w:r>
              <w:rPr>
                <w:rFonts w:hint="eastAsia" w:ascii="宋体" w:hAnsi="宋体"/>
                <w:color w:val="auto"/>
                <w:highlight w:val="none"/>
              </w:rP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2" w:type="dxa"/>
            <w:vMerge w:val="restart"/>
            <w:vAlign w:val="center"/>
          </w:tcPr>
          <w:p>
            <w:pPr>
              <w:jc w:val="center"/>
              <w:rPr>
                <w:rFonts w:ascii="宋体" w:hAnsi="宋体"/>
                <w:color w:val="auto"/>
                <w:highlight w:val="none"/>
              </w:rPr>
            </w:pPr>
            <w:r>
              <w:rPr>
                <w:rFonts w:hint="eastAsia" w:ascii="宋体" w:hAnsi="宋体"/>
                <w:color w:val="auto"/>
                <w:highlight w:val="none"/>
              </w:rPr>
              <w:t>其他</w:t>
            </w:r>
          </w:p>
        </w:tc>
        <w:tc>
          <w:tcPr>
            <w:tcW w:w="743" w:type="dxa"/>
            <w:vMerge w:val="restart"/>
            <w:vAlign w:val="center"/>
          </w:tcPr>
          <w:p>
            <w:pPr>
              <w:jc w:val="center"/>
              <w:rPr>
                <w:rFonts w:ascii="宋体" w:hAnsi="宋体"/>
                <w:color w:val="auto"/>
                <w:highlight w:val="none"/>
              </w:rPr>
            </w:pPr>
            <w:r>
              <w:rPr>
                <w:rFonts w:hint="eastAsia" w:ascii="宋体" w:hAnsi="宋体"/>
                <w:color w:val="auto"/>
                <w:highlight w:val="none"/>
              </w:rPr>
              <w:t>机械设备防护</w:t>
            </w:r>
          </w:p>
        </w:tc>
        <w:tc>
          <w:tcPr>
            <w:tcW w:w="1683" w:type="dxa"/>
            <w:vAlign w:val="center"/>
          </w:tcPr>
          <w:p>
            <w:pPr>
              <w:jc w:val="center"/>
              <w:rPr>
                <w:rFonts w:ascii="宋体" w:hAnsi="宋体"/>
                <w:color w:val="auto"/>
                <w:highlight w:val="none"/>
              </w:rPr>
            </w:pPr>
            <w:r>
              <w:rPr>
                <w:rFonts w:hint="eastAsia" w:ascii="宋体" w:hAnsi="宋体"/>
                <w:color w:val="auto"/>
                <w:highlight w:val="none"/>
              </w:rPr>
              <w:t>中小型机械防护</w:t>
            </w:r>
          </w:p>
        </w:tc>
        <w:tc>
          <w:tcPr>
            <w:tcW w:w="6622" w:type="dxa"/>
            <w:vAlign w:val="center"/>
          </w:tcPr>
          <w:p>
            <w:pPr>
              <w:rPr>
                <w:rFonts w:ascii="宋体" w:hAnsi="宋体"/>
                <w:color w:val="auto"/>
                <w:highlight w:val="none"/>
              </w:rPr>
            </w:pPr>
            <w:r>
              <w:rPr>
                <w:rFonts w:hint="eastAsia" w:ascii="宋体" w:hAnsi="宋体"/>
                <w:color w:val="auto"/>
                <w:highlight w:val="none"/>
              </w:rP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jc w:val="center"/>
              <w:rPr>
                <w:rFonts w:ascii="宋体" w:hAnsi="宋体"/>
                <w:color w:val="auto"/>
                <w:highlight w:val="none"/>
              </w:rPr>
            </w:pPr>
            <w:r>
              <w:rPr>
                <w:rFonts w:hint="eastAsia" w:ascii="宋体" w:hAnsi="宋体"/>
                <w:color w:val="auto"/>
                <w:highlight w:val="none"/>
              </w:rPr>
              <w:t>垂直运输设备防护</w:t>
            </w:r>
          </w:p>
        </w:tc>
        <w:tc>
          <w:tcPr>
            <w:tcW w:w="6622" w:type="dxa"/>
          </w:tcPr>
          <w:p>
            <w:pPr>
              <w:adjustRightInd w:val="0"/>
              <w:textAlignment w:val="baseline"/>
              <w:rPr>
                <w:rFonts w:ascii="宋体" w:hAnsi="宋体"/>
                <w:color w:val="auto"/>
                <w:highlight w:val="none"/>
              </w:rPr>
            </w:pPr>
            <w:r>
              <w:rPr>
                <w:rFonts w:hint="eastAsia" w:ascii="宋体" w:hAnsi="宋体"/>
                <w:color w:val="auto"/>
                <w:highlight w:val="none"/>
              </w:rPr>
              <w:t>1.垂直运输设备检测、检验。</w:t>
            </w:r>
          </w:p>
          <w:p>
            <w:pPr>
              <w:rPr>
                <w:rFonts w:ascii="宋体" w:hAnsi="宋体"/>
                <w:color w:val="auto"/>
                <w:highlight w:val="none"/>
              </w:rPr>
            </w:pPr>
            <w:r>
              <w:rPr>
                <w:rFonts w:hint="eastAsia" w:ascii="宋体" w:hAnsi="宋体"/>
                <w:color w:val="auto"/>
                <w:highlight w:val="none"/>
              </w:rPr>
              <w:t>2.物料提升机、施工电梯等卸料平台搭设、外测用密目式安全立网全封闭，安全防护门、防护棚等。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专家论证审查</w:t>
            </w:r>
          </w:p>
        </w:tc>
        <w:tc>
          <w:tcPr>
            <w:tcW w:w="6622" w:type="dxa"/>
            <w:vAlign w:val="center"/>
          </w:tcPr>
          <w:p>
            <w:pPr>
              <w:rPr>
                <w:rFonts w:ascii="宋体" w:hAnsi="宋体"/>
                <w:color w:val="auto"/>
                <w:highlight w:val="none"/>
              </w:rPr>
            </w:pPr>
            <w:r>
              <w:rPr>
                <w:rFonts w:hint="eastAsia" w:ascii="宋体" w:hAnsi="宋体"/>
                <w:color w:val="auto"/>
                <w:highlight w:val="none"/>
              </w:rP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应急救援预案</w:t>
            </w:r>
          </w:p>
        </w:tc>
        <w:tc>
          <w:tcPr>
            <w:tcW w:w="6622" w:type="dxa"/>
            <w:vAlign w:val="center"/>
          </w:tcPr>
          <w:p>
            <w:pPr>
              <w:rPr>
                <w:rFonts w:ascii="宋体" w:hAnsi="宋体"/>
                <w:color w:val="auto"/>
                <w:highlight w:val="none"/>
              </w:rPr>
            </w:pPr>
            <w:r>
              <w:rPr>
                <w:rFonts w:hint="eastAsia" w:ascii="宋体" w:hAnsi="宋体"/>
                <w:color w:val="auto"/>
                <w:highlight w:val="none"/>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非正常情况施工</w:t>
            </w:r>
          </w:p>
        </w:tc>
        <w:tc>
          <w:tcPr>
            <w:tcW w:w="6622" w:type="dxa"/>
          </w:tcPr>
          <w:p>
            <w:pPr>
              <w:rPr>
                <w:rFonts w:ascii="宋体" w:hAnsi="宋体"/>
                <w:color w:val="auto"/>
                <w:highlight w:val="none"/>
              </w:rPr>
            </w:pPr>
            <w:r>
              <w:rPr>
                <w:rFonts w:hint="eastAsia" w:ascii="宋体" w:hAnsi="宋体"/>
                <w:color w:val="auto"/>
                <w:highlight w:val="none"/>
              </w:rPr>
              <w:t>其它特殊情况下的防护费用，如：城市主干道、人流密集、河边等处施工及文物、古建筑、古树保护等。</w:t>
            </w:r>
          </w:p>
        </w:tc>
      </w:tr>
    </w:tbl>
    <w:p>
      <w:pPr>
        <w:spacing w:line="360" w:lineRule="auto"/>
        <w:ind w:right="420"/>
        <w:rPr>
          <w:rFonts w:ascii="宋体" w:hAnsi="宋体"/>
          <w:color w:val="auto"/>
          <w:highlight w:val="none"/>
        </w:rPr>
      </w:pPr>
    </w:p>
    <w:p>
      <w:pPr>
        <w:spacing w:line="400" w:lineRule="exact"/>
        <w:rPr>
          <w:rFonts w:ascii="宋体" w:hAnsi="宋体"/>
          <w:b/>
          <w:color w:val="auto"/>
          <w:szCs w:val="21"/>
          <w:highlight w:val="none"/>
        </w:rPr>
      </w:pPr>
      <w:r>
        <w:rPr>
          <w:rFonts w:hint="eastAsia" w:ascii="宋体" w:hAnsi="宋体"/>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pPr>
        <w:spacing w:line="400" w:lineRule="exact"/>
        <w:rPr>
          <w:rFonts w:ascii="宋体" w:hAnsi="宋体"/>
          <w:b/>
          <w:color w:val="auto"/>
          <w:szCs w:val="21"/>
          <w:highlight w:val="none"/>
        </w:rPr>
      </w:pPr>
    </w:p>
    <w:p>
      <w:pPr>
        <w:spacing w:after="156" w:afterLines="50" w:line="400" w:lineRule="exact"/>
        <w:rPr>
          <w:color w:val="auto"/>
          <w:sz w:val="32"/>
          <w:szCs w:val="32"/>
          <w:highlight w:val="none"/>
        </w:rPr>
      </w:pPr>
      <w:r>
        <w:rPr>
          <w:color w:val="auto"/>
          <w:sz w:val="32"/>
          <w:szCs w:val="32"/>
          <w:highlight w:val="none"/>
        </w:rPr>
        <w:br w:type="page"/>
      </w:r>
    </w:p>
    <w:p>
      <w:pPr>
        <w:spacing w:after="156" w:afterLines="50" w:line="400" w:lineRule="exact"/>
        <w:jc w:val="center"/>
        <w:rPr>
          <w:rFonts w:ascii="黑体" w:eastAsia="黑体"/>
          <w:color w:val="auto"/>
          <w:sz w:val="24"/>
          <w:highlight w:val="none"/>
        </w:rPr>
      </w:pPr>
      <w:r>
        <w:rPr>
          <w:rFonts w:hint="eastAsia" w:ascii="黑体" w:eastAsia="黑体"/>
          <w:color w:val="auto"/>
          <w:sz w:val="24"/>
          <w:highlight w:val="none"/>
        </w:rPr>
        <w:t>七、项目管理机构及机械设备承诺函</w:t>
      </w:r>
    </w:p>
    <w:p>
      <w:pPr>
        <w:spacing w:after="156" w:afterLines="50" w:line="400" w:lineRule="exact"/>
        <w:rPr>
          <w:color w:val="auto"/>
          <w:szCs w:val="21"/>
          <w:highlight w:val="none"/>
        </w:rPr>
      </w:pPr>
    </w:p>
    <w:p>
      <w:pPr>
        <w:spacing w:before="240" w:after="240" w:line="50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我方参加了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（项目名称）施工竞标，若我方成交，我方在此承诺：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若本项目资格预审文件或竞争性谈判文件未要求我方在资格预审申请文件或竞标文件中填报派驻本工程的其他主要管理人员和技术人员及主要机械设备，在采购人向我方发出成交通知书之前，我方将按照合同附件提出的最低要求填报派驻本工程的其他主要管理人员和技术人员及主要机械设备，在经采购人审批后作为派驻本工程的项目管理机构主要人员和主要设备且不进行更换。</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若我方已按本项目资格预审文件或竞争性谈判文件要求在资格预审申请文件或竞标文件中填报派驻本标段的其他主要管理人员和技术人员及主要机械设备，我方将严格按照在资格预审申请文件或竞标文件中填报的其他主要管理人员和技术人员及主要机械设备组织进场施工，且不进行更换。</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如我方违背了上述承诺，本项目采购人有权取消我方的成交资格，并由采购人将我方的违约行为上报省级主管部门，作为不良记录纳入建设市场信息管理系统。</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rPr>
          <w:rFonts w:ascii="宋体" w:hAnsi="宋体"/>
          <w:color w:val="auto"/>
          <w:szCs w:val="21"/>
          <w:highlight w:val="none"/>
        </w:rPr>
      </w:pPr>
    </w:p>
    <w:p>
      <w:pPr>
        <w:spacing w:line="7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竞标人：</w:t>
      </w:r>
      <w:r>
        <w:rPr>
          <w:rFonts w:hint="eastAsia" w:ascii="宋体" w:hAnsi="宋体"/>
          <w:color w:val="auto"/>
          <w:szCs w:val="21"/>
          <w:highlight w:val="none"/>
          <w:u w:val="single"/>
        </w:rPr>
        <w:t xml:space="preserve">       （全称）          </w:t>
      </w:r>
      <w:r>
        <w:rPr>
          <w:rFonts w:hint="eastAsia" w:ascii="宋体" w:hAnsi="宋体"/>
          <w:color w:val="auto"/>
          <w:szCs w:val="21"/>
          <w:highlight w:val="none"/>
        </w:rPr>
        <w:t>（盖单位章）</w:t>
      </w:r>
    </w:p>
    <w:p>
      <w:pPr>
        <w:spacing w:line="700" w:lineRule="exact"/>
        <w:rPr>
          <w:rFonts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700" w:lineRule="exact"/>
        <w:ind w:right="480" w:firstLine="4200" w:firstLineChars="20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rPr>
          <w:rFonts w:ascii="宋体" w:hAnsi="宋体"/>
          <w:b/>
          <w:color w:val="auto"/>
          <w:szCs w:val="21"/>
          <w:highlight w:val="none"/>
        </w:rPr>
      </w:pPr>
    </w:p>
    <w:p>
      <w:pPr>
        <w:jc w:val="center"/>
        <w:rPr>
          <w:rFonts w:ascii="宋体"/>
          <w:b/>
          <w:color w:val="auto"/>
          <w:szCs w:val="21"/>
          <w:highlight w:val="none"/>
        </w:rPr>
      </w:pPr>
      <w:r>
        <w:rPr>
          <w:rFonts w:hint="eastAsia" w:ascii="黑体" w:eastAsia="黑体"/>
          <w:color w:val="auto"/>
          <w:sz w:val="28"/>
          <w:szCs w:val="28"/>
          <w:highlight w:val="none"/>
        </w:rPr>
        <w:br w:type="page"/>
      </w:r>
      <w:r>
        <w:rPr>
          <w:rFonts w:hint="eastAsia" w:ascii="黑体" w:eastAsia="黑体"/>
          <w:color w:val="auto"/>
          <w:sz w:val="28"/>
          <w:szCs w:val="28"/>
          <w:highlight w:val="none"/>
        </w:rPr>
        <w:t>八、</w:t>
      </w:r>
      <w:r>
        <w:rPr>
          <w:rFonts w:ascii="黑体" w:eastAsia="黑体"/>
          <w:color w:val="auto"/>
          <w:sz w:val="28"/>
          <w:szCs w:val="28"/>
          <w:highlight w:val="none"/>
        </w:rPr>
        <w:t>竞标人需要说明的其他资料</w:t>
      </w:r>
    </w:p>
    <w:p>
      <w:pPr>
        <w:spacing w:line="400" w:lineRule="exact"/>
        <w:rPr>
          <w:rFonts w:ascii="宋体" w:hAnsi="宋体"/>
          <w:b/>
          <w:color w:val="auto"/>
          <w:szCs w:val="21"/>
          <w:highlight w:val="none"/>
        </w:rPr>
      </w:pPr>
    </w:p>
    <w:p>
      <w:pPr>
        <w:numPr>
          <w:ilvl w:val="0"/>
          <w:numId w:val="1"/>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竞标人单位近三年内在经营活动中无重大违法记录的书面声明。</w:t>
      </w:r>
    </w:p>
    <w:p>
      <w:pPr>
        <w:numPr>
          <w:ilvl w:val="0"/>
          <w:numId w:val="1"/>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信用中国”网站(www.creditchina.gov.cn)、中国政府采购网(www.ccgp.gov.cn)等渠道未列入失信被执行人、重大税收违法案件当事人名单、政府采购严重违法失信行为记录名单查询相关信用记录，将查询结果截图加盖单位公章（查询日期为报名时间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竞标人需提供2019年度的财务审计报告或近季度财务报表</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在本单位缴纳的</w:t>
      </w:r>
      <w:r>
        <w:rPr>
          <w:rFonts w:hint="eastAsia" w:ascii="宋体" w:hAnsi="宋体"/>
          <w:color w:val="auto"/>
          <w:szCs w:val="21"/>
          <w:highlight w:val="none"/>
          <w:lang w:eastAsia="zh-CN"/>
        </w:rPr>
        <w:t>法定代表人、项目经理</w:t>
      </w:r>
      <w:r>
        <w:rPr>
          <w:rFonts w:hint="eastAsia" w:ascii="宋体" w:hAnsi="宋体"/>
          <w:color w:val="auto"/>
          <w:szCs w:val="21"/>
          <w:highlight w:val="none"/>
        </w:rPr>
        <w:t>的养老保险凭证（</w:t>
      </w:r>
      <w:r>
        <w:rPr>
          <w:rFonts w:hint="eastAsia" w:ascii="宋体" w:hAnsi="宋体"/>
          <w:color w:val="auto"/>
          <w:szCs w:val="21"/>
          <w:highlight w:val="none"/>
          <w:lang w:eastAsia="zh-CN"/>
        </w:rPr>
        <w:t>须提供本单位在截标之日前半年内连续三个月为其缴纳社会养老保险的缴费手册或社保机构出具的缴费清单</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提交响应文件截止之日前三个月内任意一个月的依法缴纳税费证明复印件</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.竞标单位认为需要提供的其他资料。</w:t>
      </w:r>
    </w:p>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注：上述内容新成立的企业请按实际提供。</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b/>
          <w:color w:val="auto"/>
          <w:szCs w:val="21"/>
          <w:highlight w:val="none"/>
        </w:rPr>
      </w:pPr>
    </w:p>
    <w:p>
      <w:pPr>
        <w:pStyle w:val="4"/>
        <w:jc w:val="left"/>
        <w:rPr>
          <w:rFonts w:ascii="宋体" w:hAnsi="宋体"/>
          <w:color w:val="auto"/>
          <w:szCs w:val="21"/>
          <w:highlight w:val="none"/>
        </w:rPr>
      </w:pPr>
      <w:bookmarkStart w:id="203" w:name="_Toc9580"/>
      <w:bookmarkStart w:id="204" w:name="_Toc26459"/>
      <w:r>
        <w:rPr>
          <w:rFonts w:hint="eastAsia"/>
          <w:color w:val="auto"/>
          <w:highlight w:val="none"/>
        </w:rPr>
        <w:t>商务部分</w:t>
      </w:r>
      <w:bookmarkEnd w:id="203"/>
      <w:bookmarkEnd w:id="204"/>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商务部分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540" w:lineRule="exact"/>
        <w:rPr>
          <w:rFonts w:ascii="宋体" w:hAnsi="宋体"/>
          <w:b/>
          <w:color w:val="auto"/>
          <w:szCs w:val="21"/>
          <w:highlight w:val="none"/>
        </w:rPr>
      </w:pPr>
    </w:p>
    <w:p>
      <w:pPr>
        <w:spacing w:line="540" w:lineRule="exact"/>
        <w:rPr>
          <w:rFonts w:ascii="宋体" w:hAnsi="宋体"/>
          <w:b/>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⑴竞标函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⑵已标价工程量清单</w:t>
      </w: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宋体"/>
          <w:color w:val="auto"/>
          <w:highlight w:val="none"/>
        </w:rPr>
      </w:pPr>
      <w:r>
        <w:rPr>
          <w:rFonts w:hint="eastAsia" w:ascii="黑体" w:eastAsia="黑体"/>
          <w:color w:val="auto"/>
          <w:sz w:val="28"/>
          <w:szCs w:val="28"/>
          <w:highlight w:val="none"/>
        </w:rPr>
        <w:t>一、</w:t>
      </w:r>
      <w:r>
        <w:rPr>
          <w:rFonts w:ascii="黑体" w:eastAsia="黑体"/>
          <w:color w:val="auto"/>
          <w:sz w:val="28"/>
          <w:szCs w:val="28"/>
          <w:highlight w:val="none"/>
        </w:rPr>
        <w:t>竞标函</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ascii="宋体" w:hAnsi="宋体"/>
          <w:color w:val="auto"/>
          <w:highlight w:val="none"/>
        </w:rPr>
        <w:t>致：</w:t>
      </w:r>
      <w:r>
        <w:rPr>
          <w:rFonts w:ascii="宋体" w:hAnsi="宋体"/>
          <w:color w:val="auto"/>
          <w:highlight w:val="none"/>
          <w:u w:val="single"/>
        </w:rPr>
        <w:t xml:space="preserve">   {</w:t>
      </w:r>
      <w:r>
        <w:rPr>
          <w:rFonts w:hint="eastAsia" w:ascii="宋体" w:hAnsi="宋体"/>
          <w:color w:val="auto"/>
          <w:highlight w:val="none"/>
          <w:u w:val="single"/>
        </w:rPr>
        <w:t>采购</w:t>
      </w:r>
      <w:r>
        <w:rPr>
          <w:rFonts w:ascii="宋体" w:hAnsi="宋体"/>
          <w:color w:val="auto"/>
          <w:highlight w:val="none"/>
          <w:u w:val="single"/>
        </w:rPr>
        <w:t xml:space="preserve">人名称}   </w:t>
      </w:r>
    </w:p>
    <w:p>
      <w:pPr>
        <w:tabs>
          <w:tab w:val="left" w:pos="7560"/>
        </w:tabs>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根据你方项目编号为</w:t>
      </w:r>
      <w:r>
        <w:rPr>
          <w:rFonts w:ascii="宋体" w:hAnsi="宋体"/>
          <w:color w:val="auto"/>
          <w:highlight w:val="none"/>
          <w:u w:val="single"/>
        </w:rPr>
        <w:t xml:space="preserve">  {项目编号}  </w:t>
      </w:r>
      <w:r>
        <w:rPr>
          <w:rFonts w:ascii="宋体" w:hAnsi="宋体"/>
          <w:color w:val="auto"/>
          <w:highlight w:val="none"/>
        </w:rPr>
        <w:t>的</w:t>
      </w:r>
      <w:r>
        <w:rPr>
          <w:rFonts w:ascii="宋体" w:hAnsi="宋体"/>
          <w:color w:val="auto"/>
          <w:highlight w:val="none"/>
          <w:u w:val="single"/>
        </w:rPr>
        <w:t xml:space="preserve">  {工程项目名称}  </w:t>
      </w:r>
      <w:r>
        <w:rPr>
          <w:rFonts w:ascii="宋体" w:hAnsi="宋体"/>
          <w:color w:val="auto"/>
          <w:highlight w:val="none"/>
        </w:rPr>
        <w:t>工程竞争性谈判文件，遵照</w:t>
      </w:r>
      <w:r>
        <w:rPr>
          <w:rFonts w:ascii="宋体" w:hAnsi="宋体"/>
          <w:color w:val="auto"/>
          <w:szCs w:val="21"/>
          <w:highlight w:val="none"/>
        </w:rPr>
        <w:t>《中华人民共和国政府采购法</w:t>
      </w:r>
      <w:r>
        <w:rPr>
          <w:rFonts w:hAnsi="宋体"/>
          <w:color w:val="auto"/>
          <w:szCs w:val="21"/>
          <w:highlight w:val="none"/>
        </w:rPr>
        <w:t>》</w:t>
      </w:r>
      <w:r>
        <w:rPr>
          <w:rFonts w:ascii="宋体" w:hAnsi="宋体"/>
          <w:color w:val="auto"/>
          <w:highlight w:val="none"/>
        </w:rPr>
        <w:t>等有关规定，经踏勘项目现场和研究上述竞争性谈判文件的竞标须知、合同条款、图纸、工程建设标准和工程量清单及其他有关文件后，我方愿以人民币(大写)</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元（RMB</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）的竞标报价并按上述图纸、合同条款、工程建设标准和工程量清单（如有时）的条件要求承包上述工程的施工、竣工，并承担任何质量缺陷保修责任。我方保证工程质量达到</w:t>
      </w:r>
      <w:r>
        <w:rPr>
          <w:rFonts w:ascii="宋体" w:hAnsi="宋体"/>
          <w:color w:val="auto"/>
          <w:highlight w:val="none"/>
          <w:u w:val="single"/>
        </w:rPr>
        <w:t xml:space="preserve">       </w:t>
      </w:r>
      <w:r>
        <w:rPr>
          <w:rFonts w:ascii="宋体" w:hAnsi="宋体"/>
          <w:color w:val="auto"/>
          <w:highlight w:val="none"/>
        </w:rPr>
        <w:t>等级。</w:t>
      </w:r>
    </w:p>
    <w:p>
      <w:pPr>
        <w:spacing w:line="360" w:lineRule="auto"/>
        <w:ind w:firstLine="442"/>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我方已详细审核全部竞争性谈判文件，包括修改文件（如有时）及有关附件。</w:t>
      </w:r>
    </w:p>
    <w:p>
      <w:pPr>
        <w:spacing w:line="360" w:lineRule="auto"/>
        <w:ind w:firstLine="442"/>
        <w:rPr>
          <w:rFonts w:ascii="宋体" w:hAnsi="宋体"/>
          <w:color w:val="auto"/>
          <w:highlight w:val="none"/>
        </w:rPr>
      </w:pPr>
      <w:r>
        <w:rPr>
          <w:rFonts w:ascii="宋体" w:hAnsi="宋体"/>
          <w:color w:val="auto"/>
          <w:highlight w:val="none"/>
        </w:rPr>
        <w:t>3</w:t>
      </w:r>
      <w:r>
        <w:rPr>
          <w:rFonts w:hint="eastAsia" w:ascii="宋体" w:hAnsi="宋体"/>
          <w:color w:val="auto"/>
          <w:highlight w:val="none"/>
        </w:rPr>
        <w:t xml:space="preserve">. </w:t>
      </w:r>
      <w:r>
        <w:rPr>
          <w:rFonts w:ascii="宋体" w:hAnsi="宋体"/>
          <w:color w:val="auto"/>
          <w:highlight w:val="none"/>
        </w:rPr>
        <w:t>我方承认竞标函附录是我方竞标函的组成部分。</w:t>
      </w:r>
    </w:p>
    <w:p>
      <w:pPr>
        <w:spacing w:line="360" w:lineRule="auto"/>
        <w:ind w:firstLine="442"/>
        <w:rPr>
          <w:rFonts w:ascii="宋体" w:hAnsi="宋体"/>
          <w:color w:val="auto"/>
          <w:highlight w:val="none"/>
        </w:rPr>
      </w:pPr>
      <w:r>
        <w:rPr>
          <w:rFonts w:ascii="宋体" w:hAnsi="宋体"/>
          <w:color w:val="auto"/>
          <w:highlight w:val="none"/>
        </w:rPr>
        <w:t>4</w:t>
      </w:r>
      <w:r>
        <w:rPr>
          <w:rFonts w:hint="eastAsia" w:ascii="宋体" w:hAnsi="宋体"/>
          <w:color w:val="auto"/>
          <w:highlight w:val="none"/>
        </w:rPr>
        <w:t xml:space="preserve">. </w:t>
      </w:r>
      <w:r>
        <w:rPr>
          <w:rFonts w:ascii="宋体" w:hAnsi="宋体"/>
          <w:color w:val="auto"/>
          <w:highlight w:val="none"/>
        </w:rPr>
        <w:t>一旦我方成交，我方保证按合同书中规定的工期</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日历天内完成并移交全部工程。</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 xml:space="preserve">. </w:t>
      </w:r>
      <w:r>
        <w:rPr>
          <w:rFonts w:ascii="宋体" w:hAnsi="宋体"/>
          <w:color w:val="auto"/>
          <w:highlight w:val="none"/>
        </w:rPr>
        <w:t>我方同意所提交的竞标文件在竞争性谈判文件的竞标须知中第15条规定的竞标有效期内有效，在此期间内如果成交，我方将受此约束。</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 </w:t>
      </w:r>
      <w:r>
        <w:rPr>
          <w:rFonts w:ascii="宋体" w:hAnsi="宋体"/>
          <w:color w:val="auto"/>
          <w:highlight w:val="none"/>
        </w:rPr>
        <w:t>除非另外达成协议并生效，你方的成交通知书和本竞标文件将成为约束双方的合同文件的组成部分。</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 xml:space="preserve">. </w:t>
      </w:r>
      <w:r>
        <w:rPr>
          <w:rFonts w:ascii="宋体" w:hAnsi="宋体"/>
          <w:color w:val="auto"/>
          <w:highlight w:val="none"/>
        </w:rPr>
        <w:t>我方将与本竞标函一起，提交人民币</w:t>
      </w:r>
      <w:r>
        <w:rPr>
          <w:rFonts w:ascii="宋体" w:hAnsi="宋体"/>
          <w:color w:val="auto"/>
          <w:highlight w:val="none"/>
          <w:u w:val="single"/>
        </w:rPr>
        <w:t xml:space="preserve">          </w:t>
      </w:r>
      <w:r>
        <w:rPr>
          <w:rFonts w:ascii="宋体" w:hAnsi="宋体"/>
          <w:color w:val="auto"/>
          <w:highlight w:val="none"/>
        </w:rPr>
        <w:t>元作为竞标担保。</w:t>
      </w:r>
    </w:p>
    <w:p>
      <w:pPr>
        <w:spacing w:line="360" w:lineRule="auto"/>
        <w:rPr>
          <w:rFonts w:ascii="宋体" w:hAnsi="宋体"/>
          <w:color w:val="auto"/>
          <w:highlight w:val="none"/>
        </w:rPr>
      </w:pPr>
    </w:p>
    <w:p>
      <w:pPr>
        <w:spacing w:line="360" w:lineRule="auto"/>
        <w:ind w:left="1000"/>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竞标人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360" w:lineRule="auto"/>
        <w:ind w:left="1000"/>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u w:val="single"/>
        </w:rPr>
      </w:pPr>
      <w:r>
        <w:rPr>
          <w:rFonts w:ascii="宋体" w:hAnsi="宋体"/>
          <w:color w:val="auto"/>
          <w:highlight w:val="none"/>
        </w:rPr>
        <w:t xml:space="preserve">         法定代表人或其委托代理人（委托代理人）：</w:t>
      </w:r>
      <w:r>
        <w:rPr>
          <w:rFonts w:ascii="宋体" w:hAnsi="宋体"/>
          <w:color w:val="auto"/>
          <w:highlight w:val="none"/>
          <w:u w:val="single"/>
        </w:rPr>
        <w:t xml:space="preserve">             （签字）</w:t>
      </w:r>
    </w:p>
    <w:p>
      <w:pPr>
        <w:spacing w:line="360" w:lineRule="auto"/>
        <w:ind w:left="1000"/>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440" w:lineRule="exact"/>
        <w:ind w:firstLine="1890" w:firstLineChars="900"/>
        <w:rPr>
          <w:rFonts w:ascii="宋体"/>
          <w:b/>
          <w:bCs/>
          <w:color w:val="auto"/>
          <w:sz w:val="24"/>
          <w:highlight w:val="none"/>
        </w:rPr>
      </w:pPr>
      <w:r>
        <w:rPr>
          <w:rFonts w:hint="eastAsia" w:ascii="宋体" w:hAnsi="宋体"/>
          <w:color w:val="auto"/>
          <w:highlight w:val="none"/>
        </w:rPr>
        <w:t xml:space="preserve"> </w:t>
      </w:r>
      <w:r>
        <w:rPr>
          <w:rFonts w:ascii="宋体" w:hAnsi="宋体"/>
          <w:color w:val="auto"/>
          <w:highlight w:val="none"/>
        </w:rPr>
        <w:t>日期：</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rPr>
        <w:t>日</w:t>
      </w:r>
    </w:p>
    <w:p>
      <w:pPr>
        <w:spacing w:after="50" w:line="400" w:lineRule="exact"/>
        <w:rPr>
          <w:rFonts w:ascii="宋体" w:hAnsi="宋体"/>
          <w:color w:val="auto"/>
          <w:highlight w:val="none"/>
        </w:rPr>
      </w:pPr>
      <w:r>
        <w:rPr>
          <w:rFonts w:ascii="宋体"/>
          <w:color w:val="auto"/>
          <w:sz w:val="24"/>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二、</w:t>
      </w:r>
      <w:r>
        <w:rPr>
          <w:rFonts w:ascii="黑体" w:eastAsia="黑体"/>
          <w:color w:val="auto"/>
          <w:sz w:val="28"/>
          <w:szCs w:val="28"/>
          <w:highlight w:val="none"/>
        </w:rPr>
        <w:t>已标价工程量清单</w:t>
      </w:r>
    </w:p>
    <w:p>
      <w:pPr>
        <w:jc w:val="center"/>
        <w:rPr>
          <w:color w:val="auto"/>
          <w:highlight w:val="none"/>
        </w:rPr>
      </w:pPr>
      <w:r>
        <w:rPr>
          <w:rFonts w:hint="eastAsia" w:ascii="黑体" w:eastAsia="黑体"/>
          <w:color w:val="auto"/>
          <w:sz w:val="28"/>
          <w:szCs w:val="28"/>
          <w:highlight w:val="none"/>
        </w:rPr>
        <w:t>（另附）</w:t>
      </w:r>
    </w:p>
    <w:p>
      <w:pPr>
        <w:rPr>
          <w:color w:val="auto"/>
          <w:highlight w:val="none"/>
        </w:rPr>
      </w:pPr>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 xml:space="preserve">. </w:t>
      </w:r>
      <w:r>
        <w:rPr>
          <w:color w:val="auto"/>
          <w:szCs w:val="21"/>
          <w:highlight w:val="none"/>
        </w:rPr>
        <w:t>构成合同文件的已标价工程量清单包括第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”有关工程量清单、投标报价以及其他说明的内容。</w:t>
      </w:r>
    </w:p>
    <w:p>
      <w:pPr>
        <w:spacing w:line="400" w:lineRule="exact"/>
        <w:rPr>
          <w:rFonts w:ascii="宋体" w:hAnsi="宋体"/>
          <w:b/>
          <w:color w:val="auto"/>
          <w:szCs w:val="21"/>
          <w:highlight w:val="none"/>
        </w:rPr>
      </w:pPr>
      <w:r>
        <w:rPr>
          <w:rFonts w:ascii="宋体" w:hAnsi="宋体"/>
          <w:b/>
          <w:color w:val="auto"/>
          <w:szCs w:val="21"/>
          <w:highlight w:val="none"/>
        </w:rPr>
        <w:br w:type="page"/>
      </w:r>
    </w:p>
    <w:p>
      <w:pPr>
        <w:pStyle w:val="4"/>
        <w:jc w:val="both"/>
        <w:rPr>
          <w:rFonts w:ascii="宋体" w:hAnsi="宋体"/>
          <w:color w:val="auto"/>
          <w:szCs w:val="21"/>
          <w:highlight w:val="none"/>
        </w:rPr>
      </w:pPr>
      <w:bookmarkStart w:id="205" w:name="_Toc10749"/>
      <w:bookmarkStart w:id="206" w:name="_Toc22206"/>
      <w:r>
        <w:rPr>
          <w:rFonts w:hint="eastAsia"/>
          <w:color w:val="auto"/>
          <w:highlight w:val="none"/>
        </w:rPr>
        <w:t>技术部分</w:t>
      </w:r>
      <w:bookmarkEnd w:id="205"/>
      <w:bookmarkEnd w:id="206"/>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技术部分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360" w:lineRule="exact"/>
        <w:rPr>
          <w:color w:val="auto"/>
          <w:highlight w:val="none"/>
        </w:rPr>
      </w:pPr>
    </w:p>
    <w:p>
      <w:pPr>
        <w:spacing w:line="360" w:lineRule="exact"/>
        <w:rPr>
          <w:color w:val="auto"/>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54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㈠施工组织设计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⑴拟投入的主要施工机械设备表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⑵劳动力计划表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⑶计划开、竣工日期和施工进度网络图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⑷施工总平面图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⑸临时用地表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㈡项目管理机构</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⑴项目管理机构配备情况表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⑵项目经理简历表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⑶项目总工简历表</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⑷项目其他主要人员简历表</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⑸项目管理机构配备情况辅助说明资料</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一、施工组织设计</w:t>
      </w:r>
    </w:p>
    <w:p>
      <w:pPr>
        <w:spacing w:line="360" w:lineRule="exact"/>
        <w:rPr>
          <w:rFonts w:ascii="宋体" w:hAnsi="宋体"/>
          <w:color w:val="auto"/>
          <w:highlight w:val="none"/>
        </w:rPr>
      </w:pPr>
    </w:p>
    <w:p>
      <w:pPr>
        <w:spacing w:after="50" w:line="560" w:lineRule="exact"/>
        <w:ind w:firstLine="420" w:firstLineChars="200"/>
        <w:rPr>
          <w:rFonts w:ascii="宋体" w:hAnsi="宋体"/>
          <w:color w:val="auto"/>
          <w:highlight w:val="none"/>
        </w:rPr>
      </w:pPr>
      <w:r>
        <w:rPr>
          <w:rFonts w:hint="eastAsia" w:ascii="宋体" w:hAnsi="宋体"/>
          <w:color w:val="auto"/>
          <w:highlight w:val="none"/>
        </w:rPr>
        <w:t>1.竞标人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2.施工组织设计除采用文字表述外可附下列图表，图表及格式要求附后，表格可扩展。</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附表一  拟投入的主要施工设备表</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附表二  劳动力计划表</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附表三  计划开、竣工日期和施工进度网络图</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附表四  施工总平面图</w:t>
      </w:r>
    </w:p>
    <w:p>
      <w:pPr>
        <w:spacing w:after="50" w:line="560" w:lineRule="exact"/>
        <w:ind w:firstLine="420" w:firstLineChars="200"/>
        <w:rPr>
          <w:rFonts w:ascii="宋体" w:hAnsi="宋体"/>
          <w:color w:val="auto"/>
          <w:sz w:val="24"/>
          <w:highlight w:val="none"/>
        </w:rPr>
      </w:pPr>
      <w:r>
        <w:rPr>
          <w:rFonts w:hint="eastAsia" w:ascii="宋体" w:hAnsi="宋体"/>
          <w:color w:val="auto"/>
          <w:highlight w:val="none"/>
        </w:rPr>
        <w:t>附表五  临时用地表</w:t>
      </w: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color w:val="auto"/>
          <w:sz w:val="24"/>
          <w:highlight w:val="none"/>
        </w:rPr>
      </w:pPr>
      <w:r>
        <w:rPr>
          <w:rFonts w:hint="eastAsia"/>
          <w:b/>
          <w:bCs/>
          <w:color w:val="auto"/>
          <w:sz w:val="24"/>
          <w:highlight w:val="none"/>
        </w:rPr>
        <w:br w:type="page"/>
      </w:r>
      <w:r>
        <w:rPr>
          <w:rFonts w:hint="eastAsia"/>
          <w:b/>
          <w:bCs/>
          <w:color w:val="auto"/>
          <w:sz w:val="24"/>
          <w:highlight w:val="none"/>
        </w:rPr>
        <w:t xml:space="preserve">附表一 </w:t>
      </w:r>
      <w:r>
        <w:rPr>
          <w:rFonts w:hint="eastAsia" w:ascii="宋体" w:hAnsi="宋体"/>
          <w:b/>
          <w:bCs/>
          <w:color w:val="auto"/>
          <w:sz w:val="24"/>
          <w:highlight w:val="none"/>
        </w:rPr>
        <w:t xml:space="preserve"> ⑴</w:t>
      </w:r>
      <w:r>
        <w:rPr>
          <w:rFonts w:hint="eastAsia"/>
          <w:b/>
          <w:bCs/>
          <w:color w:val="auto"/>
          <w:sz w:val="24"/>
          <w:highlight w:val="none"/>
        </w:rPr>
        <w:t>拟投入的主要施工机械设备表</w:t>
      </w:r>
    </w:p>
    <w:p>
      <w:pPr>
        <w:spacing w:after="50" w:line="400" w:lineRule="exact"/>
        <w:rPr>
          <w:color w:val="auto"/>
          <w:sz w:val="36"/>
          <w:highlight w:val="none"/>
        </w:rPr>
      </w:pPr>
    </w:p>
    <w:tbl>
      <w:tblPr>
        <w:tblStyle w:val="33"/>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764"/>
        <w:gridCol w:w="1366"/>
        <w:gridCol w:w="640"/>
        <w:gridCol w:w="946"/>
        <w:gridCol w:w="1007"/>
        <w:gridCol w:w="1586"/>
        <w:gridCol w:w="9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vAlign w:val="center"/>
          </w:tcPr>
          <w:p>
            <w:pPr>
              <w:spacing w:after="50" w:line="400" w:lineRule="exact"/>
              <w:jc w:val="center"/>
              <w:rPr>
                <w:color w:val="auto"/>
                <w:highlight w:val="none"/>
              </w:rPr>
            </w:pPr>
            <w:r>
              <w:rPr>
                <w:rFonts w:hint="eastAsia"/>
                <w:color w:val="auto"/>
                <w:highlight w:val="none"/>
              </w:rPr>
              <w:t>序号</w:t>
            </w:r>
          </w:p>
        </w:tc>
        <w:tc>
          <w:tcPr>
            <w:tcW w:w="1764" w:type="dxa"/>
            <w:vAlign w:val="center"/>
          </w:tcPr>
          <w:p>
            <w:pPr>
              <w:spacing w:after="50" w:line="400" w:lineRule="exact"/>
              <w:jc w:val="center"/>
              <w:rPr>
                <w:color w:val="auto"/>
                <w:highlight w:val="none"/>
              </w:rPr>
            </w:pPr>
            <w:r>
              <w:rPr>
                <w:rFonts w:hint="eastAsia"/>
                <w:color w:val="auto"/>
                <w:highlight w:val="none"/>
              </w:rPr>
              <w:t>机械或设备名称</w:t>
            </w:r>
          </w:p>
        </w:tc>
        <w:tc>
          <w:tcPr>
            <w:tcW w:w="1366" w:type="dxa"/>
            <w:vAlign w:val="center"/>
          </w:tcPr>
          <w:p>
            <w:pPr>
              <w:spacing w:after="50" w:line="400" w:lineRule="exact"/>
              <w:jc w:val="center"/>
              <w:rPr>
                <w:color w:val="auto"/>
                <w:highlight w:val="none"/>
              </w:rPr>
            </w:pPr>
            <w:r>
              <w:rPr>
                <w:rFonts w:hint="eastAsia"/>
                <w:color w:val="auto"/>
                <w:highlight w:val="none"/>
              </w:rPr>
              <w:t>型号规格</w:t>
            </w:r>
          </w:p>
        </w:tc>
        <w:tc>
          <w:tcPr>
            <w:tcW w:w="640" w:type="dxa"/>
            <w:vAlign w:val="center"/>
          </w:tcPr>
          <w:p>
            <w:pPr>
              <w:spacing w:after="50" w:line="400" w:lineRule="exact"/>
              <w:jc w:val="center"/>
              <w:rPr>
                <w:color w:val="auto"/>
                <w:highlight w:val="none"/>
              </w:rPr>
            </w:pPr>
            <w:r>
              <w:rPr>
                <w:rFonts w:hint="eastAsia"/>
                <w:color w:val="auto"/>
                <w:highlight w:val="none"/>
              </w:rPr>
              <w:t>数量</w:t>
            </w:r>
          </w:p>
        </w:tc>
        <w:tc>
          <w:tcPr>
            <w:tcW w:w="946" w:type="dxa"/>
            <w:vAlign w:val="center"/>
          </w:tcPr>
          <w:p>
            <w:pPr>
              <w:spacing w:after="50" w:line="400" w:lineRule="exact"/>
              <w:jc w:val="center"/>
              <w:rPr>
                <w:color w:val="auto"/>
                <w:highlight w:val="none"/>
              </w:rPr>
            </w:pPr>
            <w:r>
              <w:rPr>
                <w:rFonts w:hint="eastAsia"/>
                <w:color w:val="auto"/>
                <w:highlight w:val="none"/>
              </w:rPr>
              <w:t>国别产地</w:t>
            </w:r>
          </w:p>
        </w:tc>
        <w:tc>
          <w:tcPr>
            <w:tcW w:w="1007" w:type="dxa"/>
            <w:vAlign w:val="center"/>
          </w:tcPr>
          <w:p>
            <w:pPr>
              <w:spacing w:after="50" w:line="400" w:lineRule="exact"/>
              <w:jc w:val="center"/>
              <w:rPr>
                <w:color w:val="auto"/>
                <w:highlight w:val="none"/>
              </w:rPr>
            </w:pPr>
            <w:r>
              <w:rPr>
                <w:rFonts w:hint="eastAsia"/>
                <w:color w:val="auto"/>
                <w:highlight w:val="none"/>
              </w:rPr>
              <w:t>制造年份</w:t>
            </w:r>
          </w:p>
        </w:tc>
        <w:tc>
          <w:tcPr>
            <w:tcW w:w="1586" w:type="dxa"/>
            <w:vAlign w:val="center"/>
          </w:tcPr>
          <w:p>
            <w:pPr>
              <w:spacing w:after="50" w:line="400" w:lineRule="exact"/>
              <w:jc w:val="center"/>
              <w:rPr>
                <w:color w:val="auto"/>
                <w:highlight w:val="none"/>
              </w:rPr>
            </w:pPr>
            <w:r>
              <w:rPr>
                <w:rFonts w:hint="eastAsia"/>
                <w:color w:val="auto"/>
                <w:highlight w:val="none"/>
              </w:rPr>
              <w:t>额定功率（KW）</w:t>
            </w:r>
          </w:p>
        </w:tc>
        <w:tc>
          <w:tcPr>
            <w:tcW w:w="945" w:type="dxa"/>
            <w:vAlign w:val="center"/>
          </w:tcPr>
          <w:p>
            <w:pPr>
              <w:spacing w:after="50" w:line="400" w:lineRule="exact"/>
              <w:jc w:val="center"/>
              <w:rPr>
                <w:color w:val="auto"/>
                <w:highlight w:val="none"/>
              </w:rPr>
            </w:pPr>
            <w:r>
              <w:rPr>
                <w:rFonts w:hint="eastAsia"/>
                <w:color w:val="auto"/>
                <w:highlight w:val="none"/>
              </w:rPr>
              <w:t>生产能力</w:t>
            </w:r>
          </w:p>
        </w:tc>
        <w:tc>
          <w:tcPr>
            <w:tcW w:w="1114" w:type="dxa"/>
            <w:tcBorders>
              <w:left w:val="single" w:color="auto" w:sz="4" w:space="0"/>
            </w:tcBorders>
            <w:vAlign w:val="center"/>
          </w:tcPr>
          <w:p>
            <w:pPr>
              <w:spacing w:after="50" w:line="40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spacing w:after="50" w:line="400" w:lineRule="exact"/>
              <w:rPr>
                <w:color w:val="auto"/>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spacing w:after="50" w:line="400" w:lineRule="exact"/>
              <w:rPr>
                <w:color w:val="auto"/>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bl>
    <w:p>
      <w:pPr>
        <w:spacing w:after="50" w:line="400" w:lineRule="exact"/>
        <w:rPr>
          <w:b/>
          <w:bCs/>
          <w:color w:val="auto"/>
          <w:sz w:val="32"/>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color w:val="auto"/>
          <w:sz w:val="24"/>
          <w:highlight w:val="none"/>
        </w:rPr>
      </w:pPr>
      <w:r>
        <w:rPr>
          <w:rFonts w:hint="eastAsia"/>
          <w:b/>
          <w:bCs/>
          <w:color w:val="auto"/>
          <w:sz w:val="24"/>
          <w:highlight w:val="none"/>
        </w:rPr>
        <w:t xml:space="preserve">附表二 </w:t>
      </w:r>
      <w:r>
        <w:rPr>
          <w:rFonts w:hint="eastAsia" w:ascii="宋体" w:hAnsi="宋体"/>
          <w:b/>
          <w:bCs/>
          <w:color w:val="auto"/>
          <w:sz w:val="24"/>
          <w:highlight w:val="none"/>
        </w:rPr>
        <w:t xml:space="preserve"> ⑵</w:t>
      </w:r>
      <w:r>
        <w:rPr>
          <w:rFonts w:hint="eastAsia"/>
          <w:b/>
          <w:bCs/>
          <w:color w:val="auto"/>
          <w:sz w:val="24"/>
          <w:highlight w:val="none"/>
        </w:rPr>
        <w:t>劳动力计划表</w:t>
      </w:r>
    </w:p>
    <w:p>
      <w:pPr>
        <w:spacing w:after="50" w:line="400" w:lineRule="exact"/>
        <w:ind w:firstLine="3120" w:firstLineChars="1300"/>
        <w:rPr>
          <w:color w:val="auto"/>
          <w:sz w:val="24"/>
          <w:highlight w:val="none"/>
        </w:rPr>
      </w:pPr>
      <w:r>
        <w:rPr>
          <w:rFonts w:hint="eastAsia"/>
          <w:color w:val="auto"/>
          <w:sz w:val="24"/>
          <w:highlight w:val="none"/>
        </w:rPr>
        <w:t xml:space="preserve">                                       单位： 人  </w:t>
      </w:r>
    </w:p>
    <w:tbl>
      <w:tblPr>
        <w:tblStyle w:val="3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70"/>
        <w:gridCol w:w="1171"/>
        <w:gridCol w:w="1171"/>
        <w:gridCol w:w="1171"/>
        <w:gridCol w:w="1366"/>
        <w:gridCol w:w="136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2" w:type="dxa"/>
            <w:vMerge w:val="restart"/>
            <w:vAlign w:val="center"/>
          </w:tcPr>
          <w:p>
            <w:pPr>
              <w:spacing w:after="50" w:line="400" w:lineRule="exact"/>
              <w:rPr>
                <w:color w:val="auto"/>
                <w:highlight w:val="none"/>
              </w:rPr>
            </w:pPr>
            <w:r>
              <w:rPr>
                <w:rFonts w:hint="eastAsia"/>
                <w:color w:val="auto"/>
                <w:highlight w:val="none"/>
              </w:rPr>
              <w:t>工种</w:t>
            </w:r>
          </w:p>
        </w:tc>
        <w:tc>
          <w:tcPr>
            <w:tcW w:w="8889" w:type="dxa"/>
            <w:gridSpan w:val="7"/>
            <w:vAlign w:val="center"/>
          </w:tcPr>
          <w:p>
            <w:pPr>
              <w:spacing w:after="50" w:line="400" w:lineRule="exact"/>
              <w:rPr>
                <w:color w:val="auto"/>
                <w:highlight w:val="none"/>
              </w:rPr>
            </w:pPr>
            <w:r>
              <w:rPr>
                <w:rFonts w:hint="eastAsia"/>
                <w:color w:val="auto"/>
                <w:highlight w:val="none"/>
              </w:rPr>
              <w:t>按</w:t>
            </w:r>
            <w:r>
              <w:rPr>
                <w:rFonts w:hint="eastAsia" w:ascii="宋体" w:hAnsi="Courier New"/>
                <w:color w:val="auto"/>
                <w:szCs w:val="20"/>
                <w:highlight w:val="none"/>
              </w:rPr>
              <w:t>项目</w:t>
            </w:r>
            <w:r>
              <w:rPr>
                <w:rFonts w:hint="eastAsia"/>
                <w:color w:val="auto"/>
                <w:highlight w:val="none"/>
              </w:rPr>
              <w:t>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2" w:type="dxa"/>
            <w:vMerge w:val="continue"/>
            <w:vAlign w:val="center"/>
          </w:tcPr>
          <w:p>
            <w:pPr>
              <w:spacing w:after="50" w:line="400" w:lineRule="exact"/>
              <w:rPr>
                <w:color w:val="auto"/>
                <w:sz w:val="24"/>
                <w:highlight w:val="none"/>
              </w:rPr>
            </w:pPr>
          </w:p>
        </w:tc>
        <w:tc>
          <w:tcPr>
            <w:tcW w:w="1170"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366" w:type="dxa"/>
            <w:vAlign w:val="center"/>
          </w:tcPr>
          <w:p>
            <w:pPr>
              <w:spacing w:after="50" w:line="400" w:lineRule="exact"/>
              <w:rPr>
                <w:color w:val="auto"/>
                <w:sz w:val="24"/>
                <w:highlight w:val="none"/>
              </w:rPr>
            </w:pPr>
          </w:p>
        </w:tc>
        <w:tc>
          <w:tcPr>
            <w:tcW w:w="1366" w:type="dxa"/>
            <w:vAlign w:val="center"/>
          </w:tcPr>
          <w:p>
            <w:pPr>
              <w:spacing w:after="50" w:line="400" w:lineRule="exact"/>
              <w:rPr>
                <w:color w:val="auto"/>
                <w:sz w:val="24"/>
                <w:highlight w:val="none"/>
              </w:rPr>
            </w:pPr>
          </w:p>
        </w:tc>
        <w:tc>
          <w:tcPr>
            <w:tcW w:w="1474" w:type="dxa"/>
            <w:vAlign w:val="center"/>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pStyle w:val="24"/>
              <w:rPr>
                <w:color w:val="auto"/>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bl>
    <w:p>
      <w:pPr>
        <w:spacing w:after="50" w:line="400" w:lineRule="exact"/>
        <w:rPr>
          <w:snapToGrid w:val="0"/>
          <w:color w:val="auto"/>
          <w:kern w:val="0"/>
          <w:highlight w:val="none"/>
        </w:rPr>
      </w:pPr>
      <w:r>
        <w:rPr>
          <w:rFonts w:hint="eastAsia"/>
          <w:snapToGrid w:val="0"/>
          <w:color w:val="auto"/>
          <w:kern w:val="0"/>
          <w:highlight w:val="none"/>
        </w:rPr>
        <w:t>注：1.竞标人应按所列格式提交包括分包人在内的估计劳动力计划表。</w:t>
      </w:r>
    </w:p>
    <w:p>
      <w:pPr>
        <w:spacing w:after="50" w:line="400" w:lineRule="exact"/>
        <w:ind w:firstLine="424" w:firstLineChars="200"/>
        <w:rPr>
          <w:snapToGrid w:val="0"/>
          <w:color w:val="auto"/>
          <w:highlight w:val="none"/>
        </w:rPr>
      </w:pPr>
      <w:r>
        <w:rPr>
          <w:rFonts w:hint="eastAsia"/>
          <w:snapToGrid w:val="0"/>
          <w:color w:val="auto"/>
          <w:spacing w:val="1"/>
          <w:highlight w:val="none"/>
        </w:rPr>
        <w:t>2.本计划表是以每班八小时工作制为基础编制</w:t>
      </w:r>
      <w:r>
        <w:rPr>
          <w:rFonts w:hint="eastAsia"/>
          <w:snapToGrid w:val="0"/>
          <w:color w:val="auto"/>
          <w:spacing w:val="-7"/>
          <w:highlight w:val="none"/>
        </w:rPr>
        <w:t>的</w:t>
      </w:r>
      <w:r>
        <w:rPr>
          <w:rFonts w:hint="eastAsia"/>
          <w:snapToGrid w:val="0"/>
          <w:color w:val="auto"/>
          <w:highlight w:val="none"/>
        </w:rPr>
        <w:t>。</w:t>
      </w:r>
    </w:p>
    <w:p>
      <w:pPr>
        <w:spacing w:after="50" w:line="400" w:lineRule="exact"/>
        <w:rPr>
          <w:snapToGrid w:val="0"/>
          <w:color w:val="auto"/>
          <w:highlight w:val="none"/>
        </w:rPr>
      </w:pPr>
      <w:r>
        <w:rPr>
          <w:snapToGrid w:val="0"/>
          <w:color w:val="auto"/>
          <w:highlight w:val="none"/>
        </w:rPr>
        <w:br w:type="page"/>
      </w:r>
    </w:p>
    <w:p>
      <w:pPr>
        <w:spacing w:after="50" w:line="400" w:lineRule="exact"/>
        <w:rPr>
          <w:b/>
          <w:bCs/>
          <w:color w:val="auto"/>
          <w:sz w:val="24"/>
          <w:highlight w:val="none"/>
        </w:rPr>
      </w:pPr>
      <w:r>
        <w:rPr>
          <w:rFonts w:hint="eastAsia"/>
          <w:b/>
          <w:snapToGrid w:val="0"/>
          <w:color w:val="auto"/>
          <w:sz w:val="24"/>
          <w:highlight w:val="none"/>
        </w:rPr>
        <w:t xml:space="preserve">附表三 </w:t>
      </w:r>
      <w:r>
        <w:rPr>
          <w:rFonts w:hint="eastAsia" w:ascii="宋体" w:hAnsi="宋体"/>
          <w:b/>
          <w:snapToGrid w:val="0"/>
          <w:color w:val="auto"/>
          <w:sz w:val="24"/>
          <w:highlight w:val="none"/>
        </w:rPr>
        <w:t xml:space="preserve"> ⑶</w:t>
      </w:r>
      <w:r>
        <w:rPr>
          <w:rFonts w:hint="eastAsia"/>
          <w:b/>
          <w:bCs/>
          <w:color w:val="auto"/>
          <w:sz w:val="24"/>
          <w:highlight w:val="none"/>
        </w:rPr>
        <w:t>计划开、竣工日期和施工进度横道图（或网络网）</w:t>
      </w:r>
    </w:p>
    <w:p>
      <w:pPr>
        <w:snapToGrid w:val="0"/>
        <w:spacing w:after="50" w:line="400" w:lineRule="exact"/>
        <w:rPr>
          <w:color w:val="auto"/>
          <w:sz w:val="24"/>
          <w:highlight w:val="none"/>
        </w:rPr>
      </w:pPr>
    </w:p>
    <w:p>
      <w:pPr>
        <w:spacing w:after="156" w:afterLines="50" w:line="400" w:lineRule="exact"/>
        <w:ind w:firstLine="420" w:firstLineChars="200"/>
        <w:rPr>
          <w:color w:val="auto"/>
          <w:highlight w:val="none"/>
        </w:rPr>
      </w:pPr>
      <w:r>
        <w:rPr>
          <w:rFonts w:hint="eastAsia"/>
          <w:color w:val="auto"/>
          <w:highlight w:val="none"/>
        </w:rPr>
        <w:t>1.竞标人应提交施工进度横道图（或网络网）或施工进度表，说明按</w:t>
      </w:r>
      <w:r>
        <w:rPr>
          <w:rFonts w:hint="eastAsia" w:ascii="宋体"/>
          <w:color w:val="auto"/>
          <w:highlight w:val="none"/>
        </w:rPr>
        <w:t>竞争性谈判文件</w:t>
      </w:r>
      <w:r>
        <w:rPr>
          <w:rFonts w:hint="eastAsia"/>
          <w:color w:val="auto"/>
          <w:highlight w:val="none"/>
        </w:rPr>
        <w:t>要求的工期进行施工的各个关键日期。成交的竞标人还应按合同条件有关条款的要求提交详细的施工进度计划。</w:t>
      </w:r>
    </w:p>
    <w:p>
      <w:pPr>
        <w:spacing w:after="156" w:afterLines="50" w:line="400" w:lineRule="exact"/>
        <w:ind w:firstLine="420" w:firstLineChars="200"/>
        <w:rPr>
          <w:color w:val="auto"/>
          <w:highlight w:val="none"/>
        </w:rPr>
      </w:pPr>
      <w:r>
        <w:rPr>
          <w:rFonts w:hint="eastAsia"/>
          <w:color w:val="auto"/>
          <w:highlight w:val="none"/>
        </w:rPr>
        <w:t>2.施工进度表可采用横道图（或网络网）表示，说明计划开工日期和各分项工程各阶段的完工日期和分包合同签订的日期。</w:t>
      </w:r>
    </w:p>
    <w:p>
      <w:pPr>
        <w:spacing w:after="156" w:afterLines="50" w:line="400" w:lineRule="exact"/>
        <w:ind w:firstLine="420" w:firstLineChars="200"/>
        <w:rPr>
          <w:color w:val="auto"/>
          <w:highlight w:val="none"/>
        </w:rPr>
      </w:pPr>
      <w:r>
        <w:rPr>
          <w:rFonts w:hint="eastAsia"/>
          <w:color w:val="auto"/>
          <w:highlight w:val="none"/>
        </w:rPr>
        <w:t>3.施工进度计划应与施工组织设计相适应。</w:t>
      </w:r>
    </w:p>
    <w:p>
      <w:pPr>
        <w:spacing w:after="50" w:line="400" w:lineRule="exact"/>
        <w:rPr>
          <w:color w:val="auto"/>
          <w:highlight w:val="none"/>
        </w:rPr>
      </w:pPr>
    </w:p>
    <w:p>
      <w:pPr>
        <w:spacing w:after="50" w:line="400" w:lineRule="exact"/>
        <w:rPr>
          <w:color w:val="auto"/>
          <w:highlight w:val="none"/>
        </w:rPr>
      </w:pPr>
    </w:p>
    <w:p>
      <w:pPr>
        <w:spacing w:after="50" w:line="400" w:lineRule="exact"/>
        <w:rPr>
          <w:color w:val="auto"/>
          <w:highlight w:val="none"/>
        </w:rPr>
      </w:pPr>
    </w:p>
    <w:p>
      <w:pPr>
        <w:spacing w:after="50" w:line="400" w:lineRule="exact"/>
        <w:rPr>
          <w:b/>
          <w:bCs/>
          <w:color w:val="auto"/>
          <w:sz w:val="24"/>
          <w:highlight w:val="none"/>
        </w:rPr>
      </w:pPr>
      <w:r>
        <w:rPr>
          <w:rFonts w:hint="eastAsia"/>
          <w:b/>
          <w:bCs/>
          <w:color w:val="auto"/>
          <w:sz w:val="24"/>
          <w:highlight w:val="none"/>
        </w:rPr>
        <w:t xml:space="preserve">附表四 </w:t>
      </w:r>
      <w:r>
        <w:rPr>
          <w:rFonts w:hint="eastAsia" w:ascii="宋体" w:hAnsi="宋体"/>
          <w:b/>
          <w:bCs/>
          <w:color w:val="auto"/>
          <w:sz w:val="24"/>
          <w:highlight w:val="none"/>
        </w:rPr>
        <w:t xml:space="preserve"> ⑷施工总平面图 （格式自拟）</w:t>
      </w:r>
    </w:p>
    <w:p>
      <w:pPr>
        <w:spacing w:after="50" w:line="400" w:lineRule="exact"/>
        <w:rPr>
          <w:color w:val="auto"/>
          <w:highlight w:val="none"/>
        </w:rPr>
      </w:pPr>
    </w:p>
    <w:p>
      <w:pPr>
        <w:spacing w:after="50" w:line="400" w:lineRule="exact"/>
        <w:rPr>
          <w:b/>
          <w:bCs/>
          <w:color w:val="auto"/>
          <w:sz w:val="24"/>
          <w:highlight w:val="none"/>
        </w:rPr>
      </w:pPr>
      <w:r>
        <w:rPr>
          <w:rFonts w:hint="eastAsia"/>
          <w:b/>
          <w:bCs/>
          <w:color w:val="auto"/>
          <w:sz w:val="24"/>
          <w:highlight w:val="none"/>
        </w:rPr>
        <w:t xml:space="preserve">附表五 </w:t>
      </w:r>
      <w:r>
        <w:rPr>
          <w:rFonts w:hint="eastAsia" w:ascii="宋体" w:hAnsi="宋体"/>
          <w:b/>
          <w:bCs/>
          <w:color w:val="auto"/>
          <w:sz w:val="24"/>
          <w:highlight w:val="none"/>
        </w:rPr>
        <w:t xml:space="preserve"> </w:t>
      </w:r>
      <w:r>
        <w:rPr>
          <w:rFonts w:hint="eastAsia" w:ascii="宋体" w:hAnsi="宋体" w:cs="宋体"/>
          <w:b/>
          <w:bCs/>
          <w:color w:val="auto"/>
          <w:sz w:val="24"/>
          <w:highlight w:val="none"/>
        </w:rPr>
        <w:t>⑸</w:t>
      </w:r>
      <w:r>
        <w:rPr>
          <w:rFonts w:hint="eastAsia"/>
          <w:b/>
          <w:bCs/>
          <w:color w:val="auto"/>
          <w:sz w:val="24"/>
          <w:highlight w:val="none"/>
        </w:rPr>
        <w:t>临时用地表</w:t>
      </w:r>
    </w:p>
    <w:p>
      <w:pPr>
        <w:spacing w:after="50" w:line="400" w:lineRule="exact"/>
        <w:rPr>
          <w:color w:val="auto"/>
          <w:highlight w:val="none"/>
        </w:rPr>
      </w:pPr>
    </w:p>
    <w:tbl>
      <w:tblPr>
        <w:tblStyle w:val="3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2519"/>
        <w:gridCol w:w="2487"/>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88" w:type="dxa"/>
            <w:vAlign w:val="center"/>
          </w:tcPr>
          <w:p>
            <w:pPr>
              <w:spacing w:after="50" w:line="400" w:lineRule="exact"/>
              <w:jc w:val="center"/>
              <w:rPr>
                <w:color w:val="auto"/>
                <w:highlight w:val="none"/>
              </w:rPr>
            </w:pPr>
            <w:r>
              <w:rPr>
                <w:rFonts w:hint="eastAsia"/>
                <w:color w:val="auto"/>
                <w:highlight w:val="none"/>
              </w:rPr>
              <w:t>用 途</w:t>
            </w:r>
          </w:p>
        </w:tc>
        <w:tc>
          <w:tcPr>
            <w:tcW w:w="2519" w:type="dxa"/>
            <w:vAlign w:val="center"/>
          </w:tcPr>
          <w:p>
            <w:pPr>
              <w:spacing w:after="50" w:line="400" w:lineRule="exact"/>
              <w:jc w:val="center"/>
              <w:rPr>
                <w:color w:val="auto"/>
                <w:highlight w:val="none"/>
              </w:rPr>
            </w:pPr>
            <w:r>
              <w:rPr>
                <w:rFonts w:hint="eastAsia"/>
                <w:color w:val="auto"/>
                <w:highlight w:val="none"/>
              </w:rPr>
              <w:t>面 积（平方米）</w:t>
            </w:r>
          </w:p>
        </w:tc>
        <w:tc>
          <w:tcPr>
            <w:tcW w:w="2487" w:type="dxa"/>
            <w:vAlign w:val="center"/>
          </w:tcPr>
          <w:p>
            <w:pPr>
              <w:spacing w:after="50" w:line="400" w:lineRule="exact"/>
              <w:jc w:val="center"/>
              <w:rPr>
                <w:color w:val="auto"/>
                <w:highlight w:val="none"/>
              </w:rPr>
            </w:pPr>
            <w:r>
              <w:rPr>
                <w:rFonts w:hint="eastAsia"/>
                <w:color w:val="auto"/>
                <w:highlight w:val="none"/>
              </w:rPr>
              <w:t>位 置</w:t>
            </w:r>
          </w:p>
        </w:tc>
        <w:tc>
          <w:tcPr>
            <w:tcW w:w="2487" w:type="dxa"/>
            <w:vAlign w:val="center"/>
          </w:tcPr>
          <w:p>
            <w:pPr>
              <w:spacing w:after="50" w:line="400" w:lineRule="exact"/>
              <w:jc w:val="center"/>
              <w:rPr>
                <w:color w:val="auto"/>
                <w:highlight w:val="none"/>
              </w:rPr>
            </w:pPr>
            <w:r>
              <w:rPr>
                <w:rFonts w:hint="eastAsia"/>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88" w:type="dxa"/>
            <w:vAlign w:val="center"/>
          </w:tcPr>
          <w:p>
            <w:pPr>
              <w:spacing w:after="50" w:line="400" w:lineRule="exact"/>
              <w:jc w:val="center"/>
              <w:rPr>
                <w:color w:val="auto"/>
                <w:highlight w:val="none"/>
              </w:rPr>
            </w:pPr>
            <w:r>
              <w:rPr>
                <w:rFonts w:hint="eastAsia"/>
                <w:color w:val="auto"/>
                <w:highlight w:val="none"/>
              </w:rPr>
              <w:t>合 计</w:t>
            </w: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bl>
    <w:p>
      <w:pPr>
        <w:spacing w:after="156" w:afterLines="50" w:line="400" w:lineRule="exact"/>
        <w:rPr>
          <w:color w:val="auto"/>
          <w:highlight w:val="none"/>
        </w:rPr>
      </w:pPr>
      <w:r>
        <w:rPr>
          <w:rFonts w:hint="eastAsia"/>
          <w:color w:val="auto"/>
          <w:highlight w:val="none"/>
        </w:rPr>
        <w:t>注：1.竞标人应逐项填写本表，指出全部临时设施用地面积以及详细用途。</w:t>
      </w:r>
    </w:p>
    <w:p>
      <w:pPr>
        <w:spacing w:after="156" w:afterLines="50" w:line="400" w:lineRule="exact"/>
        <w:ind w:firstLine="420" w:firstLineChars="200"/>
        <w:rPr>
          <w:color w:val="auto"/>
          <w:highlight w:val="none"/>
        </w:rPr>
      </w:pPr>
      <w:r>
        <w:rPr>
          <w:rFonts w:hint="eastAsia"/>
          <w:color w:val="auto"/>
          <w:highlight w:val="none"/>
        </w:rPr>
        <w:t>2.若本表不够，可加附页。</w:t>
      </w:r>
    </w:p>
    <w:p>
      <w:pPr>
        <w:jc w:val="center"/>
        <w:rPr>
          <w:rFonts w:ascii="黑体" w:eastAsia="黑体"/>
          <w:color w:val="auto"/>
          <w:sz w:val="28"/>
          <w:szCs w:val="28"/>
          <w:highlight w:val="none"/>
        </w:rPr>
      </w:pPr>
      <w:r>
        <w:rPr>
          <w:rFonts w:ascii="宋体"/>
          <w:color w:val="auto"/>
          <w:highlight w:val="none"/>
        </w:rPr>
        <w:br w:type="page"/>
      </w:r>
      <w:r>
        <w:rPr>
          <w:rFonts w:hint="eastAsia" w:ascii="黑体" w:eastAsia="黑体"/>
          <w:color w:val="auto"/>
          <w:sz w:val="28"/>
          <w:szCs w:val="28"/>
          <w:highlight w:val="none"/>
        </w:rPr>
        <w:t>二、项目管理机构</w:t>
      </w:r>
    </w:p>
    <w:p>
      <w:pPr>
        <w:spacing w:after="50" w:line="400" w:lineRule="exact"/>
        <w:rPr>
          <w:b/>
          <w:bCs/>
          <w:color w:val="auto"/>
          <w:sz w:val="32"/>
          <w:highlight w:val="none"/>
        </w:rPr>
      </w:pPr>
    </w:p>
    <w:p>
      <w:pPr>
        <w:jc w:val="center"/>
        <w:rPr>
          <w:rFonts w:ascii="黑体" w:eastAsia="黑体"/>
          <w:color w:val="auto"/>
          <w:sz w:val="24"/>
          <w:highlight w:val="none"/>
        </w:rPr>
      </w:pPr>
      <w:r>
        <w:rPr>
          <w:rFonts w:hint="eastAsia" w:ascii="黑体" w:eastAsia="黑体"/>
          <w:color w:val="auto"/>
          <w:sz w:val="24"/>
          <w:highlight w:val="none"/>
        </w:rPr>
        <w:t>㈠项目管理机构配备情况表</w:t>
      </w:r>
    </w:p>
    <w:p>
      <w:pPr>
        <w:spacing w:after="50" w:line="400" w:lineRule="exact"/>
        <w:rPr>
          <w:color w:val="auto"/>
          <w:sz w:val="24"/>
          <w:highlight w:val="none"/>
        </w:rPr>
      </w:pPr>
    </w:p>
    <w:tbl>
      <w:tblPr>
        <w:tblStyle w:val="33"/>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48"/>
        <w:gridCol w:w="1236"/>
        <w:gridCol w:w="1574"/>
        <w:gridCol w:w="1573"/>
        <w:gridCol w:w="157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016" w:type="dxa"/>
            <w:vMerge w:val="restart"/>
            <w:vAlign w:val="center"/>
          </w:tcPr>
          <w:p>
            <w:pPr>
              <w:spacing w:after="50" w:line="400" w:lineRule="exact"/>
              <w:jc w:val="center"/>
              <w:rPr>
                <w:color w:val="auto"/>
                <w:highlight w:val="none"/>
              </w:rPr>
            </w:pPr>
            <w:r>
              <w:rPr>
                <w:rFonts w:hint="eastAsia"/>
                <w:color w:val="auto"/>
                <w:highlight w:val="none"/>
              </w:rPr>
              <w:t>职务</w:t>
            </w:r>
          </w:p>
        </w:tc>
        <w:tc>
          <w:tcPr>
            <w:tcW w:w="1348" w:type="dxa"/>
            <w:vMerge w:val="restart"/>
            <w:vAlign w:val="center"/>
          </w:tcPr>
          <w:p>
            <w:pPr>
              <w:spacing w:after="50" w:line="400" w:lineRule="exact"/>
              <w:jc w:val="center"/>
              <w:rPr>
                <w:color w:val="auto"/>
                <w:highlight w:val="none"/>
              </w:rPr>
            </w:pPr>
            <w:r>
              <w:rPr>
                <w:rFonts w:hint="eastAsia"/>
                <w:color w:val="auto"/>
                <w:highlight w:val="none"/>
              </w:rPr>
              <w:t>姓名</w:t>
            </w:r>
          </w:p>
        </w:tc>
        <w:tc>
          <w:tcPr>
            <w:tcW w:w="1236" w:type="dxa"/>
            <w:vMerge w:val="restart"/>
            <w:vAlign w:val="center"/>
          </w:tcPr>
          <w:p>
            <w:pPr>
              <w:spacing w:after="50" w:line="400" w:lineRule="exact"/>
              <w:jc w:val="center"/>
              <w:rPr>
                <w:color w:val="auto"/>
                <w:highlight w:val="none"/>
              </w:rPr>
            </w:pPr>
            <w:r>
              <w:rPr>
                <w:rFonts w:hint="eastAsia"/>
                <w:color w:val="auto"/>
                <w:highlight w:val="none"/>
              </w:rPr>
              <w:t>职称</w:t>
            </w:r>
          </w:p>
        </w:tc>
        <w:tc>
          <w:tcPr>
            <w:tcW w:w="6340" w:type="dxa"/>
            <w:gridSpan w:val="4"/>
            <w:vAlign w:val="center"/>
          </w:tcPr>
          <w:p>
            <w:pPr>
              <w:spacing w:after="50" w:line="400" w:lineRule="exact"/>
              <w:jc w:val="center"/>
              <w:rPr>
                <w:color w:val="auto"/>
                <w:highlight w:val="none"/>
              </w:rPr>
            </w:pPr>
            <w:r>
              <w:rPr>
                <w:rFonts w:hint="eastAsia"/>
                <w:color w:val="auto"/>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016" w:type="dxa"/>
            <w:vMerge w:val="continue"/>
            <w:vAlign w:val="center"/>
          </w:tcPr>
          <w:p>
            <w:pPr>
              <w:spacing w:after="50" w:line="400" w:lineRule="exact"/>
              <w:jc w:val="center"/>
              <w:rPr>
                <w:color w:val="auto"/>
                <w:highlight w:val="none"/>
              </w:rPr>
            </w:pPr>
          </w:p>
        </w:tc>
        <w:tc>
          <w:tcPr>
            <w:tcW w:w="1348" w:type="dxa"/>
            <w:vMerge w:val="continue"/>
            <w:vAlign w:val="center"/>
          </w:tcPr>
          <w:p>
            <w:pPr>
              <w:spacing w:after="50" w:line="400" w:lineRule="exact"/>
              <w:jc w:val="center"/>
              <w:rPr>
                <w:color w:val="auto"/>
                <w:highlight w:val="none"/>
              </w:rPr>
            </w:pPr>
          </w:p>
        </w:tc>
        <w:tc>
          <w:tcPr>
            <w:tcW w:w="1236" w:type="dxa"/>
            <w:vMerge w:val="continue"/>
            <w:vAlign w:val="center"/>
          </w:tcPr>
          <w:p>
            <w:pPr>
              <w:spacing w:after="50" w:line="400" w:lineRule="exact"/>
              <w:jc w:val="center"/>
              <w:rPr>
                <w:color w:val="auto"/>
                <w:highlight w:val="none"/>
              </w:rPr>
            </w:pPr>
          </w:p>
        </w:tc>
        <w:tc>
          <w:tcPr>
            <w:tcW w:w="1574" w:type="dxa"/>
            <w:vAlign w:val="center"/>
          </w:tcPr>
          <w:p>
            <w:pPr>
              <w:spacing w:after="50" w:line="400" w:lineRule="exact"/>
              <w:jc w:val="center"/>
              <w:rPr>
                <w:color w:val="auto"/>
                <w:highlight w:val="none"/>
              </w:rPr>
            </w:pPr>
            <w:r>
              <w:rPr>
                <w:rFonts w:hint="eastAsia"/>
                <w:color w:val="auto"/>
                <w:highlight w:val="none"/>
              </w:rPr>
              <w:t>证书名称</w:t>
            </w:r>
          </w:p>
        </w:tc>
        <w:tc>
          <w:tcPr>
            <w:tcW w:w="1573" w:type="dxa"/>
            <w:vAlign w:val="center"/>
          </w:tcPr>
          <w:p>
            <w:pPr>
              <w:spacing w:after="50" w:line="400" w:lineRule="exact"/>
              <w:jc w:val="center"/>
              <w:rPr>
                <w:color w:val="auto"/>
                <w:highlight w:val="none"/>
              </w:rPr>
            </w:pPr>
            <w:r>
              <w:rPr>
                <w:rFonts w:hint="eastAsia"/>
                <w:color w:val="auto"/>
                <w:highlight w:val="none"/>
              </w:rPr>
              <w:t>级别</w:t>
            </w:r>
          </w:p>
        </w:tc>
        <w:tc>
          <w:tcPr>
            <w:tcW w:w="1574" w:type="dxa"/>
            <w:vAlign w:val="center"/>
          </w:tcPr>
          <w:p>
            <w:pPr>
              <w:spacing w:after="50" w:line="400" w:lineRule="exact"/>
              <w:jc w:val="center"/>
              <w:rPr>
                <w:color w:val="auto"/>
                <w:highlight w:val="none"/>
              </w:rPr>
            </w:pPr>
            <w:r>
              <w:rPr>
                <w:rFonts w:hint="eastAsia"/>
                <w:color w:val="auto"/>
                <w:highlight w:val="none"/>
              </w:rPr>
              <w:t>证号</w:t>
            </w:r>
          </w:p>
        </w:tc>
        <w:tc>
          <w:tcPr>
            <w:tcW w:w="1619" w:type="dxa"/>
            <w:vAlign w:val="center"/>
          </w:tcPr>
          <w:p>
            <w:pPr>
              <w:spacing w:after="50" w:line="400" w:lineRule="exact"/>
              <w:jc w:val="center"/>
              <w:rPr>
                <w:color w:val="auto"/>
                <w:highlight w:val="none"/>
              </w:rPr>
            </w:pP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9940" w:type="dxa"/>
            <w:gridSpan w:val="7"/>
          </w:tcPr>
          <w:p>
            <w:pPr>
              <w:spacing w:after="50" w:line="400" w:lineRule="exact"/>
              <w:rPr>
                <w:color w:val="auto"/>
                <w:highlight w:val="none"/>
              </w:rPr>
            </w:pPr>
          </w:p>
          <w:p>
            <w:pPr>
              <w:spacing w:after="50" w:line="400" w:lineRule="exact"/>
              <w:ind w:firstLine="420" w:firstLineChars="200"/>
              <w:rPr>
                <w:color w:val="auto"/>
                <w:highlight w:val="none"/>
              </w:rPr>
            </w:pPr>
            <w:r>
              <w:rPr>
                <w:rFonts w:hint="eastAsia"/>
                <w:color w:val="auto"/>
                <w:highlight w:val="none"/>
              </w:rPr>
              <w:t>一旦我单位成交，将实行项目经理师负责制，我方保证并配备上述项目管理机构。上述填报内容真实，若不真实，愿按有关规定接受处理。项目管理班子机构设置、职责分工等情况另附资料说明。</w:t>
            </w:r>
          </w:p>
        </w:tc>
      </w:tr>
    </w:tbl>
    <w:p>
      <w:pPr>
        <w:spacing w:after="50" w:line="400" w:lineRule="exact"/>
        <w:rPr>
          <w:color w:val="auto"/>
          <w:highlight w:val="none"/>
        </w:rPr>
      </w:pPr>
    </w:p>
    <w:p>
      <w:pPr>
        <w:spacing w:after="50" w:line="400" w:lineRule="exact"/>
        <w:rPr>
          <w:color w:val="auto"/>
          <w:highlight w:val="none"/>
        </w:rPr>
      </w:pPr>
    </w:p>
    <w:p>
      <w:pPr>
        <w:jc w:val="center"/>
        <w:rPr>
          <w:color w:val="auto"/>
          <w:highlight w:val="none"/>
        </w:rPr>
      </w:pPr>
      <w:r>
        <w:rPr>
          <w:rFonts w:hint="eastAsia" w:ascii="黑体" w:eastAsia="黑体"/>
          <w:color w:val="auto"/>
          <w:sz w:val="24"/>
          <w:highlight w:val="none"/>
        </w:rPr>
        <w:t>㈡项目经理</w:t>
      </w:r>
      <w:r>
        <w:rPr>
          <w:rFonts w:ascii="黑体" w:eastAsia="黑体"/>
          <w:color w:val="auto"/>
          <w:sz w:val="24"/>
          <w:highlight w:val="none"/>
        </w:rPr>
        <w:t>简历表</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tbl>
      <w:tblPr>
        <w:tblStyle w:val="3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14"/>
        <w:gridCol w:w="207"/>
        <w:gridCol w:w="1039"/>
        <w:gridCol w:w="117"/>
        <w:gridCol w:w="960"/>
        <w:gridCol w:w="170"/>
        <w:gridCol w:w="253"/>
        <w:gridCol w:w="996"/>
        <w:gridCol w:w="261"/>
        <w:gridCol w:w="381"/>
        <w:gridCol w:w="812"/>
        <w:gridCol w:w="487"/>
        <w:gridCol w:w="142"/>
        <w:gridCol w:w="506"/>
        <w:gridCol w:w="29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7" w:type="dxa"/>
            <w:gridSpan w:val="4"/>
            <w:vAlign w:val="center"/>
          </w:tcPr>
          <w:p>
            <w:pPr>
              <w:spacing w:line="400" w:lineRule="exact"/>
              <w:jc w:val="center"/>
              <w:rPr>
                <w:rFonts w:ascii="宋体" w:hAnsi="宋体"/>
                <w:color w:val="auto"/>
                <w:szCs w:val="21"/>
                <w:highlight w:val="none"/>
              </w:rPr>
            </w:pPr>
          </w:p>
        </w:tc>
        <w:tc>
          <w:tcPr>
            <w:tcW w:w="138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638" w:type="dxa"/>
            <w:gridSpan w:val="3"/>
            <w:vAlign w:val="center"/>
          </w:tcPr>
          <w:p>
            <w:pPr>
              <w:spacing w:line="400" w:lineRule="exact"/>
              <w:jc w:val="center"/>
              <w:rPr>
                <w:rFonts w:ascii="宋体" w:hAnsi="宋体"/>
                <w:color w:val="auto"/>
                <w:szCs w:val="21"/>
                <w:highlight w:val="none"/>
              </w:rPr>
            </w:pPr>
          </w:p>
        </w:tc>
        <w:tc>
          <w:tcPr>
            <w:tcW w:w="144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077"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777" w:type="dxa"/>
            <w:gridSpan w:val="4"/>
            <w:vAlign w:val="center"/>
          </w:tcPr>
          <w:p>
            <w:pPr>
              <w:spacing w:line="400" w:lineRule="exact"/>
              <w:jc w:val="center"/>
              <w:rPr>
                <w:rFonts w:ascii="宋体" w:hAnsi="宋体"/>
                <w:color w:val="auto"/>
                <w:szCs w:val="21"/>
                <w:highlight w:val="none"/>
              </w:rPr>
            </w:pPr>
          </w:p>
        </w:tc>
        <w:tc>
          <w:tcPr>
            <w:tcW w:w="138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638" w:type="dxa"/>
            <w:gridSpan w:val="3"/>
            <w:vAlign w:val="center"/>
          </w:tcPr>
          <w:p>
            <w:pPr>
              <w:spacing w:line="400" w:lineRule="exact"/>
              <w:jc w:val="center"/>
              <w:rPr>
                <w:rFonts w:ascii="宋体" w:hAnsi="宋体"/>
                <w:color w:val="auto"/>
                <w:szCs w:val="21"/>
                <w:highlight w:val="none"/>
              </w:rPr>
            </w:pPr>
          </w:p>
        </w:tc>
        <w:tc>
          <w:tcPr>
            <w:tcW w:w="144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077"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w:t>
            </w:r>
          </w:p>
          <w:p>
            <w:pPr>
              <w:spacing w:line="400" w:lineRule="exact"/>
              <w:jc w:val="center"/>
              <w:rPr>
                <w:rFonts w:ascii="宋体" w:hAnsi="宋体"/>
                <w:color w:val="auto"/>
                <w:szCs w:val="21"/>
                <w:highlight w:val="none"/>
              </w:rPr>
            </w:pPr>
            <w:r>
              <w:rPr>
                <w:rFonts w:hint="eastAsia" w:ascii="宋体" w:hAnsi="宋体"/>
                <w:color w:val="auto"/>
                <w:szCs w:val="21"/>
                <w:highlight w:val="none"/>
              </w:rPr>
              <w:t>院校</w:t>
            </w:r>
          </w:p>
        </w:tc>
        <w:tc>
          <w:tcPr>
            <w:tcW w:w="3160" w:type="dxa"/>
            <w:gridSpan w:val="7"/>
            <w:vAlign w:val="center"/>
          </w:tcPr>
          <w:p>
            <w:pPr>
              <w:spacing w:line="400" w:lineRule="exact"/>
              <w:rPr>
                <w:rFonts w:ascii="宋体" w:hAnsi="宋体"/>
                <w:color w:val="auto"/>
                <w:szCs w:val="21"/>
                <w:highlight w:val="none"/>
              </w:rPr>
            </w:pPr>
          </w:p>
        </w:tc>
        <w:tc>
          <w:tcPr>
            <w:tcW w:w="1638"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518"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2116" w:type="dxa"/>
            <w:gridSpan w:val="3"/>
            <w:vAlign w:val="center"/>
          </w:tcPr>
          <w:p>
            <w:pPr>
              <w:spacing w:line="400" w:lineRule="exact"/>
              <w:jc w:val="center"/>
              <w:rPr>
                <w:rFonts w:ascii="宋体" w:hAnsi="宋体"/>
                <w:color w:val="auto"/>
                <w:szCs w:val="21"/>
                <w:highlight w:val="none"/>
              </w:rPr>
            </w:pPr>
          </w:p>
        </w:tc>
        <w:tc>
          <w:tcPr>
            <w:tcW w:w="1680"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资格证书等级及编号</w:t>
            </w:r>
          </w:p>
        </w:tc>
        <w:tc>
          <w:tcPr>
            <w:tcW w:w="1680" w:type="dxa"/>
            <w:gridSpan w:val="3"/>
            <w:vAlign w:val="center"/>
          </w:tcPr>
          <w:p>
            <w:pPr>
              <w:jc w:val="center"/>
              <w:rPr>
                <w:rFonts w:ascii="宋体" w:hAnsi="宋体"/>
                <w:color w:val="auto"/>
                <w:szCs w:val="21"/>
                <w:highlight w:val="none"/>
              </w:rPr>
            </w:pPr>
          </w:p>
        </w:tc>
        <w:tc>
          <w:tcPr>
            <w:tcW w:w="94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职称证书编号</w:t>
            </w:r>
          </w:p>
        </w:tc>
        <w:tc>
          <w:tcPr>
            <w:tcW w:w="127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356" w:type="dxa"/>
            <w:gridSpan w:val="17"/>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54" w:type="dxa"/>
            <w:gridSpan w:val="2"/>
            <w:vAlign w:val="center"/>
          </w:tcPr>
          <w:p>
            <w:pPr>
              <w:jc w:val="center"/>
              <w:rPr>
                <w:rFonts w:ascii="宋体" w:hAnsi="宋体"/>
                <w:color w:val="auto"/>
                <w:highlight w:val="none"/>
              </w:rPr>
            </w:pPr>
            <w:r>
              <w:rPr>
                <w:rFonts w:hint="eastAsia" w:ascii="宋体" w:hAnsi="宋体"/>
                <w:color w:val="auto"/>
                <w:highlight w:val="none"/>
              </w:rPr>
              <w:t>建设单位</w:t>
            </w:r>
          </w:p>
        </w:tc>
        <w:tc>
          <w:tcPr>
            <w:tcW w:w="1246"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1247" w:type="dxa"/>
            <w:gridSpan w:val="3"/>
            <w:vAlign w:val="center"/>
          </w:tcPr>
          <w:p>
            <w:pPr>
              <w:jc w:val="center"/>
              <w:rPr>
                <w:rFonts w:ascii="宋体" w:hAnsi="宋体"/>
                <w:color w:val="auto"/>
                <w:highlight w:val="none"/>
              </w:rPr>
            </w:pPr>
            <w:r>
              <w:rPr>
                <w:rFonts w:hint="eastAsia" w:ascii="宋体" w:hAnsi="宋体"/>
                <w:color w:val="auto"/>
                <w:highlight w:val="none"/>
              </w:rPr>
              <w:t>担任何职</w:t>
            </w:r>
          </w:p>
        </w:tc>
        <w:tc>
          <w:tcPr>
            <w:tcW w:w="1249" w:type="dxa"/>
            <w:gridSpan w:val="2"/>
            <w:vAlign w:val="center"/>
          </w:tcPr>
          <w:p>
            <w:pPr>
              <w:jc w:val="center"/>
              <w:rPr>
                <w:rFonts w:ascii="宋体" w:hAnsi="宋体"/>
                <w:color w:val="auto"/>
                <w:highlight w:val="none"/>
              </w:rPr>
            </w:pPr>
            <w:r>
              <w:rPr>
                <w:rFonts w:hint="eastAsia" w:ascii="宋体" w:hAnsi="宋体"/>
                <w:color w:val="auto"/>
                <w:highlight w:val="none"/>
              </w:rPr>
              <w:t>建设规模</w:t>
            </w:r>
          </w:p>
        </w:tc>
        <w:tc>
          <w:tcPr>
            <w:tcW w:w="1454" w:type="dxa"/>
            <w:gridSpan w:val="3"/>
            <w:vAlign w:val="center"/>
          </w:tcPr>
          <w:p>
            <w:pPr>
              <w:jc w:val="center"/>
              <w:rPr>
                <w:rFonts w:ascii="宋体" w:hAnsi="宋体"/>
                <w:color w:val="auto"/>
                <w:highlight w:val="none"/>
              </w:rPr>
            </w:pPr>
            <w:r>
              <w:rPr>
                <w:rFonts w:hint="eastAsia" w:ascii="宋体" w:hAnsi="宋体"/>
                <w:color w:val="auto"/>
                <w:highlight w:val="none"/>
              </w:rPr>
              <w:t>建设地点</w:t>
            </w:r>
          </w:p>
        </w:tc>
        <w:tc>
          <w:tcPr>
            <w:tcW w:w="1135" w:type="dxa"/>
            <w:gridSpan w:val="3"/>
            <w:vAlign w:val="center"/>
          </w:tcPr>
          <w:p>
            <w:pPr>
              <w:jc w:val="center"/>
              <w:rPr>
                <w:rFonts w:ascii="宋体" w:hAnsi="宋体"/>
                <w:color w:val="auto"/>
                <w:highlight w:val="none"/>
              </w:rPr>
            </w:pPr>
            <w:r>
              <w:rPr>
                <w:rFonts w:hint="eastAsia" w:ascii="宋体" w:hAnsi="宋体"/>
                <w:color w:val="auto"/>
                <w:highlight w:val="none"/>
              </w:rPr>
              <w:t>开竣工</w:t>
            </w:r>
          </w:p>
          <w:p>
            <w:pPr>
              <w:jc w:val="center"/>
              <w:rPr>
                <w:rFonts w:ascii="宋体" w:hAnsi="宋体"/>
                <w:color w:val="auto"/>
                <w:highlight w:val="none"/>
              </w:rPr>
            </w:pPr>
            <w:r>
              <w:rPr>
                <w:rFonts w:hint="eastAsia" w:ascii="宋体" w:hAnsi="宋体"/>
                <w:color w:val="auto"/>
                <w:highlight w:val="none"/>
              </w:rPr>
              <w:t>日期</w:t>
            </w:r>
          </w:p>
        </w:tc>
        <w:tc>
          <w:tcPr>
            <w:tcW w:w="1571" w:type="dxa"/>
            <w:gridSpan w:val="2"/>
            <w:vAlign w:val="center"/>
          </w:tcPr>
          <w:p>
            <w:pPr>
              <w:jc w:val="center"/>
              <w:rPr>
                <w:rFonts w:ascii="宋体" w:hAnsi="宋体"/>
                <w:color w:val="auto"/>
                <w:szCs w:val="21"/>
                <w:highlight w:val="none"/>
              </w:rPr>
            </w:pPr>
            <w:r>
              <w:rPr>
                <w:rFonts w:hint="eastAsia" w:ascii="宋体"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jc w:val="center"/>
              <w:rPr>
                <w:rFonts w:ascii="宋体" w:hAnsi="宋体"/>
                <w:color w:val="auto"/>
                <w:szCs w:val="21"/>
                <w:highlight w:val="none"/>
              </w:rPr>
            </w:pPr>
          </w:p>
        </w:tc>
        <w:tc>
          <w:tcPr>
            <w:tcW w:w="1135" w:type="dxa"/>
            <w:gridSpan w:val="3"/>
            <w:vAlign w:val="center"/>
          </w:tcPr>
          <w:p>
            <w:pPr>
              <w:jc w:val="center"/>
              <w:rPr>
                <w:rFonts w:ascii="宋体" w:hAnsi="宋体"/>
                <w:color w:val="auto"/>
                <w:szCs w:val="21"/>
                <w:highlight w:val="none"/>
              </w:rPr>
            </w:pPr>
          </w:p>
        </w:tc>
        <w:tc>
          <w:tcPr>
            <w:tcW w:w="1571"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bl>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⑴项目经理要求具备</w:t>
      </w:r>
      <w:r>
        <w:rPr>
          <w:rFonts w:hint="eastAsia" w:ascii="宋体" w:hAnsi="宋体" w:eastAsia="宋体" w:cs="宋体"/>
          <w:color w:val="auto"/>
          <w:kern w:val="2"/>
          <w:sz w:val="21"/>
          <w:szCs w:val="21"/>
          <w:highlight w:val="none"/>
          <w:lang w:val="en-US" w:eastAsia="zh-CN" w:bidi="ar-SA"/>
        </w:rPr>
        <w:t>建筑工程施工或市政公用工程</w:t>
      </w:r>
      <w:r>
        <w:rPr>
          <w:rFonts w:hint="eastAsia" w:ascii="宋体" w:hAnsi="宋体"/>
          <w:color w:val="auto"/>
          <w:szCs w:val="21"/>
          <w:highlight w:val="none"/>
          <w:lang w:eastAsia="zh-CN"/>
        </w:rPr>
        <w:t>专业贰级</w:t>
      </w:r>
      <w:r>
        <w:rPr>
          <w:rFonts w:hint="eastAsia" w:ascii="宋体" w:hAnsi="宋体"/>
          <w:color w:val="auto"/>
          <w:szCs w:val="21"/>
          <w:highlight w:val="none"/>
        </w:rPr>
        <w:t>（含贰级）以上建造师执业证书，注册单位必须为竞标人单位。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⑵必须附上清晰可辨的身份证、</w:t>
      </w:r>
      <w:r>
        <w:rPr>
          <w:rFonts w:hint="eastAsia"/>
          <w:color w:val="auto"/>
          <w:highlight w:val="none"/>
        </w:rPr>
        <w:t>资格</w:t>
      </w:r>
      <w:r>
        <w:rPr>
          <w:rFonts w:hint="eastAsia" w:ascii="宋体" w:hAnsi="宋体"/>
          <w:color w:val="auto"/>
          <w:szCs w:val="21"/>
          <w:highlight w:val="none"/>
        </w:rPr>
        <w:t>证书、职称证书</w:t>
      </w:r>
      <w:r>
        <w:rPr>
          <w:rFonts w:hint="eastAsia" w:ascii="宋体" w:hAnsi="宋体"/>
          <w:color w:val="auto"/>
          <w:szCs w:val="21"/>
          <w:highlight w:val="none"/>
          <w:lang w:eastAsia="zh-CN"/>
        </w:rPr>
        <w:t>（如有）</w:t>
      </w:r>
      <w:r>
        <w:rPr>
          <w:rFonts w:hint="eastAsia" w:ascii="宋体" w:hAnsi="宋体"/>
          <w:color w:val="auto"/>
          <w:szCs w:val="21"/>
          <w:highlight w:val="none"/>
        </w:rPr>
        <w:t>、毕业证书</w:t>
      </w:r>
      <w:r>
        <w:rPr>
          <w:rFonts w:hint="eastAsia" w:ascii="宋体" w:hAnsi="宋体"/>
          <w:color w:val="auto"/>
          <w:szCs w:val="21"/>
          <w:highlight w:val="none"/>
          <w:lang w:eastAsia="zh-CN"/>
        </w:rPr>
        <w:t>（如有）</w:t>
      </w:r>
      <w:r>
        <w:rPr>
          <w:rFonts w:hint="eastAsia" w:ascii="宋体" w:hAnsi="宋体"/>
          <w:color w:val="auto"/>
          <w:szCs w:val="21"/>
          <w:highlight w:val="none"/>
        </w:rPr>
        <w:t>的复印件。</w:t>
      </w:r>
    </w:p>
    <w:p>
      <w:pPr>
        <w:rPr>
          <w:rFonts w:ascii="黑体" w:eastAsia="黑体"/>
          <w:color w:val="auto"/>
          <w:sz w:val="24"/>
          <w:highlight w:val="none"/>
        </w:rPr>
      </w:pPr>
      <w:r>
        <w:rPr>
          <w:rFonts w:hint="eastAsia" w:ascii="黑体" w:eastAsia="黑体"/>
          <w:color w:val="auto"/>
          <w:sz w:val="24"/>
          <w:highlight w:val="none"/>
        </w:rPr>
        <w:br w:type="page"/>
      </w:r>
    </w:p>
    <w:p>
      <w:pPr>
        <w:rPr>
          <w:rFonts w:ascii="黑体" w:eastAsia="黑体"/>
          <w:color w:val="auto"/>
          <w:sz w:val="24"/>
          <w:highlight w:val="none"/>
        </w:rPr>
      </w:pPr>
    </w:p>
    <w:p>
      <w:pPr>
        <w:rPr>
          <w:color w:val="auto"/>
          <w:highlight w:val="none"/>
        </w:rPr>
      </w:pPr>
      <w:r>
        <w:rPr>
          <w:rFonts w:hint="eastAsia" w:ascii="黑体" w:eastAsia="黑体"/>
          <w:color w:val="auto"/>
          <w:sz w:val="24"/>
          <w:highlight w:val="none"/>
        </w:rPr>
        <w:t>㈢项目总工</w:t>
      </w:r>
      <w:r>
        <w:rPr>
          <w:rFonts w:ascii="黑体" w:eastAsia="黑体"/>
          <w:color w:val="auto"/>
          <w:sz w:val="24"/>
          <w:highlight w:val="none"/>
        </w:rPr>
        <w:t>简历表</w:t>
      </w:r>
    </w:p>
    <w:p>
      <w:pPr>
        <w:spacing w:line="500" w:lineRule="exact"/>
        <w:rPr>
          <w:rFonts w:ascii="宋体" w:hAnsi="宋体"/>
          <w:color w:val="auto"/>
          <w:szCs w:val="21"/>
          <w:highlight w:val="none"/>
        </w:rPr>
      </w:pPr>
    </w:p>
    <w:tbl>
      <w:tblPr>
        <w:tblStyle w:val="33"/>
        <w:tblW w:w="9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15"/>
        <w:gridCol w:w="207"/>
        <w:gridCol w:w="1040"/>
        <w:gridCol w:w="117"/>
        <w:gridCol w:w="1132"/>
        <w:gridCol w:w="267"/>
        <w:gridCol w:w="983"/>
        <w:gridCol w:w="255"/>
        <w:gridCol w:w="423"/>
        <w:gridCol w:w="778"/>
        <w:gridCol w:w="479"/>
        <w:gridCol w:w="151"/>
        <w:gridCol w:w="506"/>
        <w:gridCol w:w="28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9" w:type="dxa"/>
            <w:gridSpan w:val="4"/>
            <w:vAlign w:val="center"/>
          </w:tcPr>
          <w:p>
            <w:pPr>
              <w:spacing w:line="400" w:lineRule="exact"/>
              <w:jc w:val="center"/>
              <w:rPr>
                <w:rFonts w:ascii="宋体" w:hAnsi="宋体"/>
                <w:color w:val="auto"/>
                <w:szCs w:val="21"/>
                <w:highlight w:val="none"/>
              </w:rPr>
            </w:pPr>
          </w:p>
        </w:tc>
        <w:tc>
          <w:tcPr>
            <w:tcW w:w="139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661" w:type="dxa"/>
            <w:gridSpan w:val="3"/>
            <w:vAlign w:val="center"/>
          </w:tcPr>
          <w:p>
            <w:pPr>
              <w:spacing w:line="400" w:lineRule="exact"/>
              <w:jc w:val="center"/>
              <w:rPr>
                <w:rFonts w:ascii="宋体" w:hAnsi="宋体"/>
                <w:color w:val="auto"/>
                <w:szCs w:val="21"/>
                <w:highlight w:val="none"/>
              </w:rPr>
            </w:pPr>
          </w:p>
        </w:tc>
        <w:tc>
          <w:tcPr>
            <w:tcW w:w="1408"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079"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779" w:type="dxa"/>
            <w:gridSpan w:val="4"/>
            <w:vAlign w:val="center"/>
          </w:tcPr>
          <w:p>
            <w:pPr>
              <w:spacing w:line="400" w:lineRule="exact"/>
              <w:jc w:val="center"/>
              <w:rPr>
                <w:rFonts w:ascii="宋体" w:hAnsi="宋体"/>
                <w:color w:val="auto"/>
                <w:szCs w:val="21"/>
                <w:highlight w:val="none"/>
              </w:rPr>
            </w:pPr>
          </w:p>
        </w:tc>
        <w:tc>
          <w:tcPr>
            <w:tcW w:w="139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661" w:type="dxa"/>
            <w:gridSpan w:val="3"/>
            <w:vAlign w:val="center"/>
          </w:tcPr>
          <w:p>
            <w:pPr>
              <w:spacing w:line="400" w:lineRule="exact"/>
              <w:jc w:val="center"/>
              <w:rPr>
                <w:rFonts w:ascii="宋体" w:hAnsi="宋体"/>
                <w:color w:val="auto"/>
                <w:szCs w:val="21"/>
                <w:highlight w:val="none"/>
              </w:rPr>
            </w:pPr>
          </w:p>
        </w:tc>
        <w:tc>
          <w:tcPr>
            <w:tcW w:w="1408"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079"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w:t>
            </w:r>
          </w:p>
          <w:p>
            <w:pPr>
              <w:spacing w:line="400" w:lineRule="exact"/>
              <w:jc w:val="center"/>
              <w:rPr>
                <w:rFonts w:ascii="宋体" w:hAnsi="宋体"/>
                <w:color w:val="auto"/>
                <w:szCs w:val="21"/>
                <w:highlight w:val="none"/>
              </w:rPr>
            </w:pPr>
            <w:r>
              <w:rPr>
                <w:rFonts w:hint="eastAsia" w:ascii="宋体" w:hAnsi="宋体"/>
                <w:color w:val="auto"/>
                <w:szCs w:val="21"/>
                <w:highlight w:val="none"/>
              </w:rPr>
              <w:t>院校</w:t>
            </w:r>
          </w:p>
        </w:tc>
        <w:tc>
          <w:tcPr>
            <w:tcW w:w="3178" w:type="dxa"/>
            <w:gridSpan w:val="6"/>
            <w:vAlign w:val="center"/>
          </w:tcPr>
          <w:p>
            <w:pPr>
              <w:spacing w:line="400" w:lineRule="exact"/>
              <w:rPr>
                <w:rFonts w:ascii="宋体" w:hAnsi="宋体"/>
                <w:color w:val="auto"/>
                <w:szCs w:val="21"/>
                <w:highlight w:val="none"/>
              </w:rPr>
            </w:pPr>
          </w:p>
        </w:tc>
        <w:tc>
          <w:tcPr>
            <w:tcW w:w="166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487"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6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2289" w:type="dxa"/>
            <w:gridSpan w:val="3"/>
            <w:vAlign w:val="center"/>
          </w:tcPr>
          <w:p>
            <w:pPr>
              <w:spacing w:line="400" w:lineRule="exact"/>
              <w:jc w:val="center"/>
              <w:rPr>
                <w:rFonts w:ascii="宋体" w:hAnsi="宋体"/>
                <w:color w:val="auto"/>
                <w:szCs w:val="21"/>
                <w:highlight w:val="none"/>
              </w:rPr>
            </w:pPr>
          </w:p>
        </w:tc>
        <w:tc>
          <w:tcPr>
            <w:tcW w:w="150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执业资格证书等级及编号</w:t>
            </w:r>
          </w:p>
        </w:tc>
        <w:tc>
          <w:tcPr>
            <w:tcW w:w="1680" w:type="dxa"/>
            <w:gridSpan w:val="3"/>
            <w:vAlign w:val="center"/>
          </w:tcPr>
          <w:p>
            <w:pPr>
              <w:jc w:val="center"/>
              <w:rPr>
                <w:rFonts w:ascii="宋体" w:hAnsi="宋体"/>
                <w:color w:val="auto"/>
                <w:szCs w:val="21"/>
                <w:highlight w:val="none"/>
              </w:rPr>
            </w:pPr>
          </w:p>
        </w:tc>
        <w:tc>
          <w:tcPr>
            <w:tcW w:w="94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职称证书编号</w:t>
            </w:r>
          </w:p>
        </w:tc>
        <w:tc>
          <w:tcPr>
            <w:tcW w:w="128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67" w:type="dxa"/>
            <w:gridSpan w:val="16"/>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56" w:type="dxa"/>
            <w:gridSpan w:val="2"/>
            <w:vAlign w:val="center"/>
          </w:tcPr>
          <w:p>
            <w:pPr>
              <w:jc w:val="center"/>
              <w:rPr>
                <w:rFonts w:ascii="宋体" w:hAnsi="宋体"/>
                <w:color w:val="auto"/>
                <w:highlight w:val="none"/>
              </w:rPr>
            </w:pPr>
            <w:r>
              <w:rPr>
                <w:rFonts w:hint="eastAsia" w:ascii="宋体" w:hAnsi="宋体"/>
                <w:color w:val="auto"/>
                <w:highlight w:val="none"/>
              </w:rPr>
              <w:t>建设单位</w:t>
            </w:r>
          </w:p>
        </w:tc>
        <w:tc>
          <w:tcPr>
            <w:tcW w:w="1247"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1249" w:type="dxa"/>
            <w:gridSpan w:val="2"/>
            <w:vAlign w:val="center"/>
          </w:tcPr>
          <w:p>
            <w:pPr>
              <w:jc w:val="center"/>
              <w:rPr>
                <w:rFonts w:ascii="宋体" w:hAnsi="宋体"/>
                <w:color w:val="auto"/>
                <w:highlight w:val="none"/>
              </w:rPr>
            </w:pPr>
            <w:r>
              <w:rPr>
                <w:rFonts w:hint="eastAsia" w:ascii="宋体" w:hAnsi="宋体"/>
                <w:color w:val="auto"/>
                <w:highlight w:val="none"/>
              </w:rPr>
              <w:t>担任何职</w:t>
            </w:r>
          </w:p>
        </w:tc>
        <w:tc>
          <w:tcPr>
            <w:tcW w:w="1250" w:type="dxa"/>
            <w:gridSpan w:val="2"/>
            <w:vAlign w:val="center"/>
          </w:tcPr>
          <w:p>
            <w:pPr>
              <w:jc w:val="center"/>
              <w:rPr>
                <w:rFonts w:ascii="宋体" w:hAnsi="宋体"/>
                <w:color w:val="auto"/>
                <w:highlight w:val="none"/>
              </w:rPr>
            </w:pPr>
            <w:r>
              <w:rPr>
                <w:rFonts w:hint="eastAsia" w:ascii="宋体" w:hAnsi="宋体"/>
                <w:color w:val="auto"/>
                <w:highlight w:val="none"/>
              </w:rPr>
              <w:t>建设规模</w:t>
            </w:r>
          </w:p>
        </w:tc>
        <w:tc>
          <w:tcPr>
            <w:tcW w:w="1456" w:type="dxa"/>
            <w:gridSpan w:val="3"/>
            <w:vAlign w:val="center"/>
          </w:tcPr>
          <w:p>
            <w:pPr>
              <w:jc w:val="center"/>
              <w:rPr>
                <w:rFonts w:ascii="宋体" w:hAnsi="宋体"/>
                <w:color w:val="auto"/>
                <w:highlight w:val="none"/>
              </w:rPr>
            </w:pPr>
            <w:r>
              <w:rPr>
                <w:rFonts w:hint="eastAsia" w:ascii="宋体" w:hAnsi="宋体"/>
                <w:color w:val="auto"/>
                <w:highlight w:val="none"/>
              </w:rPr>
              <w:t>建设地点</w:t>
            </w:r>
          </w:p>
        </w:tc>
        <w:tc>
          <w:tcPr>
            <w:tcW w:w="1136" w:type="dxa"/>
            <w:gridSpan w:val="3"/>
            <w:vAlign w:val="center"/>
          </w:tcPr>
          <w:p>
            <w:pPr>
              <w:jc w:val="center"/>
              <w:rPr>
                <w:rFonts w:ascii="宋体" w:hAnsi="宋体"/>
                <w:color w:val="auto"/>
                <w:highlight w:val="none"/>
              </w:rPr>
            </w:pPr>
            <w:r>
              <w:rPr>
                <w:rFonts w:hint="eastAsia" w:ascii="宋体" w:hAnsi="宋体"/>
                <w:color w:val="auto"/>
                <w:highlight w:val="none"/>
              </w:rPr>
              <w:t>开竣工</w:t>
            </w:r>
          </w:p>
          <w:p>
            <w:pPr>
              <w:jc w:val="center"/>
              <w:rPr>
                <w:rFonts w:ascii="宋体" w:hAnsi="宋体"/>
                <w:color w:val="auto"/>
                <w:highlight w:val="none"/>
              </w:rPr>
            </w:pPr>
            <w:r>
              <w:rPr>
                <w:rFonts w:hint="eastAsia" w:ascii="宋体" w:hAnsi="宋体"/>
                <w:color w:val="auto"/>
                <w:highlight w:val="none"/>
              </w:rPr>
              <w:t>日期</w:t>
            </w:r>
          </w:p>
        </w:tc>
        <w:tc>
          <w:tcPr>
            <w:tcW w:w="1573" w:type="dxa"/>
            <w:gridSpan w:val="2"/>
            <w:vAlign w:val="center"/>
          </w:tcPr>
          <w:p>
            <w:pPr>
              <w:jc w:val="center"/>
              <w:rPr>
                <w:rFonts w:ascii="宋体" w:hAnsi="宋体"/>
                <w:color w:val="auto"/>
                <w:szCs w:val="21"/>
                <w:highlight w:val="none"/>
              </w:rPr>
            </w:pPr>
            <w:r>
              <w:rPr>
                <w:rFonts w:hint="eastAsia" w:ascii="宋体"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⑴项目总工要求具有工程师职称，职称证工作单位必须为竞标人单位。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⑵必须附上清晰可辨的身份证、职称证书、毕业证书（如有）的复印件。</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jc w:val="center"/>
        <w:rPr>
          <w:color w:val="auto"/>
          <w:highlight w:val="none"/>
        </w:rPr>
      </w:pPr>
      <w:r>
        <w:rPr>
          <w:rFonts w:hint="eastAsia" w:ascii="黑体" w:eastAsia="黑体"/>
          <w:color w:val="auto"/>
          <w:sz w:val="24"/>
          <w:highlight w:val="none"/>
        </w:rPr>
        <w:t>㈣</w:t>
      </w:r>
      <w:r>
        <w:rPr>
          <w:rFonts w:ascii="黑体" w:eastAsia="黑体"/>
          <w:color w:val="auto"/>
          <w:sz w:val="24"/>
          <w:highlight w:val="none"/>
        </w:rPr>
        <w:t>项目其它主要人员简历表</w:t>
      </w:r>
    </w:p>
    <w:p>
      <w:pPr>
        <w:spacing w:line="500" w:lineRule="exact"/>
        <w:rPr>
          <w:rFonts w:ascii="宋体" w:hAnsi="宋体"/>
          <w:color w:val="auto"/>
          <w:szCs w:val="21"/>
          <w:highlight w:val="none"/>
        </w:rPr>
      </w:pPr>
    </w:p>
    <w:tbl>
      <w:tblPr>
        <w:tblStyle w:val="3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90"/>
        <w:gridCol w:w="764"/>
        <w:gridCol w:w="442"/>
        <w:gridCol w:w="427"/>
        <w:gridCol w:w="739"/>
        <w:gridCol w:w="1048"/>
        <w:gridCol w:w="330"/>
        <w:gridCol w:w="156"/>
        <w:gridCol w:w="1167"/>
        <w:gridCol w:w="333"/>
        <w:gridCol w:w="40"/>
        <w:gridCol w:w="119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696" w:type="dxa"/>
            <w:gridSpan w:val="3"/>
            <w:vAlign w:val="center"/>
          </w:tcPr>
          <w:p>
            <w:pPr>
              <w:spacing w:line="400" w:lineRule="exact"/>
              <w:jc w:val="center"/>
              <w:rPr>
                <w:rFonts w:ascii="宋体" w:hAnsi="宋体"/>
                <w:color w:val="auto"/>
                <w:szCs w:val="21"/>
                <w:highlight w:val="none"/>
              </w:rPr>
            </w:pPr>
          </w:p>
        </w:tc>
        <w:tc>
          <w:tcPr>
            <w:tcW w:w="1166"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378" w:type="dxa"/>
            <w:gridSpan w:val="2"/>
            <w:vAlign w:val="center"/>
          </w:tcPr>
          <w:p>
            <w:pPr>
              <w:spacing w:line="400" w:lineRule="exact"/>
              <w:jc w:val="center"/>
              <w:rPr>
                <w:rFonts w:ascii="宋体" w:hAnsi="宋体"/>
                <w:color w:val="auto"/>
                <w:szCs w:val="21"/>
                <w:highlight w:val="none"/>
              </w:rPr>
            </w:pPr>
          </w:p>
        </w:tc>
        <w:tc>
          <w:tcPr>
            <w:tcW w:w="1696" w:type="dxa"/>
            <w:gridSpan w:val="4"/>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284"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696" w:type="dxa"/>
            <w:gridSpan w:val="3"/>
            <w:vAlign w:val="center"/>
          </w:tcPr>
          <w:p>
            <w:pPr>
              <w:spacing w:line="400" w:lineRule="exact"/>
              <w:jc w:val="center"/>
              <w:rPr>
                <w:rFonts w:ascii="宋体" w:hAnsi="宋体"/>
                <w:color w:val="auto"/>
                <w:szCs w:val="21"/>
                <w:highlight w:val="none"/>
              </w:rPr>
            </w:pPr>
          </w:p>
        </w:tc>
        <w:tc>
          <w:tcPr>
            <w:tcW w:w="1166"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378" w:type="dxa"/>
            <w:gridSpan w:val="2"/>
            <w:vAlign w:val="center"/>
          </w:tcPr>
          <w:p>
            <w:pPr>
              <w:spacing w:line="400" w:lineRule="exact"/>
              <w:jc w:val="center"/>
              <w:rPr>
                <w:rFonts w:ascii="宋体" w:hAnsi="宋体"/>
                <w:color w:val="auto"/>
                <w:szCs w:val="21"/>
                <w:highlight w:val="none"/>
              </w:rPr>
            </w:pPr>
          </w:p>
        </w:tc>
        <w:tc>
          <w:tcPr>
            <w:tcW w:w="1696"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284"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毕业学校</w:t>
            </w:r>
          </w:p>
        </w:tc>
        <w:tc>
          <w:tcPr>
            <w:tcW w:w="2862" w:type="dxa"/>
            <w:gridSpan w:val="5"/>
            <w:vAlign w:val="center"/>
          </w:tcPr>
          <w:p>
            <w:pPr>
              <w:spacing w:line="400" w:lineRule="exact"/>
              <w:rPr>
                <w:rFonts w:ascii="宋体" w:hAnsi="宋体"/>
                <w:color w:val="auto"/>
                <w:szCs w:val="21"/>
                <w:highlight w:val="none"/>
              </w:rPr>
            </w:pPr>
          </w:p>
        </w:tc>
        <w:tc>
          <w:tcPr>
            <w:tcW w:w="1378"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980"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32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3142" w:type="dxa"/>
            <w:gridSpan w:val="6"/>
            <w:vAlign w:val="center"/>
          </w:tcPr>
          <w:p>
            <w:pPr>
              <w:spacing w:line="400" w:lineRule="exact"/>
              <w:jc w:val="center"/>
              <w:rPr>
                <w:rFonts w:ascii="宋体" w:hAnsi="宋体"/>
                <w:color w:val="auto"/>
                <w:szCs w:val="21"/>
                <w:highlight w:val="none"/>
              </w:rPr>
            </w:pPr>
          </w:p>
        </w:tc>
        <w:tc>
          <w:tcPr>
            <w:tcW w:w="1500"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职称证书编号</w:t>
            </w:r>
          </w:p>
        </w:tc>
        <w:tc>
          <w:tcPr>
            <w:tcW w:w="2324"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3192" w:type="dxa"/>
            <w:gridSpan w:val="5"/>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执业证或上岗证书名称及编号</w:t>
            </w:r>
          </w:p>
        </w:tc>
        <w:tc>
          <w:tcPr>
            <w:tcW w:w="6097" w:type="dxa"/>
            <w:gridSpan w:val="9"/>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89" w:type="dxa"/>
            <w:gridSpan w:val="14"/>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建设单位</w:t>
            </w:r>
          </w:p>
        </w:tc>
        <w:tc>
          <w:tcPr>
            <w:tcW w:w="3420" w:type="dxa"/>
            <w:gridSpan w:val="5"/>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65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建设规模</w:t>
            </w:r>
          </w:p>
        </w:tc>
        <w:tc>
          <w:tcPr>
            <w:tcW w:w="1567"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开竣工日期</w:t>
            </w:r>
          </w:p>
        </w:tc>
        <w:tc>
          <w:tcPr>
            <w:tcW w:w="109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bl>
    <w:p>
      <w:pPr>
        <w:spacing w:after="50" w:line="400" w:lineRule="exact"/>
        <w:rPr>
          <w:b/>
          <w:bCs/>
          <w:color w:val="auto"/>
          <w:sz w:val="32"/>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⑴“项目其他主要人员”指除</w:t>
      </w:r>
      <w:r>
        <w:rPr>
          <w:rFonts w:hint="eastAsia"/>
          <w:color w:val="auto"/>
          <w:highlight w:val="none"/>
        </w:rPr>
        <w:t>项目经理</w:t>
      </w:r>
      <w:r>
        <w:rPr>
          <w:rFonts w:hint="eastAsia" w:ascii="宋体" w:hAnsi="宋体"/>
          <w:color w:val="auto"/>
          <w:szCs w:val="21"/>
          <w:highlight w:val="none"/>
        </w:rPr>
        <w:t>、项目总工外实际参加本合同工程施工的项目管理、技术等方面的负责人，包括施工员、质量员、安全员、材料员等。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⑵须附上清晰可辨的身份证及相应的执业证书或上岗资格证书、毕业证书（如有）的复印件。</w:t>
      </w:r>
    </w:p>
    <w:p>
      <w:pPr>
        <w:spacing w:after="50" w:line="400" w:lineRule="exact"/>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GB2</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⑶</w:t>
      </w:r>
      <w:r>
        <w:rPr>
          <w:rFonts w:ascii="宋体" w:hAnsi="宋体"/>
          <w:color w:val="auto"/>
          <w:szCs w:val="21"/>
          <w:highlight w:val="none"/>
        </w:rPr>
        <w:fldChar w:fldCharType="end"/>
      </w:r>
      <w:r>
        <w:rPr>
          <w:rFonts w:hint="eastAsia" w:ascii="宋体" w:hAnsi="宋体"/>
          <w:color w:val="auto"/>
          <w:szCs w:val="21"/>
          <w:highlight w:val="none"/>
        </w:rPr>
        <w:t>表格不够可另行复印。</w:t>
      </w:r>
    </w:p>
    <w:p>
      <w:pPr>
        <w:jc w:val="center"/>
        <w:rPr>
          <w:rFonts w:ascii="黑体" w:eastAsia="黑体"/>
          <w:color w:val="auto"/>
          <w:sz w:val="24"/>
          <w:highlight w:val="none"/>
        </w:rPr>
      </w:pPr>
      <w:bookmarkStart w:id="207" w:name="_Toc279606793"/>
      <w:r>
        <w:rPr>
          <w:rFonts w:ascii="黑体" w:eastAsia="黑体"/>
          <w:color w:val="auto"/>
          <w:sz w:val="24"/>
          <w:highlight w:val="none"/>
        </w:rPr>
        <w:br w:type="page"/>
      </w:r>
    </w:p>
    <w:p>
      <w:pPr>
        <w:jc w:val="center"/>
        <w:rPr>
          <w:rFonts w:ascii="黑体" w:eastAsia="黑体"/>
          <w:color w:val="auto"/>
          <w:sz w:val="24"/>
          <w:highlight w:val="none"/>
        </w:rPr>
      </w:pPr>
    </w:p>
    <w:p>
      <w:pPr>
        <w:jc w:val="center"/>
        <w:rPr>
          <w:color w:val="auto"/>
          <w:highlight w:val="none"/>
        </w:rPr>
      </w:pPr>
      <w:r>
        <w:rPr>
          <w:rFonts w:ascii="黑体" w:eastAsia="黑体"/>
          <w:color w:val="auto"/>
          <w:sz w:val="24"/>
          <w:highlight w:val="none"/>
        </w:rPr>
        <w:t>㈤项目管理机构配备情况辅助说明资料</w:t>
      </w:r>
      <w:bookmarkEnd w:id="207"/>
    </w:p>
    <w:p>
      <w:pPr>
        <w:spacing w:after="50" w:line="400" w:lineRule="exact"/>
        <w:rPr>
          <w:bCs/>
          <w:color w:val="auto"/>
          <w:sz w:val="24"/>
          <w:highlight w:val="none"/>
        </w:rPr>
      </w:pPr>
    </w:p>
    <w:p>
      <w:pPr>
        <w:spacing w:line="560" w:lineRule="exact"/>
        <w:ind w:left="632" w:hanging="632" w:hangingChars="300"/>
        <w:rPr>
          <w:rFonts w:ascii="宋体" w:hAnsi="宋体"/>
          <w:b/>
          <w:color w:val="auto"/>
          <w:highlight w:val="none"/>
        </w:rPr>
      </w:pPr>
      <w:r>
        <w:rPr>
          <w:rFonts w:hint="eastAsia"/>
          <w:b/>
          <w:color w:val="auto"/>
          <w:highlight w:val="none"/>
        </w:rPr>
        <w:t>注：</w:t>
      </w:r>
    </w:p>
    <w:p>
      <w:pPr>
        <w:spacing w:line="560" w:lineRule="exact"/>
        <w:ind w:firstLine="420" w:firstLineChars="200"/>
        <w:rPr>
          <w:color w:val="auto"/>
          <w:highlight w:val="none"/>
        </w:rPr>
      </w:pPr>
      <w:r>
        <w:rPr>
          <w:rFonts w:hint="eastAsia"/>
          <w:color w:val="auto"/>
          <w:highlight w:val="none"/>
        </w:rPr>
        <w:t>⑴辅助说明资料主要包括管理机构的机构设置、职责分工、有关复印证明资料以及竞标人认为有必要提供的资料。辅助说明资料格式不做统一规定，由竞标人自行设计。</w:t>
      </w:r>
    </w:p>
    <w:p>
      <w:pPr>
        <w:spacing w:line="560" w:lineRule="exact"/>
        <w:ind w:firstLine="420" w:firstLineChars="200"/>
        <w:rPr>
          <w:color w:val="auto"/>
          <w:highlight w:val="none"/>
        </w:rPr>
      </w:pPr>
      <w:r>
        <w:rPr>
          <w:rFonts w:hint="eastAsia"/>
          <w:color w:val="auto"/>
          <w:highlight w:val="none"/>
        </w:rPr>
        <w:t>⑵项目管理班子配备情况辅助说明资料另附（与本竞标文件一起装订）。</w:t>
      </w:r>
    </w:p>
    <w:p>
      <w:pPr>
        <w:pStyle w:val="3"/>
        <w:rPr>
          <w:color w:val="auto"/>
          <w:highlight w:val="none"/>
        </w:rPr>
      </w:pPr>
      <w:r>
        <w:rPr>
          <w:rFonts w:hint="eastAsia"/>
          <w:color w:val="auto"/>
          <w:highlight w:val="none"/>
        </w:rPr>
        <w:br w:type="page"/>
      </w:r>
      <w:bookmarkStart w:id="208" w:name="_Toc24452"/>
      <w:bookmarkStart w:id="209" w:name="_Toc22669"/>
      <w:r>
        <w:rPr>
          <w:rFonts w:hint="eastAsia"/>
          <w:color w:val="auto"/>
          <w:highlight w:val="none"/>
        </w:rPr>
        <w:t>第</w:t>
      </w:r>
      <w:r>
        <w:rPr>
          <w:rFonts w:hint="eastAsia"/>
          <w:color w:val="auto"/>
          <w:highlight w:val="none"/>
          <w:lang w:eastAsia="zh-CN"/>
        </w:rPr>
        <w:t>七</w:t>
      </w:r>
      <w:r>
        <w:rPr>
          <w:rFonts w:hint="eastAsia"/>
          <w:color w:val="auto"/>
          <w:highlight w:val="none"/>
        </w:rPr>
        <w:t>章  评标办法</w:t>
      </w:r>
      <w:bookmarkEnd w:id="208"/>
      <w:bookmarkEnd w:id="209"/>
    </w:p>
    <w:p>
      <w:pPr>
        <w:spacing w:line="360" w:lineRule="exact"/>
        <w:rPr>
          <w:rFonts w:ascii="宋体" w:hAnsi="宋体"/>
          <w:b/>
          <w:bCs/>
          <w:color w:val="auto"/>
          <w:highlight w:val="none"/>
        </w:rPr>
      </w:pPr>
    </w:p>
    <w:p>
      <w:pPr>
        <w:snapToGrid w:val="0"/>
        <w:spacing w:line="500" w:lineRule="exact"/>
        <w:ind w:firstLine="316" w:firstLineChars="150"/>
        <w:rPr>
          <w:rFonts w:ascii="宋体" w:hAnsi="宋体"/>
          <w:b/>
          <w:bCs/>
          <w:color w:val="auto"/>
          <w:highlight w:val="none"/>
        </w:rPr>
      </w:pPr>
      <w:r>
        <w:rPr>
          <w:rFonts w:hint="eastAsia" w:ascii="宋体" w:hAnsi="宋体"/>
          <w:b/>
          <w:bCs/>
          <w:color w:val="auto"/>
          <w:highlight w:val="none"/>
        </w:rPr>
        <w:t>1.评标原则</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谈判小组构成：本采购项目的谈判小组分别由依法组成的评审专家、采购人代表等三人以上（含3人）的单数组成，其中专家人数不得少于成员总数的三分之二。</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评标依据：以竞争性谈判条件书、竞标文件为评标依据。</w:t>
      </w:r>
    </w:p>
    <w:p>
      <w:pPr>
        <w:snapToGrid w:val="0"/>
        <w:spacing w:line="500" w:lineRule="exact"/>
        <w:ind w:firstLine="316" w:firstLineChars="150"/>
        <w:rPr>
          <w:rFonts w:ascii="宋体" w:hAnsi="宋体"/>
          <w:b/>
          <w:bCs/>
          <w:color w:val="auto"/>
          <w:highlight w:val="none"/>
        </w:rPr>
      </w:pPr>
      <w:r>
        <w:rPr>
          <w:rFonts w:hint="eastAsia" w:ascii="宋体" w:hAnsi="宋体"/>
          <w:b/>
          <w:bCs/>
          <w:color w:val="auto"/>
          <w:highlight w:val="none"/>
        </w:rPr>
        <w:t>2.资格审查</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本工程采用资格后审的方式进行资格审查，参加本次竞标的单位均要通过资格审查才能获得进入下阶段详评资格。资格审查内容为：</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2.1有效的企业营业执照、组织机构代码证、税务登记证副本复印件（如已更换成“加载统一社会信用代码的‘三证合一’营业执照”时不需再提供组织机构代码证和税务登记）；</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2.2有效的资质证书副本；</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项目经理的身份证、注册建造师资质证书、安全生产考核合格证书（B证）；</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农民工工资保障金承诺书；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5</w:t>
      </w:r>
      <w:r>
        <w:rPr>
          <w:rFonts w:hint="eastAsia" w:ascii="宋体" w:hAnsi="宋体"/>
          <w:color w:val="auto"/>
          <w:highlight w:val="none"/>
        </w:rPr>
        <w:t>竞标保证金缴纳凭证；</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6</w:t>
      </w:r>
      <w:r>
        <w:rPr>
          <w:rFonts w:hint="eastAsia" w:ascii="宋体" w:hAnsi="宋体"/>
          <w:color w:val="auto"/>
          <w:highlight w:val="none"/>
        </w:rPr>
        <w:t>安全防护、文明施工措施方案承诺书；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7</w:t>
      </w:r>
      <w:r>
        <w:rPr>
          <w:rFonts w:hint="eastAsia" w:ascii="宋体" w:hAnsi="宋体"/>
          <w:color w:val="auto"/>
          <w:highlight w:val="none"/>
        </w:rPr>
        <w:t>项目管理机构及机械设备承诺书；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8</w:t>
      </w:r>
      <w:r>
        <w:rPr>
          <w:rFonts w:hint="eastAsia" w:ascii="宋体" w:hAnsi="宋体"/>
          <w:color w:val="auto"/>
          <w:highlight w:val="none"/>
        </w:rPr>
        <w:t xml:space="preserve"> </w:t>
      </w:r>
      <w:r>
        <w:rPr>
          <w:rFonts w:hint="eastAsia" w:ascii="宋体" w:hAnsi="宋体"/>
          <w:color w:val="auto"/>
          <w:highlight w:val="none"/>
          <w:lang w:eastAsia="zh-CN"/>
        </w:rPr>
        <w:t>竞标人需提供2019年度的财务审计报告或近季度财务报表</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9</w:t>
      </w:r>
      <w:r>
        <w:rPr>
          <w:rFonts w:hint="eastAsia" w:ascii="宋体" w:hAnsi="宋体"/>
          <w:color w:val="auto"/>
          <w:highlight w:val="none"/>
        </w:rPr>
        <w:t>在本单位缴纳的</w:t>
      </w:r>
      <w:r>
        <w:rPr>
          <w:rFonts w:hint="eastAsia" w:ascii="宋体" w:hAnsi="宋体"/>
          <w:color w:val="auto"/>
          <w:highlight w:val="none"/>
          <w:lang w:eastAsia="zh-CN"/>
        </w:rPr>
        <w:t>法定代表人、项目经理</w:t>
      </w:r>
      <w:r>
        <w:rPr>
          <w:rFonts w:hint="eastAsia" w:ascii="宋体" w:hAnsi="宋体"/>
          <w:color w:val="auto"/>
          <w:highlight w:val="none"/>
        </w:rPr>
        <w:t>的养老保险凭证（</w:t>
      </w:r>
      <w:r>
        <w:rPr>
          <w:rFonts w:hint="eastAsia" w:ascii="宋体" w:hAnsi="宋体"/>
          <w:color w:val="auto"/>
          <w:highlight w:val="none"/>
          <w:lang w:eastAsia="zh-CN"/>
        </w:rPr>
        <w:t>须提供本单位在截标之日前半年内连续三个月为其缴纳社会养老保险的缴费手册或社保机构出具的缴费清单</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10</w:t>
      </w:r>
      <w:r>
        <w:rPr>
          <w:rFonts w:hint="eastAsia" w:ascii="宋体" w:hAnsi="宋体"/>
          <w:color w:val="auto"/>
          <w:highlight w:val="none"/>
          <w:lang w:eastAsia="zh-CN"/>
        </w:rPr>
        <w:t>提交响应文件截止之日前三个月内任意一个月的依法缴纳税费证明复印件</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11</w:t>
      </w:r>
      <w:r>
        <w:rPr>
          <w:rFonts w:hint="eastAsia" w:ascii="宋体" w:hAnsi="宋体"/>
          <w:color w:val="auto"/>
          <w:highlight w:val="none"/>
        </w:rPr>
        <w:t>在“信用中国”网站(www.creditchina.gov.cn)、中国政府采购网(www.ccgp.gov.cn)等渠道未列入失信被执行人、重大税收违法案件当事人名单、政府采购严重违法失信行为记录名单查询相关信用记录，将查询结果截图加盖单位公章（查询日期为报名时间内）；</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2.1</w:t>
      </w:r>
      <w:r>
        <w:rPr>
          <w:rFonts w:hint="eastAsia" w:ascii="宋体" w:hAnsi="宋体"/>
          <w:color w:val="auto"/>
          <w:highlight w:val="none"/>
          <w:lang w:val="en-US" w:eastAsia="zh-CN"/>
        </w:rPr>
        <w:t>2</w:t>
      </w:r>
      <w:r>
        <w:rPr>
          <w:rFonts w:hint="eastAsia" w:ascii="宋体" w:hAnsi="宋体"/>
          <w:color w:val="auto"/>
          <w:highlight w:val="none"/>
        </w:rPr>
        <w:t>竞标人单位近三年内在经营活动中无重大违法记录的书面声明。</w:t>
      </w:r>
    </w:p>
    <w:p>
      <w:pPr>
        <w:snapToGrid w:val="0"/>
        <w:spacing w:line="500" w:lineRule="exact"/>
        <w:rPr>
          <w:rFonts w:hint="eastAsia" w:ascii="宋体" w:hAnsi="宋体" w:eastAsia="宋体"/>
          <w:b/>
          <w:bCs/>
          <w:color w:val="auto"/>
          <w:highlight w:val="none"/>
          <w:lang w:eastAsia="zh-CN"/>
        </w:rPr>
      </w:pPr>
      <w:r>
        <w:rPr>
          <w:rFonts w:hint="eastAsia" w:ascii="宋体" w:hAnsi="宋体"/>
          <w:b/>
          <w:bCs/>
          <w:color w:val="auto"/>
          <w:highlight w:val="none"/>
        </w:rPr>
        <w:t>上述内容新成立的企业请按实际提供，且上述内容需加盖竞标单位公章则任何一项缺或无效均会被视为资格审查不合格，作无效竞标处理</w:t>
      </w:r>
      <w:r>
        <w:rPr>
          <w:rFonts w:hint="eastAsia" w:ascii="宋体" w:hAnsi="宋体"/>
          <w:b/>
          <w:bCs/>
          <w:color w:val="auto"/>
          <w:highlight w:val="none"/>
          <w:lang w:eastAsia="zh-CN"/>
        </w:rPr>
        <w:t>。</w:t>
      </w:r>
    </w:p>
    <w:p>
      <w:pPr>
        <w:pStyle w:val="32"/>
        <w:widowControl w:val="0"/>
        <w:spacing w:before="0" w:beforeAutospacing="0" w:after="0" w:afterAutospacing="0" w:line="360" w:lineRule="exact"/>
        <w:jc w:val="both"/>
        <w:rPr>
          <w:b/>
          <w:color w:val="auto"/>
          <w:szCs w:val="21"/>
          <w:highlight w:val="none"/>
        </w:rPr>
      </w:pPr>
      <w:r>
        <w:rPr>
          <w:rFonts w:hint="eastAsia"/>
          <w:b/>
          <w:color w:val="auto"/>
          <w:kern w:val="2"/>
          <w:sz w:val="21"/>
          <w:szCs w:val="21"/>
          <w:highlight w:val="none"/>
          <w:lang w:bidi="ar"/>
        </w:rPr>
        <w:t>3.评审</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3.1本项目上限控制价：</w:t>
      </w:r>
    </w:p>
    <w:p>
      <w:pPr>
        <w:snapToGrid w:val="0"/>
        <w:spacing w:line="400" w:lineRule="exact"/>
        <w:ind w:firstLine="420" w:firstLineChars="200"/>
        <w:rPr>
          <w:rFonts w:ascii="宋体" w:hAnsi="宋体"/>
          <w:b/>
          <w:color w:val="auto"/>
          <w:kern w:val="0"/>
          <w:szCs w:val="21"/>
          <w:highlight w:val="none"/>
        </w:rPr>
      </w:pPr>
      <w:r>
        <w:rPr>
          <w:rFonts w:hint="eastAsia" w:ascii="宋体" w:hAnsi="宋体"/>
          <w:color w:val="auto"/>
          <w:kern w:val="0"/>
          <w:szCs w:val="21"/>
          <w:highlight w:val="none"/>
        </w:rPr>
        <w:t>本项目上限控制价为</w:t>
      </w:r>
      <w:r>
        <w:rPr>
          <w:rFonts w:hint="eastAsia" w:ascii="宋体" w:hAnsi="宋体"/>
          <w:b/>
          <w:bCs/>
          <w:color w:val="auto"/>
          <w:kern w:val="0"/>
          <w:szCs w:val="21"/>
          <w:highlight w:val="none"/>
        </w:rPr>
        <w:t>人民币</w:t>
      </w:r>
      <w:r>
        <w:rPr>
          <w:rFonts w:hint="eastAsia" w:ascii="宋体" w:hAnsi="宋体"/>
          <w:b/>
          <w:bCs/>
          <w:color w:val="auto"/>
          <w:kern w:val="0"/>
          <w:szCs w:val="21"/>
          <w:highlight w:val="none"/>
          <w:lang w:eastAsia="zh-CN"/>
        </w:rPr>
        <w:t>玖拾玖万零柒佰柒拾元贰角捌分（￥990770.28元）</w:t>
      </w:r>
      <w:r>
        <w:rPr>
          <w:rFonts w:hint="eastAsia" w:ascii="宋体" w:hAnsi="宋体"/>
          <w:b/>
          <w:bCs/>
          <w:color w:val="auto"/>
          <w:kern w:val="0"/>
          <w:szCs w:val="21"/>
          <w:highlight w:val="none"/>
        </w:rPr>
        <w:t>。</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3.2本项目上限控制价以</w:t>
      </w:r>
      <w:r>
        <w:rPr>
          <w:rFonts w:hint="eastAsia"/>
          <w:bCs/>
          <w:color w:val="auto"/>
          <w:highlight w:val="none"/>
        </w:rPr>
        <w:t>财政评审中心审定的结果为</w:t>
      </w:r>
      <w:r>
        <w:rPr>
          <w:rFonts w:hint="eastAsia"/>
          <w:bCs/>
          <w:color w:val="auto"/>
          <w:highlight w:val="none"/>
          <w:lang w:eastAsia="zh-CN"/>
        </w:rPr>
        <w:t>准</w:t>
      </w:r>
      <w:r>
        <w:rPr>
          <w:rFonts w:hint="eastAsia" w:ascii="宋体" w:hAnsi="宋体"/>
          <w:bCs/>
          <w:color w:val="auto"/>
          <w:szCs w:val="21"/>
          <w:highlight w:val="none"/>
        </w:rPr>
        <w:t>。有效报价范围：</w:t>
      </w:r>
      <w:r>
        <w:rPr>
          <w:rFonts w:hint="eastAsia" w:ascii="宋体" w:hAnsi="宋体" w:cs="宋体"/>
          <w:color w:val="auto"/>
          <w:szCs w:val="21"/>
          <w:highlight w:val="none"/>
        </w:rPr>
        <w:t>竞标报价等于或低于本工程上限控制价的为有效报价，高于本工程上限控制价的为无效报价，作无效竞标处理</w:t>
      </w:r>
      <w:r>
        <w:rPr>
          <w:rFonts w:hint="eastAsia" w:ascii="宋体" w:hAnsi="宋体"/>
          <w:bCs/>
          <w:color w:val="auto"/>
          <w:szCs w:val="21"/>
          <w:highlight w:val="none"/>
        </w:rPr>
        <w:t>。</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3.3初步评审：</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1）根据采购文件规定的评审程序、评审方法和评审标准进行独立评标。独立评标期间，评标专家在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竞标人。谈判小组对响应文件的有效性、完整性和响应程度进行审查，记录有关情况，并拟定谈判策略，提出谈判问题。项目审查期间，具体评标事务由依法组建的谈判小组负责,采购代理机构全程回避。</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2）正式谈判：谈判小组所有成员根据谈判策略，集中与通过初步评审的竞标人分别进行谈判，并给予所有参加谈判的竞标人平等的谈判机会，分别与每个竞标人就技术、报价组成和合同条款等进行充分的谈判，确定竞标人所提供的工程质量和服务是否能满足采购文件规定的实质性要求。谈判期间，相关监督部门对谈判过程全程进行监督，具体谈判事务由依法组建的评标委员会负责,采购代理机构进行相关谈判记录。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二次报价：谈判小组应在商务、技术和服务条件谈判后，邀请能满足竞争性谈判条件书所规定实质性要求的质量和服务的所有竞标人进行二次报价，并告知竞标人二次报价截止时间及二次报价文件编写有关规范。原则上，二次报价为最终报价。（注：竞标人的二次报价有所变动时，须提前做好相关准备并按时递交报价文件，报价高于采购人工程采购预算控制价的竞争性谈判响应文件将被拒绝。）</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3.4在评审过程中，商务标评委发现竞标人的最后报价明显低于其他竞标人的最后报价或者明显低于本项目采购控制价，使得其竞标可能低于其个别成本的，</w:t>
      </w:r>
      <w:r>
        <w:rPr>
          <w:rFonts w:hint="eastAsia" w:cs="宋体"/>
          <w:bCs/>
          <w:color w:val="auto"/>
          <w:highlight w:val="none"/>
          <w:lang w:bidi="ar"/>
        </w:rPr>
        <w:t>应要求其在规定的期限内提供书面文件予以解释说明，并提交相关证明材料，</w:t>
      </w:r>
      <w:r>
        <w:rPr>
          <w:rFonts w:hint="eastAsia" w:ascii="宋体" w:hAnsi="宋体"/>
          <w:bCs/>
          <w:color w:val="auto"/>
          <w:szCs w:val="21"/>
          <w:highlight w:val="none"/>
        </w:rPr>
        <w:t>竞标人不能合理说明或者不能提供相关证明材料的，由商务标评委认定该竞标以低于其企业成本报价，其竞标作废标处理。</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ascii="宋体" w:hAnsi="宋体"/>
          <w:b/>
          <w:color w:val="auto"/>
          <w:szCs w:val="21"/>
          <w:highlight w:val="none"/>
        </w:rPr>
        <w:t>注：</w:t>
      </w:r>
      <w:r>
        <w:rPr>
          <w:rFonts w:ascii="宋体" w:hAnsi="宋体"/>
          <w:bCs/>
          <w:color w:val="auto"/>
          <w:szCs w:val="21"/>
          <w:highlight w:val="none"/>
        </w:rPr>
        <w:t>按照《政府采购促进中小企业发展暂行办法》（财库2011）181号），认定为小型和微型企业的（以响应文件提供的符合规定的有关证明材料为准），对其最后报价给予</w:t>
      </w:r>
      <w:r>
        <w:rPr>
          <w:rFonts w:hint="eastAsia" w:ascii="宋体" w:hAnsi="宋体"/>
          <w:bCs/>
          <w:color w:val="auto"/>
          <w:szCs w:val="21"/>
          <w:highlight w:val="none"/>
          <w:lang w:val="en-US" w:eastAsia="zh-CN"/>
        </w:rPr>
        <w:t>10</w:t>
      </w:r>
      <w:r>
        <w:rPr>
          <w:rFonts w:ascii="宋体" w:hAnsi="宋体"/>
          <w:bCs/>
          <w:color w:val="auto"/>
          <w:szCs w:val="21"/>
          <w:highlight w:val="none"/>
        </w:rPr>
        <w:t>%的扣除，扣除后的价格为评审报价，即评审报价=最后报价×（1-</w:t>
      </w:r>
      <w:r>
        <w:rPr>
          <w:rFonts w:hint="eastAsia" w:ascii="宋体" w:hAnsi="宋体"/>
          <w:bCs/>
          <w:color w:val="auto"/>
          <w:szCs w:val="21"/>
          <w:highlight w:val="none"/>
          <w:lang w:val="en-US" w:eastAsia="zh-CN"/>
        </w:rPr>
        <w:t>10</w:t>
      </w:r>
      <w:r>
        <w:rPr>
          <w:rFonts w:ascii="宋体" w:hAnsi="宋体"/>
          <w:bCs/>
          <w:color w:val="auto"/>
          <w:szCs w:val="21"/>
          <w:highlight w:val="none"/>
        </w:rPr>
        <w:t>%）；大中型企业与小型、微型企业组成联合体竞标，其中小型、微型企业的协议合同金额占到联合体协议合同总金额30%以上的，联合体竞标价给予2%的扣除，扣除后的价格为评审报价，即评审报价=最后报价×（1-2%）；竞标产品提供企业按《关于政府采购支持监狱企业发展有关问题的通知》 （财库[2014]68 号）认定为监狱企业的，在政府采购活动中，监狱企业视同小型、微型企业，享受小型、微型企业评审中价格扣除的政府采购政策。监狱企业以提供由省级以上监狱管理局、戒毒管理局(含新疆生产建设兵团)出具的属于监狱企业的证明文件为准。除上述情况外，评审报价=最后报价。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tabs>
          <w:tab w:val="left" w:pos="180"/>
        </w:tabs>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lang w:bidi="ar"/>
        </w:rPr>
        <w:t>4.成交候选人推荐原则</w:t>
      </w:r>
    </w:p>
    <w:p>
      <w:pPr>
        <w:spacing w:line="400" w:lineRule="exact"/>
        <w:ind w:firstLine="420" w:firstLineChars="200"/>
        <w:rPr>
          <w:bCs/>
          <w:color w:val="auto"/>
          <w:highlight w:val="none"/>
          <w:lang w:bidi="ar"/>
        </w:rPr>
      </w:pPr>
      <w:r>
        <w:rPr>
          <w:rFonts w:hint="eastAsia"/>
          <w:bCs/>
          <w:color w:val="auto"/>
          <w:highlight w:val="none"/>
          <w:lang w:bidi="ar"/>
        </w:rPr>
        <w:t>（1）根据竞争性谈判文件规定的评审程序、评审方法和评审标准进行独立评审。评审委员会应根据质量和服务均能满足采购文件实质性响应要求的前提下，按评标报价由低到高提出3名以上成交候选人，并编写评审报告。</w:t>
      </w:r>
    </w:p>
    <w:p>
      <w:pPr>
        <w:spacing w:line="400" w:lineRule="exact"/>
        <w:ind w:firstLine="420" w:firstLineChars="200"/>
        <w:rPr>
          <w:bCs/>
          <w:color w:val="auto"/>
          <w:highlight w:val="none"/>
          <w:lang w:bidi="ar"/>
        </w:rPr>
      </w:pPr>
      <w:r>
        <w:rPr>
          <w:rFonts w:hint="eastAsia"/>
          <w:bCs/>
          <w:color w:val="auto"/>
          <w:highlight w:val="none"/>
          <w:lang w:bidi="ar"/>
        </w:rPr>
        <w:t>（2）现场校对及提醒。</w:t>
      </w:r>
    </w:p>
    <w:p>
      <w:pPr>
        <w:spacing w:line="400" w:lineRule="exact"/>
        <w:ind w:firstLine="420" w:firstLineChars="200"/>
        <w:rPr>
          <w:bCs/>
          <w:color w:val="auto"/>
          <w:highlight w:val="none"/>
          <w:lang w:bidi="ar"/>
        </w:rPr>
      </w:pPr>
      <w:r>
        <w:rPr>
          <w:rFonts w:hint="eastAsia"/>
          <w:bCs/>
          <w:color w:val="auto"/>
          <w:highlight w:val="none"/>
          <w:lang w:bidi="ar"/>
        </w:rPr>
        <w:t>采购代理机构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spacing w:line="400" w:lineRule="exact"/>
        <w:ind w:firstLine="420" w:firstLineChars="200"/>
        <w:rPr>
          <w:bCs/>
          <w:color w:val="auto"/>
          <w:highlight w:val="none"/>
          <w:lang w:bidi="ar"/>
        </w:rPr>
      </w:pPr>
      <w:r>
        <w:rPr>
          <w:rFonts w:hint="eastAsia"/>
          <w:bCs/>
          <w:color w:val="auto"/>
          <w:highlight w:val="none"/>
          <w:lang w:bidi="ar"/>
        </w:rPr>
        <w:t>竞争性谈判过程中出现多家竞标人评标价最低且相同时，应组织评标价最低的竞标人只对价格重新报价，直至评标价最低竞标人仅为一家。</w:t>
      </w:r>
    </w:p>
    <w:p>
      <w:pPr>
        <w:spacing w:line="360" w:lineRule="exact"/>
        <w:ind w:firstLine="409" w:firstLineChars="195"/>
        <w:rPr>
          <w:rFonts w:ascii="宋体" w:hAnsi="宋体" w:cs="宋体"/>
          <w:color w:val="auto"/>
          <w:highlight w:val="none"/>
        </w:rPr>
      </w:pPr>
      <w:r>
        <w:rPr>
          <w:rFonts w:hint="eastAsia"/>
          <w:bCs/>
          <w:color w:val="auto"/>
          <w:highlight w:val="none"/>
          <w:lang w:bidi="ar"/>
        </w:rPr>
        <w:t>评标工作由采购代理机构负责组织，具体评标事务由依法组建的评标委员会负责。根据评标委员会的要求组织竞标人澄清，评标委员会对竞标文件中含义不明确、同类问题表述不一致或者有明显文字和计算错误的内容，可以书面形式要求竞标人作出必要的澄清、说明或者纠正。</w:t>
      </w:r>
    </w:p>
    <w:p>
      <w:pPr>
        <w:spacing w:line="440" w:lineRule="atLeast"/>
        <w:ind w:firstLine="480" w:firstLineChars="200"/>
        <w:rPr>
          <w:rFonts w:ascii="宋体" w:hAnsi="宋体"/>
          <w:color w:val="auto"/>
          <w:sz w:val="24"/>
          <w:highlight w:val="none"/>
        </w:rPr>
      </w:pPr>
    </w:p>
    <w:p>
      <w:pPr>
        <w:spacing w:line="360" w:lineRule="exact"/>
        <w:ind w:firstLine="409" w:firstLineChars="195"/>
        <w:rPr>
          <w:rFonts w:ascii="宋体" w:hAnsi="宋体"/>
          <w:color w:val="auto"/>
          <w:highlight w:val="none"/>
        </w:rPr>
      </w:pPr>
      <w:r>
        <w:rPr>
          <w:rFonts w:hint="eastAsia" w:ascii="宋体" w:hAnsi="宋体"/>
          <w:color w:val="auto"/>
          <w:highlight w:val="none"/>
        </w:rPr>
        <w:br w:type="page"/>
      </w:r>
    </w:p>
    <w:p>
      <w:pPr>
        <w:rPr>
          <w:color w:val="auto"/>
          <w:sz w:val="24"/>
          <w:highlight w:val="none"/>
        </w:rPr>
      </w:pPr>
      <w:r>
        <w:rPr>
          <w:rFonts w:hint="eastAsia"/>
          <w:color w:val="auto"/>
          <w:sz w:val="24"/>
          <w:highlight w:val="none"/>
        </w:rPr>
        <w:t>附表1：关于退还投标保证金的函</w:t>
      </w:r>
    </w:p>
    <w:p>
      <w:pPr>
        <w:pStyle w:val="3"/>
        <w:spacing w:before="312" w:beforeLines="100" w:after="468" w:afterLines="150" w:line="360" w:lineRule="exact"/>
        <w:rPr>
          <w:rFonts w:hAnsi="宋体"/>
          <w:b/>
          <w:color w:val="auto"/>
          <w:sz w:val="24"/>
          <w:szCs w:val="24"/>
          <w:highlight w:val="none"/>
        </w:rPr>
      </w:pPr>
      <w:bookmarkStart w:id="210" w:name="_Toc31914"/>
      <w:bookmarkStart w:id="211" w:name="_Toc287886784"/>
      <w:bookmarkStart w:id="212" w:name="_Toc435288785"/>
      <w:bookmarkStart w:id="213" w:name="_Toc462395428"/>
      <w:bookmarkStart w:id="214" w:name="_Toc287018519"/>
      <w:bookmarkStart w:id="215" w:name="_Toc17041"/>
      <w:bookmarkStart w:id="216" w:name="_Toc308187518"/>
      <w:bookmarkStart w:id="217" w:name="_Toc285440864"/>
      <w:r>
        <w:rPr>
          <w:rFonts w:hint="eastAsia" w:hAnsi="宋体"/>
          <w:b/>
          <w:color w:val="auto"/>
          <w:sz w:val="24"/>
          <w:szCs w:val="24"/>
          <w:highlight w:val="none"/>
        </w:rPr>
        <w:t>关于退还投标保证金的函(格式)</w:t>
      </w:r>
      <w:bookmarkEnd w:id="210"/>
      <w:bookmarkEnd w:id="211"/>
      <w:bookmarkEnd w:id="212"/>
      <w:bookmarkEnd w:id="213"/>
      <w:bookmarkEnd w:id="214"/>
      <w:bookmarkEnd w:id="215"/>
      <w:bookmarkEnd w:id="216"/>
      <w:bookmarkEnd w:id="217"/>
    </w:p>
    <w:p>
      <w:pPr>
        <w:spacing w:line="360" w:lineRule="auto"/>
        <w:rPr>
          <w:rFonts w:ascii="宋体" w:hAnsi="宋体"/>
          <w:color w:val="auto"/>
          <w:sz w:val="24"/>
          <w:highlight w:val="none"/>
        </w:rPr>
      </w:pPr>
      <w:r>
        <w:rPr>
          <w:rFonts w:hint="eastAsia" w:ascii="宋体" w:hAnsi="宋体"/>
          <w:color w:val="auto"/>
          <w:sz w:val="24"/>
          <w:highlight w:val="none"/>
          <w:lang w:eastAsia="zh-CN"/>
        </w:rPr>
        <w:t>广西壮锦工程管理咨询有限公司</w:t>
      </w:r>
      <w:r>
        <w:rPr>
          <w:rFonts w:hint="eastAsia" w:ascii="宋体" w:hAnsi="宋体"/>
          <w:color w:val="auto"/>
          <w:sz w:val="24"/>
          <w:highlight w:val="none"/>
        </w:rPr>
        <w:t>：</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我单位于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日参加了贵公司代理的</w:t>
      </w:r>
      <w:r>
        <w:rPr>
          <w:rFonts w:hint="eastAsia" w:ascii="宋体" w:hAnsi="宋体"/>
          <w:color w:val="auto"/>
          <w:sz w:val="24"/>
          <w:highlight w:val="none"/>
          <w:u w:val="single"/>
        </w:rPr>
        <w:t xml:space="preserve">   （项目名称及标段）    项目</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）的投标，同时按采购文件规定提交了</w:t>
      </w:r>
      <w:r>
        <w:rPr>
          <w:rFonts w:hint="eastAsia" w:ascii="宋体" w:hAnsi="宋体"/>
          <w:color w:val="auto"/>
          <w:sz w:val="24"/>
          <w:highlight w:val="none"/>
          <w:u w:val="single"/>
        </w:rPr>
        <w:t xml:space="preserve">            </w:t>
      </w:r>
      <w:r>
        <w:rPr>
          <w:rFonts w:hint="eastAsia" w:ascii="宋体" w:hAnsi="宋体"/>
          <w:color w:val="auto"/>
          <w:sz w:val="24"/>
          <w:highlight w:val="none"/>
        </w:rPr>
        <w:t>元竞标保证金。</w:t>
      </w:r>
      <w:r>
        <w:rPr>
          <w:rFonts w:hint="eastAsia"/>
          <w:color w:val="auto"/>
          <w:sz w:val="24"/>
          <w:highlight w:val="none"/>
        </w:rPr>
        <w:t>现</w:t>
      </w:r>
      <w:r>
        <w:rPr>
          <w:rFonts w:hint="eastAsia" w:ascii="宋体" w:hAnsi="宋体"/>
          <w:color w:val="auto"/>
          <w:sz w:val="24"/>
          <w:highlight w:val="none"/>
        </w:rPr>
        <w:t>竞</w:t>
      </w:r>
      <w:r>
        <w:rPr>
          <w:rFonts w:hint="eastAsia"/>
          <w:color w:val="auto"/>
          <w:sz w:val="24"/>
          <w:highlight w:val="none"/>
        </w:rPr>
        <w:t>标工作已经结束，</w:t>
      </w:r>
      <w:r>
        <w:rPr>
          <w:rFonts w:hint="eastAsia" w:ascii="宋体" w:hAnsi="宋体"/>
          <w:color w:val="auto"/>
          <w:sz w:val="24"/>
          <w:highlight w:val="none"/>
        </w:rPr>
        <w:t>我单位</w:t>
      </w:r>
      <w:r>
        <w:rPr>
          <w:rFonts w:hint="eastAsia" w:ascii="宋体" w:hAnsi="宋体"/>
          <w:color w:val="auto"/>
          <w:sz w:val="24"/>
          <w:highlight w:val="none"/>
          <w:u w:val="single"/>
        </w:rPr>
        <w:t xml:space="preserve">    竞标单位名称 </w:t>
      </w:r>
      <w:r>
        <w:rPr>
          <w:rFonts w:hint="eastAsia" w:ascii="宋体" w:hAnsi="宋体"/>
          <w:color w:val="auto"/>
          <w:sz w:val="24"/>
          <w:highlight w:val="none"/>
        </w:rPr>
        <w:t xml:space="preserve"> （成交或落标）。按照采购文件规定，我单位要求贵公司退还该项目竞标保证金。</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我单位委托</w:t>
      </w:r>
      <w:r>
        <w:rPr>
          <w:rFonts w:hint="eastAsia" w:ascii="宋体" w:hAnsi="宋体"/>
          <w:color w:val="auto"/>
          <w:sz w:val="24"/>
          <w:highlight w:val="none"/>
          <w:u w:val="single"/>
        </w:rPr>
        <w:t xml:space="preserve">            </w:t>
      </w:r>
      <w:r>
        <w:rPr>
          <w:rFonts w:hint="eastAsia" w:ascii="宋体" w:hAnsi="宋体"/>
          <w:color w:val="auto"/>
          <w:sz w:val="24"/>
          <w:highlight w:val="none"/>
        </w:rPr>
        <w:t>（受托人姓名），性别：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r>
        <w:rPr>
          <w:rFonts w:hint="eastAsia" w:ascii="宋体" w:hAnsi="宋体"/>
          <w:color w:val="auto"/>
          <w:sz w:val="24"/>
          <w:highlight w:val="none"/>
        </w:rPr>
        <w:t>，全权办理退款手续。</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特此函。</w:t>
      </w:r>
    </w:p>
    <w:p>
      <w:pPr>
        <w:spacing w:line="360" w:lineRule="auto"/>
        <w:ind w:firstLine="720" w:firstLineChars="300"/>
        <w:rPr>
          <w:rFonts w:ascii="宋体" w:hAnsi="宋体"/>
          <w:color w:val="auto"/>
          <w:sz w:val="24"/>
          <w:highlight w:val="none"/>
        </w:rPr>
      </w:pP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附银行账号：</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银行账号：</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p>
    <w:p>
      <w:pPr>
        <w:spacing w:line="360" w:lineRule="auto"/>
        <w:ind w:firstLine="720" w:firstLineChars="300"/>
        <w:rPr>
          <w:rFonts w:ascii="宋体" w:hAnsi="宋体"/>
          <w:color w:val="auto"/>
          <w:sz w:val="24"/>
          <w:highlight w:val="none"/>
        </w:rPr>
      </w:pPr>
    </w:p>
    <w:p>
      <w:pPr>
        <w:spacing w:line="360" w:lineRule="auto"/>
        <w:ind w:firstLine="3480" w:firstLineChars="1450"/>
        <w:rPr>
          <w:rFonts w:ascii="宋体" w:hAnsi="宋体"/>
          <w:color w:val="auto"/>
          <w:sz w:val="24"/>
          <w:highlight w:val="none"/>
          <w:u w:val="single"/>
        </w:rPr>
      </w:pPr>
      <w:r>
        <w:rPr>
          <w:rFonts w:hint="eastAsia" w:ascii="宋体" w:hAnsi="宋体"/>
          <w:color w:val="auto"/>
          <w:sz w:val="24"/>
          <w:highlight w:val="none"/>
        </w:rPr>
        <w:t>竞标单位（盖章）：</w:t>
      </w:r>
      <w:r>
        <w:rPr>
          <w:rFonts w:hint="eastAsia" w:ascii="宋体" w:hAnsi="宋体"/>
          <w:color w:val="auto"/>
          <w:sz w:val="24"/>
          <w:highlight w:val="none"/>
          <w:u w:val="single"/>
        </w:rPr>
        <w:t xml:space="preserve">                              </w:t>
      </w:r>
    </w:p>
    <w:p>
      <w:pPr>
        <w:spacing w:line="360" w:lineRule="auto"/>
        <w:ind w:firstLine="3480" w:firstLineChars="1450"/>
        <w:rPr>
          <w:rFonts w:ascii="宋体" w:hAnsi="宋体"/>
          <w:color w:val="auto"/>
          <w:sz w:val="24"/>
          <w:highlight w:val="none"/>
          <w:u w:val="singl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hAnsi="宋体"/>
          <w:color w:val="auto"/>
          <w:sz w:val="24"/>
          <w:highlight w:val="none"/>
        </w:rPr>
      </w:pP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注：申请退保证所需要材料:</w:t>
      </w: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1）落标单位：退保函原件，保证金银行底单（到账证明，若有），开户许可证（或基本存款账户信息）。</w:t>
      </w: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2）成交单位：退保函原件，保证金银行底单（到账证明，若有），开户许可证（或基本存款账户信息），合同书。</w:t>
      </w:r>
    </w:p>
    <w:p>
      <w:pPr>
        <w:spacing w:line="360" w:lineRule="auto"/>
        <w:ind w:firstLine="588" w:firstLineChars="245"/>
        <w:rPr>
          <w:rFonts w:hint="eastAsia" w:ascii="宋体" w:hAnsi="宋体" w:eastAsia="宋体"/>
          <w:color w:val="auto"/>
          <w:sz w:val="24"/>
          <w:highlight w:val="none"/>
          <w:lang w:eastAsia="zh-CN"/>
        </w:rPr>
      </w:pPr>
      <w:r>
        <w:rPr>
          <w:rFonts w:hint="eastAsia" w:ascii="宋体" w:hAnsi="宋体"/>
          <w:color w:val="auto"/>
          <w:sz w:val="24"/>
          <w:highlight w:val="none"/>
        </w:rPr>
        <w:t>如有疑问可联系我们：电话/传真：</w:t>
      </w:r>
      <w:r>
        <w:rPr>
          <w:rFonts w:hint="eastAsia" w:ascii="宋体" w:hAnsi="宋体"/>
          <w:color w:val="auto"/>
          <w:sz w:val="24"/>
          <w:highlight w:val="none"/>
          <w:lang w:eastAsia="zh-CN"/>
        </w:rPr>
        <w:t>0776-2964446</w:t>
      </w:r>
    </w:p>
    <w:p>
      <w:pPr>
        <w:spacing w:line="360" w:lineRule="auto"/>
        <w:rPr>
          <w:b/>
          <w:color w:val="auto"/>
          <w:sz w:val="32"/>
          <w:szCs w:val="32"/>
          <w:highlight w:val="none"/>
        </w:rPr>
      </w:pPr>
    </w:p>
    <w:sectPr>
      <w:footerReference r:id="rId12" w:type="first"/>
      <w:footerReference r:id="rId11" w:type="default"/>
      <w:pgSz w:w="11906" w:h="16838"/>
      <w:pgMar w:top="1440" w:right="1083" w:bottom="1440" w:left="1083" w:header="851" w:footer="737" w:gutter="5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2"/>
      <w:rPr>
        <w:rStyle w:val="36"/>
      </w:rPr>
    </w:pPr>
    <w:r>
      <w:fldChar w:fldCharType="begin"/>
    </w:r>
    <w:r>
      <w:rPr>
        <w:rStyle w:val="36"/>
      </w:rPr>
      <w:instrText xml:space="preserve">PAGE  </w:instrText>
    </w:r>
    <w:r>
      <w:fldChar w:fldCharType="separate"/>
    </w:r>
    <w:r>
      <w:rPr>
        <w:rStyle w:val="36"/>
      </w:rPr>
      <w:t>1</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posOffset>3035300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39pt;margin-top:-0.75pt;height:144pt;width:144pt;mso-position-horizontal-relative:margin;mso-wrap-style:none;z-index:251659264;mso-width-relative:page;mso-height-relative:page;" filled="f" stroked="f" coordsize="21600,21600" o:gfxdata="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3RPF31wAAAAoBAAAP&#10;AAAAAAAAAAEAIAAAACIAAABkcnMvZG93bnJldi54bWxQSwECFAAUAAAACACHTuJAHAIF7qcBAAA/&#10;AwAADgAAAAAAAAABACAAAAAm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jc w:val="right"/>
      <w:rPr>
        <w:szCs w:val="21"/>
      </w:rPr>
    </w:pPr>
    <w:r>
      <w:rPr>
        <w:rFonts w:hint="eastAsia" w:ascii="宋体" w:hAnsi="宋体"/>
        <w:szCs w:val="21"/>
        <w:lang w:eastAsia="zh-CN"/>
      </w:rPr>
      <w:t>广西壮锦工程管理咨询有限公司</w:t>
    </w:r>
    <w:r>
      <w:rPr>
        <w:rFonts w:hint="eastAsia"/>
        <w:szCs w:val="21"/>
      </w:rPr>
      <w:t xml:space="preserve">  编制</w:t>
    </w:r>
  </w:p>
  <w:p>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p>
    <w:pPr>
      <w:jc w:val="right"/>
    </w:pPr>
    <w:r>
      <w:rPr>
        <w:rFonts w:hint="eastAsia" w:ascii="宋体" w:hAnsi="宋体"/>
        <w:szCs w:val="21"/>
        <w:lang w:eastAsia="zh-CN"/>
      </w:rPr>
      <w:t>广西壮锦工程管理咨询有限公司</w:t>
    </w:r>
    <w:r>
      <w:rPr>
        <w:rFonts w:hint="eastAsia"/>
        <w:szCs w:val="21"/>
      </w:rPr>
      <w:t xml:space="preserve">  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80" w:firstLineChars="100"/>
      <w:jc w:val="both"/>
      <w:rPr>
        <w:rFonts w:ascii="宋体" w:hAnsi="宋体"/>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58FB"/>
    <w:multiLevelType w:val="singleLevel"/>
    <w:tmpl w:val="093C58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73961"/>
    <w:rsid w:val="0046029A"/>
    <w:rsid w:val="00504DDD"/>
    <w:rsid w:val="00517F54"/>
    <w:rsid w:val="005B4AD8"/>
    <w:rsid w:val="005B69D0"/>
    <w:rsid w:val="005E51B8"/>
    <w:rsid w:val="005F3287"/>
    <w:rsid w:val="00605BC4"/>
    <w:rsid w:val="0066162F"/>
    <w:rsid w:val="006B1C55"/>
    <w:rsid w:val="00717214"/>
    <w:rsid w:val="0072415E"/>
    <w:rsid w:val="00790504"/>
    <w:rsid w:val="007A4BDD"/>
    <w:rsid w:val="00865423"/>
    <w:rsid w:val="008843A3"/>
    <w:rsid w:val="009D0AC0"/>
    <w:rsid w:val="00A959F9"/>
    <w:rsid w:val="00BB4C4C"/>
    <w:rsid w:val="00C62791"/>
    <w:rsid w:val="00C72631"/>
    <w:rsid w:val="00DB20C9"/>
    <w:rsid w:val="00F20B7C"/>
    <w:rsid w:val="010E4B29"/>
    <w:rsid w:val="01C62B90"/>
    <w:rsid w:val="01CE61B5"/>
    <w:rsid w:val="01E47739"/>
    <w:rsid w:val="029B64AF"/>
    <w:rsid w:val="02E24898"/>
    <w:rsid w:val="02E90EA4"/>
    <w:rsid w:val="030662BA"/>
    <w:rsid w:val="033A4166"/>
    <w:rsid w:val="0352511C"/>
    <w:rsid w:val="0369540D"/>
    <w:rsid w:val="036F1CBD"/>
    <w:rsid w:val="03723E7B"/>
    <w:rsid w:val="0374449F"/>
    <w:rsid w:val="044370C8"/>
    <w:rsid w:val="04462FE2"/>
    <w:rsid w:val="044F26C5"/>
    <w:rsid w:val="0462408B"/>
    <w:rsid w:val="04730B19"/>
    <w:rsid w:val="04A36A0C"/>
    <w:rsid w:val="04ED0757"/>
    <w:rsid w:val="05261254"/>
    <w:rsid w:val="057B5FB5"/>
    <w:rsid w:val="059A33EA"/>
    <w:rsid w:val="05A10B3A"/>
    <w:rsid w:val="05AD583B"/>
    <w:rsid w:val="05BA510D"/>
    <w:rsid w:val="05BF53F0"/>
    <w:rsid w:val="06033B28"/>
    <w:rsid w:val="063D19D2"/>
    <w:rsid w:val="06511C06"/>
    <w:rsid w:val="06607ACF"/>
    <w:rsid w:val="06684C2A"/>
    <w:rsid w:val="06967E94"/>
    <w:rsid w:val="069F6138"/>
    <w:rsid w:val="06A03C72"/>
    <w:rsid w:val="06DB5E70"/>
    <w:rsid w:val="06EC17A6"/>
    <w:rsid w:val="072971FE"/>
    <w:rsid w:val="07894CDD"/>
    <w:rsid w:val="078F6C03"/>
    <w:rsid w:val="079A13E2"/>
    <w:rsid w:val="07A34271"/>
    <w:rsid w:val="07B20906"/>
    <w:rsid w:val="07BF6853"/>
    <w:rsid w:val="07E75E33"/>
    <w:rsid w:val="08140FE1"/>
    <w:rsid w:val="087874D4"/>
    <w:rsid w:val="08A83672"/>
    <w:rsid w:val="090140F0"/>
    <w:rsid w:val="09376488"/>
    <w:rsid w:val="094A7DFE"/>
    <w:rsid w:val="095F663E"/>
    <w:rsid w:val="096622F0"/>
    <w:rsid w:val="09C86139"/>
    <w:rsid w:val="09DA45EC"/>
    <w:rsid w:val="09DF78FB"/>
    <w:rsid w:val="09FC6853"/>
    <w:rsid w:val="0A652543"/>
    <w:rsid w:val="0A8846CB"/>
    <w:rsid w:val="0A8C7B21"/>
    <w:rsid w:val="0A976C72"/>
    <w:rsid w:val="0ABF4AD5"/>
    <w:rsid w:val="0B040AD7"/>
    <w:rsid w:val="0B3D3F64"/>
    <w:rsid w:val="0B456053"/>
    <w:rsid w:val="0B4700FC"/>
    <w:rsid w:val="0B51141A"/>
    <w:rsid w:val="0B5B495B"/>
    <w:rsid w:val="0B645C3E"/>
    <w:rsid w:val="0B8947A0"/>
    <w:rsid w:val="0C1E6C50"/>
    <w:rsid w:val="0C4A74A7"/>
    <w:rsid w:val="0C6F692F"/>
    <w:rsid w:val="0C845D76"/>
    <w:rsid w:val="0CC72359"/>
    <w:rsid w:val="0CCF2370"/>
    <w:rsid w:val="0CDF6ECC"/>
    <w:rsid w:val="0D2F32D8"/>
    <w:rsid w:val="0D3D74B8"/>
    <w:rsid w:val="0D933EE7"/>
    <w:rsid w:val="0DA21756"/>
    <w:rsid w:val="0DA24947"/>
    <w:rsid w:val="0DAB331F"/>
    <w:rsid w:val="0DF05B50"/>
    <w:rsid w:val="0DF8554E"/>
    <w:rsid w:val="0E210F46"/>
    <w:rsid w:val="0E2225CE"/>
    <w:rsid w:val="0E2E67A7"/>
    <w:rsid w:val="0E3C6460"/>
    <w:rsid w:val="0E89137E"/>
    <w:rsid w:val="0E993608"/>
    <w:rsid w:val="0E9B5966"/>
    <w:rsid w:val="0ECF1AAA"/>
    <w:rsid w:val="0F0E50EC"/>
    <w:rsid w:val="0F2D762C"/>
    <w:rsid w:val="0F7629B6"/>
    <w:rsid w:val="0F7645F0"/>
    <w:rsid w:val="0FF97CA3"/>
    <w:rsid w:val="101C003E"/>
    <w:rsid w:val="1040357D"/>
    <w:rsid w:val="10B833FC"/>
    <w:rsid w:val="10C677A3"/>
    <w:rsid w:val="10DB5C04"/>
    <w:rsid w:val="10F924CF"/>
    <w:rsid w:val="110D6E6E"/>
    <w:rsid w:val="11424AE3"/>
    <w:rsid w:val="11BF3E3A"/>
    <w:rsid w:val="11DA4C12"/>
    <w:rsid w:val="11DF2321"/>
    <w:rsid w:val="125940AD"/>
    <w:rsid w:val="12601D00"/>
    <w:rsid w:val="12A91E26"/>
    <w:rsid w:val="12D710FF"/>
    <w:rsid w:val="12E87B8B"/>
    <w:rsid w:val="131D4A3F"/>
    <w:rsid w:val="13422291"/>
    <w:rsid w:val="13720A71"/>
    <w:rsid w:val="137A0343"/>
    <w:rsid w:val="13926F9B"/>
    <w:rsid w:val="13E7084F"/>
    <w:rsid w:val="13F00B1B"/>
    <w:rsid w:val="141D731F"/>
    <w:rsid w:val="142958B6"/>
    <w:rsid w:val="14390273"/>
    <w:rsid w:val="14487E00"/>
    <w:rsid w:val="144C77D5"/>
    <w:rsid w:val="14A81F17"/>
    <w:rsid w:val="14CC3BE9"/>
    <w:rsid w:val="1530422A"/>
    <w:rsid w:val="15AC4E64"/>
    <w:rsid w:val="15C50676"/>
    <w:rsid w:val="15D5677D"/>
    <w:rsid w:val="15F539B0"/>
    <w:rsid w:val="161B3C4A"/>
    <w:rsid w:val="167809E6"/>
    <w:rsid w:val="16801164"/>
    <w:rsid w:val="16845DB3"/>
    <w:rsid w:val="16975966"/>
    <w:rsid w:val="169A1465"/>
    <w:rsid w:val="16A13D63"/>
    <w:rsid w:val="16A354F0"/>
    <w:rsid w:val="16CA286E"/>
    <w:rsid w:val="16FB695A"/>
    <w:rsid w:val="175B6BAF"/>
    <w:rsid w:val="177631F9"/>
    <w:rsid w:val="178624AA"/>
    <w:rsid w:val="17921398"/>
    <w:rsid w:val="179922C6"/>
    <w:rsid w:val="17C83FE1"/>
    <w:rsid w:val="17E77D97"/>
    <w:rsid w:val="17F37041"/>
    <w:rsid w:val="18031E37"/>
    <w:rsid w:val="1814017A"/>
    <w:rsid w:val="18156559"/>
    <w:rsid w:val="183128F7"/>
    <w:rsid w:val="185109EE"/>
    <w:rsid w:val="186A5EB3"/>
    <w:rsid w:val="1879054F"/>
    <w:rsid w:val="188D5CAE"/>
    <w:rsid w:val="18D6638C"/>
    <w:rsid w:val="18F048D0"/>
    <w:rsid w:val="18FF30AE"/>
    <w:rsid w:val="190E3DDF"/>
    <w:rsid w:val="19204C80"/>
    <w:rsid w:val="19315DFF"/>
    <w:rsid w:val="19EA2A45"/>
    <w:rsid w:val="19F7256A"/>
    <w:rsid w:val="1A3D01D7"/>
    <w:rsid w:val="1A4F2BBB"/>
    <w:rsid w:val="1A7F7076"/>
    <w:rsid w:val="1AD84F8B"/>
    <w:rsid w:val="1AFB4A0D"/>
    <w:rsid w:val="1AFC0EDD"/>
    <w:rsid w:val="1B2B6687"/>
    <w:rsid w:val="1B6C3C20"/>
    <w:rsid w:val="1BDF4B26"/>
    <w:rsid w:val="1C0627E3"/>
    <w:rsid w:val="1C17728B"/>
    <w:rsid w:val="1C1C2D26"/>
    <w:rsid w:val="1C3F2F44"/>
    <w:rsid w:val="1C7450D5"/>
    <w:rsid w:val="1C9C3D89"/>
    <w:rsid w:val="1CB243DD"/>
    <w:rsid w:val="1CC7664B"/>
    <w:rsid w:val="1CCC210F"/>
    <w:rsid w:val="1CD23F0C"/>
    <w:rsid w:val="1CD86DA7"/>
    <w:rsid w:val="1CDF02A0"/>
    <w:rsid w:val="1CDF26A1"/>
    <w:rsid w:val="1CF22F0D"/>
    <w:rsid w:val="1D0E5D6D"/>
    <w:rsid w:val="1D351ED5"/>
    <w:rsid w:val="1D58226C"/>
    <w:rsid w:val="1D645843"/>
    <w:rsid w:val="1D690660"/>
    <w:rsid w:val="1DB6613A"/>
    <w:rsid w:val="1DEA73DE"/>
    <w:rsid w:val="1DFA21E5"/>
    <w:rsid w:val="1E0367BA"/>
    <w:rsid w:val="1E150B3D"/>
    <w:rsid w:val="1E155375"/>
    <w:rsid w:val="1E31058B"/>
    <w:rsid w:val="1E36749C"/>
    <w:rsid w:val="1E4733EA"/>
    <w:rsid w:val="1E6A62F0"/>
    <w:rsid w:val="1E9902AC"/>
    <w:rsid w:val="1ECA38CE"/>
    <w:rsid w:val="1EE87F48"/>
    <w:rsid w:val="1F250750"/>
    <w:rsid w:val="1F406C19"/>
    <w:rsid w:val="1F490CE4"/>
    <w:rsid w:val="1F4D70C1"/>
    <w:rsid w:val="1F7E5570"/>
    <w:rsid w:val="1FB54471"/>
    <w:rsid w:val="1FD70B73"/>
    <w:rsid w:val="1FE53ECD"/>
    <w:rsid w:val="200F5E69"/>
    <w:rsid w:val="202E2605"/>
    <w:rsid w:val="2040499B"/>
    <w:rsid w:val="205B6E67"/>
    <w:rsid w:val="20C70411"/>
    <w:rsid w:val="210E3D64"/>
    <w:rsid w:val="211203E5"/>
    <w:rsid w:val="218315CB"/>
    <w:rsid w:val="21C57586"/>
    <w:rsid w:val="21CF4843"/>
    <w:rsid w:val="22CC2A91"/>
    <w:rsid w:val="22CE4607"/>
    <w:rsid w:val="2307457D"/>
    <w:rsid w:val="2316674D"/>
    <w:rsid w:val="233A4595"/>
    <w:rsid w:val="23C430AA"/>
    <w:rsid w:val="23C62E49"/>
    <w:rsid w:val="23CA1DAE"/>
    <w:rsid w:val="23D331E7"/>
    <w:rsid w:val="23E90175"/>
    <w:rsid w:val="23F87438"/>
    <w:rsid w:val="241D2F78"/>
    <w:rsid w:val="24931542"/>
    <w:rsid w:val="24C23BAE"/>
    <w:rsid w:val="25045B85"/>
    <w:rsid w:val="2509191B"/>
    <w:rsid w:val="252C15CA"/>
    <w:rsid w:val="255150F8"/>
    <w:rsid w:val="25761409"/>
    <w:rsid w:val="25AD0DFB"/>
    <w:rsid w:val="25F22B1E"/>
    <w:rsid w:val="26076E67"/>
    <w:rsid w:val="26627A4E"/>
    <w:rsid w:val="26934FB2"/>
    <w:rsid w:val="26B71CF4"/>
    <w:rsid w:val="26C2058D"/>
    <w:rsid w:val="26E06665"/>
    <w:rsid w:val="26EB1EA2"/>
    <w:rsid w:val="2717057E"/>
    <w:rsid w:val="27433E81"/>
    <w:rsid w:val="278134B3"/>
    <w:rsid w:val="278E0CC3"/>
    <w:rsid w:val="27B74664"/>
    <w:rsid w:val="27CB1722"/>
    <w:rsid w:val="27CC0A63"/>
    <w:rsid w:val="27E84B22"/>
    <w:rsid w:val="27EA628F"/>
    <w:rsid w:val="28221C67"/>
    <w:rsid w:val="285C086B"/>
    <w:rsid w:val="28630A97"/>
    <w:rsid w:val="288F77CE"/>
    <w:rsid w:val="28CE1480"/>
    <w:rsid w:val="290C6988"/>
    <w:rsid w:val="290E0273"/>
    <w:rsid w:val="29744423"/>
    <w:rsid w:val="299A0DB6"/>
    <w:rsid w:val="29A7393A"/>
    <w:rsid w:val="29C850F8"/>
    <w:rsid w:val="29C85E36"/>
    <w:rsid w:val="2A400BCC"/>
    <w:rsid w:val="2A516D9B"/>
    <w:rsid w:val="2A664D9E"/>
    <w:rsid w:val="2A8760BC"/>
    <w:rsid w:val="2ACE7323"/>
    <w:rsid w:val="2AD52E57"/>
    <w:rsid w:val="2AD64CA8"/>
    <w:rsid w:val="2AF56723"/>
    <w:rsid w:val="2B024500"/>
    <w:rsid w:val="2B33691F"/>
    <w:rsid w:val="2B4A4636"/>
    <w:rsid w:val="2B4C3B94"/>
    <w:rsid w:val="2BC65F36"/>
    <w:rsid w:val="2BF73333"/>
    <w:rsid w:val="2C0A4511"/>
    <w:rsid w:val="2C116CAE"/>
    <w:rsid w:val="2C2325C0"/>
    <w:rsid w:val="2C662086"/>
    <w:rsid w:val="2C716C13"/>
    <w:rsid w:val="2CCC53FC"/>
    <w:rsid w:val="2CDD79CB"/>
    <w:rsid w:val="2CE15A9C"/>
    <w:rsid w:val="2D136D71"/>
    <w:rsid w:val="2D2231AD"/>
    <w:rsid w:val="2D303AB2"/>
    <w:rsid w:val="2D41412A"/>
    <w:rsid w:val="2D64511A"/>
    <w:rsid w:val="2DDE05BC"/>
    <w:rsid w:val="2E3273AE"/>
    <w:rsid w:val="2E553BA4"/>
    <w:rsid w:val="2EC776EE"/>
    <w:rsid w:val="2ED23ABB"/>
    <w:rsid w:val="2EE471A2"/>
    <w:rsid w:val="2F1635F1"/>
    <w:rsid w:val="2F226CE4"/>
    <w:rsid w:val="2F290D96"/>
    <w:rsid w:val="2F640259"/>
    <w:rsid w:val="2F8F4D7D"/>
    <w:rsid w:val="2FB57826"/>
    <w:rsid w:val="2FDF2931"/>
    <w:rsid w:val="306057C8"/>
    <w:rsid w:val="30670E8C"/>
    <w:rsid w:val="30BE0DD5"/>
    <w:rsid w:val="30CC7B2A"/>
    <w:rsid w:val="312D3A8E"/>
    <w:rsid w:val="314F5C7B"/>
    <w:rsid w:val="3159626E"/>
    <w:rsid w:val="317C187F"/>
    <w:rsid w:val="320F73D1"/>
    <w:rsid w:val="32113DAC"/>
    <w:rsid w:val="324E08A5"/>
    <w:rsid w:val="325123BF"/>
    <w:rsid w:val="3269483E"/>
    <w:rsid w:val="32774BBD"/>
    <w:rsid w:val="32895B38"/>
    <w:rsid w:val="32A5245C"/>
    <w:rsid w:val="33284807"/>
    <w:rsid w:val="332A1CB2"/>
    <w:rsid w:val="33332871"/>
    <w:rsid w:val="33924AB7"/>
    <w:rsid w:val="33AA4117"/>
    <w:rsid w:val="33D40226"/>
    <w:rsid w:val="33FD0487"/>
    <w:rsid w:val="343C3139"/>
    <w:rsid w:val="34484331"/>
    <w:rsid w:val="345B57F2"/>
    <w:rsid w:val="34863BE9"/>
    <w:rsid w:val="349B2988"/>
    <w:rsid w:val="34CE3FA5"/>
    <w:rsid w:val="34DC2644"/>
    <w:rsid w:val="353F2A5C"/>
    <w:rsid w:val="354F7589"/>
    <w:rsid w:val="355A66E9"/>
    <w:rsid w:val="358E639E"/>
    <w:rsid w:val="35B85FAB"/>
    <w:rsid w:val="3627141B"/>
    <w:rsid w:val="36701FD1"/>
    <w:rsid w:val="3679196D"/>
    <w:rsid w:val="36931F19"/>
    <w:rsid w:val="36AB4544"/>
    <w:rsid w:val="36BC34B6"/>
    <w:rsid w:val="36C52E6C"/>
    <w:rsid w:val="36DE58E1"/>
    <w:rsid w:val="37717092"/>
    <w:rsid w:val="378F6A79"/>
    <w:rsid w:val="37A22E74"/>
    <w:rsid w:val="37C32097"/>
    <w:rsid w:val="38441A82"/>
    <w:rsid w:val="385022FA"/>
    <w:rsid w:val="3874432F"/>
    <w:rsid w:val="387D06A6"/>
    <w:rsid w:val="389D29FE"/>
    <w:rsid w:val="392C3AB6"/>
    <w:rsid w:val="396B7CE0"/>
    <w:rsid w:val="397D769B"/>
    <w:rsid w:val="398F5452"/>
    <w:rsid w:val="39AA72D0"/>
    <w:rsid w:val="39D24E4D"/>
    <w:rsid w:val="39D7506C"/>
    <w:rsid w:val="3A0E1803"/>
    <w:rsid w:val="3A2B208D"/>
    <w:rsid w:val="3A35774F"/>
    <w:rsid w:val="3AB77FC8"/>
    <w:rsid w:val="3ABE2740"/>
    <w:rsid w:val="3AC847CD"/>
    <w:rsid w:val="3AEA73B2"/>
    <w:rsid w:val="3AEB08DA"/>
    <w:rsid w:val="3AFB416B"/>
    <w:rsid w:val="3B11532A"/>
    <w:rsid w:val="3B381787"/>
    <w:rsid w:val="3B6A6CB6"/>
    <w:rsid w:val="3B76418F"/>
    <w:rsid w:val="3B766B62"/>
    <w:rsid w:val="3B993C9E"/>
    <w:rsid w:val="3BD450E0"/>
    <w:rsid w:val="3BD809C1"/>
    <w:rsid w:val="3BF8362B"/>
    <w:rsid w:val="3C032760"/>
    <w:rsid w:val="3C380B54"/>
    <w:rsid w:val="3C3C1DAF"/>
    <w:rsid w:val="3C6300CC"/>
    <w:rsid w:val="3C6341D4"/>
    <w:rsid w:val="3C8C0F54"/>
    <w:rsid w:val="3C8D2773"/>
    <w:rsid w:val="3CB35B1E"/>
    <w:rsid w:val="3CB53ACA"/>
    <w:rsid w:val="3CF5789B"/>
    <w:rsid w:val="3D07304C"/>
    <w:rsid w:val="3D0F4D3F"/>
    <w:rsid w:val="3D2B224D"/>
    <w:rsid w:val="3D3E51BA"/>
    <w:rsid w:val="3D6C7613"/>
    <w:rsid w:val="3D6E28A4"/>
    <w:rsid w:val="3D9C1027"/>
    <w:rsid w:val="3DBC2116"/>
    <w:rsid w:val="3DC35F9B"/>
    <w:rsid w:val="3E544310"/>
    <w:rsid w:val="3E6C7AFB"/>
    <w:rsid w:val="3E8C42E1"/>
    <w:rsid w:val="3E9A4EC3"/>
    <w:rsid w:val="3E9A618F"/>
    <w:rsid w:val="3EA4330C"/>
    <w:rsid w:val="3EAA6C97"/>
    <w:rsid w:val="3EC05A07"/>
    <w:rsid w:val="3EDF51F8"/>
    <w:rsid w:val="3F247247"/>
    <w:rsid w:val="3F2A2152"/>
    <w:rsid w:val="3F2C3AFB"/>
    <w:rsid w:val="3F493289"/>
    <w:rsid w:val="3FA5265A"/>
    <w:rsid w:val="3FCA0EA6"/>
    <w:rsid w:val="3FDA3953"/>
    <w:rsid w:val="40082C72"/>
    <w:rsid w:val="40190EDB"/>
    <w:rsid w:val="403F5D7C"/>
    <w:rsid w:val="40686CA4"/>
    <w:rsid w:val="406969A6"/>
    <w:rsid w:val="40C00C6C"/>
    <w:rsid w:val="40CD3963"/>
    <w:rsid w:val="41191F78"/>
    <w:rsid w:val="4126208E"/>
    <w:rsid w:val="413B76B7"/>
    <w:rsid w:val="413E148F"/>
    <w:rsid w:val="41DA165E"/>
    <w:rsid w:val="41F611FD"/>
    <w:rsid w:val="42180610"/>
    <w:rsid w:val="421D13E8"/>
    <w:rsid w:val="42306D2E"/>
    <w:rsid w:val="4233720F"/>
    <w:rsid w:val="427D7AA6"/>
    <w:rsid w:val="42EC388D"/>
    <w:rsid w:val="42F71614"/>
    <w:rsid w:val="42FC0077"/>
    <w:rsid w:val="43040828"/>
    <w:rsid w:val="430F163F"/>
    <w:rsid w:val="4311166F"/>
    <w:rsid w:val="43596B1C"/>
    <w:rsid w:val="436B11CB"/>
    <w:rsid w:val="437C0601"/>
    <w:rsid w:val="437F7EE5"/>
    <w:rsid w:val="439B0820"/>
    <w:rsid w:val="43A129E2"/>
    <w:rsid w:val="43B131BD"/>
    <w:rsid w:val="43F12C3B"/>
    <w:rsid w:val="4429242D"/>
    <w:rsid w:val="444F4CA0"/>
    <w:rsid w:val="446F65F7"/>
    <w:rsid w:val="44763774"/>
    <w:rsid w:val="448A4736"/>
    <w:rsid w:val="44982FA0"/>
    <w:rsid w:val="44E671EA"/>
    <w:rsid w:val="44ED2253"/>
    <w:rsid w:val="45115248"/>
    <w:rsid w:val="45360BC0"/>
    <w:rsid w:val="45484E5C"/>
    <w:rsid w:val="45612A2C"/>
    <w:rsid w:val="45641C69"/>
    <w:rsid w:val="458352CD"/>
    <w:rsid w:val="458C465B"/>
    <w:rsid w:val="45A53EBE"/>
    <w:rsid w:val="45F72DC7"/>
    <w:rsid w:val="4609181D"/>
    <w:rsid w:val="460B62AB"/>
    <w:rsid w:val="461863FF"/>
    <w:rsid w:val="465027CB"/>
    <w:rsid w:val="4664238B"/>
    <w:rsid w:val="46855ECA"/>
    <w:rsid w:val="46C85F32"/>
    <w:rsid w:val="471163C5"/>
    <w:rsid w:val="472777C9"/>
    <w:rsid w:val="473A1F78"/>
    <w:rsid w:val="474B6EC1"/>
    <w:rsid w:val="47694DD9"/>
    <w:rsid w:val="47732A00"/>
    <w:rsid w:val="47747CE2"/>
    <w:rsid w:val="47824A44"/>
    <w:rsid w:val="47BC4D91"/>
    <w:rsid w:val="47C00FED"/>
    <w:rsid w:val="47E20FC3"/>
    <w:rsid w:val="47F67AB2"/>
    <w:rsid w:val="48182CF5"/>
    <w:rsid w:val="4877260B"/>
    <w:rsid w:val="487D7512"/>
    <w:rsid w:val="48C07894"/>
    <w:rsid w:val="48C40499"/>
    <w:rsid w:val="48E15BE4"/>
    <w:rsid w:val="49CA7BB7"/>
    <w:rsid w:val="49DE3E58"/>
    <w:rsid w:val="49E91174"/>
    <w:rsid w:val="4A016B9C"/>
    <w:rsid w:val="4A3D4186"/>
    <w:rsid w:val="4AB57E28"/>
    <w:rsid w:val="4AC60AFA"/>
    <w:rsid w:val="4AE734B0"/>
    <w:rsid w:val="4B4D5CDA"/>
    <w:rsid w:val="4B7B0EFB"/>
    <w:rsid w:val="4BA033FE"/>
    <w:rsid w:val="4BB2474D"/>
    <w:rsid w:val="4BC979B2"/>
    <w:rsid w:val="4C1A3F1E"/>
    <w:rsid w:val="4C74186A"/>
    <w:rsid w:val="4C7B588E"/>
    <w:rsid w:val="4C800575"/>
    <w:rsid w:val="4C840C93"/>
    <w:rsid w:val="4CB04729"/>
    <w:rsid w:val="4CF44C07"/>
    <w:rsid w:val="4D046FF3"/>
    <w:rsid w:val="4D1D4874"/>
    <w:rsid w:val="4D4C55E3"/>
    <w:rsid w:val="4D716432"/>
    <w:rsid w:val="4D81280D"/>
    <w:rsid w:val="4DA10ED8"/>
    <w:rsid w:val="4DE16B32"/>
    <w:rsid w:val="4DE258ED"/>
    <w:rsid w:val="4E140CF5"/>
    <w:rsid w:val="4E6F045B"/>
    <w:rsid w:val="4E780F47"/>
    <w:rsid w:val="4E833FF7"/>
    <w:rsid w:val="4EAB2BCA"/>
    <w:rsid w:val="4EAE70BC"/>
    <w:rsid w:val="4ED15D64"/>
    <w:rsid w:val="4EEE5346"/>
    <w:rsid w:val="4F015808"/>
    <w:rsid w:val="4F123A03"/>
    <w:rsid w:val="4F3F7304"/>
    <w:rsid w:val="4F636A18"/>
    <w:rsid w:val="4F777EA3"/>
    <w:rsid w:val="4F96464C"/>
    <w:rsid w:val="4FBE0B5E"/>
    <w:rsid w:val="4FCC551C"/>
    <w:rsid w:val="4FD33FDC"/>
    <w:rsid w:val="4FE633AB"/>
    <w:rsid w:val="50171D3E"/>
    <w:rsid w:val="503F5133"/>
    <w:rsid w:val="506921BB"/>
    <w:rsid w:val="50715899"/>
    <w:rsid w:val="50897065"/>
    <w:rsid w:val="50C74FD9"/>
    <w:rsid w:val="50ED3EE1"/>
    <w:rsid w:val="50F666E6"/>
    <w:rsid w:val="510E120D"/>
    <w:rsid w:val="514C7ED8"/>
    <w:rsid w:val="51676159"/>
    <w:rsid w:val="51BA10F1"/>
    <w:rsid w:val="51DB0051"/>
    <w:rsid w:val="524040F2"/>
    <w:rsid w:val="52542107"/>
    <w:rsid w:val="526D5826"/>
    <w:rsid w:val="52777E3B"/>
    <w:rsid w:val="527C12B9"/>
    <w:rsid w:val="52C3702A"/>
    <w:rsid w:val="52FD3457"/>
    <w:rsid w:val="530E775F"/>
    <w:rsid w:val="532550EE"/>
    <w:rsid w:val="536B35D9"/>
    <w:rsid w:val="53787C7A"/>
    <w:rsid w:val="53B11D19"/>
    <w:rsid w:val="53B7773D"/>
    <w:rsid w:val="53C77FFD"/>
    <w:rsid w:val="53F6658B"/>
    <w:rsid w:val="540141E6"/>
    <w:rsid w:val="54017FB1"/>
    <w:rsid w:val="54281B53"/>
    <w:rsid w:val="5453161C"/>
    <w:rsid w:val="545322FE"/>
    <w:rsid w:val="54542CDD"/>
    <w:rsid w:val="54577274"/>
    <w:rsid w:val="546F1B7F"/>
    <w:rsid w:val="54C7643F"/>
    <w:rsid w:val="54C95308"/>
    <w:rsid w:val="54CF341D"/>
    <w:rsid w:val="54DE5C8C"/>
    <w:rsid w:val="54F94F88"/>
    <w:rsid w:val="54FB733F"/>
    <w:rsid w:val="54FE7F22"/>
    <w:rsid w:val="551E5559"/>
    <w:rsid w:val="552A23AD"/>
    <w:rsid w:val="554519DC"/>
    <w:rsid w:val="55720325"/>
    <w:rsid w:val="5599685E"/>
    <w:rsid w:val="55C144D3"/>
    <w:rsid w:val="55F96283"/>
    <w:rsid w:val="563B059D"/>
    <w:rsid w:val="5665199C"/>
    <w:rsid w:val="568347CE"/>
    <w:rsid w:val="56892D3A"/>
    <w:rsid w:val="56A57868"/>
    <w:rsid w:val="56E604D2"/>
    <w:rsid w:val="57280230"/>
    <w:rsid w:val="572A59FC"/>
    <w:rsid w:val="572B3670"/>
    <w:rsid w:val="577C0093"/>
    <w:rsid w:val="57800A72"/>
    <w:rsid w:val="5795203D"/>
    <w:rsid w:val="579F3261"/>
    <w:rsid w:val="5805298E"/>
    <w:rsid w:val="5817737A"/>
    <w:rsid w:val="589751C8"/>
    <w:rsid w:val="58B22DB5"/>
    <w:rsid w:val="58DB4AFB"/>
    <w:rsid w:val="58DD103F"/>
    <w:rsid w:val="590B7284"/>
    <w:rsid w:val="59C40AAA"/>
    <w:rsid w:val="59C83EE1"/>
    <w:rsid w:val="59E20255"/>
    <w:rsid w:val="59FC07EA"/>
    <w:rsid w:val="5A320CDB"/>
    <w:rsid w:val="5A4E6CE0"/>
    <w:rsid w:val="5A942975"/>
    <w:rsid w:val="5ABB56C0"/>
    <w:rsid w:val="5AD50A7A"/>
    <w:rsid w:val="5AD62421"/>
    <w:rsid w:val="5AEC7CE7"/>
    <w:rsid w:val="5B0052A6"/>
    <w:rsid w:val="5B4E6D6C"/>
    <w:rsid w:val="5B606DC9"/>
    <w:rsid w:val="5B7951D4"/>
    <w:rsid w:val="5B7B6755"/>
    <w:rsid w:val="5BF15DBF"/>
    <w:rsid w:val="5C24315D"/>
    <w:rsid w:val="5C46204F"/>
    <w:rsid w:val="5C492EB2"/>
    <w:rsid w:val="5C531930"/>
    <w:rsid w:val="5C917EC2"/>
    <w:rsid w:val="5C995F2A"/>
    <w:rsid w:val="5CD52CBB"/>
    <w:rsid w:val="5D0E4A17"/>
    <w:rsid w:val="5D2E3E11"/>
    <w:rsid w:val="5D763BE1"/>
    <w:rsid w:val="5D7942B7"/>
    <w:rsid w:val="5D8318C7"/>
    <w:rsid w:val="5DDA3D9F"/>
    <w:rsid w:val="5DF077BC"/>
    <w:rsid w:val="5E41073D"/>
    <w:rsid w:val="5E4974EE"/>
    <w:rsid w:val="5E622E4A"/>
    <w:rsid w:val="5E845A65"/>
    <w:rsid w:val="5EA5302F"/>
    <w:rsid w:val="5EE428B7"/>
    <w:rsid w:val="5EF374D4"/>
    <w:rsid w:val="5EF8774B"/>
    <w:rsid w:val="5F125C9C"/>
    <w:rsid w:val="5F167CD1"/>
    <w:rsid w:val="5F4D3042"/>
    <w:rsid w:val="5F5A758E"/>
    <w:rsid w:val="5F736AE6"/>
    <w:rsid w:val="5F99799A"/>
    <w:rsid w:val="5FA065C7"/>
    <w:rsid w:val="5FA84C27"/>
    <w:rsid w:val="5FC33ACF"/>
    <w:rsid w:val="60375E06"/>
    <w:rsid w:val="60926EA7"/>
    <w:rsid w:val="60A56A43"/>
    <w:rsid w:val="60B03F90"/>
    <w:rsid w:val="60DD13E9"/>
    <w:rsid w:val="60E939A8"/>
    <w:rsid w:val="610141AE"/>
    <w:rsid w:val="619735E7"/>
    <w:rsid w:val="619D0E8D"/>
    <w:rsid w:val="61C478B9"/>
    <w:rsid w:val="61C840B3"/>
    <w:rsid w:val="61ED0108"/>
    <w:rsid w:val="623604B7"/>
    <w:rsid w:val="62AC5A4F"/>
    <w:rsid w:val="62B62D4A"/>
    <w:rsid w:val="62C764F2"/>
    <w:rsid w:val="62E728A8"/>
    <w:rsid w:val="63075FC0"/>
    <w:rsid w:val="631560C3"/>
    <w:rsid w:val="635C4C40"/>
    <w:rsid w:val="636F2C67"/>
    <w:rsid w:val="639D35D0"/>
    <w:rsid w:val="63AC6BE0"/>
    <w:rsid w:val="63AE6F6E"/>
    <w:rsid w:val="63B939A1"/>
    <w:rsid w:val="63DF427A"/>
    <w:rsid w:val="644954D1"/>
    <w:rsid w:val="646A767D"/>
    <w:rsid w:val="648F3D83"/>
    <w:rsid w:val="64936FE2"/>
    <w:rsid w:val="649529C5"/>
    <w:rsid w:val="64F47066"/>
    <w:rsid w:val="65437BF5"/>
    <w:rsid w:val="658D57E8"/>
    <w:rsid w:val="659F528A"/>
    <w:rsid w:val="65D52205"/>
    <w:rsid w:val="661F0BEA"/>
    <w:rsid w:val="665E6878"/>
    <w:rsid w:val="66C20CD9"/>
    <w:rsid w:val="67047C16"/>
    <w:rsid w:val="670F2E57"/>
    <w:rsid w:val="67235D2A"/>
    <w:rsid w:val="672752E1"/>
    <w:rsid w:val="679D3A64"/>
    <w:rsid w:val="67E26118"/>
    <w:rsid w:val="67EF5C10"/>
    <w:rsid w:val="67FC3292"/>
    <w:rsid w:val="681075E4"/>
    <w:rsid w:val="68437EF6"/>
    <w:rsid w:val="685F544B"/>
    <w:rsid w:val="686F7C7D"/>
    <w:rsid w:val="687073A2"/>
    <w:rsid w:val="687B7C73"/>
    <w:rsid w:val="688B036A"/>
    <w:rsid w:val="68D675BE"/>
    <w:rsid w:val="68E52436"/>
    <w:rsid w:val="69416D8E"/>
    <w:rsid w:val="69652022"/>
    <w:rsid w:val="69773AA4"/>
    <w:rsid w:val="69943028"/>
    <w:rsid w:val="69A02582"/>
    <w:rsid w:val="69AF0D09"/>
    <w:rsid w:val="69B6397C"/>
    <w:rsid w:val="6A2B10D1"/>
    <w:rsid w:val="6A377357"/>
    <w:rsid w:val="6A393AB4"/>
    <w:rsid w:val="6A3E7F4E"/>
    <w:rsid w:val="6A815E01"/>
    <w:rsid w:val="6AA17FC2"/>
    <w:rsid w:val="6AB168F2"/>
    <w:rsid w:val="6AB45623"/>
    <w:rsid w:val="6AC9188B"/>
    <w:rsid w:val="6AE57ACE"/>
    <w:rsid w:val="6AFA73A2"/>
    <w:rsid w:val="6B1719AA"/>
    <w:rsid w:val="6B9E1720"/>
    <w:rsid w:val="6BD6447C"/>
    <w:rsid w:val="6C5A3A21"/>
    <w:rsid w:val="6C8F1AAC"/>
    <w:rsid w:val="6CAF2AF5"/>
    <w:rsid w:val="6CC63817"/>
    <w:rsid w:val="6CD66E80"/>
    <w:rsid w:val="6D253464"/>
    <w:rsid w:val="6D591332"/>
    <w:rsid w:val="6D7A7C4D"/>
    <w:rsid w:val="6D856132"/>
    <w:rsid w:val="6D927E47"/>
    <w:rsid w:val="6DBB6A53"/>
    <w:rsid w:val="6DC21913"/>
    <w:rsid w:val="6DCB1818"/>
    <w:rsid w:val="6DCE7050"/>
    <w:rsid w:val="6E161558"/>
    <w:rsid w:val="6E216BD5"/>
    <w:rsid w:val="6E3C733F"/>
    <w:rsid w:val="6E4835C9"/>
    <w:rsid w:val="6E4D29B0"/>
    <w:rsid w:val="6E71226D"/>
    <w:rsid w:val="6E8B2D91"/>
    <w:rsid w:val="6ED313AA"/>
    <w:rsid w:val="6F0818F2"/>
    <w:rsid w:val="6F0F0DFB"/>
    <w:rsid w:val="6F4F1E13"/>
    <w:rsid w:val="6F753F86"/>
    <w:rsid w:val="6F940877"/>
    <w:rsid w:val="6FAC2DB0"/>
    <w:rsid w:val="6FF340A2"/>
    <w:rsid w:val="70726238"/>
    <w:rsid w:val="70CB2234"/>
    <w:rsid w:val="70CC1D2C"/>
    <w:rsid w:val="70D43CAA"/>
    <w:rsid w:val="70D453B8"/>
    <w:rsid w:val="70FA5410"/>
    <w:rsid w:val="712450BF"/>
    <w:rsid w:val="713C11D3"/>
    <w:rsid w:val="714803D1"/>
    <w:rsid w:val="716E7BC6"/>
    <w:rsid w:val="71781E64"/>
    <w:rsid w:val="71960771"/>
    <w:rsid w:val="71FB79FC"/>
    <w:rsid w:val="71FE0F08"/>
    <w:rsid w:val="72510A6A"/>
    <w:rsid w:val="725741AD"/>
    <w:rsid w:val="72B81158"/>
    <w:rsid w:val="72BC6C4C"/>
    <w:rsid w:val="72C02E8C"/>
    <w:rsid w:val="72F21C00"/>
    <w:rsid w:val="732D0DDE"/>
    <w:rsid w:val="73465058"/>
    <w:rsid w:val="7359557A"/>
    <w:rsid w:val="73640229"/>
    <w:rsid w:val="73952436"/>
    <w:rsid w:val="73C7145C"/>
    <w:rsid w:val="73E45789"/>
    <w:rsid w:val="73E51AAD"/>
    <w:rsid w:val="73F60509"/>
    <w:rsid w:val="74472600"/>
    <w:rsid w:val="74C22976"/>
    <w:rsid w:val="74CC7502"/>
    <w:rsid w:val="74FF22FD"/>
    <w:rsid w:val="74FF6B0D"/>
    <w:rsid w:val="750B33C6"/>
    <w:rsid w:val="75453B03"/>
    <w:rsid w:val="7556377D"/>
    <w:rsid w:val="75FF6465"/>
    <w:rsid w:val="76441AD3"/>
    <w:rsid w:val="76916D3F"/>
    <w:rsid w:val="770E0B71"/>
    <w:rsid w:val="77522770"/>
    <w:rsid w:val="7787663C"/>
    <w:rsid w:val="77A46B0A"/>
    <w:rsid w:val="77C1488F"/>
    <w:rsid w:val="77CF3A27"/>
    <w:rsid w:val="77E43E22"/>
    <w:rsid w:val="77EF00DB"/>
    <w:rsid w:val="77F26400"/>
    <w:rsid w:val="77F76272"/>
    <w:rsid w:val="781F2437"/>
    <w:rsid w:val="78307E0A"/>
    <w:rsid w:val="786B5245"/>
    <w:rsid w:val="78843FE1"/>
    <w:rsid w:val="78CF15F8"/>
    <w:rsid w:val="795D6D17"/>
    <w:rsid w:val="79783001"/>
    <w:rsid w:val="79BF0B38"/>
    <w:rsid w:val="79C110BF"/>
    <w:rsid w:val="79EA29A9"/>
    <w:rsid w:val="79F0418A"/>
    <w:rsid w:val="7A294FC7"/>
    <w:rsid w:val="7A5D1E76"/>
    <w:rsid w:val="7A812C02"/>
    <w:rsid w:val="7A872DF7"/>
    <w:rsid w:val="7A9A1A10"/>
    <w:rsid w:val="7AFE5D8D"/>
    <w:rsid w:val="7B3C2235"/>
    <w:rsid w:val="7B486248"/>
    <w:rsid w:val="7B4F4192"/>
    <w:rsid w:val="7B5E772F"/>
    <w:rsid w:val="7B736DEF"/>
    <w:rsid w:val="7B8F2CE3"/>
    <w:rsid w:val="7B905F3E"/>
    <w:rsid w:val="7B994E20"/>
    <w:rsid w:val="7BAA4D8A"/>
    <w:rsid w:val="7BBD701E"/>
    <w:rsid w:val="7BC23352"/>
    <w:rsid w:val="7BD50918"/>
    <w:rsid w:val="7C091DDC"/>
    <w:rsid w:val="7C227229"/>
    <w:rsid w:val="7C5A3020"/>
    <w:rsid w:val="7C5B01C1"/>
    <w:rsid w:val="7C6414CF"/>
    <w:rsid w:val="7C876B9B"/>
    <w:rsid w:val="7C8D344A"/>
    <w:rsid w:val="7C9878D7"/>
    <w:rsid w:val="7CA86F8B"/>
    <w:rsid w:val="7CD415AE"/>
    <w:rsid w:val="7D026D6D"/>
    <w:rsid w:val="7D0B3C95"/>
    <w:rsid w:val="7D2249DF"/>
    <w:rsid w:val="7D284AB5"/>
    <w:rsid w:val="7D4C5961"/>
    <w:rsid w:val="7D7C0566"/>
    <w:rsid w:val="7DCA4543"/>
    <w:rsid w:val="7DE73A65"/>
    <w:rsid w:val="7E000300"/>
    <w:rsid w:val="7E154C6B"/>
    <w:rsid w:val="7E2276EA"/>
    <w:rsid w:val="7E2D7135"/>
    <w:rsid w:val="7E4301C6"/>
    <w:rsid w:val="7E5D0532"/>
    <w:rsid w:val="7E626F12"/>
    <w:rsid w:val="7E711F60"/>
    <w:rsid w:val="7EAB5DFB"/>
    <w:rsid w:val="7EC41182"/>
    <w:rsid w:val="7EC75D93"/>
    <w:rsid w:val="7EDC7398"/>
    <w:rsid w:val="7EEF6ED9"/>
    <w:rsid w:val="7EF05911"/>
    <w:rsid w:val="7F0F242E"/>
    <w:rsid w:val="7F1F7EA1"/>
    <w:rsid w:val="7F4D3153"/>
    <w:rsid w:val="7F7C401F"/>
    <w:rsid w:val="7F7D33F1"/>
    <w:rsid w:val="7FA3183C"/>
    <w:rsid w:val="7FD26AD9"/>
    <w:rsid w:val="7FE9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65"/>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spacing w:before="240" w:after="64" w:line="320" w:lineRule="auto"/>
      <w:jc w:val="left"/>
      <w:outlineLvl w:val="6"/>
    </w:pPr>
    <w:rPr>
      <w:b/>
      <w:bCs/>
      <w:kern w:val="0"/>
      <w:sz w:val="24"/>
    </w:rPr>
  </w:style>
  <w:style w:type="paragraph" w:styleId="8">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rPr>
  </w:style>
  <w:style w:type="paragraph" w:styleId="9">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10">
    <w:name w:val="toc 7"/>
    <w:basedOn w:val="1"/>
    <w:next w:val="1"/>
    <w:qFormat/>
    <w:uiPriority w:val="0"/>
    <w:pPr>
      <w:ind w:left="1260"/>
      <w:jc w:val="left"/>
    </w:pPr>
    <w:rPr>
      <w:sz w:val="18"/>
      <w:szCs w:val="18"/>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w:basedOn w:val="1"/>
    <w:qFormat/>
    <w:uiPriority w:val="0"/>
    <w:pPr>
      <w:jc w:val="center"/>
    </w:pPr>
    <w:rPr>
      <w:sz w:val="52"/>
    </w:rPr>
  </w:style>
  <w:style w:type="paragraph" w:styleId="14">
    <w:name w:val="Body Text Indent"/>
    <w:basedOn w:val="1"/>
    <w:qFormat/>
    <w:uiPriority w:val="0"/>
    <w:pPr>
      <w:spacing w:line="440" w:lineRule="exact"/>
      <w:ind w:firstLine="419" w:firstLineChars="196"/>
    </w:pPr>
    <w:rPr>
      <w:rFonts w:ascii="宋体" w:hAnsi="宋体" w:cs="Courier New"/>
      <w:spacing w:val="2"/>
    </w:rPr>
  </w:style>
  <w:style w:type="paragraph" w:styleId="15">
    <w:name w:val="toc 5"/>
    <w:basedOn w:val="1"/>
    <w:next w:val="1"/>
    <w:qFormat/>
    <w:uiPriority w:val="0"/>
    <w:pPr>
      <w:ind w:left="840"/>
      <w:jc w:val="left"/>
    </w:pPr>
    <w:rPr>
      <w:sz w:val="18"/>
      <w:szCs w:val="18"/>
    </w:rPr>
  </w:style>
  <w:style w:type="paragraph" w:styleId="16">
    <w:name w:val="toc 3"/>
    <w:basedOn w:val="1"/>
    <w:next w:val="1"/>
    <w:qFormat/>
    <w:uiPriority w:val="0"/>
    <w:pPr>
      <w:tabs>
        <w:tab w:val="right" w:leader="dot" w:pos="9174"/>
      </w:tabs>
      <w:spacing w:line="260" w:lineRule="exact"/>
      <w:ind w:left="420"/>
      <w:jc w:val="left"/>
    </w:pPr>
    <w:rPr>
      <w:i/>
      <w:iCs/>
      <w:sz w:val="20"/>
      <w:szCs w:val="20"/>
    </w:rPr>
  </w:style>
  <w:style w:type="paragraph" w:styleId="17">
    <w:name w:val="Plain Text"/>
    <w:basedOn w:val="1"/>
    <w:link w:val="59"/>
    <w:qFormat/>
    <w:uiPriority w:val="0"/>
    <w:rPr>
      <w:rFonts w:ascii="宋体" w:hAnsi="Courier New"/>
    </w:rPr>
  </w:style>
  <w:style w:type="paragraph" w:styleId="18">
    <w:name w:val="toc 8"/>
    <w:basedOn w:val="1"/>
    <w:next w:val="1"/>
    <w:qFormat/>
    <w:uiPriority w:val="0"/>
    <w:pPr>
      <w:ind w:left="1470"/>
      <w:jc w:val="left"/>
    </w:pPr>
    <w:rPr>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line="420" w:lineRule="exact"/>
      <w:ind w:firstLine="409" w:firstLineChars="195"/>
    </w:p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174"/>
      </w:tabs>
      <w:spacing w:before="120" w:after="120" w:line="300" w:lineRule="exact"/>
      <w:jc w:val="left"/>
    </w:pPr>
    <w:rPr>
      <w:b/>
      <w:bCs/>
      <w:caps/>
      <w:sz w:val="20"/>
      <w:szCs w:val="20"/>
    </w:rPr>
  </w:style>
  <w:style w:type="paragraph" w:styleId="25">
    <w:name w:val="toc 4"/>
    <w:basedOn w:val="1"/>
    <w:next w:val="1"/>
    <w:qFormat/>
    <w:uiPriority w:val="0"/>
    <w:pPr>
      <w:ind w:left="630"/>
      <w:jc w:val="left"/>
    </w:pPr>
    <w:rPr>
      <w:sz w:val="18"/>
      <w:szCs w:val="18"/>
    </w:rPr>
  </w:style>
  <w:style w:type="paragraph" w:styleId="26">
    <w:name w:val="List"/>
    <w:basedOn w:val="1"/>
    <w:qFormat/>
    <w:uiPriority w:val="0"/>
    <w:pPr>
      <w:spacing w:line="340" w:lineRule="exact"/>
    </w:pPr>
    <w:rPr>
      <w:rFonts w:eastAsia="楷体_GB2312"/>
      <w:sz w:val="24"/>
      <w:szCs w:val="20"/>
    </w:rPr>
  </w:style>
  <w:style w:type="paragraph" w:styleId="27">
    <w:name w:val="toc 6"/>
    <w:basedOn w:val="1"/>
    <w:next w:val="1"/>
    <w:qFormat/>
    <w:uiPriority w:val="0"/>
    <w:pPr>
      <w:ind w:left="1050"/>
      <w:jc w:val="left"/>
    </w:pPr>
    <w:rPr>
      <w:sz w:val="18"/>
      <w:szCs w:val="18"/>
    </w:rPr>
  </w:style>
  <w:style w:type="paragraph" w:styleId="28">
    <w:name w:val="Body Text Indent 3"/>
    <w:basedOn w:val="1"/>
    <w:qFormat/>
    <w:uiPriority w:val="0"/>
    <w:pPr>
      <w:spacing w:line="480" w:lineRule="exact"/>
      <w:ind w:firstLine="420" w:firstLineChars="200"/>
    </w:pPr>
    <w:rPr>
      <w:rFonts w:ascii="宋体" w:hAnsi="Courier New" w:cs="Courier New"/>
    </w:rPr>
  </w:style>
  <w:style w:type="paragraph" w:styleId="29">
    <w:name w:val="toc 2"/>
    <w:basedOn w:val="1"/>
    <w:next w:val="1"/>
    <w:qFormat/>
    <w:uiPriority w:val="0"/>
    <w:pPr>
      <w:tabs>
        <w:tab w:val="right" w:leader="dot" w:pos="9174"/>
      </w:tabs>
      <w:spacing w:line="320" w:lineRule="exact"/>
      <w:ind w:left="210"/>
      <w:jc w:val="left"/>
    </w:pPr>
    <w:rPr>
      <w:smallCaps/>
      <w:sz w:val="20"/>
      <w:szCs w:val="20"/>
    </w:rPr>
  </w:style>
  <w:style w:type="paragraph" w:styleId="30">
    <w:name w:val="toc 9"/>
    <w:basedOn w:val="1"/>
    <w:next w:val="1"/>
    <w:qFormat/>
    <w:uiPriority w:val="0"/>
    <w:pPr>
      <w:ind w:left="1680"/>
      <w:jc w:val="left"/>
    </w:pPr>
    <w:rPr>
      <w:sz w:val="18"/>
      <w:szCs w:val="18"/>
    </w:rPr>
  </w:style>
  <w:style w:type="paragraph" w:styleId="31">
    <w:name w:val="Body Text 2"/>
    <w:basedOn w:val="1"/>
    <w:qFormat/>
    <w:uiPriority w:val="0"/>
    <w:pPr>
      <w:spacing w:line="280" w:lineRule="exact"/>
      <w:jc w:val="center"/>
    </w:p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character" w:styleId="35">
    <w:name w:val="Strong"/>
    <w:basedOn w:val="34"/>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Emphasis"/>
    <w:basedOn w:val="34"/>
    <w:qFormat/>
    <w:uiPriority w:val="0"/>
    <w:rPr>
      <w:color w:val="CC0000"/>
    </w:rPr>
  </w:style>
  <w:style w:type="character" w:styleId="39">
    <w:name w:val="Hyperlink"/>
    <w:basedOn w:val="34"/>
    <w:qFormat/>
    <w:uiPriority w:val="0"/>
    <w:rPr>
      <w:color w:val="0000FF"/>
      <w:u w:val="single"/>
    </w:rPr>
  </w:style>
  <w:style w:type="character" w:styleId="40">
    <w:name w:val="annotation reference"/>
    <w:qFormat/>
    <w:uiPriority w:val="0"/>
    <w:rPr>
      <w:sz w:val="21"/>
      <w:szCs w:val="21"/>
    </w:rPr>
  </w:style>
  <w:style w:type="character" w:styleId="41">
    <w:name w:val="HTML Cite"/>
    <w:basedOn w:val="34"/>
    <w:qFormat/>
    <w:uiPriority w:val="0"/>
    <w:rPr>
      <w:color w:val="008000"/>
    </w:rPr>
  </w:style>
  <w:style w:type="paragraph" w:customStyle="1" w:styleId="42">
    <w:name w:val="2-2ji"/>
    <w:basedOn w:val="4"/>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43">
    <w:name w:val="2ji"/>
    <w:basedOn w:val="4"/>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44">
    <w:name w:val="Char Char Char"/>
    <w:basedOn w:val="1"/>
    <w:qFormat/>
    <w:uiPriority w:val="0"/>
  </w:style>
  <w:style w:type="paragraph" w:customStyle="1" w:styleId="45">
    <w:name w:val="样式5"/>
    <w:basedOn w:val="1"/>
    <w:qFormat/>
    <w:uiPriority w:val="0"/>
    <w:pPr>
      <w:spacing w:line="440" w:lineRule="exact"/>
    </w:pPr>
    <w:rPr>
      <w:rFonts w:ascii="汉仪中宋简" w:hAnsi="宋体" w:eastAsia="黑体"/>
      <w:sz w:val="28"/>
      <w:szCs w:val="21"/>
    </w:rPr>
  </w:style>
  <w:style w:type="paragraph" w:customStyle="1" w:styleId="46">
    <w:name w:val="Char Char Char Char Char Char1 Char"/>
    <w:basedOn w:val="1"/>
    <w:qFormat/>
    <w:uiPriority w:val="0"/>
    <w:pPr>
      <w:widowControl/>
      <w:spacing w:after="160" w:line="240" w:lineRule="exact"/>
      <w:jc w:val="left"/>
    </w:pPr>
    <w:rPr>
      <w:rFonts w:ascii="Tahoma" w:hAnsi="Tahoma" w:cs="Tahoma"/>
      <w:kern w:val="0"/>
      <w:szCs w:val="21"/>
    </w:rPr>
  </w:style>
  <w:style w:type="paragraph" w:customStyle="1" w:styleId="47">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48">
    <w:name w:val="1"/>
    <w:basedOn w:val="1"/>
    <w:next w:val="17"/>
    <w:qFormat/>
    <w:uiPriority w:val="0"/>
    <w:rPr>
      <w:rFonts w:ascii="宋体" w:hAnsi="Courier New"/>
      <w:szCs w:val="20"/>
    </w:rPr>
  </w:style>
  <w:style w:type="paragraph" w:customStyle="1" w:styleId="49">
    <w:name w:val="样式 样式 样式 样式 汉仪中宋简 (符号) 宋体 首行缩进:  2 字符 + 首行缩进:  2 字符 + 首行缩进:  2 字..."/>
    <w:basedOn w:val="1"/>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50">
    <w:name w:val="Char1 Char Char Char"/>
    <w:basedOn w:val="1"/>
    <w:qFormat/>
    <w:uiPriority w:val="0"/>
    <w:pPr>
      <w:ind w:left="420" w:hanging="420"/>
    </w:pPr>
    <w:rPr>
      <w:sz w:val="24"/>
    </w:rPr>
  </w:style>
  <w:style w:type="paragraph" w:customStyle="1" w:styleId="51">
    <w:name w:val="1ji"/>
    <w:basedOn w:val="3"/>
    <w:link w:val="58"/>
    <w:qFormat/>
    <w:uiPriority w:val="0"/>
    <w:pPr>
      <w:spacing w:line="240" w:lineRule="auto"/>
    </w:pPr>
    <w:rPr>
      <w:rFonts w:ascii="宋体" w:hAnsi="宋体" w:eastAsia="宋体"/>
      <w:b/>
    </w:rPr>
  </w:style>
  <w:style w:type="paragraph" w:customStyle="1" w:styleId="52">
    <w:name w:val="_Style 14"/>
    <w:basedOn w:val="1"/>
    <w:qFormat/>
    <w:uiPriority w:val="0"/>
  </w:style>
  <w:style w:type="paragraph" w:customStyle="1" w:styleId="53">
    <w:name w:val="样式 标题 2 + Times New Roman 四号 非加粗 段前: 5 磅 段后: 0 磅 行距: 固定值 20..."/>
    <w:basedOn w:val="4"/>
    <w:qFormat/>
    <w:uiPriority w:val="0"/>
    <w:pPr>
      <w:spacing w:before="100"/>
      <w:jc w:val="both"/>
    </w:pPr>
    <w:rPr>
      <w:rFonts w:ascii="Times New Roman" w:hAnsi="Times New Roman" w:cs="宋体"/>
      <w:bCs w:val="0"/>
      <w:sz w:val="28"/>
      <w:szCs w:val="20"/>
    </w:rPr>
  </w:style>
  <w:style w:type="paragraph" w:customStyle="1" w:styleId="54">
    <w:name w:val="样式17"/>
    <w:basedOn w:val="1"/>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5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7">
    <w:name w:val="Char1"/>
    <w:basedOn w:val="1"/>
    <w:qFormat/>
    <w:uiPriority w:val="0"/>
    <w:pPr>
      <w:widowControl/>
      <w:spacing w:after="160" w:line="240" w:lineRule="exact"/>
      <w:jc w:val="left"/>
    </w:pPr>
    <w:rPr>
      <w:rFonts w:ascii="Verdana" w:hAnsi="Verdana"/>
      <w:kern w:val="0"/>
      <w:szCs w:val="20"/>
      <w:lang w:eastAsia="en-US"/>
    </w:rPr>
  </w:style>
  <w:style w:type="character" w:customStyle="1" w:styleId="58">
    <w:name w:val="1ji Char Char"/>
    <w:link w:val="51"/>
    <w:qFormat/>
    <w:uiPriority w:val="0"/>
    <w:rPr>
      <w:rFonts w:ascii="宋体" w:hAnsi="宋体" w:eastAsia="宋体"/>
      <w:b/>
      <w:sz w:val="36"/>
      <w:lang w:val="en-US" w:eastAsia="zh-CN" w:bidi="ar-SA"/>
    </w:rPr>
  </w:style>
  <w:style w:type="character" w:customStyle="1" w:styleId="59">
    <w:name w:val="纯文本 Char"/>
    <w:link w:val="17"/>
    <w:qFormat/>
    <w:uiPriority w:val="0"/>
    <w:rPr>
      <w:rFonts w:ascii="宋体" w:hAnsi="Courier New" w:eastAsia="宋体"/>
      <w:kern w:val="2"/>
      <w:sz w:val="21"/>
      <w:lang w:val="en-US" w:eastAsia="zh-CN" w:bidi="ar-SA"/>
    </w:rPr>
  </w:style>
  <w:style w:type="character" w:customStyle="1" w:styleId="60">
    <w:name w:val="Char Char Char1"/>
    <w:qFormat/>
    <w:uiPriority w:val="0"/>
    <w:rPr>
      <w:rFonts w:ascii="宋体" w:hAnsi="Courier New" w:eastAsia="宋体"/>
      <w:kern w:val="2"/>
      <w:sz w:val="21"/>
      <w:lang w:val="en-US" w:eastAsia="zh-CN" w:bidi="ar-SA"/>
    </w:rPr>
  </w:style>
  <w:style w:type="character" w:customStyle="1" w:styleId="61">
    <w:name w:val="ca-12"/>
    <w:qFormat/>
    <w:uiPriority w:val="0"/>
    <w:rPr>
      <w:rFonts w:ascii="Verdana" w:hAnsi="Verdana"/>
      <w:kern w:val="0"/>
      <w:sz w:val="20"/>
      <w:szCs w:val="20"/>
      <w:lang w:eastAsia="en-US"/>
    </w:rPr>
  </w:style>
  <w:style w:type="character" w:customStyle="1" w:styleId="62">
    <w:name w:val="纯文本 Char1"/>
    <w:qFormat/>
    <w:uiPriority w:val="0"/>
    <w:rPr>
      <w:rFonts w:ascii="宋体" w:hAnsi="Courier New" w:eastAsia="宋体"/>
      <w:kern w:val="2"/>
      <w:sz w:val="21"/>
      <w:lang w:val="en-US" w:eastAsia="zh-CN" w:bidi="ar-SA"/>
    </w:rPr>
  </w:style>
  <w:style w:type="character" w:customStyle="1" w:styleId="63">
    <w:name w:val="ca-22"/>
    <w:qFormat/>
    <w:uiPriority w:val="0"/>
    <w:rPr>
      <w:rFonts w:ascii="Verdana" w:hAnsi="Verdana"/>
      <w:kern w:val="0"/>
      <w:sz w:val="20"/>
      <w:szCs w:val="20"/>
      <w:lang w:eastAsia="en-US"/>
    </w:rPr>
  </w:style>
  <w:style w:type="character" w:customStyle="1" w:styleId="64">
    <w:name w:val="address-info"/>
    <w:basedOn w:val="34"/>
    <w:qFormat/>
    <w:uiPriority w:val="0"/>
  </w:style>
  <w:style w:type="character" w:customStyle="1" w:styleId="65">
    <w:name w:val="标题 2 Char"/>
    <w:link w:val="4"/>
    <w:qFormat/>
    <w:uiPriority w:val="0"/>
    <w:rPr>
      <w:rFonts w:ascii="Arial" w:hAnsi="Arial" w:eastAsia="黑体"/>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63</Pages>
  <Words>35654</Words>
  <Characters>10472</Characters>
  <Lines>87</Lines>
  <Paragraphs>92</Paragraphs>
  <TotalTime>0</TotalTime>
  <ScaleCrop>false</ScaleCrop>
  <LinksUpToDate>false</LinksUpToDate>
  <CharactersWithSpaces>46034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2011-09-23T11:00:00Z</dcterms:created>
  <dc:creator>user</dc:creator>
  <cp:lastModifiedBy>誓言</cp:lastModifiedBy>
  <cp:lastPrinted>2020-12-30T01:36:00Z</cp:lastPrinted>
  <dcterms:modified xsi:type="dcterms:W3CDTF">2020-12-30T08:32:32Z</dcterms:modified>
  <dc:title>女子劳教工程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