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2085"/>
          <w:tab w:val="center" w:pos="4335"/>
          <w:tab w:val="right" w:pos="8670"/>
        </w:tabs>
        <w:kinsoku/>
        <w:wordWrap w:val="0"/>
        <w:overflowPunct/>
        <w:topLinePunct w:val="0"/>
        <w:bidi w:val="0"/>
        <w:spacing w:line="336"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mc:AlternateContent>
          <mc:Choice Requires="wps">
            <w:drawing>
              <wp:anchor distT="0" distB="0" distL="114300" distR="114300" simplePos="0" relativeHeight="251661312" behindDoc="0" locked="0" layoutInCell="1" allowOverlap="1">
                <wp:simplePos x="0" y="0"/>
                <wp:positionH relativeFrom="column">
                  <wp:posOffset>142240</wp:posOffset>
                </wp:positionH>
                <wp:positionV relativeFrom="paragraph">
                  <wp:posOffset>469900</wp:posOffset>
                </wp:positionV>
                <wp:extent cx="5760085" cy="0"/>
                <wp:effectExtent l="33655" t="26670" r="35560" b="68580"/>
                <wp:wrapNone/>
                <wp:docPr id="3" name="直接连接符 3"/>
                <wp:cNvGraphicFramePr/>
                <a:graphic xmlns:a="http://schemas.openxmlformats.org/drawingml/2006/main">
                  <a:graphicData uri="http://schemas.microsoft.com/office/word/2010/wordprocessingShape">
                    <wps:wsp>
                      <wps:cNvCnPr/>
                      <wps:spPr>
                        <a:xfrm>
                          <a:off x="0" y="0"/>
                          <a:ext cx="5760085" cy="0"/>
                        </a:xfrm>
                        <a:prstGeom prst="line">
                          <a:avLst/>
                        </a:prstGeom>
                        <a:noFill/>
                        <a:ln w="25400" cap="flat" cmpd="sng" algn="ctr">
                          <a:solidFill>
                            <a:srgbClr val="000000"/>
                          </a:solidFill>
                          <a:prstDash val="solid"/>
                          <a:headEnd type="none" w="med" len="med"/>
                          <a:tailEnd type="none" w="med" len="med"/>
                        </a:ln>
                        <a:effectLst>
                          <a:outerShdw blurRad="40000" dist="20000" dir="5400000" rotWithShape="0">
                            <a:srgbClr val="000000">
                              <a:alpha val="38000"/>
                            </a:srgbClr>
                          </a:outerShdw>
                        </a:effectLst>
                      </wps:spPr>
                      <wps:bodyPr upright="1"/>
                    </wps:wsp>
                  </a:graphicData>
                </a:graphic>
              </wp:anchor>
            </w:drawing>
          </mc:Choice>
          <mc:Fallback>
            <w:pict>
              <v:line id="_x0000_s1026" o:spid="_x0000_s1026" o:spt="20" style="position:absolute;left:0pt;margin-left:11.2pt;margin-top:37pt;height:0pt;width:453.55pt;z-index:251661312;mso-width-relative:page;mso-height-relative:page;" filled="f" stroked="t" coordsize="21600,21600" o:gfxdata="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prNfnaAAAACAEAAA8AAAAAAAAA&#10;AQAgAAAAIgAAAGRycy9kb3ducmV2LnhtbFBLAQIUABQAAAAIAIdO4kARor7rSAIAAKcEAAAOAAAA&#10;AAAAAAEAIAAAACkBAABkcnMvZTJvRG9jLnhtbFBLBQYAAAAABgAGAFkBAADjBQAAAAA=&#10;">
                <v:fill on="f" focussize="0,0"/>
                <v:stroke weight="2pt" color="#000000" joinstyle="round"/>
                <v:imagedata o:title=""/>
                <o:lock v:ext="edit" aspectratio="f"/>
                <v:shadow on="t" color="#000000" opacity="24903f" offset="0pt,1.5748031496063pt" origin="0f,32768f" matrix="65536f,0f,0f,65536f"/>
              </v:line>
            </w:pict>
          </mc:Fallback>
        </mc:AlternateContent>
      </w:r>
      <w:r>
        <w:rPr>
          <w:rFonts w:hint="eastAsia" w:ascii="宋体" w:hAnsi="宋体" w:eastAsia="宋体" w:cs="宋体"/>
          <w:b/>
          <w:color w:val="auto"/>
          <w:sz w:val="48"/>
          <w:szCs w:val="48"/>
          <w:highlight w:val="none"/>
          <w:lang w:eastAsia="zh-CN"/>
        </w:rPr>
        <w:t>广西业隆工程管理服务有限公司</w:t>
      </w:r>
    </w:p>
    <w:p>
      <w:pPr>
        <w:pageBreakBefore w:val="0"/>
        <w:kinsoku/>
        <w:wordWrap w:val="0"/>
        <w:overflowPunct/>
        <w:topLinePunct w:val="0"/>
        <w:bidi w:val="0"/>
        <w:spacing w:line="336" w:lineRule="auto"/>
        <w:jc w:val="both"/>
        <w:rPr>
          <w:rFonts w:hint="eastAsia" w:ascii="宋体" w:hAnsi="宋体" w:eastAsia="宋体" w:cs="宋体"/>
          <w:color w:val="auto"/>
          <w:sz w:val="72"/>
          <w:szCs w:val="72"/>
          <w:highlight w:val="none"/>
          <w:lang w:eastAsia="zh-CN"/>
        </w:rPr>
      </w:pPr>
    </w:p>
    <w:p>
      <w:pPr>
        <w:pStyle w:val="25"/>
        <w:pageBreakBefore w:val="0"/>
        <w:kinsoku/>
        <w:wordWrap w:val="0"/>
        <w:overflowPunct/>
        <w:topLinePunct w:val="0"/>
        <w:bidi w:val="0"/>
        <w:spacing w:line="336" w:lineRule="auto"/>
        <w:rPr>
          <w:rFonts w:hint="eastAsia" w:ascii="宋体" w:hAnsi="宋体" w:eastAsia="宋体" w:cs="宋体"/>
          <w:color w:val="auto"/>
          <w:sz w:val="72"/>
          <w:szCs w:val="72"/>
          <w:highlight w:val="none"/>
          <w:lang w:eastAsia="zh-CN"/>
        </w:rPr>
      </w:pPr>
    </w:p>
    <w:p>
      <w:pPr>
        <w:pageBreakBefore w:val="0"/>
        <w:kinsoku/>
        <w:wordWrap w:val="0"/>
        <w:overflowPunct/>
        <w:topLinePunct w:val="0"/>
        <w:bidi w:val="0"/>
        <w:spacing w:line="336" w:lineRule="auto"/>
        <w:jc w:val="center"/>
        <w:rPr>
          <w:rFonts w:hint="eastAsia" w:ascii="宋体" w:hAnsi="宋体" w:eastAsia="宋体" w:cs="宋体"/>
          <w:color w:val="auto"/>
          <w:sz w:val="86"/>
          <w:szCs w:val="86"/>
          <w:highlight w:val="none"/>
          <w:lang w:eastAsia="zh-CN"/>
        </w:rPr>
      </w:pPr>
      <w:r>
        <w:rPr>
          <w:rFonts w:hint="eastAsia" w:ascii="宋体" w:hAnsi="宋体" w:eastAsia="宋体" w:cs="宋体"/>
          <w:color w:val="auto"/>
          <w:sz w:val="86"/>
          <w:szCs w:val="86"/>
          <w:highlight w:val="none"/>
          <w:lang w:eastAsia="zh-CN"/>
        </w:rPr>
        <w:t>竞争性谈判文件</w:t>
      </w:r>
    </w:p>
    <w:p>
      <w:pPr>
        <w:pStyle w:val="25"/>
        <w:pageBreakBefore w:val="0"/>
        <w:kinsoku/>
        <w:wordWrap w:val="0"/>
        <w:overflowPunct/>
        <w:topLinePunct w:val="0"/>
        <w:bidi w:val="0"/>
        <w:spacing w:line="336" w:lineRule="auto"/>
        <w:rPr>
          <w:rFonts w:hint="eastAsia" w:ascii="宋体" w:hAnsi="宋体" w:eastAsia="宋体" w:cs="宋体"/>
          <w:color w:val="auto"/>
          <w:sz w:val="72"/>
          <w:szCs w:val="72"/>
          <w:highlight w:val="none"/>
          <w:lang w:eastAsia="zh-CN"/>
        </w:rPr>
      </w:pPr>
    </w:p>
    <w:p>
      <w:pPr>
        <w:pStyle w:val="25"/>
        <w:pageBreakBefore w:val="0"/>
        <w:kinsoku/>
        <w:wordWrap w:val="0"/>
        <w:overflowPunct/>
        <w:topLinePunct w:val="0"/>
        <w:bidi w:val="0"/>
        <w:spacing w:line="336" w:lineRule="auto"/>
        <w:rPr>
          <w:rFonts w:hint="eastAsia" w:ascii="宋体" w:hAnsi="宋体" w:eastAsia="宋体" w:cs="宋体"/>
          <w:color w:val="auto"/>
          <w:sz w:val="72"/>
          <w:szCs w:val="72"/>
          <w:highlight w:val="none"/>
        </w:rPr>
      </w:pPr>
    </w:p>
    <w:p>
      <w:pPr>
        <w:pageBreakBefore w:val="0"/>
        <w:tabs>
          <w:tab w:val="left" w:pos="2565"/>
        </w:tabs>
        <w:kinsoku/>
        <w:wordWrap w:val="0"/>
        <w:overflowPunct/>
        <w:topLinePunct w:val="0"/>
        <w:bidi w:val="0"/>
        <w:snapToGrid w:val="0"/>
        <w:spacing w:line="336" w:lineRule="auto"/>
        <w:ind w:firstLine="643" w:firstLineChars="200"/>
        <w:jc w:val="both"/>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项目名称：</w:t>
      </w:r>
      <w:r>
        <w:rPr>
          <w:rFonts w:hint="eastAsia" w:ascii="宋体" w:hAnsi="宋体" w:eastAsia="宋体" w:cs="宋体"/>
          <w:b/>
          <w:color w:val="auto"/>
          <w:sz w:val="32"/>
          <w:szCs w:val="32"/>
          <w:highlight w:val="none"/>
          <w:lang w:eastAsia="zh-CN"/>
        </w:rPr>
        <w:t>隆林各族自治县桠杈镇坡羊脱贫奔康桑蚕产业园设备采购</w:t>
      </w:r>
    </w:p>
    <w:p>
      <w:pPr>
        <w:pageBreakBefore w:val="0"/>
        <w:tabs>
          <w:tab w:val="left" w:pos="2565"/>
        </w:tabs>
        <w:kinsoku/>
        <w:wordWrap w:val="0"/>
        <w:overflowPunct/>
        <w:topLinePunct w:val="0"/>
        <w:bidi w:val="0"/>
        <w:snapToGrid w:val="0"/>
        <w:spacing w:line="336" w:lineRule="auto"/>
        <w:ind w:firstLine="643" w:firstLineChars="200"/>
        <w:jc w:val="both"/>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lang w:eastAsia="zh-CN"/>
        </w:rPr>
        <w:t>BSZC2021-J1-310283-GXYL</w:t>
      </w:r>
    </w:p>
    <w:p>
      <w:pPr>
        <w:pStyle w:val="12"/>
        <w:pageBreakBefore w:val="0"/>
        <w:kinsoku/>
        <w:wordWrap w:val="0"/>
        <w:overflowPunct/>
        <w:topLinePunct w:val="0"/>
        <w:bidi w:val="0"/>
        <w:spacing w:line="336" w:lineRule="auto"/>
        <w:ind w:firstLine="840" w:firstLineChars="400"/>
        <w:rPr>
          <w:rFonts w:hint="eastAsia" w:ascii="宋体" w:hAnsi="宋体" w:eastAsia="宋体" w:cs="宋体"/>
          <w:b/>
          <w:color w:val="auto"/>
          <w:sz w:val="32"/>
          <w:szCs w:val="32"/>
          <w:highlight w:val="none"/>
        </w:rPr>
      </w:pPr>
      <w:r>
        <w:rPr>
          <w:rFonts w:hint="eastAsia" w:ascii="宋体" w:hAnsi="宋体" w:eastAsia="宋体" w:cs="宋体"/>
          <w:color w:val="auto"/>
          <w:szCs w:val="24"/>
          <w:highlight w:val="none"/>
        </w:rPr>
        <mc:AlternateContent>
          <mc:Choice Requires="wps">
            <w:drawing>
              <wp:anchor distT="0" distB="0" distL="114300" distR="114300" simplePos="0" relativeHeight="251662336" behindDoc="0" locked="0" layoutInCell="1" allowOverlap="1">
                <wp:simplePos x="0" y="0"/>
                <wp:positionH relativeFrom="column">
                  <wp:posOffset>78740</wp:posOffset>
                </wp:positionH>
                <wp:positionV relativeFrom="paragraph">
                  <wp:posOffset>160655</wp:posOffset>
                </wp:positionV>
                <wp:extent cx="5760085" cy="635"/>
                <wp:effectExtent l="33655" t="26670" r="35560" b="67945"/>
                <wp:wrapNone/>
                <wp:docPr id="4" name="直接连接符 4"/>
                <wp:cNvGraphicFramePr/>
                <a:graphic xmlns:a="http://schemas.openxmlformats.org/drawingml/2006/main">
                  <a:graphicData uri="http://schemas.microsoft.com/office/word/2010/wordprocessingShape">
                    <wps:wsp>
                      <wps:cNvCnPr/>
                      <wps:spPr>
                        <a:xfrm>
                          <a:off x="0" y="0"/>
                          <a:ext cx="5760085" cy="635"/>
                        </a:xfrm>
                        <a:prstGeom prst="line">
                          <a:avLst/>
                        </a:prstGeom>
                        <a:noFill/>
                        <a:ln w="25400" cap="flat" cmpd="sng" algn="ctr">
                          <a:solidFill>
                            <a:srgbClr val="000000"/>
                          </a:solidFill>
                          <a:prstDash val="solid"/>
                          <a:headEnd type="none" w="med" len="med"/>
                          <a:tailEnd type="none" w="med" len="med"/>
                        </a:ln>
                        <a:effectLst>
                          <a:outerShdw blurRad="40000" dist="20000" dir="5400000" rotWithShape="0">
                            <a:srgbClr val="000000">
                              <a:alpha val="38000"/>
                            </a:srgbClr>
                          </a:outerShdw>
                        </a:effectLst>
                      </wps:spPr>
                      <wps:bodyPr upright="1"/>
                    </wps:wsp>
                  </a:graphicData>
                </a:graphic>
              </wp:anchor>
            </w:drawing>
          </mc:Choice>
          <mc:Fallback>
            <w:pict>
              <v:line id="_x0000_s1026" o:spid="_x0000_s1026" o:spt="20" style="position:absolute;left:0pt;margin-left:6.2pt;margin-top:12.65pt;height:0.05pt;width:453.55pt;z-index:251662336;mso-width-relative:page;mso-height-relative:page;" filled="f" stroked="t" coordsize="21600,21600" o:gfxdata="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pxY+/aAAAACAEAAA8AAAAA&#10;AAAAAQAgAAAAIgAAAGRycy9kb3ducmV2LnhtbFBLAQIUABQAAAAIAIdO4kALEkItSwIAAKkEAAAO&#10;AAAAAAAAAAEAIAAAACkBAABkcnMvZTJvRG9jLnhtbFBLBQYAAAAABgAGAFkBAADmBQAAAAA=&#10;">
                <v:fill on="f" focussize="0,0"/>
                <v:stroke weight="2pt" color="#000000" joinstyle="round"/>
                <v:imagedata o:title=""/>
                <o:lock v:ext="edit" aspectratio="f"/>
                <v:shadow on="t" color="#000000" opacity="24903f" offset="0pt,1.5748031496063pt" origin="0f,32768f" matrix="65536f,0f,0f,65536f"/>
              </v:line>
            </w:pict>
          </mc:Fallback>
        </mc:AlternateContent>
      </w:r>
    </w:p>
    <w:p>
      <w:pPr>
        <w:pStyle w:val="12"/>
        <w:pageBreakBefore w:val="0"/>
        <w:kinsoku/>
        <w:wordWrap w:val="0"/>
        <w:overflowPunct/>
        <w:topLinePunct w:val="0"/>
        <w:bidi w:val="0"/>
        <w:spacing w:line="336" w:lineRule="auto"/>
        <w:ind w:firstLine="643" w:firstLineChars="200"/>
        <w:rPr>
          <w:rFonts w:hint="eastAsia" w:ascii="宋体" w:hAnsi="宋体" w:eastAsia="宋体" w:cs="宋体"/>
          <w:b/>
          <w:color w:val="auto"/>
          <w:sz w:val="32"/>
          <w:szCs w:val="32"/>
          <w:highlight w:val="none"/>
        </w:rPr>
      </w:pPr>
    </w:p>
    <w:p>
      <w:pPr>
        <w:pStyle w:val="12"/>
        <w:pageBreakBefore w:val="0"/>
        <w:kinsoku/>
        <w:wordWrap w:val="0"/>
        <w:overflowPunct/>
        <w:topLinePunct w:val="0"/>
        <w:bidi w:val="0"/>
        <w:spacing w:line="336" w:lineRule="auto"/>
        <w:ind w:firstLine="643" w:firstLineChars="20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采购单位：</w:t>
      </w:r>
      <w:r>
        <w:rPr>
          <w:rFonts w:hint="eastAsia" w:hAnsi="宋体" w:cs="宋体"/>
          <w:b/>
          <w:color w:val="auto"/>
          <w:sz w:val="32"/>
          <w:szCs w:val="32"/>
          <w:highlight w:val="none"/>
          <w:lang w:eastAsia="zh-CN"/>
        </w:rPr>
        <w:t>隆林各族自治县桠杈镇人民政府</w:t>
      </w:r>
      <w:r>
        <w:rPr>
          <w:rFonts w:hint="eastAsia" w:ascii="宋体" w:hAnsi="宋体" w:eastAsia="宋体" w:cs="宋体"/>
          <w:b/>
          <w:color w:val="auto"/>
          <w:sz w:val="32"/>
          <w:szCs w:val="32"/>
          <w:highlight w:val="none"/>
          <w:lang w:eastAsia="zh-CN"/>
        </w:rPr>
        <w:t>（盖章）</w:t>
      </w:r>
    </w:p>
    <w:p>
      <w:pPr>
        <w:pStyle w:val="12"/>
        <w:pageBreakBefore w:val="0"/>
        <w:kinsoku/>
        <w:wordWrap w:val="0"/>
        <w:overflowPunct/>
        <w:topLinePunct w:val="0"/>
        <w:bidi w:val="0"/>
        <w:spacing w:line="336" w:lineRule="auto"/>
        <w:ind w:firstLine="643" w:firstLineChars="200"/>
        <w:rPr>
          <w:rFonts w:hint="eastAsia" w:ascii="宋体" w:hAnsi="宋体" w:eastAsia="宋体" w:cs="宋体"/>
          <w:b/>
          <w:color w:val="auto"/>
          <w:sz w:val="32"/>
          <w:szCs w:val="32"/>
          <w:highlight w:val="none"/>
          <w:lang w:eastAsia="zh-CN"/>
        </w:rPr>
      </w:pPr>
    </w:p>
    <w:p>
      <w:pPr>
        <w:pStyle w:val="12"/>
        <w:pageBreakBefore w:val="0"/>
        <w:kinsoku/>
        <w:wordWrap w:val="0"/>
        <w:overflowPunct/>
        <w:topLinePunct w:val="0"/>
        <w:bidi w:val="0"/>
        <w:spacing w:line="336" w:lineRule="auto"/>
        <w:ind w:firstLine="643" w:firstLineChars="20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采购代理机构：</w:t>
      </w:r>
      <w:r>
        <w:rPr>
          <w:rFonts w:hint="eastAsia" w:hAnsi="宋体" w:cs="宋体"/>
          <w:b/>
          <w:color w:val="auto"/>
          <w:sz w:val="32"/>
          <w:szCs w:val="32"/>
          <w:highlight w:val="none"/>
          <w:lang w:eastAsia="zh-CN"/>
        </w:rPr>
        <w:t>广西业隆工程管理服务有限公司</w:t>
      </w:r>
      <w:r>
        <w:rPr>
          <w:rFonts w:hint="eastAsia" w:ascii="宋体" w:hAnsi="宋体" w:eastAsia="宋体" w:cs="宋体"/>
          <w:b/>
          <w:color w:val="auto"/>
          <w:sz w:val="32"/>
          <w:szCs w:val="32"/>
          <w:highlight w:val="none"/>
          <w:lang w:eastAsia="zh-CN"/>
        </w:rPr>
        <w:t>（盖章）</w:t>
      </w:r>
    </w:p>
    <w:p>
      <w:pPr>
        <w:pStyle w:val="12"/>
        <w:pageBreakBefore w:val="0"/>
        <w:kinsoku/>
        <w:wordWrap w:val="0"/>
        <w:overflowPunct/>
        <w:topLinePunct w:val="0"/>
        <w:bidi w:val="0"/>
        <w:spacing w:line="336" w:lineRule="auto"/>
        <w:ind w:firstLine="643" w:firstLineChars="200"/>
        <w:rPr>
          <w:rFonts w:hint="eastAsia" w:ascii="宋体" w:hAnsi="宋体" w:eastAsia="宋体" w:cs="宋体"/>
          <w:b/>
          <w:color w:val="auto"/>
          <w:sz w:val="32"/>
          <w:szCs w:val="32"/>
          <w:highlight w:val="none"/>
          <w:lang w:eastAsia="zh-CN"/>
        </w:rPr>
      </w:pPr>
    </w:p>
    <w:p>
      <w:pPr>
        <w:pStyle w:val="12"/>
        <w:pageBreakBefore w:val="0"/>
        <w:kinsoku/>
        <w:wordWrap w:val="0"/>
        <w:overflowPunct/>
        <w:topLinePunct w:val="0"/>
        <w:bidi w:val="0"/>
        <w:spacing w:line="336"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发布日期：</w:t>
      </w:r>
      <w:r>
        <w:rPr>
          <w:rFonts w:hint="eastAsia" w:ascii="宋体" w:hAnsi="宋体" w:eastAsia="宋体" w:cs="宋体"/>
          <w:b/>
          <w:color w:val="auto"/>
          <w:sz w:val="32"/>
          <w:szCs w:val="32"/>
          <w:highlight w:val="none"/>
          <w:u w:val="single"/>
        </w:rPr>
        <w:t>20</w:t>
      </w:r>
      <w:r>
        <w:rPr>
          <w:rFonts w:hint="eastAsia" w:ascii="宋体" w:hAnsi="宋体" w:eastAsia="宋体" w:cs="宋体"/>
          <w:b/>
          <w:color w:val="auto"/>
          <w:sz w:val="32"/>
          <w:szCs w:val="32"/>
          <w:highlight w:val="none"/>
          <w:u w:val="single"/>
          <w:lang w:val="en-US" w:eastAsia="zh-CN"/>
        </w:rPr>
        <w:t>21</w:t>
      </w:r>
      <w:r>
        <w:rPr>
          <w:rFonts w:hint="eastAsia" w:ascii="宋体" w:hAnsi="宋体" w:eastAsia="宋体" w:cs="宋体"/>
          <w:b/>
          <w:color w:val="auto"/>
          <w:sz w:val="32"/>
          <w:szCs w:val="32"/>
          <w:highlight w:val="none"/>
        </w:rPr>
        <w:t>年</w:t>
      </w:r>
      <w:r>
        <w:rPr>
          <w:rFonts w:hint="eastAsia" w:hAnsi="宋体" w:cs="宋体"/>
          <w:b/>
          <w:color w:val="auto"/>
          <w:sz w:val="32"/>
          <w:szCs w:val="32"/>
          <w:highlight w:val="none"/>
          <w:u w:val="single"/>
          <w:lang w:val="en-US" w:eastAsia="zh-CN"/>
        </w:rPr>
        <w:t>10</w:t>
      </w:r>
      <w:r>
        <w:rPr>
          <w:rFonts w:hint="eastAsia" w:ascii="宋体" w:hAnsi="宋体" w:eastAsia="宋体" w:cs="宋体"/>
          <w:b/>
          <w:color w:val="auto"/>
          <w:sz w:val="32"/>
          <w:szCs w:val="32"/>
          <w:highlight w:val="none"/>
        </w:rPr>
        <w:t>月</w:t>
      </w:r>
      <w:r>
        <w:rPr>
          <w:rFonts w:hint="eastAsia" w:hAnsi="宋体" w:cs="宋体"/>
          <w:b/>
          <w:color w:val="auto"/>
          <w:sz w:val="32"/>
          <w:szCs w:val="32"/>
          <w:highlight w:val="none"/>
          <w:u w:val="single"/>
          <w:lang w:val="en-US" w:eastAsia="zh-CN"/>
        </w:rPr>
        <w:t>8</w:t>
      </w:r>
      <w:r>
        <w:rPr>
          <w:rFonts w:hint="eastAsia" w:ascii="宋体" w:hAnsi="宋体" w:eastAsia="宋体" w:cs="宋体"/>
          <w:b/>
          <w:color w:val="auto"/>
          <w:sz w:val="32"/>
          <w:szCs w:val="32"/>
          <w:highlight w:val="none"/>
        </w:rPr>
        <w:t>日</w:t>
      </w:r>
    </w:p>
    <w:p>
      <w:pPr>
        <w:pageBreakBefore w:val="0"/>
        <w:kinsoku/>
        <w:wordWrap w:val="0"/>
        <w:overflowPunct/>
        <w:topLinePunct w:val="0"/>
        <w:bidi w:val="0"/>
        <w:spacing w:line="336"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  录</w:t>
      </w:r>
    </w:p>
    <w:sdt>
      <w:sdtPr>
        <w:rPr>
          <w:rFonts w:hint="eastAsia" w:ascii="宋体" w:hAnsi="宋体" w:eastAsia="宋体" w:cs="宋体"/>
          <w:color w:val="auto"/>
          <w:sz w:val="28"/>
          <w:szCs w:val="28"/>
          <w:highlight w:val="none"/>
          <w:lang w:val="en-US" w:eastAsia="zh-CN" w:bidi="ar-SA"/>
        </w:rPr>
        <w:id w:val="147471132"/>
        <w15:color w:val="DBDBDB"/>
        <w:docPartObj>
          <w:docPartGallery w:val="Table of Contents"/>
          <w:docPartUnique/>
        </w:docPartObj>
      </w:sdtPr>
      <w:sdtEndPr>
        <w:rPr>
          <w:rFonts w:hint="eastAsia" w:ascii="宋体" w:hAnsi="宋体" w:eastAsia="宋体" w:cs="宋体"/>
          <w:color w:val="auto"/>
          <w:sz w:val="28"/>
          <w:szCs w:val="28"/>
          <w:highlight w:val="none"/>
          <w:lang w:val="en-US" w:eastAsia="zh-CN" w:bidi="ar-SA"/>
        </w:rPr>
      </w:sdtEndPr>
      <w:sdtContent>
        <w:p>
          <w:pPr>
            <w:pageBreakBefore w:val="0"/>
            <w:kinsoku/>
            <w:wordWrap w:val="0"/>
            <w:overflowPunct/>
            <w:topLinePunct w:val="0"/>
            <w:bidi w:val="0"/>
            <w:spacing w:before="0" w:beforeLines="0" w:after="0" w:afterLines="0" w:line="336" w:lineRule="auto"/>
            <w:ind w:left="0" w:leftChars="0" w:right="0" w:rightChars="0" w:firstLine="0" w:firstLineChars="0"/>
            <w:jc w:val="center"/>
            <w:rPr>
              <w:rFonts w:hint="eastAsia" w:ascii="宋体" w:hAnsi="宋体" w:eastAsia="宋体" w:cs="宋体"/>
              <w:color w:val="auto"/>
              <w:sz w:val="28"/>
              <w:szCs w:val="28"/>
              <w:highlight w:val="none"/>
            </w:rPr>
          </w:pPr>
        </w:p>
        <w:p>
          <w:pPr>
            <w:pStyle w:val="2"/>
            <w:pageBreakBefore w:val="0"/>
            <w:tabs>
              <w:tab w:val="right" w:leader="dot" w:pos="9638"/>
            </w:tabs>
            <w:kinsoku/>
            <w:wordWrap w:val="0"/>
            <w:overflowPunct/>
            <w:topLinePunct w:val="0"/>
            <w:bidi w:val="0"/>
            <w:spacing w:line="336" w:lineRule="auto"/>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"1-3"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_Toc837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 xml:space="preserve">第一章  </w:t>
          </w:r>
          <w:r>
            <w:rPr>
              <w:rFonts w:hint="eastAsia" w:ascii="宋体" w:hAnsi="宋体" w:eastAsia="宋体" w:cs="宋体"/>
              <w:b/>
              <w:bCs/>
              <w:color w:val="auto"/>
              <w:sz w:val="28"/>
              <w:szCs w:val="28"/>
              <w:highlight w:val="none"/>
              <w:lang w:eastAsia="zh-CN"/>
            </w:rPr>
            <w:t>竞争性谈判公告</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_Toc837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pPr>
            <w:pStyle w:val="2"/>
            <w:pageBreakBefore w:val="0"/>
            <w:tabs>
              <w:tab w:val="right" w:leader="dot" w:pos="9638"/>
            </w:tabs>
            <w:kinsoku/>
            <w:wordWrap w:val="0"/>
            <w:overflowPunct/>
            <w:topLinePunct w:val="0"/>
            <w:bidi w:val="0"/>
            <w:spacing w:line="336" w:lineRule="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_Toc28352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第二章  竞标人须知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_Toc28352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6</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pPr>
            <w:pStyle w:val="16"/>
            <w:pageBreakBefore w:val="0"/>
            <w:tabs>
              <w:tab w:val="right" w:leader="dot" w:pos="9638"/>
            </w:tabs>
            <w:kinsoku/>
            <w:wordWrap w:val="0"/>
            <w:overflowPunct/>
            <w:topLinePunct w:val="0"/>
            <w:bidi w:val="0"/>
            <w:spacing w:line="33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_Toc20428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竞标人须知前附表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_Toc20428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6"/>
            <w:pageBreakBefore w:val="0"/>
            <w:tabs>
              <w:tab w:val="right" w:leader="dot" w:pos="9638"/>
            </w:tabs>
            <w:kinsoku/>
            <w:wordWrap w:val="0"/>
            <w:overflowPunct/>
            <w:topLinePunct w:val="0"/>
            <w:bidi w:val="0"/>
            <w:spacing w:line="33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_Toc20897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一、总则</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_Toc20897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6"/>
            <w:pageBreakBefore w:val="0"/>
            <w:tabs>
              <w:tab w:val="right" w:leader="dot" w:pos="9638"/>
            </w:tabs>
            <w:kinsoku/>
            <w:wordWrap w:val="0"/>
            <w:overflowPunct/>
            <w:topLinePunct w:val="0"/>
            <w:bidi w:val="0"/>
            <w:spacing w:line="33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_Toc28390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w:t>
          </w:r>
          <w:r>
            <w:rPr>
              <w:rFonts w:hint="eastAsia" w:ascii="宋体" w:hAnsi="宋体" w:eastAsia="宋体" w:cs="宋体"/>
              <w:color w:val="auto"/>
              <w:sz w:val="28"/>
              <w:szCs w:val="28"/>
              <w:highlight w:val="none"/>
              <w:lang w:eastAsia="zh-CN"/>
            </w:rPr>
            <w:t>竞争性谈判文件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_Toc28390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6"/>
            <w:pageBreakBefore w:val="0"/>
            <w:tabs>
              <w:tab w:val="right" w:leader="dot" w:pos="9638"/>
            </w:tabs>
            <w:kinsoku/>
            <w:wordWrap w:val="0"/>
            <w:overflowPunct/>
            <w:topLinePunct w:val="0"/>
            <w:bidi w:val="0"/>
            <w:spacing w:line="33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_Toc14773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三、响应文件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_Toc14773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6"/>
            <w:pageBreakBefore w:val="0"/>
            <w:tabs>
              <w:tab w:val="right" w:leader="dot" w:pos="9638"/>
            </w:tabs>
            <w:kinsoku/>
            <w:wordWrap w:val="0"/>
            <w:overflowPunct/>
            <w:topLinePunct w:val="0"/>
            <w:bidi w:val="0"/>
            <w:spacing w:line="33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_Toc4255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四、竞标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_Toc4255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6"/>
            <w:pageBreakBefore w:val="0"/>
            <w:tabs>
              <w:tab w:val="right" w:leader="dot" w:pos="9638"/>
            </w:tabs>
            <w:kinsoku/>
            <w:wordWrap w:val="0"/>
            <w:overflowPunct/>
            <w:topLinePunct w:val="0"/>
            <w:bidi w:val="0"/>
            <w:spacing w:line="33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_Toc18512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五、开标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_Toc18512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6"/>
            <w:pageBreakBefore w:val="0"/>
            <w:tabs>
              <w:tab w:val="right" w:leader="dot" w:pos="9638"/>
            </w:tabs>
            <w:kinsoku/>
            <w:wordWrap w:val="0"/>
            <w:overflowPunct/>
            <w:topLinePunct w:val="0"/>
            <w:bidi w:val="0"/>
            <w:spacing w:line="33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_Toc1184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六、评审</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_Toc1184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6"/>
            <w:pageBreakBefore w:val="0"/>
            <w:tabs>
              <w:tab w:val="right" w:leader="dot" w:pos="9638"/>
            </w:tabs>
            <w:kinsoku/>
            <w:wordWrap w:val="0"/>
            <w:overflowPunct/>
            <w:topLinePunct w:val="0"/>
            <w:bidi w:val="0"/>
            <w:spacing w:line="33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_Toc25409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七、合同授予</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_Toc25409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6"/>
            <w:pageBreakBefore w:val="0"/>
            <w:tabs>
              <w:tab w:val="right" w:leader="dot" w:pos="9638"/>
            </w:tabs>
            <w:kinsoku/>
            <w:wordWrap w:val="0"/>
            <w:overflowPunct/>
            <w:topLinePunct w:val="0"/>
            <w:bidi w:val="0"/>
            <w:spacing w:line="33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_Toc13082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八、其他事项</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_Toc13082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
            <w:pageBreakBefore w:val="0"/>
            <w:tabs>
              <w:tab w:val="right" w:leader="dot" w:pos="9638"/>
            </w:tabs>
            <w:kinsoku/>
            <w:wordWrap w:val="0"/>
            <w:overflowPunct/>
            <w:topLinePunct w:val="0"/>
            <w:bidi w:val="0"/>
            <w:spacing w:line="336"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_Toc29880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 xml:space="preserve">第三章  </w:t>
          </w:r>
          <w:r>
            <w:rPr>
              <w:rFonts w:hint="eastAsia" w:ascii="宋体" w:hAnsi="宋体" w:eastAsia="宋体" w:cs="宋体"/>
              <w:b/>
              <w:bCs/>
              <w:color w:val="auto"/>
              <w:sz w:val="28"/>
              <w:szCs w:val="28"/>
              <w:highlight w:val="none"/>
              <w:lang w:val="en-US" w:eastAsia="zh-CN"/>
            </w:rPr>
            <w:t>货物</w:t>
          </w:r>
          <w:r>
            <w:rPr>
              <w:rFonts w:hint="eastAsia" w:ascii="宋体" w:hAnsi="宋体" w:eastAsia="宋体" w:cs="宋体"/>
              <w:b/>
              <w:bCs/>
              <w:color w:val="auto"/>
              <w:sz w:val="28"/>
              <w:szCs w:val="28"/>
              <w:highlight w:val="none"/>
            </w:rPr>
            <w:t>需求一览表</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_Toc29880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26</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pPr>
            <w:pStyle w:val="2"/>
            <w:pageBreakBefore w:val="0"/>
            <w:tabs>
              <w:tab w:val="right" w:leader="dot" w:pos="9638"/>
            </w:tabs>
            <w:kinsoku/>
            <w:wordWrap w:val="0"/>
            <w:overflowPunct/>
            <w:topLinePunct w:val="0"/>
            <w:bidi w:val="0"/>
            <w:spacing w:line="336"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_Toc3899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第四章  政府采购合同</w:t>
          </w:r>
          <w:r>
            <w:rPr>
              <w:rFonts w:hint="eastAsia" w:ascii="宋体" w:hAnsi="宋体" w:eastAsia="宋体" w:cs="宋体"/>
              <w:b/>
              <w:bCs/>
              <w:color w:val="auto"/>
              <w:sz w:val="28"/>
              <w:szCs w:val="28"/>
              <w:highlight w:val="none"/>
              <w:lang w:eastAsia="zh-CN"/>
            </w:rPr>
            <w:t>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_Toc3899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26</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pPr>
            <w:pStyle w:val="16"/>
            <w:pageBreakBefore w:val="0"/>
            <w:tabs>
              <w:tab w:val="right" w:leader="dot" w:pos="9638"/>
            </w:tabs>
            <w:kinsoku/>
            <w:wordWrap w:val="0"/>
            <w:overflowPunct/>
            <w:topLinePunct w:val="0"/>
            <w:bidi w:val="0"/>
            <w:spacing w:line="33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_Toc29928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政府采购合同（格式）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_Toc29928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6"/>
            <w:pageBreakBefore w:val="0"/>
            <w:tabs>
              <w:tab w:val="right" w:leader="dot" w:pos="9638"/>
            </w:tabs>
            <w:kinsoku/>
            <w:wordWrap w:val="0"/>
            <w:overflowPunct/>
            <w:topLinePunct w:val="0"/>
            <w:bidi w:val="0"/>
            <w:spacing w:line="336"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_Toc24435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合 同 附 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3</w:t>
          </w:r>
        </w:p>
        <w:p>
          <w:pPr>
            <w:pStyle w:val="2"/>
            <w:pageBreakBefore w:val="0"/>
            <w:tabs>
              <w:tab w:val="right" w:leader="dot" w:pos="9638"/>
            </w:tabs>
            <w:kinsoku/>
            <w:wordWrap w:val="0"/>
            <w:overflowPunct/>
            <w:topLinePunct w:val="0"/>
            <w:bidi w:val="0"/>
            <w:spacing w:line="336" w:lineRule="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_Toc23439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第五章  响应文件格式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_Toc23439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41</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pPr>
            <w:pageBreakBefore w:val="0"/>
            <w:kinsoku/>
            <w:wordWrap w:val="0"/>
            <w:overflowPunct/>
            <w:topLinePunct w:val="0"/>
            <w:bidi w:val="0"/>
            <w:spacing w:line="336" w:lineRule="auto"/>
            <w:rPr>
              <w:rFonts w:hint="eastAsia" w:ascii="宋体" w:hAnsi="宋体" w:eastAsia="宋体" w:cs="宋体"/>
              <w:color w:val="auto"/>
              <w:highlight w:val="none"/>
            </w:rPr>
          </w:pPr>
          <w:r>
            <w:rPr>
              <w:rFonts w:hint="eastAsia" w:ascii="宋体" w:hAnsi="宋体" w:eastAsia="宋体" w:cs="宋体"/>
              <w:color w:val="auto"/>
              <w:sz w:val="28"/>
              <w:szCs w:val="28"/>
              <w:highlight w:val="none"/>
            </w:rPr>
            <w:fldChar w:fldCharType="end"/>
          </w:r>
          <w:bookmarkStart w:id="0" w:name="_Toc3620"/>
          <w:bookmarkStart w:id="1" w:name="_Toc17816966"/>
          <w:bookmarkStart w:id="2" w:name="_Toc837"/>
        </w:p>
      </w:sdtContent>
    </w:sdt>
    <w:p>
      <w:pPr>
        <w:pageBreakBefore w:val="0"/>
        <w:kinsoku/>
        <w:wordWrap w:val="0"/>
        <w:overflowPunct/>
        <w:topLinePunct w:val="0"/>
        <w:bidi w:val="0"/>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2"/>
        <w:pageBreakBefore w:val="0"/>
        <w:kinsoku/>
        <w:wordWrap w:val="0"/>
        <w:overflowPunct/>
        <w:topLinePunct w:val="0"/>
        <w:bidi w:val="0"/>
        <w:spacing w:line="336" w:lineRule="auto"/>
        <w:outlineLvl w:val="0"/>
        <w:rPr>
          <w:rFonts w:hint="eastAsia" w:ascii="宋体" w:hAnsi="宋体" w:eastAsia="宋体" w:cs="宋体"/>
          <w:color w:val="auto"/>
          <w:highlight w:val="none"/>
        </w:rPr>
      </w:pPr>
      <w:r>
        <w:rPr>
          <w:rFonts w:hint="eastAsia" w:ascii="宋体" w:hAnsi="宋体" w:eastAsia="宋体" w:cs="宋体"/>
          <w:color w:val="auto"/>
          <w:highlight w:val="none"/>
        </w:rPr>
        <w:t>第一章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竞争性谈判公告</w:t>
      </w:r>
      <w:bookmarkEnd w:id="0"/>
      <w:bookmarkEnd w:id="1"/>
      <w:bookmarkEnd w:id="2"/>
    </w:p>
    <w:p>
      <w:pPr>
        <w:keepNext w:val="0"/>
        <w:keepLines w:val="0"/>
        <w:pageBreakBefore w:val="0"/>
        <w:widowControl w:val="0"/>
        <w:kinsoku/>
        <w:wordWrap w:val="0"/>
        <w:overflowPunct/>
        <w:topLinePunct w:val="0"/>
        <w:autoSpaceDE/>
        <w:autoSpaceDN/>
        <w:bidi w:val="0"/>
        <w:adjustRightInd/>
        <w:snapToGrid/>
        <w:spacing w:line="336" w:lineRule="auto"/>
        <w:jc w:val="center"/>
        <w:textAlignment w:val="auto"/>
        <w:outlineLvl w:val="0"/>
        <w:rPr>
          <w:rFonts w:hint="eastAsia" w:ascii="宋体" w:hAnsi="宋体" w:eastAsia="宋体" w:cs="宋体"/>
          <w:b/>
          <w:bCs/>
          <w:color w:val="auto"/>
          <w:sz w:val="32"/>
          <w:szCs w:val="32"/>
          <w:highlight w:val="none"/>
          <w:lang w:eastAsia="zh-CN"/>
        </w:rPr>
      </w:pPr>
      <w:bookmarkStart w:id="3" w:name="_Toc19332"/>
      <w:bookmarkStart w:id="4" w:name="OLE_LINK2"/>
      <w:r>
        <w:rPr>
          <w:rFonts w:hint="eastAsia" w:ascii="宋体" w:hAnsi="宋体" w:eastAsia="宋体" w:cs="宋体"/>
          <w:b/>
          <w:bCs/>
          <w:color w:val="auto"/>
          <w:sz w:val="32"/>
          <w:szCs w:val="32"/>
          <w:highlight w:val="none"/>
          <w:lang w:eastAsia="zh-CN"/>
        </w:rPr>
        <w:t>隆林各族自治县桠杈镇坡羊脱贫奔康桑蚕产业园设备采购</w:t>
      </w:r>
    </w:p>
    <w:p>
      <w:pPr>
        <w:keepNext w:val="0"/>
        <w:keepLines w:val="0"/>
        <w:pageBreakBefore w:val="0"/>
        <w:widowControl w:val="0"/>
        <w:kinsoku/>
        <w:wordWrap w:val="0"/>
        <w:overflowPunct/>
        <w:topLinePunct w:val="0"/>
        <w:autoSpaceDE/>
        <w:autoSpaceDN/>
        <w:bidi w:val="0"/>
        <w:adjustRightInd/>
        <w:snapToGrid/>
        <w:spacing w:line="336" w:lineRule="auto"/>
        <w:jc w:val="center"/>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32"/>
          <w:szCs w:val="32"/>
          <w:highlight w:val="none"/>
          <w:lang w:eastAsia="zh-CN"/>
        </w:rPr>
        <w:t>（项目编号：BSZC2021-J1-310283-GXYL）竞争性谈判公告</w:t>
      </w:r>
      <w:bookmarkEnd w:id="3"/>
    </w:p>
    <w:tbl>
      <w:tblPr>
        <w:tblStyle w:val="20"/>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9614" w:type="dxa"/>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项目概况</w:t>
            </w:r>
          </w:p>
          <w:p>
            <w:pPr>
              <w:keepNext w:val="0"/>
              <w:keepLines w:val="0"/>
              <w:pageBreakBefore w:val="0"/>
              <w:widowControl/>
              <w:kinsoku/>
              <w:wordWrap w:val="0"/>
              <w:overflowPunct/>
              <w:topLinePunct w:val="0"/>
              <w:autoSpaceDE/>
              <w:autoSpaceDN/>
              <w:bidi w:val="0"/>
              <w:adjustRightInd w:val="0"/>
              <w:snapToGrid w:val="0"/>
              <w:spacing w:line="336"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lang w:eastAsia="zh-CN"/>
              </w:rPr>
              <w:t>隆林各族自治县桠杈镇坡羊脱贫奔康桑蚕产业园设备采购</w:t>
            </w:r>
            <w:r>
              <w:rPr>
                <w:rFonts w:hint="eastAsia" w:ascii="宋体" w:hAnsi="宋体" w:eastAsia="宋体" w:cs="宋体"/>
                <w:color w:val="auto"/>
                <w:sz w:val="22"/>
                <w:szCs w:val="22"/>
                <w:highlight w:val="none"/>
              </w:rPr>
              <w:t>采购项目的潜在供应商应在</w:t>
            </w:r>
            <w:r>
              <w:rPr>
                <w:rFonts w:hint="eastAsia" w:ascii="宋体" w:hAnsi="宋体" w:eastAsia="宋体" w:cs="宋体"/>
                <w:color w:val="auto"/>
                <w:sz w:val="22"/>
                <w:szCs w:val="22"/>
                <w:highlight w:val="none"/>
                <w:u w:val="single"/>
                <w:lang w:eastAsia="zh-CN"/>
              </w:rPr>
              <w:t>百色市右江区龙景西路3号锦华逸景A区2幢1单元2层202、203号</w:t>
            </w:r>
            <w:r>
              <w:rPr>
                <w:rFonts w:hint="eastAsia" w:ascii="宋体" w:hAnsi="宋体" w:eastAsia="宋体" w:cs="宋体"/>
                <w:color w:val="auto"/>
                <w:sz w:val="22"/>
                <w:szCs w:val="22"/>
                <w:highlight w:val="none"/>
              </w:rPr>
              <w:t>获取采购文件，并于</w:t>
            </w:r>
            <w:r>
              <w:rPr>
                <w:rFonts w:hint="eastAsia" w:ascii="宋体" w:hAnsi="宋体" w:eastAsia="宋体" w:cs="宋体"/>
                <w:color w:val="auto"/>
                <w:sz w:val="22"/>
                <w:szCs w:val="22"/>
                <w:highlight w:val="none"/>
                <w:u w:val="single"/>
                <w:lang w:val="en-US" w:eastAsia="zh-CN"/>
              </w:rPr>
              <w:t>2021年10月13日15时30分</w:t>
            </w:r>
            <w:r>
              <w:rPr>
                <w:rFonts w:hint="eastAsia" w:ascii="宋体" w:hAnsi="宋体" w:eastAsia="宋体" w:cs="宋体"/>
                <w:color w:val="auto"/>
                <w:sz w:val="22"/>
                <w:szCs w:val="22"/>
                <w:highlight w:val="none"/>
              </w:rPr>
              <w:t>（北京时间）前提交响应文件。</w:t>
            </w:r>
          </w:p>
        </w:tc>
      </w:tr>
    </w:tbl>
    <w:p>
      <w:pPr>
        <w:keepNext w:val="0"/>
        <w:keepLines w:val="0"/>
        <w:pageBreakBefore w:val="0"/>
        <w:kinsoku/>
        <w:wordWrap w:val="0"/>
        <w:overflowPunct/>
        <w:topLinePunct w:val="0"/>
        <w:autoSpaceDE/>
        <w:autoSpaceDN/>
        <w:bidi w:val="0"/>
        <w:spacing w:line="336" w:lineRule="auto"/>
        <w:rPr>
          <w:rFonts w:hint="eastAsia" w:ascii="宋体" w:hAnsi="宋体" w:eastAsia="宋体" w:cs="宋体"/>
          <w:b/>
          <w:bCs/>
          <w:color w:val="auto"/>
          <w:sz w:val="22"/>
          <w:szCs w:val="22"/>
          <w:highlight w:val="none"/>
        </w:rPr>
      </w:pPr>
      <w:bookmarkStart w:id="5" w:name="_Toc28359089"/>
      <w:bookmarkStart w:id="6" w:name="_Toc35393629"/>
      <w:bookmarkStart w:id="7" w:name="_Toc28359012"/>
      <w:bookmarkStart w:id="8" w:name="_Toc35393798"/>
      <w:r>
        <w:rPr>
          <w:rFonts w:hint="eastAsia" w:ascii="宋体" w:hAnsi="宋体" w:eastAsia="宋体" w:cs="宋体"/>
          <w:b/>
          <w:bCs/>
          <w:color w:val="auto"/>
          <w:sz w:val="22"/>
          <w:szCs w:val="22"/>
          <w:highlight w:val="none"/>
        </w:rPr>
        <w:t>一、项目基本情况</w:t>
      </w:r>
      <w:bookmarkEnd w:id="5"/>
      <w:bookmarkEnd w:id="6"/>
      <w:bookmarkEnd w:id="7"/>
      <w:bookmarkEnd w:id="8"/>
    </w:p>
    <w:p>
      <w:pPr>
        <w:keepNext w:val="0"/>
        <w:keepLines w:val="0"/>
        <w:pageBreakBefore w:val="0"/>
        <w:kinsoku/>
        <w:wordWrap w:val="0"/>
        <w:overflowPunct/>
        <w:topLinePunct w:val="0"/>
        <w:autoSpaceDE/>
        <w:autoSpaceDN/>
        <w:bidi w:val="0"/>
        <w:spacing w:line="336"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项目编号：</w:t>
      </w:r>
      <w:r>
        <w:rPr>
          <w:rFonts w:hint="eastAsia" w:ascii="宋体" w:hAnsi="宋体" w:eastAsia="宋体" w:cs="宋体"/>
          <w:color w:val="auto"/>
          <w:sz w:val="22"/>
          <w:szCs w:val="22"/>
          <w:highlight w:val="none"/>
          <w:lang w:eastAsia="zh-CN"/>
        </w:rPr>
        <w:t>BSZC2021-J1-310283-GXYL</w:t>
      </w:r>
    </w:p>
    <w:p>
      <w:pPr>
        <w:keepNext w:val="0"/>
        <w:keepLines w:val="0"/>
        <w:pageBreakBefore w:val="0"/>
        <w:kinsoku/>
        <w:wordWrap w:val="0"/>
        <w:overflowPunct/>
        <w:topLinePunct w:val="0"/>
        <w:autoSpaceDE/>
        <w:autoSpaceDN/>
        <w:bidi w:val="0"/>
        <w:adjustRightInd w:val="0"/>
        <w:spacing w:line="336"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lang w:eastAsia="zh-CN"/>
        </w:rPr>
        <w:t>隆林各族自治县桠杈镇坡羊脱贫奔康桑蚕产业园设备采购</w:t>
      </w:r>
    </w:p>
    <w:p>
      <w:pPr>
        <w:keepNext w:val="0"/>
        <w:keepLines w:val="0"/>
        <w:pageBreakBefore w:val="0"/>
        <w:kinsoku/>
        <w:wordWrap w:val="0"/>
        <w:overflowPunct/>
        <w:topLinePunct w:val="0"/>
        <w:autoSpaceDE/>
        <w:autoSpaceDN/>
        <w:bidi w:val="0"/>
        <w:adjustRightInd w:val="0"/>
        <w:spacing w:line="336"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竞争性谈判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竞争性磋商 □询价</w:t>
      </w:r>
    </w:p>
    <w:p>
      <w:pPr>
        <w:keepNext w:val="0"/>
        <w:keepLines w:val="0"/>
        <w:pageBreakBefore w:val="0"/>
        <w:kinsoku/>
        <w:wordWrap w:val="0"/>
        <w:overflowPunct/>
        <w:topLinePunct w:val="0"/>
        <w:autoSpaceDE/>
        <w:autoSpaceDN/>
        <w:bidi w:val="0"/>
        <w:adjustRightInd w:val="0"/>
        <w:spacing w:line="336"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预算金额：</w:t>
      </w:r>
      <w:r>
        <w:rPr>
          <w:rFonts w:hint="eastAsia" w:ascii="宋体" w:hAnsi="宋体" w:eastAsia="宋体" w:cs="宋体"/>
          <w:color w:val="auto"/>
          <w:sz w:val="22"/>
          <w:szCs w:val="22"/>
          <w:highlight w:val="none"/>
          <w:lang w:eastAsia="zh-CN"/>
        </w:rPr>
        <w:t>人民币陆拾壹万零壹佰叁拾捌元叁角玖分（¥610138.39元）</w:t>
      </w:r>
      <w:r>
        <w:rPr>
          <w:rFonts w:hint="eastAsia" w:ascii="宋体" w:hAnsi="宋体" w:eastAsia="宋体" w:cs="宋体"/>
          <w:color w:val="auto"/>
          <w:sz w:val="22"/>
          <w:szCs w:val="22"/>
          <w:highlight w:val="none"/>
          <w:lang w:val="en-US" w:eastAsia="zh-CN"/>
        </w:rPr>
        <w:t>。</w:t>
      </w:r>
    </w:p>
    <w:p>
      <w:pPr>
        <w:keepNext w:val="0"/>
        <w:keepLines w:val="0"/>
        <w:pageBreakBefore w:val="0"/>
        <w:kinsoku/>
        <w:wordWrap w:val="0"/>
        <w:overflowPunct/>
        <w:topLinePunct w:val="0"/>
        <w:autoSpaceDE/>
        <w:autoSpaceDN/>
        <w:bidi w:val="0"/>
        <w:adjustRightInd w:val="0"/>
        <w:spacing w:line="336"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最高限价（如有）：与预算金额一致。</w:t>
      </w:r>
    </w:p>
    <w:p>
      <w:pPr>
        <w:keepNext w:val="0"/>
        <w:keepLines w:val="0"/>
        <w:pageBreakBefore w:val="0"/>
        <w:kinsoku/>
        <w:wordWrap w:val="0"/>
        <w:overflowPunct/>
        <w:topLinePunct w:val="0"/>
        <w:autoSpaceDE/>
        <w:autoSpaceDN/>
        <w:bidi w:val="0"/>
        <w:spacing w:line="336" w:lineRule="auto"/>
        <w:ind w:firstLine="440" w:firstLineChars="200"/>
        <w:jc w:val="left"/>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rPr>
        <w:t>采购需求：</w:t>
      </w:r>
      <w:r>
        <w:rPr>
          <w:rFonts w:hint="eastAsia" w:ascii="宋体" w:hAnsi="宋体" w:eastAsia="宋体" w:cs="宋体"/>
          <w:color w:val="auto"/>
          <w:sz w:val="22"/>
          <w:szCs w:val="22"/>
          <w:highlight w:val="none"/>
          <w:lang w:eastAsia="zh-CN"/>
        </w:rPr>
        <w:t>隆林各族自治县桠杈镇坡羊脱贫奔康桑蚕产业园设备采购</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项（</w:t>
      </w:r>
      <w:r>
        <w:rPr>
          <w:rFonts w:hint="eastAsia" w:ascii="宋体" w:hAnsi="宋体" w:eastAsia="宋体" w:cs="宋体"/>
          <w:color w:val="auto"/>
          <w:sz w:val="22"/>
          <w:szCs w:val="22"/>
          <w:highlight w:val="none"/>
        </w:rPr>
        <w:t>如需进一步了解详细内容，详见</w:t>
      </w:r>
      <w:r>
        <w:rPr>
          <w:rFonts w:hint="eastAsia" w:ascii="宋体" w:hAnsi="宋体" w:eastAsia="宋体" w:cs="宋体"/>
          <w:color w:val="auto"/>
          <w:sz w:val="22"/>
          <w:szCs w:val="22"/>
          <w:highlight w:val="none"/>
          <w:lang w:eastAsia="zh-CN"/>
        </w:rPr>
        <w:t>竞争性谈判文件）</w:t>
      </w:r>
      <w:r>
        <w:rPr>
          <w:rFonts w:hint="eastAsia" w:ascii="宋体" w:hAnsi="宋体" w:eastAsia="宋体" w:cs="宋体"/>
          <w:color w:val="auto"/>
          <w:sz w:val="22"/>
          <w:szCs w:val="22"/>
          <w:highlight w:val="none"/>
          <w:u w:val="none"/>
          <w:lang w:eastAsia="zh-CN"/>
        </w:rPr>
        <w:t>。</w:t>
      </w:r>
    </w:p>
    <w:p>
      <w:pPr>
        <w:keepNext w:val="0"/>
        <w:keepLines w:val="0"/>
        <w:pageBreakBefore w:val="0"/>
        <w:kinsoku/>
        <w:wordWrap w:val="0"/>
        <w:overflowPunct/>
        <w:topLinePunct w:val="0"/>
        <w:autoSpaceDE/>
        <w:autoSpaceDN/>
        <w:bidi w:val="0"/>
        <w:adjustRightInd w:val="0"/>
        <w:spacing w:line="336"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合同履行期限</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自签订合同之日起60日历天内完成采购及安装并验收合格。</w:t>
      </w:r>
    </w:p>
    <w:p>
      <w:pPr>
        <w:keepNext w:val="0"/>
        <w:keepLines w:val="0"/>
        <w:pageBreakBefore w:val="0"/>
        <w:kinsoku/>
        <w:wordWrap w:val="0"/>
        <w:overflowPunct/>
        <w:topLinePunct w:val="0"/>
        <w:autoSpaceDE/>
        <w:autoSpaceDN/>
        <w:bidi w:val="0"/>
        <w:adjustRightInd w:val="0"/>
        <w:spacing w:line="336"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本项目（□是/</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否）接受联合体。</w:t>
      </w:r>
    </w:p>
    <w:p>
      <w:pPr>
        <w:keepNext w:val="0"/>
        <w:keepLines w:val="0"/>
        <w:pageBreakBefore w:val="0"/>
        <w:kinsoku/>
        <w:wordWrap w:val="0"/>
        <w:overflowPunct/>
        <w:topLinePunct w:val="0"/>
        <w:autoSpaceDE/>
        <w:autoSpaceDN/>
        <w:bidi w:val="0"/>
        <w:spacing w:line="336" w:lineRule="auto"/>
        <w:rPr>
          <w:rFonts w:hint="eastAsia" w:ascii="宋体" w:hAnsi="宋体" w:eastAsia="宋体" w:cs="宋体"/>
          <w:b/>
          <w:bCs/>
          <w:color w:val="auto"/>
          <w:sz w:val="22"/>
          <w:szCs w:val="22"/>
          <w:highlight w:val="none"/>
        </w:rPr>
      </w:pPr>
      <w:bookmarkStart w:id="9" w:name="_Toc35393630"/>
      <w:bookmarkStart w:id="10" w:name="_Toc35393799"/>
      <w:bookmarkStart w:id="11" w:name="_Toc28359090"/>
      <w:bookmarkStart w:id="12" w:name="_Toc28359013"/>
      <w:r>
        <w:rPr>
          <w:rFonts w:hint="eastAsia" w:ascii="宋体" w:hAnsi="宋体" w:eastAsia="宋体" w:cs="宋体"/>
          <w:b/>
          <w:bCs/>
          <w:color w:val="auto"/>
          <w:sz w:val="22"/>
          <w:szCs w:val="22"/>
          <w:highlight w:val="none"/>
        </w:rPr>
        <w:t>二、申请人的资格要求：</w:t>
      </w:r>
      <w:bookmarkEnd w:id="9"/>
      <w:bookmarkEnd w:id="10"/>
      <w:bookmarkEnd w:id="11"/>
      <w:bookmarkEnd w:id="12"/>
    </w:p>
    <w:p>
      <w:pPr>
        <w:pStyle w:val="7"/>
        <w:pageBreakBefore w:val="0"/>
        <w:kinsoku/>
        <w:wordWrap w:val="0"/>
        <w:overflowPunct/>
        <w:topLinePunct w:val="0"/>
        <w:bidi w:val="0"/>
        <w:spacing w:line="336" w:lineRule="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1.满足《中华人民共和国政府采购法》第二十二条规定；</w:t>
      </w:r>
    </w:p>
    <w:p>
      <w:pPr>
        <w:pStyle w:val="7"/>
        <w:pageBreakBefore w:val="0"/>
        <w:kinsoku/>
        <w:wordWrap w:val="0"/>
        <w:overflowPunct/>
        <w:topLinePunct w:val="0"/>
        <w:bidi w:val="0"/>
        <w:spacing w:line="336" w:lineRule="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2.落实政府采购政策需满足的资格要求：无。</w:t>
      </w:r>
    </w:p>
    <w:p>
      <w:pPr>
        <w:keepNext w:val="0"/>
        <w:keepLines w:val="0"/>
        <w:pageBreakBefore w:val="0"/>
        <w:widowControl w:val="0"/>
        <w:kinsoku/>
        <w:wordWrap w:val="0"/>
        <w:overflowPunct/>
        <w:topLinePunct w:val="0"/>
        <w:autoSpaceDE/>
        <w:autoSpaceDN/>
        <w:bidi w:val="0"/>
        <w:adjustRightInd w:val="0"/>
        <w:snapToGrid/>
        <w:spacing w:line="336" w:lineRule="auto"/>
        <w:ind w:firstLine="440" w:firstLineChars="200"/>
        <w:textAlignment w:val="auto"/>
        <w:rPr>
          <w:rFonts w:hint="eastAsia" w:ascii="宋体" w:hAnsi="宋体" w:eastAsia="宋体" w:cs="宋体"/>
          <w:color w:val="auto"/>
          <w:sz w:val="22"/>
          <w:szCs w:val="22"/>
          <w:highlight w:val="none"/>
          <w:lang w:eastAsia="zh-CN"/>
        </w:rPr>
      </w:pPr>
      <w:bookmarkStart w:id="13" w:name="_Toc28359014"/>
      <w:bookmarkStart w:id="14" w:name="_Toc28359091"/>
      <w:r>
        <w:rPr>
          <w:rFonts w:hint="eastAsia" w:ascii="宋体" w:hAnsi="宋体" w:eastAsia="宋体" w:cs="宋体"/>
          <w:color w:val="auto"/>
          <w:sz w:val="22"/>
          <w:szCs w:val="22"/>
          <w:highlight w:val="none"/>
          <w:lang w:eastAsia="zh-CN"/>
        </w:rPr>
        <w:t>3.本项目的特定资格要求：</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1.符合《政府采购非招标采购方式管理办法》等相关规定；</w:t>
      </w:r>
      <w:r>
        <w:rPr>
          <w:rFonts w:hint="eastAsia" w:ascii="宋体" w:hAnsi="宋体" w:eastAsia="宋体" w:cs="宋体"/>
          <w:color w:val="auto"/>
          <w:sz w:val="22"/>
          <w:szCs w:val="22"/>
          <w:highlight w:val="none"/>
          <w:lang w:val="en-US" w:eastAsia="zh-CN"/>
        </w:rPr>
        <w:t>3.2</w:t>
      </w:r>
      <w:r>
        <w:rPr>
          <w:rFonts w:hint="eastAsia" w:ascii="宋体" w:hAnsi="宋体" w:eastAsia="宋体" w:cs="宋体"/>
          <w:color w:val="auto"/>
          <w:sz w:val="22"/>
          <w:szCs w:val="22"/>
          <w:highlight w:val="none"/>
          <w:lang w:eastAsia="zh-CN"/>
        </w:rPr>
        <w:t>.对</w:t>
      </w:r>
      <w:r>
        <w:rPr>
          <w:rFonts w:hint="eastAsia" w:ascii="宋体" w:hAnsi="宋体" w:eastAsia="宋体" w:cs="宋体"/>
          <w:color w:val="auto"/>
          <w:sz w:val="22"/>
          <w:szCs w:val="22"/>
          <w:highlight w:val="none"/>
          <w:lang w:val="en-US" w:eastAsia="zh-CN"/>
        </w:rPr>
        <w:t>在“信用中国”网站（www.creditchina.gov.cn）、中国政府采购网（www.ccgp.gov.cn）、中国执行信息公开网（http://zxgk.court.gov.cn）等渠道列入重大税收违法案件当事人名单</w:t>
      </w:r>
      <w:r>
        <w:rPr>
          <w:rFonts w:hint="eastAsia" w:ascii="宋体" w:hAnsi="宋体" w:eastAsia="宋体" w:cs="宋体"/>
          <w:color w:val="auto"/>
          <w:sz w:val="22"/>
          <w:szCs w:val="22"/>
          <w:highlight w:val="none"/>
          <w:lang w:eastAsia="zh-CN"/>
        </w:rPr>
        <w:t>、政府采购严重违法失信行为记录名单及其他不符合《中华人民共和国政府采购法》第二十一条规定条件的供应商，不得参与政府采购活动；</w:t>
      </w:r>
      <w:r>
        <w:rPr>
          <w:rFonts w:hint="eastAsia" w:ascii="宋体" w:hAnsi="宋体" w:eastAsia="宋体" w:cs="宋体"/>
          <w:color w:val="auto"/>
          <w:sz w:val="22"/>
          <w:szCs w:val="22"/>
          <w:highlight w:val="none"/>
          <w:lang w:val="en-US" w:eastAsia="zh-CN"/>
        </w:rPr>
        <w:t>3.3</w:t>
      </w:r>
      <w:r>
        <w:rPr>
          <w:rFonts w:hint="eastAsia" w:ascii="宋体" w:hAnsi="宋体" w:eastAsia="宋体" w:cs="宋体"/>
          <w:color w:val="auto"/>
          <w:sz w:val="22"/>
          <w:szCs w:val="22"/>
          <w:highlight w:val="none"/>
          <w:lang w:eastAsia="zh-CN"/>
        </w:rPr>
        <w:t>.已经依法获得采购人和评审专家分别书面推荐的供应商并在规定时间内购买竞争性谈判文件的供应商才有资格参与谈判；</w:t>
      </w:r>
      <w:r>
        <w:rPr>
          <w:rFonts w:hint="eastAsia" w:ascii="宋体" w:hAnsi="宋体" w:eastAsia="宋体" w:cs="宋体"/>
          <w:color w:val="auto"/>
          <w:sz w:val="22"/>
          <w:szCs w:val="22"/>
          <w:highlight w:val="none"/>
          <w:lang w:val="en-US" w:eastAsia="zh-CN"/>
        </w:rPr>
        <w:t>3.4</w:t>
      </w:r>
      <w:r>
        <w:rPr>
          <w:rFonts w:hint="eastAsia" w:ascii="宋体" w:hAnsi="宋体" w:eastAsia="宋体" w:cs="宋体"/>
          <w:color w:val="auto"/>
          <w:sz w:val="22"/>
          <w:szCs w:val="22"/>
          <w:highlight w:val="none"/>
          <w:lang w:eastAsia="zh-CN"/>
        </w:rPr>
        <w:t>.本项目不接受未购买本竞争性谈判文件的供应商竞标。</w:t>
      </w:r>
    </w:p>
    <w:p>
      <w:pPr>
        <w:keepNext w:val="0"/>
        <w:keepLines w:val="0"/>
        <w:pageBreakBefore w:val="0"/>
        <w:kinsoku/>
        <w:wordWrap w:val="0"/>
        <w:overflowPunct/>
        <w:topLinePunct w:val="0"/>
        <w:autoSpaceDE/>
        <w:autoSpaceDN/>
        <w:bidi w:val="0"/>
        <w:spacing w:line="336" w:lineRule="auto"/>
        <w:rPr>
          <w:rFonts w:hint="eastAsia" w:ascii="宋体" w:hAnsi="宋体" w:eastAsia="宋体" w:cs="宋体"/>
          <w:color w:val="auto"/>
          <w:sz w:val="22"/>
          <w:szCs w:val="22"/>
          <w:highlight w:val="none"/>
          <w:lang w:eastAsia="zh-CN"/>
        </w:rPr>
      </w:pPr>
      <w:bookmarkStart w:id="15" w:name="_Toc35393800"/>
      <w:bookmarkStart w:id="16" w:name="_Toc35393631"/>
      <w:r>
        <w:rPr>
          <w:rFonts w:hint="eastAsia" w:ascii="宋体" w:hAnsi="宋体" w:eastAsia="宋体" w:cs="宋体"/>
          <w:b/>
          <w:bCs/>
          <w:color w:val="auto"/>
          <w:sz w:val="22"/>
          <w:szCs w:val="22"/>
          <w:highlight w:val="none"/>
          <w:lang w:eastAsia="zh-CN"/>
        </w:rPr>
        <w:t>三</w:t>
      </w:r>
      <w:r>
        <w:rPr>
          <w:rFonts w:hint="eastAsia" w:ascii="宋体" w:hAnsi="宋体" w:eastAsia="宋体" w:cs="宋体"/>
          <w:b/>
          <w:bCs/>
          <w:color w:val="auto"/>
          <w:sz w:val="22"/>
          <w:szCs w:val="22"/>
          <w:highlight w:val="none"/>
        </w:rPr>
        <w:t>、获取采购文件</w:t>
      </w:r>
      <w:bookmarkEnd w:id="13"/>
      <w:bookmarkEnd w:id="14"/>
      <w:bookmarkEnd w:id="15"/>
      <w:bookmarkEnd w:id="16"/>
    </w:p>
    <w:p>
      <w:pPr>
        <w:keepNext w:val="0"/>
        <w:keepLines w:val="0"/>
        <w:pageBreakBefore w:val="0"/>
        <w:widowControl w:val="0"/>
        <w:kinsoku/>
        <w:wordWrap w:val="0"/>
        <w:overflowPunct/>
        <w:topLinePunct w:val="0"/>
        <w:autoSpaceDE/>
        <w:autoSpaceDN/>
        <w:bidi w:val="0"/>
        <w:adjustRightInd w:val="0"/>
        <w:snapToGrid/>
        <w:spacing w:line="336"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w:t>
      </w:r>
      <w:bookmarkStart w:id="140" w:name="_GoBack"/>
      <w:r>
        <w:rPr>
          <w:rFonts w:hint="eastAsia" w:ascii="宋体" w:hAnsi="宋体" w:eastAsia="宋体" w:cs="宋体"/>
          <w:color w:val="auto"/>
          <w:sz w:val="22"/>
          <w:szCs w:val="22"/>
          <w:highlight w:val="none"/>
          <w:u w:val="single"/>
          <w:lang w:val="en-US" w:eastAsia="zh-CN"/>
        </w:rPr>
        <w:t>2021</w:t>
      </w:r>
      <w:r>
        <w:rPr>
          <w:rFonts w:hint="eastAsia" w:ascii="宋体" w:hAnsi="宋体" w:eastAsia="宋体" w:cs="宋体"/>
          <w:b w:val="0"/>
          <w:bCs w:val="0"/>
          <w:color w:val="auto"/>
          <w:sz w:val="22"/>
          <w:szCs w:val="22"/>
          <w:highlight w:val="none"/>
          <w:u w:val="none"/>
        </w:rPr>
        <w:t>年</w:t>
      </w:r>
      <w:r>
        <w:rPr>
          <w:rFonts w:hint="eastAsia" w:ascii="宋体" w:hAnsi="宋体" w:eastAsia="宋体" w:cs="宋体"/>
          <w:color w:val="auto"/>
          <w:sz w:val="22"/>
          <w:szCs w:val="22"/>
          <w:highlight w:val="none"/>
          <w:u w:val="single"/>
          <w:lang w:val="en-US" w:eastAsia="zh-CN"/>
        </w:rPr>
        <w:t>10</w:t>
      </w:r>
      <w:r>
        <w:rPr>
          <w:rFonts w:hint="eastAsia" w:ascii="宋体" w:hAnsi="宋体" w:eastAsia="宋体" w:cs="宋体"/>
          <w:color w:val="auto"/>
          <w:sz w:val="22"/>
          <w:szCs w:val="22"/>
          <w:highlight w:val="none"/>
          <w:u w:val="none"/>
        </w:rPr>
        <w:t>月</w:t>
      </w:r>
      <w:r>
        <w:rPr>
          <w:rFonts w:hint="eastAsia" w:ascii="宋体" w:hAnsi="宋体" w:eastAsia="宋体" w:cs="宋体"/>
          <w:color w:val="auto"/>
          <w:sz w:val="22"/>
          <w:szCs w:val="22"/>
          <w:highlight w:val="none"/>
          <w:u w:val="single"/>
          <w:lang w:val="en-US" w:eastAsia="zh-CN"/>
        </w:rPr>
        <w:t>9</w:t>
      </w:r>
      <w:r>
        <w:rPr>
          <w:rFonts w:hint="eastAsia" w:ascii="宋体" w:hAnsi="宋体" w:eastAsia="宋体" w:cs="宋体"/>
          <w:color w:val="auto"/>
          <w:sz w:val="22"/>
          <w:szCs w:val="22"/>
          <w:highlight w:val="none"/>
          <w:u w:val="none"/>
        </w:rPr>
        <w:t>日</w:t>
      </w:r>
      <w:r>
        <w:rPr>
          <w:rFonts w:hint="eastAsia" w:ascii="宋体" w:hAnsi="宋体" w:eastAsia="宋体" w:cs="宋体"/>
          <w:color w:val="auto"/>
          <w:sz w:val="22"/>
          <w:szCs w:val="22"/>
          <w:highlight w:val="none"/>
        </w:rPr>
        <w:t>至</w:t>
      </w:r>
      <w:r>
        <w:rPr>
          <w:rFonts w:hint="eastAsia" w:ascii="宋体" w:hAnsi="宋体" w:eastAsia="宋体" w:cs="宋体"/>
          <w:color w:val="auto"/>
          <w:sz w:val="22"/>
          <w:szCs w:val="22"/>
          <w:highlight w:val="none"/>
          <w:u w:val="single"/>
          <w:lang w:val="en-US" w:eastAsia="zh-CN"/>
        </w:rPr>
        <w:t>2021</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lang w:val="en-US" w:eastAsia="zh-CN"/>
        </w:rPr>
        <w:t>10</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lang w:val="en-US" w:eastAsia="zh-CN"/>
        </w:rPr>
        <w:t xml:space="preserve">12 </w:t>
      </w:r>
      <w:r>
        <w:rPr>
          <w:rFonts w:hint="eastAsia" w:ascii="宋体" w:hAnsi="宋体" w:eastAsia="宋体" w:cs="宋体"/>
          <w:color w:val="auto"/>
          <w:sz w:val="22"/>
          <w:szCs w:val="22"/>
          <w:highlight w:val="none"/>
        </w:rPr>
        <w:t>日</w:t>
      </w:r>
      <w:bookmarkEnd w:id="140"/>
      <w:r>
        <w:rPr>
          <w:rFonts w:hint="eastAsia" w:ascii="宋体" w:hAnsi="宋体" w:eastAsia="宋体" w:cs="宋体"/>
          <w:iCs/>
          <w:color w:val="auto"/>
          <w:sz w:val="22"/>
          <w:szCs w:val="22"/>
          <w:highlight w:val="none"/>
          <w:u w:val="single"/>
        </w:rPr>
        <w:t>（</w:t>
      </w:r>
      <w:r>
        <w:rPr>
          <w:rFonts w:hint="eastAsia" w:ascii="宋体" w:hAnsi="宋体" w:eastAsia="宋体" w:cs="宋体"/>
          <w:iCs/>
          <w:color w:val="auto"/>
          <w:sz w:val="22"/>
          <w:szCs w:val="22"/>
          <w:highlight w:val="none"/>
          <w:u w:val="single"/>
          <w:lang w:eastAsia="zh-CN"/>
        </w:rPr>
        <w:t>共3个工作日，法定公休日、法定节假日除外</w:t>
      </w:r>
      <w:r>
        <w:rPr>
          <w:rFonts w:hint="eastAsia" w:ascii="宋体" w:hAnsi="宋体" w:eastAsia="宋体" w:cs="宋体"/>
          <w:iCs/>
          <w:color w:val="auto"/>
          <w:sz w:val="22"/>
          <w:szCs w:val="22"/>
          <w:highlight w:val="none"/>
          <w:u w:val="single"/>
        </w:rPr>
        <w:t>）</w:t>
      </w:r>
      <w:r>
        <w:rPr>
          <w:rFonts w:hint="eastAsia" w:ascii="宋体" w:hAnsi="宋体" w:eastAsia="宋体" w:cs="宋体"/>
          <w:color w:val="auto"/>
          <w:sz w:val="22"/>
          <w:szCs w:val="22"/>
          <w:highlight w:val="none"/>
        </w:rPr>
        <w:t>，每天上午</w:t>
      </w:r>
      <w:r>
        <w:rPr>
          <w:rFonts w:hint="eastAsia" w:ascii="宋体" w:hAnsi="宋体" w:eastAsia="宋体" w:cs="宋体"/>
          <w:color w:val="auto"/>
          <w:sz w:val="22"/>
          <w:szCs w:val="22"/>
          <w:highlight w:val="none"/>
          <w:u w:val="single"/>
          <w:lang w:val="en-US" w:eastAsia="zh-CN"/>
        </w:rPr>
        <w:t>08：30</w:t>
      </w:r>
      <w:r>
        <w:rPr>
          <w:rFonts w:hint="eastAsia" w:ascii="宋体" w:hAnsi="宋体" w:eastAsia="宋体" w:cs="宋体"/>
          <w:color w:val="auto"/>
          <w:sz w:val="22"/>
          <w:szCs w:val="22"/>
          <w:highlight w:val="none"/>
        </w:rPr>
        <w:t>至</w:t>
      </w:r>
      <w:r>
        <w:rPr>
          <w:rFonts w:hint="eastAsia" w:ascii="宋体" w:hAnsi="宋体" w:eastAsia="宋体" w:cs="宋体"/>
          <w:color w:val="auto"/>
          <w:sz w:val="22"/>
          <w:szCs w:val="22"/>
          <w:highlight w:val="none"/>
          <w:u w:val="single"/>
          <w:lang w:val="en-US" w:eastAsia="zh-CN"/>
        </w:rPr>
        <w:t>12：00</w:t>
      </w:r>
      <w:r>
        <w:rPr>
          <w:rFonts w:hint="eastAsia" w:ascii="宋体" w:hAnsi="宋体" w:eastAsia="宋体" w:cs="宋体"/>
          <w:color w:val="auto"/>
          <w:sz w:val="22"/>
          <w:szCs w:val="22"/>
          <w:highlight w:val="none"/>
        </w:rPr>
        <w:t>，下午</w:t>
      </w:r>
      <w:r>
        <w:rPr>
          <w:rFonts w:hint="eastAsia" w:ascii="宋体" w:hAnsi="宋体" w:eastAsia="宋体" w:cs="宋体"/>
          <w:color w:val="auto"/>
          <w:sz w:val="22"/>
          <w:szCs w:val="22"/>
          <w:highlight w:val="none"/>
          <w:u w:val="single"/>
          <w:lang w:val="en-US" w:eastAsia="zh-CN"/>
        </w:rPr>
        <w:t>15：00</w:t>
      </w:r>
      <w:r>
        <w:rPr>
          <w:rFonts w:hint="eastAsia" w:ascii="宋体" w:hAnsi="宋体" w:eastAsia="宋体" w:cs="宋体"/>
          <w:color w:val="auto"/>
          <w:sz w:val="22"/>
          <w:szCs w:val="22"/>
          <w:highlight w:val="none"/>
        </w:rPr>
        <w:t>至</w:t>
      </w:r>
      <w:r>
        <w:rPr>
          <w:rFonts w:hint="eastAsia" w:ascii="宋体" w:hAnsi="宋体" w:eastAsia="宋体" w:cs="宋体"/>
          <w:color w:val="auto"/>
          <w:sz w:val="22"/>
          <w:szCs w:val="22"/>
          <w:highlight w:val="none"/>
          <w:u w:val="single"/>
          <w:lang w:val="en-US" w:eastAsia="zh-CN"/>
        </w:rPr>
        <w:t>18：00</w:t>
      </w:r>
      <w:r>
        <w:rPr>
          <w:rFonts w:hint="eastAsia" w:ascii="宋体" w:hAnsi="宋体" w:eastAsia="宋体" w:cs="宋体"/>
          <w:color w:val="auto"/>
          <w:sz w:val="22"/>
          <w:szCs w:val="22"/>
          <w:highlight w:val="none"/>
        </w:rPr>
        <w:t>（北京时间，法定节假日除外）</w:t>
      </w:r>
    </w:p>
    <w:p>
      <w:pPr>
        <w:keepNext w:val="0"/>
        <w:keepLines w:val="0"/>
        <w:pageBreakBefore w:val="0"/>
        <w:widowControl w:val="0"/>
        <w:kinsoku/>
        <w:wordWrap w:val="0"/>
        <w:overflowPunct/>
        <w:topLinePunct w:val="0"/>
        <w:autoSpaceDE/>
        <w:autoSpaceDN/>
        <w:bidi w:val="0"/>
        <w:adjustRightInd w:val="0"/>
        <w:snapToGrid/>
        <w:spacing w:line="336"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地点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zh-CN" w:eastAsia="zh-CN"/>
        </w:rPr>
        <w:t>广西业隆工程管理服务有限公司</w:t>
      </w:r>
      <w:r>
        <w:rPr>
          <w:rFonts w:hint="eastAsia" w:ascii="宋体" w:hAnsi="宋体" w:eastAsia="宋体" w:cs="宋体"/>
          <w:color w:val="auto"/>
          <w:sz w:val="22"/>
          <w:szCs w:val="22"/>
          <w:highlight w:val="none"/>
          <w:lang w:eastAsia="zh-CN"/>
        </w:rPr>
        <w:t>（百色市右江区龙景西路3号锦华逸景A区2幢1单元2层202、203号）</w:t>
      </w:r>
    </w:p>
    <w:p>
      <w:pPr>
        <w:keepNext w:val="0"/>
        <w:keepLines w:val="0"/>
        <w:pageBreakBefore w:val="0"/>
        <w:widowControl w:val="0"/>
        <w:kinsoku/>
        <w:wordWrap w:val="0"/>
        <w:overflowPunct/>
        <w:topLinePunct w:val="0"/>
        <w:autoSpaceDE/>
        <w:autoSpaceDN/>
        <w:bidi w:val="0"/>
        <w:adjustRightInd w:val="0"/>
        <w:snapToGrid/>
        <w:spacing w:line="336"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方式：</w:t>
      </w:r>
      <w:r>
        <w:rPr>
          <w:rFonts w:hint="eastAsia" w:ascii="宋体" w:hAnsi="宋体" w:eastAsia="宋体" w:cs="宋体"/>
          <w:color w:val="auto"/>
          <w:sz w:val="22"/>
          <w:szCs w:val="22"/>
          <w:highlight w:val="none"/>
          <w:lang w:val="en-US" w:eastAsia="zh-CN"/>
        </w:rPr>
        <w:t>请已经依法获得采购人和评审专家分别书面推荐的竞标人购买竞争性谈判文件在报名时间内携带以下资料前来报名并购买竞争性谈判文件：(1)竞争性谈判推荐邀请书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）法定代表人凭有效法定代表人身份证明书原件和身份证原件或委托代理人凭有效法人授权委托书原件和本人身份证原件。注：以上资料复印件请加盖竞标单位公章，要求公章印清晰可见（与原件一致）。</w:t>
      </w:r>
    </w:p>
    <w:p>
      <w:pPr>
        <w:keepNext w:val="0"/>
        <w:keepLines w:val="0"/>
        <w:pageBreakBefore w:val="0"/>
        <w:widowControl w:val="0"/>
        <w:kinsoku/>
        <w:wordWrap w:val="0"/>
        <w:overflowPunct/>
        <w:topLinePunct w:val="0"/>
        <w:autoSpaceDE/>
        <w:autoSpaceDN/>
        <w:bidi w:val="0"/>
        <w:adjustRightInd w:val="0"/>
        <w:snapToGrid/>
        <w:spacing w:line="336" w:lineRule="auto"/>
        <w:ind w:firstLine="440" w:firstLineChars="200"/>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售价：</w:t>
      </w:r>
      <w:r>
        <w:rPr>
          <w:rFonts w:hint="eastAsia" w:ascii="宋体" w:hAnsi="宋体" w:eastAsia="宋体" w:cs="宋体"/>
          <w:color w:val="auto"/>
          <w:sz w:val="22"/>
          <w:szCs w:val="22"/>
          <w:highlight w:val="none"/>
          <w:lang w:val="en-US" w:eastAsia="zh-CN"/>
        </w:rPr>
        <w:t>0.00元</w:t>
      </w:r>
    </w:p>
    <w:p>
      <w:pPr>
        <w:keepNext w:val="0"/>
        <w:keepLines w:val="0"/>
        <w:pageBreakBefore w:val="0"/>
        <w:kinsoku/>
        <w:wordWrap w:val="0"/>
        <w:overflowPunct/>
        <w:topLinePunct w:val="0"/>
        <w:autoSpaceDE/>
        <w:autoSpaceDN/>
        <w:bidi w:val="0"/>
        <w:spacing w:line="336" w:lineRule="auto"/>
        <w:rPr>
          <w:rFonts w:hint="eastAsia" w:ascii="宋体" w:hAnsi="宋体" w:eastAsia="宋体" w:cs="宋体"/>
          <w:b/>
          <w:bCs/>
          <w:color w:val="auto"/>
          <w:sz w:val="22"/>
          <w:szCs w:val="22"/>
          <w:highlight w:val="none"/>
        </w:rPr>
      </w:pPr>
      <w:bookmarkStart w:id="17" w:name="_Toc28359092"/>
      <w:bookmarkStart w:id="18" w:name="_Toc28359015"/>
      <w:bookmarkStart w:id="19" w:name="_Toc35393801"/>
      <w:bookmarkStart w:id="20" w:name="_Toc35393632"/>
      <w:r>
        <w:rPr>
          <w:rFonts w:hint="eastAsia" w:ascii="宋体" w:hAnsi="宋体" w:eastAsia="宋体" w:cs="宋体"/>
          <w:b/>
          <w:bCs/>
          <w:color w:val="auto"/>
          <w:sz w:val="22"/>
          <w:szCs w:val="22"/>
          <w:highlight w:val="none"/>
          <w:lang w:eastAsia="zh-CN"/>
        </w:rPr>
        <w:t>四</w:t>
      </w:r>
      <w:r>
        <w:rPr>
          <w:rFonts w:hint="eastAsia" w:ascii="宋体" w:hAnsi="宋体" w:eastAsia="宋体" w:cs="宋体"/>
          <w:b/>
          <w:bCs/>
          <w:color w:val="auto"/>
          <w:sz w:val="22"/>
          <w:szCs w:val="22"/>
          <w:highlight w:val="none"/>
        </w:rPr>
        <w:t>、响应文件提交</w:t>
      </w:r>
      <w:bookmarkEnd w:id="17"/>
      <w:bookmarkEnd w:id="18"/>
      <w:bookmarkEnd w:id="19"/>
      <w:bookmarkEnd w:id="20"/>
    </w:p>
    <w:p>
      <w:pPr>
        <w:keepNext w:val="0"/>
        <w:keepLines w:val="0"/>
        <w:pageBreakBefore w:val="0"/>
        <w:widowControl w:val="0"/>
        <w:kinsoku/>
        <w:wordWrap w:val="0"/>
        <w:overflowPunct/>
        <w:topLinePunct w:val="0"/>
        <w:autoSpaceDE/>
        <w:autoSpaceDN/>
        <w:bidi w:val="0"/>
        <w:adjustRightInd w:val="0"/>
        <w:snapToGrid/>
        <w:spacing w:line="336" w:lineRule="auto"/>
        <w:ind w:firstLine="440" w:firstLineChars="200"/>
        <w:textAlignment w:val="auto"/>
        <w:rPr>
          <w:rFonts w:hint="eastAsia" w:ascii="宋体" w:hAnsi="宋体" w:eastAsia="宋体" w:cs="宋体"/>
          <w:bCs/>
          <w:color w:val="auto"/>
          <w:sz w:val="22"/>
          <w:szCs w:val="22"/>
          <w:highlight w:val="none"/>
          <w:u w:val="single"/>
        </w:rPr>
      </w:pPr>
      <w:r>
        <w:rPr>
          <w:rFonts w:hint="eastAsia" w:ascii="宋体" w:hAnsi="宋体" w:eastAsia="宋体" w:cs="宋体"/>
          <w:color w:val="auto"/>
          <w:sz w:val="22"/>
          <w:szCs w:val="22"/>
          <w:highlight w:val="none"/>
        </w:rPr>
        <w:t>截止时间：</w:t>
      </w:r>
      <w:r>
        <w:rPr>
          <w:rFonts w:hint="eastAsia" w:ascii="宋体" w:hAnsi="宋体" w:eastAsia="宋体" w:cs="宋体"/>
          <w:color w:val="auto"/>
          <w:sz w:val="22"/>
          <w:szCs w:val="22"/>
          <w:highlight w:val="none"/>
          <w:u w:val="single"/>
          <w:lang w:val="en-US" w:eastAsia="zh-CN"/>
        </w:rPr>
        <w:t>2021年10月13日 15时30分</w:t>
      </w:r>
      <w:r>
        <w:rPr>
          <w:rFonts w:hint="eastAsia" w:ascii="宋体" w:hAnsi="宋体" w:eastAsia="宋体" w:cs="宋体"/>
          <w:bCs/>
          <w:color w:val="auto"/>
          <w:sz w:val="22"/>
          <w:szCs w:val="22"/>
          <w:highlight w:val="none"/>
        </w:rPr>
        <w:t>（北京时间）</w:t>
      </w:r>
    </w:p>
    <w:p>
      <w:pPr>
        <w:keepNext w:val="0"/>
        <w:keepLines w:val="0"/>
        <w:pageBreakBefore w:val="0"/>
        <w:widowControl w:val="0"/>
        <w:kinsoku/>
        <w:wordWrap w:val="0"/>
        <w:overflowPunct/>
        <w:topLinePunct w:val="0"/>
        <w:autoSpaceDE/>
        <w:autoSpaceDN/>
        <w:bidi w:val="0"/>
        <w:adjustRightInd w:val="0"/>
        <w:snapToGrid/>
        <w:spacing w:line="336"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地点：</w:t>
      </w:r>
      <w:bookmarkStart w:id="21" w:name="_Toc28359016"/>
      <w:bookmarkStart w:id="22" w:name="_Toc35393633"/>
      <w:bookmarkStart w:id="23" w:name="_Toc28359093"/>
      <w:bookmarkStart w:id="24" w:name="_Toc35393802"/>
      <w:r>
        <w:rPr>
          <w:rFonts w:hint="eastAsia" w:ascii="宋体" w:hAnsi="宋体" w:eastAsia="宋体" w:cs="宋体"/>
          <w:color w:val="auto"/>
          <w:sz w:val="22"/>
          <w:szCs w:val="22"/>
          <w:highlight w:val="none"/>
          <w:lang w:val="zh-CN" w:eastAsia="zh-CN"/>
        </w:rPr>
        <w:t>广西业隆工程管理服务有限公司开标室</w:t>
      </w:r>
      <w:r>
        <w:rPr>
          <w:rFonts w:hint="eastAsia" w:ascii="宋体" w:hAnsi="宋体" w:eastAsia="宋体" w:cs="宋体"/>
          <w:color w:val="auto"/>
          <w:sz w:val="22"/>
          <w:szCs w:val="22"/>
          <w:highlight w:val="none"/>
          <w:lang w:eastAsia="zh-CN"/>
        </w:rPr>
        <w:t>（百色市右江区龙景西路3号锦华逸景A区2幢1单元2层202、203号）</w:t>
      </w:r>
    </w:p>
    <w:p>
      <w:pPr>
        <w:keepNext w:val="0"/>
        <w:keepLines w:val="0"/>
        <w:pageBreakBefore w:val="0"/>
        <w:widowControl w:val="0"/>
        <w:kinsoku/>
        <w:wordWrap w:val="0"/>
        <w:overflowPunct/>
        <w:topLinePunct w:val="0"/>
        <w:autoSpaceDE/>
        <w:autoSpaceDN/>
        <w:bidi w:val="0"/>
        <w:adjustRightInd w:val="0"/>
        <w:snapToGrid/>
        <w:spacing w:line="336" w:lineRule="auto"/>
        <w:textAlignment w:val="auto"/>
        <w:rPr>
          <w:rFonts w:hint="eastAsia" w:ascii="宋体" w:hAnsi="宋体" w:eastAsia="宋体" w:cs="宋体"/>
          <w:b w:val="0"/>
          <w:color w:val="auto"/>
          <w:sz w:val="22"/>
          <w:szCs w:val="22"/>
          <w:highlight w:val="none"/>
        </w:rPr>
      </w:pPr>
      <w:r>
        <w:rPr>
          <w:rFonts w:hint="eastAsia" w:ascii="宋体" w:hAnsi="宋体" w:eastAsia="宋体" w:cs="宋体"/>
          <w:b/>
          <w:bCs w:val="0"/>
          <w:color w:val="auto"/>
          <w:sz w:val="22"/>
          <w:szCs w:val="22"/>
          <w:highlight w:val="none"/>
          <w:lang w:eastAsia="zh-CN"/>
        </w:rPr>
        <w:t>五</w:t>
      </w:r>
      <w:r>
        <w:rPr>
          <w:rFonts w:hint="eastAsia" w:ascii="宋体" w:hAnsi="宋体" w:eastAsia="宋体" w:cs="宋体"/>
          <w:b/>
          <w:bCs w:val="0"/>
          <w:color w:val="auto"/>
          <w:sz w:val="22"/>
          <w:szCs w:val="22"/>
          <w:highlight w:val="none"/>
        </w:rPr>
        <w:t>、开启</w:t>
      </w:r>
      <w:bookmarkEnd w:id="21"/>
      <w:bookmarkEnd w:id="22"/>
      <w:bookmarkEnd w:id="23"/>
      <w:bookmarkEnd w:id="24"/>
    </w:p>
    <w:p>
      <w:pPr>
        <w:keepNext w:val="0"/>
        <w:keepLines w:val="0"/>
        <w:pageBreakBefore w:val="0"/>
        <w:widowControl w:val="0"/>
        <w:kinsoku/>
        <w:wordWrap w:val="0"/>
        <w:overflowPunct/>
        <w:topLinePunct w:val="0"/>
        <w:autoSpaceDE/>
        <w:autoSpaceDN/>
        <w:bidi w:val="0"/>
        <w:adjustRightInd w:val="0"/>
        <w:snapToGrid/>
        <w:spacing w:line="336" w:lineRule="auto"/>
        <w:ind w:firstLine="440" w:firstLineChars="200"/>
        <w:textAlignment w:val="auto"/>
        <w:rPr>
          <w:rFonts w:hint="eastAsia" w:ascii="宋体" w:hAnsi="宋体" w:eastAsia="宋体" w:cs="宋体"/>
          <w:bCs/>
          <w:color w:val="auto"/>
          <w:sz w:val="22"/>
          <w:szCs w:val="22"/>
          <w:highlight w:val="none"/>
          <w:u w:val="single"/>
        </w:rPr>
      </w:pPr>
      <w:r>
        <w:rPr>
          <w:rFonts w:hint="eastAsia" w:ascii="宋体" w:hAnsi="宋体" w:eastAsia="宋体" w:cs="宋体"/>
          <w:color w:val="auto"/>
          <w:sz w:val="22"/>
          <w:szCs w:val="22"/>
          <w:highlight w:val="none"/>
        </w:rPr>
        <w:t>时间：</w:t>
      </w:r>
      <w:r>
        <w:rPr>
          <w:rFonts w:hint="eastAsia" w:ascii="宋体" w:hAnsi="宋体" w:eastAsia="宋体" w:cs="宋体"/>
          <w:color w:val="auto"/>
          <w:sz w:val="22"/>
          <w:szCs w:val="22"/>
          <w:highlight w:val="none"/>
          <w:u w:val="single"/>
          <w:lang w:val="en-US" w:eastAsia="zh-CN"/>
        </w:rPr>
        <w:t>2021年10月13日15 时30分</w:t>
      </w:r>
      <w:r>
        <w:rPr>
          <w:rFonts w:hint="eastAsia" w:ascii="宋体" w:hAnsi="宋体" w:eastAsia="宋体" w:cs="宋体"/>
          <w:color w:val="auto"/>
          <w:sz w:val="22"/>
          <w:szCs w:val="22"/>
          <w:highlight w:val="none"/>
          <w:u w:val="none"/>
          <w:lang w:val="en-US" w:eastAsia="zh-CN"/>
        </w:rPr>
        <w:t>（北京时间）</w:t>
      </w:r>
    </w:p>
    <w:p>
      <w:pPr>
        <w:keepNext w:val="0"/>
        <w:keepLines w:val="0"/>
        <w:pageBreakBefore w:val="0"/>
        <w:widowControl w:val="0"/>
        <w:kinsoku/>
        <w:wordWrap w:val="0"/>
        <w:overflowPunct/>
        <w:topLinePunct w:val="0"/>
        <w:autoSpaceDE/>
        <w:autoSpaceDN/>
        <w:bidi w:val="0"/>
        <w:adjustRightInd w:val="0"/>
        <w:snapToGrid/>
        <w:spacing w:line="336"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地点：</w:t>
      </w:r>
      <w:r>
        <w:rPr>
          <w:rFonts w:hint="eastAsia" w:ascii="宋体" w:hAnsi="宋体" w:eastAsia="宋体" w:cs="宋体"/>
          <w:color w:val="auto"/>
          <w:sz w:val="22"/>
          <w:szCs w:val="22"/>
          <w:highlight w:val="none"/>
          <w:lang w:val="zh-CN" w:eastAsia="zh-CN"/>
        </w:rPr>
        <w:t>广西业隆工程管理服务有限公司开标室</w:t>
      </w:r>
      <w:r>
        <w:rPr>
          <w:rFonts w:hint="eastAsia" w:ascii="宋体" w:hAnsi="宋体" w:eastAsia="宋体" w:cs="宋体"/>
          <w:color w:val="auto"/>
          <w:sz w:val="22"/>
          <w:szCs w:val="22"/>
          <w:highlight w:val="none"/>
          <w:lang w:eastAsia="zh-CN"/>
        </w:rPr>
        <w:t>（百色市右江区龙景西路3号锦华逸景A区2幢1单元2层202、203号）</w:t>
      </w:r>
    </w:p>
    <w:p>
      <w:pPr>
        <w:keepNext w:val="0"/>
        <w:keepLines w:val="0"/>
        <w:pageBreakBefore w:val="0"/>
        <w:kinsoku/>
        <w:wordWrap w:val="0"/>
        <w:overflowPunct/>
        <w:topLinePunct w:val="0"/>
        <w:autoSpaceDE/>
        <w:autoSpaceDN/>
        <w:bidi w:val="0"/>
        <w:spacing w:line="336" w:lineRule="auto"/>
        <w:rPr>
          <w:rFonts w:hint="eastAsia" w:ascii="宋体" w:hAnsi="宋体" w:eastAsia="宋体" w:cs="宋体"/>
          <w:b/>
          <w:bCs/>
          <w:color w:val="auto"/>
          <w:sz w:val="22"/>
          <w:szCs w:val="22"/>
          <w:highlight w:val="none"/>
        </w:rPr>
      </w:pPr>
      <w:bookmarkStart w:id="25" w:name="_Toc35393803"/>
      <w:bookmarkStart w:id="26" w:name="_Toc28359094"/>
      <w:bookmarkStart w:id="27" w:name="_Toc35393634"/>
      <w:bookmarkStart w:id="28" w:name="_Toc28359017"/>
      <w:r>
        <w:rPr>
          <w:rFonts w:hint="eastAsia" w:ascii="宋体" w:hAnsi="宋体" w:eastAsia="宋体" w:cs="宋体"/>
          <w:b/>
          <w:bCs/>
          <w:color w:val="auto"/>
          <w:sz w:val="22"/>
          <w:szCs w:val="22"/>
          <w:highlight w:val="none"/>
          <w:lang w:eastAsia="zh-CN"/>
        </w:rPr>
        <w:t>六</w:t>
      </w:r>
      <w:r>
        <w:rPr>
          <w:rFonts w:hint="eastAsia" w:ascii="宋体" w:hAnsi="宋体" w:eastAsia="宋体" w:cs="宋体"/>
          <w:b/>
          <w:bCs/>
          <w:color w:val="auto"/>
          <w:sz w:val="22"/>
          <w:szCs w:val="22"/>
          <w:highlight w:val="none"/>
        </w:rPr>
        <w:t>、公告期限</w:t>
      </w:r>
      <w:bookmarkEnd w:id="25"/>
      <w:bookmarkEnd w:id="26"/>
      <w:bookmarkEnd w:id="27"/>
      <w:bookmarkEnd w:id="28"/>
    </w:p>
    <w:p>
      <w:pPr>
        <w:keepNext w:val="0"/>
        <w:keepLines w:val="0"/>
        <w:pageBreakBefore w:val="0"/>
        <w:kinsoku/>
        <w:wordWrap w:val="0"/>
        <w:overflowPunct/>
        <w:topLinePunct w:val="0"/>
        <w:autoSpaceDE/>
        <w:autoSpaceDN/>
        <w:bidi w:val="0"/>
        <w:spacing w:line="336"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自本公告发布之日起3个工作日。</w:t>
      </w:r>
      <w:bookmarkStart w:id="29" w:name="_Toc35393635"/>
      <w:bookmarkStart w:id="30" w:name="_Toc35393804"/>
    </w:p>
    <w:p>
      <w:pPr>
        <w:keepNext w:val="0"/>
        <w:keepLines w:val="0"/>
        <w:pageBreakBefore w:val="0"/>
        <w:kinsoku/>
        <w:wordWrap w:val="0"/>
        <w:overflowPunct/>
        <w:topLinePunct w:val="0"/>
        <w:autoSpaceDE/>
        <w:autoSpaceDN/>
        <w:bidi w:val="0"/>
        <w:spacing w:line="336" w:lineRule="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eastAsia="zh-CN"/>
        </w:rPr>
        <w:t>七</w:t>
      </w:r>
      <w:r>
        <w:rPr>
          <w:rFonts w:hint="eastAsia" w:ascii="宋体" w:hAnsi="宋体" w:eastAsia="宋体" w:cs="宋体"/>
          <w:b/>
          <w:bCs/>
          <w:color w:val="auto"/>
          <w:sz w:val="22"/>
          <w:szCs w:val="22"/>
          <w:highlight w:val="none"/>
        </w:rPr>
        <w:t>、其他补充事宜</w:t>
      </w:r>
      <w:bookmarkEnd w:id="29"/>
      <w:bookmarkEnd w:id="30"/>
    </w:p>
    <w:p>
      <w:pPr>
        <w:keepNext w:val="0"/>
        <w:keepLines w:val="0"/>
        <w:pageBreakBefore w:val="0"/>
        <w:widowControl w:val="0"/>
        <w:kinsoku/>
        <w:wordWrap w:val="0"/>
        <w:overflowPunct/>
        <w:topLinePunct w:val="0"/>
        <w:autoSpaceDE/>
        <w:autoSpaceDN/>
        <w:bidi w:val="0"/>
        <w:adjustRightInd w:val="0"/>
        <w:snapToGrid/>
        <w:spacing w:line="336" w:lineRule="auto"/>
        <w:ind w:firstLine="440" w:firstLineChars="200"/>
        <w:textAlignment w:val="auto"/>
        <w:rPr>
          <w:rFonts w:hint="eastAsia" w:ascii="宋体" w:hAnsi="宋体" w:eastAsia="宋体" w:cs="宋体"/>
          <w:b w:val="0"/>
          <w:bCs w:val="0"/>
          <w:color w:val="auto"/>
          <w:sz w:val="22"/>
          <w:szCs w:val="22"/>
          <w:highlight w:val="none"/>
          <w:lang w:val="en-US" w:eastAsia="zh-CN"/>
        </w:rPr>
      </w:pPr>
      <w:bookmarkStart w:id="31" w:name="_Toc28359018"/>
      <w:bookmarkStart w:id="32" w:name="_Toc28359095"/>
      <w:bookmarkStart w:id="33" w:name="_Toc35393805"/>
      <w:bookmarkStart w:id="34" w:name="_Toc35393636"/>
      <w:r>
        <w:rPr>
          <w:rFonts w:hint="eastAsia" w:ascii="宋体" w:hAnsi="宋体" w:eastAsia="宋体" w:cs="宋体"/>
          <w:b w:val="0"/>
          <w:bCs w:val="0"/>
          <w:color w:val="auto"/>
          <w:sz w:val="22"/>
          <w:szCs w:val="22"/>
          <w:highlight w:val="none"/>
          <w:lang w:val="en-US" w:eastAsia="zh-CN"/>
        </w:rPr>
        <w:t>1.根据《政府采购非招标采购方式管理办法》第十二条：“采购人、采购代理机构应当通过发布公告、从省级以上财政部门建立的供应商库中随机抽取或者采购人和评审专家分别书面推荐的方式邀请不少于3家符合相应资格条件的供应商参与竞争性谈判或者询价采购活动。”的规定，本项目采用由采购人和评审专家分别书面推荐的方式邀请不少于3家符合相应资格条件的供应商参与本次采购活动。</w:t>
      </w:r>
    </w:p>
    <w:p>
      <w:pPr>
        <w:keepNext w:val="0"/>
        <w:keepLines w:val="0"/>
        <w:pageBreakBefore w:val="0"/>
        <w:widowControl w:val="0"/>
        <w:numPr>
          <w:ilvl w:val="0"/>
          <w:numId w:val="0"/>
        </w:numPr>
        <w:kinsoku/>
        <w:wordWrap w:val="0"/>
        <w:overflowPunct/>
        <w:topLinePunct w:val="0"/>
        <w:autoSpaceDE/>
        <w:autoSpaceDN/>
        <w:bidi w:val="0"/>
        <w:adjustRightInd w:val="0"/>
        <w:snapToGrid/>
        <w:spacing w:line="336" w:lineRule="auto"/>
        <w:ind w:firstLine="440" w:firstLineChars="20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本项目需要落实的政府采购政策：《政府采购促进中小企业发展管理办法》的通知(财库(2020)46号)、《财政部、司法部关于政府采购支持监狱企业发展有关问题的通知》（财库[2014]68号）、《关于促进残疾人就业政府采购政策的通知》（财库〔2018〕141号）等政府采购相关政策。</w:t>
      </w:r>
    </w:p>
    <w:p>
      <w:pPr>
        <w:keepNext w:val="0"/>
        <w:keepLines w:val="0"/>
        <w:pageBreakBefore w:val="0"/>
        <w:widowControl w:val="0"/>
        <w:numPr>
          <w:ilvl w:val="0"/>
          <w:numId w:val="0"/>
        </w:numPr>
        <w:kinsoku/>
        <w:wordWrap w:val="0"/>
        <w:overflowPunct/>
        <w:topLinePunct w:val="0"/>
        <w:autoSpaceDE/>
        <w:autoSpaceDN/>
        <w:bidi w:val="0"/>
        <w:adjustRightInd w:val="0"/>
        <w:snapToGrid/>
        <w:spacing w:line="336" w:lineRule="auto"/>
        <w:ind w:firstLine="440" w:firstLineChars="20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3.网上查询地址：中国政府采购网（http://www.ccgp.gov.cn）、广西壮族自治区政府采购网（http://zfcg.gxzf.gov.cn）。</w:t>
      </w:r>
    </w:p>
    <w:p>
      <w:pPr>
        <w:keepNext w:val="0"/>
        <w:keepLines w:val="0"/>
        <w:pageBreakBefore w:val="0"/>
        <w:widowControl w:val="0"/>
        <w:kinsoku/>
        <w:wordWrap w:val="0"/>
        <w:overflowPunct/>
        <w:topLinePunct w:val="0"/>
        <w:autoSpaceDE/>
        <w:autoSpaceDN/>
        <w:bidi w:val="0"/>
        <w:adjustRightInd w:val="0"/>
        <w:snapToGrid/>
        <w:spacing w:line="336"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4.监督部门：隆林各族自治县政府采购服务中心  电话：0776-8216909</w:t>
      </w:r>
    </w:p>
    <w:p>
      <w:pPr>
        <w:keepNext w:val="0"/>
        <w:keepLines w:val="0"/>
        <w:pageBreakBefore w:val="0"/>
        <w:widowControl w:val="0"/>
        <w:kinsoku/>
        <w:wordWrap w:val="0"/>
        <w:overflowPunct/>
        <w:topLinePunct w:val="0"/>
        <w:autoSpaceDE/>
        <w:autoSpaceDN/>
        <w:bidi w:val="0"/>
        <w:adjustRightInd w:val="0"/>
        <w:snapToGrid/>
        <w:spacing w:line="336" w:lineRule="auto"/>
        <w:textAlignment w:val="auto"/>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eastAsia="zh-CN"/>
        </w:rPr>
        <w:t>八</w:t>
      </w:r>
      <w:r>
        <w:rPr>
          <w:rFonts w:hint="eastAsia" w:ascii="宋体" w:hAnsi="宋体" w:eastAsia="宋体" w:cs="宋体"/>
          <w:b/>
          <w:bCs w:val="0"/>
          <w:color w:val="auto"/>
          <w:sz w:val="22"/>
          <w:szCs w:val="22"/>
          <w:highlight w:val="none"/>
        </w:rPr>
        <w:t>、凡对本次采购提出询问，请按以下方式联系</w:t>
      </w:r>
      <w:r>
        <w:rPr>
          <w:rFonts w:hint="eastAsia" w:ascii="宋体" w:hAnsi="宋体" w:eastAsia="宋体" w:cs="宋体"/>
          <w:b/>
          <w:bCs w:val="0"/>
          <w:color w:val="auto"/>
          <w:sz w:val="22"/>
          <w:szCs w:val="22"/>
          <w:highlight w:val="none"/>
          <w:lang w:eastAsia="zh-CN"/>
        </w:rPr>
        <w:t>。</w:t>
      </w:r>
    </w:p>
    <w:bookmarkEnd w:id="31"/>
    <w:bookmarkEnd w:id="32"/>
    <w:bookmarkEnd w:id="33"/>
    <w:bookmarkEnd w:id="34"/>
    <w:p>
      <w:pPr>
        <w:keepNext w:val="0"/>
        <w:keepLines w:val="0"/>
        <w:pageBreakBefore w:val="0"/>
        <w:widowControl w:val="0"/>
        <w:kinsoku/>
        <w:wordWrap w:val="0"/>
        <w:overflowPunct/>
        <w:topLinePunct w:val="0"/>
        <w:autoSpaceDE/>
        <w:autoSpaceDN/>
        <w:bidi w:val="0"/>
        <w:adjustRightInd w:val="0"/>
        <w:snapToGrid/>
        <w:spacing w:line="336" w:lineRule="auto"/>
        <w:ind w:firstLine="440" w:firstLineChars="200"/>
        <w:textAlignment w:val="auto"/>
        <w:rPr>
          <w:rFonts w:hint="eastAsia" w:ascii="宋体" w:hAnsi="宋体" w:eastAsia="宋体" w:cs="宋体"/>
          <w:b w:val="0"/>
          <w:bCs/>
          <w:color w:val="auto"/>
          <w:sz w:val="22"/>
          <w:szCs w:val="22"/>
          <w:highlight w:val="none"/>
        </w:rPr>
      </w:pPr>
      <w:bookmarkStart w:id="35" w:name="_Toc28359019"/>
      <w:bookmarkStart w:id="36" w:name="_Toc35393637"/>
      <w:bookmarkStart w:id="37" w:name="_Toc35393806"/>
      <w:bookmarkStart w:id="38" w:name="_Toc28359096"/>
      <w:r>
        <w:rPr>
          <w:rFonts w:hint="eastAsia" w:ascii="宋体" w:hAnsi="宋体" w:eastAsia="宋体" w:cs="宋体"/>
          <w:b w:val="0"/>
          <w:bCs/>
          <w:color w:val="auto"/>
          <w:sz w:val="22"/>
          <w:szCs w:val="22"/>
          <w:highlight w:val="none"/>
        </w:rPr>
        <w:t>1.采购人信息</w:t>
      </w:r>
      <w:bookmarkEnd w:id="35"/>
      <w:bookmarkEnd w:id="36"/>
      <w:bookmarkEnd w:id="37"/>
      <w:bookmarkEnd w:id="38"/>
    </w:p>
    <w:p>
      <w:pPr>
        <w:keepNext w:val="0"/>
        <w:keepLines w:val="0"/>
        <w:pageBreakBefore w:val="0"/>
        <w:widowControl w:val="0"/>
        <w:kinsoku/>
        <w:wordWrap w:val="0"/>
        <w:overflowPunct/>
        <w:topLinePunct w:val="0"/>
        <w:autoSpaceDE/>
        <w:autoSpaceDN/>
        <w:bidi w:val="0"/>
        <w:adjustRightInd w:val="0"/>
        <w:snapToGrid/>
        <w:spacing w:line="336" w:lineRule="auto"/>
        <w:ind w:firstLine="440" w:firstLineChars="200"/>
        <w:textAlignment w:val="auto"/>
        <w:rPr>
          <w:rFonts w:hint="eastAsia" w:ascii="宋体" w:hAnsi="宋体" w:eastAsia="宋体" w:cs="宋体"/>
          <w:b w:val="0"/>
          <w:bCs/>
          <w:color w:val="auto"/>
          <w:sz w:val="22"/>
          <w:szCs w:val="22"/>
          <w:highlight w:val="none"/>
          <w:lang w:val="zh-CN" w:eastAsia="zh-CN"/>
        </w:rPr>
      </w:pPr>
      <w:r>
        <w:rPr>
          <w:rFonts w:hint="eastAsia" w:ascii="宋体" w:hAnsi="宋体" w:eastAsia="宋体" w:cs="宋体"/>
          <w:b w:val="0"/>
          <w:bCs/>
          <w:color w:val="auto"/>
          <w:sz w:val="22"/>
          <w:szCs w:val="22"/>
          <w:highlight w:val="none"/>
        </w:rPr>
        <w:t>名称：</w:t>
      </w:r>
      <w:r>
        <w:rPr>
          <w:rFonts w:hint="eastAsia" w:ascii="宋体" w:hAnsi="宋体" w:eastAsia="宋体" w:cs="宋体"/>
          <w:b w:val="0"/>
          <w:bCs/>
          <w:color w:val="auto"/>
          <w:sz w:val="22"/>
          <w:szCs w:val="22"/>
          <w:highlight w:val="none"/>
          <w:lang w:val="zh-CN" w:eastAsia="zh-CN"/>
        </w:rPr>
        <w:t>隆林各族自治县桠杈镇人民政府</w:t>
      </w:r>
    </w:p>
    <w:p>
      <w:pPr>
        <w:keepNext w:val="0"/>
        <w:keepLines w:val="0"/>
        <w:pageBreakBefore w:val="0"/>
        <w:widowControl w:val="0"/>
        <w:kinsoku/>
        <w:wordWrap w:val="0"/>
        <w:overflowPunct/>
        <w:topLinePunct w:val="0"/>
        <w:autoSpaceDE/>
        <w:autoSpaceDN/>
        <w:bidi w:val="0"/>
        <w:adjustRightInd w:val="0"/>
        <w:snapToGrid/>
        <w:spacing w:line="336" w:lineRule="auto"/>
        <w:ind w:firstLine="440" w:firstLineChars="200"/>
        <w:textAlignment w:val="auto"/>
        <w:rPr>
          <w:rFonts w:hint="eastAsia" w:ascii="宋体" w:hAnsi="宋体" w:eastAsia="宋体" w:cs="宋体"/>
          <w:b w:val="0"/>
          <w:bCs/>
          <w:color w:val="auto"/>
          <w:sz w:val="22"/>
          <w:szCs w:val="22"/>
          <w:highlight w:val="none"/>
          <w:lang w:val="zh-CN" w:eastAsia="zh-CN"/>
        </w:rPr>
      </w:pPr>
      <w:r>
        <w:rPr>
          <w:rFonts w:hint="eastAsia" w:ascii="宋体" w:hAnsi="宋体" w:eastAsia="宋体" w:cs="宋体"/>
          <w:b w:val="0"/>
          <w:bCs/>
          <w:color w:val="auto"/>
          <w:sz w:val="22"/>
          <w:szCs w:val="22"/>
          <w:highlight w:val="none"/>
        </w:rPr>
        <w:t>地址：</w:t>
      </w:r>
      <w:r>
        <w:rPr>
          <w:rFonts w:hint="eastAsia" w:ascii="宋体" w:hAnsi="宋体" w:eastAsia="宋体" w:cs="宋体"/>
          <w:b w:val="0"/>
          <w:bCs/>
          <w:color w:val="auto"/>
          <w:sz w:val="22"/>
          <w:szCs w:val="22"/>
          <w:highlight w:val="none"/>
          <w:lang w:eastAsia="zh-CN"/>
        </w:rPr>
        <w:t>隆林各族自治县桠杈镇人民政府</w:t>
      </w:r>
    </w:p>
    <w:p>
      <w:pPr>
        <w:keepNext w:val="0"/>
        <w:keepLines w:val="0"/>
        <w:pageBreakBefore w:val="0"/>
        <w:widowControl w:val="0"/>
        <w:kinsoku/>
        <w:wordWrap w:val="0"/>
        <w:overflowPunct/>
        <w:topLinePunct w:val="0"/>
        <w:autoSpaceDE/>
        <w:autoSpaceDN/>
        <w:bidi w:val="0"/>
        <w:adjustRightInd w:val="0"/>
        <w:snapToGrid/>
        <w:spacing w:line="336" w:lineRule="auto"/>
        <w:ind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rPr>
        <w:t>联系方式：</w:t>
      </w:r>
      <w:bookmarkStart w:id="39" w:name="_Toc28359020"/>
      <w:bookmarkStart w:id="40" w:name="_Toc35393638"/>
      <w:bookmarkStart w:id="41" w:name="_Toc28359097"/>
      <w:bookmarkStart w:id="42" w:name="_Toc35393807"/>
      <w:r>
        <w:rPr>
          <w:rFonts w:hint="eastAsia" w:ascii="宋体" w:hAnsi="宋体" w:eastAsia="宋体" w:cs="宋体"/>
          <w:b w:val="0"/>
          <w:bCs/>
          <w:color w:val="auto"/>
          <w:sz w:val="22"/>
          <w:szCs w:val="22"/>
          <w:highlight w:val="none"/>
          <w:lang w:val="en-US" w:eastAsia="zh-CN"/>
        </w:rPr>
        <w:t>农惠云/18177694622</w:t>
      </w:r>
    </w:p>
    <w:bookmarkEnd w:id="39"/>
    <w:bookmarkEnd w:id="40"/>
    <w:bookmarkEnd w:id="41"/>
    <w:bookmarkEnd w:id="42"/>
    <w:p>
      <w:pPr>
        <w:keepNext w:val="0"/>
        <w:keepLines w:val="0"/>
        <w:pageBreakBefore w:val="0"/>
        <w:widowControl w:val="0"/>
        <w:kinsoku/>
        <w:wordWrap w:val="0"/>
        <w:overflowPunct/>
        <w:topLinePunct w:val="0"/>
        <w:autoSpaceDE/>
        <w:autoSpaceDN/>
        <w:bidi w:val="0"/>
        <w:snapToGrid/>
        <w:spacing w:line="336" w:lineRule="auto"/>
        <w:ind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2.采购代理机构信息</w:t>
      </w:r>
    </w:p>
    <w:p>
      <w:pPr>
        <w:keepNext w:val="0"/>
        <w:keepLines w:val="0"/>
        <w:pageBreakBefore w:val="0"/>
        <w:widowControl w:val="0"/>
        <w:kinsoku/>
        <w:wordWrap w:val="0"/>
        <w:overflowPunct/>
        <w:topLinePunct w:val="0"/>
        <w:autoSpaceDE/>
        <w:autoSpaceDN/>
        <w:bidi w:val="0"/>
        <w:snapToGrid/>
        <w:spacing w:line="336" w:lineRule="auto"/>
        <w:ind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名称：广西业隆工程管理服务有限公司</w:t>
      </w:r>
    </w:p>
    <w:p>
      <w:pPr>
        <w:keepNext w:val="0"/>
        <w:keepLines w:val="0"/>
        <w:pageBreakBefore w:val="0"/>
        <w:widowControl w:val="0"/>
        <w:kinsoku/>
        <w:wordWrap w:val="0"/>
        <w:overflowPunct/>
        <w:topLinePunct w:val="0"/>
        <w:autoSpaceDE/>
        <w:autoSpaceDN/>
        <w:bidi w:val="0"/>
        <w:snapToGrid/>
        <w:spacing w:line="336" w:lineRule="auto"/>
        <w:ind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地址：百色市右江区龙景西路3号锦华逸景A区2幢1单元2层202、203号</w:t>
      </w:r>
    </w:p>
    <w:p>
      <w:pPr>
        <w:keepNext w:val="0"/>
        <w:keepLines w:val="0"/>
        <w:pageBreakBefore w:val="0"/>
        <w:widowControl w:val="0"/>
        <w:kinsoku/>
        <w:wordWrap w:val="0"/>
        <w:overflowPunct/>
        <w:topLinePunct w:val="0"/>
        <w:autoSpaceDE/>
        <w:autoSpaceDN/>
        <w:bidi w:val="0"/>
        <w:snapToGrid/>
        <w:spacing w:line="336" w:lineRule="auto"/>
        <w:ind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联系方式：舒乾珍/17776172627</w:t>
      </w:r>
    </w:p>
    <w:p>
      <w:pPr>
        <w:keepNext w:val="0"/>
        <w:keepLines w:val="0"/>
        <w:pageBreakBefore w:val="0"/>
        <w:widowControl w:val="0"/>
        <w:kinsoku/>
        <w:wordWrap w:val="0"/>
        <w:overflowPunct/>
        <w:topLinePunct w:val="0"/>
        <w:autoSpaceDE/>
        <w:autoSpaceDN/>
        <w:bidi w:val="0"/>
        <w:snapToGrid/>
        <w:spacing w:line="336" w:lineRule="auto"/>
        <w:ind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3.项目联系方式</w:t>
      </w:r>
    </w:p>
    <w:p>
      <w:pPr>
        <w:keepNext w:val="0"/>
        <w:keepLines w:val="0"/>
        <w:pageBreakBefore w:val="0"/>
        <w:widowControl w:val="0"/>
        <w:kinsoku/>
        <w:wordWrap w:val="0"/>
        <w:overflowPunct/>
        <w:topLinePunct w:val="0"/>
        <w:autoSpaceDE/>
        <w:autoSpaceDN/>
        <w:bidi w:val="0"/>
        <w:snapToGrid/>
        <w:spacing w:line="336" w:lineRule="auto"/>
        <w:ind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项目联系人：舒乾珍/17776172627</w:t>
      </w:r>
    </w:p>
    <w:p>
      <w:pPr>
        <w:pStyle w:val="7"/>
        <w:pageBreakBefore w:val="0"/>
        <w:kinsoku/>
        <w:wordWrap w:val="0"/>
        <w:overflowPunct/>
        <w:topLinePunct w:val="0"/>
        <w:bidi w:val="0"/>
        <w:spacing w:line="336" w:lineRule="auto"/>
        <w:ind w:left="0" w:leftChars="0" w:firstLine="0" w:firstLineChars="0"/>
        <w:rPr>
          <w:rFonts w:hint="eastAsia" w:ascii="宋体" w:hAnsi="宋体" w:eastAsia="宋体" w:cs="宋体"/>
          <w:sz w:val="22"/>
          <w:szCs w:val="22"/>
        </w:rPr>
      </w:pPr>
    </w:p>
    <w:p>
      <w:pPr>
        <w:keepNext w:val="0"/>
        <w:keepLines w:val="0"/>
        <w:pageBreakBefore w:val="0"/>
        <w:kinsoku/>
        <w:wordWrap w:val="0"/>
        <w:overflowPunct/>
        <w:topLinePunct w:val="0"/>
        <w:autoSpaceDE/>
        <w:autoSpaceDN/>
        <w:bidi w:val="0"/>
        <w:spacing w:line="336"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广西业隆工程管理服务有限公司</w:t>
      </w:r>
    </w:p>
    <w:p>
      <w:pPr>
        <w:pageBreakBefore w:val="0"/>
        <w:kinsoku/>
        <w:wordWrap w:val="0"/>
        <w:overflowPunct/>
        <w:topLinePunct w:val="0"/>
        <w:bidi w:val="0"/>
        <w:adjustRightInd/>
        <w:snapToGrid/>
        <w:spacing w:after="0" w:line="336" w:lineRule="auto"/>
        <w:rPr>
          <w:rFonts w:hint="eastAsia" w:ascii="宋体" w:hAnsi="宋体" w:eastAsia="宋体" w:cs="宋体"/>
          <w:b/>
          <w:color w:val="auto"/>
          <w:sz w:val="32"/>
          <w:szCs w:val="3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202</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 xml:space="preserve">8 </w:t>
      </w:r>
      <w:r>
        <w:rPr>
          <w:rFonts w:hint="eastAsia" w:ascii="宋体" w:hAnsi="宋体" w:eastAsia="宋体" w:cs="宋体"/>
          <w:color w:val="auto"/>
          <w:sz w:val="22"/>
          <w:szCs w:val="22"/>
          <w:highlight w:val="none"/>
        </w:rPr>
        <w:t>日</w:t>
      </w:r>
      <w:r>
        <w:rPr>
          <w:rFonts w:hint="eastAsia" w:ascii="宋体" w:hAnsi="宋体" w:eastAsia="宋体" w:cs="宋体"/>
          <w:b/>
          <w:color w:val="auto"/>
          <w:sz w:val="32"/>
          <w:szCs w:val="32"/>
          <w:highlight w:val="none"/>
        </w:rPr>
        <w:br w:type="page"/>
      </w:r>
    </w:p>
    <w:p>
      <w:pPr>
        <w:pStyle w:val="42"/>
        <w:pageBreakBefore w:val="0"/>
        <w:kinsoku/>
        <w:wordWrap w:val="0"/>
        <w:overflowPunct/>
        <w:topLinePunct w:val="0"/>
        <w:bidi w:val="0"/>
        <w:spacing w:line="336" w:lineRule="auto"/>
        <w:outlineLvl w:val="0"/>
        <w:rPr>
          <w:rFonts w:hint="eastAsia" w:ascii="宋体" w:hAnsi="宋体" w:eastAsia="宋体" w:cs="宋体"/>
          <w:color w:val="auto"/>
          <w:sz w:val="24"/>
          <w:highlight w:val="none"/>
        </w:rPr>
      </w:pPr>
      <w:bookmarkStart w:id="43" w:name="_Toc23047"/>
      <w:bookmarkStart w:id="44" w:name="_Toc17816967"/>
      <w:bookmarkStart w:id="45" w:name="_Toc28352"/>
      <w:r>
        <w:rPr>
          <w:rFonts w:hint="eastAsia" w:ascii="宋体" w:hAnsi="宋体" w:eastAsia="宋体" w:cs="宋体"/>
          <w:color w:val="auto"/>
          <w:highlight w:val="none"/>
        </w:rPr>
        <w:t>第二章</w:t>
      </w:r>
      <w:bookmarkEnd w:id="4"/>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竞标人须知</w:t>
      </w:r>
      <w:bookmarkEnd w:id="43"/>
      <w:bookmarkEnd w:id="44"/>
      <w:bookmarkEnd w:id="45"/>
    </w:p>
    <w:p>
      <w:pPr>
        <w:pStyle w:val="43"/>
        <w:pageBreakBefore w:val="0"/>
        <w:kinsoku/>
        <w:wordWrap w:val="0"/>
        <w:overflowPunct/>
        <w:topLinePunct w:val="0"/>
        <w:bidi w:val="0"/>
        <w:spacing w:line="336" w:lineRule="auto"/>
        <w:outlineLvl w:val="1"/>
        <w:rPr>
          <w:rFonts w:hint="eastAsia" w:ascii="宋体" w:hAnsi="宋体" w:eastAsia="宋体" w:cs="宋体"/>
          <w:color w:val="auto"/>
          <w:highlight w:val="none"/>
        </w:rPr>
      </w:pPr>
      <w:bookmarkStart w:id="46" w:name="_Toc17816968"/>
      <w:bookmarkStart w:id="47" w:name="_Toc20428"/>
      <w:bookmarkStart w:id="48" w:name="_Toc30648"/>
      <w:r>
        <w:rPr>
          <w:rFonts w:hint="eastAsia" w:ascii="宋体" w:hAnsi="宋体" w:eastAsia="宋体" w:cs="宋体"/>
          <w:color w:val="auto"/>
          <w:highlight w:val="none"/>
        </w:rPr>
        <w:t>竞标人须知前附表</w:t>
      </w:r>
      <w:bookmarkEnd w:id="46"/>
      <w:bookmarkEnd w:id="47"/>
      <w:bookmarkEnd w:id="48"/>
    </w:p>
    <w:tbl>
      <w:tblPr>
        <w:tblStyle w:val="19"/>
        <w:tblW w:w="9639" w:type="dxa"/>
        <w:jc w:val="center"/>
        <w:tblLayout w:type="fixed"/>
        <w:tblCellMar>
          <w:top w:w="0" w:type="dxa"/>
          <w:left w:w="108" w:type="dxa"/>
          <w:bottom w:w="0" w:type="dxa"/>
          <w:right w:w="108" w:type="dxa"/>
        </w:tblCellMar>
      </w:tblPr>
      <w:tblGrid>
        <w:gridCol w:w="744"/>
        <w:gridCol w:w="1008"/>
        <w:gridCol w:w="7887"/>
      </w:tblGrid>
      <w:tr>
        <w:tblPrEx>
          <w:tblCellMar>
            <w:top w:w="0" w:type="dxa"/>
            <w:left w:w="108" w:type="dxa"/>
            <w:bottom w:w="0" w:type="dxa"/>
            <w:right w:w="108" w:type="dxa"/>
          </w:tblCellMar>
        </w:tblPrEx>
        <w:trPr>
          <w:trHeight w:val="850" w:hRule="exact"/>
          <w:jc w:val="center"/>
        </w:trPr>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1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7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内容规格</w:t>
            </w:r>
          </w:p>
        </w:tc>
      </w:tr>
      <w:tr>
        <w:tblPrEx>
          <w:tblCellMar>
            <w:top w:w="0" w:type="dxa"/>
            <w:left w:w="108" w:type="dxa"/>
            <w:bottom w:w="0" w:type="dxa"/>
            <w:right w:w="108" w:type="dxa"/>
          </w:tblCellMar>
        </w:tblPrEx>
        <w:trPr>
          <w:trHeight w:val="3028" w:hRule="atLeast"/>
          <w:jc w:val="center"/>
        </w:trPr>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7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项目综合说明：</w:t>
            </w:r>
          </w:p>
          <w:p>
            <w:pPr>
              <w:keepNext w:val="0"/>
              <w:keepLines w:val="0"/>
              <w:pageBreakBefore w:val="0"/>
              <w:widowControl/>
              <w:kinsoku/>
              <w:wordWrap w:val="0"/>
              <w:overflowPunct/>
              <w:topLinePunct w:val="0"/>
              <w:autoSpaceDE/>
              <w:autoSpaceDN/>
              <w:bidi w:val="0"/>
              <w:adjustRightInd w:val="0"/>
              <w:snapToGrid w:val="0"/>
              <w:spacing w:line="288"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eastAsia="zh-CN"/>
              </w:rPr>
              <w:t>隆林各族自治县桠杈镇坡羊脱贫奔康桑蚕产业园设备采购</w:t>
            </w:r>
          </w:p>
          <w:p>
            <w:pPr>
              <w:keepNext w:val="0"/>
              <w:keepLines w:val="0"/>
              <w:pageBreakBefore w:val="0"/>
              <w:widowControl/>
              <w:kinsoku/>
              <w:wordWrap w:val="0"/>
              <w:overflowPunct/>
              <w:topLinePunct w:val="0"/>
              <w:autoSpaceDE/>
              <w:autoSpaceDN/>
              <w:bidi w:val="0"/>
              <w:adjustRightInd w:val="0"/>
              <w:snapToGrid w:val="0"/>
              <w:spacing w:line="288"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lang w:eastAsia="zh-CN"/>
              </w:rPr>
              <w:t>BSZC2021-J1-310283-GXYL</w:t>
            </w:r>
          </w:p>
          <w:p>
            <w:pPr>
              <w:keepNext w:val="0"/>
              <w:keepLines w:val="0"/>
              <w:pageBreakBefore w:val="0"/>
              <w:widowControl/>
              <w:kinsoku/>
              <w:wordWrap w:val="0"/>
              <w:overflowPunct/>
              <w:topLinePunct w:val="0"/>
              <w:autoSpaceDE/>
              <w:autoSpaceDN/>
              <w:bidi w:val="0"/>
              <w:adjustRightInd w:val="0"/>
              <w:snapToGrid w:val="0"/>
              <w:spacing w:line="288"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隆林各族自治县内</w:t>
            </w:r>
            <w:r>
              <w:rPr>
                <w:rFonts w:hint="eastAsia" w:ascii="宋体" w:hAnsi="宋体" w:eastAsia="宋体" w:cs="宋体"/>
                <w:color w:val="auto"/>
                <w:sz w:val="24"/>
                <w:szCs w:val="24"/>
                <w:highlight w:val="none"/>
                <w:u w:val="single"/>
              </w:rPr>
              <w:t xml:space="preserve"> </w:t>
            </w:r>
          </w:p>
          <w:p>
            <w:pPr>
              <w:keepNext w:val="0"/>
              <w:keepLines w:val="0"/>
              <w:pageBreakBefore w:val="0"/>
              <w:widowControl/>
              <w:kinsoku/>
              <w:wordWrap w:val="0"/>
              <w:overflowPunct/>
              <w:topLinePunct w:val="0"/>
              <w:autoSpaceDE/>
              <w:autoSpaceDN/>
              <w:bidi w:val="0"/>
              <w:adjustRightInd w:val="0"/>
              <w:snapToGrid w:val="0"/>
              <w:spacing w:before="240" w:line="288" w:lineRule="auto"/>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合同履行期限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自签订合同之日起60日历天内完成采购及安装并验收合格</w:t>
            </w:r>
            <w:r>
              <w:rPr>
                <w:rFonts w:hint="eastAsia" w:ascii="宋体" w:hAnsi="宋体" w:eastAsia="宋体" w:cs="宋体"/>
                <w:color w:val="auto"/>
                <w:sz w:val="24"/>
                <w:szCs w:val="24"/>
                <w:highlight w:val="none"/>
                <w:lang w:val="en-US" w:eastAsia="zh-CN"/>
              </w:rPr>
              <w:t>。</w:t>
            </w:r>
          </w:p>
          <w:p>
            <w:pPr>
              <w:keepNext w:val="0"/>
              <w:keepLines w:val="0"/>
              <w:pageBreakBefore w:val="0"/>
              <w:widowControl/>
              <w:kinsoku/>
              <w:wordWrap w:val="0"/>
              <w:overflowPunct/>
              <w:topLinePunct w:val="0"/>
              <w:autoSpaceDE/>
              <w:autoSpaceDN/>
              <w:bidi w:val="0"/>
              <w:adjustRightInd w:val="0"/>
              <w:snapToGrid w:val="0"/>
              <w:spacing w:line="288" w:lineRule="auto"/>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rPr>
              <w:t>采购内容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隆林各族自治县桠杈镇坡羊脱贫奔康桑蚕产业园设备采购</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项（</w:t>
            </w:r>
            <w:r>
              <w:rPr>
                <w:rFonts w:hint="eastAsia" w:ascii="宋体" w:hAnsi="宋体" w:eastAsia="宋体" w:cs="宋体"/>
                <w:color w:val="auto"/>
                <w:sz w:val="24"/>
                <w:szCs w:val="24"/>
                <w:highlight w:val="none"/>
              </w:rPr>
              <w:t>如需进一步了解详细内容，详见</w:t>
            </w:r>
            <w:r>
              <w:rPr>
                <w:rFonts w:hint="eastAsia" w:ascii="宋体" w:hAnsi="宋体" w:eastAsia="宋体" w:cs="宋体"/>
                <w:color w:val="auto"/>
                <w:sz w:val="24"/>
                <w:szCs w:val="24"/>
                <w:highlight w:val="none"/>
                <w:lang w:eastAsia="zh-CN"/>
              </w:rPr>
              <w:t>竞争性谈判文件）</w:t>
            </w:r>
          </w:p>
        </w:tc>
      </w:tr>
      <w:tr>
        <w:tblPrEx>
          <w:tblCellMar>
            <w:top w:w="0" w:type="dxa"/>
            <w:left w:w="108" w:type="dxa"/>
            <w:bottom w:w="0" w:type="dxa"/>
            <w:right w:w="108" w:type="dxa"/>
          </w:tblCellMar>
        </w:tblPrEx>
        <w:trPr>
          <w:trHeight w:val="680" w:hRule="exact"/>
          <w:jc w:val="center"/>
        </w:trPr>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2.1</w:t>
            </w:r>
          </w:p>
        </w:tc>
        <w:tc>
          <w:tcPr>
            <w:tcW w:w="7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资金来源：</w:t>
            </w:r>
            <w:r>
              <w:rPr>
                <w:rFonts w:hint="eastAsia" w:ascii="宋体" w:hAnsi="宋体" w:eastAsia="宋体" w:cs="宋体"/>
                <w:sz w:val="24"/>
                <w:szCs w:val="24"/>
                <w:lang w:eastAsia="zh-CN"/>
              </w:rPr>
              <w:t>财政性资金</w:t>
            </w:r>
          </w:p>
        </w:tc>
      </w:tr>
      <w:tr>
        <w:tblPrEx>
          <w:tblCellMar>
            <w:top w:w="0" w:type="dxa"/>
            <w:left w:w="108" w:type="dxa"/>
            <w:bottom w:w="0" w:type="dxa"/>
            <w:right w:w="108" w:type="dxa"/>
          </w:tblCellMar>
        </w:tblPrEx>
        <w:trPr>
          <w:trHeight w:val="4535" w:hRule="exact"/>
          <w:jc w:val="center"/>
        </w:trPr>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7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after="0" w:line="288"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供应商资格要求：</w:t>
            </w:r>
          </w:p>
          <w:p>
            <w:pPr>
              <w:keepNext w:val="0"/>
              <w:keepLines w:val="0"/>
              <w:pageBreakBefore w:val="0"/>
              <w:widowControl/>
              <w:kinsoku/>
              <w:wordWrap w:val="0"/>
              <w:overflowPunct/>
              <w:topLinePunct w:val="0"/>
              <w:autoSpaceDE/>
              <w:autoSpaceDN/>
              <w:bidi w:val="0"/>
              <w:adjustRightInd w:val="0"/>
              <w:snapToGrid w:val="0"/>
              <w:spacing w:after="0" w:line="288"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pPr>
              <w:keepNext w:val="0"/>
              <w:keepLines w:val="0"/>
              <w:pageBreakBefore w:val="0"/>
              <w:widowControl/>
              <w:kinsoku/>
              <w:wordWrap w:val="0"/>
              <w:overflowPunct/>
              <w:topLinePunct w:val="0"/>
              <w:autoSpaceDE/>
              <w:autoSpaceDN/>
              <w:bidi w:val="0"/>
              <w:adjustRightInd w:val="0"/>
              <w:snapToGrid w:val="0"/>
              <w:spacing w:after="0" w:line="288"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2.落实政府采购政策需满足的资格要求：无。</w:t>
            </w:r>
          </w:p>
          <w:p>
            <w:pPr>
              <w:keepNext w:val="0"/>
              <w:keepLines w:val="0"/>
              <w:pageBreakBefore w:val="0"/>
              <w:widowControl/>
              <w:kinsoku/>
              <w:wordWrap w:val="0"/>
              <w:overflowPunct/>
              <w:topLinePunct w:val="0"/>
              <w:autoSpaceDE/>
              <w:autoSpaceDN/>
              <w:bidi w:val="0"/>
              <w:adjustRightInd w:val="0"/>
              <w:snapToGrid w:val="0"/>
              <w:spacing w:after="0" w:line="288"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3.本项目的特定资格要求：</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1.符合《政府采购非招标采购方式管理办法》等相关规定；</w:t>
            </w: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lang w:val="en-US" w:eastAsia="zh-CN"/>
              </w:rPr>
              <w:t>在“信用中国”网站（www.creditchina.gov.cn）、中国政府采购网（www.ccgp.gov.cn）、中国执行信息公开网（http://zxgk.court.gov.cn）等渠道列入重大税收违法案件当事人名单</w:t>
            </w:r>
            <w:r>
              <w:rPr>
                <w:rFonts w:hint="eastAsia" w:ascii="宋体" w:hAnsi="宋体" w:eastAsia="宋体" w:cs="宋体"/>
                <w:color w:val="auto"/>
                <w:sz w:val="24"/>
                <w:szCs w:val="24"/>
                <w:highlight w:val="none"/>
                <w:lang w:eastAsia="zh-CN"/>
              </w:rPr>
              <w:t>、政府采购严重违法失信行为记录名单及其他不符合《中华人民共和国政府采购法》第二十一条规定条件的供应商，不得参与政府采购活动；</w:t>
            </w: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lang w:eastAsia="zh-CN"/>
              </w:rPr>
              <w:t>.已经依法获得采购人和评审专家分别书面推荐的供应商并在规定时间内购买竞争性谈判文件的供应商才有资格参与谈判；</w:t>
            </w: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lang w:eastAsia="zh-CN"/>
              </w:rPr>
              <w:t>.本项目不接受未购买本竞争性谈判文件的供应商竞标。</w:t>
            </w:r>
          </w:p>
        </w:tc>
      </w:tr>
      <w:tr>
        <w:tblPrEx>
          <w:tblCellMar>
            <w:top w:w="0" w:type="dxa"/>
            <w:left w:w="108" w:type="dxa"/>
            <w:bottom w:w="0" w:type="dxa"/>
            <w:right w:w="108" w:type="dxa"/>
          </w:tblCellMar>
        </w:tblPrEx>
        <w:trPr>
          <w:trHeight w:val="680" w:hRule="exact"/>
          <w:jc w:val="center"/>
        </w:trPr>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center"/>
              <w:rPr>
                <w:rFonts w:hint="eastAsia" w:ascii="宋体" w:hAnsi="宋体" w:eastAsia="宋体" w:cs="宋体"/>
                <w:color w:val="auto"/>
                <w:sz w:val="24"/>
                <w:szCs w:val="24"/>
                <w:highlight w:val="none"/>
              </w:rPr>
            </w:pPr>
          </w:p>
        </w:tc>
        <w:tc>
          <w:tcPr>
            <w:tcW w:w="7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现场勘查：</w:t>
            </w:r>
            <w:r>
              <w:rPr>
                <w:rFonts w:hint="eastAsia" w:ascii="宋体" w:hAnsi="宋体" w:eastAsia="宋体" w:cs="宋体"/>
                <w:color w:val="auto"/>
                <w:sz w:val="24"/>
                <w:szCs w:val="24"/>
                <w:highlight w:val="none"/>
              </w:rPr>
              <w:t>采购人不统一组织踏勘现场，由竞标人自行踏勘。</w:t>
            </w:r>
          </w:p>
        </w:tc>
      </w:tr>
      <w:tr>
        <w:tblPrEx>
          <w:tblCellMar>
            <w:top w:w="0" w:type="dxa"/>
            <w:left w:w="108" w:type="dxa"/>
            <w:bottom w:w="0" w:type="dxa"/>
            <w:right w:w="108" w:type="dxa"/>
          </w:tblCellMar>
        </w:tblPrEx>
        <w:trPr>
          <w:trHeight w:val="680" w:hRule="exact"/>
          <w:jc w:val="center"/>
        </w:trPr>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7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竞标有效期为：</w:t>
            </w:r>
            <w:r>
              <w:rPr>
                <w:rFonts w:hint="eastAsia" w:ascii="宋体" w:hAnsi="宋体" w:eastAsia="宋体" w:cs="宋体"/>
                <w:b w:val="0"/>
                <w:bCs w:val="0"/>
                <w:color w:val="auto"/>
                <w:sz w:val="24"/>
                <w:szCs w:val="24"/>
                <w:highlight w:val="none"/>
              </w:rPr>
              <w:t>竞标截止之日后60日历天。</w:t>
            </w:r>
          </w:p>
        </w:tc>
      </w:tr>
      <w:tr>
        <w:tblPrEx>
          <w:tblCellMar>
            <w:top w:w="0" w:type="dxa"/>
            <w:left w:w="108" w:type="dxa"/>
            <w:bottom w:w="0" w:type="dxa"/>
            <w:right w:w="108" w:type="dxa"/>
          </w:tblCellMar>
        </w:tblPrEx>
        <w:trPr>
          <w:trHeight w:val="680" w:hRule="exact"/>
          <w:jc w:val="center"/>
        </w:trPr>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7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
              <w:keepNext w:val="0"/>
              <w:keepLines w:val="0"/>
              <w:pageBreakBefore w:val="0"/>
              <w:widowControl/>
              <w:kinsoku/>
              <w:wordWrap w:val="0"/>
              <w:overflowPunct/>
              <w:topLinePunct w:val="0"/>
              <w:autoSpaceDE/>
              <w:autoSpaceDN/>
              <w:bidi w:val="0"/>
              <w:adjustRightInd w:val="0"/>
              <w:snapToGrid w:val="0"/>
              <w:spacing w:line="288"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竞标保证金：</w:t>
            </w:r>
            <w:r>
              <w:rPr>
                <w:rFonts w:hint="eastAsia" w:ascii="宋体" w:hAnsi="宋体" w:eastAsia="宋体" w:cs="宋体"/>
                <w:b w:val="0"/>
                <w:bCs w:val="0"/>
                <w:color w:val="auto"/>
                <w:sz w:val="24"/>
                <w:szCs w:val="24"/>
                <w:highlight w:val="none"/>
                <w:lang w:val="en-US" w:eastAsia="zh-CN"/>
              </w:rPr>
              <w:t>根据百政办电〔2021〕34号文，本项目免收竞标保证金。</w:t>
            </w:r>
          </w:p>
        </w:tc>
      </w:tr>
      <w:tr>
        <w:tblPrEx>
          <w:tblCellMar>
            <w:top w:w="0" w:type="dxa"/>
            <w:left w:w="108" w:type="dxa"/>
            <w:bottom w:w="0" w:type="dxa"/>
            <w:right w:w="108" w:type="dxa"/>
          </w:tblCellMar>
        </w:tblPrEx>
        <w:trPr>
          <w:trHeight w:val="680" w:hRule="exact"/>
          <w:jc w:val="center"/>
        </w:trPr>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w:t>
            </w:r>
          </w:p>
        </w:tc>
        <w:tc>
          <w:tcPr>
            <w:tcW w:w="7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响应文件份数</w:t>
            </w:r>
            <w:r>
              <w:rPr>
                <w:rFonts w:hint="eastAsia" w:ascii="宋体" w:hAnsi="宋体" w:eastAsia="宋体" w:cs="宋体"/>
                <w:color w:val="auto"/>
                <w:sz w:val="24"/>
                <w:szCs w:val="24"/>
                <w:highlight w:val="none"/>
              </w:rPr>
              <w:t>：正本壹份，副本</w:t>
            </w:r>
            <w:r>
              <w:rPr>
                <w:rFonts w:hint="eastAsia" w:ascii="宋体" w:hAnsi="宋体" w:eastAsia="宋体" w:cs="宋体"/>
                <w:color w:val="auto"/>
                <w:sz w:val="24"/>
                <w:szCs w:val="24"/>
                <w:highlight w:val="none"/>
                <w:lang w:eastAsia="zh-CN"/>
              </w:rPr>
              <w:t>贰</w:t>
            </w:r>
            <w:r>
              <w:rPr>
                <w:rFonts w:hint="eastAsia" w:ascii="宋体" w:hAnsi="宋体" w:eastAsia="宋体" w:cs="宋体"/>
                <w:color w:val="auto"/>
                <w:sz w:val="24"/>
                <w:szCs w:val="24"/>
                <w:highlight w:val="none"/>
              </w:rPr>
              <w:t>份</w:t>
            </w:r>
          </w:p>
        </w:tc>
      </w:tr>
      <w:tr>
        <w:tblPrEx>
          <w:tblCellMar>
            <w:top w:w="0" w:type="dxa"/>
            <w:left w:w="108" w:type="dxa"/>
            <w:bottom w:w="0" w:type="dxa"/>
            <w:right w:w="108" w:type="dxa"/>
          </w:tblCellMar>
        </w:tblPrEx>
        <w:trPr>
          <w:trHeight w:val="680" w:hRule="exact"/>
          <w:jc w:val="center"/>
        </w:trPr>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p>
        </w:tc>
        <w:tc>
          <w:tcPr>
            <w:tcW w:w="7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竞标截止时间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2021年10月13 日15时30分</w:t>
            </w:r>
          </w:p>
        </w:tc>
      </w:tr>
      <w:tr>
        <w:tblPrEx>
          <w:tblCellMar>
            <w:top w:w="0" w:type="dxa"/>
            <w:left w:w="108" w:type="dxa"/>
            <w:bottom w:w="0" w:type="dxa"/>
            <w:right w:w="108" w:type="dxa"/>
          </w:tblCellMar>
        </w:tblPrEx>
        <w:trPr>
          <w:trHeight w:val="1134" w:hRule="exact"/>
          <w:jc w:val="center"/>
        </w:trPr>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w:t>
            </w:r>
          </w:p>
        </w:tc>
        <w:tc>
          <w:tcPr>
            <w:tcW w:w="7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响应文件递交地点：</w:t>
            </w:r>
            <w:r>
              <w:rPr>
                <w:rFonts w:hint="eastAsia" w:ascii="宋体" w:hAnsi="宋体" w:eastAsia="宋体" w:cs="宋体"/>
                <w:b w:val="0"/>
                <w:bCs/>
                <w:color w:val="auto"/>
                <w:sz w:val="24"/>
                <w:szCs w:val="24"/>
                <w:highlight w:val="none"/>
                <w:lang w:eastAsia="zh-CN"/>
              </w:rPr>
              <w:t>广西业隆工程管理服务有限公司开标室（百色市右江区龙景西路3号锦华逸景A区2幢1单元2层202、203号）</w:t>
            </w:r>
            <w:r>
              <w:rPr>
                <w:rFonts w:hint="eastAsia" w:ascii="宋体" w:hAnsi="宋体" w:eastAsia="宋体" w:cs="宋体"/>
                <w:b w:val="0"/>
                <w:bCs/>
                <w:color w:val="auto"/>
                <w:sz w:val="24"/>
                <w:szCs w:val="24"/>
                <w:highlight w:val="none"/>
              </w:rPr>
              <w:t>，并由采购代理机构签收。</w:t>
            </w:r>
          </w:p>
        </w:tc>
      </w:tr>
      <w:tr>
        <w:tblPrEx>
          <w:tblCellMar>
            <w:top w:w="0" w:type="dxa"/>
            <w:left w:w="108" w:type="dxa"/>
            <w:bottom w:w="0" w:type="dxa"/>
            <w:right w:w="108" w:type="dxa"/>
          </w:tblCellMar>
        </w:tblPrEx>
        <w:trPr>
          <w:trHeight w:val="1474" w:hRule="exact"/>
          <w:jc w:val="center"/>
        </w:trPr>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center"/>
              <w:rPr>
                <w:rFonts w:hint="eastAsia" w:ascii="宋体" w:hAnsi="宋体" w:eastAsia="宋体" w:cs="宋体"/>
                <w:color w:val="auto"/>
                <w:sz w:val="24"/>
                <w:szCs w:val="24"/>
                <w:highlight w:val="none"/>
              </w:rPr>
            </w:pPr>
          </w:p>
        </w:tc>
        <w:tc>
          <w:tcPr>
            <w:tcW w:w="7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谈判时间：</w:t>
            </w:r>
            <w:r>
              <w:rPr>
                <w:rFonts w:hint="eastAsia" w:ascii="宋体" w:hAnsi="宋体" w:eastAsia="宋体" w:cs="宋体"/>
                <w:color w:val="auto"/>
                <w:sz w:val="24"/>
                <w:szCs w:val="24"/>
                <w:highlight w:val="none"/>
                <w:lang w:val="en-US" w:eastAsia="zh-CN"/>
              </w:rPr>
              <w:t>2021年10月13 日15时30分</w:t>
            </w:r>
            <w:r>
              <w:rPr>
                <w:rFonts w:hint="eastAsia" w:ascii="宋体" w:hAnsi="宋体" w:eastAsia="宋体" w:cs="宋体"/>
                <w:color w:val="auto"/>
                <w:sz w:val="24"/>
                <w:szCs w:val="24"/>
                <w:highlight w:val="none"/>
              </w:rPr>
              <w:t>截标后，</w:t>
            </w:r>
          </w:p>
          <w:p>
            <w:pPr>
              <w:keepNext w:val="0"/>
              <w:keepLines w:val="0"/>
              <w:pageBreakBefore w:val="0"/>
              <w:widowControl/>
              <w:kinsoku/>
              <w:wordWrap w:val="0"/>
              <w:overflowPunct/>
              <w:topLinePunct w:val="0"/>
              <w:autoSpaceDE/>
              <w:autoSpaceDN/>
              <w:bidi w:val="0"/>
              <w:adjustRightInd w:val="0"/>
              <w:snapToGrid w:val="0"/>
              <w:spacing w:line="288" w:lineRule="auto"/>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谈判地点</w:t>
            </w:r>
            <w:r>
              <w:rPr>
                <w:rFonts w:hint="eastAsia" w:ascii="宋体" w:hAnsi="宋体" w:eastAsia="宋体" w:cs="宋体"/>
                <w:b/>
                <w:bCs/>
                <w:color w:val="auto"/>
                <w:sz w:val="24"/>
                <w:szCs w:val="24"/>
                <w:highlight w:val="none"/>
                <w:u w:val="none"/>
              </w:rPr>
              <w:t>：</w:t>
            </w:r>
            <w:r>
              <w:rPr>
                <w:rFonts w:hint="eastAsia" w:ascii="宋体" w:hAnsi="宋体" w:eastAsia="宋体" w:cs="宋体"/>
                <w:b w:val="0"/>
                <w:bCs w:val="0"/>
                <w:color w:val="auto"/>
                <w:sz w:val="24"/>
                <w:szCs w:val="24"/>
                <w:highlight w:val="none"/>
                <w:u w:val="none"/>
                <w:lang w:eastAsia="zh-CN"/>
              </w:rPr>
              <w:t>广西业隆工程管理服务有限公司开标室（百色市右江区龙景西路3号锦华逸景A区2幢1单元2层202、203号）</w:t>
            </w:r>
            <w:r>
              <w:rPr>
                <w:rFonts w:hint="eastAsia" w:ascii="宋体" w:hAnsi="宋体" w:eastAsia="宋体" w:cs="宋体"/>
                <w:b w:val="0"/>
                <w:bCs w:val="0"/>
                <w:color w:val="auto"/>
                <w:sz w:val="24"/>
                <w:szCs w:val="24"/>
                <w:highlight w:val="none"/>
                <w:u w:val="none"/>
              </w:rPr>
              <w:t>。</w:t>
            </w:r>
          </w:p>
        </w:tc>
      </w:tr>
      <w:tr>
        <w:tblPrEx>
          <w:tblCellMar>
            <w:top w:w="0" w:type="dxa"/>
            <w:left w:w="108" w:type="dxa"/>
            <w:bottom w:w="0" w:type="dxa"/>
            <w:right w:w="108" w:type="dxa"/>
          </w:tblCellMar>
        </w:tblPrEx>
        <w:trPr>
          <w:trHeight w:val="1474" w:hRule="exact"/>
          <w:jc w:val="center"/>
        </w:trPr>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25.2</w:t>
            </w:r>
          </w:p>
        </w:tc>
        <w:tc>
          <w:tcPr>
            <w:tcW w:w="7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评审方法：</w:t>
            </w:r>
            <w:r>
              <w:rPr>
                <w:rFonts w:hint="eastAsia" w:ascii="宋体" w:hAnsi="宋体" w:eastAsia="宋体" w:cs="宋体"/>
                <w:color w:val="auto"/>
                <w:sz w:val="24"/>
                <w:szCs w:val="24"/>
                <w:highlight w:val="none"/>
              </w:rPr>
              <w:t>通过资格性、符合性审查后，在质量和服务均能满足</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实质性响应要求的前提下，按最终评标报价</w:t>
            </w:r>
            <w:r>
              <w:rPr>
                <w:rFonts w:hint="eastAsia" w:ascii="宋体" w:hAnsi="宋体" w:eastAsia="宋体" w:cs="宋体"/>
                <w:b/>
                <w:bCs/>
                <w:color w:val="auto"/>
                <w:sz w:val="24"/>
                <w:szCs w:val="24"/>
                <w:highlight w:val="none"/>
              </w:rPr>
              <w:t>由低到高排列成交候选人顺序</w:t>
            </w:r>
            <w:r>
              <w:rPr>
                <w:rFonts w:hint="eastAsia" w:ascii="宋体" w:hAnsi="宋体" w:eastAsia="宋体" w:cs="宋体"/>
                <w:color w:val="auto"/>
                <w:sz w:val="24"/>
                <w:szCs w:val="24"/>
                <w:highlight w:val="none"/>
              </w:rPr>
              <w:t>，并依照次序确定成交人。</w:t>
            </w:r>
          </w:p>
        </w:tc>
      </w:tr>
      <w:tr>
        <w:tblPrEx>
          <w:tblCellMar>
            <w:top w:w="0" w:type="dxa"/>
            <w:left w:w="108" w:type="dxa"/>
            <w:bottom w:w="0" w:type="dxa"/>
            <w:right w:w="108" w:type="dxa"/>
          </w:tblCellMar>
        </w:tblPrEx>
        <w:trPr>
          <w:trHeight w:val="2268" w:hRule="exact"/>
          <w:jc w:val="center"/>
        </w:trPr>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w:t>
            </w:r>
          </w:p>
        </w:tc>
        <w:tc>
          <w:tcPr>
            <w:tcW w:w="7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
              <w:keepNext w:val="0"/>
              <w:keepLines w:val="0"/>
              <w:pageBreakBefore w:val="0"/>
              <w:widowControl/>
              <w:kinsoku/>
              <w:wordWrap w:val="0"/>
              <w:overflowPunct/>
              <w:topLinePunct w:val="0"/>
              <w:autoSpaceDE/>
              <w:autoSpaceDN/>
              <w:bidi w:val="0"/>
              <w:adjustRightInd w:val="0"/>
              <w:snapToGrid w:val="0"/>
              <w:spacing w:line="288" w:lineRule="auto"/>
              <w:ind w:firstLine="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成交代理服务费：</w:t>
            </w:r>
            <w:r>
              <w:rPr>
                <w:rFonts w:hint="eastAsia" w:ascii="宋体" w:hAnsi="宋体" w:eastAsia="宋体" w:cs="宋体"/>
                <w:b w:val="0"/>
                <w:bCs/>
                <w:color w:val="auto"/>
                <w:sz w:val="24"/>
                <w:szCs w:val="24"/>
                <w:highlight w:val="none"/>
              </w:rPr>
              <w:t>本项目代理完成后，由成交单位向采购代理机构支付。</w:t>
            </w:r>
            <w:r>
              <w:rPr>
                <w:rFonts w:hint="eastAsia" w:ascii="宋体" w:hAnsi="宋体" w:eastAsia="宋体" w:cs="宋体"/>
                <w:b w:val="0"/>
                <w:bCs/>
                <w:color w:val="auto"/>
                <w:sz w:val="24"/>
                <w:szCs w:val="24"/>
                <w:highlight w:val="none"/>
                <w:lang w:eastAsia="zh-CN"/>
              </w:rPr>
              <w:t>具体为：根据采购人与代理人签订的《采购代理合同》，本项目代理服务费按国家发展计划委员会计价格[2002]1980号《招标代理服务费管理暂行办法》收费标准及发改价格[2011]534号文的规定（货物类）收取，由成交人在领取成交通知书时以现金或转账方式一次性向招标代理机构支付。</w:t>
            </w:r>
          </w:p>
        </w:tc>
      </w:tr>
      <w:tr>
        <w:tblPrEx>
          <w:tblCellMar>
            <w:top w:w="0" w:type="dxa"/>
            <w:left w:w="108" w:type="dxa"/>
            <w:bottom w:w="0" w:type="dxa"/>
            <w:right w:w="108" w:type="dxa"/>
          </w:tblCellMar>
        </w:tblPrEx>
        <w:trPr>
          <w:trHeight w:val="6236" w:hRule="exact"/>
          <w:jc w:val="center"/>
        </w:trPr>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center"/>
              <w:rPr>
                <w:rFonts w:hint="eastAsia" w:ascii="宋体" w:hAnsi="宋体" w:eastAsia="宋体" w:cs="宋体"/>
                <w:color w:val="auto"/>
                <w:sz w:val="24"/>
                <w:szCs w:val="24"/>
                <w:highlight w:val="none"/>
                <w:lang w:val="en-US" w:eastAsia="zh-CN"/>
              </w:rPr>
            </w:pPr>
          </w:p>
        </w:tc>
        <w:tc>
          <w:tcPr>
            <w:tcW w:w="7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7"/>
              <w:keepNext w:val="0"/>
              <w:keepLines w:val="0"/>
              <w:pageBreakBefore w:val="0"/>
              <w:widowControl/>
              <w:kinsoku/>
              <w:wordWrap w:val="0"/>
              <w:overflowPunct/>
              <w:topLinePunct w:val="0"/>
              <w:autoSpaceDE/>
              <w:autoSpaceDN/>
              <w:bidi w:val="0"/>
              <w:adjustRightInd w:val="0"/>
              <w:snapToGrid w:val="0"/>
              <w:spacing w:line="288" w:lineRule="auto"/>
              <w:ind w:firstLine="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对</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资格审查时进行信用查询</w:t>
            </w:r>
          </w:p>
          <w:p>
            <w:pPr>
              <w:pStyle w:val="7"/>
              <w:keepNext w:val="0"/>
              <w:keepLines w:val="0"/>
              <w:pageBreakBefore w:val="0"/>
              <w:widowControl/>
              <w:kinsoku/>
              <w:wordWrap w:val="0"/>
              <w:overflowPunct/>
              <w:topLinePunct w:val="0"/>
              <w:autoSpaceDE/>
              <w:autoSpaceDN/>
              <w:bidi w:val="0"/>
              <w:adjustRightInd w:val="0"/>
              <w:snapToGrid w:val="0"/>
              <w:spacing w:line="288" w:lineRule="auto"/>
              <w:ind w:firstLine="0"/>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查询渠道：“信用中国”网站(www.creditchina.gov.cn)、中国政府采购网(www.ccgp.gov.cn)等</w:t>
            </w:r>
            <w:r>
              <w:rPr>
                <w:rFonts w:hint="eastAsia" w:ascii="宋体" w:hAnsi="宋体" w:eastAsia="宋体" w:cs="宋体"/>
                <w:b w:val="0"/>
                <w:bCs/>
                <w:color w:val="auto"/>
                <w:sz w:val="24"/>
                <w:szCs w:val="24"/>
                <w:highlight w:val="none"/>
                <w:lang w:eastAsia="zh-CN"/>
              </w:rPr>
              <w:t>。</w:t>
            </w:r>
          </w:p>
          <w:p>
            <w:pPr>
              <w:pStyle w:val="7"/>
              <w:keepNext w:val="0"/>
              <w:keepLines w:val="0"/>
              <w:pageBreakBefore w:val="0"/>
              <w:widowControl/>
              <w:kinsoku/>
              <w:wordWrap w:val="0"/>
              <w:overflowPunct/>
              <w:topLinePunct w:val="0"/>
              <w:autoSpaceDE/>
              <w:autoSpaceDN/>
              <w:bidi w:val="0"/>
              <w:adjustRightInd w:val="0"/>
              <w:snapToGrid w:val="0"/>
              <w:spacing w:line="288" w:lineRule="auto"/>
              <w:ind w:firstLine="0"/>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查询起止时间：自</w:t>
            </w:r>
            <w:r>
              <w:rPr>
                <w:rFonts w:hint="eastAsia" w:ascii="宋体" w:hAnsi="宋体" w:eastAsia="宋体" w:cs="宋体"/>
                <w:b w:val="0"/>
                <w:bCs/>
                <w:color w:val="auto"/>
                <w:sz w:val="24"/>
                <w:szCs w:val="24"/>
                <w:highlight w:val="none"/>
                <w:lang w:eastAsia="zh-CN"/>
              </w:rPr>
              <w:t>竞争性谈判</w:t>
            </w:r>
            <w:r>
              <w:rPr>
                <w:rFonts w:hint="eastAsia" w:ascii="宋体" w:hAnsi="宋体" w:eastAsia="宋体" w:cs="宋体"/>
                <w:b w:val="0"/>
                <w:bCs/>
                <w:color w:val="auto"/>
                <w:sz w:val="24"/>
                <w:szCs w:val="24"/>
                <w:highlight w:val="none"/>
              </w:rPr>
              <w:t>公告发布之日起至</w:t>
            </w:r>
            <w:r>
              <w:rPr>
                <w:rFonts w:hint="eastAsia" w:ascii="宋体" w:hAnsi="宋体" w:eastAsia="宋体" w:cs="宋体"/>
                <w:b w:val="0"/>
                <w:bCs/>
                <w:color w:val="auto"/>
                <w:sz w:val="24"/>
                <w:szCs w:val="24"/>
                <w:highlight w:val="none"/>
                <w:lang w:eastAsia="zh-CN"/>
              </w:rPr>
              <w:t>谈判</w:t>
            </w:r>
            <w:r>
              <w:rPr>
                <w:rFonts w:hint="eastAsia" w:ascii="宋体" w:hAnsi="宋体" w:eastAsia="宋体" w:cs="宋体"/>
                <w:b w:val="0"/>
                <w:bCs/>
                <w:color w:val="auto"/>
                <w:sz w:val="24"/>
                <w:szCs w:val="24"/>
                <w:highlight w:val="none"/>
              </w:rPr>
              <w:t>截止时间</w:t>
            </w:r>
            <w:r>
              <w:rPr>
                <w:rFonts w:hint="eastAsia" w:ascii="宋体" w:hAnsi="宋体" w:eastAsia="宋体" w:cs="宋体"/>
                <w:b w:val="0"/>
                <w:bCs/>
                <w:color w:val="auto"/>
                <w:sz w:val="24"/>
                <w:szCs w:val="24"/>
                <w:highlight w:val="none"/>
                <w:lang w:eastAsia="zh-CN"/>
              </w:rPr>
              <w:t>。</w:t>
            </w:r>
          </w:p>
          <w:p>
            <w:pPr>
              <w:pStyle w:val="7"/>
              <w:keepNext w:val="0"/>
              <w:keepLines w:val="0"/>
              <w:pageBreakBefore w:val="0"/>
              <w:widowControl/>
              <w:kinsoku/>
              <w:wordWrap w:val="0"/>
              <w:overflowPunct/>
              <w:topLinePunct w:val="0"/>
              <w:autoSpaceDE/>
              <w:autoSpaceDN/>
              <w:bidi w:val="0"/>
              <w:adjustRightInd w:val="0"/>
              <w:snapToGrid w:val="0"/>
              <w:spacing w:line="288" w:lineRule="auto"/>
              <w:ind w:firstLine="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查询记录和证据留存方式：在查询网站中直接打印查询记录，打印材料作为评审资料保存。</w:t>
            </w:r>
          </w:p>
          <w:p>
            <w:pPr>
              <w:pStyle w:val="7"/>
              <w:keepNext w:val="0"/>
              <w:keepLines w:val="0"/>
              <w:pageBreakBefore w:val="0"/>
              <w:widowControl/>
              <w:kinsoku/>
              <w:wordWrap w:val="0"/>
              <w:overflowPunct/>
              <w:topLinePunct w:val="0"/>
              <w:autoSpaceDE/>
              <w:autoSpaceDN/>
              <w:bidi w:val="0"/>
              <w:adjustRightInd w:val="0"/>
              <w:snapToGrid w:val="0"/>
              <w:spacing w:line="288" w:lineRule="auto"/>
              <w:ind w:firstLine="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信用信息使用规则：对</w:t>
            </w:r>
            <w:r>
              <w:rPr>
                <w:rFonts w:hint="eastAsia" w:ascii="宋体" w:hAnsi="宋体" w:eastAsia="宋体" w:cs="宋体"/>
                <w:b w:val="0"/>
                <w:bCs/>
                <w:color w:val="auto"/>
                <w:sz w:val="24"/>
                <w:szCs w:val="24"/>
                <w:highlight w:val="none"/>
                <w:lang w:val="en-US" w:eastAsia="zh-CN"/>
              </w:rPr>
              <w:t>在“信用中国”网站（www.creditchina.gov.cn）、中国政府采购网（www.ccgp.gov.cn）、中国执行信息公开网（http://zxgk.court.gov.cn）等渠道列入重大税收违法案件当事人名单</w:t>
            </w:r>
            <w:r>
              <w:rPr>
                <w:rFonts w:hint="eastAsia" w:ascii="宋体" w:hAnsi="宋体" w:eastAsia="宋体" w:cs="宋体"/>
                <w:b w:val="0"/>
                <w:bCs/>
                <w:color w:val="auto"/>
                <w:sz w:val="24"/>
                <w:szCs w:val="24"/>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7"/>
              <w:keepNext w:val="0"/>
              <w:keepLines w:val="0"/>
              <w:pageBreakBefore w:val="0"/>
              <w:widowControl/>
              <w:kinsoku/>
              <w:wordWrap w:val="0"/>
              <w:overflowPunct/>
              <w:topLinePunct w:val="0"/>
              <w:autoSpaceDE/>
              <w:autoSpaceDN/>
              <w:bidi w:val="0"/>
              <w:adjustRightInd w:val="0"/>
              <w:snapToGrid w:val="0"/>
              <w:spacing w:line="288" w:lineRule="auto"/>
              <w:ind w:firstLine="0"/>
              <w:jc w:val="both"/>
              <w:rPr>
                <w:rFonts w:hint="eastAsia" w:ascii="宋体" w:hAnsi="宋体" w:eastAsia="宋体" w:cs="宋体"/>
                <w:b/>
                <w:color w:val="auto"/>
                <w:sz w:val="24"/>
                <w:szCs w:val="24"/>
                <w:highlight w:val="none"/>
              </w:rPr>
            </w:pPr>
          </w:p>
        </w:tc>
      </w:tr>
      <w:tr>
        <w:tblPrEx>
          <w:tblCellMar>
            <w:top w:w="0" w:type="dxa"/>
            <w:left w:w="108" w:type="dxa"/>
            <w:bottom w:w="0" w:type="dxa"/>
            <w:right w:w="108" w:type="dxa"/>
          </w:tblCellMar>
        </w:tblPrEx>
        <w:trPr>
          <w:trHeight w:val="680" w:hRule="exact"/>
          <w:jc w:val="center"/>
        </w:trPr>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pacing w:val="2"/>
                <w:sz w:val="24"/>
                <w:szCs w:val="24"/>
                <w:highlight w:val="none"/>
                <w:lang w:val="en-US" w:eastAsia="zh-CN"/>
              </w:rPr>
              <w:t>14</w:t>
            </w:r>
          </w:p>
        </w:tc>
        <w:tc>
          <w:tcPr>
            <w:tcW w:w="10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center"/>
              <w:rPr>
                <w:rFonts w:hint="eastAsia" w:ascii="宋体" w:hAnsi="宋体" w:eastAsia="宋体" w:cs="宋体"/>
                <w:color w:val="auto"/>
                <w:sz w:val="24"/>
                <w:szCs w:val="24"/>
                <w:highlight w:val="none"/>
                <w:lang w:val="en-US" w:eastAsia="zh-CN"/>
              </w:rPr>
            </w:pPr>
          </w:p>
        </w:tc>
        <w:tc>
          <w:tcPr>
            <w:tcW w:w="7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88" w:lineRule="auto"/>
              <w:jc w:val="both"/>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采购标的所属行业：工业</w:t>
            </w:r>
          </w:p>
        </w:tc>
      </w:tr>
    </w:tbl>
    <w:p>
      <w:pPr>
        <w:pStyle w:val="43"/>
        <w:pageBreakBefore w:val="0"/>
        <w:kinsoku/>
        <w:wordWrap w:val="0"/>
        <w:overflowPunct/>
        <w:topLinePunct w:val="0"/>
        <w:bidi w:val="0"/>
        <w:spacing w:line="336" w:lineRule="auto"/>
        <w:outlineLvl w:val="1"/>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bookmarkStart w:id="49" w:name="_Toc20897"/>
      <w:bookmarkStart w:id="50" w:name="_Toc17816969"/>
      <w:bookmarkStart w:id="51" w:name="_Toc13382"/>
      <w:r>
        <w:rPr>
          <w:rFonts w:hint="eastAsia" w:ascii="宋体" w:hAnsi="宋体" w:eastAsia="宋体" w:cs="宋体"/>
          <w:color w:val="auto"/>
          <w:sz w:val="28"/>
          <w:szCs w:val="28"/>
          <w:highlight w:val="none"/>
        </w:rPr>
        <w:t>一、总则</w:t>
      </w:r>
      <w:bookmarkEnd w:id="49"/>
      <w:bookmarkEnd w:id="50"/>
      <w:bookmarkEnd w:id="51"/>
    </w:p>
    <w:p>
      <w:pPr>
        <w:pageBreakBefore w:val="0"/>
        <w:kinsoku/>
        <w:wordWrap w:val="0"/>
        <w:overflowPunct/>
        <w:topLinePunct w:val="0"/>
        <w:bidi w:val="0"/>
        <w:spacing w:line="33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l. 项目综合说明</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项目的说明见竞标须知前附表（以下称“前附表”）第1项所述。</w:t>
      </w:r>
    </w:p>
    <w:p>
      <w:pPr>
        <w:pageBreakBefore w:val="0"/>
        <w:kinsoku/>
        <w:wordWrap w:val="0"/>
        <w:overflowPunct/>
        <w:topLinePunct w:val="0"/>
        <w:bidi w:val="0"/>
        <w:spacing w:line="33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资金来源及落实情况</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本项目的资金来源为</w:t>
      </w:r>
      <w:r>
        <w:rPr>
          <w:rFonts w:hint="eastAsia" w:ascii="宋体" w:hAnsi="宋体" w:eastAsia="宋体" w:cs="宋体"/>
          <w:color w:val="auto"/>
          <w:sz w:val="24"/>
          <w:szCs w:val="24"/>
          <w:highlight w:val="none"/>
          <w:lang w:eastAsia="zh-CN"/>
        </w:rPr>
        <w:t>财政性资金</w:t>
      </w:r>
      <w:r>
        <w:rPr>
          <w:rFonts w:hint="eastAsia" w:ascii="宋体" w:hAnsi="宋体" w:eastAsia="宋体" w:cs="宋体"/>
          <w:color w:val="auto"/>
          <w:sz w:val="24"/>
          <w:szCs w:val="24"/>
          <w:highlight w:val="none"/>
        </w:rPr>
        <w:t>，资金已落实，并将资金用于本项目合同项下的合理支付。</w:t>
      </w:r>
    </w:p>
    <w:p>
      <w:pPr>
        <w:pageBreakBefore w:val="0"/>
        <w:kinsoku/>
        <w:wordWrap w:val="0"/>
        <w:overflowPunct/>
        <w:topLinePunct w:val="0"/>
        <w:bidi w:val="0"/>
        <w:spacing w:after="0" w:line="33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3.供应商资格</w:t>
      </w:r>
    </w:p>
    <w:p>
      <w:pPr>
        <w:pageBreakBefore w:val="0"/>
        <w:kinsoku/>
        <w:wordWrap w:val="0"/>
        <w:overflowPunct/>
        <w:topLinePunct w:val="0"/>
        <w:bidi w:val="0"/>
        <w:spacing w:line="336"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3.1 有资格获得本合同的供应商，至少应满足本须知前附表第</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项所列的最低资质标准。</w:t>
      </w:r>
    </w:p>
    <w:p>
      <w:pPr>
        <w:pageBreakBefore w:val="0"/>
        <w:kinsoku/>
        <w:wordWrap w:val="0"/>
        <w:overflowPunct/>
        <w:topLinePunct w:val="0"/>
        <w:bidi w:val="0"/>
        <w:spacing w:line="33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 语言文字及计量单位</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除专用术语外，与采购有关的语言均使用中文。必要时专用术语应附有中文注释。所有计量均采用中华人民共和国法定计量单位。</w:t>
      </w:r>
    </w:p>
    <w:p>
      <w:pPr>
        <w:pageBreakBefore w:val="0"/>
        <w:kinsoku/>
        <w:wordWrap w:val="0"/>
        <w:overflowPunct/>
        <w:topLinePunct w:val="0"/>
        <w:bidi w:val="0"/>
        <w:spacing w:line="33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 竞标费用</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供应商应承担其编制响应文件与递交响应文件所涉及的一切费用。不管竞标结果如何，采购单位对上述费用不负任何责任。</w:t>
      </w:r>
    </w:p>
    <w:p>
      <w:pPr>
        <w:pageBreakBefore w:val="0"/>
        <w:kinsoku/>
        <w:wordWrap w:val="0"/>
        <w:overflowPunct/>
        <w:topLinePunct w:val="0"/>
        <w:bidi w:val="0"/>
        <w:spacing w:line="33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现场勘察</w:t>
      </w:r>
    </w:p>
    <w:p>
      <w:pPr>
        <w:pStyle w:val="12"/>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无。</w:t>
      </w:r>
    </w:p>
    <w:p>
      <w:pPr>
        <w:pStyle w:val="16"/>
        <w:pageBreakBefore w:val="0"/>
        <w:kinsoku/>
        <w:wordWrap w:val="0"/>
        <w:overflowPunct/>
        <w:topLinePunct w:val="0"/>
        <w:bidi w:val="0"/>
        <w:spacing w:line="336" w:lineRule="auto"/>
        <w:jc w:val="center"/>
        <w:rPr>
          <w:rFonts w:hint="eastAsia" w:ascii="宋体" w:hAnsi="宋体" w:eastAsia="宋体" w:cs="宋体"/>
          <w:sz w:val="28"/>
          <w:szCs w:val="28"/>
        </w:rPr>
      </w:pPr>
    </w:p>
    <w:p>
      <w:pPr>
        <w:pStyle w:val="16"/>
        <w:pageBreakBefore w:val="0"/>
        <w:kinsoku/>
        <w:wordWrap w:val="0"/>
        <w:overflowPunct/>
        <w:topLinePunct w:val="0"/>
        <w:bidi w:val="0"/>
        <w:spacing w:line="336" w:lineRule="auto"/>
        <w:jc w:val="center"/>
        <w:rPr>
          <w:rFonts w:hint="eastAsia" w:ascii="宋体" w:hAnsi="宋体" w:eastAsia="宋体" w:cs="宋体"/>
          <w:b/>
          <w:bCs/>
          <w:sz w:val="28"/>
          <w:szCs w:val="28"/>
          <w:lang w:eastAsia="zh-CN"/>
        </w:rPr>
      </w:pPr>
      <w:bookmarkStart w:id="52" w:name="_Toc17816970"/>
      <w:bookmarkStart w:id="53" w:name="_Toc12459"/>
      <w:bookmarkStart w:id="54" w:name="_Toc28390"/>
      <w:r>
        <w:rPr>
          <w:rFonts w:hint="eastAsia" w:ascii="宋体" w:hAnsi="宋体" w:eastAsia="宋体" w:cs="宋体"/>
          <w:b/>
          <w:bCs/>
          <w:sz w:val="28"/>
          <w:szCs w:val="28"/>
        </w:rPr>
        <w:t>二、</w:t>
      </w:r>
      <w:bookmarkEnd w:id="52"/>
      <w:r>
        <w:rPr>
          <w:rFonts w:hint="eastAsia" w:ascii="宋体" w:hAnsi="宋体" w:eastAsia="宋体" w:cs="宋体"/>
          <w:b/>
          <w:bCs/>
          <w:sz w:val="28"/>
          <w:szCs w:val="28"/>
          <w:lang w:eastAsia="zh-CN"/>
        </w:rPr>
        <w:t>竞争性谈判文件</w:t>
      </w:r>
      <w:bookmarkEnd w:id="53"/>
      <w:bookmarkEnd w:id="54"/>
    </w:p>
    <w:p>
      <w:pPr>
        <w:pageBreakBefore w:val="0"/>
        <w:kinsoku/>
        <w:wordWrap w:val="0"/>
        <w:overflowPunct/>
        <w:topLinePunct w:val="0"/>
        <w:bidi w:val="0"/>
        <w:spacing w:line="336"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7. </w:t>
      </w:r>
      <w:r>
        <w:rPr>
          <w:rFonts w:hint="eastAsia" w:ascii="宋体" w:hAnsi="宋体" w:eastAsia="宋体" w:cs="宋体"/>
          <w:b/>
          <w:bCs/>
          <w:color w:val="auto"/>
          <w:sz w:val="24"/>
          <w:szCs w:val="24"/>
          <w:highlight w:val="none"/>
          <w:lang w:eastAsia="zh-CN"/>
        </w:rPr>
        <w:t>竞争性谈判文件</w:t>
      </w:r>
      <w:r>
        <w:rPr>
          <w:rFonts w:hint="eastAsia" w:ascii="宋体" w:hAnsi="宋体" w:eastAsia="宋体" w:cs="宋体"/>
          <w:b/>
          <w:bCs/>
          <w:color w:val="auto"/>
          <w:sz w:val="24"/>
          <w:szCs w:val="24"/>
          <w:highlight w:val="none"/>
        </w:rPr>
        <w:t>的组成</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7.1 </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包括下列内容：</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第一章 </w:t>
      </w:r>
      <w:r>
        <w:rPr>
          <w:rFonts w:hint="eastAsia" w:ascii="宋体" w:hAnsi="宋体" w:eastAsia="宋体" w:cs="宋体"/>
          <w:color w:val="auto"/>
          <w:sz w:val="24"/>
          <w:szCs w:val="24"/>
          <w:highlight w:val="none"/>
          <w:lang w:eastAsia="zh-CN"/>
        </w:rPr>
        <w:t>竞争性谈判公告</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竞标人须知</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第三章 </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需求一览表</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政府采购合同</w:t>
      </w:r>
      <w:r>
        <w:rPr>
          <w:rFonts w:hint="eastAsia" w:ascii="宋体" w:hAnsi="宋体" w:eastAsia="宋体" w:cs="宋体"/>
          <w:color w:val="auto"/>
          <w:sz w:val="24"/>
          <w:szCs w:val="24"/>
          <w:highlight w:val="none"/>
          <w:lang w:eastAsia="zh-CN"/>
        </w:rPr>
        <w:t>格式</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响应文件格式</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除本竞标须知第7.1款所述的</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内容外，采购人在采购期间、符合法定时间发出的答疑、澄清、修改或补充内容，均是</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的组成部分，对采购人和供应商起约束作用根据本章第8条、第9条对</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所作的澄清、修改，构成</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的组成部分。</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供应商应认真审阅</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。如果供应商编制的响应文件不符合</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的要求，责任由供应商自负。实质上不响应</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要求的响应文件将被采购人拒绝。</w:t>
      </w:r>
    </w:p>
    <w:p>
      <w:pPr>
        <w:pageBreakBefore w:val="0"/>
        <w:kinsoku/>
        <w:wordWrap w:val="0"/>
        <w:overflowPunct/>
        <w:topLinePunct w:val="0"/>
        <w:bidi w:val="0"/>
        <w:spacing w:line="33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8 </w:t>
      </w:r>
      <w:r>
        <w:rPr>
          <w:rFonts w:hint="eastAsia" w:ascii="宋体" w:hAnsi="宋体" w:eastAsia="宋体" w:cs="宋体"/>
          <w:b/>
          <w:color w:val="auto"/>
          <w:sz w:val="24"/>
          <w:szCs w:val="24"/>
          <w:highlight w:val="none"/>
          <w:lang w:eastAsia="zh-CN"/>
        </w:rPr>
        <w:t>竞争性谈判文件</w:t>
      </w:r>
      <w:r>
        <w:rPr>
          <w:rFonts w:hint="eastAsia" w:ascii="宋体" w:hAnsi="宋体" w:eastAsia="宋体" w:cs="宋体"/>
          <w:b/>
          <w:color w:val="auto"/>
          <w:sz w:val="24"/>
          <w:szCs w:val="24"/>
          <w:highlight w:val="none"/>
        </w:rPr>
        <w:t>的澄清</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供应商应仔细阅读和检查</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的全部内容。如发现缺页或附件不全，应及时向采购人或采购代理机构提出，以便补齐。如有疑问，应于收到</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之日起3日内（逾期概不受理），以书面形式（包括书面文字、传真、电报等，下同），要求采购人或采购代理机构予以澄清。</w:t>
      </w:r>
    </w:p>
    <w:p>
      <w:pPr>
        <w:pStyle w:val="12"/>
        <w:pageBreakBefore w:val="0"/>
        <w:kinsoku/>
        <w:wordWrap w:val="0"/>
        <w:overflowPunct/>
        <w:topLinePunct w:val="0"/>
        <w:bidi w:val="0"/>
        <w:spacing w:line="336"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8.2 </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的澄清将在竞标截止时间3个工作日前以书面形式发给所有购买</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的供应商，在</w:t>
      </w:r>
      <w:r>
        <w:rPr>
          <w:rFonts w:hint="eastAsia" w:ascii="宋体" w:hAnsi="宋体" w:eastAsia="宋体" w:cs="宋体"/>
          <w:color w:val="auto"/>
          <w:sz w:val="24"/>
          <w:szCs w:val="24"/>
          <w:highlight w:val="none"/>
          <w:lang w:val="zh-CN" w:eastAsia="zh-CN"/>
        </w:rPr>
        <w:t>中国政府采购网（http://www.ccgp.gov.cn）、</w:t>
      </w:r>
      <w:r>
        <w:rPr>
          <w:rFonts w:hint="eastAsia" w:ascii="宋体" w:hAnsi="宋体" w:eastAsia="宋体" w:cs="宋体"/>
          <w:color w:val="auto"/>
          <w:sz w:val="24"/>
          <w:szCs w:val="24"/>
          <w:highlight w:val="none"/>
        </w:rPr>
        <w:t>广西壮族自治区政府采购网（http://zfcg.gxzf.gov.cn）上发布更正公告，并以书面形式通知所有竞争性谈判文件收受人。该澄清的内容为</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的组成部分。但不指明澄清问题的来源。如果澄清发出的时间距竞标截止时间不足3工作日，相应延长竞标截止时间。</w:t>
      </w:r>
    </w:p>
    <w:p>
      <w:pPr>
        <w:pageBreakBefore w:val="0"/>
        <w:kinsoku/>
        <w:wordWrap w:val="0"/>
        <w:overflowPunct/>
        <w:topLinePunct w:val="0"/>
        <w:bidi w:val="0"/>
        <w:spacing w:after="0"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供应商在收到澄清后，应在收到的同时以书面形式通知采购人或采购代理机构，确认己收到该澄清。否则，由此造成的一切后果由供应商承担。</w:t>
      </w:r>
    </w:p>
    <w:p>
      <w:pPr>
        <w:pageBreakBefore w:val="0"/>
        <w:kinsoku/>
        <w:wordWrap w:val="0"/>
        <w:overflowPunct/>
        <w:topLinePunct w:val="0"/>
        <w:bidi w:val="0"/>
        <w:spacing w:after="0" w:line="33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9. </w:t>
      </w:r>
      <w:r>
        <w:rPr>
          <w:rFonts w:hint="eastAsia" w:ascii="宋体" w:hAnsi="宋体" w:eastAsia="宋体" w:cs="宋体"/>
          <w:b/>
          <w:color w:val="auto"/>
          <w:sz w:val="24"/>
          <w:szCs w:val="24"/>
          <w:highlight w:val="none"/>
          <w:lang w:eastAsia="zh-CN"/>
        </w:rPr>
        <w:t>竞争性谈判文件</w:t>
      </w:r>
      <w:r>
        <w:rPr>
          <w:rFonts w:hint="eastAsia" w:ascii="宋体" w:hAnsi="宋体" w:eastAsia="宋体" w:cs="宋体"/>
          <w:b/>
          <w:color w:val="auto"/>
          <w:sz w:val="24"/>
          <w:szCs w:val="24"/>
          <w:highlight w:val="none"/>
        </w:rPr>
        <w:t>的修改</w:t>
      </w:r>
    </w:p>
    <w:p>
      <w:pPr>
        <w:pStyle w:val="12"/>
        <w:pageBreakBefore w:val="0"/>
        <w:kinsoku/>
        <w:wordWrap w:val="0"/>
        <w:overflowPunct/>
        <w:topLinePunct w:val="0"/>
        <w:bidi w:val="0"/>
        <w:spacing w:line="336"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提交响应文件截止之日前，采购人可以书面形式修改</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，采购代理机构对已发出的</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进行必要修改的，在</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要求提交响应文件截止时间3个工作日前，在</w:t>
      </w:r>
      <w:r>
        <w:rPr>
          <w:rFonts w:hint="eastAsia" w:ascii="宋体" w:hAnsi="宋体" w:eastAsia="宋体" w:cs="宋体"/>
          <w:color w:val="auto"/>
          <w:sz w:val="24"/>
          <w:szCs w:val="24"/>
          <w:highlight w:val="none"/>
          <w:lang w:val="zh-CN" w:eastAsia="zh-CN"/>
        </w:rPr>
        <w:t>中国政府采购网（http://www.ccgp.gov.cn）、</w:t>
      </w:r>
      <w:r>
        <w:rPr>
          <w:rFonts w:hint="eastAsia" w:ascii="宋体" w:hAnsi="宋体" w:eastAsia="宋体" w:cs="宋体"/>
          <w:color w:val="auto"/>
          <w:sz w:val="24"/>
          <w:szCs w:val="24"/>
          <w:highlight w:val="none"/>
        </w:rPr>
        <w:t>广西壮族自治区政府采购网（http://zfcg.gxzf.gov.cn）上发布更正公告，并以书面形式通知所有</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收受人。该修改的内容为</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的组成部分。并通知所有已购买</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的供应商。如果修改</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的时间距竞标截止时间不足 3工作日，相应延长竞标截止时间。</w:t>
      </w:r>
    </w:p>
    <w:p>
      <w:pPr>
        <w:pageBreakBefore w:val="0"/>
        <w:kinsoku/>
        <w:wordWrap w:val="0"/>
        <w:overflowPunct/>
        <w:topLinePunct w:val="0"/>
        <w:bidi w:val="0"/>
        <w:spacing w:after="0"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供应商在收到修改内容后，应在收到的同时以书面形式通知采购人或采购代理机构，确认己收到该修改。否则，由此造成的一切后果由供应商承担。</w:t>
      </w:r>
    </w:p>
    <w:p>
      <w:pPr>
        <w:pStyle w:val="7"/>
        <w:pageBreakBefore w:val="0"/>
        <w:kinsoku/>
        <w:wordWrap w:val="0"/>
        <w:overflowPunct/>
        <w:topLinePunct w:val="0"/>
        <w:bidi w:val="0"/>
        <w:spacing w:line="336" w:lineRule="auto"/>
        <w:rPr>
          <w:rFonts w:hint="eastAsia" w:ascii="宋体" w:hAnsi="宋体" w:eastAsia="宋体" w:cs="宋体"/>
        </w:rPr>
      </w:pPr>
    </w:p>
    <w:p>
      <w:pPr>
        <w:pStyle w:val="43"/>
        <w:pageBreakBefore w:val="0"/>
        <w:kinsoku/>
        <w:wordWrap w:val="0"/>
        <w:overflowPunct/>
        <w:topLinePunct w:val="0"/>
        <w:bidi w:val="0"/>
        <w:spacing w:line="336" w:lineRule="auto"/>
        <w:outlineLvl w:val="1"/>
        <w:rPr>
          <w:rFonts w:hint="eastAsia" w:ascii="宋体" w:hAnsi="宋体" w:eastAsia="宋体" w:cs="宋体"/>
          <w:color w:val="auto"/>
          <w:sz w:val="28"/>
          <w:szCs w:val="28"/>
          <w:highlight w:val="none"/>
        </w:rPr>
      </w:pPr>
      <w:bookmarkStart w:id="55" w:name="_Toc14773"/>
      <w:bookmarkStart w:id="56" w:name="_Toc3196"/>
      <w:bookmarkStart w:id="57" w:name="_Toc17816971"/>
      <w:r>
        <w:rPr>
          <w:rFonts w:hint="eastAsia" w:ascii="宋体" w:hAnsi="宋体" w:eastAsia="宋体" w:cs="宋体"/>
          <w:color w:val="auto"/>
          <w:sz w:val="28"/>
          <w:szCs w:val="28"/>
          <w:highlight w:val="none"/>
        </w:rPr>
        <w:t>三、响应文件</w:t>
      </w:r>
      <w:bookmarkEnd w:id="55"/>
      <w:bookmarkEnd w:id="56"/>
      <w:bookmarkEnd w:id="57"/>
    </w:p>
    <w:p>
      <w:pPr>
        <w:pageBreakBefore w:val="0"/>
        <w:kinsoku/>
        <w:wordWrap w:val="0"/>
        <w:overflowPunct/>
        <w:topLinePunct w:val="0"/>
        <w:bidi w:val="0"/>
        <w:spacing w:line="33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响应文件的组成</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10.1响应文件应包括下列三部分内容</w:t>
      </w:r>
    </w:p>
    <w:p>
      <w:pPr>
        <w:pStyle w:val="7"/>
        <w:pageBreakBefore w:val="0"/>
        <w:kinsoku/>
        <w:wordWrap w:val="0"/>
        <w:overflowPunct/>
        <w:topLinePunct w:val="0"/>
        <w:bidi w:val="0"/>
        <w:spacing w:line="33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（1）资格审查</w:t>
      </w:r>
    </w:p>
    <w:p>
      <w:pPr>
        <w:pStyle w:val="7"/>
        <w:pageBreakBefore w:val="0"/>
        <w:kinsoku/>
        <w:wordWrap w:val="0"/>
        <w:overflowPunct/>
        <w:topLinePunct w:val="0"/>
        <w:bidi w:val="0"/>
        <w:spacing w:line="336"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eastAsia="zh-CN"/>
        </w:rPr>
        <w:t>有效的营业执照副本、组织机构代码证副本、税务登记证副本（或加载有统一社会信用代码的‘三证合一’营业执照副本或事业单位法人证）</w:t>
      </w:r>
      <w:r>
        <w:rPr>
          <w:rFonts w:hint="eastAsia" w:ascii="宋体" w:hAnsi="宋体" w:eastAsia="宋体" w:cs="宋体"/>
          <w:color w:val="auto"/>
          <w:sz w:val="24"/>
          <w:szCs w:val="24"/>
          <w:highlight w:val="none"/>
        </w:rPr>
        <w:t>；</w:t>
      </w:r>
    </w:p>
    <w:p>
      <w:pPr>
        <w:pStyle w:val="7"/>
        <w:pageBreakBefore w:val="0"/>
        <w:kinsoku/>
        <w:wordWrap w:val="0"/>
        <w:overflowPunct/>
        <w:topLinePunct w:val="0"/>
        <w:bidi w:val="0"/>
        <w:spacing w:line="336"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eastAsia="zh-CN"/>
        </w:rPr>
        <w:t>有效的基本账户开户许可证或基本存款账户</w:t>
      </w:r>
    </w:p>
    <w:p>
      <w:pPr>
        <w:pageBreakBefore w:val="0"/>
        <w:kinsoku/>
        <w:wordWrap w:val="0"/>
        <w:overflowPunct/>
        <w:topLinePunct w:val="0"/>
        <w:bidi w:val="0"/>
        <w:spacing w:line="336" w:lineRule="auto"/>
        <w:ind w:firstLine="600" w:firstLine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③法定代表人（负责人）资格证明书和法定代表人（负责人）身份证复印件</w:t>
      </w:r>
      <w:r>
        <w:rPr>
          <w:rFonts w:hint="eastAsia" w:ascii="宋体" w:hAnsi="宋体" w:eastAsia="宋体" w:cs="宋体"/>
          <w:color w:val="auto"/>
          <w:sz w:val="24"/>
          <w:szCs w:val="24"/>
          <w:highlight w:val="none"/>
          <w:lang w:val="en-US" w:eastAsia="zh-CN"/>
        </w:rPr>
        <w:t>；</w:t>
      </w:r>
    </w:p>
    <w:p>
      <w:pPr>
        <w:pageBreakBefore w:val="0"/>
        <w:kinsoku/>
        <w:wordWrap w:val="0"/>
        <w:overflowPunct/>
        <w:topLinePunct w:val="0"/>
        <w:bidi w:val="0"/>
        <w:spacing w:line="336"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④提供供应商</w:t>
      </w:r>
      <w:r>
        <w:rPr>
          <w:rFonts w:hint="eastAsia" w:ascii="宋体" w:hAnsi="宋体" w:eastAsia="宋体" w:cs="宋体"/>
          <w:color w:val="auto"/>
          <w:sz w:val="24"/>
          <w:szCs w:val="24"/>
          <w:highlight w:val="none"/>
          <w:lang w:eastAsia="zh-CN"/>
        </w:rPr>
        <w:t>近</w:t>
      </w:r>
      <w:r>
        <w:rPr>
          <w:rFonts w:hint="eastAsia" w:ascii="宋体" w:hAnsi="宋体" w:eastAsia="宋体" w:cs="宋体"/>
          <w:color w:val="auto"/>
          <w:sz w:val="24"/>
          <w:szCs w:val="24"/>
          <w:highlight w:val="none"/>
        </w:rPr>
        <w:t>半年内</w:t>
      </w:r>
      <w:r>
        <w:rPr>
          <w:rFonts w:hint="eastAsia" w:ascii="宋体" w:hAnsi="宋体" w:eastAsia="宋体" w:cs="宋体"/>
          <w:color w:val="auto"/>
          <w:sz w:val="24"/>
          <w:szCs w:val="24"/>
          <w:highlight w:val="none"/>
          <w:lang w:eastAsia="zh-CN"/>
        </w:rPr>
        <w:t>连续</w:t>
      </w:r>
      <w:r>
        <w:rPr>
          <w:rFonts w:hint="eastAsia" w:ascii="宋体" w:hAnsi="宋体" w:eastAsia="宋体" w:cs="宋体"/>
          <w:color w:val="auto"/>
          <w:sz w:val="24"/>
          <w:szCs w:val="24"/>
          <w:highlight w:val="none"/>
          <w:lang w:val="en-US" w:eastAsia="zh-CN"/>
        </w:rPr>
        <w:t>3个</w:t>
      </w:r>
      <w:r>
        <w:rPr>
          <w:rFonts w:hint="eastAsia" w:ascii="宋体" w:hAnsi="宋体" w:eastAsia="宋体" w:cs="宋体"/>
          <w:color w:val="auto"/>
          <w:sz w:val="24"/>
          <w:szCs w:val="24"/>
          <w:highlight w:val="none"/>
        </w:rPr>
        <w:t>月的依法缴纳税费或依法免缴税费的证明；</w:t>
      </w:r>
    </w:p>
    <w:p>
      <w:pPr>
        <w:pStyle w:val="7"/>
        <w:pageBreakBefore w:val="0"/>
        <w:kinsoku/>
        <w:wordWrap w:val="0"/>
        <w:overflowPunct/>
        <w:topLinePunct w:val="0"/>
        <w:bidi w:val="0"/>
        <w:spacing w:line="336"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lang w:eastAsia="zh-CN"/>
        </w:rPr>
        <w:t>提供2020年度审计报告或财务会计报表（新成立单位按实际提供）</w:t>
      </w:r>
      <w:r>
        <w:rPr>
          <w:rFonts w:hint="eastAsia" w:ascii="宋体" w:hAnsi="宋体" w:eastAsia="宋体" w:cs="宋体"/>
          <w:color w:val="auto"/>
          <w:sz w:val="24"/>
          <w:szCs w:val="24"/>
          <w:highlight w:val="none"/>
        </w:rPr>
        <w:t>；</w:t>
      </w:r>
    </w:p>
    <w:p>
      <w:pPr>
        <w:pageBreakBefore w:val="0"/>
        <w:kinsoku/>
        <w:wordWrap w:val="0"/>
        <w:overflowPunct/>
        <w:topLinePunct w:val="0"/>
        <w:bidi w:val="0"/>
        <w:spacing w:line="336"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⑥法定代表人（负责人）授权委托书原件和委托代理人身份证复印件（委托代理时须提供）；</w:t>
      </w:r>
    </w:p>
    <w:p>
      <w:pPr>
        <w:pageBreakBefore w:val="0"/>
        <w:kinsoku/>
        <w:wordWrap w:val="0"/>
        <w:overflowPunct/>
        <w:topLinePunct w:val="0"/>
        <w:bidi w:val="0"/>
        <w:spacing w:line="336"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w:t>
      </w:r>
      <w:r>
        <w:rPr>
          <w:rFonts w:hint="eastAsia" w:ascii="宋体" w:hAnsi="宋体" w:eastAsia="宋体" w:cs="宋体"/>
          <w:color w:val="auto"/>
          <w:sz w:val="24"/>
          <w:szCs w:val="24"/>
          <w:highlight w:val="none"/>
          <w:lang w:eastAsia="zh-CN"/>
        </w:rPr>
        <w:t>无串通竞标行为的承诺函（必须提供）</w:t>
      </w:r>
      <w:r>
        <w:rPr>
          <w:rFonts w:hint="eastAsia" w:ascii="宋体" w:hAnsi="宋体" w:eastAsia="宋体" w:cs="宋体"/>
          <w:color w:val="auto"/>
          <w:sz w:val="24"/>
          <w:szCs w:val="24"/>
          <w:highlight w:val="none"/>
        </w:rPr>
        <w:t>；</w:t>
      </w:r>
    </w:p>
    <w:p>
      <w:pPr>
        <w:pageBreakBefore w:val="0"/>
        <w:kinsoku/>
        <w:wordWrap w:val="0"/>
        <w:overflowPunct/>
        <w:topLinePunct w:val="0"/>
        <w:bidi w:val="0"/>
        <w:spacing w:line="336"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⑧提供本单位参加政府采购活动前3年内在经营活动中没有大违法记录在书面声明；</w:t>
      </w:r>
    </w:p>
    <w:p>
      <w:pPr>
        <w:pageBreakBefore w:val="0"/>
        <w:kinsoku/>
        <w:wordWrap w:val="0"/>
        <w:overflowPunct/>
        <w:topLinePunct w:val="0"/>
        <w:bidi w:val="0"/>
        <w:spacing w:line="336" w:lineRule="auto"/>
        <w:ind w:firstLine="602" w:firstLineChars="2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以上内容中的第①～</w:t>
      </w:r>
      <w:r>
        <w:rPr>
          <w:rFonts w:hint="eastAsia" w:ascii="宋体" w:hAnsi="宋体" w:eastAsia="宋体" w:cs="宋体"/>
          <w:b/>
          <w:color w:val="auto"/>
          <w:sz w:val="24"/>
          <w:szCs w:val="24"/>
          <w:highlight w:val="none"/>
          <w:lang w:eastAsia="zh-CN"/>
        </w:rPr>
        <w:t>⑧</w:t>
      </w:r>
      <w:r>
        <w:rPr>
          <w:rFonts w:hint="eastAsia" w:ascii="宋体" w:hAnsi="宋体" w:eastAsia="宋体" w:cs="宋体"/>
          <w:b/>
          <w:color w:val="auto"/>
          <w:sz w:val="24"/>
          <w:szCs w:val="24"/>
          <w:highlight w:val="none"/>
        </w:rPr>
        <w:t>项必须提交. 其中第⑥项只需在委托代理时必须提交。</w:t>
      </w:r>
    </w:p>
    <w:p>
      <w:pPr>
        <w:pStyle w:val="7"/>
        <w:pageBreakBefore w:val="0"/>
        <w:kinsoku/>
        <w:wordWrap w:val="0"/>
        <w:overflowPunct/>
        <w:topLinePunct w:val="0"/>
        <w:bidi w:val="0"/>
        <w:spacing w:line="33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（2）商务标</w:t>
      </w:r>
    </w:p>
    <w:p>
      <w:pPr>
        <w:pageBreakBefore w:val="0"/>
        <w:kinsoku/>
        <w:wordWrap w:val="0"/>
        <w:overflowPunct/>
        <w:topLinePunct w:val="0"/>
        <w:bidi w:val="0"/>
        <w:spacing w:line="336"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①竞标函（必须提供）；</w:t>
      </w:r>
    </w:p>
    <w:p>
      <w:pPr>
        <w:pageBreakBefore w:val="0"/>
        <w:kinsoku/>
        <w:wordWrap w:val="0"/>
        <w:overflowPunct/>
        <w:topLinePunct w:val="0"/>
        <w:bidi w:val="0"/>
        <w:spacing w:line="336"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eastAsia="zh-CN"/>
        </w:rPr>
        <w:t>竞标报价表</w:t>
      </w:r>
      <w:r>
        <w:rPr>
          <w:rFonts w:hint="eastAsia" w:ascii="宋体" w:hAnsi="宋体" w:eastAsia="宋体" w:cs="宋体"/>
          <w:color w:val="auto"/>
          <w:sz w:val="24"/>
          <w:szCs w:val="24"/>
          <w:highlight w:val="none"/>
        </w:rPr>
        <w:t>（必须提供）；</w:t>
      </w:r>
    </w:p>
    <w:p>
      <w:pPr>
        <w:pageBreakBefore w:val="0"/>
        <w:kinsoku/>
        <w:wordWrap w:val="0"/>
        <w:overflowPunct/>
        <w:topLinePunct w:val="0"/>
        <w:bidi w:val="0"/>
        <w:spacing w:line="336"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③售后服务承诺书（必须提供）；</w:t>
      </w:r>
    </w:p>
    <w:p>
      <w:pPr>
        <w:pStyle w:val="7"/>
        <w:pageBreakBefore w:val="0"/>
        <w:kinsoku/>
        <w:wordWrap w:val="0"/>
        <w:overflowPunct/>
        <w:topLinePunct w:val="0"/>
        <w:bidi w:val="0"/>
        <w:spacing w:line="336"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④中小企业声明函（如有）；</w:t>
      </w:r>
    </w:p>
    <w:p>
      <w:pPr>
        <w:pageBreakBefore w:val="0"/>
        <w:kinsoku/>
        <w:wordWrap w:val="0"/>
        <w:overflowPunct/>
        <w:topLinePunct w:val="0"/>
        <w:bidi w:val="0"/>
        <w:spacing w:line="336"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⑤供应商认为需要说明的其它资料</w:t>
      </w:r>
      <w:r>
        <w:rPr>
          <w:rFonts w:hint="eastAsia" w:ascii="宋体" w:hAnsi="宋体" w:eastAsia="宋体" w:cs="宋体"/>
          <w:color w:val="auto"/>
          <w:sz w:val="24"/>
          <w:szCs w:val="24"/>
          <w:highlight w:val="none"/>
          <w:lang w:eastAsia="zh-CN"/>
        </w:rPr>
        <w:t>。</w:t>
      </w:r>
    </w:p>
    <w:p>
      <w:pPr>
        <w:pStyle w:val="7"/>
        <w:pageBreakBefore w:val="0"/>
        <w:kinsoku/>
        <w:wordWrap w:val="0"/>
        <w:overflowPunct/>
        <w:topLinePunct w:val="0"/>
        <w:bidi w:val="0"/>
        <w:spacing w:line="33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（3）技术标</w:t>
      </w:r>
    </w:p>
    <w:p>
      <w:pPr>
        <w:pageBreakBefore w:val="0"/>
        <w:kinsoku/>
        <w:wordWrap w:val="0"/>
        <w:overflowPunct/>
        <w:topLinePunct w:val="0"/>
        <w:bidi w:val="0"/>
        <w:spacing w:line="336"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①技术规格响应表（必须提供）；</w:t>
      </w:r>
    </w:p>
    <w:p>
      <w:pPr>
        <w:pageBreakBefore w:val="0"/>
        <w:kinsoku/>
        <w:wordWrap w:val="0"/>
        <w:overflowPunct/>
        <w:topLinePunct w:val="0"/>
        <w:bidi w:val="0"/>
        <w:spacing w:line="336"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②针对本项目的服务承诺方案（必须提供）；</w:t>
      </w:r>
    </w:p>
    <w:p>
      <w:pPr>
        <w:pageBreakBefore w:val="0"/>
        <w:kinsoku/>
        <w:wordWrap w:val="0"/>
        <w:overflowPunct/>
        <w:topLinePunct w:val="0"/>
        <w:bidi w:val="0"/>
        <w:spacing w:line="336"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③供应商认为需要说明的其它资料。</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供应商应按照响应文件格式和顺序，自行编制响应文件，响应文件应包含本须知第10.1条中规定的内容，但表格可以按同样格式扩展。</w:t>
      </w:r>
    </w:p>
    <w:p>
      <w:pPr>
        <w:pageBreakBefore w:val="0"/>
        <w:kinsoku/>
        <w:wordWrap w:val="0"/>
        <w:overflowPunct/>
        <w:topLinePunct w:val="0"/>
        <w:bidi w:val="0"/>
        <w:spacing w:line="33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竞标报价</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11.1响应文件中的报价均采用人民币表示。</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b/>
          <w:color w:val="auto"/>
          <w:sz w:val="24"/>
          <w:szCs w:val="24"/>
          <w:highlight w:val="none"/>
        </w:rPr>
        <w:t>竞标报价为供应商在响应文件中提出的各项支付金额的总和（包含税金及其它所有成本费用的总和）；</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供应商的竞标报价，应是完成前附表第1项所列的范围及服务期的全部，不得以任何理由予以重复，作为供应商计算竞标报价的依据；</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11.4供应商可根据市场行情及自身情况，自行决定其竞标报价。</w:t>
      </w:r>
    </w:p>
    <w:p>
      <w:pPr>
        <w:pageBreakBefore w:val="0"/>
        <w:kinsoku/>
        <w:wordWrap w:val="0"/>
        <w:overflowPunct/>
        <w:topLinePunct w:val="0"/>
        <w:bidi w:val="0"/>
        <w:spacing w:line="33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 竞标有效期</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在前附表第5项规定的竞标有效期内，供应商不得要求撤销或修改其响应文件。</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出现特殊情况需要延长竞标有效期的，采购人以书面形式通知所有供应商延长竞标有效期。供应商同意延长的，应相应延长其竞标保证金的有效期，但不得要求或被允许修改或撤销其响应文件；供应商拒绝延长的，其报价失效，但供应商有权收回其竞标保证金。</w:t>
      </w:r>
    </w:p>
    <w:p>
      <w:pPr>
        <w:pageBreakBefore w:val="0"/>
        <w:kinsoku/>
        <w:wordWrap w:val="0"/>
        <w:overflowPunct/>
        <w:topLinePunct w:val="0"/>
        <w:bidi w:val="0"/>
        <w:spacing w:line="33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 竞标保证金</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供应商应按前附表第6项的规定提交竞标保证金</w:t>
      </w:r>
      <w:r>
        <w:rPr>
          <w:rFonts w:hint="eastAsia" w:ascii="宋体" w:hAnsi="宋体" w:eastAsia="宋体" w:cs="宋体"/>
          <w:color w:val="auto"/>
          <w:spacing w:val="2"/>
          <w:sz w:val="24"/>
          <w:szCs w:val="24"/>
          <w:highlight w:val="none"/>
        </w:rPr>
        <w:t>。</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对于未能按规定提交竞标保证金的供应商，采购人将视为不响应</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而予以拒绝。</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13.3 未成交的供应商的竞标保证金将尽快退还（无息），最迟不超过成交通知发出后的5个工作日。 </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13.4采购人与成交人签订合同后5个工作日内，向成交人退还竞标保证金，不计利息。</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 如供应商有下列情形之一的，其竞标保证金将不予退还：</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⑴供应商在规定的竞标有效期内撤销或修改其响应文件；</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⑵成交人在收到成交通知书后无正当理由拒绝与采购人签订合同协议或未按</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规定提交履约保证金。</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⑶成交人收到成交通知书</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天内未与采购单位签订合同，签订合同后</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天内并未及时拿采购合同交到采购代理机构备案的。   </w:t>
      </w:r>
    </w:p>
    <w:p>
      <w:pPr>
        <w:pageBreakBefore w:val="0"/>
        <w:kinsoku/>
        <w:wordWrap w:val="0"/>
        <w:overflowPunct/>
        <w:topLinePunct w:val="0"/>
        <w:bidi w:val="0"/>
        <w:spacing w:line="33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响应文件编制</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响应文件应按第六章“响应文件格式”进行编写，如有必要，可以增加附页，作为响应文件的组成部分。</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响应文件应当对</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有关服务期、竞标有效期、质量要求、技术标准、采购范围等实质性内容作出响应。</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响应文件应使用不能擦去的墨水书写或打印并加盖单位章，</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中要求供应商的法定代表人或其委托代理人签字的项目须按要求签字确认。委托代理人签字的，响应文件应附法定代表人签字署名的授权委托书。响应文件应无涂改、行间插字或删除，如果出现上述情况，改动之处应加盖单位章或由供应商的法定代表人或其授权的代理人签字确认。</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响应文件正本一份，副本份数见前附表第7项要求。正本和副本的封面上应清楚地标记“正本”或“副本”的字样。当副本和正本不一致时，以正本为准。</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14.5响应文件的正本与副本应分别装订成册，并编制目录和页码，要求装订标准规范。</w:t>
      </w:r>
    </w:p>
    <w:p>
      <w:pPr>
        <w:pStyle w:val="43"/>
        <w:pageBreakBefore w:val="0"/>
        <w:kinsoku/>
        <w:wordWrap w:val="0"/>
        <w:overflowPunct/>
        <w:topLinePunct w:val="0"/>
        <w:bidi w:val="0"/>
        <w:spacing w:line="336" w:lineRule="auto"/>
        <w:outlineLvl w:val="1"/>
        <w:rPr>
          <w:rFonts w:hint="eastAsia" w:ascii="宋体" w:hAnsi="宋体" w:eastAsia="宋体" w:cs="宋体"/>
          <w:color w:val="auto"/>
          <w:sz w:val="28"/>
          <w:szCs w:val="28"/>
          <w:highlight w:val="none"/>
        </w:rPr>
      </w:pPr>
      <w:bookmarkStart w:id="58" w:name="_Toc4219"/>
      <w:bookmarkStart w:id="59" w:name="_Toc17816972"/>
      <w:bookmarkStart w:id="60" w:name="_Toc4255"/>
      <w:r>
        <w:rPr>
          <w:rFonts w:hint="eastAsia" w:ascii="宋体" w:hAnsi="宋体" w:eastAsia="宋体" w:cs="宋体"/>
          <w:color w:val="auto"/>
          <w:sz w:val="28"/>
          <w:szCs w:val="28"/>
          <w:highlight w:val="none"/>
        </w:rPr>
        <w:t>四、竞标</w:t>
      </w:r>
      <w:bookmarkEnd w:id="58"/>
      <w:bookmarkEnd w:id="59"/>
      <w:bookmarkEnd w:id="60"/>
    </w:p>
    <w:p>
      <w:pPr>
        <w:pageBreakBefore w:val="0"/>
        <w:kinsoku/>
        <w:wordWrap w:val="0"/>
        <w:overflowPunct/>
        <w:topLinePunct w:val="0"/>
        <w:bidi w:val="0"/>
        <w:spacing w:line="33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 响应文件的密封和标识</w:t>
      </w:r>
    </w:p>
    <w:p>
      <w:pPr>
        <w:pageBreakBefore w:val="0"/>
        <w:kinsoku/>
        <w:wordWrap w:val="0"/>
        <w:overflowPunct/>
        <w:topLinePunct w:val="0"/>
        <w:autoSpaceDE w:val="0"/>
        <w:autoSpaceDN w:val="0"/>
        <w:bidi w:val="0"/>
        <w:spacing w:line="336" w:lineRule="auto"/>
        <w:ind w:firstLine="48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15.1 响应文件（正本一份，副本</w:t>
      </w:r>
      <w:r>
        <w:rPr>
          <w:rFonts w:hint="eastAsia" w:ascii="宋体" w:hAnsi="宋体" w:eastAsia="宋体" w:cs="宋体"/>
          <w:color w:val="auto"/>
          <w:spacing w:val="2"/>
          <w:sz w:val="24"/>
          <w:szCs w:val="24"/>
          <w:highlight w:val="none"/>
          <w:lang w:eastAsia="zh-CN"/>
        </w:rPr>
        <w:t>贰</w:t>
      </w:r>
      <w:r>
        <w:rPr>
          <w:rFonts w:hint="eastAsia" w:ascii="宋体" w:hAnsi="宋体" w:eastAsia="宋体" w:cs="宋体"/>
          <w:color w:val="auto"/>
          <w:spacing w:val="2"/>
          <w:sz w:val="24"/>
          <w:szCs w:val="24"/>
          <w:highlight w:val="none"/>
        </w:rPr>
        <w:t>份），竞标人将响应文件按正、副本分别装订成册，在每个正、副本封面上标明“正本”或“副本”，以及项目名称、项目编号、竞标人名称等内容并密封在同一个密封袋中，所有响应文件的包装封口处须盖密封章或公章。</w:t>
      </w:r>
    </w:p>
    <w:p>
      <w:pPr>
        <w:pageBreakBefore w:val="0"/>
        <w:kinsoku/>
        <w:wordWrap w:val="0"/>
        <w:overflowPunct/>
        <w:topLinePunct w:val="0"/>
        <w:bidi w:val="0"/>
        <w:spacing w:line="336" w:lineRule="auto"/>
        <w:ind w:firstLine="4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15.2在响应文件密封袋上均应写明：</w:t>
      </w:r>
    </w:p>
    <w:p>
      <w:pPr>
        <w:pageBreakBefore w:val="0"/>
        <w:kinsoku/>
        <w:wordWrap w:val="0"/>
        <w:overflowPunct/>
        <w:topLinePunct w:val="0"/>
        <w:bidi w:val="0"/>
        <w:spacing w:line="336" w:lineRule="auto"/>
        <w:ind w:firstLine="4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⑴采购代理机构:</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pageBreakBefore w:val="0"/>
        <w:kinsoku/>
        <w:wordWrap w:val="0"/>
        <w:overflowPunct/>
        <w:topLinePunct w:val="0"/>
        <w:bidi w:val="0"/>
        <w:spacing w:line="336" w:lineRule="auto"/>
        <w:ind w:firstLine="4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⑵项目名称: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pageBreakBefore w:val="0"/>
        <w:kinsoku/>
        <w:wordWrap w:val="0"/>
        <w:overflowPunct/>
        <w:topLinePunct w:val="0"/>
        <w:bidi w:val="0"/>
        <w:spacing w:line="336" w:lineRule="auto"/>
        <w:ind w:firstLine="4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w:t>
      </w:r>
    </w:p>
    <w:p>
      <w:pPr>
        <w:pageBreakBefore w:val="0"/>
        <w:kinsoku/>
        <w:wordWrap w:val="0"/>
        <w:overflowPunct/>
        <w:topLinePunct w:val="0"/>
        <w:bidi w:val="0"/>
        <w:spacing w:line="336" w:lineRule="auto"/>
        <w:ind w:firstLine="4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⑷竞标人名称：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ageBreakBefore w:val="0"/>
        <w:kinsoku/>
        <w:wordWrap w:val="0"/>
        <w:overflowPunct/>
        <w:topLinePunct w:val="0"/>
        <w:bidi w:val="0"/>
        <w:spacing w:line="336" w:lineRule="auto"/>
        <w:ind w:firstLine="4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⑸竞标人法定代表人姓名或委托代理人姓名：</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pageBreakBefore w:val="0"/>
        <w:kinsoku/>
        <w:wordWrap w:val="0"/>
        <w:overflowPunct/>
        <w:topLinePunct w:val="0"/>
        <w:bidi w:val="0"/>
        <w:spacing w:line="336" w:lineRule="auto"/>
        <w:ind w:firstLine="4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⑹注明：20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分前不得开封。</w:t>
      </w:r>
    </w:p>
    <w:p>
      <w:pPr>
        <w:pageBreakBefore w:val="0"/>
        <w:kinsoku/>
        <w:wordWrap w:val="0"/>
        <w:overflowPunct/>
        <w:topLinePunct w:val="0"/>
        <w:bidi w:val="0"/>
        <w:spacing w:line="336" w:lineRule="auto"/>
        <w:ind w:firstLine="475"/>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15.3 未按本章第15.1条或15.2条要求密封和加写标记，将不予接收。</w:t>
      </w:r>
    </w:p>
    <w:p>
      <w:pPr>
        <w:pageBreakBefore w:val="0"/>
        <w:kinsoku/>
        <w:wordWrap w:val="0"/>
        <w:overflowPunct/>
        <w:topLinePunct w:val="0"/>
        <w:bidi w:val="0"/>
        <w:spacing w:line="336" w:lineRule="auto"/>
        <w:rPr>
          <w:rFonts w:hint="eastAsia" w:ascii="宋体" w:hAnsi="宋体" w:eastAsia="宋体" w:cs="宋体"/>
          <w:b/>
          <w:color w:val="auto"/>
          <w:spacing w:val="2"/>
          <w:sz w:val="24"/>
          <w:szCs w:val="24"/>
          <w:highlight w:val="none"/>
        </w:rPr>
      </w:pPr>
      <w:r>
        <w:rPr>
          <w:rFonts w:hint="eastAsia" w:ascii="宋体" w:hAnsi="宋体" w:eastAsia="宋体" w:cs="宋体"/>
          <w:b/>
          <w:color w:val="auto"/>
          <w:spacing w:val="2"/>
          <w:sz w:val="24"/>
          <w:szCs w:val="24"/>
          <w:highlight w:val="none"/>
        </w:rPr>
        <w:t>16. 响应文件的递交</w:t>
      </w:r>
    </w:p>
    <w:p>
      <w:pPr>
        <w:pageBreakBefore w:val="0"/>
        <w:kinsoku/>
        <w:wordWrap w:val="0"/>
        <w:overflowPunct/>
        <w:topLinePunct w:val="0"/>
        <w:bidi w:val="0"/>
        <w:spacing w:line="336" w:lineRule="auto"/>
        <w:ind w:firstLine="475"/>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16.1 供应商应在前附表第8项规定的竞标截止时间前递交响应文件。凡逾期送达的响应文件代理机构将不予接收。</w:t>
      </w:r>
    </w:p>
    <w:p>
      <w:pPr>
        <w:pageBreakBefore w:val="0"/>
        <w:kinsoku/>
        <w:wordWrap w:val="0"/>
        <w:overflowPunct/>
        <w:topLinePunct w:val="0"/>
        <w:bidi w:val="0"/>
        <w:spacing w:line="336" w:lineRule="auto"/>
        <w:ind w:firstLine="475"/>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16.2 供应商按前附表第9项规定的地点递交响应文件，并由采购人或采购代理机构签收。</w:t>
      </w:r>
    </w:p>
    <w:p>
      <w:pPr>
        <w:pageBreakBefore w:val="0"/>
        <w:kinsoku/>
        <w:wordWrap w:val="0"/>
        <w:overflowPunct/>
        <w:topLinePunct w:val="0"/>
        <w:bidi w:val="0"/>
        <w:spacing w:line="336" w:lineRule="auto"/>
        <w:ind w:firstLine="475"/>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16.3 除</w:t>
      </w:r>
      <w:r>
        <w:rPr>
          <w:rFonts w:hint="eastAsia" w:ascii="宋体" w:hAnsi="宋体" w:eastAsia="宋体" w:cs="宋体"/>
          <w:color w:val="auto"/>
          <w:spacing w:val="2"/>
          <w:sz w:val="24"/>
          <w:szCs w:val="24"/>
          <w:highlight w:val="none"/>
          <w:lang w:eastAsia="zh-CN"/>
        </w:rPr>
        <w:t>竞争性谈判文件</w:t>
      </w:r>
      <w:r>
        <w:rPr>
          <w:rFonts w:hint="eastAsia" w:ascii="宋体" w:hAnsi="宋体" w:eastAsia="宋体" w:cs="宋体"/>
          <w:color w:val="auto"/>
          <w:spacing w:val="2"/>
          <w:sz w:val="24"/>
          <w:szCs w:val="24"/>
          <w:highlight w:val="none"/>
        </w:rPr>
        <w:t>另有规定外，供应商所递交的响应文件不予退还。</w:t>
      </w:r>
    </w:p>
    <w:p>
      <w:pPr>
        <w:pageBreakBefore w:val="0"/>
        <w:kinsoku/>
        <w:wordWrap w:val="0"/>
        <w:overflowPunct/>
        <w:topLinePunct w:val="0"/>
        <w:bidi w:val="0"/>
        <w:spacing w:line="336" w:lineRule="auto"/>
        <w:ind w:firstLine="475"/>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16.4未送达指定地点的响应文件，作无效竞标处理。</w:t>
      </w:r>
    </w:p>
    <w:p>
      <w:pPr>
        <w:pageBreakBefore w:val="0"/>
        <w:kinsoku/>
        <w:wordWrap w:val="0"/>
        <w:overflowPunct/>
        <w:topLinePunct w:val="0"/>
        <w:bidi w:val="0"/>
        <w:spacing w:line="336" w:lineRule="auto"/>
        <w:rPr>
          <w:rFonts w:hint="eastAsia" w:ascii="宋体" w:hAnsi="宋体" w:eastAsia="宋体" w:cs="宋体"/>
          <w:b/>
          <w:color w:val="auto"/>
          <w:spacing w:val="2"/>
          <w:sz w:val="24"/>
          <w:szCs w:val="24"/>
          <w:highlight w:val="none"/>
        </w:rPr>
      </w:pPr>
      <w:r>
        <w:rPr>
          <w:rFonts w:hint="eastAsia" w:ascii="宋体" w:hAnsi="宋体" w:eastAsia="宋体" w:cs="宋体"/>
          <w:b/>
          <w:color w:val="auto"/>
          <w:spacing w:val="2"/>
          <w:sz w:val="24"/>
          <w:szCs w:val="24"/>
          <w:highlight w:val="none"/>
        </w:rPr>
        <w:t>17. 响应文件的修改和撤回</w:t>
      </w:r>
    </w:p>
    <w:p>
      <w:pPr>
        <w:pageBreakBefore w:val="0"/>
        <w:kinsoku/>
        <w:wordWrap w:val="0"/>
        <w:overflowPunct/>
        <w:topLinePunct w:val="0"/>
        <w:bidi w:val="0"/>
        <w:spacing w:line="336" w:lineRule="auto"/>
        <w:ind w:firstLine="475"/>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17.1 在前附表第8项规定的竞标截止时间前，供应商可以修改或撤回已递交的响应文件，但应以书面形式通知采购代理机构。</w:t>
      </w:r>
    </w:p>
    <w:p>
      <w:pPr>
        <w:pageBreakBefore w:val="0"/>
        <w:kinsoku/>
        <w:wordWrap w:val="0"/>
        <w:overflowPunct/>
        <w:topLinePunct w:val="0"/>
        <w:bidi w:val="0"/>
        <w:spacing w:line="336" w:lineRule="auto"/>
        <w:ind w:firstLine="475"/>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17.2 供应商修改或撤回已递交响应文件的书面通知应按照本章第15.3项的要求签字或盖章。采购代理机构收到书面通知后，向供应商出具签收凭证。</w:t>
      </w:r>
    </w:p>
    <w:p>
      <w:pPr>
        <w:pageBreakBefore w:val="0"/>
        <w:kinsoku/>
        <w:wordWrap w:val="0"/>
        <w:overflowPunct/>
        <w:topLinePunct w:val="0"/>
        <w:bidi w:val="0"/>
        <w:spacing w:line="336" w:lineRule="auto"/>
        <w:ind w:firstLine="488"/>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17.3 修改的内容为响应文件的组成部分。</w:t>
      </w:r>
    </w:p>
    <w:p>
      <w:pPr>
        <w:pStyle w:val="7"/>
        <w:pageBreakBefore w:val="0"/>
        <w:kinsoku/>
        <w:wordWrap w:val="0"/>
        <w:overflowPunct/>
        <w:topLinePunct w:val="0"/>
        <w:bidi w:val="0"/>
        <w:spacing w:line="336" w:lineRule="auto"/>
        <w:rPr>
          <w:rFonts w:hint="eastAsia" w:ascii="宋体" w:hAnsi="宋体" w:eastAsia="宋体" w:cs="宋体"/>
        </w:rPr>
      </w:pPr>
    </w:p>
    <w:p>
      <w:pPr>
        <w:pStyle w:val="43"/>
        <w:pageBreakBefore w:val="0"/>
        <w:kinsoku/>
        <w:wordWrap w:val="0"/>
        <w:overflowPunct/>
        <w:topLinePunct w:val="0"/>
        <w:bidi w:val="0"/>
        <w:spacing w:line="336" w:lineRule="auto"/>
        <w:outlineLvl w:val="1"/>
        <w:rPr>
          <w:rFonts w:hint="eastAsia" w:ascii="宋体" w:hAnsi="宋体" w:eastAsia="宋体" w:cs="宋体"/>
          <w:color w:val="auto"/>
          <w:sz w:val="28"/>
          <w:szCs w:val="28"/>
          <w:highlight w:val="none"/>
        </w:rPr>
      </w:pPr>
      <w:bookmarkStart w:id="61" w:name="_Toc24284"/>
      <w:bookmarkStart w:id="62" w:name="_Toc17816973"/>
      <w:bookmarkStart w:id="63" w:name="_Toc18512"/>
      <w:r>
        <w:rPr>
          <w:rFonts w:hint="eastAsia" w:ascii="宋体" w:hAnsi="宋体" w:eastAsia="宋体" w:cs="宋体"/>
          <w:color w:val="auto"/>
          <w:sz w:val="28"/>
          <w:szCs w:val="28"/>
          <w:highlight w:val="none"/>
        </w:rPr>
        <w:t>五、开标</w:t>
      </w:r>
      <w:bookmarkEnd w:id="61"/>
      <w:bookmarkEnd w:id="62"/>
      <w:bookmarkEnd w:id="63"/>
    </w:p>
    <w:p>
      <w:pPr>
        <w:pageBreakBefore w:val="0"/>
        <w:kinsoku/>
        <w:wordWrap w:val="0"/>
        <w:overflowPunct/>
        <w:topLinePunct w:val="0"/>
        <w:bidi w:val="0"/>
        <w:spacing w:line="336" w:lineRule="auto"/>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rPr>
        <w:t>18、开标</w:t>
      </w:r>
    </w:p>
    <w:p>
      <w:pPr>
        <w:pageBreakBefore w:val="0"/>
        <w:kinsoku/>
        <w:wordWrap w:val="0"/>
        <w:overflowPunct/>
        <w:topLinePunct w:val="0"/>
        <w:bidi w:val="0"/>
        <w:spacing w:line="336"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18.l</w:t>
      </w:r>
      <w:r>
        <w:rPr>
          <w:rFonts w:hint="eastAsia" w:ascii="宋体" w:hAnsi="宋体" w:eastAsia="宋体" w:cs="宋体"/>
          <w:color w:val="auto"/>
          <w:sz w:val="24"/>
          <w:szCs w:val="24"/>
          <w:highlight w:val="none"/>
        </w:rPr>
        <w:t>采购代理机构将在前附表第10项规定的时间和地点组织谈判，参加谈判的法定代表人（负责人）或其授权委托人必须持有效证件</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法定代表人凭有效法定代表人身份证明书原件和身份证原件或委托代理人凭有效法人授权委托书原件和本人身份证原件。</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依时到达指定地点等候当面谈判 (上述材料未注明原件的为复印件，所有复印件必须加盖竞标单位公章。)依时到达现场等候参加谈判，并自觉接受核验上述证件。以上要求出示</w:t>
      </w:r>
      <w:r>
        <w:rPr>
          <w:rFonts w:hint="eastAsia" w:ascii="宋体" w:hAnsi="宋体" w:eastAsia="宋体" w:cs="宋体"/>
          <w:color w:val="auto"/>
          <w:spacing w:val="2"/>
          <w:sz w:val="24"/>
          <w:szCs w:val="24"/>
          <w:highlight w:val="none"/>
        </w:rPr>
        <w:t>证明材料如缺项或无效的</w:t>
      </w:r>
      <w:r>
        <w:rPr>
          <w:rFonts w:hint="eastAsia" w:ascii="宋体" w:hAnsi="宋体" w:eastAsia="宋体" w:cs="宋体"/>
          <w:color w:val="auto"/>
          <w:sz w:val="24"/>
          <w:szCs w:val="24"/>
          <w:highlight w:val="none"/>
        </w:rPr>
        <w:t>将视为竞标无效</w:t>
      </w:r>
      <w:r>
        <w:rPr>
          <w:rFonts w:hint="eastAsia" w:ascii="宋体" w:hAnsi="宋体" w:eastAsia="宋体" w:cs="宋体"/>
          <w:color w:val="auto"/>
          <w:spacing w:val="2"/>
          <w:sz w:val="24"/>
          <w:szCs w:val="24"/>
          <w:highlight w:val="none"/>
        </w:rPr>
        <w:t>，该供应商的响应文件当场退回。</w:t>
      </w:r>
    </w:p>
    <w:p>
      <w:pPr>
        <w:pageBreakBefore w:val="0"/>
        <w:kinsoku/>
        <w:wordWrap w:val="0"/>
        <w:overflowPunct/>
        <w:topLinePunct w:val="0"/>
        <w:bidi w:val="0"/>
        <w:spacing w:line="336" w:lineRule="auto"/>
        <w:ind w:firstLine="475" w:firstLineChars="195"/>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18.2开标会议由采购代理机构组织并主持，在</w:t>
      </w:r>
      <w:r>
        <w:rPr>
          <w:rFonts w:hint="eastAsia" w:ascii="宋体" w:hAnsi="宋体" w:eastAsia="宋体" w:cs="宋体"/>
          <w:color w:val="auto"/>
          <w:spacing w:val="2"/>
          <w:sz w:val="24"/>
          <w:szCs w:val="24"/>
          <w:highlight w:val="none"/>
          <w:u w:val="single"/>
        </w:rPr>
        <w:t>有关监督部门</w:t>
      </w:r>
      <w:r>
        <w:rPr>
          <w:rFonts w:hint="eastAsia" w:ascii="宋体" w:hAnsi="宋体" w:eastAsia="宋体" w:cs="宋体"/>
          <w:color w:val="auto"/>
          <w:spacing w:val="2"/>
          <w:sz w:val="24"/>
          <w:szCs w:val="24"/>
          <w:highlight w:val="none"/>
        </w:rPr>
        <w:t>监督下，对响应文件进行检查，确认它们是否完整，是否按要求提交了竞标保证金，文件签署是否正确，以及是否按本须知编制。但按规定提交了合格撤回通知的响应文件不予开封。</w:t>
      </w:r>
    </w:p>
    <w:p>
      <w:pPr>
        <w:pageBreakBefore w:val="0"/>
        <w:kinsoku/>
        <w:wordWrap w:val="0"/>
        <w:overflowPunct/>
        <w:topLinePunct w:val="0"/>
        <w:bidi w:val="0"/>
        <w:spacing w:line="336" w:lineRule="auto"/>
        <w:ind w:firstLine="475" w:firstLineChars="195"/>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18.3谈判会议程序</w:t>
      </w:r>
    </w:p>
    <w:p>
      <w:pPr>
        <w:pageBreakBefore w:val="0"/>
        <w:kinsoku/>
        <w:wordWrap w:val="0"/>
        <w:overflowPunct/>
        <w:topLinePunct w:val="0"/>
        <w:bidi w:val="0"/>
        <w:spacing w:line="336" w:lineRule="auto"/>
        <w:ind w:firstLine="468" w:firstLineChars="195"/>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rPr>
        <w:t>18.3.1</w:t>
      </w:r>
      <w:r>
        <w:rPr>
          <w:rFonts w:hint="eastAsia" w:ascii="宋体" w:hAnsi="宋体" w:eastAsia="宋体" w:cs="宋体"/>
          <w:color w:val="auto"/>
          <w:spacing w:val="2"/>
          <w:sz w:val="24"/>
          <w:szCs w:val="24"/>
          <w:highlight w:val="none"/>
        </w:rPr>
        <w:t>（1）采购代理机构主持人宣布会议开始；</w:t>
      </w:r>
    </w:p>
    <w:p>
      <w:pPr>
        <w:pageBreakBefore w:val="0"/>
        <w:kinsoku/>
        <w:wordWrap w:val="0"/>
        <w:overflowPunct/>
        <w:topLinePunct w:val="0"/>
        <w:bidi w:val="0"/>
        <w:spacing w:line="336" w:lineRule="auto"/>
        <w:ind w:firstLine="475" w:firstLineChars="195"/>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（2）介绍参加谈判会议人员名单；</w:t>
      </w:r>
    </w:p>
    <w:p>
      <w:pPr>
        <w:pageBreakBefore w:val="0"/>
        <w:kinsoku/>
        <w:wordWrap w:val="0"/>
        <w:overflowPunct/>
        <w:topLinePunct w:val="0"/>
        <w:bidi w:val="0"/>
        <w:spacing w:line="336" w:lineRule="auto"/>
        <w:ind w:firstLine="475" w:firstLineChars="195"/>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w:t>
      </w:r>
      <w:r>
        <w:rPr>
          <w:rFonts w:hint="eastAsia" w:ascii="宋体" w:hAnsi="宋体" w:eastAsia="宋体" w:cs="宋体"/>
          <w:color w:val="auto"/>
          <w:sz w:val="24"/>
          <w:szCs w:val="24"/>
          <w:highlight w:val="none"/>
        </w:rPr>
        <w:t>采购单位代表</w:t>
      </w:r>
      <w:r>
        <w:rPr>
          <w:rFonts w:hint="eastAsia" w:ascii="宋体" w:hAnsi="宋体" w:eastAsia="宋体" w:cs="宋体"/>
          <w:color w:val="auto"/>
          <w:spacing w:val="2"/>
          <w:sz w:val="24"/>
          <w:szCs w:val="24"/>
          <w:highlight w:val="none"/>
        </w:rPr>
        <w:t>和监标人员一同检验参加竞标会的各竞标单位法定代表人或其委托代理人的资格证件，对无资格证件、证件不齐</w:t>
      </w:r>
      <w:r>
        <w:rPr>
          <w:rFonts w:hint="eastAsia" w:ascii="宋体" w:hAnsi="宋体" w:eastAsia="宋体" w:cs="宋体"/>
          <w:color w:val="auto"/>
          <w:sz w:val="24"/>
          <w:szCs w:val="24"/>
          <w:highlight w:val="none"/>
        </w:rPr>
        <w:t>或无效</w:t>
      </w:r>
      <w:r>
        <w:rPr>
          <w:rFonts w:hint="eastAsia" w:ascii="宋体" w:hAnsi="宋体" w:eastAsia="宋体" w:cs="宋体"/>
          <w:color w:val="auto"/>
          <w:spacing w:val="2"/>
          <w:sz w:val="24"/>
          <w:szCs w:val="24"/>
          <w:highlight w:val="none"/>
        </w:rPr>
        <w:t>或无法提交竞标保证金交纳凭证的响应文件按无效标处理；</w:t>
      </w:r>
      <w:r>
        <w:rPr>
          <w:rFonts w:hint="eastAsia" w:ascii="宋体" w:hAnsi="宋体" w:eastAsia="宋体" w:cs="宋体"/>
          <w:color w:val="auto"/>
          <w:sz w:val="24"/>
          <w:szCs w:val="24"/>
          <w:highlight w:val="none"/>
        </w:rPr>
        <w:t>其响应文件将于开标结束后予以退还。</w:t>
      </w:r>
    </w:p>
    <w:p>
      <w:pPr>
        <w:pageBreakBefore w:val="0"/>
        <w:kinsoku/>
        <w:wordWrap w:val="0"/>
        <w:overflowPunct/>
        <w:topLinePunct w:val="0"/>
        <w:bidi w:val="0"/>
        <w:spacing w:line="336" w:lineRule="auto"/>
        <w:ind w:firstLine="475" w:firstLineChars="195"/>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（4）采购代理机构当众宣布核查结果，并宣读有效竞标的供应商名称、及采购代理机构认为需要宣布的其他内容；</w:t>
      </w:r>
    </w:p>
    <w:p>
      <w:pPr>
        <w:pageBreakBefore w:val="0"/>
        <w:kinsoku/>
        <w:wordWrap w:val="0"/>
        <w:overflowPunct/>
        <w:topLinePunct w:val="0"/>
        <w:bidi w:val="0"/>
        <w:spacing w:line="336" w:lineRule="auto"/>
        <w:ind w:firstLine="475" w:firstLineChars="195"/>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（5）由各竞标单位代表交叉检验各响应文件密封的完整性；</w:t>
      </w:r>
    </w:p>
    <w:p>
      <w:pPr>
        <w:pageBreakBefore w:val="0"/>
        <w:kinsoku/>
        <w:wordWrap w:val="0"/>
        <w:overflowPunct/>
        <w:topLinePunct w:val="0"/>
        <w:bidi w:val="0"/>
        <w:spacing w:line="336" w:lineRule="auto"/>
        <w:ind w:firstLine="475" w:firstLineChars="195"/>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（6）由</w:t>
      </w:r>
      <w:r>
        <w:rPr>
          <w:rFonts w:hint="eastAsia" w:ascii="宋体" w:hAnsi="宋体" w:eastAsia="宋体" w:cs="宋体"/>
          <w:color w:val="auto"/>
          <w:sz w:val="24"/>
          <w:szCs w:val="24"/>
          <w:highlight w:val="none"/>
        </w:rPr>
        <w:t>采购单位代表</w:t>
      </w:r>
      <w:r>
        <w:rPr>
          <w:rFonts w:hint="eastAsia" w:ascii="宋体" w:hAnsi="宋体" w:eastAsia="宋体" w:cs="宋体"/>
          <w:color w:val="auto"/>
          <w:spacing w:val="2"/>
          <w:sz w:val="24"/>
          <w:szCs w:val="24"/>
          <w:highlight w:val="none"/>
        </w:rPr>
        <w:t xml:space="preserve">和监标人员一同检验清点核对响应文件密封情况是否完整，文件签署是否正确，并宣读核查结果，请竞标供应商书面确认后退场。竞标供应商退场后移步谈判等候区，等待下一阶段的技术方案谈判及商务谈判。 </w:t>
      </w:r>
    </w:p>
    <w:p>
      <w:pPr>
        <w:pageBreakBefore w:val="0"/>
        <w:kinsoku/>
        <w:wordWrap w:val="0"/>
        <w:overflowPunct/>
        <w:topLinePunct w:val="0"/>
        <w:bidi w:val="0"/>
        <w:spacing w:line="336" w:lineRule="auto"/>
        <w:ind w:firstLine="475" w:firstLineChars="195"/>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（7）宣布谈判与评标期间的有关事项；</w:t>
      </w:r>
    </w:p>
    <w:p>
      <w:pPr>
        <w:pageBreakBefore w:val="0"/>
        <w:kinsoku/>
        <w:wordWrap w:val="0"/>
        <w:overflowPunct/>
        <w:topLinePunct w:val="0"/>
        <w:bidi w:val="0"/>
        <w:spacing w:line="336" w:lineRule="auto"/>
        <w:ind w:firstLine="488"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（8）开标会议结束；</w:t>
      </w:r>
    </w:p>
    <w:p>
      <w:pPr>
        <w:pageBreakBefore w:val="0"/>
        <w:kinsoku/>
        <w:wordWrap w:val="0"/>
        <w:overflowPunct/>
        <w:topLinePunct w:val="0"/>
        <w:bidi w:val="0"/>
        <w:spacing w:line="336" w:lineRule="auto"/>
        <w:ind w:firstLine="480"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rPr>
        <w:t>18.3.2</w:t>
      </w:r>
      <w:r>
        <w:rPr>
          <w:rFonts w:hint="eastAsia" w:ascii="宋体" w:hAnsi="宋体" w:eastAsia="宋体" w:cs="宋体"/>
          <w:color w:val="auto"/>
          <w:spacing w:val="2"/>
          <w:sz w:val="24"/>
          <w:szCs w:val="24"/>
          <w:highlight w:val="none"/>
        </w:rPr>
        <w:t>谈判：</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①出席评审的有关人员为谈判小组成员。竞标单位在谈判期间提交的密封的所有响应文件须经谈判小组成员和监督人员同时验证后方能拆封，任何个人不得私自拆封。 </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②谈判时，竞标单位的法定代表人或委托代理人必须参加谈判。</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谈判小组通过对各竞标单位的响应文件进行初步审查后，谈判双方以竞争性谈判条件为依据，由竞标单位对提交的响应文件及服务承诺等做出陈述。谈判小组将根据竞标单位的响应文件、陈述尚未明晰或需要进一步了解的细节列出与各竞标单位谈判的提纲并向竞标单位询问，竞标单位应依次对谈判小组提出的问题做出答复，必要时要求竞标单位对其竞标内容、补充方案或修改意见做出书面澄清。同时代理机构工作人员对谈判内容做好记录并将此记录交由谈判小组及竞标单位核实，核实无误后由竞标单位代表签字作为书面应答文件（将作为合同的组成部分）。</w:t>
      </w:r>
    </w:p>
    <w:p>
      <w:pPr>
        <w:pageBreakBefore w:val="0"/>
        <w:kinsoku/>
        <w:wordWrap w:val="0"/>
        <w:overflowPunct/>
        <w:topLinePunct w:val="0"/>
        <w:bidi w:val="0"/>
        <w:spacing w:line="336"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④二次报价：</w:t>
      </w:r>
      <w:r>
        <w:rPr>
          <w:rFonts w:hint="eastAsia" w:ascii="宋体" w:hAnsi="宋体" w:eastAsia="宋体" w:cs="宋体"/>
          <w:bCs/>
          <w:color w:val="auto"/>
          <w:sz w:val="24"/>
          <w:szCs w:val="24"/>
          <w:highlight w:val="none"/>
        </w:rPr>
        <w:t>谈判小组应在商务、技术和服务条件谈判后，邀请能满足</w:t>
      </w:r>
      <w:r>
        <w:rPr>
          <w:rFonts w:hint="eastAsia" w:ascii="宋体" w:hAnsi="宋体" w:eastAsia="宋体" w:cs="宋体"/>
          <w:bCs/>
          <w:color w:val="auto"/>
          <w:sz w:val="24"/>
          <w:szCs w:val="24"/>
          <w:highlight w:val="none"/>
          <w:lang w:eastAsia="zh-CN"/>
        </w:rPr>
        <w:t>竞争性谈判文件</w:t>
      </w:r>
      <w:r>
        <w:rPr>
          <w:rFonts w:hint="eastAsia" w:ascii="宋体" w:hAnsi="宋体" w:eastAsia="宋体" w:cs="宋体"/>
          <w:bCs/>
          <w:color w:val="auto"/>
          <w:sz w:val="24"/>
          <w:szCs w:val="24"/>
          <w:highlight w:val="none"/>
        </w:rPr>
        <w:t>所规定实质性要求的质量和服务的所有供应商进行二次报价。</w:t>
      </w:r>
    </w:p>
    <w:p>
      <w:pPr>
        <w:pageBreakBefore w:val="0"/>
        <w:kinsoku/>
        <w:wordWrap w:val="0"/>
        <w:overflowPunct/>
        <w:topLinePunct w:val="0"/>
        <w:bidi w:val="0"/>
        <w:spacing w:line="336"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18.4谈判原则</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18.4.1、必须公平、公正、客观，不带任何倾向性和启发性；</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18.4.2、谈判人员不得向外界透露任何与谈判有关的内容； </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18.4.3、任何单位和个人不得干扰、影响谈判的正常进行；</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18.4.4、谈判人员不得私下与竞标单位接触。</w:t>
      </w:r>
    </w:p>
    <w:p>
      <w:pPr>
        <w:pageBreakBefore w:val="0"/>
        <w:kinsoku/>
        <w:wordWrap w:val="0"/>
        <w:overflowPunct/>
        <w:topLinePunct w:val="0"/>
        <w:bidi w:val="0"/>
        <w:spacing w:line="336" w:lineRule="auto"/>
        <w:ind w:firstLine="470" w:firstLineChars="196"/>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pacing w:val="2"/>
          <w:sz w:val="24"/>
          <w:szCs w:val="24"/>
          <w:highlight w:val="none"/>
        </w:rPr>
        <w:t>.5 响应文件有下列情况之一者将视为竞标无效：</w:t>
      </w:r>
    </w:p>
    <w:p>
      <w:pPr>
        <w:pageBreakBefore w:val="0"/>
        <w:kinsoku/>
        <w:wordWrap w:val="0"/>
        <w:overflowPunct/>
        <w:topLinePunct w:val="0"/>
        <w:bidi w:val="0"/>
        <w:spacing w:line="336" w:lineRule="auto"/>
        <w:ind w:firstLine="470" w:firstLineChars="196"/>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pacing w:val="2"/>
          <w:sz w:val="24"/>
          <w:szCs w:val="24"/>
          <w:highlight w:val="none"/>
        </w:rPr>
        <w:t>.5.1 响应文件未按规定封装、密封；</w:t>
      </w:r>
    </w:p>
    <w:p>
      <w:pPr>
        <w:pageBreakBefore w:val="0"/>
        <w:kinsoku/>
        <w:wordWrap w:val="0"/>
        <w:overflowPunct/>
        <w:topLinePunct w:val="0"/>
        <w:bidi w:val="0"/>
        <w:spacing w:line="336" w:lineRule="auto"/>
        <w:ind w:firstLine="470" w:firstLineChars="196"/>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pacing w:val="2"/>
          <w:sz w:val="24"/>
          <w:szCs w:val="24"/>
          <w:highlight w:val="none"/>
        </w:rPr>
        <w:t>.5.2 竞标单位法定代表人或其委托代理人未签字；</w:t>
      </w:r>
    </w:p>
    <w:p>
      <w:pPr>
        <w:pageBreakBefore w:val="0"/>
        <w:kinsoku/>
        <w:wordWrap w:val="0"/>
        <w:overflowPunct/>
        <w:topLinePunct w:val="0"/>
        <w:bidi w:val="0"/>
        <w:spacing w:line="336" w:lineRule="auto"/>
        <w:ind w:firstLine="470" w:firstLineChars="196"/>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pacing w:val="2"/>
          <w:sz w:val="24"/>
          <w:szCs w:val="24"/>
          <w:highlight w:val="none"/>
        </w:rPr>
        <w:t>.5.3 竞标单位未加盖单位公章；</w:t>
      </w:r>
    </w:p>
    <w:p>
      <w:pPr>
        <w:pageBreakBefore w:val="0"/>
        <w:kinsoku/>
        <w:wordWrap w:val="0"/>
        <w:overflowPunct/>
        <w:topLinePunct w:val="0"/>
        <w:bidi w:val="0"/>
        <w:spacing w:line="336" w:lineRule="auto"/>
        <w:ind w:firstLine="470" w:firstLineChars="196"/>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pacing w:val="2"/>
          <w:sz w:val="24"/>
          <w:szCs w:val="24"/>
          <w:highlight w:val="none"/>
        </w:rPr>
        <w:t>.5.4 未按规定的格式填写或者字迹模糊、辨认不清；</w:t>
      </w:r>
    </w:p>
    <w:p>
      <w:pPr>
        <w:pageBreakBefore w:val="0"/>
        <w:kinsoku/>
        <w:wordWrap w:val="0"/>
        <w:overflowPunct/>
        <w:topLinePunct w:val="0"/>
        <w:bidi w:val="0"/>
        <w:spacing w:line="336" w:lineRule="auto"/>
        <w:ind w:firstLine="470" w:firstLineChars="196"/>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pacing w:val="2"/>
          <w:sz w:val="24"/>
          <w:szCs w:val="24"/>
          <w:highlight w:val="none"/>
        </w:rPr>
        <w:t>.5.5 供应商未按</w:t>
      </w:r>
      <w:r>
        <w:rPr>
          <w:rFonts w:hint="eastAsia" w:ascii="宋体" w:hAnsi="宋体" w:eastAsia="宋体" w:cs="宋体"/>
          <w:color w:val="auto"/>
          <w:spacing w:val="2"/>
          <w:sz w:val="24"/>
          <w:szCs w:val="24"/>
          <w:highlight w:val="none"/>
          <w:lang w:eastAsia="zh-CN"/>
        </w:rPr>
        <w:t>竞争性谈判文件</w:t>
      </w:r>
      <w:r>
        <w:rPr>
          <w:rFonts w:hint="eastAsia" w:ascii="宋体" w:hAnsi="宋体" w:eastAsia="宋体" w:cs="宋体"/>
          <w:color w:val="auto"/>
          <w:spacing w:val="2"/>
          <w:sz w:val="24"/>
          <w:szCs w:val="24"/>
          <w:highlight w:val="none"/>
        </w:rPr>
        <w:t>的规定递交竞标保证金的；</w:t>
      </w:r>
    </w:p>
    <w:p>
      <w:pPr>
        <w:pageBreakBefore w:val="0"/>
        <w:kinsoku/>
        <w:wordWrap w:val="0"/>
        <w:overflowPunct/>
        <w:topLinePunct w:val="0"/>
        <w:bidi w:val="0"/>
        <w:spacing w:line="336" w:lineRule="auto"/>
        <w:ind w:left="908" w:leftChars="200" w:hanging="468" w:hangingChars="195"/>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pacing w:val="2"/>
          <w:sz w:val="24"/>
          <w:szCs w:val="24"/>
          <w:highlight w:val="none"/>
        </w:rPr>
        <w:t>.5.6 供应商法定代表人或授权代表未按时参加开标会议的；</w:t>
      </w:r>
    </w:p>
    <w:p>
      <w:pPr>
        <w:pageBreakBefore w:val="0"/>
        <w:kinsoku/>
        <w:wordWrap w:val="0"/>
        <w:overflowPunct/>
        <w:topLinePunct w:val="0"/>
        <w:bidi w:val="0"/>
        <w:spacing w:line="336" w:lineRule="auto"/>
        <w:ind w:firstLine="470" w:firstLineChars="196"/>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pacing w:val="2"/>
          <w:sz w:val="24"/>
          <w:szCs w:val="24"/>
          <w:highlight w:val="none"/>
        </w:rPr>
        <w:t>.5.7 竞标截止时间以后送达的响应文件；</w:t>
      </w:r>
    </w:p>
    <w:p>
      <w:pPr>
        <w:pageBreakBefore w:val="0"/>
        <w:kinsoku/>
        <w:wordWrap w:val="0"/>
        <w:overflowPunct/>
        <w:topLinePunct w:val="0"/>
        <w:bidi w:val="0"/>
        <w:spacing w:line="336" w:lineRule="auto"/>
        <w:ind w:firstLine="470" w:firstLineChars="196"/>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pacing w:val="2"/>
          <w:sz w:val="24"/>
          <w:szCs w:val="24"/>
          <w:highlight w:val="none"/>
        </w:rPr>
        <w:t>.5.8 响应文件内容不真实；</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18.5.9 </w:t>
      </w:r>
      <w:r>
        <w:rPr>
          <w:rFonts w:hint="eastAsia" w:ascii="宋体" w:hAnsi="宋体" w:eastAsia="宋体" w:cs="宋体"/>
          <w:color w:val="auto"/>
          <w:spacing w:val="2"/>
          <w:sz w:val="24"/>
          <w:szCs w:val="24"/>
          <w:highlight w:val="none"/>
        </w:rPr>
        <w:t>响应文件不满足供应商最低资质等级和</w:t>
      </w:r>
      <w:r>
        <w:rPr>
          <w:rFonts w:hint="eastAsia" w:ascii="宋体" w:hAnsi="宋体" w:eastAsia="宋体" w:cs="宋体"/>
          <w:color w:val="auto"/>
          <w:sz w:val="24"/>
          <w:szCs w:val="24"/>
          <w:highlight w:val="none"/>
        </w:rPr>
        <w:t>营业执照要求。</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18.5.10供应商营业执照等资格文件不符合要求及复印件未加盖供应商公章的。</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18.5.12超出采购预算的。</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18.5.13不符合法律法规规定的及</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其它实质性内容的。</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至竞标截止时间止，递交响应文件的竞标单位不足三家时，本项目不予开标作废标处理；需要采取其他方式采购的，应当在采购活动开始前获得设区的市、自治州以上人民政府采购监督管理部门或者政府有关部门批准。</w:t>
      </w:r>
    </w:p>
    <w:p>
      <w:pPr>
        <w:pStyle w:val="7"/>
        <w:pageBreakBefore w:val="0"/>
        <w:kinsoku/>
        <w:wordWrap w:val="0"/>
        <w:overflowPunct/>
        <w:topLinePunct w:val="0"/>
        <w:bidi w:val="0"/>
        <w:spacing w:line="336" w:lineRule="auto"/>
        <w:rPr>
          <w:rFonts w:hint="eastAsia" w:ascii="宋体" w:hAnsi="宋体" w:eastAsia="宋体" w:cs="宋体"/>
        </w:rPr>
      </w:pPr>
    </w:p>
    <w:p>
      <w:pPr>
        <w:pStyle w:val="43"/>
        <w:pageBreakBefore w:val="0"/>
        <w:kinsoku/>
        <w:wordWrap w:val="0"/>
        <w:overflowPunct/>
        <w:topLinePunct w:val="0"/>
        <w:bidi w:val="0"/>
        <w:spacing w:line="336" w:lineRule="auto"/>
        <w:outlineLvl w:val="1"/>
        <w:rPr>
          <w:rFonts w:hint="eastAsia" w:ascii="宋体" w:hAnsi="宋体" w:eastAsia="宋体" w:cs="宋体"/>
          <w:color w:val="auto"/>
          <w:sz w:val="28"/>
          <w:szCs w:val="28"/>
          <w:highlight w:val="none"/>
        </w:rPr>
      </w:pPr>
      <w:bookmarkStart w:id="64" w:name="_Toc1184"/>
      <w:bookmarkStart w:id="65" w:name="_Toc17036"/>
      <w:bookmarkStart w:id="66" w:name="_Toc17816974"/>
      <w:r>
        <w:rPr>
          <w:rFonts w:hint="eastAsia" w:ascii="宋体" w:hAnsi="宋体" w:eastAsia="宋体" w:cs="宋体"/>
          <w:color w:val="auto"/>
          <w:sz w:val="28"/>
          <w:szCs w:val="28"/>
          <w:highlight w:val="none"/>
        </w:rPr>
        <w:t>六、评审</w:t>
      </w:r>
      <w:bookmarkEnd w:id="64"/>
      <w:bookmarkEnd w:id="65"/>
      <w:bookmarkEnd w:id="66"/>
    </w:p>
    <w:p>
      <w:pPr>
        <w:pageBreakBefore w:val="0"/>
        <w:kinsoku/>
        <w:wordWrap w:val="0"/>
        <w:overflowPunct/>
        <w:topLinePunct w:val="0"/>
        <w:bidi w:val="0"/>
        <w:spacing w:line="336" w:lineRule="auto"/>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rPr>
        <w:t>19、评审内容的保密</w:t>
      </w:r>
    </w:p>
    <w:p>
      <w:pPr>
        <w:pageBreakBefore w:val="0"/>
        <w:kinsoku/>
        <w:wordWrap w:val="0"/>
        <w:overflowPunct/>
        <w:topLinePunct w:val="0"/>
        <w:bidi w:val="0"/>
        <w:spacing w:line="336" w:lineRule="auto"/>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进入评审后，直到宣布授予成交人合同为止，凡属于审查、澄清、评价和比较竞标的有关资料及有关授予合同的信息，都不应向供应商或与评审无关的其他人泄露。</w:t>
      </w:r>
    </w:p>
    <w:p>
      <w:pPr>
        <w:pageBreakBefore w:val="0"/>
        <w:kinsoku/>
        <w:wordWrap w:val="0"/>
        <w:overflowPunct/>
        <w:topLinePunct w:val="0"/>
        <w:bidi w:val="0"/>
        <w:spacing w:line="336" w:lineRule="auto"/>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在响应文件的审查、澄清、评价和比较以及授予合同的过程中，供应商对采购代理机构和谈判小组成员施加影响的任何行为，都将导致被取消竞标资格。</w:t>
      </w:r>
    </w:p>
    <w:p>
      <w:pPr>
        <w:pageBreakBefore w:val="0"/>
        <w:kinsoku/>
        <w:wordWrap w:val="0"/>
        <w:overflowPunct/>
        <w:topLinePunct w:val="0"/>
        <w:bidi w:val="0"/>
        <w:spacing w:line="336"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20、资格审查</w:t>
      </w:r>
    </w:p>
    <w:p>
      <w:pPr>
        <w:pageBreakBefore w:val="0"/>
        <w:kinsoku/>
        <w:wordWrap w:val="0"/>
        <w:overflowPunct/>
        <w:topLinePunct w:val="0"/>
        <w:bidi w:val="0"/>
        <w:spacing w:line="336" w:lineRule="auto"/>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20.1本项目资格审查采用资格后审，参加本次竞标的单位均要通过资格审查才能获得竞标资格。</w:t>
      </w:r>
    </w:p>
    <w:p>
      <w:pPr>
        <w:pageBreakBefore w:val="0"/>
        <w:kinsoku/>
        <w:wordWrap w:val="0"/>
        <w:overflowPunct/>
        <w:topLinePunct w:val="0"/>
        <w:bidi w:val="0"/>
        <w:spacing w:line="336" w:lineRule="auto"/>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20.2资格审查内容为：</w:t>
      </w:r>
      <w:r>
        <w:rPr>
          <w:rFonts w:hint="eastAsia" w:ascii="宋体" w:hAnsi="宋体" w:eastAsia="宋体" w:cs="宋体"/>
          <w:color w:val="auto"/>
          <w:spacing w:val="2"/>
          <w:sz w:val="24"/>
          <w:szCs w:val="24"/>
          <w:highlight w:val="none"/>
        </w:rPr>
        <w:t>按10.</w:t>
      </w:r>
      <w:r>
        <w:rPr>
          <w:rFonts w:hint="eastAsia" w:ascii="宋体" w:hAnsi="宋体" w:eastAsia="宋体" w:cs="宋体"/>
          <w:color w:val="auto"/>
          <w:spacing w:val="2"/>
          <w:sz w:val="24"/>
          <w:szCs w:val="24"/>
          <w:highlight w:val="none"/>
          <w:lang w:val="en-US" w:eastAsia="zh-CN"/>
        </w:rPr>
        <w:t>1</w:t>
      </w:r>
      <w:r>
        <w:rPr>
          <w:rFonts w:hint="eastAsia" w:ascii="宋体" w:hAnsi="宋体" w:eastAsia="宋体" w:cs="宋体"/>
          <w:color w:val="auto"/>
          <w:spacing w:val="2"/>
          <w:sz w:val="24"/>
          <w:szCs w:val="24"/>
          <w:highlight w:val="none"/>
        </w:rPr>
        <w:t>条款资格审查部分内容审查，要求资料齐全和有效</w:t>
      </w:r>
      <w:r>
        <w:rPr>
          <w:rFonts w:hint="eastAsia" w:ascii="宋体" w:hAnsi="宋体" w:eastAsia="宋体" w:cs="宋体"/>
          <w:color w:val="auto"/>
          <w:sz w:val="24"/>
          <w:szCs w:val="24"/>
          <w:highlight w:val="none"/>
        </w:rPr>
        <w:t>。</w:t>
      </w:r>
    </w:p>
    <w:p>
      <w:pPr>
        <w:pageBreakBefore w:val="0"/>
        <w:kinsoku/>
        <w:wordWrap w:val="0"/>
        <w:overflowPunct/>
        <w:topLinePunct w:val="0"/>
        <w:bidi w:val="0"/>
        <w:spacing w:line="336"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21、响应文件的符合性鉴定</w:t>
      </w:r>
    </w:p>
    <w:p>
      <w:pPr>
        <w:pageBreakBefore w:val="0"/>
        <w:kinsoku/>
        <w:wordWrap w:val="0"/>
        <w:overflowPunct/>
        <w:topLinePunct w:val="0"/>
        <w:bidi w:val="0"/>
        <w:spacing w:line="336" w:lineRule="auto"/>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在谈判之后详细评标之前，谈判小组将首先与供应商就响应文件中不清楚的内容进行谈判及澄清，然后将依据谈判及澄清的内容审定每份响应文件是否在实质上响应了</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的要求。</w:t>
      </w:r>
    </w:p>
    <w:p>
      <w:pPr>
        <w:pageBreakBefore w:val="0"/>
        <w:kinsoku/>
        <w:wordWrap w:val="0"/>
        <w:overflowPunct/>
        <w:topLinePunct w:val="0"/>
        <w:bidi w:val="0"/>
        <w:spacing w:line="336" w:lineRule="auto"/>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就本条款而言，实质上响应要求的响应文件，应该与</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的所规定资格条件、技术参数产生实质性影响；或者对合同中规定的采购代理机构的权力及供应商的责任造成实质性限制。</w:t>
      </w:r>
    </w:p>
    <w:p>
      <w:pPr>
        <w:pageBreakBefore w:val="0"/>
        <w:kinsoku/>
        <w:wordWrap w:val="0"/>
        <w:overflowPunct/>
        <w:topLinePunct w:val="0"/>
        <w:bidi w:val="0"/>
        <w:spacing w:line="336"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22、响应文件的澄清</w:t>
      </w:r>
    </w:p>
    <w:p>
      <w:pPr>
        <w:pageBreakBefore w:val="0"/>
        <w:kinsoku/>
        <w:wordWrap w:val="0"/>
        <w:overflowPunct/>
        <w:topLinePunct w:val="0"/>
        <w:bidi w:val="0"/>
        <w:spacing w:line="336" w:lineRule="auto"/>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为了有助于响应文件的审查、评价和比较，谈判小组可以个别地要求供应商澄清其响应文件。有关澄清的要求与答复，应以书面形式进行。</w:t>
      </w:r>
    </w:p>
    <w:p>
      <w:pPr>
        <w:pageBreakBefore w:val="0"/>
        <w:kinsoku/>
        <w:wordWrap w:val="0"/>
        <w:overflowPunct/>
        <w:topLinePunct w:val="0"/>
        <w:bidi w:val="0"/>
        <w:spacing w:line="336"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23、错误的修正</w:t>
      </w:r>
    </w:p>
    <w:p>
      <w:pPr>
        <w:pageBreakBefore w:val="0"/>
        <w:kinsoku/>
        <w:wordWrap w:val="0"/>
        <w:overflowPunct/>
        <w:topLinePunct w:val="0"/>
        <w:bidi w:val="0"/>
        <w:spacing w:line="336" w:lineRule="auto"/>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23.1谈判小组将对确定为实质上响应</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要求的响应文件进行校核，看其是否有计算上或累计上的算术错误，修正错误的原则如下：</w:t>
      </w:r>
    </w:p>
    <w:p>
      <w:pPr>
        <w:pageBreakBefore w:val="0"/>
        <w:kinsoku/>
        <w:wordWrap w:val="0"/>
        <w:overflowPunct/>
        <w:topLinePunct w:val="0"/>
        <w:bidi w:val="0"/>
        <w:spacing w:line="336" w:lineRule="auto"/>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23.1.1 如果用阿拉伯数字表示的数额与用汉语文字表示的数额（人民币大写）不一致时，以汉语文字数额（人民币大写）为准。</w:t>
      </w:r>
    </w:p>
    <w:p>
      <w:pPr>
        <w:pageBreakBefore w:val="0"/>
        <w:kinsoku/>
        <w:wordWrap w:val="0"/>
        <w:overflowPunct/>
        <w:topLinePunct w:val="0"/>
        <w:bidi w:val="0"/>
        <w:spacing w:line="336" w:lineRule="auto"/>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23.1.2 当单价与合价之间不一致时，以标出的单价为准。除非谈判小组或评标小组认为有明显的小数点错位，此时应以标出的合价为准，并修改单价。</w:t>
      </w:r>
    </w:p>
    <w:p>
      <w:pPr>
        <w:pageBreakBefore w:val="0"/>
        <w:kinsoku/>
        <w:wordWrap w:val="0"/>
        <w:overflowPunct/>
        <w:topLinePunct w:val="0"/>
        <w:bidi w:val="0"/>
        <w:spacing w:line="336" w:lineRule="auto"/>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按上述修改错误的方法，调整竞标书中的竞标报价。经供应商确认同意后，调整后的报价对供应商起约束作用。如果供应商不接受修正后的竞标报价则其竞标将被拒绝，视为无效竞标。</w:t>
      </w:r>
    </w:p>
    <w:p>
      <w:pPr>
        <w:pageBreakBefore w:val="0"/>
        <w:kinsoku/>
        <w:wordWrap w:val="0"/>
        <w:overflowPunct/>
        <w:topLinePunct w:val="0"/>
        <w:bidi w:val="0"/>
        <w:spacing w:line="336" w:lineRule="auto"/>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 响应文件正本与响应文件副本不符的以正本为准。</w:t>
      </w:r>
    </w:p>
    <w:p>
      <w:pPr>
        <w:pageBreakBefore w:val="0"/>
        <w:kinsoku/>
        <w:wordWrap w:val="0"/>
        <w:overflowPunct/>
        <w:topLinePunct w:val="0"/>
        <w:bidi w:val="0"/>
        <w:spacing w:line="336"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24、响应文件的评价与比较</w:t>
      </w:r>
    </w:p>
    <w:p>
      <w:pPr>
        <w:pageBreakBefore w:val="0"/>
        <w:kinsoku/>
        <w:wordWrap w:val="0"/>
        <w:overflowPunct/>
        <w:topLinePunct w:val="0"/>
        <w:bidi w:val="0"/>
        <w:spacing w:line="336" w:lineRule="auto"/>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24.1谈判小组将仅对响应文件组成第10条确定为实质上响应</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要求（即符合性鉴定合格）的响应文件进行评价与比较。</w:t>
      </w:r>
    </w:p>
    <w:p>
      <w:pPr>
        <w:pageBreakBefore w:val="0"/>
        <w:kinsoku/>
        <w:wordWrap w:val="0"/>
        <w:overflowPunct/>
        <w:topLinePunct w:val="0"/>
        <w:bidi w:val="0"/>
        <w:spacing w:line="336" w:lineRule="auto"/>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谈判小组将依照响应文件组成第10条对通过符合性鉴定的响应文件的竞标报价进行校核与修正。</w:t>
      </w:r>
    </w:p>
    <w:p>
      <w:pPr>
        <w:pageBreakBefore w:val="0"/>
        <w:kinsoku/>
        <w:wordWrap w:val="0"/>
        <w:overflowPunct/>
        <w:topLinePunct w:val="0"/>
        <w:bidi w:val="0"/>
        <w:spacing w:line="336"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25、评审办法 </w:t>
      </w:r>
    </w:p>
    <w:p>
      <w:pPr>
        <w:pageBreakBefore w:val="0"/>
        <w:kinsoku/>
        <w:wordWrap w:val="0"/>
        <w:overflowPunct/>
        <w:topLinePunct w:val="0"/>
        <w:bidi w:val="0"/>
        <w:spacing w:line="336" w:lineRule="auto"/>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25.1评审原则</w:t>
      </w:r>
    </w:p>
    <w:p>
      <w:pPr>
        <w:pageBreakBefore w:val="0"/>
        <w:kinsoku/>
        <w:wordWrap w:val="0"/>
        <w:overflowPunct/>
        <w:topLinePunct w:val="0"/>
        <w:bidi w:val="0"/>
        <w:spacing w:line="336" w:lineRule="auto"/>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(1)谈判小组构成：</w:t>
      </w:r>
      <w:r>
        <w:rPr>
          <w:rFonts w:hint="eastAsia" w:ascii="宋体" w:hAnsi="宋体" w:eastAsia="宋体" w:cs="宋体"/>
          <w:bCs/>
          <w:color w:val="auto"/>
          <w:sz w:val="24"/>
          <w:szCs w:val="24"/>
          <w:highlight w:val="none"/>
        </w:rPr>
        <w:t>本采购项目评标委员会由采购人代表和评审专家共3人以上单数组成，其中评审专家人数不得少于评标委员会成员总数的2/3。</w:t>
      </w:r>
    </w:p>
    <w:p>
      <w:pPr>
        <w:pageBreakBefore w:val="0"/>
        <w:kinsoku/>
        <w:wordWrap w:val="0"/>
        <w:overflowPunct/>
        <w:topLinePunct w:val="0"/>
        <w:bidi w:val="0"/>
        <w:spacing w:line="336" w:lineRule="auto"/>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(2)评审依据：谈判小组将以</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和响应文件为评定依据进行评审。</w:t>
      </w:r>
    </w:p>
    <w:p>
      <w:pPr>
        <w:pageBreakBefore w:val="0"/>
        <w:kinsoku/>
        <w:wordWrap w:val="0"/>
        <w:overflowPunct/>
        <w:topLinePunct w:val="0"/>
        <w:bidi w:val="0"/>
        <w:spacing w:line="336" w:lineRule="auto"/>
        <w:ind w:firstLine="470" w:firstLineChars="19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25.2评审方法</w:t>
      </w:r>
    </w:p>
    <w:p>
      <w:pPr>
        <w:pageBreakBefore w:val="0"/>
        <w:kinsoku/>
        <w:wordWrap w:val="0"/>
        <w:overflowPunct/>
        <w:topLinePunct w:val="0"/>
        <w:bidi w:val="0"/>
        <w:spacing w:line="336" w:lineRule="auto"/>
        <w:ind w:firstLine="468" w:firstLineChars="19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（1）初步评审：谈判小组应当按照客观、公正、审慎的原则，根据</w:t>
      </w:r>
      <w:r>
        <w:rPr>
          <w:rFonts w:hint="eastAsia" w:ascii="宋体" w:hAnsi="宋体" w:eastAsia="宋体" w:cs="宋体"/>
          <w:b w:val="0"/>
          <w:bCs w:val="0"/>
          <w:color w:val="auto"/>
          <w:sz w:val="24"/>
          <w:szCs w:val="24"/>
          <w:highlight w:val="none"/>
          <w:lang w:eastAsia="zh-CN"/>
        </w:rPr>
        <w:t>竞争性谈判文件</w:t>
      </w:r>
      <w:r>
        <w:rPr>
          <w:rFonts w:hint="eastAsia" w:ascii="宋体" w:hAnsi="宋体" w:eastAsia="宋体" w:cs="宋体"/>
          <w:b w:val="0"/>
          <w:bCs w:val="0"/>
          <w:color w:val="auto"/>
          <w:sz w:val="24"/>
          <w:szCs w:val="24"/>
          <w:highlight w:val="none"/>
        </w:rPr>
        <w:t>规定的评审程序、评审方法和评审标准进行独立评标。独立评标期间，评标专家在评标专家评标区集中评标，采购人代表在采购人代表评标区独立评标。</w:t>
      </w:r>
      <w:r>
        <w:rPr>
          <w:rFonts w:hint="eastAsia" w:ascii="宋体" w:hAnsi="宋体" w:eastAsia="宋体" w:cs="宋体"/>
          <w:b w:val="0"/>
          <w:bCs w:val="0"/>
          <w:color w:val="auto"/>
          <w:sz w:val="24"/>
          <w:szCs w:val="24"/>
          <w:highlight w:val="none"/>
          <w:lang w:eastAsia="zh-CN"/>
        </w:rPr>
        <w:t>所有</w:t>
      </w:r>
      <w:r>
        <w:rPr>
          <w:rFonts w:hint="eastAsia" w:ascii="宋体" w:hAnsi="宋体" w:eastAsia="宋体" w:cs="宋体"/>
          <w:b w:val="0"/>
          <w:bCs w:val="0"/>
          <w:color w:val="auto"/>
          <w:sz w:val="24"/>
          <w:szCs w:val="24"/>
          <w:highlight w:val="none"/>
        </w:rPr>
        <w:t>评标专家对商务文件进行符合性鉴定，对实质上不响应</w:t>
      </w:r>
      <w:r>
        <w:rPr>
          <w:rFonts w:hint="eastAsia" w:ascii="宋体" w:hAnsi="宋体" w:eastAsia="宋体" w:cs="宋体"/>
          <w:b w:val="0"/>
          <w:bCs w:val="0"/>
          <w:color w:val="auto"/>
          <w:sz w:val="24"/>
          <w:szCs w:val="24"/>
          <w:highlight w:val="none"/>
          <w:lang w:eastAsia="zh-CN"/>
        </w:rPr>
        <w:t>竞争性谈判文件</w:t>
      </w:r>
      <w:r>
        <w:rPr>
          <w:rFonts w:hint="eastAsia" w:ascii="宋体" w:hAnsi="宋体" w:eastAsia="宋体" w:cs="宋体"/>
          <w:b w:val="0"/>
          <w:bCs w:val="0"/>
          <w:color w:val="auto"/>
          <w:sz w:val="24"/>
          <w:szCs w:val="24"/>
          <w:highlight w:val="none"/>
        </w:rPr>
        <w:t>要求的竞标予以拒绝；对竞标单位资格文件进行资格鉴定，对资格审查不响应</w:t>
      </w:r>
      <w:r>
        <w:rPr>
          <w:rFonts w:hint="eastAsia" w:ascii="宋体" w:hAnsi="宋体" w:eastAsia="宋体" w:cs="宋体"/>
          <w:b w:val="0"/>
          <w:bCs w:val="0"/>
          <w:color w:val="auto"/>
          <w:sz w:val="24"/>
          <w:szCs w:val="24"/>
          <w:highlight w:val="none"/>
          <w:lang w:eastAsia="zh-CN"/>
        </w:rPr>
        <w:t>竞争性谈判文件</w:t>
      </w:r>
      <w:r>
        <w:rPr>
          <w:rFonts w:hint="eastAsia" w:ascii="宋体" w:hAnsi="宋体" w:eastAsia="宋体" w:cs="宋体"/>
          <w:b w:val="0"/>
          <w:bCs w:val="0"/>
          <w:color w:val="auto"/>
          <w:sz w:val="24"/>
          <w:szCs w:val="24"/>
          <w:highlight w:val="none"/>
        </w:rPr>
        <w:t>要求的竞标予以拒绝，对技术标进行评审，技术标评审按可行与不可行来评定，对技术标不可行的竞标予以拒绝。未实质性响应谈判文件的响应文件按无效处理，谈判小组应当告知有关供应商。谈判小组对响应文件的有效性、完整性和响应程度进行审查，记录有关情况，并拟定谈判策略，提出谈判问题。项目审查期间，具体评标事务由依法组建的谈判小组负责,采购代理机构全程回避。</w:t>
      </w:r>
    </w:p>
    <w:p>
      <w:pPr>
        <w:pageBreakBefore w:val="0"/>
        <w:kinsoku/>
        <w:wordWrap w:val="0"/>
        <w:overflowPunct/>
        <w:topLinePunct w:val="0"/>
        <w:bidi w:val="0"/>
        <w:spacing w:line="336" w:lineRule="auto"/>
        <w:ind w:firstLine="468" w:firstLineChars="19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正式谈判：谈判小组所有成员根据谈判策略，集中与通过初步评审的供应商分别进行谈判，并给予所有参加谈判的供应商平等的谈判机会，分别与每个供应商就技术、报价组成和合同条款等进行充分的谈判，确定供应商所提供的产品质量和服务是否能满足</w:t>
      </w:r>
      <w:r>
        <w:rPr>
          <w:rFonts w:hint="eastAsia" w:ascii="宋体" w:hAnsi="宋体" w:eastAsia="宋体" w:cs="宋体"/>
          <w:b w:val="0"/>
          <w:bCs w:val="0"/>
          <w:color w:val="auto"/>
          <w:sz w:val="24"/>
          <w:szCs w:val="24"/>
          <w:highlight w:val="none"/>
          <w:lang w:eastAsia="zh-CN"/>
        </w:rPr>
        <w:t>竞争性谈判文件</w:t>
      </w:r>
      <w:r>
        <w:rPr>
          <w:rFonts w:hint="eastAsia" w:ascii="宋体" w:hAnsi="宋体" w:eastAsia="宋体" w:cs="宋体"/>
          <w:b w:val="0"/>
          <w:bCs w:val="0"/>
          <w:color w:val="auto"/>
          <w:sz w:val="24"/>
          <w:szCs w:val="24"/>
          <w:highlight w:val="none"/>
        </w:rPr>
        <w:t>规定的实质性要求。谈判期间，相关监督部门对谈判过程全程进行监督，具体谈判事务由依法组建的评标委员会负责,采购代理机构进行相关谈判记录。现场监督人员及采购代理机构的工作人员应当遵守评标现场工作纪律，不能出现越权行使评标委员会的权利，代替评委进行评标，对评标工作发表任何倾向性意见、向其他专家评委明示或者暗示自己的意见及其他干扰评标工作的行为，及政府采购法相关法律法规禁止出现的行为。</w:t>
      </w:r>
    </w:p>
    <w:p>
      <w:pPr>
        <w:pageBreakBefore w:val="0"/>
        <w:kinsoku/>
        <w:wordWrap w:val="0"/>
        <w:overflowPunct/>
        <w:topLinePunct w:val="0"/>
        <w:bidi w:val="0"/>
        <w:spacing w:line="336" w:lineRule="auto"/>
        <w:ind w:firstLine="468" w:firstLineChars="19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（3）二次报价邀请：谈判小组应在商务、技术和服务条件谈判后，邀请能满足</w:t>
      </w:r>
      <w:r>
        <w:rPr>
          <w:rFonts w:hint="eastAsia" w:ascii="宋体" w:hAnsi="宋体" w:eastAsia="宋体" w:cs="宋体"/>
          <w:b w:val="0"/>
          <w:bCs w:val="0"/>
          <w:color w:val="auto"/>
          <w:sz w:val="24"/>
          <w:szCs w:val="24"/>
          <w:highlight w:val="none"/>
          <w:lang w:eastAsia="zh-CN"/>
        </w:rPr>
        <w:t>竞争性谈判文件</w:t>
      </w:r>
      <w:r>
        <w:rPr>
          <w:rFonts w:hint="eastAsia" w:ascii="宋体" w:hAnsi="宋体" w:eastAsia="宋体" w:cs="宋体"/>
          <w:b w:val="0"/>
          <w:bCs w:val="0"/>
          <w:color w:val="auto"/>
          <w:sz w:val="24"/>
          <w:szCs w:val="24"/>
          <w:highlight w:val="none"/>
        </w:rPr>
        <w:t>所规定实质性要求的质量和服务的所有供应商进行二次报价，并告知供应商二次报价截止时间及二次报价文件编写有关规范。原则上，二次报价为最终报价。</w:t>
      </w:r>
    </w:p>
    <w:p>
      <w:pPr>
        <w:pageBreakBefore w:val="0"/>
        <w:kinsoku/>
        <w:wordWrap w:val="0"/>
        <w:overflowPunct/>
        <w:topLinePunct w:val="0"/>
        <w:bidi w:val="0"/>
        <w:spacing w:line="336" w:lineRule="auto"/>
        <w:ind w:firstLine="468" w:firstLineChars="19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25.3在评审过程中，商务标评委发现供应商的最后报价明显低于其他供应商的最后报价或者明显低于本项目采购控制价，使得其竞标可能低于其个别成本的，应当要求供应商作出书面说明并提供相关证明材料；供应商不能合理说明或者不能提供相关证明材料的，由商务标评委认定该竞标以低于其企业成本报价，其竞标作废标处理。</w:t>
      </w:r>
    </w:p>
    <w:p>
      <w:pPr>
        <w:pageBreakBefore w:val="0"/>
        <w:kinsoku/>
        <w:wordWrap w:val="0"/>
        <w:overflowPunct/>
        <w:topLinePunct w:val="0"/>
        <w:bidi w:val="0"/>
        <w:spacing w:line="336" w:lineRule="auto"/>
        <w:ind w:firstLine="468" w:firstLineChars="19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25.4成交候选人推荐原则</w:t>
      </w:r>
    </w:p>
    <w:p>
      <w:pPr>
        <w:pageBreakBefore w:val="0"/>
        <w:kinsoku/>
        <w:wordWrap w:val="0"/>
        <w:overflowPunct/>
        <w:topLinePunct w:val="0"/>
        <w:bidi w:val="0"/>
        <w:spacing w:line="336"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（1）谈判小组应按照客观、公正、审慎的原则，根据</w:t>
      </w:r>
      <w:r>
        <w:rPr>
          <w:rFonts w:hint="eastAsia" w:ascii="宋体" w:hAnsi="宋体" w:eastAsia="宋体" w:cs="宋体"/>
          <w:b w:val="0"/>
          <w:bCs w:val="0"/>
          <w:color w:val="auto"/>
          <w:sz w:val="24"/>
          <w:szCs w:val="24"/>
          <w:highlight w:val="none"/>
          <w:lang w:eastAsia="zh-CN"/>
        </w:rPr>
        <w:t>竞争性谈判文件</w:t>
      </w:r>
      <w:r>
        <w:rPr>
          <w:rFonts w:hint="eastAsia" w:ascii="宋体" w:hAnsi="宋体" w:eastAsia="宋体" w:cs="宋体"/>
          <w:b w:val="0"/>
          <w:bCs w:val="0"/>
          <w:color w:val="auto"/>
          <w:sz w:val="24"/>
          <w:szCs w:val="24"/>
          <w:highlight w:val="none"/>
        </w:rPr>
        <w:t>规定的评审程序、评审方法和评审标准进行独立评审。评审委员会应根据质量和服务均能满足</w:t>
      </w:r>
      <w:r>
        <w:rPr>
          <w:rFonts w:hint="eastAsia" w:ascii="宋体" w:hAnsi="宋体" w:eastAsia="宋体" w:cs="宋体"/>
          <w:b w:val="0"/>
          <w:bCs w:val="0"/>
          <w:color w:val="auto"/>
          <w:sz w:val="24"/>
          <w:szCs w:val="24"/>
          <w:highlight w:val="none"/>
          <w:lang w:eastAsia="zh-CN"/>
        </w:rPr>
        <w:t>竞争性谈判文件</w:t>
      </w:r>
      <w:r>
        <w:rPr>
          <w:rFonts w:hint="eastAsia" w:ascii="宋体" w:hAnsi="宋体" w:eastAsia="宋体" w:cs="宋体"/>
          <w:b w:val="0"/>
          <w:bCs w:val="0"/>
          <w:color w:val="auto"/>
          <w:sz w:val="24"/>
          <w:szCs w:val="24"/>
          <w:highlight w:val="none"/>
        </w:rPr>
        <w:t>实质性响应要求的前提下，按评标报价由低到高提出3名以上成交候选供应商，并编写评审报告。</w:t>
      </w:r>
    </w:p>
    <w:p>
      <w:pPr>
        <w:pageBreakBefore w:val="0"/>
        <w:kinsoku/>
        <w:wordWrap w:val="0"/>
        <w:overflowPunct/>
        <w:topLinePunct w:val="0"/>
        <w:bidi w:val="0"/>
        <w:spacing w:line="336"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（2）现场校对及提醒。</w:t>
      </w:r>
    </w:p>
    <w:p>
      <w:pPr>
        <w:pageBreakBefore w:val="0"/>
        <w:kinsoku/>
        <w:wordWrap w:val="0"/>
        <w:overflowPunct/>
        <w:topLinePunct w:val="0"/>
        <w:bidi w:val="0"/>
        <w:spacing w:line="336"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采购代理机构</w:t>
      </w:r>
      <w:r>
        <w:rPr>
          <w:rFonts w:hint="eastAsia" w:ascii="宋体" w:hAnsi="宋体" w:eastAsia="宋体" w:cs="宋体"/>
          <w:b w:val="0"/>
          <w:bCs w:val="0"/>
          <w:color w:val="auto"/>
          <w:sz w:val="24"/>
          <w:szCs w:val="24"/>
          <w:highlight w:val="none"/>
        </w:rPr>
        <w:t>工作人员要对评标数据进行校对、核对，对资格性审查认定错误的，分值汇总计算错误的，分项评分超出评分标准范围的，对客观评分因素评分不一致的，畸高、畸低的重大差异评分的可以提示评标委员会复核或书面说明理由。应提醒评标委员会对评分汇总情况进行复核，特别是对排名第一的、报价最低的、投标或相应文件被认定为无效的情形，应对其商务、服务、技术及价格等各方面情况进行重点复核。</w:t>
      </w:r>
    </w:p>
    <w:p>
      <w:pPr>
        <w:pageBreakBefore w:val="0"/>
        <w:kinsoku/>
        <w:wordWrap w:val="0"/>
        <w:overflowPunct/>
        <w:topLinePunct w:val="0"/>
        <w:bidi w:val="0"/>
        <w:spacing w:line="336"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竞争性谈判过程中出现多家供应商评标价最低且相同时，应组织评标价最低的供应商只对价格重新报价，直至评标价最低供应商仅为一家。</w:t>
      </w:r>
    </w:p>
    <w:p>
      <w:pPr>
        <w:pageBreakBefore w:val="0"/>
        <w:kinsoku/>
        <w:wordWrap w:val="0"/>
        <w:overflowPunct/>
        <w:topLinePunct w:val="0"/>
        <w:bidi w:val="0"/>
        <w:spacing w:line="336"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评标工作由采购代理机构负责组织，具体评标事务由依法组建的评标委员会负责。根据评标委员会的要求组织供应商澄清，评标委员会对</w:t>
      </w: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中含义不明确、同类问题表述不一致或者有明显文字和计算错误的内容，可以书面形式要求投标供应商作出必要的澄清、说明或者纠正。</w:t>
      </w:r>
    </w:p>
    <w:p>
      <w:pPr>
        <w:pageBreakBefore w:val="0"/>
        <w:kinsoku/>
        <w:wordWrap w:val="0"/>
        <w:overflowPunct/>
        <w:topLinePunct w:val="0"/>
        <w:bidi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（3）小型和微型企业最后报价扣除计算。</w:t>
      </w:r>
    </w:p>
    <w:p>
      <w:pPr>
        <w:pageBreakBefore w:val="0"/>
        <w:kinsoku/>
        <w:wordWrap w:val="0"/>
        <w:overflowPunct/>
        <w:topLinePunct w:val="0"/>
        <w:bidi w:val="0"/>
        <w:spacing w:line="336"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①</w:t>
      </w:r>
      <w:r>
        <w:rPr>
          <w:rFonts w:hint="eastAsia" w:ascii="宋体" w:hAnsi="宋体" w:eastAsia="宋体" w:cs="宋体"/>
          <w:b w:val="0"/>
          <w:bCs w:val="0"/>
          <w:color w:val="auto"/>
          <w:sz w:val="24"/>
          <w:szCs w:val="24"/>
          <w:highlight w:val="none"/>
        </w:rPr>
        <w:t>评审价为供应商的最后报价进行政策性扣除后的价格，评审价只是作为评审时使用。最终成交供应商的成交金额等于最后报价（如有修正，以确认修正后的最后报价为准）。</w:t>
      </w:r>
    </w:p>
    <w:p>
      <w:pPr>
        <w:pageBreakBefore w:val="0"/>
        <w:kinsoku/>
        <w:wordWrap w:val="0"/>
        <w:overflowPunct/>
        <w:topLinePunct w:val="0"/>
        <w:bidi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②</w:t>
      </w:r>
      <w:r>
        <w:rPr>
          <w:rFonts w:hint="eastAsia" w:ascii="宋体" w:hAnsi="宋体" w:eastAsia="宋体" w:cs="宋体"/>
          <w:b/>
          <w:bCs/>
          <w:color w:val="auto"/>
          <w:sz w:val="24"/>
          <w:szCs w:val="24"/>
          <w:highlight w:val="none"/>
        </w:rPr>
        <w:t>按照《政府采购促进中小企业发展管理办法》的通知(财库(2020)46号)的规定，供应商为小型和微型企业，并在其响应文件中提供《中小企业声明函》，且其所竞标产品全部为小型和微型企业产品的，对其最后报价给予10%的扣除。</w:t>
      </w:r>
    </w:p>
    <w:p>
      <w:pPr>
        <w:pageBreakBefore w:val="0"/>
        <w:kinsoku/>
        <w:wordWrap w:val="0"/>
        <w:overflowPunct/>
        <w:topLinePunct w:val="0"/>
        <w:bidi w:val="0"/>
        <w:spacing w:line="336"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③</w:t>
      </w:r>
      <w:r>
        <w:rPr>
          <w:rFonts w:hint="eastAsia" w:ascii="宋体" w:hAnsi="宋体" w:eastAsia="宋体" w:cs="宋体"/>
          <w:b w:val="0"/>
          <w:bCs w:val="0"/>
          <w:color w:val="auto"/>
          <w:sz w:val="24"/>
          <w:szCs w:val="24"/>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pageBreakBefore w:val="0"/>
        <w:kinsoku/>
        <w:wordWrap w:val="0"/>
        <w:overflowPunct/>
        <w:topLinePunct w:val="0"/>
        <w:bidi w:val="0"/>
        <w:spacing w:line="336"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④</w:t>
      </w:r>
      <w:r>
        <w:rPr>
          <w:rFonts w:hint="eastAsia" w:ascii="宋体" w:hAnsi="宋体" w:eastAsia="宋体" w:cs="宋体"/>
          <w:b w:val="0"/>
          <w:bCs w:val="0"/>
          <w:color w:val="auto"/>
          <w:sz w:val="24"/>
          <w:szCs w:val="24"/>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ageBreakBefore w:val="0"/>
        <w:kinsoku/>
        <w:wordWrap w:val="0"/>
        <w:overflowPunct/>
        <w:topLinePunct w:val="0"/>
        <w:bidi w:val="0"/>
        <w:spacing w:line="336"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⑤</w:t>
      </w:r>
      <w:r>
        <w:rPr>
          <w:rFonts w:hint="eastAsia" w:ascii="宋体" w:hAnsi="宋体" w:eastAsia="宋体" w:cs="宋体"/>
          <w:b/>
          <w:bCs/>
          <w:color w:val="auto"/>
          <w:sz w:val="24"/>
          <w:szCs w:val="24"/>
          <w:highlight w:val="none"/>
        </w:rPr>
        <w:t>政策性扣除计算方法</w:t>
      </w:r>
      <w:r>
        <w:rPr>
          <w:rFonts w:hint="eastAsia" w:ascii="宋体" w:hAnsi="宋体" w:eastAsia="宋体" w:cs="宋体"/>
          <w:b/>
          <w:bCs/>
          <w:color w:val="auto"/>
          <w:sz w:val="24"/>
          <w:szCs w:val="24"/>
          <w:highlight w:val="none"/>
          <w:lang w:eastAsia="zh-CN"/>
        </w:rPr>
        <w:t>：</w:t>
      </w:r>
    </w:p>
    <w:p>
      <w:pPr>
        <w:pageBreakBefore w:val="0"/>
        <w:kinsoku/>
        <w:wordWrap w:val="0"/>
        <w:overflowPunct/>
        <w:topLinePunct w:val="0"/>
        <w:bidi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被评定为监狱企业或者残疾人福利性单位或者小型和微型企业且其所竞标全部产品为小型和微型企业产品的，该供应商的最后报价给予10%的扣除，扣除后的价格为评审价，即评审价=最后报价×（1-10%）；大中型企业和其他自然人、法人或者其他组织与小型、微型企业组成联合体竞标，且联合体协议中约定小型、微型企业的协议合同金额占到联合体协议合同总金额30%以上的，联合体最后报价给予2%-3%(工程项目为1%-2%)%的扣除，扣除后的价格为评审价，即评审价=最后报价×（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%的折扣值））；除上述情况外，评审价=最后报价。</w:t>
      </w:r>
    </w:p>
    <w:p>
      <w:pPr>
        <w:pageBreakBefore w:val="0"/>
        <w:kinsoku/>
        <w:wordWrap w:val="0"/>
        <w:overflowPunct/>
        <w:topLinePunct w:val="0"/>
        <w:bidi w:val="0"/>
        <w:spacing w:line="336"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⑥</w:t>
      </w:r>
      <w:r>
        <w:rPr>
          <w:rFonts w:hint="eastAsia" w:ascii="宋体" w:hAnsi="宋体" w:eastAsia="宋体" w:cs="宋体"/>
          <w:b w:val="0"/>
          <w:bCs w:val="0"/>
          <w:color w:val="auto"/>
          <w:sz w:val="24"/>
          <w:szCs w:val="24"/>
          <w:highlight w:val="none"/>
        </w:rPr>
        <w:t>除上述情况外，评审价＝最后报价。</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25.5本项目是以政府采购预算价为最高限价，当供应商的最终竞标报价超出政府采购预算价时，采购人不能支付的，谈判小组对其响应文件将不予以评审。</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本项目采购预算价为：</w:t>
      </w:r>
      <w:r>
        <w:rPr>
          <w:rFonts w:hint="eastAsia" w:ascii="宋体" w:hAnsi="宋体" w:eastAsia="宋体" w:cs="宋体"/>
          <w:b/>
          <w:color w:val="auto"/>
          <w:sz w:val="24"/>
          <w:szCs w:val="24"/>
          <w:highlight w:val="none"/>
          <w:lang w:eastAsia="zh-CN"/>
        </w:rPr>
        <w:t>人民币陆拾壹万零壹佰叁拾捌元叁角玖分（¥610138.39元）</w:t>
      </w:r>
      <w:r>
        <w:rPr>
          <w:rFonts w:hint="eastAsia" w:ascii="宋体" w:hAnsi="宋体" w:eastAsia="宋体" w:cs="宋体"/>
          <w:b/>
          <w:color w:val="auto"/>
          <w:sz w:val="24"/>
          <w:szCs w:val="24"/>
          <w:highlight w:val="none"/>
        </w:rPr>
        <w:t>。</w:t>
      </w:r>
    </w:p>
    <w:p>
      <w:pPr>
        <w:pageBreakBefore w:val="0"/>
        <w:kinsoku/>
        <w:wordWrap w:val="0"/>
        <w:overflowPunct/>
        <w:topLinePunct w:val="0"/>
        <w:bidi w:val="0"/>
        <w:spacing w:line="336"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26. 评标内容的保密</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26</w:t>
      </w:r>
      <w:r>
        <w:rPr>
          <w:rFonts w:hint="eastAsia" w:ascii="宋体" w:hAnsi="宋体" w:eastAsia="宋体" w:cs="宋体"/>
          <w:color w:val="auto"/>
          <w:sz w:val="24"/>
          <w:szCs w:val="24"/>
          <w:highlight w:val="none"/>
        </w:rPr>
        <w:t>.1 在评标活动中，凡属于审查、澄清、评价和比较竞标的有关资料及有关授予合同的信息，都不应向供应商或与评标无关的其他人泄露。</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26</w:t>
      </w:r>
      <w:r>
        <w:rPr>
          <w:rFonts w:hint="eastAsia" w:ascii="宋体" w:hAnsi="宋体" w:eastAsia="宋体" w:cs="宋体"/>
          <w:color w:val="auto"/>
          <w:sz w:val="24"/>
          <w:szCs w:val="24"/>
          <w:highlight w:val="none"/>
        </w:rPr>
        <w:t>.2 在响应文件的审查、澄清、评价和比较以及授予合同的过程中，供应商对采购人和谈判小组成员施加影响的任何行为，都将导致被取消竞标资格。</w:t>
      </w:r>
    </w:p>
    <w:p>
      <w:pPr>
        <w:pStyle w:val="12"/>
        <w:pageBreakBefore w:val="0"/>
        <w:kinsoku/>
        <w:wordWrap w:val="0"/>
        <w:overflowPunct/>
        <w:topLinePunct w:val="0"/>
        <w:bidi w:val="0"/>
        <w:spacing w:line="336" w:lineRule="auto"/>
        <w:outlineLvl w:val="2"/>
        <w:rPr>
          <w:rFonts w:hint="eastAsia" w:ascii="宋体" w:hAnsi="宋体" w:eastAsia="宋体" w:cs="宋体"/>
          <w:b/>
          <w:color w:val="auto"/>
          <w:sz w:val="24"/>
          <w:szCs w:val="24"/>
          <w:highlight w:val="none"/>
        </w:rPr>
      </w:pPr>
      <w:bookmarkStart w:id="67" w:name="_Toc156106957"/>
      <w:bookmarkStart w:id="68" w:name="_Toc300676150"/>
      <w:bookmarkStart w:id="69" w:name="_Toc300675940"/>
      <w:bookmarkStart w:id="70" w:name="_Toc7027"/>
      <w:r>
        <w:rPr>
          <w:rFonts w:hint="eastAsia" w:ascii="宋体" w:hAnsi="宋体" w:eastAsia="宋体" w:cs="宋体"/>
          <w:b/>
          <w:color w:val="auto"/>
          <w:sz w:val="24"/>
          <w:szCs w:val="24"/>
          <w:highlight w:val="none"/>
        </w:rPr>
        <w:t>27.无效的</w:t>
      </w:r>
      <w:bookmarkEnd w:id="67"/>
      <w:bookmarkEnd w:id="68"/>
      <w:bookmarkEnd w:id="69"/>
      <w:r>
        <w:rPr>
          <w:rFonts w:hint="eastAsia" w:ascii="宋体" w:hAnsi="宋体" w:eastAsia="宋体" w:cs="宋体"/>
          <w:b/>
          <w:color w:val="auto"/>
          <w:sz w:val="24"/>
          <w:szCs w:val="24"/>
          <w:highlight w:val="none"/>
        </w:rPr>
        <w:t>响应文件</w:t>
      </w:r>
      <w:bookmarkEnd w:id="70"/>
    </w:p>
    <w:p>
      <w:pPr>
        <w:pStyle w:val="12"/>
        <w:pageBreakBefore w:val="0"/>
        <w:kinsoku/>
        <w:wordWrap w:val="0"/>
        <w:overflowPunct/>
        <w:topLinePunct w:val="0"/>
        <w:bidi w:val="0"/>
        <w:spacing w:line="336"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25.1响应文件如出现下列情况之一，将会在评标中按照无效文件处理。</w:t>
      </w:r>
    </w:p>
    <w:p>
      <w:pPr>
        <w:pStyle w:val="12"/>
        <w:pageBreakBefore w:val="0"/>
        <w:tabs>
          <w:tab w:val="left" w:pos="780"/>
        </w:tabs>
        <w:kinsoku/>
        <w:wordWrap w:val="0"/>
        <w:overflowPunct/>
        <w:topLinePunct w:val="0"/>
        <w:bidi w:val="0"/>
        <w:spacing w:line="336"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（1）未按规定缴纳竞标保证金或未交竞标保证金的；</w:t>
      </w:r>
    </w:p>
    <w:p>
      <w:pPr>
        <w:pStyle w:val="12"/>
        <w:pageBreakBefore w:val="0"/>
        <w:tabs>
          <w:tab w:val="left" w:pos="780"/>
        </w:tabs>
        <w:kinsoku/>
        <w:wordWrap w:val="0"/>
        <w:overflowPunct/>
        <w:topLinePunct w:val="0"/>
        <w:bidi w:val="0"/>
        <w:spacing w:line="336"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（2）未按照</w:t>
      </w:r>
      <w:r>
        <w:rPr>
          <w:rFonts w:hint="eastAsia" w:ascii="宋体" w:hAnsi="宋体" w:eastAsia="宋体" w:cs="宋体"/>
          <w:bCs/>
          <w:color w:val="auto"/>
          <w:sz w:val="24"/>
          <w:szCs w:val="24"/>
          <w:highlight w:val="none"/>
          <w:lang w:eastAsia="zh-CN"/>
        </w:rPr>
        <w:t>竞争性谈判文件</w:t>
      </w:r>
      <w:r>
        <w:rPr>
          <w:rFonts w:hint="eastAsia" w:ascii="宋体" w:hAnsi="宋体" w:eastAsia="宋体" w:cs="宋体"/>
          <w:color w:val="auto"/>
          <w:sz w:val="24"/>
          <w:szCs w:val="24"/>
          <w:highlight w:val="none"/>
        </w:rPr>
        <w:t>规定要求密封、签署、盖章的；</w:t>
      </w:r>
    </w:p>
    <w:p>
      <w:pPr>
        <w:pStyle w:val="12"/>
        <w:pageBreakBefore w:val="0"/>
        <w:tabs>
          <w:tab w:val="left" w:pos="780"/>
        </w:tabs>
        <w:kinsoku/>
        <w:wordWrap w:val="0"/>
        <w:overflowPunct/>
        <w:topLinePunct w:val="0"/>
        <w:bidi w:val="0"/>
        <w:spacing w:line="336"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（3）不具备</w:t>
      </w:r>
      <w:r>
        <w:rPr>
          <w:rFonts w:hint="eastAsia" w:ascii="宋体" w:hAnsi="宋体" w:eastAsia="宋体" w:cs="宋体"/>
          <w:bCs/>
          <w:color w:val="auto"/>
          <w:sz w:val="24"/>
          <w:szCs w:val="24"/>
          <w:highlight w:val="none"/>
          <w:lang w:eastAsia="zh-CN"/>
        </w:rPr>
        <w:t>竞争性谈判文件</w:t>
      </w:r>
      <w:r>
        <w:rPr>
          <w:rFonts w:hint="eastAsia" w:ascii="宋体" w:hAnsi="宋体" w:eastAsia="宋体" w:cs="宋体"/>
          <w:color w:val="auto"/>
          <w:sz w:val="24"/>
          <w:szCs w:val="24"/>
          <w:highlight w:val="none"/>
        </w:rPr>
        <w:t>中规定资格要求的；</w:t>
      </w:r>
    </w:p>
    <w:p>
      <w:pPr>
        <w:pStyle w:val="12"/>
        <w:pageBreakBefore w:val="0"/>
        <w:tabs>
          <w:tab w:val="left" w:pos="780"/>
        </w:tabs>
        <w:kinsoku/>
        <w:wordWrap w:val="0"/>
        <w:overflowPunct/>
        <w:topLinePunct w:val="0"/>
        <w:bidi w:val="0"/>
        <w:spacing w:line="336"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（4）不符合法律、法规的；</w:t>
      </w:r>
    </w:p>
    <w:p>
      <w:pPr>
        <w:pStyle w:val="12"/>
        <w:pageBreakBefore w:val="0"/>
        <w:tabs>
          <w:tab w:val="left" w:pos="780"/>
        </w:tabs>
        <w:kinsoku/>
        <w:wordWrap w:val="0"/>
        <w:overflowPunct/>
        <w:topLinePunct w:val="0"/>
        <w:bidi w:val="0"/>
        <w:spacing w:line="336" w:lineRule="auto"/>
        <w:ind w:left="42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（5）供应商的最终报价超过了采购预算的；</w:t>
      </w:r>
    </w:p>
    <w:p>
      <w:pPr>
        <w:pStyle w:val="12"/>
        <w:pageBreakBefore w:val="0"/>
        <w:tabs>
          <w:tab w:val="left" w:pos="780"/>
        </w:tabs>
        <w:kinsoku/>
        <w:wordWrap w:val="0"/>
        <w:overflowPunct/>
        <w:topLinePunct w:val="0"/>
        <w:bidi w:val="0"/>
        <w:spacing w:line="336"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（6）不符合</w:t>
      </w:r>
      <w:r>
        <w:rPr>
          <w:rFonts w:hint="eastAsia" w:ascii="宋体" w:hAnsi="宋体" w:eastAsia="宋体" w:cs="宋体"/>
          <w:bCs/>
          <w:color w:val="auto"/>
          <w:sz w:val="24"/>
          <w:szCs w:val="24"/>
          <w:highlight w:val="none"/>
          <w:lang w:eastAsia="zh-CN"/>
        </w:rPr>
        <w:t>竞争性谈判文件</w:t>
      </w:r>
      <w:r>
        <w:rPr>
          <w:rFonts w:hint="eastAsia" w:ascii="宋体" w:hAnsi="宋体" w:eastAsia="宋体" w:cs="宋体"/>
          <w:color w:val="auto"/>
          <w:sz w:val="24"/>
          <w:szCs w:val="24"/>
          <w:highlight w:val="none"/>
        </w:rPr>
        <w:t>中规定的其它实质性要求并且在谈判规定的时间内无法说明和补充的；</w:t>
      </w:r>
    </w:p>
    <w:p>
      <w:pPr>
        <w:pStyle w:val="12"/>
        <w:pageBreakBefore w:val="0"/>
        <w:tabs>
          <w:tab w:val="left" w:pos="780"/>
        </w:tabs>
        <w:kinsoku/>
        <w:wordWrap w:val="0"/>
        <w:overflowPunct/>
        <w:topLinePunct w:val="0"/>
        <w:bidi w:val="0"/>
        <w:spacing w:line="336"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（7）未按</w:t>
      </w:r>
      <w:r>
        <w:rPr>
          <w:rFonts w:hint="eastAsia" w:ascii="宋体" w:hAnsi="宋体" w:eastAsia="宋体" w:cs="宋体"/>
          <w:bCs/>
          <w:color w:val="auto"/>
          <w:sz w:val="24"/>
          <w:szCs w:val="24"/>
          <w:highlight w:val="none"/>
          <w:lang w:eastAsia="zh-CN"/>
        </w:rPr>
        <w:t>竞争性谈判文件</w:t>
      </w:r>
      <w:r>
        <w:rPr>
          <w:rFonts w:hint="eastAsia" w:ascii="宋体" w:hAnsi="宋体" w:eastAsia="宋体" w:cs="宋体"/>
          <w:color w:val="auto"/>
          <w:sz w:val="24"/>
          <w:szCs w:val="24"/>
          <w:highlight w:val="none"/>
        </w:rPr>
        <w:t>中提出实质性要求和条件作出完全响应的；</w:t>
      </w:r>
    </w:p>
    <w:p>
      <w:pPr>
        <w:pStyle w:val="12"/>
        <w:pageBreakBefore w:val="0"/>
        <w:tabs>
          <w:tab w:val="left" w:pos="515"/>
          <w:tab w:val="left" w:pos="780"/>
        </w:tabs>
        <w:kinsoku/>
        <w:wordWrap w:val="0"/>
        <w:overflowPunct/>
        <w:topLinePunct w:val="0"/>
        <w:bidi w:val="0"/>
        <w:spacing w:line="336" w:lineRule="auto"/>
        <w:ind w:left="4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（8）不同</w:t>
      </w:r>
      <w:r>
        <w:rPr>
          <w:rFonts w:hint="eastAsia" w:ascii="宋体" w:hAnsi="宋体" w:eastAsia="宋体" w:cs="宋体"/>
          <w:color w:val="auto"/>
          <w:sz w:val="24"/>
          <w:szCs w:val="24"/>
          <w:highlight w:val="none"/>
        </w:rPr>
        <w:t>供应商</w:t>
      </w:r>
      <w:r>
        <w:rPr>
          <w:rFonts w:hint="eastAsia" w:ascii="宋体" w:hAnsi="宋体" w:eastAsia="宋体" w:cs="宋体"/>
          <w:bCs/>
          <w:color w:val="auto"/>
          <w:sz w:val="24"/>
          <w:szCs w:val="24"/>
          <w:highlight w:val="none"/>
        </w:rPr>
        <w:t>的</w:t>
      </w:r>
      <w:r>
        <w:rPr>
          <w:rFonts w:hint="eastAsia" w:ascii="宋体" w:hAnsi="宋体" w:eastAsia="宋体" w:cs="宋体"/>
          <w:color w:val="auto"/>
          <w:sz w:val="24"/>
          <w:szCs w:val="24"/>
          <w:highlight w:val="none"/>
        </w:rPr>
        <w:t>响应文件</w:t>
      </w:r>
      <w:r>
        <w:rPr>
          <w:rFonts w:hint="eastAsia" w:ascii="宋体" w:hAnsi="宋体" w:eastAsia="宋体" w:cs="宋体"/>
          <w:bCs/>
          <w:color w:val="auto"/>
          <w:sz w:val="24"/>
          <w:szCs w:val="24"/>
          <w:highlight w:val="none"/>
        </w:rPr>
        <w:t>由同一单位或者个人编制；</w:t>
      </w:r>
    </w:p>
    <w:p>
      <w:pPr>
        <w:pStyle w:val="12"/>
        <w:pageBreakBefore w:val="0"/>
        <w:tabs>
          <w:tab w:val="left" w:pos="515"/>
          <w:tab w:val="left" w:pos="780"/>
        </w:tabs>
        <w:kinsoku/>
        <w:wordWrap w:val="0"/>
        <w:overflowPunct/>
        <w:topLinePunct w:val="0"/>
        <w:bidi w:val="0"/>
        <w:spacing w:line="336" w:lineRule="auto"/>
        <w:ind w:left="4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（9）不同</w:t>
      </w:r>
      <w:r>
        <w:rPr>
          <w:rFonts w:hint="eastAsia" w:ascii="宋体" w:hAnsi="宋体" w:eastAsia="宋体" w:cs="宋体"/>
          <w:color w:val="auto"/>
          <w:sz w:val="24"/>
          <w:szCs w:val="24"/>
          <w:highlight w:val="none"/>
        </w:rPr>
        <w:t>供应商</w:t>
      </w:r>
      <w:r>
        <w:rPr>
          <w:rFonts w:hint="eastAsia" w:ascii="宋体" w:hAnsi="宋体" w:eastAsia="宋体" w:cs="宋体"/>
          <w:bCs/>
          <w:color w:val="auto"/>
          <w:sz w:val="24"/>
          <w:szCs w:val="24"/>
          <w:highlight w:val="none"/>
        </w:rPr>
        <w:t>委托同一单位或者个人办理</w:t>
      </w:r>
      <w:r>
        <w:rPr>
          <w:rFonts w:hint="eastAsia" w:ascii="宋体" w:hAnsi="宋体" w:eastAsia="宋体" w:cs="宋体"/>
          <w:color w:val="auto"/>
          <w:sz w:val="24"/>
          <w:szCs w:val="24"/>
          <w:highlight w:val="none"/>
        </w:rPr>
        <w:t>竞标</w:t>
      </w:r>
      <w:r>
        <w:rPr>
          <w:rFonts w:hint="eastAsia" w:ascii="宋体" w:hAnsi="宋体" w:eastAsia="宋体" w:cs="宋体"/>
          <w:bCs/>
          <w:color w:val="auto"/>
          <w:sz w:val="24"/>
          <w:szCs w:val="24"/>
          <w:highlight w:val="none"/>
        </w:rPr>
        <w:t>事宜；</w:t>
      </w:r>
    </w:p>
    <w:p>
      <w:pPr>
        <w:pStyle w:val="12"/>
        <w:pageBreakBefore w:val="0"/>
        <w:tabs>
          <w:tab w:val="left" w:pos="515"/>
        </w:tabs>
        <w:kinsoku/>
        <w:wordWrap w:val="0"/>
        <w:overflowPunct/>
        <w:topLinePunct w:val="0"/>
        <w:bidi w:val="0"/>
        <w:spacing w:line="336" w:lineRule="auto"/>
        <w:ind w:firstLine="360" w:firstLineChars="1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（10）不同</w:t>
      </w:r>
      <w:r>
        <w:rPr>
          <w:rFonts w:hint="eastAsia" w:ascii="宋体" w:hAnsi="宋体" w:eastAsia="宋体" w:cs="宋体"/>
          <w:color w:val="auto"/>
          <w:sz w:val="24"/>
          <w:szCs w:val="24"/>
          <w:highlight w:val="none"/>
        </w:rPr>
        <w:t>供应商</w:t>
      </w:r>
      <w:r>
        <w:rPr>
          <w:rFonts w:hint="eastAsia" w:ascii="宋体" w:hAnsi="宋体" w:eastAsia="宋体" w:cs="宋体"/>
          <w:bCs/>
          <w:color w:val="auto"/>
          <w:sz w:val="24"/>
          <w:szCs w:val="24"/>
          <w:highlight w:val="none"/>
        </w:rPr>
        <w:t>的</w:t>
      </w:r>
      <w:r>
        <w:rPr>
          <w:rFonts w:hint="eastAsia" w:ascii="宋体" w:hAnsi="宋体" w:eastAsia="宋体" w:cs="宋体"/>
          <w:color w:val="auto"/>
          <w:sz w:val="24"/>
          <w:szCs w:val="24"/>
          <w:highlight w:val="none"/>
        </w:rPr>
        <w:t>响应文件</w:t>
      </w:r>
      <w:r>
        <w:rPr>
          <w:rFonts w:hint="eastAsia" w:ascii="宋体" w:hAnsi="宋体" w:eastAsia="宋体" w:cs="宋体"/>
          <w:bCs/>
          <w:color w:val="auto"/>
          <w:sz w:val="24"/>
          <w:szCs w:val="24"/>
          <w:highlight w:val="none"/>
        </w:rPr>
        <w:t>异常一致或者</w:t>
      </w:r>
      <w:r>
        <w:rPr>
          <w:rFonts w:hint="eastAsia" w:ascii="宋体" w:hAnsi="宋体" w:eastAsia="宋体" w:cs="宋体"/>
          <w:color w:val="auto"/>
          <w:sz w:val="24"/>
          <w:szCs w:val="24"/>
          <w:highlight w:val="none"/>
        </w:rPr>
        <w:t>竞标</w:t>
      </w:r>
      <w:r>
        <w:rPr>
          <w:rFonts w:hint="eastAsia" w:ascii="宋体" w:hAnsi="宋体" w:eastAsia="宋体" w:cs="宋体"/>
          <w:bCs/>
          <w:color w:val="auto"/>
          <w:sz w:val="24"/>
          <w:szCs w:val="24"/>
          <w:highlight w:val="none"/>
        </w:rPr>
        <w:t>报价呈规律性差异；</w:t>
      </w:r>
    </w:p>
    <w:p>
      <w:pPr>
        <w:pStyle w:val="12"/>
        <w:pageBreakBefore w:val="0"/>
        <w:tabs>
          <w:tab w:val="left" w:pos="515"/>
        </w:tabs>
        <w:kinsoku/>
        <w:wordWrap w:val="0"/>
        <w:overflowPunct/>
        <w:topLinePunct w:val="0"/>
        <w:bidi w:val="0"/>
        <w:spacing w:line="336" w:lineRule="auto"/>
        <w:ind w:firstLine="360" w:firstLineChars="1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（11）不同</w:t>
      </w:r>
      <w:r>
        <w:rPr>
          <w:rFonts w:hint="eastAsia" w:ascii="宋体" w:hAnsi="宋体" w:eastAsia="宋体" w:cs="宋体"/>
          <w:color w:val="auto"/>
          <w:sz w:val="24"/>
          <w:szCs w:val="24"/>
          <w:highlight w:val="none"/>
        </w:rPr>
        <w:t>供应商</w:t>
      </w:r>
      <w:r>
        <w:rPr>
          <w:rFonts w:hint="eastAsia" w:ascii="宋体" w:hAnsi="宋体" w:eastAsia="宋体" w:cs="宋体"/>
          <w:bCs/>
          <w:color w:val="auto"/>
          <w:sz w:val="24"/>
          <w:szCs w:val="24"/>
          <w:highlight w:val="none"/>
        </w:rPr>
        <w:t>的</w:t>
      </w:r>
      <w:r>
        <w:rPr>
          <w:rFonts w:hint="eastAsia" w:ascii="宋体" w:hAnsi="宋体" w:eastAsia="宋体" w:cs="宋体"/>
          <w:color w:val="auto"/>
          <w:sz w:val="24"/>
          <w:szCs w:val="24"/>
          <w:highlight w:val="none"/>
        </w:rPr>
        <w:t>响应文件</w:t>
      </w:r>
      <w:r>
        <w:rPr>
          <w:rFonts w:hint="eastAsia" w:ascii="宋体" w:hAnsi="宋体" w:eastAsia="宋体" w:cs="宋体"/>
          <w:bCs/>
          <w:color w:val="auto"/>
          <w:sz w:val="24"/>
          <w:szCs w:val="24"/>
          <w:highlight w:val="none"/>
        </w:rPr>
        <w:t>相互混装；</w:t>
      </w:r>
    </w:p>
    <w:p>
      <w:pPr>
        <w:pStyle w:val="12"/>
        <w:pageBreakBefore w:val="0"/>
        <w:tabs>
          <w:tab w:val="left" w:pos="515"/>
        </w:tabs>
        <w:kinsoku/>
        <w:wordWrap w:val="0"/>
        <w:overflowPunct/>
        <w:topLinePunct w:val="0"/>
        <w:bidi w:val="0"/>
        <w:spacing w:line="336" w:lineRule="auto"/>
        <w:ind w:firstLine="360" w:firstLineChars="1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（12）不同</w:t>
      </w:r>
      <w:r>
        <w:rPr>
          <w:rFonts w:hint="eastAsia" w:ascii="宋体" w:hAnsi="宋体" w:eastAsia="宋体" w:cs="宋体"/>
          <w:color w:val="auto"/>
          <w:sz w:val="24"/>
          <w:szCs w:val="24"/>
          <w:highlight w:val="none"/>
        </w:rPr>
        <w:t>供应商</w:t>
      </w:r>
      <w:r>
        <w:rPr>
          <w:rFonts w:hint="eastAsia" w:ascii="宋体" w:hAnsi="宋体" w:eastAsia="宋体" w:cs="宋体"/>
          <w:bCs/>
          <w:color w:val="auto"/>
          <w:sz w:val="24"/>
          <w:szCs w:val="24"/>
          <w:highlight w:val="none"/>
        </w:rPr>
        <w:t>的</w:t>
      </w:r>
      <w:r>
        <w:rPr>
          <w:rFonts w:hint="eastAsia" w:ascii="宋体" w:hAnsi="宋体" w:eastAsia="宋体" w:cs="宋体"/>
          <w:color w:val="auto"/>
          <w:sz w:val="24"/>
          <w:szCs w:val="24"/>
          <w:highlight w:val="none"/>
        </w:rPr>
        <w:t>竞标</w:t>
      </w:r>
      <w:r>
        <w:rPr>
          <w:rFonts w:hint="eastAsia" w:ascii="宋体" w:hAnsi="宋体" w:eastAsia="宋体" w:cs="宋体"/>
          <w:bCs/>
          <w:color w:val="auto"/>
          <w:sz w:val="24"/>
          <w:szCs w:val="24"/>
          <w:highlight w:val="none"/>
        </w:rPr>
        <w:t>保证金从同一单位或者个人的账户转出。</w:t>
      </w:r>
    </w:p>
    <w:p>
      <w:pPr>
        <w:pStyle w:val="12"/>
        <w:pageBreakBefore w:val="0"/>
        <w:kinsoku/>
        <w:wordWrap w:val="0"/>
        <w:overflowPunct/>
        <w:topLinePunct w:val="0"/>
        <w:bidi w:val="0"/>
        <w:spacing w:line="336" w:lineRule="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bookmarkStart w:id="71" w:name="_Toc300675941"/>
      <w:bookmarkStart w:id="72" w:name="_Toc300676151"/>
      <w:bookmarkStart w:id="73" w:name="_Toc156106958"/>
      <w:bookmarkStart w:id="74" w:name="_Toc20964"/>
      <w:r>
        <w:rPr>
          <w:rFonts w:hint="eastAsia" w:ascii="宋体" w:hAnsi="宋体" w:eastAsia="宋体" w:cs="宋体"/>
          <w:b/>
          <w:color w:val="auto"/>
          <w:sz w:val="24"/>
          <w:szCs w:val="24"/>
          <w:highlight w:val="none"/>
        </w:rPr>
        <w:t>28.废标</w:t>
      </w:r>
      <w:bookmarkEnd w:id="71"/>
      <w:bookmarkEnd w:id="72"/>
      <w:bookmarkEnd w:id="73"/>
      <w:bookmarkEnd w:id="74"/>
    </w:p>
    <w:p>
      <w:pPr>
        <w:pStyle w:val="12"/>
        <w:pageBreakBefore w:val="0"/>
        <w:kinsoku/>
        <w:wordWrap w:val="0"/>
        <w:overflowPunct/>
        <w:topLinePunct w:val="0"/>
        <w:bidi w:val="0"/>
        <w:spacing w:line="336" w:lineRule="auto"/>
        <w:ind w:firstLine="43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26.1采购项目出现下列情形之一的，采购代理机构将予以废标：</w:t>
      </w:r>
    </w:p>
    <w:p>
      <w:pPr>
        <w:pStyle w:val="12"/>
        <w:pageBreakBefore w:val="0"/>
        <w:kinsoku/>
        <w:wordWrap w:val="0"/>
        <w:overflowPunct/>
        <w:topLinePunct w:val="0"/>
        <w:bidi w:val="0"/>
        <w:spacing w:line="336" w:lineRule="auto"/>
        <w:ind w:firstLine="435"/>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评标过程中符合专业条件或者对谈判</w:t>
      </w:r>
      <w:r>
        <w:rPr>
          <w:rFonts w:hint="eastAsia" w:ascii="宋体" w:hAnsi="宋体" w:eastAsia="宋体" w:cs="宋体"/>
          <w:bCs/>
          <w:color w:val="auto"/>
          <w:sz w:val="24"/>
          <w:szCs w:val="24"/>
          <w:highlight w:val="none"/>
          <w:lang w:eastAsia="zh-CN"/>
        </w:rPr>
        <w:t>竞争性谈判文件</w:t>
      </w:r>
      <w:r>
        <w:rPr>
          <w:rFonts w:hint="eastAsia" w:ascii="宋体" w:hAnsi="宋体" w:eastAsia="宋体" w:cs="宋体"/>
          <w:bCs/>
          <w:color w:val="auto"/>
          <w:sz w:val="24"/>
          <w:szCs w:val="24"/>
          <w:highlight w:val="none"/>
        </w:rPr>
        <w:t>作实质响应的供应商不足三家的；</w:t>
      </w:r>
    </w:p>
    <w:p>
      <w:pPr>
        <w:pStyle w:val="12"/>
        <w:pageBreakBefore w:val="0"/>
        <w:kinsoku/>
        <w:wordWrap w:val="0"/>
        <w:overflowPunct/>
        <w:topLinePunct w:val="0"/>
        <w:bidi w:val="0"/>
        <w:spacing w:line="336"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pPr>
        <w:pStyle w:val="12"/>
        <w:pageBreakBefore w:val="0"/>
        <w:kinsoku/>
        <w:wordWrap w:val="0"/>
        <w:overflowPunct/>
        <w:topLinePunct w:val="0"/>
        <w:bidi w:val="0"/>
        <w:spacing w:line="336"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（3）供应商的最终报价均超出预算价，采购人不能支付的；</w:t>
      </w:r>
    </w:p>
    <w:p>
      <w:pPr>
        <w:pStyle w:val="12"/>
        <w:pageBreakBefore w:val="0"/>
        <w:kinsoku/>
        <w:wordWrap w:val="0"/>
        <w:overflowPunct/>
        <w:topLinePunct w:val="0"/>
        <w:bidi w:val="0"/>
        <w:spacing w:line="336"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（4）因重大变故，采购任务取消的。</w:t>
      </w:r>
    </w:p>
    <w:p>
      <w:pPr>
        <w:pStyle w:val="12"/>
        <w:pageBreakBefore w:val="0"/>
        <w:kinsoku/>
        <w:wordWrap w:val="0"/>
        <w:overflowPunct/>
        <w:topLinePunct w:val="0"/>
        <w:bidi w:val="0"/>
        <w:spacing w:line="336" w:lineRule="auto"/>
        <w:ind w:firstLine="4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26.2废标后，采购代理机构将把废标理由通知所有供应商。</w:t>
      </w:r>
    </w:p>
    <w:p>
      <w:pPr>
        <w:pageBreakBefore w:val="0"/>
        <w:kinsoku/>
        <w:wordWrap w:val="0"/>
        <w:overflowPunct/>
        <w:topLinePunct w:val="0"/>
        <w:bidi w:val="0"/>
        <w:spacing w:line="336" w:lineRule="auto"/>
        <w:rPr>
          <w:rFonts w:hint="eastAsia" w:ascii="宋体" w:hAnsi="宋体" w:eastAsia="宋体" w:cs="宋体"/>
          <w:color w:val="auto"/>
          <w:sz w:val="24"/>
          <w:szCs w:val="24"/>
          <w:highlight w:val="none"/>
        </w:rPr>
      </w:pPr>
    </w:p>
    <w:p>
      <w:pPr>
        <w:pStyle w:val="43"/>
        <w:pageBreakBefore w:val="0"/>
        <w:kinsoku/>
        <w:wordWrap w:val="0"/>
        <w:overflowPunct/>
        <w:topLinePunct w:val="0"/>
        <w:bidi w:val="0"/>
        <w:spacing w:line="336" w:lineRule="auto"/>
        <w:outlineLvl w:val="1"/>
        <w:rPr>
          <w:rFonts w:hint="eastAsia" w:ascii="宋体" w:hAnsi="宋体" w:eastAsia="宋体" w:cs="宋体"/>
          <w:color w:val="auto"/>
          <w:sz w:val="28"/>
          <w:szCs w:val="28"/>
          <w:highlight w:val="none"/>
        </w:rPr>
      </w:pPr>
      <w:bookmarkStart w:id="75" w:name="_Toc20784"/>
      <w:bookmarkStart w:id="76" w:name="_Toc25409"/>
      <w:bookmarkStart w:id="77" w:name="_Toc17816975"/>
      <w:bookmarkStart w:id="78" w:name="_Toc156106960"/>
      <w:bookmarkStart w:id="79" w:name="_Toc300676153"/>
      <w:bookmarkStart w:id="80" w:name="_Toc300675943"/>
      <w:r>
        <w:rPr>
          <w:rFonts w:hint="eastAsia" w:ascii="宋体" w:hAnsi="宋体" w:eastAsia="宋体" w:cs="宋体"/>
          <w:color w:val="auto"/>
          <w:sz w:val="28"/>
          <w:szCs w:val="28"/>
          <w:highlight w:val="none"/>
        </w:rPr>
        <w:t>七、合同授予</w:t>
      </w:r>
      <w:bookmarkEnd w:id="75"/>
      <w:bookmarkEnd w:id="76"/>
      <w:bookmarkEnd w:id="77"/>
    </w:p>
    <w:p>
      <w:pPr>
        <w:pStyle w:val="12"/>
        <w:pageBreakBefore w:val="0"/>
        <w:kinsoku/>
        <w:wordWrap w:val="0"/>
        <w:overflowPunct/>
        <w:topLinePunct w:val="0"/>
        <w:bidi w:val="0"/>
        <w:spacing w:line="336" w:lineRule="auto"/>
        <w:ind w:firstLine="241" w:firstLineChars="100"/>
        <w:outlineLvl w:val="2"/>
        <w:rPr>
          <w:rFonts w:hint="eastAsia" w:ascii="宋体" w:hAnsi="宋体" w:eastAsia="宋体" w:cs="宋体"/>
          <w:b/>
          <w:color w:val="auto"/>
          <w:sz w:val="24"/>
          <w:szCs w:val="24"/>
          <w:highlight w:val="none"/>
        </w:rPr>
      </w:pPr>
      <w:bookmarkStart w:id="81" w:name="_Toc24779"/>
      <w:r>
        <w:rPr>
          <w:rFonts w:hint="eastAsia" w:ascii="宋体" w:hAnsi="宋体" w:eastAsia="宋体" w:cs="宋体"/>
          <w:b/>
          <w:color w:val="auto"/>
          <w:sz w:val="24"/>
          <w:szCs w:val="24"/>
          <w:highlight w:val="none"/>
        </w:rPr>
        <w:t>29.成交公告</w:t>
      </w:r>
      <w:bookmarkEnd w:id="78"/>
      <w:bookmarkEnd w:id="79"/>
      <w:bookmarkEnd w:id="80"/>
      <w:bookmarkEnd w:id="81"/>
    </w:p>
    <w:p>
      <w:pPr>
        <w:pStyle w:val="12"/>
        <w:pageBreakBefore w:val="0"/>
        <w:kinsoku/>
        <w:wordWrap w:val="0"/>
        <w:overflowPunct/>
        <w:topLinePunct w:val="0"/>
        <w:bidi w:val="0"/>
        <w:spacing w:line="336"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29.1本公司在谈判工作完成2个工作日内将谈判报告送采购人，采购人在5个工作日内按照评标报告中推荐的成交候选供应商顺序确定成交供应商，成交结果将在</w:t>
      </w:r>
      <w:r>
        <w:rPr>
          <w:rFonts w:hint="eastAsia" w:ascii="宋体" w:hAnsi="宋体" w:eastAsia="宋体" w:cs="宋体"/>
          <w:color w:val="auto"/>
          <w:sz w:val="24"/>
          <w:szCs w:val="24"/>
          <w:highlight w:val="none"/>
          <w:lang w:val="zh-CN" w:eastAsia="zh-CN"/>
        </w:rPr>
        <w:t>中国政府采购网（http://www.ccgp.gov.cn）、</w:t>
      </w:r>
      <w:r>
        <w:rPr>
          <w:rFonts w:hint="eastAsia" w:ascii="宋体" w:hAnsi="宋体" w:eastAsia="宋体" w:cs="宋体"/>
          <w:color w:val="auto"/>
          <w:sz w:val="24"/>
          <w:szCs w:val="24"/>
          <w:highlight w:val="none"/>
        </w:rPr>
        <w:t>广西壮族自治区政府采购网（http://zfcg.gxzf.gov.cn）等网上发布。</w:t>
      </w:r>
    </w:p>
    <w:p>
      <w:pPr>
        <w:pStyle w:val="12"/>
        <w:pageBreakBefore w:val="0"/>
        <w:kinsoku/>
        <w:wordWrap w:val="0"/>
        <w:overflowPunct/>
        <w:topLinePunct w:val="0"/>
        <w:bidi w:val="0"/>
        <w:spacing w:line="336"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供应商如对成交公告有异议，可以在成交公告发布后七个工作日内以书面形式向采购代理机构提出质疑。采购代理机构将在收到供应商的书面形式质疑后七个工作日内做出答复，但答复的内容不得涉及商业密秘。</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29.3质疑和投诉书面要求：</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（1）质疑人或投诉人的单位名称或姓名、详细地址、邮政编码、联系电话等；</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（2）被质疑人或被投诉人的单位名称或姓名等；</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（3）质疑或投诉的事实及理由；</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（4）有关违规违法的情况和有效证明材料；</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（5）质疑人或投诉人的签章及质疑或投诉时间；</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（6）质疑书递交方式：质疑人的法定代表人凭本人身份证原件或授权委托代理人凭法定代表人授权委托书原件和本人身份证原件同时持质疑书原件递交至采购代理机构。</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如不按规定质疑或投诉的，视为无效投诉，不予受理。</w:t>
      </w:r>
    </w:p>
    <w:p>
      <w:pPr>
        <w:pStyle w:val="12"/>
        <w:pageBreakBefore w:val="0"/>
        <w:kinsoku/>
        <w:wordWrap w:val="0"/>
        <w:overflowPunct/>
        <w:topLinePunct w:val="0"/>
        <w:bidi w:val="0"/>
        <w:spacing w:line="336"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29.4质疑供应商必须首先经过质疑程序，在对采购代理机构的答复不满意或者采购代理机构未在规定的时间内做出答复的，可以在答复期满后十五个工作日内书面向同级政府采购监督管理部门投诉。</w:t>
      </w:r>
    </w:p>
    <w:p>
      <w:pPr>
        <w:pStyle w:val="12"/>
        <w:pageBreakBefore w:val="0"/>
        <w:kinsoku/>
        <w:wordWrap w:val="0"/>
        <w:overflowPunct/>
        <w:topLinePunct w:val="0"/>
        <w:bidi w:val="0"/>
        <w:spacing w:line="336" w:lineRule="auto"/>
        <w:outlineLvl w:val="2"/>
        <w:rPr>
          <w:rFonts w:hint="eastAsia" w:ascii="宋体" w:hAnsi="宋体" w:eastAsia="宋体" w:cs="宋体"/>
          <w:b/>
          <w:bCs/>
          <w:color w:val="auto"/>
          <w:sz w:val="24"/>
          <w:szCs w:val="24"/>
          <w:highlight w:val="none"/>
        </w:rPr>
      </w:pPr>
      <w:bookmarkStart w:id="82" w:name="_Toc300676154"/>
      <w:bookmarkStart w:id="83" w:name="_Toc300675944"/>
      <w:bookmarkStart w:id="84" w:name="_Toc9279"/>
      <w:bookmarkStart w:id="85" w:name="_Toc156106961"/>
      <w:r>
        <w:rPr>
          <w:rFonts w:hint="eastAsia" w:ascii="宋体" w:hAnsi="宋体" w:eastAsia="宋体" w:cs="宋体"/>
          <w:b/>
          <w:bCs/>
          <w:color w:val="auto"/>
          <w:sz w:val="24"/>
          <w:szCs w:val="24"/>
          <w:highlight w:val="none"/>
        </w:rPr>
        <w:t>30.成交通知</w:t>
      </w:r>
      <w:bookmarkEnd w:id="82"/>
      <w:bookmarkEnd w:id="83"/>
      <w:bookmarkEnd w:id="84"/>
      <w:bookmarkEnd w:id="85"/>
    </w:p>
    <w:p>
      <w:pPr>
        <w:pStyle w:val="12"/>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30.1在发布成交公告的同时，本公司将向成交供应商发出成交通知书。</w:t>
      </w:r>
    </w:p>
    <w:p>
      <w:pPr>
        <w:pStyle w:val="12"/>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30.2本公司无义务向落标的供应商解释落标原因和退还响应文件。</w:t>
      </w:r>
    </w:p>
    <w:p>
      <w:pPr>
        <w:pStyle w:val="12"/>
        <w:pageBreakBefore w:val="0"/>
        <w:kinsoku/>
        <w:wordWrap w:val="0"/>
        <w:overflowPunct/>
        <w:topLinePunct w:val="0"/>
        <w:bidi w:val="0"/>
        <w:spacing w:line="336" w:lineRule="auto"/>
        <w:outlineLvl w:val="2"/>
        <w:rPr>
          <w:rFonts w:hint="eastAsia" w:ascii="宋体" w:hAnsi="宋体" w:eastAsia="宋体" w:cs="宋体"/>
          <w:b/>
          <w:color w:val="auto"/>
          <w:sz w:val="24"/>
          <w:szCs w:val="24"/>
          <w:highlight w:val="none"/>
        </w:rPr>
      </w:pPr>
      <w:bookmarkStart w:id="86" w:name="_Toc147250388"/>
      <w:bookmarkStart w:id="87" w:name="_Toc29406"/>
      <w:bookmarkStart w:id="88" w:name="_Toc300675945"/>
      <w:bookmarkStart w:id="89" w:name="_Toc156106962"/>
      <w:bookmarkStart w:id="90" w:name="_Toc147250544"/>
      <w:bookmarkStart w:id="91" w:name="_Toc147250342"/>
      <w:bookmarkStart w:id="92" w:name="_Toc300676155"/>
      <w:r>
        <w:rPr>
          <w:rFonts w:hint="eastAsia" w:ascii="宋体" w:hAnsi="宋体" w:eastAsia="宋体" w:cs="宋体"/>
          <w:b/>
          <w:bCs/>
          <w:color w:val="auto"/>
          <w:sz w:val="24"/>
          <w:szCs w:val="24"/>
          <w:highlight w:val="none"/>
        </w:rPr>
        <w:t>31.</w:t>
      </w:r>
      <w:r>
        <w:rPr>
          <w:rFonts w:hint="eastAsia" w:ascii="宋体" w:hAnsi="宋体" w:eastAsia="宋体" w:cs="宋体"/>
          <w:b/>
          <w:color w:val="auto"/>
          <w:sz w:val="24"/>
          <w:szCs w:val="24"/>
          <w:highlight w:val="none"/>
        </w:rPr>
        <w:t>合同授予标准</w:t>
      </w:r>
      <w:bookmarkEnd w:id="86"/>
      <w:bookmarkEnd w:id="87"/>
      <w:bookmarkEnd w:id="88"/>
      <w:bookmarkEnd w:id="89"/>
      <w:bookmarkEnd w:id="90"/>
      <w:bookmarkEnd w:id="91"/>
      <w:bookmarkEnd w:id="92"/>
    </w:p>
    <w:p>
      <w:pPr>
        <w:pStyle w:val="12"/>
        <w:pageBreakBefore w:val="0"/>
        <w:kinsoku/>
        <w:wordWrap w:val="0"/>
        <w:overflowPunct/>
        <w:topLinePunct w:val="0"/>
        <w:bidi w:val="0"/>
        <w:spacing w:line="336" w:lineRule="auto"/>
        <w:ind w:firstLine="43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31.1合同授予被确定为实质上</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eastAsia="zh-CN"/>
        </w:rPr>
        <w:t>竞争性谈判文件</w:t>
      </w:r>
      <w:r>
        <w:rPr>
          <w:rFonts w:hint="eastAsia" w:ascii="宋体" w:hAnsi="宋体" w:eastAsia="宋体" w:cs="宋体"/>
          <w:color w:val="auto"/>
          <w:sz w:val="24"/>
          <w:szCs w:val="24"/>
          <w:highlight w:val="none"/>
        </w:rPr>
        <w:t>要</w:t>
      </w:r>
      <w:r>
        <w:rPr>
          <w:rFonts w:hint="eastAsia" w:ascii="宋体" w:hAnsi="宋体" w:eastAsia="宋体" w:cs="宋体"/>
          <w:bCs/>
          <w:color w:val="auto"/>
          <w:sz w:val="24"/>
          <w:szCs w:val="24"/>
          <w:highlight w:val="none"/>
        </w:rPr>
        <w:t>求，评标认为具备履行合同能力，报价最低的供应商。</w:t>
      </w:r>
    </w:p>
    <w:p>
      <w:pPr>
        <w:pStyle w:val="12"/>
        <w:pageBreakBefore w:val="0"/>
        <w:kinsoku/>
        <w:wordWrap w:val="0"/>
        <w:overflowPunct/>
        <w:topLinePunct w:val="0"/>
        <w:bidi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31.2 采购人应按照评标报告中推荐的成交候选供应商顺序确定成交供应商。</w:t>
      </w:r>
    </w:p>
    <w:p>
      <w:pPr>
        <w:pStyle w:val="12"/>
        <w:pageBreakBefore w:val="0"/>
        <w:kinsoku/>
        <w:wordWrap w:val="0"/>
        <w:overflowPunct/>
        <w:topLinePunct w:val="0"/>
        <w:bidi w:val="0"/>
        <w:spacing w:line="336"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w:t>
      </w:r>
      <w:r>
        <w:rPr>
          <w:rFonts w:hint="eastAsia" w:ascii="宋体" w:hAnsi="宋体" w:eastAsia="宋体" w:cs="宋体"/>
          <w:color w:val="auto"/>
          <w:sz w:val="24"/>
          <w:szCs w:val="24"/>
          <w:highlight w:val="none"/>
        </w:rPr>
        <w:t>.3成交供应商因不可抗力或者自身原因不能履行采购合同的，采购人可以合格的成交候选人中另行确定成交供应商，没有合格的成交候选人的，重新开展采购活动，但由于排名第一的成交候选供应商放弃成交资格或未按规定签订合同，造成本项目的合同成交价提高（指采购人选择第二成交候选供应商为成交人后导致成交金额高于违约供应商的成交价），所超出违约供应商的成交价差额部分由违约供应商承担赔偿责任。</w:t>
      </w:r>
    </w:p>
    <w:p>
      <w:pPr>
        <w:pStyle w:val="12"/>
        <w:pageBreakBefore w:val="0"/>
        <w:kinsoku/>
        <w:wordWrap w:val="0"/>
        <w:overflowPunct/>
        <w:topLinePunct w:val="0"/>
        <w:bidi w:val="0"/>
        <w:spacing w:line="336" w:lineRule="auto"/>
        <w:outlineLvl w:val="2"/>
        <w:rPr>
          <w:rFonts w:hint="eastAsia" w:ascii="宋体" w:hAnsi="宋体" w:eastAsia="宋体" w:cs="宋体"/>
          <w:color w:val="auto"/>
          <w:sz w:val="24"/>
          <w:szCs w:val="24"/>
          <w:highlight w:val="none"/>
        </w:rPr>
      </w:pPr>
      <w:bookmarkStart w:id="93" w:name="_Toc156106963"/>
      <w:bookmarkStart w:id="94" w:name="_Toc300676156"/>
      <w:bookmarkStart w:id="95" w:name="_Toc300675946"/>
      <w:bookmarkStart w:id="96" w:name="_Toc5246"/>
      <w:r>
        <w:rPr>
          <w:rFonts w:hint="eastAsia" w:ascii="宋体" w:hAnsi="宋体" w:eastAsia="宋体" w:cs="宋体"/>
          <w:b/>
          <w:color w:val="auto"/>
          <w:sz w:val="24"/>
          <w:szCs w:val="24"/>
          <w:highlight w:val="none"/>
        </w:rPr>
        <w:t>32.签订合同</w:t>
      </w:r>
      <w:bookmarkEnd w:id="93"/>
      <w:bookmarkEnd w:id="94"/>
      <w:bookmarkEnd w:id="95"/>
      <w:bookmarkEnd w:id="96"/>
    </w:p>
    <w:p>
      <w:pPr>
        <w:pStyle w:val="12"/>
        <w:pageBreakBefore w:val="0"/>
        <w:kinsoku/>
        <w:wordWrap w:val="0"/>
        <w:overflowPunct/>
        <w:topLinePunct w:val="0"/>
        <w:bidi w:val="0"/>
        <w:spacing w:line="336"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32.1成交供应商在收到成交通知书后，按成交通知书中规定的时间、地点与采购人签订合同。</w:t>
      </w:r>
    </w:p>
    <w:p>
      <w:pPr>
        <w:pStyle w:val="12"/>
        <w:pageBreakBefore w:val="0"/>
        <w:kinsoku/>
        <w:wordWrap w:val="0"/>
        <w:overflowPunct/>
        <w:topLinePunct w:val="0"/>
        <w:bidi w:val="0"/>
        <w:spacing w:line="336"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32.2如成交供应商不按成交通知书的规定签订合同，则按成交供应商违约处理，采购代理机构对成交供应商竞标的全部竞标保证金将不予退还，同时还应对采购人承担违约责任。</w:t>
      </w:r>
    </w:p>
    <w:p>
      <w:pPr>
        <w:pStyle w:val="12"/>
        <w:pageBreakBefore w:val="0"/>
        <w:kinsoku/>
        <w:wordWrap w:val="0"/>
        <w:overflowPunct/>
        <w:topLinePunct w:val="0"/>
        <w:bidi w:val="0"/>
        <w:spacing w:line="336"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32.3合同签订必须按《中华人民共和国政府采购法》、《政府采购非招标采购方式管理办法》和《中华人民共和国合同法》，否则由此造成的后果由采购人负责。</w:t>
      </w:r>
    </w:p>
    <w:p>
      <w:pPr>
        <w:pStyle w:val="12"/>
        <w:pageBreakBefore w:val="0"/>
        <w:kinsoku/>
        <w:wordWrap w:val="0"/>
        <w:overflowPunct/>
        <w:topLinePunct w:val="0"/>
        <w:bidi w:val="0"/>
        <w:spacing w:line="336" w:lineRule="auto"/>
        <w:ind w:left="6" w:firstLine="439"/>
        <w:rPr>
          <w:rFonts w:hint="eastAsia" w:ascii="宋体" w:hAnsi="宋体" w:eastAsia="宋体" w:cs="宋体"/>
          <w:color w:val="auto"/>
          <w:sz w:val="24"/>
          <w:szCs w:val="24"/>
          <w:highlight w:val="none"/>
        </w:rPr>
      </w:pPr>
      <w:bookmarkStart w:id="97" w:name="_Toc205632338"/>
      <w:bookmarkStart w:id="98" w:name="_Toc290489558"/>
      <w:bookmarkStart w:id="99" w:name="_Toc290489636"/>
      <w:r>
        <w:rPr>
          <w:rFonts w:hint="eastAsia" w:ascii="宋体" w:hAnsi="宋体" w:eastAsia="宋体" w:cs="宋体"/>
          <w:color w:val="auto"/>
          <w:sz w:val="24"/>
          <w:szCs w:val="24"/>
          <w:highlight w:val="none"/>
        </w:rPr>
        <w:t>32.4成交供应商因不可抗力或者自身原因不能履行采购合同的，</w:t>
      </w:r>
      <w:bookmarkEnd w:id="97"/>
      <w:r>
        <w:rPr>
          <w:rFonts w:hint="eastAsia" w:ascii="宋体" w:hAnsi="宋体" w:eastAsia="宋体" w:cs="宋体"/>
          <w:color w:val="auto"/>
          <w:sz w:val="24"/>
          <w:szCs w:val="24"/>
          <w:highlight w:val="none"/>
        </w:rPr>
        <w:t>采购单位可以从合格的成交候选人中另行确定成交供应商，没有合格的成交候选人的，重新开展采购活动。《政府采购法实施条例》第四十九条中标或者成交供应商拒绝与采购人签订合同的，采购人可以按照评审报告推荐的中标或者成交候选人名单排序，确定下一候选人为中标或者成交供应商，也可以重新开展政府采购活动。但由于排名第一的成交候选供应商放弃成交资格或未按规定签订合同，造成本项目的合同成交价提高（指采购人选择第二成交候选供应商为成交人后导致成交金额高于违约供应商的成交价），所超出违约供应商的成交价差额部分由违约供应商承担赔偿责任。</w:t>
      </w:r>
      <w:bookmarkEnd w:id="98"/>
      <w:bookmarkEnd w:id="99"/>
    </w:p>
    <w:p>
      <w:pPr>
        <w:pStyle w:val="12"/>
        <w:pageBreakBefore w:val="0"/>
        <w:kinsoku/>
        <w:wordWrap w:val="0"/>
        <w:overflowPunct/>
        <w:topLinePunct w:val="0"/>
        <w:bidi w:val="0"/>
        <w:spacing w:line="336" w:lineRule="auto"/>
        <w:outlineLvl w:val="2"/>
        <w:rPr>
          <w:rFonts w:hint="eastAsia" w:ascii="宋体" w:hAnsi="宋体" w:eastAsia="宋体" w:cs="宋体"/>
          <w:b/>
          <w:color w:val="auto"/>
          <w:sz w:val="24"/>
          <w:szCs w:val="24"/>
          <w:highlight w:val="none"/>
        </w:rPr>
      </w:pPr>
      <w:bookmarkStart w:id="100" w:name="_Toc15830"/>
      <w:bookmarkStart w:id="101" w:name="_Toc300675947"/>
      <w:bookmarkStart w:id="102" w:name="_Toc300676157"/>
      <w:bookmarkStart w:id="103" w:name="_Toc156106964"/>
      <w:r>
        <w:rPr>
          <w:rFonts w:hint="eastAsia" w:ascii="宋体" w:hAnsi="宋体" w:eastAsia="宋体" w:cs="宋体"/>
          <w:b/>
          <w:color w:val="auto"/>
          <w:sz w:val="24"/>
          <w:szCs w:val="24"/>
          <w:highlight w:val="none"/>
        </w:rPr>
        <w:t>33.履约保证金</w:t>
      </w:r>
      <w:bookmarkEnd w:id="100"/>
      <w:bookmarkEnd w:id="101"/>
      <w:bookmarkEnd w:id="102"/>
      <w:bookmarkEnd w:id="103"/>
    </w:p>
    <w:p>
      <w:pPr>
        <w:pStyle w:val="12"/>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bookmarkStart w:id="104" w:name="_Toc300676158"/>
      <w:bookmarkStart w:id="105" w:name="_Toc156106965"/>
      <w:bookmarkStart w:id="106" w:name="_Toc300675948"/>
      <w:r>
        <w:rPr>
          <w:rFonts w:hint="eastAsia" w:ascii="宋体" w:hAnsi="宋体" w:eastAsia="宋体" w:cs="宋体"/>
          <w:color w:val="auto"/>
          <w:sz w:val="24"/>
          <w:szCs w:val="24"/>
          <w:highlight w:val="none"/>
          <w:lang w:eastAsia="zh-CN"/>
        </w:rPr>
        <w:t>无</w:t>
      </w:r>
      <w:r>
        <w:rPr>
          <w:rFonts w:hint="eastAsia" w:ascii="宋体" w:hAnsi="宋体" w:eastAsia="宋体" w:cs="宋体"/>
          <w:color w:val="auto"/>
          <w:sz w:val="24"/>
          <w:szCs w:val="24"/>
          <w:highlight w:val="none"/>
        </w:rPr>
        <w:t>。</w:t>
      </w:r>
    </w:p>
    <w:p>
      <w:pPr>
        <w:pStyle w:val="43"/>
        <w:pageBreakBefore w:val="0"/>
        <w:kinsoku/>
        <w:wordWrap w:val="0"/>
        <w:overflowPunct/>
        <w:topLinePunct w:val="0"/>
        <w:bidi w:val="0"/>
        <w:spacing w:line="336" w:lineRule="auto"/>
        <w:outlineLvl w:val="1"/>
        <w:rPr>
          <w:rFonts w:hint="eastAsia" w:ascii="宋体" w:hAnsi="宋体" w:eastAsia="宋体" w:cs="宋体"/>
          <w:color w:val="auto"/>
          <w:sz w:val="28"/>
          <w:szCs w:val="28"/>
          <w:highlight w:val="none"/>
        </w:rPr>
      </w:pPr>
      <w:bookmarkStart w:id="107" w:name="_Toc17816976"/>
      <w:bookmarkStart w:id="108" w:name="_Toc13082"/>
      <w:bookmarkStart w:id="109" w:name="_Toc17815"/>
      <w:r>
        <w:rPr>
          <w:rFonts w:hint="eastAsia" w:ascii="宋体" w:hAnsi="宋体" w:eastAsia="宋体" w:cs="宋体"/>
          <w:color w:val="auto"/>
          <w:sz w:val="28"/>
          <w:szCs w:val="28"/>
          <w:highlight w:val="none"/>
        </w:rPr>
        <w:t>八、其他事项</w:t>
      </w:r>
      <w:bookmarkEnd w:id="104"/>
      <w:bookmarkEnd w:id="105"/>
      <w:bookmarkEnd w:id="106"/>
      <w:bookmarkEnd w:id="107"/>
      <w:bookmarkEnd w:id="108"/>
      <w:bookmarkEnd w:id="109"/>
    </w:p>
    <w:p>
      <w:pPr>
        <w:pStyle w:val="12"/>
        <w:pageBreakBefore w:val="0"/>
        <w:kinsoku/>
        <w:wordWrap w:val="0"/>
        <w:overflowPunct/>
        <w:topLinePunct w:val="0"/>
        <w:bidi w:val="0"/>
        <w:spacing w:line="336" w:lineRule="auto"/>
        <w:outlineLvl w:val="2"/>
        <w:rPr>
          <w:rFonts w:hint="eastAsia" w:ascii="宋体" w:hAnsi="宋体" w:eastAsia="宋体" w:cs="宋体"/>
          <w:b/>
          <w:bCs/>
          <w:color w:val="auto"/>
          <w:sz w:val="24"/>
          <w:szCs w:val="24"/>
          <w:highlight w:val="none"/>
        </w:rPr>
      </w:pPr>
      <w:bookmarkStart w:id="110" w:name="_Toc27542"/>
      <w:bookmarkStart w:id="111" w:name="_Toc295666041"/>
      <w:bookmarkStart w:id="112" w:name="_Toc295666183"/>
      <w:bookmarkStart w:id="113" w:name="_Toc156106966"/>
      <w:r>
        <w:rPr>
          <w:rFonts w:hint="eastAsia" w:ascii="宋体" w:hAnsi="宋体" w:eastAsia="宋体" w:cs="宋体"/>
          <w:b/>
          <w:bCs/>
          <w:color w:val="auto"/>
          <w:sz w:val="24"/>
          <w:szCs w:val="24"/>
          <w:highlight w:val="none"/>
        </w:rPr>
        <w:t>34.成交服务费</w:t>
      </w:r>
      <w:bookmarkEnd w:id="110"/>
      <w:bookmarkEnd w:id="111"/>
      <w:bookmarkEnd w:id="112"/>
      <w:bookmarkEnd w:id="113"/>
    </w:p>
    <w:p>
      <w:pPr>
        <w:pStyle w:val="8"/>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bookmarkStart w:id="114" w:name="_Toc156106967"/>
      <w:bookmarkStart w:id="115" w:name="_Toc295666043"/>
      <w:bookmarkStart w:id="116" w:name="_Toc295666185"/>
      <w:r>
        <w:rPr>
          <w:rFonts w:hint="eastAsia" w:ascii="宋体" w:hAnsi="宋体" w:eastAsia="宋体" w:cs="宋体"/>
          <w:color w:val="auto"/>
          <w:sz w:val="24"/>
          <w:szCs w:val="24"/>
          <w:highlight w:val="none"/>
        </w:rPr>
        <w:t>34.1本项目代理完成后，由成交单位向采购代理机构支付。</w:t>
      </w:r>
      <w:r>
        <w:rPr>
          <w:rFonts w:hint="eastAsia" w:ascii="宋体" w:hAnsi="宋体" w:eastAsia="宋体" w:cs="宋体"/>
          <w:color w:val="auto"/>
          <w:sz w:val="24"/>
          <w:szCs w:val="24"/>
          <w:highlight w:val="none"/>
          <w:lang w:eastAsia="zh-CN"/>
        </w:rPr>
        <w:t>具体为：根据采购人与代理人签订的《采购代理合同》，本项目代理服务费按国家发展计划委员会计价格[2002]1980号《招标代理服务费管理暂行办法》收费标准及发改价格[2011]534号文的规定（货物类）收取，由成交人在领取成交通知书时以现金或转账方式一次性向招标代理机构支付</w:t>
      </w:r>
      <w:r>
        <w:rPr>
          <w:rFonts w:hint="eastAsia" w:ascii="宋体" w:hAnsi="宋体" w:eastAsia="宋体" w:cs="宋体"/>
          <w:color w:val="auto"/>
          <w:sz w:val="24"/>
          <w:szCs w:val="24"/>
          <w:highlight w:val="none"/>
        </w:rPr>
        <w:t>。</w:t>
      </w:r>
    </w:p>
    <w:bookmarkEnd w:id="114"/>
    <w:bookmarkEnd w:id="115"/>
    <w:bookmarkEnd w:id="116"/>
    <w:p>
      <w:pPr>
        <w:pStyle w:val="12"/>
        <w:pageBreakBefore w:val="0"/>
        <w:kinsoku/>
        <w:wordWrap w:val="0"/>
        <w:overflowPunct/>
        <w:topLinePunct w:val="0"/>
        <w:bidi w:val="0"/>
        <w:spacing w:line="336"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代理服务收费标准：</w:t>
      </w:r>
    </w:p>
    <w:tbl>
      <w:tblPr>
        <w:tblStyle w:val="19"/>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1"/>
        <w:gridCol w:w="2079"/>
        <w:gridCol w:w="2068"/>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01" w:type="dxa"/>
            <w:noWrap w:val="0"/>
            <w:vAlign w:val="top"/>
          </w:tcPr>
          <w:p>
            <w:pPr>
              <w:pStyle w:val="12"/>
              <w:pageBreakBefore w:val="0"/>
              <w:kinsoku/>
              <w:wordWrap w:val="0"/>
              <w:overflowPunct/>
              <w:topLinePunct w:val="0"/>
              <w:bidi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338455</wp:posOffset>
                      </wp:positionH>
                      <wp:positionV relativeFrom="paragraph">
                        <wp:posOffset>3175</wp:posOffset>
                      </wp:positionV>
                      <wp:extent cx="1366520" cy="826770"/>
                      <wp:effectExtent l="2540" t="3810" r="2540" b="7620"/>
                      <wp:wrapNone/>
                      <wp:docPr id="1" name="直接连接符 1"/>
                      <wp:cNvGraphicFramePr/>
                      <a:graphic xmlns:a="http://schemas.openxmlformats.org/drawingml/2006/main">
                        <a:graphicData uri="http://schemas.microsoft.com/office/word/2010/wordprocessingShape">
                          <wps:wsp>
                            <wps:cNvCnPr/>
                            <wps:spPr>
                              <a:xfrm>
                                <a:off x="0" y="0"/>
                                <a:ext cx="1366520" cy="8267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65pt;margin-top:0.25pt;height:65.1pt;width:107.6pt;z-index:251659264;mso-width-relative:page;mso-height-relative:page;" filled="f" stroked="t" coordsize="21600,21600" o:gfxdata="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pnnuDUAAAABwEAAA8AAAAAAAAAAQAgAAAAIgAAAGRycy9kb3ducmV2&#10;LnhtbFBLAQIUABQAAAAIAIdO4kBrgaXAAAIAAPcDAAAOAAAAAAAAAAEAIAAAACMBAABkcnMvZTJv&#10;RG9jLnhtbFBLBQYAAAAABgAGAFkBAACVBQAAAAA=&#10;">
                      <v:fill on="f" focussize="0,0"/>
                      <v:stroke color="#000000" joinstyle="round"/>
                      <v:imagedata o:title=""/>
                      <o:lock v:ext="edit" aspectratio="f"/>
                    </v:line>
                  </w:pict>
                </mc:Fallback>
              </mc:AlternateContent>
            </w:r>
            <w:r>
              <w:rPr>
                <w:rFonts w:hint="eastAsia" w:ascii="宋体" w:hAnsi="宋体" w:eastAsia="宋体" w:cs="宋体"/>
                <w:color w:val="auto"/>
                <w:sz w:val="24"/>
                <w:szCs w:val="24"/>
                <w:highlight w:val="none"/>
              </w:rPr>
              <w:t>费率        服务类型</w:t>
            </w:r>
          </w:p>
          <w:p>
            <w:pPr>
              <w:pStyle w:val="12"/>
              <w:pageBreakBefore w:val="0"/>
              <w:kinsoku/>
              <w:wordWrap w:val="0"/>
              <w:overflowPunct/>
              <w:topLinePunct w:val="0"/>
              <w:bidi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9525</wp:posOffset>
                      </wp:positionV>
                      <wp:extent cx="1773555" cy="539750"/>
                      <wp:effectExtent l="1270" t="4445" r="15875" b="8255"/>
                      <wp:wrapNone/>
                      <wp:docPr id="2" name="直接连接符 2"/>
                      <wp:cNvGraphicFramePr/>
                      <a:graphic xmlns:a="http://schemas.openxmlformats.org/drawingml/2006/main">
                        <a:graphicData uri="http://schemas.microsoft.com/office/word/2010/wordprocessingShape">
                          <wps:wsp>
                            <wps:cNvCnPr/>
                            <wps:spPr>
                              <a:xfrm>
                                <a:off x="0" y="0"/>
                                <a:ext cx="1773555" cy="5397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pt;margin-top:0.75pt;height:42.5pt;width:139.65pt;z-index:251660288;mso-width-relative:page;mso-height-relative:page;" filled="f" stroked="t" coordsize="21600,21600" o:gfxdata="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RATj91gAAAAgBAAAPAAAAAAAAAAEAIAAAACIAAABkcnMvZG93bnJl&#10;di54bWxQSwECFAAUAAAACACHTuJAh1whvf8BAAD3AwAADgAAAAAAAAABACAAAAAlAQAAZHJzL2Uy&#10;b0RvYy54bWxQSwUGAAAAAAYABgBZAQAAlgUAAAAA&#10;">
                      <v:fill on="f" focussize="0,0"/>
                      <v:stroke color="#000000" joinstyle="round"/>
                      <v:imagedata o:title=""/>
                      <o:lock v:ext="edit" aspectratio="f"/>
                    </v:line>
                  </w:pict>
                </mc:Fallback>
              </mc:AlternateContent>
            </w:r>
          </w:p>
          <w:p>
            <w:pPr>
              <w:pStyle w:val="12"/>
              <w:pageBreakBefore w:val="0"/>
              <w:kinsoku/>
              <w:wordWrap w:val="0"/>
              <w:overflowPunct/>
              <w:topLinePunct w:val="0"/>
              <w:bidi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成交金额（万元）</w:t>
            </w:r>
          </w:p>
        </w:tc>
        <w:tc>
          <w:tcPr>
            <w:tcW w:w="2079" w:type="dxa"/>
            <w:noWrap w:val="0"/>
            <w:vAlign w:val="center"/>
          </w:tcPr>
          <w:p>
            <w:pPr>
              <w:pStyle w:val="12"/>
              <w:pageBreakBefore w:val="0"/>
              <w:kinsoku/>
              <w:wordWrap w:val="0"/>
              <w:overflowPunct/>
              <w:topLinePunct w:val="0"/>
              <w:bidi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货物招标</w:t>
            </w:r>
          </w:p>
        </w:tc>
        <w:tc>
          <w:tcPr>
            <w:tcW w:w="2068" w:type="dxa"/>
            <w:noWrap w:val="0"/>
            <w:vAlign w:val="center"/>
          </w:tcPr>
          <w:p>
            <w:pPr>
              <w:pStyle w:val="12"/>
              <w:pageBreakBefore w:val="0"/>
              <w:kinsoku/>
              <w:wordWrap w:val="0"/>
              <w:overflowPunct/>
              <w:topLinePunct w:val="0"/>
              <w:bidi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服务招标</w:t>
            </w:r>
          </w:p>
        </w:tc>
        <w:tc>
          <w:tcPr>
            <w:tcW w:w="2392" w:type="dxa"/>
            <w:noWrap w:val="0"/>
            <w:vAlign w:val="center"/>
          </w:tcPr>
          <w:p>
            <w:pPr>
              <w:pStyle w:val="12"/>
              <w:pageBreakBefore w:val="0"/>
              <w:kinsoku/>
              <w:wordWrap w:val="0"/>
              <w:overflowPunct/>
              <w:topLinePunct w:val="0"/>
              <w:bidi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1" w:type="dxa"/>
            <w:noWrap w:val="0"/>
            <w:vAlign w:val="top"/>
          </w:tcPr>
          <w:p>
            <w:pPr>
              <w:pStyle w:val="12"/>
              <w:pageBreakBefore w:val="0"/>
              <w:kinsoku/>
              <w:wordWrap w:val="0"/>
              <w:overflowPunct/>
              <w:topLinePunct w:val="0"/>
              <w:bidi w:val="0"/>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100以下</w:t>
            </w:r>
          </w:p>
        </w:tc>
        <w:tc>
          <w:tcPr>
            <w:tcW w:w="2079" w:type="dxa"/>
            <w:noWrap w:val="0"/>
            <w:vAlign w:val="top"/>
          </w:tcPr>
          <w:p>
            <w:pPr>
              <w:pStyle w:val="12"/>
              <w:pageBreakBefore w:val="0"/>
              <w:kinsoku/>
              <w:wordWrap w:val="0"/>
              <w:overflowPunct/>
              <w:topLinePunct w:val="0"/>
              <w:bidi w:val="0"/>
              <w:spacing w:line="336"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068" w:type="dxa"/>
            <w:noWrap w:val="0"/>
            <w:vAlign w:val="top"/>
          </w:tcPr>
          <w:p>
            <w:pPr>
              <w:pStyle w:val="12"/>
              <w:pageBreakBefore w:val="0"/>
              <w:kinsoku/>
              <w:wordWrap w:val="0"/>
              <w:overflowPunct/>
              <w:topLinePunct w:val="0"/>
              <w:bidi w:val="0"/>
              <w:spacing w:line="336"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392" w:type="dxa"/>
            <w:noWrap w:val="0"/>
            <w:vAlign w:val="top"/>
          </w:tcPr>
          <w:p>
            <w:pPr>
              <w:pStyle w:val="12"/>
              <w:pageBreakBefore w:val="0"/>
              <w:kinsoku/>
              <w:wordWrap w:val="0"/>
              <w:overflowPunct/>
              <w:topLinePunct w:val="0"/>
              <w:bidi w:val="0"/>
              <w:spacing w:line="336" w:lineRule="auto"/>
              <w:ind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1" w:type="dxa"/>
            <w:noWrap w:val="0"/>
            <w:vAlign w:val="top"/>
          </w:tcPr>
          <w:p>
            <w:pPr>
              <w:pStyle w:val="12"/>
              <w:pageBreakBefore w:val="0"/>
              <w:kinsoku/>
              <w:wordWrap w:val="0"/>
              <w:overflowPunct/>
              <w:topLinePunct w:val="0"/>
              <w:bidi w:val="0"/>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100-500</w:t>
            </w:r>
          </w:p>
        </w:tc>
        <w:tc>
          <w:tcPr>
            <w:tcW w:w="2079" w:type="dxa"/>
            <w:noWrap w:val="0"/>
            <w:vAlign w:val="top"/>
          </w:tcPr>
          <w:p>
            <w:pPr>
              <w:pStyle w:val="12"/>
              <w:pageBreakBefore w:val="0"/>
              <w:kinsoku/>
              <w:wordWrap w:val="0"/>
              <w:overflowPunct/>
              <w:topLinePunct w:val="0"/>
              <w:bidi w:val="0"/>
              <w:spacing w:line="336"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068" w:type="dxa"/>
            <w:noWrap w:val="0"/>
            <w:vAlign w:val="top"/>
          </w:tcPr>
          <w:p>
            <w:pPr>
              <w:pStyle w:val="12"/>
              <w:pageBreakBefore w:val="0"/>
              <w:kinsoku/>
              <w:wordWrap w:val="0"/>
              <w:overflowPunct/>
              <w:topLinePunct w:val="0"/>
              <w:bidi w:val="0"/>
              <w:spacing w:line="336"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2392" w:type="dxa"/>
            <w:noWrap w:val="0"/>
            <w:vAlign w:val="top"/>
          </w:tcPr>
          <w:p>
            <w:pPr>
              <w:pStyle w:val="12"/>
              <w:pageBreakBefore w:val="0"/>
              <w:kinsoku/>
              <w:wordWrap w:val="0"/>
              <w:overflowPunct/>
              <w:topLinePunct w:val="0"/>
              <w:bidi w:val="0"/>
              <w:spacing w:line="336" w:lineRule="auto"/>
              <w:ind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1" w:type="dxa"/>
            <w:noWrap w:val="0"/>
            <w:vAlign w:val="top"/>
          </w:tcPr>
          <w:p>
            <w:pPr>
              <w:pStyle w:val="12"/>
              <w:pageBreakBefore w:val="0"/>
              <w:kinsoku/>
              <w:wordWrap w:val="0"/>
              <w:overflowPunct/>
              <w:topLinePunct w:val="0"/>
              <w:bidi w:val="0"/>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500-1000</w:t>
            </w:r>
          </w:p>
        </w:tc>
        <w:tc>
          <w:tcPr>
            <w:tcW w:w="2079" w:type="dxa"/>
            <w:noWrap w:val="0"/>
            <w:vAlign w:val="top"/>
          </w:tcPr>
          <w:p>
            <w:pPr>
              <w:pStyle w:val="12"/>
              <w:pageBreakBefore w:val="0"/>
              <w:kinsoku/>
              <w:wordWrap w:val="0"/>
              <w:overflowPunct/>
              <w:topLinePunct w:val="0"/>
              <w:bidi w:val="0"/>
              <w:spacing w:line="336"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2068" w:type="dxa"/>
            <w:noWrap w:val="0"/>
            <w:vAlign w:val="top"/>
          </w:tcPr>
          <w:p>
            <w:pPr>
              <w:pStyle w:val="12"/>
              <w:pageBreakBefore w:val="0"/>
              <w:kinsoku/>
              <w:wordWrap w:val="0"/>
              <w:overflowPunct/>
              <w:topLinePunct w:val="0"/>
              <w:bidi w:val="0"/>
              <w:spacing w:line="336"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0.45%</w:t>
            </w:r>
          </w:p>
        </w:tc>
        <w:tc>
          <w:tcPr>
            <w:tcW w:w="2392" w:type="dxa"/>
            <w:noWrap w:val="0"/>
            <w:vAlign w:val="top"/>
          </w:tcPr>
          <w:p>
            <w:pPr>
              <w:pStyle w:val="12"/>
              <w:pageBreakBefore w:val="0"/>
              <w:kinsoku/>
              <w:wordWrap w:val="0"/>
              <w:overflowPunct/>
              <w:topLinePunct w:val="0"/>
              <w:bidi w:val="0"/>
              <w:spacing w:line="336" w:lineRule="auto"/>
              <w:ind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1" w:type="dxa"/>
            <w:noWrap w:val="0"/>
            <w:vAlign w:val="top"/>
          </w:tcPr>
          <w:p>
            <w:pPr>
              <w:pStyle w:val="12"/>
              <w:pageBreakBefore w:val="0"/>
              <w:kinsoku/>
              <w:wordWrap w:val="0"/>
              <w:overflowPunct/>
              <w:topLinePunct w:val="0"/>
              <w:bidi w:val="0"/>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1000-5000</w:t>
            </w:r>
          </w:p>
        </w:tc>
        <w:tc>
          <w:tcPr>
            <w:tcW w:w="2079" w:type="dxa"/>
            <w:noWrap w:val="0"/>
            <w:vAlign w:val="top"/>
          </w:tcPr>
          <w:p>
            <w:pPr>
              <w:pStyle w:val="12"/>
              <w:pageBreakBefore w:val="0"/>
              <w:kinsoku/>
              <w:wordWrap w:val="0"/>
              <w:overflowPunct/>
              <w:topLinePunct w:val="0"/>
              <w:bidi w:val="0"/>
              <w:spacing w:line="336"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2068" w:type="dxa"/>
            <w:noWrap w:val="0"/>
            <w:vAlign w:val="top"/>
          </w:tcPr>
          <w:p>
            <w:pPr>
              <w:pStyle w:val="12"/>
              <w:pageBreakBefore w:val="0"/>
              <w:kinsoku/>
              <w:wordWrap w:val="0"/>
              <w:overflowPunct/>
              <w:topLinePunct w:val="0"/>
              <w:bidi w:val="0"/>
              <w:spacing w:line="336"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c>
          <w:tcPr>
            <w:tcW w:w="2392" w:type="dxa"/>
            <w:noWrap w:val="0"/>
            <w:vAlign w:val="top"/>
          </w:tcPr>
          <w:p>
            <w:pPr>
              <w:pStyle w:val="12"/>
              <w:pageBreakBefore w:val="0"/>
              <w:kinsoku/>
              <w:wordWrap w:val="0"/>
              <w:overflowPunct/>
              <w:topLinePunct w:val="0"/>
              <w:bidi w:val="0"/>
              <w:spacing w:line="336" w:lineRule="auto"/>
              <w:ind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1" w:type="dxa"/>
            <w:noWrap w:val="0"/>
            <w:vAlign w:val="top"/>
          </w:tcPr>
          <w:p>
            <w:pPr>
              <w:pStyle w:val="12"/>
              <w:pageBreakBefore w:val="0"/>
              <w:kinsoku/>
              <w:wordWrap w:val="0"/>
              <w:overflowPunct/>
              <w:topLinePunct w:val="0"/>
              <w:bidi w:val="0"/>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5000-10000</w:t>
            </w:r>
          </w:p>
        </w:tc>
        <w:tc>
          <w:tcPr>
            <w:tcW w:w="2079" w:type="dxa"/>
            <w:noWrap w:val="0"/>
            <w:vAlign w:val="top"/>
          </w:tcPr>
          <w:p>
            <w:pPr>
              <w:pStyle w:val="12"/>
              <w:pageBreakBefore w:val="0"/>
              <w:kinsoku/>
              <w:wordWrap w:val="0"/>
              <w:overflowPunct/>
              <w:topLinePunct w:val="0"/>
              <w:bidi w:val="0"/>
              <w:spacing w:line="336"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c>
          <w:tcPr>
            <w:tcW w:w="2068" w:type="dxa"/>
            <w:noWrap w:val="0"/>
            <w:vAlign w:val="top"/>
          </w:tcPr>
          <w:p>
            <w:pPr>
              <w:pStyle w:val="12"/>
              <w:pageBreakBefore w:val="0"/>
              <w:kinsoku/>
              <w:wordWrap w:val="0"/>
              <w:overflowPunct/>
              <w:topLinePunct w:val="0"/>
              <w:bidi w:val="0"/>
              <w:spacing w:line="336"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w:t>
            </w:r>
          </w:p>
        </w:tc>
        <w:tc>
          <w:tcPr>
            <w:tcW w:w="2392" w:type="dxa"/>
            <w:noWrap w:val="0"/>
            <w:vAlign w:val="top"/>
          </w:tcPr>
          <w:p>
            <w:pPr>
              <w:pStyle w:val="12"/>
              <w:pageBreakBefore w:val="0"/>
              <w:kinsoku/>
              <w:wordWrap w:val="0"/>
              <w:overflowPunct/>
              <w:topLinePunct w:val="0"/>
              <w:bidi w:val="0"/>
              <w:spacing w:line="336" w:lineRule="auto"/>
              <w:ind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1" w:type="dxa"/>
            <w:noWrap w:val="0"/>
            <w:vAlign w:val="top"/>
          </w:tcPr>
          <w:p>
            <w:pPr>
              <w:pStyle w:val="12"/>
              <w:pageBreakBefore w:val="0"/>
              <w:kinsoku/>
              <w:wordWrap w:val="0"/>
              <w:overflowPunct/>
              <w:topLinePunct w:val="0"/>
              <w:bidi w:val="0"/>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10000-100000</w:t>
            </w:r>
          </w:p>
        </w:tc>
        <w:tc>
          <w:tcPr>
            <w:tcW w:w="2079" w:type="dxa"/>
            <w:noWrap w:val="0"/>
            <w:vAlign w:val="top"/>
          </w:tcPr>
          <w:p>
            <w:pPr>
              <w:pStyle w:val="12"/>
              <w:pageBreakBefore w:val="0"/>
              <w:kinsoku/>
              <w:wordWrap w:val="0"/>
              <w:overflowPunct/>
              <w:topLinePunct w:val="0"/>
              <w:bidi w:val="0"/>
              <w:spacing w:line="336"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w:t>
            </w:r>
          </w:p>
        </w:tc>
        <w:tc>
          <w:tcPr>
            <w:tcW w:w="2068" w:type="dxa"/>
            <w:noWrap w:val="0"/>
            <w:vAlign w:val="top"/>
          </w:tcPr>
          <w:p>
            <w:pPr>
              <w:pStyle w:val="12"/>
              <w:pageBreakBefore w:val="0"/>
              <w:kinsoku/>
              <w:wordWrap w:val="0"/>
              <w:overflowPunct/>
              <w:topLinePunct w:val="0"/>
              <w:bidi w:val="0"/>
              <w:spacing w:line="336"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w:t>
            </w:r>
          </w:p>
        </w:tc>
        <w:tc>
          <w:tcPr>
            <w:tcW w:w="2392" w:type="dxa"/>
            <w:noWrap w:val="0"/>
            <w:vAlign w:val="top"/>
          </w:tcPr>
          <w:p>
            <w:pPr>
              <w:pStyle w:val="12"/>
              <w:pageBreakBefore w:val="0"/>
              <w:kinsoku/>
              <w:wordWrap w:val="0"/>
              <w:overflowPunct/>
              <w:topLinePunct w:val="0"/>
              <w:bidi w:val="0"/>
              <w:spacing w:line="336" w:lineRule="auto"/>
              <w:ind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1" w:type="dxa"/>
            <w:noWrap w:val="0"/>
            <w:vAlign w:val="top"/>
          </w:tcPr>
          <w:p>
            <w:pPr>
              <w:pStyle w:val="12"/>
              <w:pageBreakBefore w:val="0"/>
              <w:kinsoku/>
              <w:wordWrap w:val="0"/>
              <w:overflowPunct/>
              <w:topLinePunct w:val="0"/>
              <w:bidi w:val="0"/>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100000以上</w:t>
            </w:r>
          </w:p>
        </w:tc>
        <w:tc>
          <w:tcPr>
            <w:tcW w:w="2079" w:type="dxa"/>
            <w:noWrap w:val="0"/>
            <w:vAlign w:val="top"/>
          </w:tcPr>
          <w:p>
            <w:pPr>
              <w:pStyle w:val="12"/>
              <w:pageBreakBefore w:val="0"/>
              <w:kinsoku/>
              <w:wordWrap w:val="0"/>
              <w:overflowPunct/>
              <w:topLinePunct w:val="0"/>
              <w:bidi w:val="0"/>
              <w:spacing w:line="336"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0.01%</w:t>
            </w:r>
          </w:p>
        </w:tc>
        <w:tc>
          <w:tcPr>
            <w:tcW w:w="2068" w:type="dxa"/>
            <w:noWrap w:val="0"/>
            <w:vAlign w:val="top"/>
          </w:tcPr>
          <w:p>
            <w:pPr>
              <w:pStyle w:val="12"/>
              <w:pageBreakBefore w:val="0"/>
              <w:kinsoku/>
              <w:wordWrap w:val="0"/>
              <w:overflowPunct/>
              <w:topLinePunct w:val="0"/>
              <w:bidi w:val="0"/>
              <w:spacing w:line="336"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0.01%</w:t>
            </w:r>
          </w:p>
        </w:tc>
        <w:tc>
          <w:tcPr>
            <w:tcW w:w="2392" w:type="dxa"/>
            <w:noWrap w:val="0"/>
            <w:vAlign w:val="top"/>
          </w:tcPr>
          <w:p>
            <w:pPr>
              <w:pStyle w:val="12"/>
              <w:pageBreakBefore w:val="0"/>
              <w:kinsoku/>
              <w:wordWrap w:val="0"/>
              <w:overflowPunct/>
              <w:topLinePunct w:val="0"/>
              <w:bidi w:val="0"/>
              <w:spacing w:line="336" w:lineRule="auto"/>
              <w:ind w:firstLine="960" w:firstLineChars="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0.01%</w:t>
            </w:r>
          </w:p>
        </w:tc>
      </w:tr>
    </w:tbl>
    <w:p>
      <w:pPr>
        <w:pStyle w:val="12"/>
        <w:pageBreakBefore w:val="0"/>
        <w:kinsoku/>
        <w:wordWrap w:val="0"/>
        <w:overflowPunct/>
        <w:topLinePunct w:val="0"/>
        <w:bidi w:val="0"/>
        <w:spacing w:line="336"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注：采购代理服务收费按差额定率累进法计算。</w:t>
      </w:r>
    </w:p>
    <w:p>
      <w:pPr>
        <w:pStyle w:val="12"/>
        <w:pageBreakBefore w:val="0"/>
        <w:kinsoku/>
        <w:wordWrap w:val="0"/>
        <w:overflowPunct/>
        <w:topLinePunct w:val="0"/>
        <w:bidi w:val="0"/>
        <w:spacing w:line="336"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例如：某工程招标代理业务中标金额为6000万元，计算采购代理服务收费额如下：</w:t>
      </w:r>
    </w:p>
    <w:p>
      <w:pPr>
        <w:pStyle w:val="12"/>
        <w:pageBreakBefore w:val="0"/>
        <w:kinsoku/>
        <w:wordWrap w:val="0"/>
        <w:overflowPunct/>
        <w:topLinePunct w:val="0"/>
        <w:bidi w:val="0"/>
        <w:spacing w:line="336"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100万元×1.0%=1万元</w:t>
      </w:r>
    </w:p>
    <w:p>
      <w:pPr>
        <w:pStyle w:val="12"/>
        <w:pageBreakBefore w:val="0"/>
        <w:kinsoku/>
        <w:wordWrap w:val="0"/>
        <w:overflowPunct/>
        <w:topLinePunct w:val="0"/>
        <w:bidi w:val="0"/>
        <w:spacing w:line="336"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（500-100）万元×0.7%=2.8万元</w:t>
      </w:r>
    </w:p>
    <w:p>
      <w:pPr>
        <w:pStyle w:val="12"/>
        <w:pageBreakBefore w:val="0"/>
        <w:kinsoku/>
        <w:wordWrap w:val="0"/>
        <w:overflowPunct/>
        <w:topLinePunct w:val="0"/>
        <w:bidi w:val="0"/>
        <w:spacing w:line="336"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（1000-500）万元×0.55%=2.75万元</w:t>
      </w:r>
    </w:p>
    <w:p>
      <w:pPr>
        <w:pStyle w:val="12"/>
        <w:pageBreakBefore w:val="0"/>
        <w:kinsoku/>
        <w:wordWrap w:val="0"/>
        <w:overflowPunct/>
        <w:topLinePunct w:val="0"/>
        <w:bidi w:val="0"/>
        <w:spacing w:line="336"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（5000-1000）万元×0.35%=14万元</w:t>
      </w:r>
    </w:p>
    <w:p>
      <w:pPr>
        <w:pStyle w:val="12"/>
        <w:pageBreakBefore w:val="0"/>
        <w:kinsoku/>
        <w:wordWrap w:val="0"/>
        <w:overflowPunct/>
        <w:topLinePunct w:val="0"/>
        <w:bidi w:val="0"/>
        <w:spacing w:line="336"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（6000-5000）万元×0.2%=2万元</w:t>
      </w:r>
    </w:p>
    <w:p>
      <w:pPr>
        <w:pStyle w:val="8"/>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合计收费=1+2.8+2.75+14+2=22.55（万元）</w:t>
      </w:r>
    </w:p>
    <w:p>
      <w:pPr>
        <w:pStyle w:val="12"/>
        <w:pageBreakBefore w:val="0"/>
        <w:kinsoku/>
        <w:wordWrap w:val="0"/>
        <w:overflowPunct/>
        <w:topLinePunct w:val="0"/>
        <w:bidi w:val="0"/>
        <w:spacing w:line="336" w:lineRule="auto"/>
        <w:rPr>
          <w:rFonts w:hint="eastAsia" w:ascii="宋体" w:hAnsi="宋体" w:eastAsia="宋体" w:cs="宋体"/>
          <w:b/>
          <w:color w:val="auto"/>
          <w:sz w:val="24"/>
          <w:szCs w:val="24"/>
          <w:highlight w:val="none"/>
        </w:rPr>
      </w:pPr>
      <w:bookmarkStart w:id="117" w:name="_Toc30072"/>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.解释权</w:t>
      </w:r>
      <w:bookmarkEnd w:id="117"/>
    </w:p>
    <w:p>
      <w:pPr>
        <w:pStyle w:val="12"/>
        <w:pageBreakBefore w:val="0"/>
        <w:kinsoku/>
        <w:wordWrap w:val="0"/>
        <w:overflowPunct/>
        <w:topLinePunct w:val="0"/>
        <w:bidi w:val="0"/>
        <w:spacing w:line="336"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.1本谈判采购文件是根据国家有关法律、法规以及政府采购管理有关规定和参照国际惯例编制，解释权属本采购代理机构。</w:t>
      </w:r>
    </w:p>
    <w:p>
      <w:pPr>
        <w:pStyle w:val="12"/>
        <w:pageBreakBefore w:val="0"/>
        <w:kinsoku/>
        <w:wordWrap w:val="0"/>
        <w:overflowPunct/>
        <w:topLinePunct w:val="0"/>
        <w:bidi w:val="0"/>
        <w:spacing w:line="336" w:lineRule="auto"/>
        <w:rPr>
          <w:rFonts w:hint="eastAsia" w:ascii="宋体" w:hAnsi="宋体" w:eastAsia="宋体" w:cs="宋体"/>
          <w:b/>
          <w:bCs/>
          <w:color w:val="auto"/>
          <w:sz w:val="24"/>
          <w:szCs w:val="24"/>
          <w:highlight w:val="none"/>
        </w:rPr>
      </w:pPr>
      <w:bookmarkStart w:id="118" w:name="_Toc16514"/>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 重新采购</w:t>
      </w:r>
      <w:bookmarkEnd w:id="118"/>
    </w:p>
    <w:p>
      <w:pPr>
        <w:pStyle w:val="12"/>
        <w:pageBreakBefore w:val="0"/>
        <w:kinsoku/>
        <w:wordWrap w:val="0"/>
        <w:overflowPunct/>
        <w:topLinePunct w:val="0"/>
        <w:bidi w:val="0"/>
        <w:spacing w:line="336" w:lineRule="auto"/>
        <w:ind w:firstLine="420"/>
        <w:rPr>
          <w:rFonts w:hint="eastAsia" w:ascii="宋体" w:hAnsi="宋体" w:eastAsia="宋体" w:cs="宋体"/>
          <w:color w:val="auto"/>
          <w:sz w:val="24"/>
          <w:szCs w:val="24"/>
          <w:highlight w:val="none"/>
        </w:rPr>
      </w:pPr>
      <w:bookmarkStart w:id="119" w:name="_Toc9078"/>
      <w:bookmarkStart w:id="120" w:name="_Toc8556"/>
      <w:bookmarkStart w:id="121" w:name="_Toc24153"/>
      <w:r>
        <w:rPr>
          <w:rFonts w:hint="eastAsia" w:ascii="宋体" w:hAnsi="宋体" w:eastAsia="宋体" w:cs="宋体"/>
          <w:color w:val="auto"/>
          <w:sz w:val="24"/>
          <w:szCs w:val="24"/>
          <w:highlight w:val="none"/>
        </w:rPr>
        <w:t>35.1 有下列情形之一的，应予以重新采购：</w:t>
      </w:r>
      <w:bookmarkEnd w:id="119"/>
      <w:bookmarkEnd w:id="120"/>
      <w:bookmarkEnd w:id="121"/>
    </w:p>
    <w:p>
      <w:pPr>
        <w:pStyle w:val="12"/>
        <w:pageBreakBefore w:val="0"/>
        <w:kinsoku/>
        <w:wordWrap w:val="0"/>
        <w:overflowPunct/>
        <w:topLinePunct w:val="0"/>
        <w:bidi w:val="0"/>
        <w:spacing w:line="336"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⑴竞标截止时间止，竞标人不足3家的。</w:t>
      </w:r>
    </w:p>
    <w:p>
      <w:pPr>
        <w:pStyle w:val="12"/>
        <w:pageBreakBefore w:val="0"/>
        <w:kinsoku/>
        <w:wordWrap w:val="0"/>
        <w:overflowPunct/>
        <w:topLinePunct w:val="0"/>
        <w:bidi w:val="0"/>
        <w:spacing w:line="336"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⑵符合专业条件的供应商或者对竞争性谈判文件作实质响应的供应商不足三家的；</w:t>
      </w:r>
    </w:p>
    <w:p>
      <w:pPr>
        <w:pStyle w:val="12"/>
        <w:pageBreakBefore w:val="0"/>
        <w:kinsoku/>
        <w:wordWrap w:val="0"/>
        <w:overflowPunct/>
        <w:topLinePunct w:val="0"/>
        <w:bidi w:val="0"/>
        <w:spacing w:line="336"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⑶出现影响采购公正的违法、违规行为的；</w:t>
      </w:r>
    </w:p>
    <w:p>
      <w:pPr>
        <w:pStyle w:val="12"/>
        <w:pageBreakBefore w:val="0"/>
        <w:kinsoku/>
        <w:wordWrap w:val="0"/>
        <w:overflowPunct/>
        <w:topLinePunct w:val="0"/>
        <w:bidi w:val="0"/>
        <w:spacing w:line="336" w:lineRule="auto"/>
        <w:ind w:firstLine="42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⑷因重大变故，采购任务取消的。</w:t>
      </w:r>
    </w:p>
    <w:p>
      <w:pPr>
        <w:pageBreakBefore w:val="0"/>
        <w:kinsoku/>
        <w:wordWrap w:val="0"/>
        <w:overflowPunct/>
        <w:topLinePunct w:val="0"/>
        <w:bidi w:val="0"/>
        <w:adjustRightInd/>
        <w:snapToGrid/>
        <w:spacing w:after="0" w:line="336" w:lineRule="auto"/>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br w:type="page"/>
      </w:r>
    </w:p>
    <w:p>
      <w:pPr>
        <w:pStyle w:val="42"/>
        <w:pageBreakBefore w:val="0"/>
        <w:kinsoku/>
        <w:wordWrap w:val="0"/>
        <w:overflowPunct/>
        <w:topLinePunct w:val="0"/>
        <w:bidi w:val="0"/>
        <w:spacing w:line="336" w:lineRule="auto"/>
        <w:outlineLvl w:val="0"/>
        <w:rPr>
          <w:rFonts w:hint="eastAsia" w:ascii="宋体" w:hAnsi="宋体" w:eastAsia="宋体" w:cs="宋体"/>
          <w:color w:val="auto"/>
          <w:highlight w:val="none"/>
        </w:rPr>
      </w:pPr>
      <w:bookmarkStart w:id="122" w:name="_Toc24348"/>
      <w:bookmarkStart w:id="123" w:name="_Toc29880"/>
      <w:bookmarkStart w:id="124" w:name="_Toc17816977"/>
      <w:r>
        <w:rPr>
          <w:rFonts w:hint="eastAsia" w:ascii="宋体" w:hAnsi="宋体" w:eastAsia="宋体" w:cs="宋体"/>
          <w:color w:val="auto"/>
          <w:highlight w:val="none"/>
        </w:rPr>
        <w:t>第三章</w:t>
      </w:r>
      <w:r>
        <w:rPr>
          <w:rFonts w:hint="eastAsia" w:ascii="宋体" w:hAnsi="宋体" w:eastAsia="宋体" w:cs="宋体"/>
          <w:color w:val="auto"/>
          <w:highlight w:val="none"/>
          <w:lang w:val="en-US" w:eastAsia="zh-CN"/>
        </w:rPr>
        <w:t xml:space="preserve">  货物</w:t>
      </w:r>
      <w:r>
        <w:rPr>
          <w:rFonts w:hint="eastAsia" w:ascii="宋体" w:hAnsi="宋体" w:eastAsia="宋体" w:cs="宋体"/>
          <w:color w:val="auto"/>
          <w:highlight w:val="none"/>
        </w:rPr>
        <w:t>需求一览表</w:t>
      </w:r>
      <w:bookmarkEnd w:id="122"/>
      <w:bookmarkEnd w:id="123"/>
      <w:bookmarkEnd w:id="124"/>
    </w:p>
    <w:p>
      <w:pPr>
        <w:pStyle w:val="42"/>
        <w:pageBreakBefore w:val="0"/>
        <w:kinsoku/>
        <w:wordWrap w:val="0"/>
        <w:overflowPunct/>
        <w:topLinePunct w:val="0"/>
        <w:bidi w:val="0"/>
        <w:spacing w:line="336" w:lineRule="auto"/>
        <w:ind w:firstLine="562" w:firstLineChars="200"/>
        <w:rPr>
          <w:rFonts w:hint="eastAsia" w:ascii="宋体" w:hAnsi="宋体" w:eastAsia="宋体" w:cs="宋体"/>
          <w:color w:val="auto"/>
          <w:sz w:val="28"/>
          <w:szCs w:val="28"/>
          <w:highlight w:val="none"/>
        </w:rPr>
      </w:pPr>
      <w:bookmarkStart w:id="125" w:name="_Toc26450"/>
      <w:r>
        <w:rPr>
          <w:rFonts w:hint="eastAsia" w:ascii="宋体" w:hAnsi="宋体" w:eastAsia="宋体" w:cs="宋体"/>
          <w:color w:val="auto"/>
          <w:sz w:val="28"/>
          <w:szCs w:val="28"/>
          <w:highlight w:val="none"/>
          <w:lang w:eastAsia="zh-CN"/>
        </w:rPr>
        <w:t>货物</w:t>
      </w:r>
      <w:r>
        <w:rPr>
          <w:rFonts w:hint="eastAsia" w:ascii="宋体" w:hAnsi="宋体" w:eastAsia="宋体" w:cs="宋体"/>
          <w:color w:val="auto"/>
          <w:sz w:val="28"/>
          <w:szCs w:val="28"/>
          <w:highlight w:val="none"/>
        </w:rPr>
        <w:t>需求一览表</w:t>
      </w:r>
      <w:bookmarkEnd w:id="125"/>
    </w:p>
    <w:p>
      <w:pPr>
        <w:pStyle w:val="42"/>
        <w:keepNext w:val="0"/>
        <w:keepLines w:val="0"/>
        <w:pageBreakBefore w:val="0"/>
        <w:widowControl/>
        <w:kinsoku/>
        <w:wordWrap w:val="0"/>
        <w:overflowPunct/>
        <w:topLinePunct w:val="0"/>
        <w:autoSpaceDE/>
        <w:autoSpaceDN/>
        <w:bidi w:val="0"/>
        <w:adjustRightInd w:val="0"/>
        <w:snapToGrid w:val="0"/>
        <w:spacing w:line="336" w:lineRule="auto"/>
        <w:ind w:right="425"/>
        <w:jc w:val="left"/>
        <w:textAlignment w:val="auto"/>
        <w:rPr>
          <w:rFonts w:hint="eastAsia" w:ascii="宋体" w:hAnsi="宋体" w:eastAsia="宋体" w:cs="宋体"/>
          <w:b/>
          <w:bCs w:val="0"/>
          <w:color w:val="auto"/>
          <w:sz w:val="24"/>
          <w:szCs w:val="24"/>
          <w:highlight w:val="none"/>
        </w:rPr>
      </w:pPr>
      <w:bookmarkStart w:id="126" w:name="_Toc26004"/>
      <w:r>
        <w:rPr>
          <w:rFonts w:hint="eastAsia" w:ascii="宋体" w:hAnsi="宋体" w:eastAsia="宋体" w:cs="宋体"/>
          <w:b/>
          <w:bCs w:val="0"/>
          <w:color w:val="auto"/>
          <w:sz w:val="24"/>
          <w:szCs w:val="24"/>
          <w:highlight w:val="none"/>
        </w:rPr>
        <w:t>说明:</w:t>
      </w:r>
      <w:bookmarkEnd w:id="126"/>
    </w:p>
    <w:p>
      <w:pPr>
        <w:pStyle w:val="42"/>
        <w:keepNext w:val="0"/>
        <w:keepLines w:val="0"/>
        <w:pageBreakBefore w:val="0"/>
        <w:widowControl/>
        <w:numPr>
          <w:ilvl w:val="0"/>
          <w:numId w:val="1"/>
        </w:numPr>
        <w:kinsoku/>
        <w:wordWrap w:val="0"/>
        <w:overflowPunct/>
        <w:topLinePunct w:val="0"/>
        <w:autoSpaceDE/>
        <w:autoSpaceDN/>
        <w:bidi w:val="0"/>
        <w:adjustRightInd w:val="0"/>
        <w:snapToGrid w:val="0"/>
        <w:spacing w:line="336" w:lineRule="auto"/>
        <w:ind w:right="425" w:rightChars="0" w:firstLine="482" w:firstLineChars="200"/>
        <w:jc w:val="left"/>
        <w:textAlignment w:val="auto"/>
        <w:rPr>
          <w:rFonts w:hint="eastAsia" w:ascii="宋体" w:hAnsi="宋体" w:eastAsia="宋体" w:cs="宋体"/>
          <w:b/>
          <w:bCs w:val="0"/>
          <w:color w:val="auto"/>
          <w:sz w:val="24"/>
          <w:szCs w:val="24"/>
          <w:highlight w:val="none"/>
        </w:rPr>
      </w:pPr>
      <w:bookmarkStart w:id="127" w:name="_Toc9869"/>
      <w:r>
        <w:rPr>
          <w:rFonts w:hint="eastAsia" w:ascii="宋体" w:hAnsi="宋体" w:eastAsia="宋体" w:cs="宋体"/>
          <w:b/>
          <w:bCs w:val="0"/>
          <w:color w:val="auto"/>
          <w:sz w:val="24"/>
          <w:szCs w:val="24"/>
          <w:highlight w:val="none"/>
        </w:rPr>
        <w:t>▲本一览表中的规格、技术参数及配置要求仅起参考作用，竞标人可选用其他品牌型号替代，但这些替代的品牌型号要实质上相当于或优于参考规格、技术参数及配置要求。</w:t>
      </w:r>
      <w:bookmarkEnd w:id="127"/>
    </w:p>
    <w:p>
      <w:pPr>
        <w:pStyle w:val="42"/>
        <w:keepNext w:val="0"/>
        <w:keepLines w:val="0"/>
        <w:pageBreakBefore w:val="0"/>
        <w:widowControl/>
        <w:numPr>
          <w:ilvl w:val="0"/>
          <w:numId w:val="1"/>
        </w:numPr>
        <w:kinsoku/>
        <w:wordWrap w:val="0"/>
        <w:overflowPunct/>
        <w:topLinePunct w:val="0"/>
        <w:autoSpaceDE/>
        <w:autoSpaceDN/>
        <w:bidi w:val="0"/>
        <w:adjustRightInd w:val="0"/>
        <w:snapToGrid w:val="0"/>
        <w:spacing w:line="336" w:lineRule="auto"/>
        <w:ind w:right="425" w:rightChars="0" w:firstLine="482" w:firstLineChars="200"/>
        <w:jc w:val="left"/>
        <w:textAlignment w:val="auto"/>
        <w:rPr>
          <w:rFonts w:hint="eastAsia" w:ascii="宋体" w:hAnsi="宋体" w:eastAsia="宋体" w:cs="宋体"/>
          <w:b/>
          <w:bCs w:val="0"/>
          <w:color w:val="auto"/>
          <w:sz w:val="24"/>
          <w:szCs w:val="24"/>
          <w:highlight w:val="none"/>
        </w:rPr>
      </w:pPr>
      <w:bookmarkStart w:id="128" w:name="_Toc28434"/>
      <w:r>
        <w:rPr>
          <w:rFonts w:hint="eastAsia" w:ascii="宋体" w:hAnsi="宋体" w:eastAsia="宋体" w:cs="宋体"/>
          <w:b/>
          <w:bCs w:val="0"/>
          <w:color w:val="auto"/>
          <w:sz w:val="24"/>
          <w:szCs w:val="24"/>
          <w:highlight w:val="none"/>
        </w:rPr>
        <w:t>本一览表中参考规格</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技术参数及配置不明确或有误的，或竞标人选有其他品牌型号替代的，请以详细正确的规格、技术参数及配置同时填写竞标报价表和技术规格响应表。</w:t>
      </w:r>
      <w:bookmarkEnd w:id="128"/>
    </w:p>
    <w:p>
      <w:pPr>
        <w:pStyle w:val="42"/>
        <w:keepNext w:val="0"/>
        <w:keepLines w:val="0"/>
        <w:pageBreakBefore w:val="0"/>
        <w:widowControl/>
        <w:numPr>
          <w:ilvl w:val="0"/>
          <w:numId w:val="1"/>
        </w:numPr>
        <w:kinsoku/>
        <w:wordWrap w:val="0"/>
        <w:overflowPunct/>
        <w:topLinePunct w:val="0"/>
        <w:autoSpaceDE/>
        <w:autoSpaceDN/>
        <w:bidi w:val="0"/>
        <w:adjustRightInd w:val="0"/>
        <w:snapToGrid w:val="0"/>
        <w:spacing w:line="336" w:lineRule="auto"/>
        <w:ind w:right="425" w:rightChars="0" w:firstLine="482" w:firstLineChars="200"/>
        <w:jc w:val="left"/>
        <w:textAlignment w:val="auto"/>
        <w:rPr>
          <w:rFonts w:hint="eastAsia" w:ascii="宋体" w:hAnsi="宋体" w:eastAsia="宋体" w:cs="宋体"/>
          <w:b/>
          <w:bCs w:val="0"/>
          <w:color w:val="auto"/>
          <w:sz w:val="24"/>
          <w:szCs w:val="24"/>
          <w:highlight w:val="none"/>
        </w:rPr>
      </w:pPr>
      <w:bookmarkStart w:id="129" w:name="_Toc30500"/>
      <w:r>
        <w:rPr>
          <w:rFonts w:hint="eastAsia" w:ascii="宋体" w:hAnsi="宋体" w:eastAsia="宋体" w:cs="宋体"/>
          <w:b/>
          <w:bCs w:val="0"/>
          <w:color w:val="auto"/>
          <w:sz w:val="24"/>
          <w:szCs w:val="24"/>
          <w:highlight w:val="none"/>
        </w:rPr>
        <w:t>凡在“规格、技术参数及配置要求”中表述为“标配”或“标准配置”的设备，竞标人应在竞标文件中将其标配参数详细列明。</w:t>
      </w:r>
      <w:bookmarkEnd w:id="129"/>
    </w:p>
    <w:tbl>
      <w:tblPr>
        <w:tblStyle w:val="20"/>
        <w:tblW w:w="51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689"/>
        <w:gridCol w:w="4022"/>
        <w:gridCol w:w="748"/>
        <w:gridCol w:w="756"/>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35" w:type="pct"/>
            <w:vAlign w:val="center"/>
          </w:tcPr>
          <w:p>
            <w:pPr>
              <w:keepNext w:val="0"/>
              <w:keepLines w:val="0"/>
              <w:pageBreakBefore w:val="0"/>
              <w:widowControl/>
              <w:kinsoku/>
              <w:wordWrap w:val="0"/>
              <w:overflowPunct/>
              <w:topLinePunct w:val="0"/>
              <w:autoSpaceDE/>
              <w:autoSpaceDN/>
              <w:bidi w:val="0"/>
              <w:adjustRightInd w:val="0"/>
              <w:snapToGrid w:val="0"/>
              <w:spacing w:after="0" w:line="336" w:lineRule="auto"/>
              <w:jc w:val="center"/>
              <w:rPr>
                <w:rFonts w:hint="eastAsia" w:ascii="宋体" w:hAnsi="宋体" w:eastAsia="宋体" w:cs="宋体"/>
                <w:b/>
                <w:bCs/>
                <w:color w:val="auto"/>
                <w:sz w:val="24"/>
                <w:szCs w:val="24"/>
                <w:highlight w:val="none"/>
                <w:lang w:eastAsia="zh-CN"/>
              </w:rPr>
            </w:pPr>
            <w:bookmarkStart w:id="130" w:name="_Toc17816978"/>
            <w:bookmarkStart w:id="131" w:name="_Toc28224"/>
            <w:bookmarkStart w:id="132" w:name="_Toc3899"/>
            <w:r>
              <w:rPr>
                <w:rFonts w:hint="eastAsia" w:ascii="宋体" w:hAnsi="宋体" w:eastAsia="宋体" w:cs="宋体"/>
                <w:b/>
                <w:bCs/>
                <w:color w:val="auto"/>
                <w:sz w:val="24"/>
                <w:szCs w:val="24"/>
                <w:highlight w:val="none"/>
                <w:lang w:eastAsia="zh-CN"/>
              </w:rPr>
              <w:t>序号</w:t>
            </w:r>
          </w:p>
        </w:tc>
        <w:tc>
          <w:tcPr>
            <w:tcW w:w="870" w:type="pct"/>
            <w:vAlign w:val="center"/>
          </w:tcPr>
          <w:p>
            <w:pPr>
              <w:keepNext w:val="0"/>
              <w:keepLines w:val="0"/>
              <w:pageBreakBefore w:val="0"/>
              <w:widowControl/>
              <w:kinsoku/>
              <w:wordWrap w:val="0"/>
              <w:overflowPunct/>
              <w:topLinePunct w:val="0"/>
              <w:autoSpaceDE/>
              <w:autoSpaceDN/>
              <w:bidi w:val="0"/>
              <w:adjustRightInd w:val="0"/>
              <w:snapToGrid w:val="0"/>
              <w:spacing w:after="0" w:line="336"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货物名称</w:t>
            </w:r>
          </w:p>
        </w:tc>
        <w:tc>
          <w:tcPr>
            <w:tcW w:w="2070" w:type="pct"/>
            <w:vAlign w:val="center"/>
          </w:tcPr>
          <w:p>
            <w:pPr>
              <w:keepNext w:val="0"/>
              <w:keepLines w:val="0"/>
              <w:pageBreakBefore w:val="0"/>
              <w:widowControl/>
              <w:kinsoku/>
              <w:wordWrap w:val="0"/>
              <w:overflowPunct/>
              <w:topLinePunct w:val="0"/>
              <w:autoSpaceDE/>
              <w:autoSpaceDN/>
              <w:bidi w:val="0"/>
              <w:adjustRightInd w:val="0"/>
              <w:snapToGrid w:val="0"/>
              <w:spacing w:after="0" w:line="336"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参考技术参数及配置</w:t>
            </w:r>
          </w:p>
        </w:tc>
        <w:tc>
          <w:tcPr>
            <w:tcW w:w="385" w:type="pct"/>
            <w:vAlign w:val="center"/>
          </w:tcPr>
          <w:p>
            <w:pPr>
              <w:keepNext w:val="0"/>
              <w:keepLines w:val="0"/>
              <w:pageBreakBefore w:val="0"/>
              <w:widowControl/>
              <w:kinsoku/>
              <w:wordWrap w:val="0"/>
              <w:overflowPunct/>
              <w:topLinePunct w:val="0"/>
              <w:autoSpaceDE/>
              <w:autoSpaceDN/>
              <w:bidi w:val="0"/>
              <w:adjustRightInd w:val="0"/>
              <w:snapToGrid w:val="0"/>
              <w:spacing w:after="0" w:line="336"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单位</w:t>
            </w:r>
          </w:p>
        </w:tc>
        <w:tc>
          <w:tcPr>
            <w:tcW w:w="389" w:type="pct"/>
            <w:vAlign w:val="center"/>
          </w:tcPr>
          <w:p>
            <w:pPr>
              <w:keepNext w:val="0"/>
              <w:keepLines w:val="0"/>
              <w:pageBreakBefore w:val="0"/>
              <w:widowControl/>
              <w:kinsoku/>
              <w:wordWrap w:val="0"/>
              <w:overflowPunct/>
              <w:topLinePunct w:val="0"/>
              <w:autoSpaceDE/>
              <w:autoSpaceDN/>
              <w:bidi w:val="0"/>
              <w:adjustRightInd w:val="0"/>
              <w:snapToGrid w:val="0"/>
              <w:spacing w:after="0" w:line="336"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数量</w:t>
            </w:r>
          </w:p>
        </w:tc>
        <w:tc>
          <w:tcPr>
            <w:tcW w:w="1048" w:type="pct"/>
            <w:vAlign w:val="center"/>
          </w:tcPr>
          <w:p>
            <w:pPr>
              <w:keepNext w:val="0"/>
              <w:keepLines w:val="0"/>
              <w:pageBreakBefore w:val="0"/>
              <w:widowControl/>
              <w:kinsoku/>
              <w:wordWrap w:val="0"/>
              <w:overflowPunct/>
              <w:topLinePunct w:val="0"/>
              <w:autoSpaceDE/>
              <w:autoSpaceDN/>
              <w:bidi w:val="0"/>
              <w:adjustRightInd w:val="0"/>
              <w:snapToGrid w:val="0"/>
              <w:spacing w:after="0" w:line="336"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235"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1</w:t>
            </w:r>
          </w:p>
        </w:tc>
        <w:tc>
          <w:tcPr>
            <w:tcW w:w="870"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自动上簇机(电动遥控型)</w:t>
            </w:r>
          </w:p>
        </w:tc>
        <w:tc>
          <w:tcPr>
            <w:tcW w:w="2070"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both"/>
              <w:textAlignment w:val="center"/>
              <w:rPr>
                <w:rFonts w:hint="eastAsia" w:ascii="宋体" w:hAnsi="宋体" w:eastAsia="宋体" w:cs="宋体"/>
                <w:lang w:val="en-US" w:eastAsia="zh-CN"/>
              </w:rPr>
            </w:pPr>
            <w:r>
              <w:rPr>
                <w:rFonts w:hint="eastAsia" w:ascii="宋体" w:hAnsi="宋体" w:eastAsia="宋体" w:cs="宋体"/>
                <w:lang w:val="en-US" w:eastAsia="zh-CN"/>
              </w:rPr>
              <w:t>电动遥控型</w:t>
            </w:r>
          </w:p>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both"/>
              <w:textAlignment w:val="center"/>
              <w:rPr>
                <w:rFonts w:hint="eastAsia" w:ascii="宋体" w:hAnsi="宋体" w:eastAsia="宋体" w:cs="宋体"/>
                <w:lang w:val="en-US" w:eastAsia="zh-CN"/>
              </w:rPr>
            </w:pPr>
            <w:r>
              <w:rPr>
                <w:rFonts w:hint="eastAsia" w:ascii="宋体" w:hAnsi="宋体" w:eastAsia="宋体" w:cs="宋体"/>
                <w:lang w:val="en-US" w:eastAsia="zh-CN"/>
              </w:rPr>
              <w:t>尺寸：宽3.5m×长18m；</w:t>
            </w:r>
          </w:p>
          <w:p>
            <w:pPr>
              <w:pStyle w:val="2"/>
              <w:keepNext w:val="0"/>
              <w:keepLines w:val="0"/>
              <w:pageBreakBefore w:val="0"/>
              <w:widowControl/>
              <w:kinsoku/>
              <w:wordWrap w:val="0"/>
              <w:overflowPunct/>
              <w:topLinePunct w:val="0"/>
              <w:autoSpaceDE/>
              <w:autoSpaceDN/>
              <w:bidi w:val="0"/>
              <w:adjustRightInd w:val="0"/>
              <w:snapToGrid w:val="0"/>
              <w:spacing w:line="336" w:lineRule="auto"/>
              <w:jc w:val="both"/>
              <w:rPr>
                <w:rFonts w:hint="eastAsia" w:ascii="宋体" w:hAnsi="宋体" w:eastAsia="宋体" w:cs="宋体"/>
                <w:lang w:val="en-US" w:eastAsia="zh-CN"/>
              </w:rPr>
            </w:pPr>
            <w:r>
              <w:rPr>
                <w:rFonts w:hint="eastAsia" w:ascii="宋体" w:hAnsi="宋体" w:eastAsia="宋体" w:cs="宋体"/>
                <w:lang w:val="en-US" w:eastAsia="zh-CN"/>
              </w:rPr>
              <w:t>自动上簇机采用220V，0.75KW国标电机，加厚二级RV减速机，远距离无线遥控，上限位保护功能，直径5的国标钢丝绳,定制加强型滑轮组,安全防坠装置等。</w:t>
            </w:r>
          </w:p>
        </w:tc>
        <w:tc>
          <w:tcPr>
            <w:tcW w:w="385"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套</w:t>
            </w:r>
          </w:p>
        </w:tc>
        <w:tc>
          <w:tcPr>
            <w:tcW w:w="389"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8</w:t>
            </w:r>
          </w:p>
        </w:tc>
        <w:tc>
          <w:tcPr>
            <w:tcW w:w="1048"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包含设备原价、运杂费、设备安装费等全部施工工序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35"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870"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电动喂蚕车(电动遥控型)</w:t>
            </w:r>
          </w:p>
        </w:tc>
        <w:tc>
          <w:tcPr>
            <w:tcW w:w="2070"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both"/>
              <w:textAlignment w:val="center"/>
              <w:rPr>
                <w:rFonts w:hint="eastAsia" w:ascii="宋体" w:hAnsi="宋体" w:eastAsia="宋体" w:cs="宋体"/>
                <w:lang w:val="en-US" w:eastAsia="zh-CN"/>
              </w:rPr>
            </w:pPr>
            <w:r>
              <w:rPr>
                <w:rFonts w:hint="eastAsia" w:ascii="宋体" w:hAnsi="宋体" w:eastAsia="宋体" w:cs="宋体"/>
                <w:lang w:val="en-US" w:eastAsia="zh-CN"/>
              </w:rPr>
              <w:t>电动遥控型</w:t>
            </w:r>
          </w:p>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both"/>
              <w:textAlignment w:val="center"/>
              <w:rPr>
                <w:rFonts w:hint="eastAsia" w:ascii="宋体" w:hAnsi="宋体" w:eastAsia="宋体" w:cs="宋体"/>
                <w:lang w:val="en-US" w:eastAsia="zh-CN"/>
              </w:rPr>
            </w:pPr>
            <w:r>
              <w:rPr>
                <w:rFonts w:hint="eastAsia" w:ascii="宋体" w:hAnsi="宋体" w:eastAsia="宋体" w:cs="宋体"/>
                <w:lang w:val="en-US" w:eastAsia="zh-CN"/>
              </w:rPr>
              <w:t>尺寸:5.7mX.1.38×0.4；</w:t>
            </w:r>
          </w:p>
          <w:p>
            <w:pPr>
              <w:keepNext w:val="0"/>
              <w:keepLines w:val="0"/>
              <w:pageBreakBefore w:val="0"/>
              <w:widowControl/>
              <w:kinsoku/>
              <w:wordWrap w:val="0"/>
              <w:overflowPunct/>
              <w:topLinePunct w:val="0"/>
              <w:autoSpaceDE/>
              <w:autoSpaceDN/>
              <w:bidi w:val="0"/>
              <w:adjustRightInd w:val="0"/>
              <w:snapToGrid w:val="0"/>
              <w:spacing w:line="336" w:lineRule="auto"/>
              <w:jc w:val="both"/>
              <w:rPr>
                <w:rFonts w:hint="eastAsia" w:ascii="宋体" w:hAnsi="宋体" w:eastAsia="宋体" w:cs="宋体"/>
                <w:lang w:val="en-US" w:eastAsia="zh-CN"/>
              </w:rPr>
            </w:pPr>
            <w:r>
              <w:rPr>
                <w:rFonts w:hint="eastAsia" w:ascii="宋体" w:hAnsi="宋体" w:eastAsia="宋体" w:cs="宋体"/>
                <w:lang w:val="en-US" w:eastAsia="zh-CN"/>
              </w:rPr>
              <w:t>电动喂蚕车采用220V，0.75KW国标电机，加厚一级RV减速机，十字万向节，全实心钢槽轮，圆型轨道等。</w:t>
            </w:r>
          </w:p>
        </w:tc>
        <w:tc>
          <w:tcPr>
            <w:tcW w:w="385"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套</w:t>
            </w:r>
          </w:p>
        </w:tc>
        <w:tc>
          <w:tcPr>
            <w:tcW w:w="389"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w:t>
            </w:r>
          </w:p>
        </w:tc>
        <w:tc>
          <w:tcPr>
            <w:tcW w:w="1048"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包含设备原价、运杂费、设备安装费等全部施工工序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35"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p>
        </w:tc>
        <w:tc>
          <w:tcPr>
            <w:tcW w:w="870"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电动撒石灰机</w:t>
            </w:r>
          </w:p>
        </w:tc>
        <w:tc>
          <w:tcPr>
            <w:tcW w:w="2070"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both"/>
              <w:textAlignment w:val="center"/>
              <w:rPr>
                <w:rFonts w:hint="eastAsia" w:ascii="宋体" w:hAnsi="宋体" w:eastAsia="宋体" w:cs="宋体"/>
                <w:lang w:val="en-US" w:eastAsia="zh-CN"/>
              </w:rPr>
            </w:pPr>
            <w:r>
              <w:rPr>
                <w:rFonts w:hint="eastAsia" w:ascii="宋体" w:hAnsi="宋体" w:eastAsia="宋体" w:cs="宋体"/>
                <w:lang w:val="en-US" w:eastAsia="zh-CN"/>
              </w:rPr>
              <w:t>电动遥控型(D-2m)</w:t>
            </w:r>
          </w:p>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both"/>
              <w:textAlignment w:val="center"/>
              <w:rPr>
                <w:rFonts w:hint="eastAsia" w:ascii="宋体" w:hAnsi="宋体" w:eastAsia="宋体" w:cs="宋体"/>
                <w:lang w:val="en-US" w:eastAsia="zh-CN"/>
              </w:rPr>
            </w:pPr>
            <w:r>
              <w:rPr>
                <w:rFonts w:hint="eastAsia" w:ascii="宋体" w:hAnsi="宋体" w:eastAsia="宋体" w:cs="宋体"/>
                <w:lang w:val="en-US" w:eastAsia="zh-CN"/>
              </w:rPr>
              <w:t>尺寸：2m×15cm×20cm；</w:t>
            </w:r>
          </w:p>
          <w:p>
            <w:pPr>
              <w:pStyle w:val="2"/>
              <w:keepNext w:val="0"/>
              <w:keepLines w:val="0"/>
              <w:pageBreakBefore w:val="0"/>
              <w:widowControl/>
              <w:kinsoku/>
              <w:wordWrap w:val="0"/>
              <w:overflowPunct/>
              <w:topLinePunct w:val="0"/>
              <w:autoSpaceDE/>
              <w:autoSpaceDN/>
              <w:bidi w:val="0"/>
              <w:adjustRightInd w:val="0"/>
              <w:snapToGrid w:val="0"/>
              <w:spacing w:line="336" w:lineRule="auto"/>
              <w:jc w:val="both"/>
              <w:rPr>
                <w:rFonts w:hint="eastAsia" w:ascii="宋体" w:hAnsi="宋体" w:eastAsia="宋体" w:cs="宋体"/>
                <w:lang w:val="en-US" w:eastAsia="zh-CN"/>
              </w:rPr>
            </w:pPr>
            <w:r>
              <w:rPr>
                <w:rFonts w:hint="eastAsia" w:ascii="宋体" w:hAnsi="宋体" w:eastAsia="宋体" w:cs="宋体"/>
                <w:lang w:val="en-US" w:eastAsia="zh-CN"/>
              </w:rPr>
              <w:t>电动撒石灰机采用220V，120W电机，远距离无线遥控,可调速，一次装灰50斤，一小时消毒1200平方米蚕房。</w:t>
            </w:r>
          </w:p>
        </w:tc>
        <w:tc>
          <w:tcPr>
            <w:tcW w:w="385"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台</w:t>
            </w:r>
          </w:p>
        </w:tc>
        <w:tc>
          <w:tcPr>
            <w:tcW w:w="389"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w:t>
            </w:r>
          </w:p>
        </w:tc>
        <w:tc>
          <w:tcPr>
            <w:tcW w:w="1048"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包含设备原价、运杂费、设备安装费等全部施工工序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35"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w:t>
            </w:r>
          </w:p>
        </w:tc>
        <w:tc>
          <w:tcPr>
            <w:tcW w:w="870"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塑框木质方格簇</w:t>
            </w:r>
          </w:p>
        </w:tc>
        <w:tc>
          <w:tcPr>
            <w:tcW w:w="2070"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both"/>
              <w:textAlignment w:val="center"/>
              <w:rPr>
                <w:rFonts w:hint="eastAsia" w:ascii="宋体" w:hAnsi="宋体" w:eastAsia="宋体" w:cs="宋体"/>
                <w:lang w:val="en-US" w:eastAsia="zh-CN"/>
              </w:rPr>
            </w:pPr>
            <w:r>
              <w:rPr>
                <w:rFonts w:hint="eastAsia" w:ascii="宋体" w:hAnsi="宋体" w:eastAsia="宋体" w:cs="宋体"/>
                <w:lang w:val="en-US" w:eastAsia="zh-CN"/>
              </w:rPr>
              <w:t>162孔型塑框木质</w:t>
            </w:r>
          </w:p>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both"/>
              <w:textAlignment w:val="center"/>
              <w:rPr>
                <w:rFonts w:hint="eastAsia" w:ascii="宋体" w:hAnsi="宋体" w:eastAsia="宋体" w:cs="宋体"/>
                <w:lang w:val="en-US" w:eastAsia="zh-CN"/>
              </w:rPr>
            </w:pPr>
            <w:r>
              <w:rPr>
                <w:rFonts w:hint="eastAsia" w:ascii="宋体" w:hAnsi="宋体" w:eastAsia="宋体" w:cs="宋体"/>
                <w:lang w:val="en-US" w:eastAsia="zh-CN"/>
              </w:rPr>
              <w:t>尺寸：方格蔟平置（长×宽×高）55.8cm×42.6cm（挂耳59.6cm）×3cm（其中：长、宽误差0.5cm以内）；</w:t>
            </w:r>
          </w:p>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both"/>
              <w:textAlignment w:val="center"/>
              <w:rPr>
                <w:rFonts w:hint="eastAsia" w:ascii="宋体" w:hAnsi="宋体" w:eastAsia="宋体" w:cs="宋体"/>
                <w:lang w:val="en-US" w:eastAsia="zh-CN"/>
              </w:rPr>
            </w:pPr>
            <w:r>
              <w:rPr>
                <w:rFonts w:hint="eastAsia" w:ascii="宋体" w:hAnsi="宋体" w:eastAsia="宋体" w:cs="宋体"/>
                <w:lang w:val="en-US" w:eastAsia="zh-CN"/>
              </w:rPr>
              <w:t>实木框木方格簇外框内框实木；重量0.6-0.65kg；耐酸、耐碱，可用药水浸泡消毒,可水洗；可拆装，可修补，使用寿命长达20年以上。</w:t>
            </w:r>
          </w:p>
        </w:tc>
        <w:tc>
          <w:tcPr>
            <w:tcW w:w="385"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片</w:t>
            </w:r>
          </w:p>
        </w:tc>
        <w:tc>
          <w:tcPr>
            <w:tcW w:w="389"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7000</w:t>
            </w:r>
          </w:p>
        </w:tc>
        <w:tc>
          <w:tcPr>
            <w:tcW w:w="1048"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包含设备原价、运杂费、设备安装费等全部施工工序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35"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870"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快速摘茧机</w:t>
            </w:r>
          </w:p>
        </w:tc>
        <w:tc>
          <w:tcPr>
            <w:tcW w:w="2070"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both"/>
              <w:textAlignment w:val="center"/>
              <w:rPr>
                <w:rFonts w:hint="eastAsia" w:ascii="宋体" w:hAnsi="宋体" w:eastAsia="宋体" w:cs="宋体"/>
                <w:lang w:val="en-US" w:eastAsia="zh-CN"/>
              </w:rPr>
            </w:pPr>
            <w:r>
              <w:rPr>
                <w:rFonts w:hint="eastAsia" w:ascii="宋体" w:hAnsi="宋体" w:eastAsia="宋体" w:cs="宋体"/>
                <w:lang w:val="en-US" w:eastAsia="zh-CN"/>
              </w:rPr>
              <w:t>4CJQ-325A气动式（电机驱动）</w:t>
            </w:r>
          </w:p>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both"/>
              <w:textAlignment w:val="center"/>
              <w:rPr>
                <w:rFonts w:hint="eastAsia" w:ascii="宋体" w:hAnsi="宋体" w:eastAsia="宋体" w:cs="宋体"/>
                <w:lang w:val="en-US" w:eastAsia="zh-CN"/>
              </w:rPr>
            </w:pPr>
            <w:r>
              <w:rPr>
                <w:rFonts w:hint="eastAsia" w:ascii="宋体" w:hAnsi="宋体" w:eastAsia="宋体" w:cs="宋体"/>
                <w:lang w:val="en-US" w:eastAsia="zh-CN"/>
              </w:rPr>
              <w:t>尺寸：长×宽×高（70.8cm×65.1cm×75cm）；</w:t>
            </w:r>
          </w:p>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both"/>
              <w:textAlignment w:val="center"/>
              <w:rPr>
                <w:rFonts w:hint="eastAsia" w:ascii="宋体" w:hAnsi="宋体" w:eastAsia="宋体" w:cs="宋体"/>
                <w:lang w:val="en-US" w:eastAsia="zh-CN"/>
              </w:rPr>
            </w:pPr>
            <w:r>
              <w:rPr>
                <w:rFonts w:hint="eastAsia" w:ascii="宋体" w:hAnsi="宋体" w:eastAsia="宋体" w:cs="宋体"/>
                <w:lang w:val="en-US" w:eastAsia="zh-CN"/>
              </w:rPr>
              <w:t>电动摘茧机采用220V，550W电机，生产效率≧400片162孔塑框木质方格簇，摘茧150KG/h以上，从上向下顶出蚕茧，采用模拟人手取茧弧形顶齿设计，取茧不伤茧，重量：86KG 162顶齿。</w:t>
            </w:r>
          </w:p>
        </w:tc>
        <w:tc>
          <w:tcPr>
            <w:tcW w:w="385"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台</w:t>
            </w:r>
          </w:p>
        </w:tc>
        <w:tc>
          <w:tcPr>
            <w:tcW w:w="389"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1048"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包含设备原价、运杂费、设备安装费等全部施工工序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35"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w:t>
            </w:r>
          </w:p>
        </w:tc>
        <w:tc>
          <w:tcPr>
            <w:tcW w:w="870"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垫簸纸</w:t>
            </w:r>
          </w:p>
        </w:tc>
        <w:tc>
          <w:tcPr>
            <w:tcW w:w="2070"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both"/>
              <w:textAlignment w:val="center"/>
              <w:rPr>
                <w:rFonts w:hint="eastAsia" w:ascii="宋体" w:hAnsi="宋体" w:eastAsia="宋体" w:cs="宋体"/>
                <w:color w:val="auto"/>
                <w:sz w:val="24"/>
                <w:szCs w:val="24"/>
                <w:highlight w:val="none"/>
                <w:lang w:val="en-US" w:eastAsia="zh-CN"/>
              </w:rPr>
            </w:pPr>
          </w:p>
        </w:tc>
        <w:tc>
          <w:tcPr>
            <w:tcW w:w="385"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件</w:t>
            </w:r>
          </w:p>
        </w:tc>
        <w:tc>
          <w:tcPr>
            <w:tcW w:w="389"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w:t>
            </w:r>
          </w:p>
        </w:tc>
        <w:tc>
          <w:tcPr>
            <w:tcW w:w="1048"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包含材料原价、运杂费等全部施工工序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35"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7</w:t>
            </w:r>
          </w:p>
        </w:tc>
        <w:tc>
          <w:tcPr>
            <w:tcW w:w="870"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烟熏宝</w:t>
            </w:r>
          </w:p>
        </w:tc>
        <w:tc>
          <w:tcPr>
            <w:tcW w:w="2070"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both"/>
              <w:textAlignment w:val="center"/>
              <w:rPr>
                <w:rFonts w:hint="eastAsia" w:ascii="宋体" w:hAnsi="宋体" w:eastAsia="宋体" w:cs="宋体"/>
                <w:color w:val="auto"/>
                <w:sz w:val="24"/>
                <w:szCs w:val="24"/>
                <w:highlight w:val="none"/>
                <w:lang w:val="en-US" w:eastAsia="zh-CN"/>
              </w:rPr>
            </w:pPr>
          </w:p>
        </w:tc>
        <w:tc>
          <w:tcPr>
            <w:tcW w:w="385"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包</w:t>
            </w:r>
          </w:p>
        </w:tc>
        <w:tc>
          <w:tcPr>
            <w:tcW w:w="389"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1000</w:t>
            </w:r>
          </w:p>
        </w:tc>
        <w:tc>
          <w:tcPr>
            <w:tcW w:w="1048"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包含材料原价、运杂费等全部施工工序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35"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8</w:t>
            </w:r>
          </w:p>
        </w:tc>
        <w:tc>
          <w:tcPr>
            <w:tcW w:w="870"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消毒净</w:t>
            </w:r>
          </w:p>
        </w:tc>
        <w:tc>
          <w:tcPr>
            <w:tcW w:w="2070"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both"/>
              <w:textAlignment w:val="center"/>
              <w:rPr>
                <w:rFonts w:hint="eastAsia" w:ascii="宋体" w:hAnsi="宋体" w:eastAsia="宋体" w:cs="宋体"/>
                <w:color w:val="auto"/>
                <w:sz w:val="24"/>
                <w:szCs w:val="24"/>
                <w:highlight w:val="none"/>
                <w:lang w:val="en-US" w:eastAsia="zh-CN"/>
              </w:rPr>
            </w:pPr>
          </w:p>
        </w:tc>
        <w:tc>
          <w:tcPr>
            <w:tcW w:w="385"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件</w:t>
            </w:r>
          </w:p>
        </w:tc>
        <w:tc>
          <w:tcPr>
            <w:tcW w:w="389"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1048"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包含设备原价、运杂费、设备安装费等全部施工工序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35"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9</w:t>
            </w:r>
          </w:p>
        </w:tc>
        <w:tc>
          <w:tcPr>
            <w:tcW w:w="870"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桑园用电动喷雾器</w:t>
            </w:r>
          </w:p>
        </w:tc>
        <w:tc>
          <w:tcPr>
            <w:tcW w:w="2070"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（12V电动背负式）</w:t>
            </w:r>
          </w:p>
        </w:tc>
        <w:tc>
          <w:tcPr>
            <w:tcW w:w="385"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台</w:t>
            </w:r>
          </w:p>
        </w:tc>
        <w:tc>
          <w:tcPr>
            <w:tcW w:w="389"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1048"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包含设备原价、运杂费、设备安装费等全部施工工序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35"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w:t>
            </w:r>
          </w:p>
        </w:tc>
        <w:tc>
          <w:tcPr>
            <w:tcW w:w="870"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桑枝伐条机</w:t>
            </w:r>
          </w:p>
        </w:tc>
        <w:tc>
          <w:tcPr>
            <w:tcW w:w="2070"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（JB／T6284-2007）</w:t>
            </w:r>
          </w:p>
        </w:tc>
        <w:tc>
          <w:tcPr>
            <w:tcW w:w="385"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台</w:t>
            </w:r>
          </w:p>
        </w:tc>
        <w:tc>
          <w:tcPr>
            <w:tcW w:w="389"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p>
        </w:tc>
        <w:tc>
          <w:tcPr>
            <w:tcW w:w="1048"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包含设备原价、运杂费、设备安装费等全部施工工序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35"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11</w:t>
            </w:r>
          </w:p>
        </w:tc>
        <w:tc>
          <w:tcPr>
            <w:tcW w:w="870"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高压冲洗机</w:t>
            </w:r>
          </w:p>
        </w:tc>
        <w:tc>
          <w:tcPr>
            <w:tcW w:w="2070"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（1520型220V）</w:t>
            </w:r>
          </w:p>
        </w:tc>
        <w:tc>
          <w:tcPr>
            <w:tcW w:w="385"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台</w:t>
            </w:r>
          </w:p>
        </w:tc>
        <w:tc>
          <w:tcPr>
            <w:tcW w:w="389"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1048"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包含设备原价、运杂费、设备安装费等全部施工工序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35"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12</w:t>
            </w:r>
          </w:p>
        </w:tc>
        <w:tc>
          <w:tcPr>
            <w:tcW w:w="870"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切桑叶机</w:t>
            </w:r>
          </w:p>
        </w:tc>
        <w:tc>
          <w:tcPr>
            <w:tcW w:w="2070"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（220V铜线机电）</w:t>
            </w:r>
          </w:p>
        </w:tc>
        <w:tc>
          <w:tcPr>
            <w:tcW w:w="385"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台</w:t>
            </w:r>
          </w:p>
        </w:tc>
        <w:tc>
          <w:tcPr>
            <w:tcW w:w="389"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1048"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包含设备原价、运杂费、设备安装费等全部施工工序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35"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13</w:t>
            </w:r>
          </w:p>
        </w:tc>
        <w:tc>
          <w:tcPr>
            <w:tcW w:w="870"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发电机</w:t>
            </w:r>
          </w:p>
        </w:tc>
        <w:tc>
          <w:tcPr>
            <w:tcW w:w="2070"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（电动10kW 230V ）（手动3kW 230V）</w:t>
            </w:r>
          </w:p>
        </w:tc>
        <w:tc>
          <w:tcPr>
            <w:tcW w:w="385"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台</w:t>
            </w:r>
          </w:p>
        </w:tc>
        <w:tc>
          <w:tcPr>
            <w:tcW w:w="389"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1048"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包含设备原价、运杂费、设备安装费等全部施工工序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35"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14</w:t>
            </w:r>
          </w:p>
        </w:tc>
        <w:tc>
          <w:tcPr>
            <w:tcW w:w="870"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遮阳网</w:t>
            </w:r>
          </w:p>
        </w:tc>
        <w:tc>
          <w:tcPr>
            <w:tcW w:w="2070"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7针特厚3米宽</w:t>
            </w:r>
          </w:p>
        </w:tc>
        <w:tc>
          <w:tcPr>
            <w:tcW w:w="385"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kg</w:t>
            </w:r>
          </w:p>
        </w:tc>
        <w:tc>
          <w:tcPr>
            <w:tcW w:w="389"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1000</w:t>
            </w:r>
          </w:p>
        </w:tc>
        <w:tc>
          <w:tcPr>
            <w:tcW w:w="1048"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包含材料原价、运杂费等全部施工工序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35"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15</w:t>
            </w:r>
          </w:p>
        </w:tc>
        <w:tc>
          <w:tcPr>
            <w:tcW w:w="870"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塑料蚕匾</w:t>
            </w:r>
          </w:p>
        </w:tc>
        <w:tc>
          <w:tcPr>
            <w:tcW w:w="2070"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100cmx80cm</w:t>
            </w:r>
          </w:p>
        </w:tc>
        <w:tc>
          <w:tcPr>
            <w:tcW w:w="385"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个</w:t>
            </w:r>
          </w:p>
        </w:tc>
        <w:tc>
          <w:tcPr>
            <w:tcW w:w="389"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800</w:t>
            </w:r>
          </w:p>
        </w:tc>
        <w:tc>
          <w:tcPr>
            <w:tcW w:w="1048"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包含材料原价、运杂费等全部施工工序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35"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16</w:t>
            </w:r>
          </w:p>
        </w:tc>
        <w:tc>
          <w:tcPr>
            <w:tcW w:w="870"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rPr>
              <w:t>铜线</w:t>
            </w:r>
          </w:p>
        </w:tc>
        <w:tc>
          <w:tcPr>
            <w:tcW w:w="2070"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both"/>
              <w:textAlignment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规格：BV-6mm2</w:t>
            </w:r>
          </w:p>
          <w:p>
            <w:pPr>
              <w:pStyle w:val="2"/>
              <w:keepNext w:val="0"/>
              <w:keepLines w:val="0"/>
              <w:pageBreakBefore w:val="0"/>
              <w:widowControl/>
              <w:kinsoku/>
              <w:wordWrap w:val="0"/>
              <w:overflowPunct/>
              <w:topLinePunct w:val="0"/>
              <w:autoSpaceDE/>
              <w:autoSpaceDN/>
              <w:bidi w:val="0"/>
              <w:adjustRightInd w:val="0"/>
              <w:snapToGrid w:val="0"/>
              <w:spacing w:line="336"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线槽配线 动力线路 导线截面(6mm2以内)</w:t>
            </w:r>
          </w:p>
        </w:tc>
        <w:tc>
          <w:tcPr>
            <w:tcW w:w="385"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m</w:t>
            </w:r>
          </w:p>
        </w:tc>
        <w:tc>
          <w:tcPr>
            <w:tcW w:w="389"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500</w:t>
            </w:r>
          </w:p>
        </w:tc>
        <w:tc>
          <w:tcPr>
            <w:tcW w:w="1048" w:type="pct"/>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336" w:lineRule="auto"/>
              <w:jc w:val="center"/>
              <w:textAlignment w:val="center"/>
              <w:rPr>
                <w:rFonts w:hint="eastAsia" w:ascii="宋体" w:hAnsi="宋体" w:eastAsia="宋体" w:cs="宋体"/>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6"/>
            <w:vAlign w:val="top"/>
          </w:tcPr>
          <w:p>
            <w:pPr>
              <w:keepNext w:val="0"/>
              <w:keepLines w:val="0"/>
              <w:pageBreakBefore w:val="0"/>
              <w:widowControl/>
              <w:kinsoku/>
              <w:wordWrap w:val="0"/>
              <w:overflowPunct/>
              <w:topLinePunct w:val="0"/>
              <w:autoSpaceDE/>
              <w:autoSpaceDN/>
              <w:bidi w:val="0"/>
              <w:adjustRightInd w:val="0"/>
              <w:snapToGrid w:val="0"/>
              <w:spacing w:after="0" w:line="336" w:lineRule="auto"/>
              <w:ind w:firstLine="482" w:firstLineChars="200"/>
              <w:textAlignment w:val="auto"/>
              <w:rPr>
                <w:rFonts w:hint="eastAsia" w:ascii="宋体" w:hAnsi="宋体" w:eastAsia="宋体" w:cs="宋体"/>
                <w:color w:val="FF0000"/>
                <w:sz w:val="24"/>
                <w:szCs w:val="24"/>
                <w:highlight w:val="none"/>
                <w:lang w:eastAsia="zh-CN"/>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合同履行期限：</w:t>
            </w:r>
            <w:r>
              <w:rPr>
                <w:rFonts w:hint="eastAsia" w:ascii="宋体" w:hAnsi="宋体" w:eastAsia="宋体" w:cs="宋体"/>
                <w:color w:val="auto"/>
                <w:sz w:val="24"/>
                <w:szCs w:val="24"/>
                <w:highlight w:val="none"/>
                <w:lang w:eastAsia="zh-CN"/>
              </w:rPr>
              <w:t>自签订合同之日起60日历天内完成采购及安装并验收合格</w:t>
            </w:r>
            <w:r>
              <w:rPr>
                <w:rFonts w:hint="eastAsia" w:ascii="宋体" w:hAnsi="宋体" w:eastAsia="宋体" w:cs="宋体"/>
                <w:color w:val="auto"/>
                <w:sz w:val="24"/>
                <w:szCs w:val="24"/>
                <w:highlight w:val="none"/>
                <w:lang w:val="en-US" w:eastAsia="zh-CN"/>
              </w:rPr>
              <w:t>。</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二、交货地点：</w:t>
            </w:r>
            <w:r>
              <w:rPr>
                <w:rFonts w:hint="eastAsia" w:ascii="宋体" w:hAnsi="宋体" w:eastAsia="宋体" w:cs="宋体"/>
                <w:color w:val="auto"/>
                <w:sz w:val="24"/>
                <w:szCs w:val="24"/>
                <w:highlight w:val="none"/>
                <w:lang w:eastAsia="zh-CN"/>
              </w:rPr>
              <w:t>采购人指定地点。</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交货方式：</w:t>
            </w:r>
            <w:r>
              <w:rPr>
                <w:rFonts w:hint="eastAsia" w:ascii="宋体" w:hAnsi="宋体" w:eastAsia="宋体" w:cs="宋体"/>
                <w:color w:val="auto"/>
                <w:sz w:val="24"/>
                <w:szCs w:val="24"/>
                <w:highlight w:val="none"/>
                <w:lang w:eastAsia="zh-CN"/>
              </w:rPr>
              <w:t>现场交货。</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售后服务要求：</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lang w:val="en-US" w:eastAsia="zh-CN"/>
              </w:rPr>
              <w:t>国</w:t>
            </w:r>
            <w:r>
              <w:rPr>
                <w:rFonts w:hint="eastAsia" w:ascii="宋体" w:hAnsi="宋体" w:eastAsia="宋体" w:cs="宋体"/>
                <w:color w:val="auto"/>
                <w:sz w:val="24"/>
                <w:szCs w:val="24"/>
                <w:highlight w:val="none"/>
                <w:lang w:eastAsia="zh-CN"/>
              </w:rPr>
              <w:t>家有关</w:t>
            </w:r>
            <w:r>
              <w:rPr>
                <w:rFonts w:hint="eastAsia" w:ascii="宋体" w:hAnsi="宋体" w:eastAsia="宋体" w:cs="宋体"/>
                <w:color w:val="auto"/>
                <w:sz w:val="24"/>
                <w:szCs w:val="24"/>
                <w:highlight w:val="none"/>
                <w:lang w:val="en-US" w:eastAsia="zh-CN"/>
              </w:rPr>
              <w:t>规定</w:t>
            </w:r>
            <w:r>
              <w:rPr>
                <w:rFonts w:hint="eastAsia" w:ascii="宋体" w:hAnsi="宋体" w:eastAsia="宋体" w:cs="宋体"/>
                <w:color w:val="auto"/>
                <w:sz w:val="24"/>
                <w:szCs w:val="24"/>
                <w:highlight w:val="none"/>
                <w:lang w:eastAsia="zh-CN"/>
              </w:rPr>
              <w:t>及厂家承诺实行“三包”，要求成交人免费送货上门、免费安装调试，验收分为“到货清点验收、工程验收”二阶段。将所供商品运至交货地点，在采购人员在场时拆箱，有采购人当场清点验收，安装调试完毕后，协助采购人完成工程验收（由厂家或供货商在售后服务承诺中作出承诺）。</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交货时应提供设备操作手册、使用指南、维修指南、服务手册和示意图等。</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竞标人必须提供售后技术服务承诺书。</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五、实施和安装要求： </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（1）成交供应商必须服从采购人现场负责人的指挥，按指定地点安装各种不同设备； </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（2）安装过程中的所有安全保障由成交供应商自行负责； </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（3）严格按照成交产品的安装规范要求进行安装，确保安全。</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82" w:firstLineChars="200"/>
              <w:textAlignment w:val="auto"/>
              <w:rPr>
                <w:rFonts w:hint="eastAsia" w:ascii="宋体" w:hAnsi="宋体" w:eastAsia="宋体" w:cs="宋体"/>
                <w:b/>
                <w:bCs/>
                <w:color w:val="auto"/>
                <w:sz w:val="24"/>
                <w:szCs w:val="24"/>
                <w:highlight w:val="none"/>
                <w:lang w:val="en-US" w:eastAsia="zh-CN"/>
              </w:rPr>
            </w:pPr>
          </w:p>
          <w:p>
            <w:pPr>
              <w:keepNext w:val="0"/>
              <w:keepLines w:val="0"/>
              <w:pageBreakBefore w:val="0"/>
              <w:widowControl/>
              <w:kinsoku/>
              <w:wordWrap w:val="0"/>
              <w:overflowPunct/>
              <w:topLinePunct w:val="0"/>
              <w:autoSpaceDE/>
              <w:autoSpaceDN/>
              <w:bidi w:val="0"/>
              <w:adjustRightInd w:val="0"/>
              <w:snapToGrid w:val="0"/>
              <w:spacing w:after="0" w:line="336"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六、付款方式：</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将所有货物发送至采购人指定地点，全部货物验收合格后，供应商向采购人开具全额发票和验收书向采购人提出货款申请，采购人经检查单据合格后支付80%货款；剩余18%合同款项待供应商安装调试完成后，由采购人组织的书面验收，验收合格后5个工作日内支付；预留2%质保金，质量保证期过后五个工作日内无息支付。</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票据要求：成交供应商必须按照采购人要求提供真实、有效、合法的正式发票。一旦发现成交供应商提供虚假发票，除须向采购人补开合法发票外，须赔偿采购人发票票面金额一倍的违约金，且采购人有权终止合同，供应商不得提出异议，因终止合同而产生的一切损失均由供应商承担。</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（注：甲方付款前，乙方必须向甲方提供相应款项的发票，收款方、出具发票方、合同乙方均必须与成交人名称一致。）</w:t>
            </w:r>
          </w:p>
        </w:tc>
      </w:tr>
    </w:tbl>
    <w:p>
      <w:pPr>
        <w:pageBreakBefore w:val="0"/>
        <w:kinsoku/>
        <w:wordWrap w:val="0"/>
        <w:overflowPunct/>
        <w:topLinePunct w:val="0"/>
        <w:bidi w:val="0"/>
        <w:spacing w:line="336"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pStyle w:val="42"/>
        <w:pageBreakBefore w:val="0"/>
        <w:kinsoku/>
        <w:wordWrap w:val="0"/>
        <w:overflowPunct/>
        <w:topLinePunct w:val="0"/>
        <w:bidi w:val="0"/>
        <w:spacing w:line="336" w:lineRule="auto"/>
        <w:outlineLvl w:val="0"/>
        <w:rPr>
          <w:rFonts w:hint="eastAsia" w:ascii="宋体" w:hAnsi="宋体" w:eastAsia="宋体" w:cs="宋体"/>
          <w:color w:val="auto"/>
          <w:highlight w:val="none"/>
          <w:lang w:eastAsia="zh-CN"/>
        </w:rPr>
      </w:pPr>
      <w:r>
        <w:rPr>
          <w:rFonts w:hint="eastAsia" w:ascii="宋体" w:hAnsi="宋体" w:eastAsia="宋体" w:cs="宋体"/>
          <w:color w:val="auto"/>
          <w:sz w:val="32"/>
          <w:szCs w:val="32"/>
          <w:highlight w:val="none"/>
        </w:rPr>
        <w:t>第四章</w:t>
      </w:r>
      <w:bookmarkEnd w:id="130"/>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b/>
          <w:bCs/>
          <w:color w:val="auto"/>
          <w:sz w:val="32"/>
          <w:szCs w:val="32"/>
          <w:highlight w:val="none"/>
        </w:rPr>
        <w:t>政府采购合同</w:t>
      </w:r>
      <w:r>
        <w:rPr>
          <w:rFonts w:hint="eastAsia" w:ascii="宋体" w:hAnsi="宋体" w:eastAsia="宋体" w:cs="宋体"/>
          <w:b/>
          <w:bCs/>
          <w:color w:val="auto"/>
          <w:sz w:val="32"/>
          <w:szCs w:val="32"/>
          <w:highlight w:val="none"/>
          <w:lang w:eastAsia="zh-CN"/>
        </w:rPr>
        <w:t>格式</w:t>
      </w:r>
      <w:bookmarkEnd w:id="131"/>
      <w:bookmarkEnd w:id="132"/>
    </w:p>
    <w:p>
      <w:pPr>
        <w:pageBreakBefore w:val="0"/>
        <w:kinsoku/>
        <w:wordWrap w:val="0"/>
        <w:overflowPunct/>
        <w:topLinePunct w:val="0"/>
        <w:bidi w:val="0"/>
        <w:snapToGrid w:val="0"/>
        <w:spacing w:line="336" w:lineRule="auto"/>
        <w:jc w:val="center"/>
        <w:rPr>
          <w:rFonts w:hint="eastAsia" w:ascii="宋体" w:hAnsi="宋体" w:eastAsia="宋体" w:cs="宋体"/>
          <w:color w:val="auto"/>
          <w:sz w:val="28"/>
          <w:szCs w:val="24"/>
          <w:highlight w:val="none"/>
        </w:rPr>
      </w:pPr>
      <w:bookmarkStart w:id="133" w:name="_Toc14158"/>
      <w:bookmarkStart w:id="134" w:name="_Toc12511"/>
      <w:bookmarkStart w:id="135" w:name="_Toc21546"/>
      <w:bookmarkStart w:id="136" w:name="_Toc29928"/>
      <w:bookmarkStart w:id="137" w:name="_Toc17816979"/>
      <w:r>
        <w:rPr>
          <w:rFonts w:hint="eastAsia" w:ascii="宋体" w:hAnsi="宋体" w:eastAsia="宋体" w:cs="宋体"/>
          <w:b/>
          <w:color w:val="auto"/>
          <w:sz w:val="28"/>
          <w:szCs w:val="24"/>
          <w:highlight w:val="none"/>
        </w:rPr>
        <w:t>广西壮族自治区政府采购合同使用说明</w:t>
      </w:r>
    </w:p>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（一般货物类）</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是对竞争性谈判文件规定或者响应文件承诺中的货物和服务要约事项的细化和补充，所签订的合同不得对竞争性谈判文件和成交供应商响应文件作实质性修改；采购活动过程中有关项目标的性状的重要澄清和承诺事项必须在合同相应条款中予以明确表达。采购人和成交供应商不得提出任何不合理的要求作为签订合同的条件；不得私下订立背离竞争性谈判文件实质性内容的协议。</w:t>
      </w:r>
    </w:p>
    <w:p>
      <w:pPr>
        <w:pageBreakBefore w:val="0"/>
        <w:kinsoku/>
        <w:wordWrap w:val="0"/>
        <w:overflowPunct/>
        <w:topLinePunct w:val="0"/>
        <w:bidi w:val="0"/>
        <w:snapToGrid w:val="0"/>
        <w:spacing w:line="336"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一、本合同适用范围</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家用电器、电子产品、教学仪器设备、医疗仪器设备、广播电视仪器设备、体育器材、音响乐器、药品、服装、印刷设备和印刷品等政府采购项目（协议供货除外）适用于本合同。</w:t>
      </w:r>
    </w:p>
    <w:p>
      <w:pPr>
        <w:pageBreakBefore w:val="0"/>
        <w:kinsoku/>
        <w:wordWrap w:val="0"/>
        <w:overflowPunct/>
        <w:topLinePunct w:val="0"/>
        <w:bidi w:val="0"/>
        <w:snapToGrid w:val="0"/>
        <w:spacing w:line="336"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二、填写说明</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（一）合同标题：地市县使用时可在“广西壮族自治区”后再加所在地名称或者将“广西壮族自治区”删除加所在地名称。</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（二）本合同划线部分所需填写内容，除以下条款特殊要求外，按竞争性谈判文件规定或者响应文件承诺的要求填写，如竞争性谈判文件规定或者响应文件承诺的没有明确，按甲乙双方商定意见填写。</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（三）第一条合同标的：按表中各项目要求填写，内容填写不下时可另加附页。</w:t>
      </w:r>
    </w:p>
    <w:p>
      <w:pPr>
        <w:pageBreakBefore w:val="0"/>
        <w:kinsoku/>
        <w:wordWrap w:val="0"/>
        <w:overflowPunct/>
        <w:topLinePunct w:val="0"/>
        <w:bidi w:val="0"/>
        <w:adjustRightInd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（四）第四条包装和运输：货物运输方式包括；汽车、火车、轮船等。</w:t>
      </w:r>
    </w:p>
    <w:p>
      <w:pPr>
        <w:pageBreakBefore w:val="0"/>
        <w:kinsoku/>
        <w:wordWrap w:val="0"/>
        <w:overflowPunct/>
        <w:topLinePunct w:val="0"/>
        <w:bidi w:val="0"/>
        <w:adjustRightInd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（五）货物交付和验收：时间按合同签订（或者生效）后多少日（或者工作日）或者直接填X年X月X日前交货。</w:t>
      </w:r>
    </w:p>
    <w:p>
      <w:pPr>
        <w:pageBreakBefore w:val="0"/>
        <w:kinsoku/>
        <w:wordWrap w:val="0"/>
        <w:overflowPunct/>
        <w:topLinePunct w:val="0"/>
        <w:bidi w:val="0"/>
        <w:adjustRightInd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（六）第八条付款方式：资金性质按一般预算拨款、财政性基金拨款、纳入财政专户管理的收入安排的资金、未纳入财政专户管理的收入安排的资金、上年结余填写。</w:t>
      </w:r>
    </w:p>
    <w:p>
      <w:pPr>
        <w:pageBreakBefore w:val="0"/>
        <w:kinsoku/>
        <w:wordWrap w:val="0"/>
        <w:overflowPunct/>
        <w:topLinePunct w:val="0"/>
        <w:bidi w:val="0"/>
        <w:adjustRightInd w:val="0"/>
        <w:snapToGrid w:val="0"/>
        <w:spacing w:line="336"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三、有关要求</w:t>
      </w:r>
    </w:p>
    <w:p>
      <w:pPr>
        <w:pageBreakBefore w:val="0"/>
        <w:kinsoku/>
        <w:wordWrap w:val="0"/>
        <w:overflowPunct/>
        <w:topLinePunct w:val="0"/>
        <w:bidi w:val="0"/>
        <w:adjustRightInd w:val="0"/>
        <w:snapToGrid w:val="0"/>
        <w:spacing w:line="336"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（一）各单位现使用的专业合同可作为本合同附件，但专业合同各条款必须符合竞争性谈判文件规定或者响应文件承诺的和本合同各条款要求，如发生矛盾以本合同为准。</w:t>
      </w:r>
    </w:p>
    <w:p>
      <w:pPr>
        <w:pageBreakBefore w:val="0"/>
        <w:kinsoku/>
        <w:wordWrap w:val="0"/>
        <w:overflowPunct/>
        <w:topLinePunct w:val="0"/>
        <w:bidi w:val="0"/>
        <w:adjustRightInd w:val="0"/>
        <w:snapToGrid w:val="0"/>
        <w:spacing w:line="336"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（二）协议供货合同应使用原文本。</w:t>
      </w:r>
    </w:p>
    <w:p>
      <w:pPr>
        <w:pageBreakBefore w:val="0"/>
        <w:kinsoku/>
        <w:wordWrap w:val="0"/>
        <w:overflowPunct/>
        <w:topLinePunct w:val="0"/>
        <w:bidi w:val="0"/>
        <w:adjustRightInd w:val="0"/>
        <w:snapToGrid w:val="0"/>
        <w:spacing w:line="336"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（三）甲乙双方对本合同各条款均不能改动，只能在划线位置填写，如有改动视同无效合同。</w:t>
      </w:r>
    </w:p>
    <w:p>
      <w:pPr>
        <w:pageBreakBefore w:val="0"/>
        <w:kinsoku/>
        <w:wordWrap w:val="0"/>
        <w:overflowPunct/>
        <w:topLinePunct w:val="0"/>
        <w:bidi w:val="0"/>
        <w:adjustRightInd w:val="0"/>
        <w:snapToGrid w:val="0"/>
        <w:spacing w:line="336"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（四）本合同统一用A4纸打印。</w:t>
      </w:r>
    </w:p>
    <w:p>
      <w:pPr>
        <w:pageBreakBefore w:val="0"/>
        <w:kinsoku/>
        <w:wordWrap w:val="0"/>
        <w:overflowPunct/>
        <w:topLinePunct w:val="0"/>
        <w:bidi w:val="0"/>
        <w:adjustRightInd w:val="0"/>
        <w:snapToGrid w:val="0"/>
        <w:spacing w:line="336"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（五）本合同为试行文本，采购人和成交供应商在使用过程中如发现不当之处，请及时提出建议，以便修正。</w:t>
      </w:r>
    </w:p>
    <w:p>
      <w:pPr>
        <w:pageBreakBefore w:val="0"/>
        <w:kinsoku/>
        <w:wordWrap w:val="0"/>
        <w:overflowPunct/>
        <w:topLinePunct w:val="0"/>
        <w:bidi w:val="0"/>
        <w:adjustRightInd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本合同各条款由广西壮族自治区财政厅政府采购监督管理处负责解释。</w:t>
      </w:r>
    </w:p>
    <w:p>
      <w:pPr>
        <w:pageBreakBefore w:val="0"/>
        <w:kinsoku/>
        <w:wordWrap w:val="0"/>
        <w:overflowPunct/>
        <w:topLinePunct w:val="0"/>
        <w:bidi w:val="0"/>
        <w:spacing w:line="336" w:lineRule="auto"/>
        <w:rPr>
          <w:rFonts w:hint="eastAsia" w:ascii="宋体" w:hAnsi="宋体" w:eastAsia="宋体" w:cs="宋体"/>
          <w:b/>
          <w:color w:val="auto"/>
          <w:sz w:val="32"/>
          <w:szCs w:val="32"/>
          <w:highlight w:val="none"/>
        </w:rPr>
      </w:pPr>
      <w:r>
        <w:rPr>
          <w:rFonts w:hint="eastAsia" w:ascii="宋体" w:hAnsi="宋体" w:eastAsia="宋体" w:cs="宋体"/>
          <w:b/>
          <w:bCs/>
          <w:color w:val="auto"/>
          <w:sz w:val="28"/>
          <w:szCs w:val="28"/>
          <w:highlight w:val="none"/>
        </w:rPr>
        <w:br w:type="page"/>
      </w:r>
      <w:bookmarkEnd w:id="133"/>
      <w:bookmarkEnd w:id="134"/>
      <w:bookmarkEnd w:id="135"/>
      <w:bookmarkEnd w:id="136"/>
      <w:r>
        <w:rPr>
          <w:rFonts w:hint="eastAsia" w:ascii="宋体" w:hAnsi="宋体" w:eastAsia="宋体" w:cs="宋体"/>
          <w:b/>
          <w:color w:val="auto"/>
          <w:sz w:val="32"/>
          <w:szCs w:val="32"/>
          <w:highlight w:val="none"/>
        </w:rPr>
        <w:t>一般货物类</w:t>
      </w:r>
    </w:p>
    <w:p>
      <w:pPr>
        <w:pageBreakBefore w:val="0"/>
        <w:kinsoku/>
        <w:wordWrap w:val="0"/>
        <w:overflowPunct/>
        <w:topLinePunct w:val="0"/>
        <w:bidi w:val="0"/>
        <w:snapToGrid w:val="0"/>
        <w:spacing w:line="336" w:lineRule="auto"/>
        <w:jc w:val="center"/>
        <w:rPr>
          <w:rFonts w:hint="eastAsia" w:ascii="宋体" w:hAnsi="宋体" w:eastAsia="宋体" w:cs="宋体"/>
          <w:b/>
          <w:bCs/>
          <w:color w:val="auto"/>
          <w:sz w:val="32"/>
          <w:szCs w:val="32"/>
          <w:highlight w:val="none"/>
        </w:rPr>
      </w:pPr>
    </w:p>
    <w:p>
      <w:pPr>
        <w:pageBreakBefore w:val="0"/>
        <w:kinsoku/>
        <w:wordWrap w:val="0"/>
        <w:overflowPunct/>
        <w:topLinePunct w:val="0"/>
        <w:bidi w:val="0"/>
        <w:snapToGrid w:val="0"/>
        <w:spacing w:line="336"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《广西壮族自治区政府采购合同》</w:t>
      </w:r>
      <w:r>
        <w:rPr>
          <w:rFonts w:hint="eastAsia" w:ascii="宋体" w:hAnsi="宋体" w:eastAsia="宋体" w:cs="宋体"/>
          <w:b/>
          <w:color w:val="auto"/>
          <w:sz w:val="32"/>
          <w:szCs w:val="32"/>
          <w:highlight w:val="none"/>
        </w:rPr>
        <w:t>文本</w:t>
      </w:r>
    </w:p>
    <w:p>
      <w:pPr>
        <w:pageBreakBefore w:val="0"/>
        <w:kinsoku/>
        <w:wordWrap w:val="0"/>
        <w:overflowPunct/>
        <w:topLinePunct w:val="0"/>
        <w:bidi w:val="0"/>
        <w:snapToGrid w:val="0"/>
        <w:spacing w:line="336" w:lineRule="auto"/>
        <w:ind w:right="480" w:firstLine="6000" w:firstLineChars="2500"/>
        <w:rPr>
          <w:rFonts w:hint="eastAsia" w:ascii="宋体" w:hAnsi="宋体" w:eastAsia="宋体" w:cs="宋体"/>
          <w:bCs/>
          <w:color w:val="auto"/>
          <w:sz w:val="24"/>
          <w:szCs w:val="24"/>
          <w:highlight w:val="none"/>
        </w:rPr>
      </w:pPr>
    </w:p>
    <w:p>
      <w:pPr>
        <w:pageBreakBefore w:val="0"/>
        <w:kinsoku/>
        <w:wordWrap w:val="0"/>
        <w:overflowPunct/>
        <w:topLinePunct w:val="0"/>
        <w:bidi w:val="0"/>
        <w:snapToGrid w:val="0"/>
        <w:spacing w:line="336" w:lineRule="auto"/>
        <w:ind w:right="480" w:firstLine="6000" w:firstLineChars="25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合同编号：</w:t>
      </w:r>
    </w:p>
    <w:p>
      <w:pPr>
        <w:pageBreakBefore w:val="0"/>
        <w:kinsoku/>
        <w:wordWrap w:val="0"/>
        <w:overflowPunct/>
        <w:topLinePunct w:val="0"/>
        <w:bidi w:val="0"/>
        <w:snapToGrid w:val="0"/>
        <w:spacing w:line="336" w:lineRule="auto"/>
        <w:rPr>
          <w:rFonts w:hint="eastAsia" w:ascii="宋体" w:hAnsi="宋体" w:eastAsia="宋体" w:cs="宋体"/>
          <w:color w:val="auto"/>
          <w:sz w:val="24"/>
          <w:szCs w:val="24"/>
          <w:highlight w:val="none"/>
        </w:rPr>
      </w:pPr>
    </w:p>
    <w:p>
      <w:pPr>
        <w:pageBreakBefore w:val="0"/>
        <w:kinsoku/>
        <w:wordWrap w:val="0"/>
        <w:overflowPunct/>
        <w:topLinePunct w:val="0"/>
        <w:bidi w:val="0"/>
        <w:snapToGrid w:val="0"/>
        <w:spacing w:line="336"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采购人（甲方）：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采购计划号：</w:t>
      </w:r>
      <w:r>
        <w:rPr>
          <w:rFonts w:hint="eastAsia" w:ascii="宋体" w:hAnsi="宋体" w:eastAsia="宋体" w:cs="宋体"/>
          <w:color w:val="auto"/>
          <w:sz w:val="24"/>
          <w:szCs w:val="24"/>
          <w:highlight w:val="none"/>
          <w:u w:val="single"/>
        </w:rPr>
        <w:t xml:space="preserve">                        </w:t>
      </w:r>
    </w:p>
    <w:p>
      <w:pPr>
        <w:pageBreakBefore w:val="0"/>
        <w:kinsoku/>
        <w:wordWrap w:val="0"/>
        <w:overflowPunct/>
        <w:topLinePunct w:val="0"/>
        <w:bidi w:val="0"/>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供应商（乙方）：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ageBreakBefore w:val="0"/>
        <w:kinsoku/>
        <w:wordWrap w:val="0"/>
        <w:overflowPunct/>
        <w:topLinePunct w:val="0"/>
        <w:bidi w:val="0"/>
        <w:snapToGrid w:val="0"/>
        <w:spacing w:line="336"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项目编号：</w:t>
      </w:r>
      <w:r>
        <w:rPr>
          <w:rFonts w:hint="eastAsia" w:ascii="宋体" w:hAnsi="宋体" w:eastAsia="宋体" w:cs="宋体"/>
          <w:color w:val="auto"/>
          <w:sz w:val="24"/>
          <w:szCs w:val="24"/>
          <w:highlight w:val="none"/>
          <w:u w:val="single"/>
        </w:rPr>
        <w:t xml:space="preserve">                          </w:t>
      </w:r>
    </w:p>
    <w:p>
      <w:pPr>
        <w:pageBreakBefore w:val="0"/>
        <w:kinsoku/>
        <w:wordWrap w:val="0"/>
        <w:overflowPunct/>
        <w:topLinePunct w:val="0"/>
        <w:bidi w:val="0"/>
        <w:snapToGrid w:val="0"/>
        <w:spacing w:line="336"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签订时间：</w:t>
      </w:r>
      <w:r>
        <w:rPr>
          <w:rFonts w:hint="eastAsia" w:ascii="宋体" w:hAnsi="宋体" w:eastAsia="宋体" w:cs="宋体"/>
          <w:color w:val="auto"/>
          <w:sz w:val="24"/>
          <w:szCs w:val="24"/>
          <w:highlight w:val="none"/>
          <w:u w:val="single"/>
        </w:rPr>
        <w:t xml:space="preserve">                          </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根据《中华人民共和国政府采购法》、《中华人民共和国合同法》等法律、法规规定，按照竞争性谈判文件规定条款和成交供应商承诺，甲乙双方签订本合同。</w:t>
      </w:r>
    </w:p>
    <w:p>
      <w:pPr>
        <w:pageBreakBefore w:val="0"/>
        <w:kinsoku/>
        <w:wordWrap w:val="0"/>
        <w:overflowPunct/>
        <w:topLinePunct w:val="0"/>
        <w:bidi w:val="0"/>
        <w:snapToGrid w:val="0"/>
        <w:spacing w:line="336"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第一条　合同标的</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1.供货一览表</w:t>
      </w:r>
    </w:p>
    <w:tbl>
      <w:tblPr>
        <w:tblStyle w:val="1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737"/>
        <w:gridCol w:w="735"/>
        <w:gridCol w:w="109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33"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tc>
        <w:tc>
          <w:tcPr>
            <w:tcW w:w="1059"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商标品牌</w:t>
            </w:r>
          </w:p>
        </w:tc>
        <w:tc>
          <w:tcPr>
            <w:tcW w:w="1233"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210"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生产厂家</w:t>
            </w:r>
          </w:p>
        </w:tc>
        <w:tc>
          <w:tcPr>
            <w:tcW w:w="737"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35"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95"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145"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33"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p>
        </w:tc>
        <w:tc>
          <w:tcPr>
            <w:tcW w:w="1059"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p>
        </w:tc>
        <w:tc>
          <w:tcPr>
            <w:tcW w:w="1233"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p>
        </w:tc>
        <w:tc>
          <w:tcPr>
            <w:tcW w:w="1210"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p>
        </w:tc>
        <w:tc>
          <w:tcPr>
            <w:tcW w:w="737"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p>
        </w:tc>
        <w:tc>
          <w:tcPr>
            <w:tcW w:w="735"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p>
        </w:tc>
        <w:tc>
          <w:tcPr>
            <w:tcW w:w="1095"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p>
        </w:tc>
        <w:tc>
          <w:tcPr>
            <w:tcW w:w="1145"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33"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p>
        </w:tc>
        <w:tc>
          <w:tcPr>
            <w:tcW w:w="1059"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p>
        </w:tc>
        <w:tc>
          <w:tcPr>
            <w:tcW w:w="1233"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p>
        </w:tc>
        <w:tc>
          <w:tcPr>
            <w:tcW w:w="1210"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p>
        </w:tc>
        <w:tc>
          <w:tcPr>
            <w:tcW w:w="737"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p>
        </w:tc>
        <w:tc>
          <w:tcPr>
            <w:tcW w:w="735"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p>
        </w:tc>
        <w:tc>
          <w:tcPr>
            <w:tcW w:w="1095"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p>
        </w:tc>
        <w:tc>
          <w:tcPr>
            <w:tcW w:w="1145"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33"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p>
        </w:tc>
        <w:tc>
          <w:tcPr>
            <w:tcW w:w="1059"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p>
        </w:tc>
        <w:tc>
          <w:tcPr>
            <w:tcW w:w="1233"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p>
        </w:tc>
        <w:tc>
          <w:tcPr>
            <w:tcW w:w="1210"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p>
        </w:tc>
        <w:tc>
          <w:tcPr>
            <w:tcW w:w="737"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p>
        </w:tc>
        <w:tc>
          <w:tcPr>
            <w:tcW w:w="735"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p>
        </w:tc>
        <w:tc>
          <w:tcPr>
            <w:tcW w:w="1095"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p>
        </w:tc>
        <w:tc>
          <w:tcPr>
            <w:tcW w:w="1145" w:type="dxa"/>
            <w:noWrap w:val="0"/>
            <w:vAlign w:val="center"/>
          </w:tcPr>
          <w:p>
            <w:pPr>
              <w:pageBreakBefore w:val="0"/>
              <w:kinsoku/>
              <w:wordWrap w:val="0"/>
              <w:overflowPunct/>
              <w:topLinePunct w:val="0"/>
              <w:bidi w:val="0"/>
              <w:snapToGrid w:val="0"/>
              <w:spacing w:line="336"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noWrap w:val="0"/>
            <w:vAlign w:val="center"/>
          </w:tcPr>
          <w:p>
            <w:pPr>
              <w:pageBreakBefore w:val="0"/>
              <w:kinsoku/>
              <w:wordWrap w:val="0"/>
              <w:overflowPunct/>
              <w:topLinePunct w:val="0"/>
              <w:bidi w:val="0"/>
              <w:snapToGrid w:val="0"/>
              <w:spacing w:line="33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人民币合计金额（大写）                          （小写）</w:t>
            </w:r>
          </w:p>
        </w:tc>
      </w:tr>
    </w:tbl>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合计金额包括竞标货物（包括备品备件、专用工具等）的价格（包括已在中国境内的进口货物完税后的仓库交货价、展室交货价或者货架交货价），竞标货物运输（含保险）、安装（如有）、调试、检验、技术服务、培训和竞争性谈判文件要求提供的所有伴随服务、工程等费用和税费。</w:t>
      </w:r>
    </w:p>
    <w:p>
      <w:pPr>
        <w:pageBreakBefore w:val="0"/>
        <w:kinsoku/>
        <w:wordWrap w:val="0"/>
        <w:overflowPunct/>
        <w:topLinePunct w:val="0"/>
        <w:bidi w:val="0"/>
        <w:snapToGrid w:val="0"/>
        <w:spacing w:line="336"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第二条　质量要求</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1.乙方所提供的产品名称、商标品牌、生产厂家、规格型号、技术参数等质量必须与竞争性谈判文件规定及响应文件承诺相一致。乙方提供的节能和环保产品必须是列入政府采购品目清单的产品。</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2.乙方所提供的货物必须是全新、未使用的原装产品，且在正常安装、使用和保养条件下，其使用寿命期内各项指标均达到竞争性谈判文件规定或者响应文件承诺的质量要求。</w:t>
      </w:r>
    </w:p>
    <w:p>
      <w:pPr>
        <w:pageBreakBefore w:val="0"/>
        <w:kinsoku/>
        <w:wordWrap w:val="0"/>
        <w:overflowPunct/>
        <w:topLinePunct w:val="0"/>
        <w:bidi w:val="0"/>
        <w:snapToGrid w:val="0"/>
        <w:spacing w:line="336"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第三条　权利保证</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1.乙方应保证所提供货物在使用时不会侵犯任何第三方的专利权、商标权、工业设计权或者其他权利。</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2.乙方应按竞争性谈判文件规定或者响应文件承诺的时间向甲方提供使用货物的有关技术资料。</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4.乙方保证将要交付的货物的所有权完全属于乙方且无任何抵押、质押、查封等产权瑕疵。</w:t>
      </w:r>
    </w:p>
    <w:p>
      <w:pPr>
        <w:pageBreakBefore w:val="0"/>
        <w:kinsoku/>
        <w:wordWrap w:val="0"/>
        <w:overflowPunct/>
        <w:topLinePunct w:val="0"/>
        <w:bidi w:val="0"/>
        <w:snapToGrid w:val="0"/>
        <w:spacing w:line="336"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第四条　包装和运输</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1.乙方提供的货物均应按竞争性谈判文件规定或者响应文件承诺的要求的包装材料、包装标准、包装方式进行包装，每一包装单元内应附详细的装箱单和质量合格证。</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2.货物的运输方式：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3.乙方负责货物运输，货物运输合理损耗及计算方法：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val="0"/>
        <w:overflowPunct/>
        <w:topLinePunct w:val="0"/>
        <w:bidi w:val="0"/>
        <w:snapToGrid w:val="0"/>
        <w:spacing w:line="336"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第五条　交付和验收</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1.交付时间：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；交付地点：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2.乙方提供不符合竞争性谈判文件规定或者响应文件承诺的和本合同规定的货物，甲方有权拒绝接受。</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4.甲方应当在到货（安装、调试完）后七个工作日内进行验收，逾期不验收的，乙方可视同验收合格。验收合格后由甲乙双方签署货物验收单并加盖甲方公章，甲乙双方各执一份。</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6.甲方对验收有异议的，在验收后五个工作日内以书面形式向乙方提出，乙方应自收到甲方书面异议后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日内及时予以解决。</w:t>
      </w:r>
    </w:p>
    <w:p>
      <w:pPr>
        <w:pageBreakBefore w:val="0"/>
        <w:kinsoku/>
        <w:wordWrap w:val="0"/>
        <w:overflowPunct/>
        <w:topLinePunct w:val="0"/>
        <w:bidi w:val="0"/>
        <w:snapToGrid w:val="0"/>
        <w:spacing w:line="336"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第六条　安装和培训</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1.甲方应提供必要安装条件（如场地、电源、水源等）。</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2.乙方响应文件承诺负责甲方有关人员的培训。培训时间、地点：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val="0"/>
        <w:overflowPunct/>
        <w:topLinePunct w:val="0"/>
        <w:bidi w:val="0"/>
        <w:snapToGrid w:val="0"/>
        <w:spacing w:line="336"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第七条  售后服务、质保期</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1.乙方应按照国家有关法律法规和“三包”规定以及本合同所附的《服务承诺》，为甲方提供售后服务。</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2.货物质保期：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3.乙方提供的服务承诺和售后服务及保修期责任等其它具体约定事项。（见合同附件）</w:t>
      </w:r>
    </w:p>
    <w:p>
      <w:pPr>
        <w:pageBreakBefore w:val="0"/>
        <w:kinsoku/>
        <w:wordWrap w:val="0"/>
        <w:overflowPunct/>
        <w:topLinePunct w:val="0"/>
        <w:bidi w:val="0"/>
        <w:snapToGrid w:val="0"/>
        <w:spacing w:line="336"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第八条　付款方式</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1.当采购数量与实际使用数量不一致时，乙方应根据实际使用量供货，合同的最终结算金额按实际使用量乘以成交单价进行计算，但不得超出合同价的10%。</w:t>
      </w:r>
    </w:p>
    <w:p>
      <w:pPr>
        <w:keepNext w:val="0"/>
        <w:keepLines w:val="0"/>
        <w:pageBreakBefore w:val="0"/>
        <w:widowControl/>
        <w:kinsoku/>
        <w:wordWrap w:val="0"/>
        <w:overflowPunct/>
        <w:topLinePunct w:val="0"/>
        <w:autoSpaceDE/>
        <w:autoSpaceDN/>
        <w:bidi w:val="0"/>
        <w:adjustRightInd w:val="0"/>
        <w:snapToGrid w:val="0"/>
        <w:spacing w:after="0" w:line="336" w:lineRule="auto"/>
        <w:ind w:firstLine="480" w:firstLineChars="200"/>
        <w:textAlignment w:val="auto"/>
        <w:rPr>
          <w:rFonts w:hint="eastAsia" w:ascii="宋体" w:hAnsi="宋体" w:eastAsia="宋体" w:cs="宋体"/>
          <w:color w:val="C00000"/>
          <w:sz w:val="24"/>
          <w:szCs w:val="24"/>
          <w:highlight w:val="yellow"/>
          <w:lang w:val="en-US" w:eastAsia="zh-CN"/>
        </w:rPr>
      </w:pPr>
      <w:r>
        <w:rPr>
          <w:rFonts w:hint="eastAsia" w:ascii="宋体" w:hAnsi="宋体" w:eastAsia="宋体" w:cs="宋体"/>
          <w:color w:val="auto"/>
          <w:sz w:val="24"/>
          <w:szCs w:val="24"/>
          <w:highlight w:val="none"/>
        </w:rPr>
        <w:t>2.付款方式：</w:t>
      </w:r>
      <w:r>
        <w:rPr>
          <w:rFonts w:hint="eastAsia" w:ascii="宋体" w:hAnsi="宋体" w:eastAsia="宋体" w:cs="宋体"/>
          <w:color w:val="auto"/>
          <w:sz w:val="24"/>
          <w:szCs w:val="24"/>
          <w:highlight w:val="none"/>
          <w:lang w:val="en-US" w:eastAsia="zh-CN"/>
        </w:rPr>
        <w:t>（1）将所有货物发送至采购人指定地点，全部货物验收合格后，供应商向采购人开具全额发票和验收书向采购人提出货款申请，采购人经检查单据合格后支付80%货款；剩余18%合同款项待供应商安装调试完成后，由采购人组织的书面验收，验收合格后5个工作日内支付；预留2%质保金，质量保证期过后五个工作日内无息支付。</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票据要求：成交供应商必须按照采购人要求提供真实、有效、合法的正式发票。一旦发现成交供应商提供虚假发票，除须向采购人补开合法发票外，须赔偿采购人发票票面金额一倍的违约金，且采购人有权终止合同，供应商不得提出异议，因终止合同而产生的一切损失均由供应商承担。</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（注：甲方付款前，乙方必须向甲方提供相应款项的发票，收款方、出具发票方、合同乙方均必须与成交人名称一致。）</w:t>
      </w:r>
    </w:p>
    <w:p>
      <w:pPr>
        <w:pageBreakBefore w:val="0"/>
        <w:kinsoku/>
        <w:wordWrap w:val="0"/>
        <w:overflowPunct/>
        <w:topLinePunct w:val="0"/>
        <w:bidi w:val="0"/>
        <w:snapToGrid w:val="0"/>
        <w:spacing w:line="336" w:lineRule="auto"/>
        <w:ind w:left="-64" w:leftChars="-29" w:firstLine="590" w:firstLineChars="24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第九条　履约保证金</w:t>
      </w:r>
    </w:p>
    <w:p>
      <w:pPr>
        <w:pageBreakBefore w:val="0"/>
        <w:kinsoku/>
        <w:wordWrap w:val="0"/>
        <w:overflowPunct/>
        <w:topLinePunct w:val="0"/>
        <w:bidi w:val="0"/>
        <w:snapToGrid w:val="0"/>
        <w:spacing w:line="336" w:lineRule="auto"/>
        <w:ind w:left="-64" w:leftChars="-29" w:firstLine="588" w:firstLineChars="24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w:t>
      </w:r>
    </w:p>
    <w:p>
      <w:pPr>
        <w:pageBreakBefore w:val="0"/>
        <w:kinsoku/>
        <w:wordWrap w:val="0"/>
        <w:overflowPunct/>
        <w:topLinePunct w:val="0"/>
        <w:bidi w:val="0"/>
        <w:snapToGrid w:val="0"/>
        <w:spacing w:line="336" w:lineRule="auto"/>
        <w:ind w:left="-61" w:firstLine="51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第十条  税费</w:t>
      </w:r>
    </w:p>
    <w:p>
      <w:pPr>
        <w:pageBreakBefore w:val="0"/>
        <w:kinsoku/>
        <w:wordWrap w:val="0"/>
        <w:overflowPunct/>
        <w:topLinePunct w:val="0"/>
        <w:bidi w:val="0"/>
        <w:snapToGrid w:val="0"/>
        <w:spacing w:line="336" w:lineRule="auto"/>
        <w:ind w:left="-61" w:firstLine="5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本合同执行中相关的一切税费均由乙方负担，合同另有约定的除外。</w:t>
      </w:r>
    </w:p>
    <w:p>
      <w:pPr>
        <w:pageBreakBefore w:val="0"/>
        <w:kinsoku/>
        <w:wordWrap w:val="0"/>
        <w:overflowPunct/>
        <w:topLinePunct w:val="0"/>
        <w:bidi w:val="0"/>
        <w:snapToGrid w:val="0"/>
        <w:spacing w:line="336" w:lineRule="auto"/>
        <w:ind w:left="-61" w:firstLine="514"/>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第十一条  质量保证及售后服务</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1.乙方应按竞争性谈判文件规定的产品名称、商标品牌、生产厂家、规格型号、技术参数、质量标准向甲方提供未经使用的全新产品。不符合要求的，根据实际情况，经双方协商，可按以下办法处理：</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⑴更换：由乙方承担所发生的全部费用。</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⑵贬值处理：由甲乙双方合议定价。</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⑶退货处理：乙方应退还甲方支付的合同款，同时应承担该货物的直接费用（运输、保险、检验、货款利息及银行手续费等）。</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2.如在使用过程中发生质量问题，乙方在接到甲方通知后到达甲方现场处理的时间</w:t>
      </w:r>
      <w:r>
        <w:rPr>
          <w:rFonts w:hint="eastAsia" w:ascii="宋体" w:hAnsi="宋体" w:eastAsia="宋体" w:cs="宋体"/>
          <w:color w:val="auto"/>
          <w:sz w:val="24"/>
          <w:szCs w:val="24"/>
          <w:highlight w:val="none"/>
          <w:u w:val="single"/>
        </w:rPr>
        <w:t>（按响应文件承诺的数据填写）</w:t>
      </w:r>
      <w:r>
        <w:rPr>
          <w:rFonts w:hint="eastAsia" w:ascii="宋体" w:hAnsi="宋体" w:eastAsia="宋体" w:cs="宋体"/>
          <w:color w:val="auto"/>
          <w:sz w:val="24"/>
          <w:szCs w:val="24"/>
          <w:highlight w:val="none"/>
        </w:rPr>
        <w:t>小时内。</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3.在质保期内，乙方应对货物出现的质量及安全问题负责处理解决并承担一切费用。</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4.上述的货物质保期为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年，因人为因素出现的故障不在免费保修范围内。超过保修期的机器设备，终生维修，维修时只收部件成本费。</w:t>
      </w:r>
    </w:p>
    <w:p>
      <w:pPr>
        <w:pageBreakBefore w:val="0"/>
        <w:kinsoku/>
        <w:wordWrap w:val="0"/>
        <w:overflowPunct/>
        <w:topLinePunct w:val="0"/>
        <w:bidi w:val="0"/>
        <w:snapToGrid w:val="0"/>
        <w:spacing w:line="336" w:lineRule="auto"/>
        <w:ind w:left="-61" w:firstLine="514"/>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第十二条  调试和验收（本条款适用于甲方自行验收，委托第三方验收的另行规定）</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七个工作日内进行验收。</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2.乙方交货前应对产品作出全面检查和对验收文件进行整理，并列出清单，作为甲方收货验收和使用的技术条件依据，检验的结果应随货物交甲方。</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3.甲方对乙方提供的货物在使用前进行调试时，乙方需负责安装并培训甲方的使用操作人员，并协助甲方一起调试，直到符合技术要求，甲方才做最终验收。</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4.对技术复杂的货物，甲方应请国家认可的专业检测机构参与初步验收及最终验收，并由其出具质量检测报告。</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5.验收时乙方必须在现场，验收完毕后作出验收结果报告；验收费用按竞争性谈判文件约定承担方负责。</w:t>
      </w:r>
    </w:p>
    <w:p>
      <w:pPr>
        <w:pageBreakBefore w:val="0"/>
        <w:kinsoku/>
        <w:wordWrap w:val="0"/>
        <w:overflowPunct/>
        <w:topLinePunct w:val="0"/>
        <w:bidi w:val="0"/>
        <w:snapToGrid w:val="0"/>
        <w:spacing w:line="336" w:lineRule="auto"/>
        <w:ind w:left="-61" w:firstLine="51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第十三条  货物包装、发运及运输</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1.乙方应在货物发运前对其进行满足运输距离、防潮、防震、防锈和防破损装卸等要求包装，以保证货物安全运达甲方指定地点。</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2.使用说明书（货物属于进口产品的，供货时应同时附上中文使用说明书）、质量检验证明书、随配附件和工具以及清单一并附于货物内。</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3.乙方在货物发运手续办理完毕后二十四小时内或者货到甲方四十八小时前通知甲方，以准备接货。</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4.货物在交付甲方前发生的风险均由乙方负责。</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5.货物在规定的交付期限内由乙方送达甲方指定的地点视为交付，乙方同时需通知甲方货物已送达。</w:t>
      </w:r>
    </w:p>
    <w:p>
      <w:pPr>
        <w:pageBreakBefore w:val="0"/>
        <w:kinsoku/>
        <w:wordWrap w:val="0"/>
        <w:overflowPunct/>
        <w:topLinePunct w:val="0"/>
        <w:bidi w:val="0"/>
        <w:snapToGrid w:val="0"/>
        <w:spacing w:line="336"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第十四条　违约责任</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2.乙方提供的货物如侵犯了第三方合法权益而引发的任何纠纷或者诉讼，均由乙方负责交涉并承担全部责任。</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3.因包装、运输引起的货物损坏，按质量不合格处罚。</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4.甲方无故延期接收货物、乙方逾期交货的，每天向对方偿付违约货款额3‰违约金，但违约金累计不得超过违约货款额5%，超过   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5.乙方未按本合同和响应文件中规定的服务承诺提供售后服务的，乙方应按本合同合计金额 5%向甲方支付违约金。</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6.乙方提供的货物在质量保证期内，因设计、工艺或者材料的缺陷和其它质量原因造成的问题，由乙方负责，费用从余款或者履约保证金中扣除，不足另补。</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7.甲乙双方有其它违约行为的，由违约方向对方支付违约内容涉及货款额的5%，违约内容涉及货款额的5%不足以赔偿经济损失的按实际赔偿。</w:t>
      </w:r>
    </w:p>
    <w:p>
      <w:pPr>
        <w:pageBreakBefore w:val="0"/>
        <w:kinsoku/>
        <w:wordWrap w:val="0"/>
        <w:overflowPunct/>
        <w:topLinePunct w:val="0"/>
        <w:bidi w:val="0"/>
        <w:snapToGrid w:val="0"/>
        <w:spacing w:line="336" w:lineRule="auto"/>
        <w:ind w:left="-61" w:firstLine="51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第十五条  不可抗力事件处理</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3.不可抗力事件延续一百二十天以上，双方应通过友好协商，确定是否继续履行合同。</w:t>
      </w:r>
    </w:p>
    <w:p>
      <w:pPr>
        <w:pageBreakBefore w:val="0"/>
        <w:kinsoku/>
        <w:wordWrap w:val="0"/>
        <w:overflowPunct/>
        <w:topLinePunct w:val="0"/>
        <w:bidi w:val="0"/>
        <w:snapToGrid w:val="0"/>
        <w:spacing w:line="336"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第十六条  合同争议解决</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1.因货物质量问题发生争议的，应邀请国家认可的质量检测机构对货物质量进行鉴定。货物符合标准的，鉴定费由甲方承担；货物不符合标准的，鉴定费由乙方承担。</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2.因履行本合同引起的或者与本合同有关的争议，甲乙双方应首先通过友好协商解决，如果协商不能解决，可向甲方所在地人民法院提起诉讼。</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3.诉讼期间，本合同继续履行。</w:t>
      </w:r>
    </w:p>
    <w:p>
      <w:pPr>
        <w:pageBreakBefore w:val="0"/>
        <w:kinsoku/>
        <w:wordWrap w:val="0"/>
        <w:overflowPunct/>
        <w:topLinePunct w:val="0"/>
        <w:bidi w:val="0"/>
        <w:snapToGrid w:val="0"/>
        <w:spacing w:line="336" w:lineRule="auto"/>
        <w:ind w:left="-61" w:firstLine="51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w:t>
      </w:r>
      <w:r>
        <w:rPr>
          <w:rFonts w:hint="eastAsia" w:ascii="宋体" w:hAnsi="宋体" w:eastAsia="宋体" w:cs="宋体"/>
          <w:b/>
          <w:color w:val="auto"/>
          <w:sz w:val="24"/>
          <w:szCs w:val="24"/>
          <w:highlight w:val="none"/>
          <w:lang w:eastAsia="zh-CN"/>
        </w:rPr>
        <w:t>七</w:t>
      </w:r>
      <w:r>
        <w:rPr>
          <w:rFonts w:hint="eastAsia" w:ascii="宋体" w:hAnsi="宋体" w:eastAsia="宋体" w:cs="宋体"/>
          <w:b/>
          <w:color w:val="auto"/>
          <w:sz w:val="24"/>
          <w:szCs w:val="24"/>
          <w:highlight w:val="none"/>
        </w:rPr>
        <w:t>条  合同生效及其它</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合同经双方法定代表人或者委托代理人签字并加盖单位公章后生效（委托代理人签字的需后附法定代表人授权委托书，格式自拟）。</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2.合同执行中涉及采购资金和采购内容修改或者补充的，须经财政部门审批，并签书面补充协议报财政部门备案，方可作为主合同不可分割的一部分。</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3.本合同未尽事宜，遵照《合同法》有关条文执行。</w:t>
      </w:r>
    </w:p>
    <w:p>
      <w:pPr>
        <w:pageBreakBefore w:val="0"/>
        <w:kinsoku/>
        <w:wordWrap w:val="0"/>
        <w:overflowPunct/>
        <w:topLinePunct w:val="0"/>
        <w:bidi w:val="0"/>
        <w:snapToGrid w:val="0"/>
        <w:spacing w:line="336"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第十八条　合同的变更、终止与转让</w:t>
      </w:r>
    </w:p>
    <w:p>
      <w:pPr>
        <w:pageBreakBefore w:val="0"/>
        <w:kinsoku/>
        <w:wordWrap w:val="0"/>
        <w:overflowPunct/>
        <w:topLinePunct w:val="0"/>
        <w:bidi w:val="0"/>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1.除《中华人民共和国政府采购法》第五十条规定的情形外，本合同一经签订，甲乙双方不得擅自变更、中止或者终止。</w:t>
      </w:r>
    </w:p>
    <w:p>
      <w:pPr>
        <w:pageBreakBefore w:val="0"/>
        <w:kinsoku/>
        <w:wordWrap w:val="0"/>
        <w:overflowPunct/>
        <w:topLinePunct w:val="0"/>
        <w:bidi w:val="0"/>
        <w:snapToGrid w:val="0"/>
        <w:spacing w:line="336" w:lineRule="auto"/>
        <w:ind w:left="-61" w:firstLine="5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2.乙方不得擅自转让（无进口资格的供应商委托进口货物除外）其应履行的合同义务。</w:t>
      </w:r>
    </w:p>
    <w:p>
      <w:pPr>
        <w:pageBreakBefore w:val="0"/>
        <w:kinsoku/>
        <w:wordWrap w:val="0"/>
        <w:overflowPunct/>
        <w:topLinePunct w:val="0"/>
        <w:bidi w:val="0"/>
        <w:snapToGrid w:val="0"/>
        <w:spacing w:line="336" w:lineRule="auto"/>
        <w:ind w:left="-61" w:firstLine="51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第十九条　本合同书与下列文件一起构成合同文件</w:t>
      </w:r>
    </w:p>
    <w:p>
      <w:pPr>
        <w:pageBreakBefore w:val="0"/>
        <w:kinsoku/>
        <w:wordWrap w:val="0"/>
        <w:overflowPunct/>
        <w:topLinePunct w:val="0"/>
        <w:bidi w:val="0"/>
        <w:snapToGrid w:val="0"/>
        <w:spacing w:line="336" w:lineRule="auto"/>
        <w:ind w:left="-61" w:firstLine="5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1.成交通知书；</w:t>
      </w:r>
    </w:p>
    <w:p>
      <w:pPr>
        <w:pageBreakBefore w:val="0"/>
        <w:kinsoku/>
        <w:wordWrap w:val="0"/>
        <w:overflowPunct/>
        <w:topLinePunct w:val="0"/>
        <w:bidi w:val="0"/>
        <w:snapToGrid w:val="0"/>
        <w:spacing w:line="336" w:lineRule="auto"/>
        <w:ind w:left="-61" w:firstLine="5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.商务条款偏离表和技术需求偏离表；</w:t>
      </w:r>
    </w:p>
    <w:p>
      <w:pPr>
        <w:pageBreakBefore w:val="0"/>
        <w:kinsoku/>
        <w:wordWrap w:val="0"/>
        <w:overflowPunct/>
        <w:topLinePunct w:val="0"/>
        <w:bidi w:val="0"/>
        <w:snapToGrid w:val="0"/>
        <w:spacing w:line="336" w:lineRule="auto"/>
        <w:ind w:left="-61" w:firstLine="5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.采购需求；</w:t>
      </w:r>
    </w:p>
    <w:p>
      <w:pPr>
        <w:pageBreakBefore w:val="0"/>
        <w:kinsoku/>
        <w:wordWrap w:val="0"/>
        <w:overflowPunct/>
        <w:topLinePunct w:val="0"/>
        <w:bidi w:val="0"/>
        <w:snapToGrid w:val="0"/>
        <w:spacing w:line="336" w:lineRule="auto"/>
        <w:ind w:left="-61" w:firstLine="5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.竞标报价表；</w:t>
      </w:r>
    </w:p>
    <w:p>
      <w:pPr>
        <w:pageBreakBefore w:val="0"/>
        <w:kinsoku/>
        <w:wordWrap w:val="0"/>
        <w:overflowPunct/>
        <w:topLinePunct w:val="0"/>
        <w:bidi w:val="0"/>
        <w:snapToGrid w:val="0"/>
        <w:spacing w:line="336" w:lineRule="auto"/>
        <w:ind w:left="-61" w:firstLine="5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.其他合同文件。</w:t>
      </w:r>
    </w:p>
    <w:p>
      <w:pPr>
        <w:pageBreakBefore w:val="0"/>
        <w:kinsoku/>
        <w:wordWrap w:val="0"/>
        <w:overflowPunct/>
        <w:topLinePunct w:val="0"/>
        <w:bidi w:val="0"/>
        <w:snapToGrid w:val="0"/>
        <w:spacing w:line="336" w:lineRule="auto"/>
        <w:ind w:left="-61" w:firstLine="5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7.上述合同文件互相补充和解释。如果合同文件之间存在矛盾或者不一致之处，以上述文件的排列顺序在先者为准。</w:t>
      </w:r>
    </w:p>
    <w:p>
      <w:pPr>
        <w:pageBreakBefore w:val="0"/>
        <w:kinsoku/>
        <w:wordWrap w:val="0"/>
        <w:overflowPunct/>
        <w:topLinePunct w:val="0"/>
        <w:bidi w:val="0"/>
        <w:snapToGrid w:val="0"/>
        <w:spacing w:line="336"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第二十条　</w:t>
      </w:r>
      <w:r>
        <w:rPr>
          <w:rFonts w:hint="eastAsia" w:ascii="宋体" w:hAnsi="宋体" w:eastAsia="宋体" w:cs="宋体"/>
          <w:color w:val="auto"/>
          <w:sz w:val="24"/>
          <w:szCs w:val="24"/>
          <w:highlight w:val="none"/>
        </w:rPr>
        <w:t>本合同一式四份，具有同等法律效力，财政部门（政府采购监管部门）、采购代理机构各一份，甲乙双方各一份（可根据需要另增加）。</w:t>
      </w:r>
    </w:p>
    <w:p>
      <w:pPr>
        <w:pageBreakBefore w:val="0"/>
        <w:kinsoku/>
        <w:wordWrap w:val="0"/>
        <w:overflowPunct/>
        <w:topLinePunct w:val="0"/>
        <w:bidi w:val="0"/>
        <w:snapToGrid w:val="0"/>
        <w:spacing w:line="336" w:lineRule="auto"/>
        <w:ind w:left="-61" w:firstLine="5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本合同甲乙双方签字盖章后生效，自签订之日起七个工作日内，甲方应当将合同副本报同级财政部门备案。</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本合同自签订之日起2个工作日内，甲方应当将采购合同在广西壮族自治区财政厅指定的媒体上公告。</w:t>
      </w:r>
    </w:p>
    <w:p>
      <w:pPr>
        <w:pStyle w:val="7"/>
        <w:pageBreakBefore w:val="0"/>
        <w:kinsoku/>
        <w:wordWrap w:val="0"/>
        <w:overflowPunct/>
        <w:topLinePunct w:val="0"/>
        <w:bidi w:val="0"/>
        <w:spacing w:line="336" w:lineRule="auto"/>
        <w:ind w:left="0" w:leftChars="0" w:firstLine="0" w:firstLineChars="0"/>
        <w:rPr>
          <w:rFonts w:hint="eastAsia" w:ascii="宋体" w:hAnsi="宋体" w:eastAsia="宋体" w:cs="宋体"/>
          <w:color w:val="auto"/>
          <w:sz w:val="24"/>
          <w:szCs w:val="24"/>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noWrap w:val="0"/>
            <w:vAlign w:val="center"/>
          </w:tcPr>
          <w:p>
            <w:pPr>
              <w:pageBreakBefore w:val="0"/>
              <w:kinsoku/>
              <w:wordWrap w:val="0"/>
              <w:overflowPunct/>
              <w:topLinePunct w:val="0"/>
              <w:bidi w:val="0"/>
              <w:snapToGrid w:val="0"/>
              <w:spacing w:line="33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甲方（章）           </w:t>
            </w:r>
          </w:p>
          <w:p>
            <w:pPr>
              <w:pageBreakBefore w:val="0"/>
              <w:kinsoku/>
              <w:wordWrap w:val="0"/>
              <w:overflowPunct/>
              <w:topLinePunct w:val="0"/>
              <w:bidi w:val="0"/>
              <w:snapToGrid w:val="0"/>
              <w:spacing w:line="336" w:lineRule="auto"/>
              <w:jc w:val="both"/>
              <w:rPr>
                <w:rFonts w:hint="eastAsia" w:ascii="宋体" w:hAnsi="宋体" w:eastAsia="宋体" w:cs="宋体"/>
                <w:color w:val="auto"/>
                <w:sz w:val="24"/>
                <w:szCs w:val="24"/>
                <w:highlight w:val="none"/>
              </w:rPr>
            </w:pPr>
          </w:p>
          <w:p>
            <w:pPr>
              <w:pageBreakBefore w:val="0"/>
              <w:kinsoku/>
              <w:wordWrap w:val="0"/>
              <w:overflowPunct/>
              <w:topLinePunct w:val="0"/>
              <w:bidi w:val="0"/>
              <w:snapToGrid w:val="0"/>
              <w:spacing w:line="336" w:lineRule="auto"/>
              <w:ind w:firstLine="1080" w:firstLineChars="45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c>
          <w:tcPr>
            <w:tcW w:w="4517" w:type="dxa"/>
            <w:noWrap w:val="0"/>
            <w:vAlign w:val="center"/>
          </w:tcPr>
          <w:p>
            <w:pPr>
              <w:pageBreakBefore w:val="0"/>
              <w:kinsoku/>
              <w:wordWrap w:val="0"/>
              <w:overflowPunct/>
              <w:topLinePunct w:val="0"/>
              <w:bidi w:val="0"/>
              <w:snapToGrid w:val="0"/>
              <w:spacing w:line="33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乙方（章）              </w:t>
            </w:r>
          </w:p>
          <w:p>
            <w:pPr>
              <w:pageBreakBefore w:val="0"/>
              <w:kinsoku/>
              <w:wordWrap w:val="0"/>
              <w:overflowPunct/>
              <w:topLinePunct w:val="0"/>
              <w:bidi w:val="0"/>
              <w:snapToGrid w:val="0"/>
              <w:spacing w:line="336" w:lineRule="auto"/>
              <w:jc w:val="both"/>
              <w:rPr>
                <w:rFonts w:hint="eastAsia" w:ascii="宋体" w:hAnsi="宋体" w:eastAsia="宋体" w:cs="宋体"/>
                <w:color w:val="auto"/>
                <w:sz w:val="24"/>
                <w:szCs w:val="24"/>
                <w:highlight w:val="none"/>
              </w:rPr>
            </w:pPr>
          </w:p>
          <w:p>
            <w:pPr>
              <w:pageBreakBefore w:val="0"/>
              <w:kinsoku/>
              <w:wordWrap w:val="0"/>
              <w:overflowPunct/>
              <w:topLinePunct w:val="0"/>
              <w:bidi w:val="0"/>
              <w:snapToGrid w:val="0"/>
              <w:spacing w:line="336"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noWrap w:val="0"/>
            <w:vAlign w:val="center"/>
          </w:tcPr>
          <w:p>
            <w:pPr>
              <w:pageBreakBefore w:val="0"/>
              <w:kinsoku/>
              <w:wordWrap w:val="0"/>
              <w:overflowPunct/>
              <w:topLinePunct w:val="0"/>
              <w:bidi w:val="0"/>
              <w:snapToGrid w:val="0"/>
              <w:spacing w:line="33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4517" w:type="dxa"/>
            <w:noWrap w:val="0"/>
            <w:vAlign w:val="center"/>
          </w:tcPr>
          <w:p>
            <w:pPr>
              <w:pageBreakBefore w:val="0"/>
              <w:kinsoku/>
              <w:wordWrap w:val="0"/>
              <w:overflowPunct/>
              <w:topLinePunct w:val="0"/>
              <w:bidi w:val="0"/>
              <w:snapToGrid w:val="0"/>
              <w:spacing w:line="33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516" w:type="dxa"/>
            <w:noWrap w:val="0"/>
            <w:vAlign w:val="center"/>
          </w:tcPr>
          <w:p>
            <w:pPr>
              <w:pageBreakBefore w:val="0"/>
              <w:kinsoku/>
              <w:wordWrap w:val="0"/>
              <w:overflowPunct/>
              <w:topLinePunct w:val="0"/>
              <w:bidi w:val="0"/>
              <w:snapToGrid w:val="0"/>
              <w:spacing w:line="33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法定代表人或者委托代理人：</w:t>
            </w:r>
          </w:p>
        </w:tc>
        <w:tc>
          <w:tcPr>
            <w:tcW w:w="4517" w:type="dxa"/>
            <w:noWrap w:val="0"/>
            <w:vAlign w:val="center"/>
          </w:tcPr>
          <w:p>
            <w:pPr>
              <w:pageBreakBefore w:val="0"/>
              <w:kinsoku/>
              <w:wordWrap w:val="0"/>
              <w:overflowPunct/>
              <w:topLinePunct w:val="0"/>
              <w:bidi w:val="0"/>
              <w:snapToGrid w:val="0"/>
              <w:spacing w:line="33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法定代表人或者委托代理人：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noWrap w:val="0"/>
            <w:vAlign w:val="center"/>
          </w:tcPr>
          <w:p>
            <w:pPr>
              <w:pageBreakBefore w:val="0"/>
              <w:kinsoku/>
              <w:wordWrap w:val="0"/>
              <w:overflowPunct/>
              <w:topLinePunct w:val="0"/>
              <w:bidi w:val="0"/>
              <w:snapToGrid w:val="0"/>
              <w:spacing w:line="33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4517" w:type="dxa"/>
            <w:noWrap w:val="0"/>
            <w:vAlign w:val="center"/>
          </w:tcPr>
          <w:p>
            <w:pPr>
              <w:pageBreakBefore w:val="0"/>
              <w:kinsoku/>
              <w:wordWrap w:val="0"/>
              <w:overflowPunct/>
              <w:topLinePunct w:val="0"/>
              <w:bidi w:val="0"/>
              <w:snapToGrid w:val="0"/>
              <w:spacing w:line="33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noWrap w:val="0"/>
            <w:vAlign w:val="center"/>
          </w:tcPr>
          <w:p>
            <w:pPr>
              <w:pageBreakBefore w:val="0"/>
              <w:kinsoku/>
              <w:wordWrap w:val="0"/>
              <w:overflowPunct/>
              <w:topLinePunct w:val="0"/>
              <w:bidi w:val="0"/>
              <w:snapToGrid w:val="0"/>
              <w:spacing w:line="33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4517" w:type="dxa"/>
            <w:noWrap w:val="0"/>
            <w:vAlign w:val="center"/>
          </w:tcPr>
          <w:p>
            <w:pPr>
              <w:pageBreakBefore w:val="0"/>
              <w:kinsoku/>
              <w:wordWrap w:val="0"/>
              <w:overflowPunct/>
              <w:topLinePunct w:val="0"/>
              <w:bidi w:val="0"/>
              <w:snapToGrid w:val="0"/>
              <w:spacing w:line="33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noWrap w:val="0"/>
            <w:vAlign w:val="center"/>
          </w:tcPr>
          <w:p>
            <w:pPr>
              <w:pageBreakBefore w:val="0"/>
              <w:kinsoku/>
              <w:wordWrap w:val="0"/>
              <w:overflowPunct/>
              <w:topLinePunct w:val="0"/>
              <w:bidi w:val="0"/>
              <w:snapToGrid w:val="0"/>
              <w:spacing w:line="33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4517" w:type="dxa"/>
            <w:noWrap w:val="0"/>
            <w:vAlign w:val="center"/>
          </w:tcPr>
          <w:p>
            <w:pPr>
              <w:pageBreakBefore w:val="0"/>
              <w:kinsoku/>
              <w:wordWrap w:val="0"/>
              <w:overflowPunct/>
              <w:topLinePunct w:val="0"/>
              <w:bidi w:val="0"/>
              <w:snapToGrid w:val="0"/>
              <w:spacing w:line="33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noWrap w:val="0"/>
            <w:vAlign w:val="center"/>
          </w:tcPr>
          <w:p>
            <w:pPr>
              <w:pageBreakBefore w:val="0"/>
              <w:kinsoku/>
              <w:wordWrap w:val="0"/>
              <w:overflowPunct/>
              <w:topLinePunct w:val="0"/>
              <w:bidi w:val="0"/>
              <w:snapToGrid w:val="0"/>
              <w:spacing w:line="33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4517" w:type="dxa"/>
            <w:noWrap w:val="0"/>
            <w:vAlign w:val="center"/>
          </w:tcPr>
          <w:p>
            <w:pPr>
              <w:pageBreakBefore w:val="0"/>
              <w:kinsoku/>
              <w:wordWrap w:val="0"/>
              <w:overflowPunct/>
              <w:topLinePunct w:val="0"/>
              <w:bidi w:val="0"/>
              <w:snapToGrid w:val="0"/>
              <w:spacing w:line="33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noWrap w:val="0"/>
            <w:vAlign w:val="center"/>
          </w:tcPr>
          <w:p>
            <w:pPr>
              <w:pageBreakBefore w:val="0"/>
              <w:kinsoku/>
              <w:wordWrap w:val="0"/>
              <w:overflowPunct/>
              <w:topLinePunct w:val="0"/>
              <w:bidi w:val="0"/>
              <w:snapToGrid w:val="0"/>
              <w:spacing w:line="33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4517" w:type="dxa"/>
            <w:noWrap w:val="0"/>
            <w:vAlign w:val="center"/>
          </w:tcPr>
          <w:p>
            <w:pPr>
              <w:pageBreakBefore w:val="0"/>
              <w:kinsoku/>
              <w:wordWrap w:val="0"/>
              <w:overflowPunct/>
              <w:topLinePunct w:val="0"/>
              <w:bidi w:val="0"/>
              <w:snapToGrid w:val="0"/>
              <w:spacing w:line="33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r>
    </w:tbl>
    <w:p>
      <w:pPr>
        <w:pageBreakBefore w:val="0"/>
        <w:kinsoku/>
        <w:wordWrap w:val="0"/>
        <w:overflowPunct/>
        <w:topLinePunct w:val="0"/>
        <w:bidi w:val="0"/>
        <w:snapToGrid w:val="0"/>
        <w:spacing w:line="336" w:lineRule="auto"/>
        <w:ind w:left="480" w:hanging="480" w:hangingChars="200"/>
        <w:rPr>
          <w:rFonts w:hint="eastAsia" w:ascii="宋体" w:hAnsi="宋体" w:eastAsia="宋体" w:cs="宋体"/>
          <w:color w:val="auto"/>
          <w:sz w:val="24"/>
          <w:highlight w:val="none"/>
        </w:rPr>
      </w:pPr>
    </w:p>
    <w:p>
      <w:pPr>
        <w:pageBreakBefore w:val="0"/>
        <w:kinsoku/>
        <w:wordWrap w:val="0"/>
        <w:overflowPunct/>
        <w:topLinePunct w:val="0"/>
        <w:bidi w:val="0"/>
        <w:spacing w:line="336"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pageBreakBefore w:val="0"/>
        <w:kinsoku/>
        <w:wordWrap w:val="0"/>
        <w:overflowPunct/>
        <w:topLinePunct w:val="0"/>
        <w:bidi w:val="0"/>
        <w:snapToGrid w:val="0"/>
        <w:spacing w:line="336"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合 同 附 件</w:t>
      </w:r>
    </w:p>
    <w:p>
      <w:pPr>
        <w:pageBreakBefore w:val="0"/>
        <w:kinsoku/>
        <w:wordWrap w:val="0"/>
        <w:overflowPunct/>
        <w:topLinePunct w:val="0"/>
        <w:bidi w:val="0"/>
        <w:snapToGrid w:val="0"/>
        <w:spacing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一般货物类</w:t>
      </w:r>
    </w:p>
    <w:tbl>
      <w:tblPr>
        <w:tblStyle w:val="19"/>
        <w:tblW w:w="0" w:type="auto"/>
        <w:jc w:val="center"/>
        <w:tblLayout w:type="fixed"/>
        <w:tblCellMar>
          <w:top w:w="0" w:type="dxa"/>
          <w:left w:w="108" w:type="dxa"/>
          <w:bottom w:w="0" w:type="dxa"/>
          <w:right w:w="108" w:type="dxa"/>
        </w:tblCellMar>
      </w:tblPr>
      <w:tblGrid>
        <w:gridCol w:w="4263"/>
        <w:gridCol w:w="4259"/>
      </w:tblGrid>
      <w:tr>
        <w:tblPrEx>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noWrap w:val="0"/>
            <w:vAlign w:val="top"/>
          </w:tcPr>
          <w:p>
            <w:pPr>
              <w:pageBreakBefore w:val="0"/>
              <w:kinsoku/>
              <w:wordWrap w:val="0"/>
              <w:overflowPunct/>
              <w:topLinePunct w:val="0"/>
              <w:bidi w:val="0"/>
              <w:snapToGrid w:val="0"/>
              <w:spacing w:line="336"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供应商承诺具体事项：</w:t>
            </w:r>
          </w:p>
        </w:tc>
      </w:tr>
      <w:tr>
        <w:tblPrEx>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noWrap w:val="0"/>
            <w:vAlign w:val="top"/>
          </w:tcPr>
          <w:p>
            <w:pPr>
              <w:pageBreakBefore w:val="0"/>
              <w:kinsoku/>
              <w:wordWrap w:val="0"/>
              <w:overflowPunct/>
              <w:topLinePunct w:val="0"/>
              <w:bidi w:val="0"/>
              <w:snapToGrid w:val="0"/>
              <w:spacing w:line="336"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 售后服务具体事项：</w:t>
            </w:r>
          </w:p>
        </w:tc>
      </w:tr>
      <w:tr>
        <w:tblPrEx>
          <w:tblCellMar>
            <w:top w:w="0" w:type="dxa"/>
            <w:left w:w="108" w:type="dxa"/>
            <w:bottom w:w="0" w:type="dxa"/>
            <w:right w:w="108" w:type="dxa"/>
          </w:tblCellMar>
        </w:tblPrEx>
        <w:trPr>
          <w:trHeight w:val="1088" w:hRule="atLeast"/>
          <w:jc w:val="center"/>
        </w:trPr>
        <w:tc>
          <w:tcPr>
            <w:tcW w:w="8522" w:type="dxa"/>
            <w:gridSpan w:val="2"/>
            <w:tcBorders>
              <w:top w:val="single" w:color="auto" w:sz="4" w:space="0"/>
              <w:left w:val="single" w:color="auto" w:sz="4" w:space="0"/>
              <w:right w:val="single" w:color="auto" w:sz="4" w:space="0"/>
            </w:tcBorders>
            <w:noWrap w:val="0"/>
            <w:vAlign w:val="top"/>
          </w:tcPr>
          <w:p>
            <w:pPr>
              <w:pageBreakBefore w:val="0"/>
              <w:kinsoku/>
              <w:wordWrap w:val="0"/>
              <w:overflowPunct/>
              <w:topLinePunct w:val="0"/>
              <w:bidi w:val="0"/>
              <w:snapToGrid w:val="0"/>
              <w:spacing w:line="336"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保修期责任：</w:t>
            </w:r>
          </w:p>
        </w:tc>
      </w:tr>
      <w:tr>
        <w:tblPrEx>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noWrap w:val="0"/>
            <w:vAlign w:val="top"/>
          </w:tcPr>
          <w:p>
            <w:pPr>
              <w:pageBreakBefore w:val="0"/>
              <w:kinsoku/>
              <w:wordWrap w:val="0"/>
              <w:overflowPunct/>
              <w:topLinePunct w:val="0"/>
              <w:bidi w:val="0"/>
              <w:snapToGrid w:val="0"/>
              <w:spacing w:line="336"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 其他具体事项：</w:t>
            </w:r>
          </w:p>
        </w:tc>
      </w:tr>
      <w:tr>
        <w:tblPrEx>
          <w:tblCellMar>
            <w:top w:w="0" w:type="dxa"/>
            <w:left w:w="108" w:type="dxa"/>
            <w:bottom w:w="0" w:type="dxa"/>
            <w:right w:w="108" w:type="dxa"/>
          </w:tblCellMar>
        </w:tblPrEx>
        <w:trPr>
          <w:trHeight w:val="1703" w:hRule="atLeast"/>
          <w:jc w:val="center"/>
        </w:trPr>
        <w:tc>
          <w:tcPr>
            <w:tcW w:w="4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val="0"/>
              <w:bidi w:val="0"/>
              <w:snapToGrid w:val="0"/>
              <w:spacing w:line="336"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甲方（章）</w:t>
            </w:r>
          </w:p>
          <w:p>
            <w:pPr>
              <w:pageBreakBefore w:val="0"/>
              <w:kinsoku/>
              <w:wordWrap w:val="0"/>
              <w:overflowPunct/>
              <w:topLinePunct w:val="0"/>
              <w:bidi w:val="0"/>
              <w:snapToGrid w:val="0"/>
              <w:spacing w:line="336" w:lineRule="auto"/>
              <w:ind w:firstLine="482" w:firstLineChars="200"/>
              <w:rPr>
                <w:rFonts w:hint="eastAsia" w:ascii="宋体" w:hAnsi="宋体" w:eastAsia="宋体" w:cs="宋体"/>
                <w:b/>
                <w:color w:val="auto"/>
                <w:sz w:val="24"/>
                <w:highlight w:val="none"/>
              </w:rPr>
            </w:pPr>
          </w:p>
          <w:p>
            <w:pPr>
              <w:pageBreakBefore w:val="0"/>
              <w:kinsoku/>
              <w:wordWrap w:val="0"/>
              <w:overflowPunct/>
              <w:topLinePunct w:val="0"/>
              <w:bidi w:val="0"/>
              <w:snapToGrid w:val="0"/>
              <w:spacing w:line="336" w:lineRule="auto"/>
              <w:rPr>
                <w:rFonts w:hint="eastAsia" w:ascii="宋体" w:hAnsi="宋体" w:eastAsia="宋体" w:cs="宋体"/>
                <w:b/>
                <w:color w:val="auto"/>
                <w:sz w:val="24"/>
                <w:highlight w:val="none"/>
              </w:rPr>
            </w:pPr>
          </w:p>
          <w:p>
            <w:pPr>
              <w:pageBreakBefore w:val="0"/>
              <w:kinsoku/>
              <w:wordWrap w:val="0"/>
              <w:overflowPunct/>
              <w:topLinePunct w:val="0"/>
              <w:bidi w:val="0"/>
              <w:snapToGrid w:val="0"/>
              <w:spacing w:line="336"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年   月   日 </w:t>
            </w:r>
          </w:p>
        </w:tc>
        <w:tc>
          <w:tcPr>
            <w:tcW w:w="425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overflowPunct/>
              <w:topLinePunct w:val="0"/>
              <w:bidi w:val="0"/>
              <w:snapToGrid w:val="0"/>
              <w:spacing w:line="336"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乙方（章）</w:t>
            </w:r>
          </w:p>
          <w:p>
            <w:pPr>
              <w:pageBreakBefore w:val="0"/>
              <w:kinsoku/>
              <w:wordWrap w:val="0"/>
              <w:overflowPunct/>
              <w:topLinePunct w:val="0"/>
              <w:bidi w:val="0"/>
              <w:snapToGrid w:val="0"/>
              <w:spacing w:line="336" w:lineRule="auto"/>
              <w:ind w:firstLine="482" w:firstLineChars="200"/>
              <w:rPr>
                <w:rFonts w:hint="eastAsia" w:ascii="宋体" w:hAnsi="宋体" w:eastAsia="宋体" w:cs="宋体"/>
                <w:b/>
                <w:color w:val="auto"/>
                <w:sz w:val="24"/>
                <w:highlight w:val="none"/>
              </w:rPr>
            </w:pPr>
          </w:p>
          <w:p>
            <w:pPr>
              <w:pageBreakBefore w:val="0"/>
              <w:kinsoku/>
              <w:wordWrap w:val="0"/>
              <w:overflowPunct/>
              <w:topLinePunct w:val="0"/>
              <w:bidi w:val="0"/>
              <w:snapToGrid w:val="0"/>
              <w:spacing w:line="336" w:lineRule="auto"/>
              <w:rPr>
                <w:rFonts w:hint="eastAsia" w:ascii="宋体" w:hAnsi="宋体" w:eastAsia="宋体" w:cs="宋体"/>
                <w:b/>
                <w:color w:val="auto"/>
                <w:sz w:val="24"/>
                <w:highlight w:val="none"/>
              </w:rPr>
            </w:pPr>
          </w:p>
          <w:p>
            <w:pPr>
              <w:pageBreakBefore w:val="0"/>
              <w:kinsoku/>
              <w:wordWrap w:val="0"/>
              <w:overflowPunct/>
              <w:topLinePunct w:val="0"/>
              <w:bidi w:val="0"/>
              <w:snapToGrid w:val="0"/>
              <w:spacing w:line="336"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年   月   日</w:t>
            </w:r>
          </w:p>
        </w:tc>
      </w:tr>
    </w:tbl>
    <w:p>
      <w:pPr>
        <w:pageBreakBefore w:val="0"/>
        <w:kinsoku/>
        <w:wordWrap w:val="0"/>
        <w:overflowPunct/>
        <w:topLinePunct w:val="0"/>
        <w:bidi w:val="0"/>
        <w:spacing w:line="336" w:lineRule="auto"/>
        <w:rPr>
          <w:rFonts w:hint="eastAsia" w:ascii="宋体" w:hAnsi="宋体" w:eastAsia="宋体" w:cs="宋体"/>
          <w:b/>
          <w:color w:val="auto"/>
          <w:sz w:val="32"/>
          <w:szCs w:val="24"/>
          <w:highlight w:val="none"/>
        </w:rPr>
      </w:pPr>
      <w:r>
        <w:rPr>
          <w:rFonts w:hint="eastAsia" w:ascii="宋体" w:hAnsi="宋体" w:eastAsia="宋体" w:cs="宋体"/>
          <w:color w:val="auto"/>
          <w:sz w:val="24"/>
          <w:highlight w:val="none"/>
        </w:rPr>
        <w:t xml:space="preserve">   注：售后服务事项填不下时可另加附页</w:t>
      </w:r>
      <w:r>
        <w:rPr>
          <w:rFonts w:hint="eastAsia" w:ascii="宋体" w:hAnsi="宋体" w:eastAsia="宋体" w:cs="宋体"/>
          <w:color w:val="auto"/>
          <w:highlight w:val="none"/>
        </w:rPr>
        <w:br w:type="page"/>
      </w:r>
    </w:p>
    <w:p>
      <w:pPr>
        <w:pStyle w:val="42"/>
        <w:pageBreakBefore w:val="0"/>
        <w:kinsoku/>
        <w:wordWrap w:val="0"/>
        <w:overflowPunct/>
        <w:topLinePunct w:val="0"/>
        <w:bidi w:val="0"/>
        <w:spacing w:line="336" w:lineRule="auto"/>
        <w:outlineLvl w:val="0"/>
        <w:rPr>
          <w:rFonts w:hint="eastAsia" w:ascii="宋体" w:hAnsi="宋体" w:eastAsia="宋体" w:cs="宋体"/>
          <w:color w:val="auto"/>
          <w:sz w:val="32"/>
          <w:szCs w:val="32"/>
          <w:highlight w:val="none"/>
        </w:rPr>
      </w:pPr>
      <w:bookmarkStart w:id="138" w:name="_Toc23439"/>
      <w:bookmarkStart w:id="139" w:name="_Toc32358"/>
      <w:r>
        <w:rPr>
          <w:rFonts w:hint="eastAsia" w:ascii="宋体" w:hAnsi="宋体" w:eastAsia="宋体" w:cs="宋体"/>
          <w:color w:val="auto"/>
          <w:sz w:val="32"/>
          <w:szCs w:val="32"/>
          <w:highlight w:val="none"/>
        </w:rPr>
        <w:t>第五章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响应文件格式</w:t>
      </w:r>
      <w:bookmarkEnd w:id="137"/>
      <w:bookmarkEnd w:id="138"/>
      <w:bookmarkEnd w:id="139"/>
    </w:p>
    <w:p>
      <w:pPr>
        <w:pageBreakBefore w:val="0"/>
        <w:kinsoku/>
        <w:wordWrap w:val="0"/>
        <w:overflowPunct/>
        <w:topLinePunct w:val="0"/>
        <w:bidi w:val="0"/>
        <w:spacing w:line="33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（用于响应文件封面）</w:t>
      </w:r>
    </w:p>
    <w:p>
      <w:pPr>
        <w:pageBreakBefore w:val="0"/>
        <w:kinsoku/>
        <w:wordWrap w:val="0"/>
        <w:overflowPunct/>
        <w:topLinePunct w:val="0"/>
        <w:bidi w:val="0"/>
        <w:spacing w:line="336" w:lineRule="auto"/>
        <w:jc w:val="center"/>
        <w:rPr>
          <w:rFonts w:hint="eastAsia" w:ascii="宋体" w:hAnsi="宋体" w:eastAsia="宋体" w:cs="宋体"/>
          <w:b/>
          <w:color w:val="auto"/>
          <w:sz w:val="44"/>
          <w:szCs w:val="44"/>
          <w:highlight w:val="none"/>
        </w:rPr>
      </w:pPr>
    </w:p>
    <w:p>
      <w:pPr>
        <w:pageBreakBefore w:val="0"/>
        <w:kinsoku/>
        <w:wordWrap w:val="0"/>
        <w:overflowPunct/>
        <w:topLinePunct w:val="0"/>
        <w:bidi w:val="0"/>
        <w:spacing w:line="336" w:lineRule="auto"/>
        <w:jc w:val="center"/>
        <w:rPr>
          <w:rFonts w:hint="eastAsia" w:ascii="宋体" w:hAnsi="宋体" w:eastAsia="宋体" w:cs="宋体"/>
          <w:b/>
          <w:color w:val="auto"/>
          <w:sz w:val="44"/>
          <w:szCs w:val="44"/>
          <w:highlight w:val="none"/>
        </w:rPr>
      </w:pPr>
    </w:p>
    <w:p>
      <w:pPr>
        <w:pageBreakBefore w:val="0"/>
        <w:kinsoku/>
        <w:wordWrap w:val="0"/>
        <w:overflowPunct/>
        <w:topLinePunct w:val="0"/>
        <w:bidi w:val="0"/>
        <w:spacing w:line="336" w:lineRule="auto"/>
        <w:jc w:val="center"/>
        <w:rPr>
          <w:rFonts w:hint="eastAsia" w:ascii="宋体" w:hAnsi="宋体" w:eastAsia="宋体" w:cs="宋体"/>
          <w:b/>
          <w:color w:val="auto"/>
          <w:sz w:val="72"/>
          <w:szCs w:val="56"/>
          <w:highlight w:val="none"/>
        </w:rPr>
      </w:pPr>
      <w:r>
        <w:rPr>
          <w:rFonts w:hint="eastAsia" w:ascii="宋体" w:hAnsi="宋体" w:eastAsia="宋体" w:cs="宋体"/>
          <w:b/>
          <w:color w:val="auto"/>
          <w:sz w:val="72"/>
          <w:szCs w:val="56"/>
          <w:highlight w:val="none"/>
          <w:lang w:eastAsia="zh-CN"/>
        </w:rPr>
        <w:t>响</w:t>
      </w:r>
      <w:r>
        <w:rPr>
          <w:rFonts w:hint="eastAsia" w:ascii="宋体" w:hAnsi="宋体" w:eastAsia="宋体" w:cs="宋体"/>
          <w:b/>
          <w:color w:val="auto"/>
          <w:sz w:val="72"/>
          <w:szCs w:val="56"/>
          <w:highlight w:val="none"/>
          <w:lang w:val="en-US" w:eastAsia="zh-CN"/>
        </w:rPr>
        <w:t xml:space="preserve">  </w:t>
      </w:r>
      <w:r>
        <w:rPr>
          <w:rFonts w:hint="eastAsia" w:ascii="宋体" w:hAnsi="宋体" w:eastAsia="宋体" w:cs="宋体"/>
          <w:b/>
          <w:color w:val="auto"/>
          <w:sz w:val="72"/>
          <w:szCs w:val="56"/>
          <w:highlight w:val="none"/>
          <w:lang w:eastAsia="zh-CN"/>
        </w:rPr>
        <w:t>应</w:t>
      </w:r>
      <w:r>
        <w:rPr>
          <w:rFonts w:hint="eastAsia" w:ascii="宋体" w:hAnsi="宋体" w:eastAsia="宋体" w:cs="宋体"/>
          <w:b/>
          <w:color w:val="auto"/>
          <w:sz w:val="72"/>
          <w:szCs w:val="56"/>
          <w:highlight w:val="none"/>
        </w:rPr>
        <w:t xml:space="preserve"> </w:t>
      </w:r>
      <w:r>
        <w:rPr>
          <w:rFonts w:hint="eastAsia" w:ascii="宋体" w:hAnsi="宋体" w:eastAsia="宋体" w:cs="宋体"/>
          <w:b/>
          <w:color w:val="auto"/>
          <w:sz w:val="72"/>
          <w:szCs w:val="56"/>
          <w:highlight w:val="none"/>
          <w:lang w:val="en-US" w:eastAsia="zh-CN"/>
        </w:rPr>
        <w:t xml:space="preserve"> </w:t>
      </w:r>
      <w:r>
        <w:rPr>
          <w:rFonts w:hint="eastAsia" w:ascii="宋体" w:hAnsi="宋体" w:eastAsia="宋体" w:cs="宋体"/>
          <w:b/>
          <w:color w:val="auto"/>
          <w:sz w:val="72"/>
          <w:szCs w:val="56"/>
          <w:highlight w:val="none"/>
        </w:rPr>
        <w:t>文</w:t>
      </w:r>
      <w:r>
        <w:rPr>
          <w:rFonts w:hint="eastAsia" w:ascii="宋体" w:hAnsi="宋体" w:eastAsia="宋体" w:cs="宋体"/>
          <w:b/>
          <w:color w:val="auto"/>
          <w:sz w:val="72"/>
          <w:szCs w:val="56"/>
          <w:highlight w:val="none"/>
          <w:lang w:val="en-US" w:eastAsia="zh-CN"/>
        </w:rPr>
        <w:t xml:space="preserve"> </w:t>
      </w:r>
      <w:r>
        <w:rPr>
          <w:rFonts w:hint="eastAsia" w:ascii="宋体" w:hAnsi="宋体" w:eastAsia="宋体" w:cs="宋体"/>
          <w:b/>
          <w:color w:val="auto"/>
          <w:sz w:val="72"/>
          <w:szCs w:val="56"/>
          <w:highlight w:val="none"/>
        </w:rPr>
        <w:t xml:space="preserve"> 件</w:t>
      </w:r>
    </w:p>
    <w:p>
      <w:pPr>
        <w:pageBreakBefore w:val="0"/>
        <w:kinsoku/>
        <w:wordWrap w:val="0"/>
        <w:overflowPunct/>
        <w:topLinePunct w:val="0"/>
        <w:bidi w:val="0"/>
        <w:spacing w:line="336" w:lineRule="auto"/>
        <w:rPr>
          <w:rFonts w:hint="eastAsia" w:ascii="宋体" w:hAnsi="宋体" w:eastAsia="宋体" w:cs="宋体"/>
          <w:b/>
          <w:color w:val="auto"/>
          <w:sz w:val="44"/>
          <w:szCs w:val="44"/>
          <w:highlight w:val="none"/>
        </w:rPr>
      </w:pPr>
    </w:p>
    <w:p>
      <w:pPr>
        <w:pageBreakBefore w:val="0"/>
        <w:kinsoku/>
        <w:wordWrap w:val="0"/>
        <w:overflowPunct/>
        <w:topLinePunct w:val="0"/>
        <w:bidi w:val="0"/>
        <w:spacing w:line="336" w:lineRule="auto"/>
        <w:rPr>
          <w:rFonts w:hint="eastAsia" w:ascii="宋体" w:hAnsi="宋体" w:eastAsia="宋体" w:cs="宋体"/>
          <w:b/>
          <w:bCs/>
          <w:color w:val="auto"/>
          <w:sz w:val="28"/>
          <w:szCs w:val="28"/>
          <w:highlight w:val="none"/>
        </w:rPr>
      </w:pPr>
    </w:p>
    <w:p>
      <w:pPr>
        <w:pageBreakBefore w:val="0"/>
        <w:kinsoku/>
        <w:wordWrap w:val="0"/>
        <w:overflowPunct/>
        <w:topLinePunct w:val="0"/>
        <w:bidi w:val="0"/>
        <w:spacing w:line="336" w:lineRule="auto"/>
        <w:ind w:firstLine="1687" w:firstLineChars="6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项目名称：</w:t>
      </w:r>
      <w:r>
        <w:rPr>
          <w:rFonts w:hint="eastAsia" w:ascii="宋体" w:hAnsi="宋体" w:eastAsia="宋体" w:cs="宋体"/>
          <w:b/>
          <w:bCs/>
          <w:color w:val="auto"/>
          <w:sz w:val="28"/>
          <w:szCs w:val="28"/>
          <w:highlight w:val="none"/>
          <w:u w:val="single"/>
        </w:rPr>
        <w:t xml:space="preserve">                            </w:t>
      </w:r>
    </w:p>
    <w:p>
      <w:pPr>
        <w:pageBreakBefore w:val="0"/>
        <w:kinsoku/>
        <w:wordWrap w:val="0"/>
        <w:overflowPunct/>
        <w:topLinePunct w:val="0"/>
        <w:bidi w:val="0"/>
        <w:spacing w:line="336" w:lineRule="auto"/>
        <w:ind w:firstLine="1687" w:firstLineChars="600"/>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项目编号：</w:t>
      </w:r>
      <w:r>
        <w:rPr>
          <w:rFonts w:hint="eastAsia" w:ascii="宋体" w:hAnsi="宋体" w:eastAsia="宋体" w:cs="宋体"/>
          <w:b/>
          <w:bCs/>
          <w:color w:val="auto"/>
          <w:sz w:val="28"/>
          <w:szCs w:val="28"/>
          <w:highlight w:val="none"/>
          <w:u w:val="single"/>
        </w:rPr>
        <w:t xml:space="preserve">                            </w:t>
      </w:r>
    </w:p>
    <w:p>
      <w:pPr>
        <w:pageBreakBefore w:val="0"/>
        <w:kinsoku/>
        <w:wordWrap w:val="0"/>
        <w:overflowPunct/>
        <w:topLinePunct w:val="0"/>
        <w:bidi w:val="0"/>
        <w:spacing w:line="336" w:lineRule="auto"/>
        <w:rPr>
          <w:rFonts w:hint="eastAsia" w:ascii="宋体" w:hAnsi="宋体" w:eastAsia="宋体" w:cs="宋体"/>
          <w:b/>
          <w:bCs/>
          <w:color w:val="auto"/>
          <w:sz w:val="28"/>
          <w:szCs w:val="28"/>
          <w:highlight w:val="none"/>
        </w:rPr>
      </w:pPr>
    </w:p>
    <w:p>
      <w:pPr>
        <w:pageBreakBefore w:val="0"/>
        <w:kinsoku/>
        <w:wordWrap w:val="0"/>
        <w:overflowPunct/>
        <w:topLinePunct w:val="0"/>
        <w:bidi w:val="0"/>
        <w:spacing w:line="336"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正/副本</w:t>
      </w:r>
    </w:p>
    <w:p>
      <w:pPr>
        <w:pageBreakBefore w:val="0"/>
        <w:kinsoku/>
        <w:wordWrap w:val="0"/>
        <w:overflowPunct/>
        <w:topLinePunct w:val="0"/>
        <w:bidi w:val="0"/>
        <w:spacing w:line="336" w:lineRule="auto"/>
        <w:rPr>
          <w:rFonts w:hint="eastAsia" w:ascii="宋体" w:hAnsi="宋体" w:eastAsia="宋体" w:cs="宋体"/>
          <w:b/>
          <w:bCs/>
          <w:color w:val="auto"/>
          <w:sz w:val="28"/>
          <w:szCs w:val="28"/>
          <w:highlight w:val="none"/>
        </w:rPr>
      </w:pPr>
    </w:p>
    <w:p>
      <w:pPr>
        <w:pageBreakBefore w:val="0"/>
        <w:kinsoku/>
        <w:wordWrap w:val="0"/>
        <w:overflowPunct/>
        <w:topLinePunct w:val="0"/>
        <w:bidi w:val="0"/>
        <w:spacing w:line="336" w:lineRule="auto"/>
        <w:ind w:firstLine="48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供应商名称：</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（盖章）</w:t>
      </w:r>
    </w:p>
    <w:p>
      <w:pPr>
        <w:pageBreakBefore w:val="0"/>
        <w:kinsoku/>
        <w:wordWrap w:val="0"/>
        <w:overflowPunct/>
        <w:topLinePunct w:val="0"/>
        <w:bidi w:val="0"/>
        <w:spacing w:line="336" w:lineRule="auto"/>
        <w:ind w:firstLine="48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响应文件内容：</w:t>
      </w:r>
      <w:r>
        <w:rPr>
          <w:rFonts w:hint="eastAsia" w:ascii="宋体" w:hAnsi="宋体" w:eastAsia="宋体" w:cs="宋体"/>
          <w:b/>
          <w:bCs/>
          <w:color w:val="auto"/>
          <w:sz w:val="28"/>
          <w:szCs w:val="28"/>
          <w:highlight w:val="none"/>
          <w:u w:val="single"/>
        </w:rPr>
        <w:t xml:space="preserve">    资格审查</w:t>
      </w:r>
      <w:r>
        <w:rPr>
          <w:rFonts w:hint="eastAsia" w:ascii="宋体" w:hAnsi="宋体" w:eastAsia="宋体" w:cs="宋体"/>
          <w:b/>
          <w:bCs/>
          <w:color w:val="auto"/>
          <w:sz w:val="28"/>
          <w:szCs w:val="28"/>
          <w:highlight w:val="none"/>
          <w:u w:val="single"/>
          <w:lang w:eastAsia="zh-CN"/>
        </w:rPr>
        <w:t>、商务标、技术标</w:t>
      </w:r>
      <w:r>
        <w:rPr>
          <w:rFonts w:hint="eastAsia" w:ascii="宋体" w:hAnsi="宋体" w:eastAsia="宋体" w:cs="宋体"/>
          <w:b/>
          <w:bCs/>
          <w:color w:val="auto"/>
          <w:sz w:val="28"/>
          <w:szCs w:val="28"/>
          <w:highlight w:val="none"/>
          <w:u w:val="single"/>
        </w:rPr>
        <w:t xml:space="preserve">               </w:t>
      </w:r>
    </w:p>
    <w:p>
      <w:pPr>
        <w:pageBreakBefore w:val="0"/>
        <w:kinsoku/>
        <w:wordWrap w:val="0"/>
        <w:overflowPunct/>
        <w:topLinePunct w:val="0"/>
        <w:bidi w:val="0"/>
        <w:spacing w:line="336" w:lineRule="auto"/>
        <w:ind w:firstLine="48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法定代表人（负责人）或其委托代理人：</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 xml:space="preserve">（签字） </w:t>
      </w:r>
    </w:p>
    <w:p>
      <w:pPr>
        <w:pageBreakBefore w:val="0"/>
        <w:kinsoku/>
        <w:wordWrap w:val="0"/>
        <w:overflowPunct/>
        <w:topLinePunct w:val="0"/>
        <w:bidi w:val="0"/>
        <w:spacing w:line="336" w:lineRule="auto"/>
        <w:ind w:firstLine="48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日</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期：______年_____月_____日</w:t>
      </w:r>
    </w:p>
    <w:p>
      <w:pPr>
        <w:pageBreakBefore w:val="0"/>
        <w:kinsoku/>
        <w:wordWrap w:val="0"/>
        <w:overflowPunct/>
        <w:topLinePunct w:val="0"/>
        <w:bidi w:val="0"/>
        <w:adjustRightInd/>
        <w:snapToGrid/>
        <w:spacing w:after="0" w:line="336"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pPr>
        <w:pageBreakBefore w:val="0"/>
        <w:kinsoku/>
        <w:wordWrap w:val="0"/>
        <w:overflowPunct/>
        <w:topLinePunct w:val="0"/>
        <w:bidi w:val="0"/>
        <w:spacing w:line="336"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目  录</w:t>
      </w:r>
    </w:p>
    <w:p>
      <w:pPr>
        <w:pStyle w:val="7"/>
        <w:keepNext w:val="0"/>
        <w:keepLines w:val="0"/>
        <w:pageBreakBefore w:val="0"/>
        <w:widowControl/>
        <w:kinsoku/>
        <w:wordWrap w:val="0"/>
        <w:overflowPunct/>
        <w:topLinePunct w:val="0"/>
        <w:autoSpaceDE/>
        <w:autoSpaceDN/>
        <w:bidi w:val="0"/>
        <w:adjustRightInd w:val="0"/>
        <w:snapToGrid w:val="0"/>
        <w:spacing w:line="336" w:lineRule="auto"/>
        <w:ind w:firstLine="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资格审查</w:t>
      </w:r>
    </w:p>
    <w:p>
      <w:pPr>
        <w:pStyle w:val="7"/>
        <w:keepNext w:val="0"/>
        <w:keepLines w:val="0"/>
        <w:pageBreakBefore w:val="0"/>
        <w:widowControl/>
        <w:kinsoku/>
        <w:wordWrap w:val="0"/>
        <w:overflowPunct/>
        <w:topLinePunct w:val="0"/>
        <w:autoSpaceDE/>
        <w:autoSpaceDN/>
        <w:bidi w:val="0"/>
        <w:adjustRightInd w:val="0"/>
        <w:snapToGrid w:val="0"/>
        <w:spacing w:line="336" w:lineRule="auto"/>
        <w:ind w:left="0" w:leftChars="0" w:firstLine="0" w:firstLineChars="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）有效的营业执照副本、组织机构代码证副本、税务登记证副本（或加载有统一社会信用代码的‘三证合一’营业执照副本或事业单位法人证）</w:t>
      </w:r>
      <w:r>
        <w:rPr>
          <w:rFonts w:hint="eastAsia" w:ascii="宋体" w:hAnsi="宋体" w:eastAsia="宋体" w:cs="宋体"/>
          <w:b w:val="0"/>
          <w:bCs w:val="0"/>
          <w:color w:val="auto"/>
          <w:sz w:val="24"/>
          <w:szCs w:val="24"/>
          <w:highlight w:val="none"/>
        </w:rPr>
        <w:t>；</w:t>
      </w:r>
    </w:p>
    <w:p>
      <w:pPr>
        <w:pStyle w:val="7"/>
        <w:keepNext w:val="0"/>
        <w:keepLines w:val="0"/>
        <w:pageBreakBefore w:val="0"/>
        <w:widowControl/>
        <w:kinsoku/>
        <w:wordWrap w:val="0"/>
        <w:overflowPunct/>
        <w:topLinePunct w:val="0"/>
        <w:autoSpaceDE/>
        <w:autoSpaceDN/>
        <w:bidi w:val="0"/>
        <w:adjustRightInd w:val="0"/>
        <w:snapToGrid w:val="0"/>
        <w:spacing w:line="336" w:lineRule="auto"/>
        <w:ind w:left="0" w:leftChars="0" w:firstLine="0" w:firstLineChars="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）有效的基本账户开户许可证或基本存款账户</w:t>
      </w:r>
      <w:r>
        <w:rPr>
          <w:rFonts w:hint="eastAsia" w:ascii="宋体" w:hAnsi="宋体" w:eastAsia="宋体" w:cs="宋体"/>
          <w:b w:val="0"/>
          <w:bCs w:val="0"/>
          <w:color w:val="auto"/>
          <w:sz w:val="24"/>
          <w:szCs w:val="24"/>
          <w:highlight w:val="none"/>
        </w:rPr>
        <w:t>；</w:t>
      </w:r>
    </w:p>
    <w:p>
      <w:pPr>
        <w:pStyle w:val="7"/>
        <w:keepNext w:val="0"/>
        <w:keepLines w:val="0"/>
        <w:pageBreakBefore w:val="0"/>
        <w:widowControl/>
        <w:kinsoku/>
        <w:wordWrap w:val="0"/>
        <w:overflowPunct/>
        <w:topLinePunct w:val="0"/>
        <w:autoSpaceDE/>
        <w:autoSpaceDN/>
        <w:bidi w:val="0"/>
        <w:adjustRightInd w:val="0"/>
        <w:snapToGrid w:val="0"/>
        <w:spacing w:line="336" w:lineRule="auto"/>
        <w:ind w:left="0" w:leftChars="0" w:firstLine="0" w:firstLineChars="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法定代表人（负责人）资格证明书和法定代表人（负责人）身份证复印件；</w:t>
      </w:r>
    </w:p>
    <w:p>
      <w:pPr>
        <w:pStyle w:val="7"/>
        <w:keepNext w:val="0"/>
        <w:keepLines w:val="0"/>
        <w:pageBreakBefore w:val="0"/>
        <w:widowControl/>
        <w:kinsoku/>
        <w:wordWrap w:val="0"/>
        <w:overflowPunct/>
        <w:topLinePunct w:val="0"/>
        <w:autoSpaceDE/>
        <w:autoSpaceDN/>
        <w:bidi w:val="0"/>
        <w:adjustRightInd w:val="0"/>
        <w:snapToGrid w:val="0"/>
        <w:spacing w:line="336" w:lineRule="auto"/>
        <w:ind w:left="0" w:leftChars="0" w:firstLine="0" w:firstLineChars="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）提供供应商近半年内连续</w:t>
      </w:r>
      <w:r>
        <w:rPr>
          <w:rFonts w:hint="eastAsia" w:ascii="宋体" w:hAnsi="宋体" w:eastAsia="宋体" w:cs="宋体"/>
          <w:b w:val="0"/>
          <w:bCs w:val="0"/>
          <w:color w:val="auto"/>
          <w:sz w:val="24"/>
          <w:szCs w:val="24"/>
          <w:highlight w:val="none"/>
          <w:lang w:val="en-US" w:eastAsia="zh-CN"/>
        </w:rPr>
        <w:t>3个</w:t>
      </w:r>
      <w:r>
        <w:rPr>
          <w:rFonts w:hint="eastAsia" w:ascii="宋体" w:hAnsi="宋体" w:eastAsia="宋体" w:cs="宋体"/>
          <w:b w:val="0"/>
          <w:bCs w:val="0"/>
          <w:color w:val="auto"/>
          <w:sz w:val="24"/>
          <w:szCs w:val="24"/>
          <w:highlight w:val="none"/>
          <w:lang w:eastAsia="zh-CN"/>
        </w:rPr>
        <w:t>月的依法缴纳税费或依法免缴税费的证明</w:t>
      </w:r>
      <w:r>
        <w:rPr>
          <w:rFonts w:hint="eastAsia" w:ascii="宋体" w:hAnsi="宋体" w:eastAsia="宋体" w:cs="宋体"/>
          <w:b w:val="0"/>
          <w:bCs w:val="0"/>
          <w:color w:val="auto"/>
          <w:sz w:val="24"/>
          <w:szCs w:val="24"/>
          <w:highlight w:val="none"/>
        </w:rPr>
        <w:t>；</w:t>
      </w:r>
    </w:p>
    <w:p>
      <w:pPr>
        <w:pStyle w:val="7"/>
        <w:keepNext w:val="0"/>
        <w:keepLines w:val="0"/>
        <w:pageBreakBefore w:val="0"/>
        <w:widowControl/>
        <w:kinsoku/>
        <w:wordWrap w:val="0"/>
        <w:overflowPunct/>
        <w:topLinePunct w:val="0"/>
        <w:autoSpaceDE/>
        <w:autoSpaceDN/>
        <w:bidi w:val="0"/>
        <w:adjustRightInd w:val="0"/>
        <w:snapToGrid w:val="0"/>
        <w:spacing w:line="336" w:lineRule="auto"/>
        <w:ind w:left="0" w:leftChars="0" w:firstLine="0" w:firstLineChars="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）提供2020年度审计报告或财务会计报表（新成立单位按实际提供）</w:t>
      </w:r>
      <w:r>
        <w:rPr>
          <w:rFonts w:hint="eastAsia" w:ascii="宋体" w:hAnsi="宋体" w:eastAsia="宋体" w:cs="宋体"/>
          <w:b w:val="0"/>
          <w:bCs w:val="0"/>
          <w:color w:val="auto"/>
          <w:sz w:val="24"/>
          <w:szCs w:val="24"/>
          <w:highlight w:val="none"/>
        </w:rPr>
        <w:t>；</w:t>
      </w:r>
    </w:p>
    <w:p>
      <w:pPr>
        <w:pStyle w:val="7"/>
        <w:keepNext w:val="0"/>
        <w:keepLines w:val="0"/>
        <w:pageBreakBefore w:val="0"/>
        <w:widowControl/>
        <w:kinsoku/>
        <w:wordWrap w:val="0"/>
        <w:overflowPunct/>
        <w:topLinePunct w:val="0"/>
        <w:autoSpaceDE/>
        <w:autoSpaceDN/>
        <w:bidi w:val="0"/>
        <w:adjustRightInd w:val="0"/>
        <w:snapToGrid w:val="0"/>
        <w:spacing w:line="336" w:lineRule="auto"/>
        <w:ind w:left="0" w:leftChars="0" w:firstLine="0" w:firstLineChars="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法定代表人（负责人）授权委托书原件和委托代理人身份证复印件（委托代理时须提供）；</w:t>
      </w:r>
    </w:p>
    <w:p>
      <w:pPr>
        <w:pStyle w:val="7"/>
        <w:keepNext w:val="0"/>
        <w:keepLines w:val="0"/>
        <w:pageBreakBefore w:val="0"/>
        <w:widowControl/>
        <w:kinsoku/>
        <w:wordWrap w:val="0"/>
        <w:overflowPunct/>
        <w:topLinePunct w:val="0"/>
        <w:autoSpaceDE/>
        <w:autoSpaceDN/>
        <w:bidi w:val="0"/>
        <w:adjustRightInd w:val="0"/>
        <w:snapToGrid w:val="0"/>
        <w:spacing w:line="336" w:lineRule="auto"/>
        <w:ind w:left="0" w:leftChars="0" w:firstLine="0" w:firstLineChars="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eastAsia="zh-CN"/>
        </w:rPr>
        <w:t>）无串通竞标行为的承诺函（必须提供）；</w:t>
      </w:r>
    </w:p>
    <w:p>
      <w:pPr>
        <w:pStyle w:val="7"/>
        <w:keepNext w:val="0"/>
        <w:keepLines w:val="0"/>
        <w:pageBreakBefore w:val="0"/>
        <w:widowControl/>
        <w:kinsoku/>
        <w:wordWrap w:val="0"/>
        <w:overflowPunct/>
        <w:topLinePunct w:val="0"/>
        <w:autoSpaceDE/>
        <w:autoSpaceDN/>
        <w:bidi w:val="0"/>
        <w:adjustRightInd w:val="0"/>
        <w:snapToGrid w:val="0"/>
        <w:spacing w:line="336" w:lineRule="auto"/>
        <w:ind w:left="0" w:leftChars="0" w:firstLine="0" w:firstLineChars="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提供本单位参加政府采购活动前3年内在经营活动中没有大违法记录在书面声明。</w:t>
      </w:r>
    </w:p>
    <w:p>
      <w:pPr>
        <w:pStyle w:val="7"/>
        <w:keepNext w:val="0"/>
        <w:keepLines w:val="0"/>
        <w:pageBreakBefore w:val="0"/>
        <w:widowControl/>
        <w:kinsoku/>
        <w:wordWrap w:val="0"/>
        <w:overflowPunct/>
        <w:topLinePunct w:val="0"/>
        <w:autoSpaceDE/>
        <w:autoSpaceDN/>
        <w:bidi w:val="0"/>
        <w:adjustRightInd w:val="0"/>
        <w:snapToGrid w:val="0"/>
        <w:spacing w:line="336" w:lineRule="auto"/>
        <w:ind w:left="0" w:leftChars="0" w:firstLine="0" w:firstLineChars="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商务标</w:t>
      </w:r>
    </w:p>
    <w:p>
      <w:pPr>
        <w:pStyle w:val="7"/>
        <w:keepNext w:val="0"/>
        <w:keepLines w:val="0"/>
        <w:pageBreakBefore w:val="0"/>
        <w:widowControl/>
        <w:kinsoku/>
        <w:wordWrap w:val="0"/>
        <w:overflowPunct/>
        <w:topLinePunct w:val="0"/>
        <w:autoSpaceDE/>
        <w:autoSpaceDN/>
        <w:bidi w:val="0"/>
        <w:adjustRightInd w:val="0"/>
        <w:snapToGrid w:val="0"/>
        <w:spacing w:line="336" w:lineRule="auto"/>
        <w:ind w:left="0" w:lef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（1）竞标函（必须提供）；</w:t>
      </w:r>
    </w:p>
    <w:p>
      <w:pPr>
        <w:pStyle w:val="7"/>
        <w:keepNext w:val="0"/>
        <w:keepLines w:val="0"/>
        <w:pageBreakBefore w:val="0"/>
        <w:widowControl/>
        <w:kinsoku/>
        <w:wordWrap w:val="0"/>
        <w:overflowPunct/>
        <w:topLinePunct w:val="0"/>
        <w:autoSpaceDE/>
        <w:autoSpaceDN/>
        <w:bidi w:val="0"/>
        <w:adjustRightInd w:val="0"/>
        <w:snapToGrid w:val="0"/>
        <w:spacing w:line="336" w:lineRule="auto"/>
        <w:ind w:left="0" w:lef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竞标报价表</w:t>
      </w:r>
      <w:r>
        <w:rPr>
          <w:rFonts w:hint="eastAsia" w:ascii="宋体" w:hAnsi="宋体" w:eastAsia="宋体" w:cs="宋体"/>
          <w:color w:val="auto"/>
          <w:sz w:val="24"/>
          <w:szCs w:val="24"/>
          <w:highlight w:val="none"/>
        </w:rPr>
        <w:t>（必须提供）；</w:t>
      </w:r>
    </w:p>
    <w:p>
      <w:pPr>
        <w:pStyle w:val="7"/>
        <w:keepNext w:val="0"/>
        <w:keepLines w:val="0"/>
        <w:pageBreakBefore w:val="0"/>
        <w:widowControl/>
        <w:kinsoku/>
        <w:wordWrap w:val="0"/>
        <w:overflowPunct/>
        <w:topLinePunct w:val="0"/>
        <w:autoSpaceDE/>
        <w:autoSpaceDN/>
        <w:bidi w:val="0"/>
        <w:adjustRightInd w:val="0"/>
        <w:snapToGrid w:val="0"/>
        <w:spacing w:line="336" w:lineRule="auto"/>
        <w:ind w:left="0" w:lef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（3）售后服务承诺书（必须提供）；</w:t>
      </w:r>
    </w:p>
    <w:p>
      <w:pPr>
        <w:pStyle w:val="7"/>
        <w:keepNext w:val="0"/>
        <w:keepLines w:val="0"/>
        <w:pageBreakBefore w:val="0"/>
        <w:widowControl/>
        <w:kinsoku/>
        <w:wordWrap w:val="0"/>
        <w:overflowPunct/>
        <w:topLinePunct w:val="0"/>
        <w:autoSpaceDE/>
        <w:autoSpaceDN/>
        <w:bidi w:val="0"/>
        <w:adjustRightInd w:val="0"/>
        <w:snapToGrid w:val="0"/>
        <w:spacing w:line="336" w:lineRule="auto"/>
        <w:ind w:left="0" w:lef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（4）中小企业声明函（如有）；</w:t>
      </w:r>
    </w:p>
    <w:p>
      <w:pPr>
        <w:pStyle w:val="7"/>
        <w:keepNext w:val="0"/>
        <w:keepLines w:val="0"/>
        <w:pageBreakBefore w:val="0"/>
        <w:widowControl/>
        <w:kinsoku/>
        <w:wordWrap w:val="0"/>
        <w:overflowPunct/>
        <w:topLinePunct w:val="0"/>
        <w:autoSpaceDE/>
        <w:autoSpaceDN/>
        <w:bidi w:val="0"/>
        <w:adjustRightInd w:val="0"/>
        <w:snapToGrid w:val="0"/>
        <w:spacing w:line="336" w:lineRule="auto"/>
        <w:ind w:left="0" w:leftChars="0" w:firstLine="0" w:firstLineChars="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（5）供应商认为需要说明的其它资料</w:t>
      </w:r>
      <w:r>
        <w:rPr>
          <w:rFonts w:hint="eastAsia" w:ascii="宋体" w:hAnsi="宋体" w:eastAsia="宋体" w:cs="宋体"/>
          <w:color w:val="auto"/>
          <w:sz w:val="24"/>
          <w:szCs w:val="24"/>
          <w:highlight w:val="none"/>
          <w:lang w:eastAsia="zh-CN"/>
        </w:rPr>
        <w:t>。</w:t>
      </w:r>
    </w:p>
    <w:p>
      <w:pPr>
        <w:pStyle w:val="7"/>
        <w:keepNext w:val="0"/>
        <w:keepLines w:val="0"/>
        <w:pageBreakBefore w:val="0"/>
        <w:widowControl/>
        <w:kinsoku/>
        <w:wordWrap w:val="0"/>
        <w:overflowPunct/>
        <w:topLinePunct w:val="0"/>
        <w:autoSpaceDE/>
        <w:autoSpaceDN/>
        <w:bidi w:val="0"/>
        <w:adjustRightInd w:val="0"/>
        <w:snapToGrid w:val="0"/>
        <w:spacing w:line="336" w:lineRule="auto"/>
        <w:ind w:left="0" w:leftChars="0" w:firstLine="0" w:firstLineChars="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技术标</w:t>
      </w:r>
    </w:p>
    <w:p>
      <w:pPr>
        <w:pStyle w:val="7"/>
        <w:keepNext w:val="0"/>
        <w:keepLines w:val="0"/>
        <w:pageBreakBefore w:val="0"/>
        <w:widowControl/>
        <w:kinsoku/>
        <w:wordWrap w:val="0"/>
        <w:overflowPunct/>
        <w:topLinePunct w:val="0"/>
        <w:autoSpaceDE/>
        <w:autoSpaceDN/>
        <w:bidi w:val="0"/>
        <w:adjustRightInd w:val="0"/>
        <w:snapToGrid w:val="0"/>
        <w:spacing w:line="336" w:lineRule="auto"/>
        <w:ind w:left="0" w:lef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（1）技术规格响应表（必须提供）；</w:t>
      </w:r>
    </w:p>
    <w:p>
      <w:pPr>
        <w:pStyle w:val="7"/>
        <w:keepNext w:val="0"/>
        <w:keepLines w:val="0"/>
        <w:pageBreakBefore w:val="0"/>
        <w:widowControl/>
        <w:kinsoku/>
        <w:wordWrap w:val="0"/>
        <w:overflowPunct/>
        <w:topLinePunct w:val="0"/>
        <w:autoSpaceDE/>
        <w:autoSpaceDN/>
        <w:bidi w:val="0"/>
        <w:adjustRightInd w:val="0"/>
        <w:snapToGrid w:val="0"/>
        <w:spacing w:line="336" w:lineRule="auto"/>
        <w:ind w:left="0" w:lef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（2）针对本项目的服务承诺方案（必须提供）；</w:t>
      </w:r>
    </w:p>
    <w:p>
      <w:pPr>
        <w:pStyle w:val="7"/>
        <w:keepNext w:val="0"/>
        <w:keepLines w:val="0"/>
        <w:pageBreakBefore w:val="0"/>
        <w:widowControl/>
        <w:kinsoku/>
        <w:wordWrap w:val="0"/>
        <w:overflowPunct/>
        <w:topLinePunct w:val="0"/>
        <w:autoSpaceDE/>
        <w:autoSpaceDN/>
        <w:bidi w:val="0"/>
        <w:adjustRightInd w:val="0"/>
        <w:snapToGrid w:val="0"/>
        <w:spacing w:line="336" w:lineRule="auto"/>
        <w:ind w:left="0" w:leftChars="0" w:firstLine="0" w:firstLineChars="0"/>
        <w:textAlignment w:val="baseline"/>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（3）供应商认为需要说明的其它资料。</w:t>
      </w:r>
    </w:p>
    <w:p>
      <w:pPr>
        <w:pageBreakBefore w:val="0"/>
        <w:kinsoku/>
        <w:wordWrap w:val="0"/>
        <w:overflowPunct/>
        <w:topLinePunct w:val="0"/>
        <w:bidi w:val="0"/>
        <w:spacing w:line="336"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pPr>
        <w:pageBreakBefore w:val="0"/>
        <w:kinsoku/>
        <w:wordWrap w:val="0"/>
        <w:overflowPunct/>
        <w:topLinePunct w:val="0"/>
        <w:bidi w:val="0"/>
        <w:spacing w:line="336" w:lineRule="auto"/>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资格审查</w:t>
      </w:r>
      <w:r>
        <w:rPr>
          <w:rFonts w:hint="eastAsia" w:ascii="宋体" w:hAnsi="宋体" w:eastAsia="宋体" w:cs="宋体"/>
          <w:b/>
          <w:color w:val="auto"/>
          <w:sz w:val="28"/>
          <w:highlight w:val="none"/>
          <w:lang w:eastAsia="zh-CN"/>
        </w:rPr>
        <w:t>：</w:t>
      </w:r>
    </w:p>
    <w:p>
      <w:pPr>
        <w:pageBreakBefore w:val="0"/>
        <w:kinsoku/>
        <w:wordWrap w:val="0"/>
        <w:overflowPunct/>
        <w:topLinePunct w:val="0"/>
        <w:bidi w:val="0"/>
        <w:spacing w:line="336"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lang w:eastAsia="zh-CN"/>
        </w:rPr>
        <w:t>（</w:t>
      </w:r>
      <w:r>
        <w:rPr>
          <w:rFonts w:hint="eastAsia" w:ascii="宋体" w:hAnsi="宋体" w:eastAsia="宋体" w:cs="宋体"/>
          <w:b/>
          <w:color w:val="auto"/>
          <w:sz w:val="28"/>
          <w:highlight w:val="none"/>
          <w:lang w:val="en-US" w:eastAsia="zh-CN"/>
        </w:rPr>
        <w:t>1</w:t>
      </w:r>
      <w:r>
        <w:rPr>
          <w:rFonts w:hint="eastAsia" w:ascii="宋体" w:hAnsi="宋体" w:eastAsia="宋体" w:cs="宋体"/>
          <w:b/>
          <w:color w:val="auto"/>
          <w:sz w:val="28"/>
          <w:highlight w:val="none"/>
          <w:lang w:eastAsia="zh-CN"/>
        </w:rPr>
        <w:t>）有效的营业执照副本、组织机构代码证副本、税务登记证副本（或加载有统一社会信用代码的‘三证合一’营业执照副本或事业单位法人证）</w:t>
      </w:r>
      <w:r>
        <w:rPr>
          <w:rFonts w:hint="eastAsia" w:ascii="宋体" w:hAnsi="宋体" w:eastAsia="宋体" w:cs="宋体"/>
          <w:b/>
          <w:color w:val="auto"/>
          <w:sz w:val="28"/>
          <w:highlight w:val="none"/>
        </w:rPr>
        <w:t>；</w:t>
      </w:r>
    </w:p>
    <w:p>
      <w:pPr>
        <w:pageBreakBefore w:val="0"/>
        <w:kinsoku/>
        <w:wordWrap w:val="0"/>
        <w:overflowPunct/>
        <w:topLinePunct w:val="0"/>
        <w:bidi w:val="0"/>
        <w:spacing w:line="336" w:lineRule="auto"/>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lang w:eastAsia="zh-CN"/>
        </w:rPr>
        <w:t>（</w:t>
      </w:r>
      <w:r>
        <w:rPr>
          <w:rFonts w:hint="eastAsia" w:ascii="宋体" w:hAnsi="宋体" w:eastAsia="宋体" w:cs="宋体"/>
          <w:b/>
          <w:color w:val="auto"/>
          <w:sz w:val="28"/>
          <w:highlight w:val="none"/>
          <w:lang w:val="en-US" w:eastAsia="zh-CN"/>
        </w:rPr>
        <w:t>2</w:t>
      </w:r>
      <w:r>
        <w:rPr>
          <w:rFonts w:hint="eastAsia" w:ascii="宋体" w:hAnsi="宋体" w:eastAsia="宋体" w:cs="宋体"/>
          <w:b/>
          <w:color w:val="auto"/>
          <w:sz w:val="28"/>
          <w:highlight w:val="none"/>
          <w:lang w:eastAsia="zh-CN"/>
        </w:rPr>
        <w:t>）有效的基本账户开户许可证或基本存款账户</w:t>
      </w:r>
      <w:r>
        <w:rPr>
          <w:rFonts w:hint="eastAsia" w:ascii="宋体" w:hAnsi="宋体" w:eastAsia="宋体" w:cs="宋体"/>
          <w:b/>
          <w:color w:val="auto"/>
          <w:sz w:val="28"/>
          <w:highlight w:val="none"/>
        </w:rPr>
        <w:t>；</w:t>
      </w:r>
      <w:r>
        <w:rPr>
          <w:rFonts w:hint="eastAsia" w:ascii="宋体" w:hAnsi="宋体" w:eastAsia="宋体" w:cs="宋体"/>
          <w:b/>
          <w:color w:val="auto"/>
          <w:sz w:val="28"/>
          <w:highlight w:val="none"/>
          <w:lang w:eastAsia="zh-CN"/>
        </w:rPr>
        <w:br w:type="page"/>
      </w:r>
    </w:p>
    <w:p>
      <w:pPr>
        <w:pageBreakBefore w:val="0"/>
        <w:kinsoku/>
        <w:wordWrap w:val="0"/>
        <w:overflowPunct/>
        <w:topLinePunct w:val="0"/>
        <w:bidi w:val="0"/>
        <w:spacing w:line="336" w:lineRule="auto"/>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lang w:eastAsia="zh-CN"/>
        </w:rPr>
        <w:t>（</w:t>
      </w:r>
      <w:r>
        <w:rPr>
          <w:rFonts w:hint="eastAsia" w:ascii="宋体" w:hAnsi="宋体" w:eastAsia="宋体" w:cs="宋体"/>
          <w:b/>
          <w:color w:val="auto"/>
          <w:sz w:val="28"/>
          <w:highlight w:val="none"/>
          <w:lang w:val="en-US" w:eastAsia="zh-CN"/>
        </w:rPr>
        <w:t>3</w:t>
      </w:r>
      <w:r>
        <w:rPr>
          <w:rFonts w:hint="eastAsia" w:ascii="宋体" w:hAnsi="宋体" w:eastAsia="宋体" w:cs="宋体"/>
          <w:b/>
          <w:color w:val="auto"/>
          <w:sz w:val="28"/>
          <w:highlight w:val="none"/>
          <w:lang w:eastAsia="zh-CN"/>
        </w:rPr>
        <w:t>）法定代表人（负责人）资格证明书和法定代表人（负责人）身份证复印件；</w:t>
      </w:r>
    </w:p>
    <w:p>
      <w:pPr>
        <w:pageBreakBefore w:val="0"/>
        <w:kinsoku/>
        <w:wordWrap w:val="0"/>
        <w:overflowPunct/>
        <w:topLinePunct w:val="0"/>
        <w:bidi w:val="0"/>
        <w:spacing w:line="336" w:lineRule="auto"/>
        <w:jc w:val="center"/>
        <w:rPr>
          <w:rFonts w:hint="eastAsia" w:ascii="宋体" w:hAnsi="宋体" w:eastAsia="宋体" w:cs="宋体"/>
          <w:color w:val="auto"/>
          <w:sz w:val="28"/>
          <w:highlight w:val="none"/>
        </w:rPr>
      </w:pPr>
      <w:r>
        <w:rPr>
          <w:rFonts w:hint="eastAsia" w:ascii="宋体" w:hAnsi="宋体" w:eastAsia="宋体" w:cs="宋体"/>
          <w:b/>
          <w:bCs/>
          <w:color w:val="auto"/>
          <w:sz w:val="28"/>
          <w:highlight w:val="none"/>
        </w:rPr>
        <w:t>法定代表人（负责人）身份证明</w:t>
      </w:r>
    </w:p>
    <w:p>
      <w:pPr>
        <w:pStyle w:val="26"/>
        <w:pageBreakBefore w:val="0"/>
        <w:kinsoku/>
        <w:wordWrap w:val="0"/>
        <w:overflowPunct/>
        <w:topLinePunct w:val="0"/>
        <w:bidi w:val="0"/>
        <w:spacing w:line="336" w:lineRule="auto"/>
        <w:ind w:firstLine="0" w:firstLineChars="0"/>
        <w:rPr>
          <w:rFonts w:hint="eastAsia" w:ascii="宋体" w:hAnsi="宋体" w:eastAsia="宋体" w:cs="宋体"/>
          <w:color w:val="auto"/>
          <w:highlight w:val="none"/>
        </w:rPr>
      </w:pPr>
    </w:p>
    <w:p>
      <w:pPr>
        <w:pageBreakBefore w:val="0"/>
        <w:kinsoku/>
        <w:wordWrap w:val="0"/>
        <w:overflowPunct/>
        <w:topLinePunct w:val="0"/>
        <w:bidi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p>
    <w:p>
      <w:pPr>
        <w:pageBreakBefore w:val="0"/>
        <w:kinsoku/>
        <w:wordWrap w:val="0"/>
        <w:overflowPunct/>
        <w:topLinePunct w:val="0"/>
        <w:bidi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pPr>
        <w:pageBreakBefore w:val="0"/>
        <w:kinsoku/>
        <w:wordWrap w:val="0"/>
        <w:overflowPunct/>
        <w:topLinePunct w:val="0"/>
        <w:bidi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pageBreakBefore w:val="0"/>
        <w:kinsoku/>
        <w:wordWrap w:val="0"/>
        <w:overflowPunct/>
        <w:topLinePunct w:val="0"/>
        <w:bidi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年     月     日</w:t>
      </w:r>
    </w:p>
    <w:p>
      <w:pPr>
        <w:pageBreakBefore w:val="0"/>
        <w:kinsoku/>
        <w:wordWrap w:val="0"/>
        <w:overflowPunct/>
        <w:topLinePunct w:val="0"/>
        <w:bidi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pPr>
        <w:pageBreakBefore w:val="0"/>
        <w:kinsoku/>
        <w:wordWrap w:val="0"/>
        <w:overflowPunct/>
        <w:topLinePunct w:val="0"/>
        <w:bidi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pPr>
        <w:pageBreakBefore w:val="0"/>
        <w:kinsoku/>
        <w:wordWrap w:val="0"/>
        <w:overflowPunct/>
        <w:topLinePunct w:val="0"/>
        <w:bidi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w:t>
      </w:r>
    </w:p>
    <w:p>
      <w:pPr>
        <w:pageBreakBefore w:val="0"/>
        <w:kinsoku/>
        <w:wordWrap w:val="0"/>
        <w:overflowPunct/>
        <w:topLinePunct w:val="0"/>
        <w:bidi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pageBreakBefore w:val="0"/>
        <w:kinsoku/>
        <w:wordWrap w:val="0"/>
        <w:overflowPunct/>
        <w:topLinePunct w:val="0"/>
        <w:bidi w:val="0"/>
        <w:spacing w:line="336" w:lineRule="auto"/>
        <w:rPr>
          <w:rFonts w:hint="eastAsia" w:ascii="宋体" w:hAnsi="宋体" w:eastAsia="宋体" w:cs="宋体"/>
          <w:color w:val="auto"/>
          <w:sz w:val="24"/>
          <w:szCs w:val="24"/>
          <w:highlight w:val="none"/>
        </w:rPr>
      </w:pPr>
    </w:p>
    <w:p>
      <w:pPr>
        <w:pageBreakBefore w:val="0"/>
        <w:kinsoku/>
        <w:wordWrap w:val="0"/>
        <w:overflowPunct/>
        <w:topLinePunct w:val="0"/>
        <w:bidi w:val="0"/>
        <w:spacing w:line="336" w:lineRule="auto"/>
        <w:rPr>
          <w:rFonts w:hint="eastAsia" w:ascii="宋体" w:hAnsi="宋体" w:eastAsia="宋体" w:cs="宋体"/>
          <w:color w:val="auto"/>
          <w:sz w:val="24"/>
          <w:szCs w:val="24"/>
          <w:highlight w:val="none"/>
        </w:rPr>
      </w:pPr>
    </w:p>
    <w:p>
      <w:pPr>
        <w:pStyle w:val="12"/>
        <w:pageBreakBefore w:val="0"/>
        <w:kinsoku/>
        <w:wordWrap w:val="0"/>
        <w:overflowPunct/>
        <w:topLinePunct w:val="0"/>
        <w:bidi w:val="0"/>
        <w:spacing w:before="240"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（单位名称并盖公章）</w:t>
      </w:r>
    </w:p>
    <w:p>
      <w:pPr>
        <w:pStyle w:val="12"/>
        <w:pageBreakBefore w:val="0"/>
        <w:kinsoku/>
        <w:wordWrap w:val="0"/>
        <w:overflowPunct/>
        <w:topLinePunct w:val="0"/>
        <w:bidi w:val="0"/>
        <w:spacing w:before="240"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法定代表人（负责人）或授权委托人：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pPr>
        <w:pStyle w:val="12"/>
        <w:pageBreakBefore w:val="0"/>
        <w:kinsoku/>
        <w:wordWrap w:val="0"/>
        <w:overflowPunct/>
        <w:topLinePunct w:val="0"/>
        <w:bidi w:val="0"/>
        <w:spacing w:before="240"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ageBreakBefore w:val="0"/>
        <w:kinsoku/>
        <w:wordWrap w:val="0"/>
        <w:overflowPunct/>
        <w:topLinePunct w:val="0"/>
        <w:bidi w:val="0"/>
        <w:spacing w:line="336" w:lineRule="auto"/>
        <w:rPr>
          <w:rFonts w:hint="eastAsia" w:ascii="宋体" w:hAnsi="宋体" w:eastAsia="宋体" w:cs="宋体"/>
          <w:color w:val="auto"/>
          <w:sz w:val="24"/>
          <w:szCs w:val="24"/>
          <w:highlight w:val="none"/>
        </w:rPr>
      </w:pPr>
    </w:p>
    <w:p>
      <w:pPr>
        <w:pStyle w:val="26"/>
        <w:pageBreakBefore w:val="0"/>
        <w:kinsoku/>
        <w:wordWrap w:val="0"/>
        <w:overflowPunct/>
        <w:topLinePunct w:val="0"/>
        <w:bidi w:val="0"/>
        <w:spacing w:line="336" w:lineRule="auto"/>
        <w:ind w:firstLine="360"/>
        <w:rPr>
          <w:rFonts w:hint="eastAsia" w:ascii="宋体" w:hAnsi="宋体" w:eastAsia="宋体" w:cs="宋体"/>
          <w:color w:val="auto"/>
          <w:sz w:val="24"/>
          <w:szCs w:val="24"/>
          <w:highlight w:val="none"/>
        </w:rPr>
      </w:pPr>
    </w:p>
    <w:p>
      <w:pPr>
        <w:pageBreakBefore w:val="0"/>
        <w:kinsoku/>
        <w:wordWrap w:val="0"/>
        <w:overflowPunct/>
        <w:topLinePunct w:val="0"/>
        <w:bidi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附：法定代表人（负责人）身份证复印件。</w:t>
      </w:r>
    </w:p>
    <w:p>
      <w:pPr>
        <w:pageBreakBefore w:val="0"/>
        <w:kinsoku/>
        <w:wordWrap w:val="0"/>
        <w:overflowPunct/>
        <w:topLinePunct w:val="0"/>
        <w:bidi w:val="0"/>
        <w:adjustRightInd/>
        <w:snapToGrid/>
        <w:spacing w:after="0" w:line="33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ageBreakBefore w:val="0"/>
        <w:kinsoku/>
        <w:wordWrap w:val="0"/>
        <w:overflowPunct/>
        <w:topLinePunct w:val="0"/>
        <w:bidi w:val="0"/>
        <w:spacing w:line="336" w:lineRule="auto"/>
        <w:jc w:val="both"/>
        <w:rPr>
          <w:rFonts w:hint="eastAsia" w:ascii="宋体" w:hAnsi="宋体" w:eastAsia="宋体" w:cs="宋体"/>
          <w:b/>
          <w:color w:val="auto"/>
          <w:sz w:val="28"/>
          <w:highlight w:val="none"/>
        </w:rPr>
      </w:pPr>
      <w:r>
        <w:rPr>
          <w:rFonts w:hint="eastAsia" w:ascii="宋体" w:hAnsi="宋体" w:eastAsia="宋体" w:cs="宋体"/>
          <w:b/>
          <w:color w:val="auto"/>
          <w:sz w:val="28"/>
          <w:highlight w:val="none"/>
          <w:lang w:eastAsia="zh-CN"/>
        </w:rPr>
        <w:t>（</w:t>
      </w:r>
      <w:r>
        <w:rPr>
          <w:rFonts w:hint="eastAsia" w:ascii="宋体" w:hAnsi="宋体" w:eastAsia="宋体" w:cs="宋体"/>
          <w:b/>
          <w:color w:val="auto"/>
          <w:sz w:val="28"/>
          <w:highlight w:val="none"/>
          <w:lang w:val="en-US" w:eastAsia="zh-CN"/>
        </w:rPr>
        <w:t>4</w:t>
      </w:r>
      <w:r>
        <w:rPr>
          <w:rFonts w:hint="eastAsia" w:ascii="宋体" w:hAnsi="宋体" w:eastAsia="宋体" w:cs="宋体"/>
          <w:b/>
          <w:color w:val="auto"/>
          <w:sz w:val="28"/>
          <w:highlight w:val="none"/>
          <w:lang w:eastAsia="zh-CN"/>
        </w:rPr>
        <w:t>）</w:t>
      </w:r>
      <w:r>
        <w:rPr>
          <w:rFonts w:hint="eastAsia" w:ascii="宋体" w:hAnsi="宋体" w:eastAsia="宋体" w:cs="宋体"/>
          <w:b/>
          <w:color w:val="auto"/>
          <w:sz w:val="28"/>
          <w:highlight w:val="none"/>
        </w:rPr>
        <w:t>提供供应商</w:t>
      </w:r>
      <w:r>
        <w:rPr>
          <w:rFonts w:hint="eastAsia" w:ascii="宋体" w:hAnsi="宋体" w:eastAsia="宋体" w:cs="宋体"/>
          <w:b/>
          <w:color w:val="auto"/>
          <w:sz w:val="28"/>
          <w:highlight w:val="none"/>
          <w:lang w:eastAsia="zh-CN"/>
        </w:rPr>
        <w:t>近</w:t>
      </w:r>
      <w:r>
        <w:rPr>
          <w:rFonts w:hint="eastAsia" w:ascii="宋体" w:hAnsi="宋体" w:eastAsia="宋体" w:cs="宋体"/>
          <w:b/>
          <w:color w:val="auto"/>
          <w:sz w:val="28"/>
          <w:highlight w:val="none"/>
        </w:rPr>
        <w:t>半年内</w:t>
      </w:r>
      <w:r>
        <w:rPr>
          <w:rFonts w:hint="eastAsia" w:ascii="宋体" w:hAnsi="宋体" w:eastAsia="宋体" w:cs="宋体"/>
          <w:b/>
          <w:color w:val="auto"/>
          <w:sz w:val="28"/>
          <w:highlight w:val="none"/>
          <w:lang w:eastAsia="zh-CN"/>
        </w:rPr>
        <w:t>连续</w:t>
      </w:r>
      <w:r>
        <w:rPr>
          <w:rFonts w:hint="eastAsia" w:ascii="宋体" w:hAnsi="宋体" w:eastAsia="宋体" w:cs="宋体"/>
          <w:b/>
          <w:color w:val="auto"/>
          <w:sz w:val="28"/>
          <w:highlight w:val="none"/>
          <w:lang w:val="en-US" w:eastAsia="zh-CN"/>
        </w:rPr>
        <w:t>3个</w:t>
      </w:r>
      <w:r>
        <w:rPr>
          <w:rFonts w:hint="eastAsia" w:ascii="宋体" w:hAnsi="宋体" w:eastAsia="宋体" w:cs="宋体"/>
          <w:b/>
          <w:color w:val="auto"/>
          <w:sz w:val="28"/>
          <w:highlight w:val="none"/>
        </w:rPr>
        <w:t>月的依法缴纳税费或依法免缴税费的证明；</w:t>
      </w:r>
    </w:p>
    <w:p>
      <w:pPr>
        <w:pageBreakBefore w:val="0"/>
        <w:kinsoku/>
        <w:wordWrap w:val="0"/>
        <w:overflowPunct/>
        <w:topLinePunct w:val="0"/>
        <w:bidi w:val="0"/>
        <w:spacing w:line="336" w:lineRule="auto"/>
        <w:jc w:val="both"/>
        <w:rPr>
          <w:rFonts w:hint="eastAsia" w:ascii="宋体" w:hAnsi="宋体" w:eastAsia="宋体" w:cs="宋体"/>
          <w:b/>
          <w:color w:val="auto"/>
          <w:sz w:val="28"/>
          <w:highlight w:val="none"/>
        </w:rPr>
      </w:pPr>
      <w:r>
        <w:rPr>
          <w:rFonts w:hint="eastAsia" w:ascii="宋体" w:hAnsi="宋体" w:eastAsia="宋体" w:cs="宋体"/>
          <w:b/>
          <w:color w:val="auto"/>
          <w:sz w:val="28"/>
          <w:highlight w:val="none"/>
          <w:lang w:eastAsia="zh-CN"/>
        </w:rPr>
        <w:t>（</w:t>
      </w:r>
      <w:r>
        <w:rPr>
          <w:rFonts w:hint="eastAsia" w:ascii="宋体" w:hAnsi="宋体" w:eastAsia="宋体" w:cs="宋体"/>
          <w:b/>
          <w:color w:val="auto"/>
          <w:sz w:val="28"/>
          <w:highlight w:val="none"/>
          <w:lang w:val="en-US" w:eastAsia="zh-CN"/>
        </w:rPr>
        <w:t>5</w:t>
      </w:r>
      <w:r>
        <w:rPr>
          <w:rFonts w:hint="eastAsia" w:ascii="宋体" w:hAnsi="宋体" w:eastAsia="宋体" w:cs="宋体"/>
          <w:b/>
          <w:color w:val="auto"/>
          <w:sz w:val="28"/>
          <w:highlight w:val="none"/>
          <w:lang w:eastAsia="zh-CN"/>
        </w:rPr>
        <w:t>）提供2020年度审计报告或财务会计报表（新成立单位按实际提供）</w:t>
      </w:r>
      <w:r>
        <w:rPr>
          <w:rFonts w:hint="eastAsia" w:ascii="宋体" w:hAnsi="宋体" w:eastAsia="宋体" w:cs="宋体"/>
          <w:b/>
          <w:color w:val="auto"/>
          <w:sz w:val="28"/>
          <w:highlight w:val="none"/>
        </w:rPr>
        <w:t>；</w:t>
      </w:r>
    </w:p>
    <w:p>
      <w:pPr>
        <w:pageBreakBefore w:val="0"/>
        <w:kinsoku/>
        <w:wordWrap w:val="0"/>
        <w:overflowPunct/>
        <w:topLinePunct w:val="0"/>
        <w:bidi w:val="0"/>
        <w:spacing w:line="336" w:lineRule="auto"/>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lang w:eastAsia="zh-CN"/>
        </w:rPr>
        <w:br w:type="page"/>
      </w:r>
    </w:p>
    <w:p>
      <w:pPr>
        <w:pageBreakBefore w:val="0"/>
        <w:kinsoku/>
        <w:wordWrap w:val="0"/>
        <w:overflowPunct/>
        <w:topLinePunct w:val="0"/>
        <w:bidi w:val="0"/>
        <w:spacing w:line="336" w:lineRule="auto"/>
        <w:jc w:val="both"/>
        <w:rPr>
          <w:rFonts w:hint="eastAsia" w:ascii="宋体" w:hAnsi="宋体" w:eastAsia="宋体" w:cs="宋体"/>
          <w:b/>
          <w:color w:val="auto"/>
          <w:sz w:val="28"/>
          <w:highlight w:val="none"/>
        </w:rPr>
      </w:pPr>
      <w:r>
        <w:rPr>
          <w:rFonts w:hint="eastAsia" w:ascii="宋体" w:hAnsi="宋体" w:eastAsia="宋体" w:cs="宋体"/>
          <w:b/>
          <w:color w:val="auto"/>
          <w:sz w:val="28"/>
          <w:highlight w:val="none"/>
          <w:lang w:eastAsia="zh-CN"/>
        </w:rPr>
        <w:t>（</w:t>
      </w:r>
      <w:r>
        <w:rPr>
          <w:rFonts w:hint="eastAsia" w:ascii="宋体" w:hAnsi="宋体" w:eastAsia="宋体" w:cs="宋体"/>
          <w:b/>
          <w:color w:val="auto"/>
          <w:sz w:val="28"/>
          <w:highlight w:val="none"/>
          <w:lang w:val="en-US" w:eastAsia="zh-CN"/>
        </w:rPr>
        <w:t>6</w:t>
      </w:r>
      <w:r>
        <w:rPr>
          <w:rFonts w:hint="eastAsia" w:ascii="宋体" w:hAnsi="宋体" w:eastAsia="宋体" w:cs="宋体"/>
          <w:b/>
          <w:color w:val="auto"/>
          <w:sz w:val="28"/>
          <w:highlight w:val="none"/>
          <w:lang w:eastAsia="zh-CN"/>
        </w:rPr>
        <w:t>）</w:t>
      </w:r>
      <w:r>
        <w:rPr>
          <w:rFonts w:hint="eastAsia" w:ascii="宋体" w:hAnsi="宋体" w:eastAsia="宋体" w:cs="宋体"/>
          <w:b/>
          <w:color w:val="auto"/>
          <w:sz w:val="28"/>
          <w:highlight w:val="none"/>
        </w:rPr>
        <w:t>法定代表人（负责人）授权委托书原件和委托代理人身份证复印件（委托代理时须提供）；</w:t>
      </w:r>
    </w:p>
    <w:p>
      <w:pPr>
        <w:pageBreakBefore w:val="0"/>
        <w:kinsoku/>
        <w:wordWrap w:val="0"/>
        <w:overflowPunct/>
        <w:topLinePunct w:val="0"/>
        <w:bidi w:val="0"/>
        <w:spacing w:line="336" w:lineRule="auto"/>
        <w:jc w:val="center"/>
        <w:rPr>
          <w:rFonts w:hint="eastAsia" w:ascii="宋体" w:hAnsi="宋体" w:eastAsia="宋体" w:cs="宋体"/>
          <w:color w:val="auto"/>
          <w:sz w:val="24"/>
          <w:highlight w:val="none"/>
        </w:rPr>
      </w:pPr>
      <w:r>
        <w:rPr>
          <w:rFonts w:hint="eastAsia" w:ascii="宋体" w:hAnsi="宋体" w:eastAsia="宋体" w:cs="宋体"/>
          <w:b/>
          <w:color w:val="auto"/>
          <w:sz w:val="28"/>
          <w:highlight w:val="none"/>
        </w:rPr>
        <w:t>授权委托书</w:t>
      </w:r>
    </w:p>
    <w:p>
      <w:pPr>
        <w:pageBreakBefore w:val="0"/>
        <w:kinsoku/>
        <w:wordWrap w:val="0"/>
        <w:overflowPunct/>
        <w:topLinePunct w:val="0"/>
        <w:bidi w:val="0"/>
        <w:spacing w:line="336" w:lineRule="auto"/>
        <w:rPr>
          <w:rFonts w:hint="eastAsia" w:ascii="宋体" w:hAnsi="宋体" w:eastAsia="宋体" w:cs="宋体"/>
          <w:color w:val="auto"/>
          <w:sz w:val="28"/>
          <w:highlight w:val="none"/>
        </w:rPr>
      </w:pPr>
    </w:p>
    <w:p>
      <w:pPr>
        <w:pageBreakBefore w:val="0"/>
        <w:kinsoku/>
        <w:wordWrap w:val="0"/>
        <w:overflowPunct/>
        <w:topLinePunct w:val="0"/>
        <w:bidi w:val="0"/>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w:t>
      </w:r>
      <w:r>
        <w:rPr>
          <w:rFonts w:hint="eastAsia" w:ascii="宋体" w:hAnsi="宋体" w:eastAsia="宋体" w:cs="宋体"/>
          <w:color w:val="auto"/>
          <w:sz w:val="24"/>
          <w:highlight w:val="none"/>
        </w:rPr>
        <w:t>的法定代表人，现委托</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为我方代理人。代理人根据授权，以我方名义签署、澄清、说明、补正、递交、撤回、修改</w:t>
      </w:r>
      <w:r>
        <w:rPr>
          <w:rFonts w:hint="eastAsia" w:ascii="宋体" w:hAnsi="宋体" w:eastAsia="宋体" w:cs="宋体"/>
          <w:color w:val="auto"/>
          <w:sz w:val="24"/>
          <w:highlight w:val="none"/>
          <w:u w:val="single"/>
        </w:rPr>
        <w:t xml:space="preserve">           （项目名称）</w:t>
      </w:r>
      <w:r>
        <w:rPr>
          <w:rFonts w:hint="eastAsia" w:ascii="宋体" w:hAnsi="宋体" w:eastAsia="宋体" w:cs="宋体"/>
          <w:color w:val="auto"/>
          <w:sz w:val="24"/>
          <w:highlight w:val="none"/>
        </w:rPr>
        <w:t>响应文件、签订合同和处理有关事宜，其法律后果由我方承担。</w:t>
      </w:r>
    </w:p>
    <w:p>
      <w:pPr>
        <w:pageBreakBefore w:val="0"/>
        <w:kinsoku/>
        <w:wordWrap w:val="0"/>
        <w:overflowPunct/>
        <w:topLinePunct w:val="0"/>
        <w:bidi w:val="0"/>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w:t>
      </w:r>
    </w:p>
    <w:p>
      <w:pPr>
        <w:pageBreakBefore w:val="0"/>
        <w:kinsoku/>
        <w:wordWrap w:val="0"/>
        <w:overflowPunct/>
        <w:topLinePunct w:val="0"/>
        <w:bidi w:val="0"/>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w:t>
      </w:r>
    </w:p>
    <w:p>
      <w:pPr>
        <w:pageBreakBefore w:val="0"/>
        <w:kinsoku/>
        <w:wordWrap w:val="0"/>
        <w:overflowPunct/>
        <w:topLinePunct w:val="0"/>
        <w:bidi w:val="0"/>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附：委托代理人身份证复印件</w:t>
      </w:r>
    </w:p>
    <w:p>
      <w:pPr>
        <w:pageBreakBefore w:val="0"/>
        <w:kinsoku/>
        <w:wordWrap w:val="0"/>
        <w:overflowPunct/>
        <w:topLinePunct w:val="0"/>
        <w:bidi w:val="0"/>
        <w:spacing w:line="336" w:lineRule="auto"/>
        <w:rPr>
          <w:rFonts w:hint="eastAsia" w:ascii="宋体" w:hAnsi="宋体" w:eastAsia="宋体" w:cs="宋体"/>
          <w:color w:val="auto"/>
          <w:sz w:val="24"/>
          <w:highlight w:val="none"/>
        </w:rPr>
      </w:pPr>
    </w:p>
    <w:p>
      <w:pPr>
        <w:pageBreakBefore w:val="0"/>
        <w:kinsoku/>
        <w:wordWrap w:val="0"/>
        <w:overflowPunct/>
        <w:topLinePunct w:val="0"/>
        <w:bidi w:val="0"/>
        <w:spacing w:line="336" w:lineRule="auto"/>
        <w:rPr>
          <w:rFonts w:hint="eastAsia" w:ascii="宋体" w:hAnsi="宋体" w:eastAsia="宋体" w:cs="宋体"/>
          <w:color w:val="auto"/>
          <w:sz w:val="24"/>
          <w:highlight w:val="none"/>
        </w:rPr>
      </w:pPr>
    </w:p>
    <w:p>
      <w:pPr>
        <w:pageBreakBefore w:val="0"/>
        <w:kinsoku/>
        <w:wordWrap w:val="0"/>
        <w:overflowPunct/>
        <w:topLinePunct w:val="0"/>
        <w:bidi w:val="0"/>
        <w:spacing w:line="336" w:lineRule="auto"/>
        <w:ind w:firstLine="456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u w:val="single"/>
        </w:rPr>
        <w:t xml:space="preserve">    （单位名称并盖公章）     </w:t>
      </w:r>
    </w:p>
    <w:p>
      <w:pPr>
        <w:pageBreakBefore w:val="0"/>
        <w:kinsoku/>
        <w:wordWrap w:val="0"/>
        <w:overflowPunct/>
        <w:topLinePunct w:val="0"/>
        <w:bidi w:val="0"/>
        <w:spacing w:line="336" w:lineRule="auto"/>
        <w:ind w:firstLine="4560" w:firstLineChars="19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（签字）</w:t>
      </w:r>
    </w:p>
    <w:p>
      <w:pPr>
        <w:pageBreakBefore w:val="0"/>
        <w:kinsoku/>
        <w:wordWrap w:val="0"/>
        <w:overflowPunct/>
        <w:topLinePunct w:val="0"/>
        <w:bidi w:val="0"/>
        <w:spacing w:line="336" w:lineRule="auto"/>
        <w:ind w:firstLine="456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pPr>
        <w:pageBreakBefore w:val="0"/>
        <w:kinsoku/>
        <w:wordWrap w:val="0"/>
        <w:overflowPunct/>
        <w:topLinePunct w:val="0"/>
        <w:bidi w:val="0"/>
        <w:spacing w:line="336" w:lineRule="auto"/>
        <w:ind w:firstLine="456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w:t>
      </w:r>
      <w:r>
        <w:rPr>
          <w:rFonts w:hint="eastAsia" w:ascii="宋体" w:hAnsi="宋体" w:eastAsia="宋体" w:cs="宋体"/>
          <w:color w:val="auto"/>
          <w:sz w:val="24"/>
          <w:highlight w:val="none"/>
          <w:u w:val="single"/>
        </w:rPr>
        <w:t xml:space="preserve">                 （签字）</w:t>
      </w:r>
    </w:p>
    <w:p>
      <w:pPr>
        <w:pageBreakBefore w:val="0"/>
        <w:kinsoku/>
        <w:wordWrap w:val="0"/>
        <w:overflowPunct/>
        <w:topLinePunct w:val="0"/>
        <w:bidi w:val="0"/>
        <w:spacing w:line="336" w:lineRule="auto"/>
        <w:ind w:firstLine="456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pPr>
        <w:pageBreakBefore w:val="0"/>
        <w:kinsoku/>
        <w:wordWrap w:val="0"/>
        <w:overflowPunct/>
        <w:topLinePunct w:val="0"/>
        <w:bidi w:val="0"/>
        <w:spacing w:line="336" w:lineRule="auto"/>
        <w:ind w:firstLine="4560" w:firstLineChars="19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年     月    日</w:t>
      </w:r>
    </w:p>
    <w:p>
      <w:pPr>
        <w:pageBreakBefore w:val="0"/>
        <w:kinsoku/>
        <w:wordWrap w:val="0"/>
        <w:overflowPunct/>
        <w:topLinePunct w:val="0"/>
        <w:bidi w:val="0"/>
        <w:spacing w:line="336"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br w:type="page"/>
      </w:r>
    </w:p>
    <w:p>
      <w:pPr>
        <w:pageBreakBefore w:val="0"/>
        <w:kinsoku/>
        <w:wordWrap w:val="0"/>
        <w:overflowPunct/>
        <w:topLinePunct w:val="0"/>
        <w:bidi w:val="0"/>
        <w:spacing w:line="336" w:lineRule="auto"/>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eastAsia="zh-CN"/>
        </w:rPr>
        <w:t>）无串通竞标行为的承诺函（必须提供）；</w:t>
      </w:r>
    </w:p>
    <w:p>
      <w:pPr>
        <w:pageBreakBefore w:val="0"/>
        <w:kinsoku/>
        <w:wordWrap w:val="0"/>
        <w:overflowPunct/>
        <w:topLinePunct w:val="0"/>
        <w:bidi w:val="0"/>
        <w:spacing w:line="336"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无串通竞标行为的承诺函</w:t>
      </w:r>
    </w:p>
    <w:p>
      <w:pPr>
        <w:pageBreakBefore w:val="0"/>
        <w:kinsoku/>
        <w:wordWrap w:val="0"/>
        <w:overflowPunct/>
        <w:topLinePunct w:val="0"/>
        <w:bidi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一、我公司承诺无下列相互串通竞标的情形：</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1.不同供应商的响应文件由同一单位或者个人编制；或者不同供应商报名的IP地址一致的；</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2.不同供应商委托同一单位或者个人办理竞标事宜；</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3.不同的供应商的响应文件载明的项目管理员为同一个人；</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w:t>
      </w:r>
      <w:r>
        <w:rPr>
          <w:rFonts w:hint="eastAsia" w:ascii="宋体" w:hAnsi="宋体" w:eastAsia="宋体" w:cs="宋体"/>
          <w:color w:val="auto"/>
          <w:spacing w:val="-6"/>
          <w:sz w:val="24"/>
          <w:szCs w:val="24"/>
          <w:highlight w:val="none"/>
        </w:rPr>
        <w:t>同供应商的响应文件异常一致或者竞标报价呈规律性差异；</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5.不同供应商的响应文件相互混装；</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6.不同供应商的竞标保证金从同一单位或者个人账户转出。</w:t>
      </w:r>
    </w:p>
    <w:p>
      <w:pPr>
        <w:pageBreakBefore w:val="0"/>
        <w:kinsoku/>
        <w:wordWrap w:val="0"/>
        <w:overflowPunct/>
        <w:topLinePunct w:val="0"/>
        <w:bidi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二、我公司承诺无下列恶意串通的情形：</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1.供应商直接或者间接从采购人或者采购代理机构处获得其他供应商的相关信息并修改其响应文件；</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2.供应商按照采购人或者采购代理机构的授意撤换、修改响应文件；</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w:t>
      </w:r>
      <w:r>
        <w:rPr>
          <w:rFonts w:hint="eastAsia" w:ascii="宋体" w:hAnsi="宋体" w:eastAsia="宋体" w:cs="宋体"/>
          <w:color w:val="auto"/>
          <w:spacing w:val="-6"/>
          <w:sz w:val="24"/>
          <w:szCs w:val="24"/>
          <w:highlight w:val="none"/>
        </w:rPr>
        <w:t>应商之间协商报价、技术方案等响应文件的实质性内容；</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4.属于同一集团、协会、商会等组织成员的供应商按照该组织要求协同参加政府采购活动；</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5.供应商之间事先约定一致抬高或者压低竞标报价,或者在竞争性谈判项目中事先约定轮流以高价位或者低价位成交,或者事先约定由某一特定供应商成交,然后再参加竞标；</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6.供应商之间商定部分供应商放弃参加政府采购活动或者放弃成交；</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7.供应商与采购人或者采购代理机构之间、供应商相互之间，为</w:t>
      </w:r>
      <w:r>
        <w:rPr>
          <w:rFonts w:hint="eastAsia" w:ascii="宋体" w:hAnsi="宋体" w:eastAsia="宋体" w:cs="宋体"/>
          <w:color w:val="auto"/>
          <w:spacing w:val="-6"/>
          <w:sz w:val="24"/>
          <w:szCs w:val="24"/>
          <w:highlight w:val="none"/>
        </w:rPr>
        <w:t>谋求特定供应商成交或者排斥其他供应商的其他串通行为。</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p>
    <w:p>
      <w:pPr>
        <w:pageBreakBefore w:val="0"/>
        <w:kinsoku/>
        <w:wordWrap w:val="0"/>
        <w:overflowPunct/>
        <w:topLinePunct w:val="0"/>
        <w:bidi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以上情形一经核查属实，我方愿意承担一切后果，并不再寻求任何旨在减轻或者免除法律责任的辩解。</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p>
    <w:p>
      <w:pPr>
        <w:pageBreakBefore w:val="0"/>
        <w:kinsoku/>
        <w:wordWrap w:val="0"/>
        <w:overflowPunct/>
        <w:topLinePunct w:val="0"/>
        <w:bidi w:val="0"/>
        <w:spacing w:line="336" w:lineRule="auto"/>
        <w:rPr>
          <w:rFonts w:hint="eastAsia" w:ascii="宋体" w:hAnsi="宋体" w:eastAsia="宋体" w:cs="宋体"/>
          <w:color w:val="auto"/>
          <w:sz w:val="24"/>
          <w:szCs w:val="24"/>
          <w:highlight w:val="none"/>
        </w:rPr>
      </w:pPr>
    </w:p>
    <w:p>
      <w:pPr>
        <w:pageBreakBefore w:val="0"/>
        <w:kinsoku/>
        <w:wordWrap w:val="0"/>
        <w:overflowPunct/>
        <w:topLinePunct w:val="0"/>
        <w:bidi w:val="0"/>
        <w:spacing w:line="336" w:lineRule="auto"/>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供应商（盖公章）：</w:t>
      </w:r>
    </w:p>
    <w:p>
      <w:pPr>
        <w:pageBreakBefore w:val="0"/>
        <w:kinsoku/>
        <w:wordWrap w:val="0"/>
        <w:overflowPunct/>
        <w:topLinePunct w:val="0"/>
        <w:bidi w:val="0"/>
        <w:spacing w:line="336" w:lineRule="auto"/>
        <w:ind w:firstLine="480" w:firstLineChars="200"/>
        <w:jc w:val="center"/>
        <w:rPr>
          <w:rFonts w:hint="eastAsia" w:ascii="宋体" w:hAnsi="宋体" w:eastAsia="宋体" w:cs="宋体"/>
          <w:b/>
          <w:color w:val="auto"/>
          <w:sz w:val="28"/>
          <w:szCs w:val="24"/>
          <w:highlight w:val="none"/>
          <w:lang w:eastAsia="zh-CN"/>
        </w:rPr>
      </w:pPr>
      <w:r>
        <w:rPr>
          <w:rFonts w:hint="eastAsia" w:ascii="宋体" w:hAnsi="宋体" w:eastAsia="宋体" w:cs="宋体"/>
          <w:color w:val="auto"/>
          <w:sz w:val="24"/>
          <w:szCs w:val="24"/>
          <w:highlight w:val="none"/>
        </w:rPr>
        <w:t xml:space="preserve">                               年   月   日</w:t>
      </w:r>
      <w:r>
        <w:rPr>
          <w:rFonts w:hint="eastAsia" w:ascii="宋体" w:hAnsi="宋体" w:eastAsia="宋体" w:cs="宋体"/>
          <w:b/>
          <w:color w:val="auto"/>
          <w:sz w:val="28"/>
          <w:szCs w:val="24"/>
          <w:highlight w:val="none"/>
          <w:lang w:eastAsia="zh-CN"/>
        </w:rPr>
        <w:br w:type="page"/>
      </w:r>
    </w:p>
    <w:p>
      <w:pPr>
        <w:pageBreakBefore w:val="0"/>
        <w:kinsoku/>
        <w:wordWrap w:val="0"/>
        <w:overflowPunct/>
        <w:topLinePunct w:val="0"/>
        <w:bidi w:val="0"/>
        <w:spacing w:line="336" w:lineRule="auto"/>
        <w:rPr>
          <w:rFonts w:hint="eastAsia" w:ascii="宋体" w:hAnsi="宋体" w:eastAsia="宋体" w:cs="宋体"/>
          <w:b/>
          <w:color w:val="auto"/>
          <w:sz w:val="28"/>
          <w:szCs w:val="24"/>
          <w:highlight w:val="none"/>
        </w:rPr>
      </w:pPr>
      <w:r>
        <w:rPr>
          <w:rFonts w:hint="eastAsia" w:ascii="宋体" w:hAnsi="宋体" w:eastAsia="宋体" w:cs="宋体"/>
          <w:b/>
          <w:color w:val="auto"/>
          <w:sz w:val="28"/>
          <w:szCs w:val="24"/>
          <w:highlight w:val="none"/>
          <w:lang w:eastAsia="zh-CN"/>
        </w:rPr>
        <w:t>（</w:t>
      </w:r>
      <w:r>
        <w:rPr>
          <w:rFonts w:hint="eastAsia" w:ascii="宋体" w:hAnsi="宋体" w:eastAsia="宋体" w:cs="宋体"/>
          <w:b/>
          <w:color w:val="auto"/>
          <w:sz w:val="28"/>
          <w:szCs w:val="24"/>
          <w:highlight w:val="none"/>
          <w:lang w:val="en-US" w:eastAsia="zh-CN"/>
        </w:rPr>
        <w:t>8</w:t>
      </w:r>
      <w:r>
        <w:rPr>
          <w:rFonts w:hint="eastAsia" w:ascii="宋体" w:hAnsi="宋体" w:eastAsia="宋体" w:cs="宋体"/>
          <w:b/>
          <w:color w:val="auto"/>
          <w:sz w:val="28"/>
          <w:szCs w:val="24"/>
          <w:highlight w:val="none"/>
          <w:lang w:eastAsia="zh-CN"/>
        </w:rPr>
        <w:t>）</w:t>
      </w:r>
      <w:r>
        <w:rPr>
          <w:rFonts w:hint="eastAsia" w:ascii="宋体" w:hAnsi="宋体" w:eastAsia="宋体" w:cs="宋体"/>
          <w:b/>
          <w:color w:val="auto"/>
          <w:sz w:val="28"/>
          <w:szCs w:val="24"/>
          <w:highlight w:val="none"/>
        </w:rPr>
        <w:t>提供本单位参加政府采购活动前3年内在经营活动中没有大违法记录在书面声明。</w:t>
      </w:r>
    </w:p>
    <w:p>
      <w:pPr>
        <w:pageBreakBefore w:val="0"/>
        <w:kinsoku/>
        <w:wordWrap w:val="0"/>
        <w:overflowPunct/>
        <w:topLinePunct w:val="0"/>
        <w:bidi w:val="0"/>
        <w:spacing w:line="336"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keepNext/>
        <w:keepLines/>
        <w:pageBreakBefore w:val="0"/>
        <w:kinsoku/>
        <w:wordWrap w:val="0"/>
        <w:overflowPunct/>
        <w:topLinePunct w:val="0"/>
        <w:bidi w:val="0"/>
        <w:spacing w:line="336" w:lineRule="auto"/>
        <w:jc w:val="both"/>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商务标</w:t>
      </w:r>
      <w:r>
        <w:rPr>
          <w:rFonts w:hint="eastAsia" w:ascii="宋体" w:hAnsi="宋体" w:eastAsia="宋体" w:cs="宋体"/>
          <w:b/>
          <w:color w:val="auto"/>
          <w:sz w:val="28"/>
          <w:highlight w:val="none"/>
          <w:lang w:eastAsia="zh-CN"/>
        </w:rPr>
        <w:t>：</w:t>
      </w:r>
    </w:p>
    <w:p>
      <w:pPr>
        <w:keepNext/>
        <w:keepLines/>
        <w:pageBreakBefore w:val="0"/>
        <w:kinsoku/>
        <w:wordWrap w:val="0"/>
        <w:overflowPunct/>
        <w:topLinePunct w:val="0"/>
        <w:bidi w:val="0"/>
        <w:spacing w:line="336"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一、竞标函</w:t>
      </w:r>
    </w:p>
    <w:p>
      <w:pPr>
        <w:pageBreakBefore w:val="0"/>
        <w:kinsoku/>
        <w:wordWrap w:val="0"/>
        <w:overflowPunct/>
        <w:topLinePunct w:val="0"/>
        <w:bidi w:val="0"/>
        <w:spacing w:line="336" w:lineRule="auto"/>
        <w:rPr>
          <w:rFonts w:hint="eastAsia" w:ascii="宋体" w:hAnsi="宋体" w:eastAsia="宋体" w:cs="宋体"/>
          <w:b/>
          <w:color w:val="auto"/>
          <w:sz w:val="24"/>
          <w:highlight w:val="none"/>
          <w:u w:val="single"/>
        </w:rPr>
      </w:pPr>
      <w:r>
        <w:rPr>
          <w:rFonts w:hint="eastAsia" w:ascii="宋体" w:hAnsi="宋体" w:eastAsia="宋体" w:cs="宋体"/>
          <w:bCs/>
          <w:color w:val="auto"/>
          <w:sz w:val="24"/>
          <w:highlight w:val="none"/>
          <w:u w:val="single"/>
        </w:rPr>
        <w:t>致</w:t>
      </w:r>
      <w:r>
        <w:rPr>
          <w:rFonts w:hint="eastAsia" w:ascii="宋体" w:hAnsi="宋体" w:eastAsia="宋体" w:cs="宋体"/>
          <w:b/>
          <w:color w:val="auto"/>
          <w:sz w:val="24"/>
          <w:highlight w:val="none"/>
          <w:u w:val="single"/>
        </w:rPr>
        <w:t xml:space="preserve">                   </w:t>
      </w:r>
      <w:r>
        <w:rPr>
          <w:rFonts w:hint="eastAsia" w:ascii="宋体" w:hAnsi="宋体" w:eastAsia="宋体" w:cs="宋体"/>
          <w:color w:val="auto"/>
          <w:sz w:val="24"/>
          <w:highlight w:val="none"/>
        </w:rPr>
        <w:t>(采购人)：</w:t>
      </w:r>
    </w:p>
    <w:p>
      <w:pPr>
        <w:pageBreakBefore w:val="0"/>
        <w:kinsoku/>
        <w:wordWrap w:val="0"/>
        <w:overflowPunct/>
        <w:topLinePunct w:val="0"/>
        <w:bidi w:val="0"/>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项目的招标公告（项目编号：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（全名） 经正式授权并代表供应商</w:t>
      </w:r>
      <w:r>
        <w:rPr>
          <w:rFonts w:hint="eastAsia" w:ascii="宋体" w:hAnsi="宋体" w:eastAsia="宋体" w:cs="宋体"/>
          <w:color w:val="auto"/>
          <w:sz w:val="24"/>
          <w:highlight w:val="none"/>
          <w:u w:val="single"/>
        </w:rPr>
        <w:t xml:space="preserve"> （供应商名称）</w:t>
      </w:r>
      <w:r>
        <w:rPr>
          <w:rFonts w:hint="eastAsia" w:ascii="宋体" w:hAnsi="宋体" w:eastAsia="宋体" w:cs="宋体"/>
          <w:color w:val="auto"/>
          <w:sz w:val="24"/>
          <w:highlight w:val="none"/>
        </w:rPr>
        <w:t>提交</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文件，正本 1份、副本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w:t>
      </w:r>
    </w:p>
    <w:p>
      <w:pPr>
        <w:pageBreakBefore w:val="0"/>
        <w:kinsoku/>
        <w:wordWrap w:val="0"/>
        <w:overflowPunct/>
        <w:topLinePunct w:val="0"/>
        <w:bidi w:val="0"/>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据此函，签字代表宣布同意如下：</w:t>
      </w:r>
    </w:p>
    <w:p>
      <w:pPr>
        <w:pageBreakBefore w:val="0"/>
        <w:kinsoku/>
        <w:wordWrap w:val="0"/>
        <w:overflowPunct/>
        <w:topLinePunct w:val="0"/>
        <w:bidi w:val="0"/>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供应商已详细审查全部“</w:t>
      </w:r>
      <w:r>
        <w:rPr>
          <w:rFonts w:hint="eastAsia" w:ascii="宋体" w:hAnsi="宋体" w:eastAsia="宋体" w:cs="宋体"/>
          <w:color w:val="auto"/>
          <w:sz w:val="24"/>
          <w:highlight w:val="none"/>
          <w:lang w:eastAsia="zh-CN"/>
        </w:rPr>
        <w:t>竞争性谈判文件</w:t>
      </w:r>
      <w:r>
        <w:rPr>
          <w:rFonts w:hint="eastAsia" w:ascii="宋体" w:hAnsi="宋体" w:eastAsia="宋体" w:cs="宋体"/>
          <w:color w:val="auto"/>
          <w:sz w:val="24"/>
          <w:highlight w:val="none"/>
        </w:rPr>
        <w:t>”，包括修改文件（如有的话）以及全部参考资料和有关附件，已经了解我方对于</w:t>
      </w:r>
      <w:r>
        <w:rPr>
          <w:rFonts w:hint="eastAsia" w:ascii="宋体" w:hAnsi="宋体" w:eastAsia="宋体" w:cs="宋体"/>
          <w:color w:val="auto"/>
          <w:sz w:val="24"/>
          <w:highlight w:val="none"/>
          <w:lang w:eastAsia="zh-CN"/>
        </w:rPr>
        <w:t>竞争性谈判文件</w:t>
      </w:r>
      <w:r>
        <w:rPr>
          <w:rFonts w:hint="eastAsia" w:ascii="宋体" w:hAnsi="宋体" w:eastAsia="宋体" w:cs="宋体"/>
          <w:color w:val="auto"/>
          <w:sz w:val="24"/>
          <w:highlight w:val="none"/>
        </w:rPr>
        <w:t>、采购过程、采购结果有依法进行询问、质疑、投诉的权利及相关渠道和要求。</w:t>
      </w:r>
    </w:p>
    <w:p>
      <w:pPr>
        <w:pageBreakBefore w:val="0"/>
        <w:kinsoku/>
        <w:wordWrap w:val="0"/>
        <w:overflowPunct/>
        <w:topLinePunct w:val="0"/>
        <w:bidi w:val="0"/>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供应商在参与竞争性谈判之前已经与贵方进行了充分的沟通，完全理解并接受响应文件的各项规定和要求，对响应文件的合理性、合法性不再有异议。</w:t>
      </w:r>
    </w:p>
    <w:p>
      <w:pPr>
        <w:pageBreakBefore w:val="0"/>
        <w:kinsoku/>
        <w:wordWrap w:val="0"/>
        <w:overflowPunct/>
        <w:topLinePunct w:val="0"/>
        <w:bidi w:val="0"/>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本竞标有效期自开标日起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ageBreakBefore w:val="0"/>
        <w:kinsoku/>
        <w:wordWrap w:val="0"/>
        <w:overflowPunct/>
        <w:topLinePunct w:val="0"/>
        <w:bidi w:val="0"/>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如成交，本响应文件至本项目合同履行完毕止均保持有效，本供应商将按“</w:t>
      </w:r>
      <w:r>
        <w:rPr>
          <w:rFonts w:hint="eastAsia" w:ascii="宋体" w:hAnsi="宋体" w:eastAsia="宋体" w:cs="宋体"/>
          <w:color w:val="auto"/>
          <w:sz w:val="24"/>
          <w:highlight w:val="none"/>
          <w:lang w:eastAsia="zh-CN"/>
        </w:rPr>
        <w:t>竞争性谈判文件</w:t>
      </w:r>
      <w:r>
        <w:rPr>
          <w:rFonts w:hint="eastAsia" w:ascii="宋体" w:hAnsi="宋体" w:eastAsia="宋体" w:cs="宋体"/>
          <w:color w:val="auto"/>
          <w:sz w:val="24"/>
          <w:highlight w:val="none"/>
        </w:rPr>
        <w:t>”及政府采购法律、法规的规定履行合同责任和义务。</w:t>
      </w:r>
    </w:p>
    <w:p>
      <w:pPr>
        <w:pageBreakBefore w:val="0"/>
        <w:kinsoku/>
        <w:wordWrap w:val="0"/>
        <w:overflowPunct/>
        <w:topLinePunct w:val="0"/>
        <w:bidi w:val="0"/>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投标人同意本</w:t>
      </w:r>
      <w:r>
        <w:rPr>
          <w:rFonts w:hint="eastAsia" w:ascii="宋体" w:hAnsi="宋体" w:eastAsia="宋体" w:cs="宋体"/>
          <w:color w:val="auto"/>
          <w:sz w:val="24"/>
          <w:highlight w:val="none"/>
          <w:lang w:eastAsia="zh-CN"/>
        </w:rPr>
        <w:t>竞争性谈判文件</w:t>
      </w:r>
      <w:r>
        <w:rPr>
          <w:rFonts w:hint="eastAsia" w:ascii="宋体" w:hAnsi="宋体" w:eastAsia="宋体" w:cs="宋体"/>
          <w:color w:val="auto"/>
          <w:sz w:val="24"/>
          <w:highlight w:val="none"/>
        </w:rPr>
        <w:t>中</w:t>
      </w:r>
      <w:r>
        <w:rPr>
          <w:rFonts w:hint="eastAsia" w:ascii="宋体" w:hAnsi="宋体" w:eastAsia="宋体" w:cs="宋体"/>
          <w:color w:val="auto"/>
          <w:sz w:val="24"/>
          <w:highlight w:val="none"/>
          <w:lang w:eastAsia="zh-CN"/>
        </w:rPr>
        <w:t>“竞标报价表”</w:t>
      </w:r>
      <w:r>
        <w:rPr>
          <w:rFonts w:hint="eastAsia" w:ascii="宋体" w:hAnsi="宋体" w:eastAsia="宋体" w:cs="宋体"/>
          <w:color w:val="auto"/>
          <w:sz w:val="24"/>
          <w:highlight w:val="none"/>
        </w:rPr>
        <w:t>和成交后签订的采购合同可用于公示，其中所有内容不涉及竞标人商业秘密。</w:t>
      </w:r>
    </w:p>
    <w:p>
      <w:pPr>
        <w:pageBreakBefore w:val="0"/>
        <w:kinsoku/>
        <w:wordWrap w:val="0"/>
        <w:overflowPunct/>
        <w:topLinePunct w:val="0"/>
        <w:bidi w:val="0"/>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供应商同意按照贵方要求提供与投标有关的一切数据或资料。</w:t>
      </w:r>
    </w:p>
    <w:p>
      <w:pPr>
        <w:pageBreakBefore w:val="0"/>
        <w:kinsoku/>
        <w:wordWrap w:val="0"/>
        <w:overflowPunct/>
        <w:topLinePunct w:val="0"/>
        <w:bidi w:val="0"/>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与本竞标有关的一切正式往来信函请寄：</w:t>
      </w:r>
    </w:p>
    <w:p>
      <w:pPr>
        <w:pageBreakBefore w:val="0"/>
        <w:kinsoku/>
        <w:wordWrap w:val="0"/>
        <w:overflowPunct/>
        <w:topLinePunct w:val="0"/>
        <w:bidi w:val="0"/>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（单位名称并加盖公章） </w:t>
      </w:r>
    </w:p>
    <w:p>
      <w:pPr>
        <w:pageBreakBefore w:val="0"/>
        <w:kinsoku/>
        <w:wordWrap w:val="0"/>
        <w:overflowPunct/>
        <w:topLinePunct w:val="0"/>
        <w:bidi w:val="0"/>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邮编：</w:t>
      </w:r>
      <w:r>
        <w:rPr>
          <w:rFonts w:hint="eastAsia" w:ascii="宋体" w:hAnsi="宋体" w:eastAsia="宋体" w:cs="宋体"/>
          <w:color w:val="auto"/>
          <w:sz w:val="24"/>
          <w:highlight w:val="none"/>
          <w:u w:val="single"/>
        </w:rPr>
        <w:t xml:space="preserve">            </w:t>
      </w:r>
    </w:p>
    <w:p>
      <w:pPr>
        <w:pageBreakBefore w:val="0"/>
        <w:kinsoku/>
        <w:wordWrap w:val="0"/>
        <w:overflowPunct/>
        <w:topLinePunct w:val="0"/>
        <w:bidi w:val="0"/>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传真：</w:t>
      </w:r>
      <w:r>
        <w:rPr>
          <w:rFonts w:hint="eastAsia" w:ascii="宋体" w:hAnsi="宋体" w:eastAsia="宋体" w:cs="宋体"/>
          <w:color w:val="auto"/>
          <w:sz w:val="24"/>
          <w:highlight w:val="none"/>
          <w:u w:val="single"/>
        </w:rPr>
        <w:t xml:space="preserve">            </w:t>
      </w:r>
    </w:p>
    <w:p>
      <w:pPr>
        <w:pageBreakBefore w:val="0"/>
        <w:kinsoku/>
        <w:wordWrap w:val="0"/>
        <w:overflowPunct/>
        <w:topLinePunct w:val="0"/>
        <w:bidi w:val="0"/>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highlight w:val="none"/>
        </w:rPr>
        <w:t>或授权委托人：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（签字） </w:t>
      </w:r>
    </w:p>
    <w:p>
      <w:pPr>
        <w:pageBreakBefore w:val="0"/>
        <w:kinsoku/>
        <w:wordWrap w:val="0"/>
        <w:overflowPunct/>
        <w:topLinePunct w:val="0"/>
        <w:bidi w:val="0"/>
        <w:spacing w:line="336" w:lineRule="auto"/>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Style w:val="26"/>
        <w:pageBreakBefore w:val="0"/>
        <w:kinsoku/>
        <w:wordWrap w:val="0"/>
        <w:overflowPunct/>
        <w:topLinePunct w:val="0"/>
        <w:bidi w:val="0"/>
        <w:spacing w:line="336" w:lineRule="auto"/>
        <w:ind w:firstLine="0" w:firstLineChars="0"/>
        <w:rPr>
          <w:rFonts w:hint="eastAsia" w:ascii="宋体" w:hAnsi="宋体" w:eastAsia="宋体" w:cs="宋体"/>
          <w:color w:val="auto"/>
          <w:highlight w:val="none"/>
        </w:rPr>
      </w:pPr>
    </w:p>
    <w:p>
      <w:pPr>
        <w:keepNext/>
        <w:keepLines/>
        <w:pageBreakBefore w:val="0"/>
        <w:numPr>
          <w:ilvl w:val="0"/>
          <w:numId w:val="0"/>
        </w:numPr>
        <w:kinsoku/>
        <w:wordWrap w:val="0"/>
        <w:overflowPunct/>
        <w:topLinePunct w:val="0"/>
        <w:bidi w:val="0"/>
        <w:spacing w:line="336" w:lineRule="auto"/>
        <w:jc w:val="center"/>
        <w:rPr>
          <w:rFonts w:hint="eastAsia" w:ascii="宋体" w:hAnsi="宋体" w:eastAsia="宋体" w:cs="宋体"/>
          <w:color w:val="auto"/>
          <w:highlight w:val="none"/>
          <w:lang w:eastAsia="zh-CN"/>
        </w:rPr>
      </w:pPr>
      <w:r>
        <w:rPr>
          <w:rFonts w:hint="eastAsia" w:ascii="宋体" w:hAnsi="宋体" w:eastAsia="宋体" w:cs="宋体"/>
          <w:b/>
          <w:color w:val="auto"/>
          <w:sz w:val="28"/>
          <w:highlight w:val="none"/>
          <w:lang w:eastAsia="zh-CN"/>
        </w:rPr>
        <w:t>二、竞标报价表</w:t>
      </w:r>
    </w:p>
    <w:tbl>
      <w:tblPr>
        <w:tblStyle w:val="19"/>
        <w:tblW w:w="99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850"/>
        <w:gridCol w:w="2579"/>
        <w:gridCol w:w="850"/>
        <w:gridCol w:w="850"/>
        <w:gridCol w:w="1417"/>
        <w:gridCol w:w="1417"/>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6" w:hRule="atLeast"/>
          <w:jc w:val="center"/>
        </w:trPr>
        <w:tc>
          <w:tcPr>
            <w:tcW w:w="85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tc>
        <w:tc>
          <w:tcPr>
            <w:tcW w:w="85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序</w:t>
            </w:r>
            <w:r>
              <w:rPr>
                <w:rFonts w:hint="eastAsia" w:ascii="宋体" w:hAnsi="宋体" w:eastAsia="宋体" w:cs="宋体"/>
                <w:color w:val="auto"/>
                <w:sz w:val="24"/>
                <w:szCs w:val="24"/>
                <w:highlight w:val="none"/>
              </w:rPr>
              <w:t>号</w:t>
            </w:r>
          </w:p>
        </w:tc>
        <w:tc>
          <w:tcPr>
            <w:tcW w:w="257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货物名称</w:t>
            </w:r>
          </w:p>
        </w:tc>
        <w:tc>
          <w:tcPr>
            <w:tcW w:w="85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单位</w:t>
            </w:r>
          </w:p>
        </w:tc>
        <w:tc>
          <w:tcPr>
            <w:tcW w:w="85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数量</w:t>
            </w:r>
          </w:p>
        </w:tc>
        <w:tc>
          <w:tcPr>
            <w:tcW w:w="141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单价</w:t>
            </w:r>
          </w:p>
        </w:tc>
        <w:tc>
          <w:tcPr>
            <w:tcW w:w="141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单项总价</w:t>
            </w:r>
          </w:p>
        </w:tc>
        <w:tc>
          <w:tcPr>
            <w:tcW w:w="113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lang w:eastAsia="zh-CN"/>
              </w:rPr>
            </w:pPr>
          </w:p>
        </w:tc>
        <w:tc>
          <w:tcPr>
            <w:tcW w:w="85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c>
          <w:tcPr>
            <w:tcW w:w="257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c>
          <w:tcPr>
            <w:tcW w:w="85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c>
          <w:tcPr>
            <w:tcW w:w="85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lang w:eastAsia="zh-CN"/>
              </w:rPr>
            </w:pPr>
          </w:p>
        </w:tc>
        <w:tc>
          <w:tcPr>
            <w:tcW w:w="141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lang w:eastAsia="zh-CN"/>
              </w:rPr>
            </w:pPr>
          </w:p>
        </w:tc>
        <w:tc>
          <w:tcPr>
            <w:tcW w:w="141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c>
          <w:tcPr>
            <w:tcW w:w="113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5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50" w:type="dxa"/>
            <w:vMerge w:val="continue"/>
            <w:tcBorders>
              <w:left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2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50" w:type="dxa"/>
            <w:vMerge w:val="continue"/>
            <w:tcBorders>
              <w:left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2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50" w:type="dxa"/>
            <w:vMerge w:val="continue"/>
            <w:tcBorders>
              <w:left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5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N</w:t>
            </w:r>
          </w:p>
        </w:tc>
        <w:tc>
          <w:tcPr>
            <w:tcW w:w="2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 w:hRule="atLeast"/>
          <w:jc w:val="center"/>
        </w:trPr>
        <w:tc>
          <w:tcPr>
            <w:tcW w:w="9947"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投标总</w:t>
            </w:r>
            <w:r>
              <w:rPr>
                <w:rFonts w:hint="eastAsia" w:ascii="宋体" w:hAnsi="宋体" w:eastAsia="宋体" w:cs="宋体"/>
                <w:color w:val="auto"/>
                <w:sz w:val="24"/>
                <w:szCs w:val="24"/>
                <w:highlight w:val="none"/>
              </w:rPr>
              <w:t>报价（人民币大写）：</w:t>
            </w:r>
            <w:r>
              <w:rPr>
                <w:rFonts w:hint="eastAsia" w:ascii="宋体" w:hAnsi="宋体" w:eastAsia="宋体" w:cs="宋体"/>
                <w:color w:val="auto"/>
                <w:sz w:val="24"/>
                <w:szCs w:val="24"/>
                <w:highlight w:val="none"/>
                <w:u w:val="single"/>
              </w:rPr>
              <w:t xml:space="preserve">                  （¥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9947"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合同履行期限</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9947"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交货地点: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9947"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336"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注：投标报价包含货物、专用工具、运输、装卸和售后服务、保险、税金及其他所有成本费用的总和。</w:t>
            </w:r>
          </w:p>
        </w:tc>
      </w:tr>
    </w:tbl>
    <w:p>
      <w:pPr>
        <w:pageBreakBefore w:val="0"/>
        <w:kinsoku/>
        <w:wordWrap w:val="0"/>
        <w:overflowPunct/>
        <w:topLinePunct w:val="0"/>
        <w:bidi w:val="0"/>
        <w:spacing w:line="336" w:lineRule="auto"/>
        <w:rPr>
          <w:rFonts w:hint="eastAsia" w:ascii="宋体" w:hAnsi="宋体" w:eastAsia="宋体" w:cs="宋体"/>
          <w:color w:val="auto"/>
          <w:sz w:val="24"/>
          <w:highlight w:val="none"/>
        </w:rPr>
      </w:pPr>
    </w:p>
    <w:p>
      <w:pPr>
        <w:pageBreakBefore w:val="0"/>
        <w:kinsoku/>
        <w:wordWrap w:val="0"/>
        <w:overflowPunct/>
        <w:topLinePunct w:val="0"/>
        <w:bidi w:val="0"/>
        <w:spacing w:line="336" w:lineRule="auto"/>
        <w:ind w:firstLine="480"/>
        <w:rPr>
          <w:rFonts w:hint="eastAsia" w:ascii="宋体" w:hAnsi="宋体" w:eastAsia="宋体" w:cs="宋体"/>
          <w:color w:val="auto"/>
          <w:sz w:val="24"/>
          <w:highlight w:val="none"/>
        </w:rPr>
      </w:pPr>
    </w:p>
    <w:p>
      <w:pPr>
        <w:pageBreakBefore w:val="0"/>
        <w:kinsoku/>
        <w:wordWrap w:val="0"/>
        <w:overflowPunct/>
        <w:topLinePunct w:val="0"/>
        <w:bidi w:val="0"/>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（单位名称并盖公章）</w:t>
      </w:r>
    </w:p>
    <w:p>
      <w:pPr>
        <w:pageBreakBefore w:val="0"/>
        <w:kinsoku/>
        <w:wordWrap w:val="0"/>
        <w:overflowPunct/>
        <w:topLinePunct w:val="0"/>
        <w:bidi w:val="0"/>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highlight w:val="none"/>
        </w:rPr>
        <w:t>或授权委托人：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ageBreakBefore w:val="0"/>
        <w:kinsoku/>
        <w:wordWrap w:val="0"/>
        <w:overflowPunct/>
        <w:topLinePunct w:val="0"/>
        <w:bidi w:val="0"/>
        <w:adjustRightInd/>
        <w:snapToGrid/>
        <w:spacing w:after="0" w:line="336" w:lineRule="auto"/>
        <w:rPr>
          <w:rFonts w:hint="eastAsia" w:ascii="宋体" w:hAnsi="宋体" w:eastAsia="宋体" w:cs="宋体"/>
          <w:color w:val="auto"/>
          <w:highlight w:val="none"/>
        </w:rPr>
      </w:pPr>
      <w:r>
        <w:rPr>
          <w:rFonts w:hint="eastAsia" w:ascii="宋体" w:hAnsi="宋体" w:eastAsia="宋体" w:cs="宋体"/>
          <w:b/>
          <w:color w:val="auto"/>
          <w:sz w:val="28"/>
          <w:szCs w:val="28"/>
          <w:highlight w:val="none"/>
        </w:rPr>
        <w:br w:type="page"/>
      </w:r>
    </w:p>
    <w:p>
      <w:pPr>
        <w:pStyle w:val="7"/>
        <w:pageBreakBefore w:val="0"/>
        <w:kinsoku/>
        <w:wordWrap w:val="0"/>
        <w:overflowPunct/>
        <w:topLinePunct w:val="0"/>
        <w:bidi w:val="0"/>
        <w:spacing w:line="336"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三</w:t>
      </w:r>
      <w:r>
        <w:rPr>
          <w:rFonts w:hint="eastAsia" w:ascii="宋体" w:hAnsi="宋体" w:eastAsia="宋体" w:cs="宋体"/>
          <w:b/>
          <w:color w:val="auto"/>
          <w:sz w:val="28"/>
          <w:szCs w:val="28"/>
          <w:highlight w:val="none"/>
        </w:rPr>
        <w:t>、售后服务承诺书格式</w:t>
      </w:r>
    </w:p>
    <w:p>
      <w:pPr>
        <w:pStyle w:val="12"/>
        <w:pageBreakBefore w:val="0"/>
        <w:kinsoku/>
        <w:wordWrap w:val="0"/>
        <w:overflowPunct/>
        <w:topLinePunct w:val="0"/>
        <w:bidi w:val="0"/>
        <w:spacing w:before="240" w:line="336"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（由供应商按《需求一览表》中售后服务及要求分别自行填写）</w:t>
      </w:r>
    </w:p>
    <w:p>
      <w:pPr>
        <w:pStyle w:val="7"/>
        <w:pageBreakBefore w:val="0"/>
        <w:kinsoku/>
        <w:wordWrap w:val="0"/>
        <w:overflowPunct/>
        <w:topLinePunct w:val="0"/>
        <w:bidi w:val="0"/>
        <w:spacing w:line="336" w:lineRule="auto"/>
        <w:ind w:firstLine="0"/>
        <w:rPr>
          <w:rFonts w:hint="eastAsia" w:ascii="宋体" w:hAnsi="宋体" w:eastAsia="宋体" w:cs="宋体"/>
          <w:b/>
          <w:color w:val="auto"/>
          <w:sz w:val="28"/>
          <w:szCs w:val="28"/>
          <w:highlight w:val="none"/>
        </w:rPr>
      </w:pPr>
    </w:p>
    <w:p>
      <w:pPr>
        <w:pStyle w:val="7"/>
        <w:pageBreakBefore w:val="0"/>
        <w:kinsoku/>
        <w:wordWrap w:val="0"/>
        <w:overflowPunct/>
        <w:topLinePunct w:val="0"/>
        <w:bidi w:val="0"/>
        <w:spacing w:line="336" w:lineRule="auto"/>
        <w:ind w:firstLine="0"/>
        <w:rPr>
          <w:rFonts w:hint="eastAsia" w:ascii="宋体" w:hAnsi="宋体" w:eastAsia="宋体" w:cs="宋体"/>
          <w:b/>
          <w:color w:val="auto"/>
          <w:sz w:val="28"/>
          <w:szCs w:val="28"/>
          <w:highlight w:val="none"/>
        </w:rPr>
      </w:pPr>
    </w:p>
    <w:p>
      <w:pPr>
        <w:pageBreakBefore w:val="0"/>
        <w:kinsoku/>
        <w:wordWrap w:val="0"/>
        <w:overflowPunct/>
        <w:topLinePunct w:val="0"/>
        <w:bidi w:val="0"/>
        <w:spacing w:line="336" w:lineRule="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pPr>
        <w:pStyle w:val="12"/>
        <w:pageBreakBefore w:val="0"/>
        <w:kinsoku/>
        <w:wordWrap w:val="0"/>
        <w:overflowPunct/>
        <w:topLinePunct w:val="0"/>
        <w:bidi w:val="0"/>
        <w:spacing w:before="240" w:line="336" w:lineRule="auto"/>
        <w:jc w:val="both"/>
        <w:rPr>
          <w:rFonts w:hint="eastAsia" w:ascii="宋体" w:hAnsi="宋体" w:eastAsia="宋体" w:cs="宋体"/>
          <w:b/>
          <w:color w:val="auto"/>
          <w:sz w:val="30"/>
          <w:highlight w:val="none"/>
          <w:lang w:eastAsia="zh-CN"/>
        </w:rPr>
      </w:pPr>
      <w:r>
        <w:rPr>
          <w:rFonts w:hint="eastAsia" w:ascii="宋体" w:hAnsi="宋体" w:eastAsia="宋体" w:cs="宋体"/>
          <w:b/>
          <w:color w:val="auto"/>
          <w:sz w:val="30"/>
          <w:highlight w:val="none"/>
        </w:rPr>
        <w:t>技术标</w:t>
      </w:r>
      <w:r>
        <w:rPr>
          <w:rFonts w:hint="eastAsia" w:ascii="宋体" w:hAnsi="宋体" w:eastAsia="宋体" w:cs="宋体"/>
          <w:b/>
          <w:color w:val="auto"/>
          <w:sz w:val="30"/>
          <w:highlight w:val="none"/>
          <w:lang w:eastAsia="zh-CN"/>
        </w:rPr>
        <w:t>：</w:t>
      </w:r>
    </w:p>
    <w:p>
      <w:pPr>
        <w:pStyle w:val="12"/>
        <w:pageBreakBefore w:val="0"/>
        <w:kinsoku/>
        <w:wordWrap w:val="0"/>
        <w:overflowPunct/>
        <w:topLinePunct w:val="0"/>
        <w:bidi w:val="0"/>
        <w:spacing w:before="240" w:line="336" w:lineRule="auto"/>
        <w:jc w:val="center"/>
        <w:rPr>
          <w:rFonts w:hint="eastAsia" w:ascii="宋体" w:hAnsi="宋体" w:eastAsia="宋体" w:cs="宋体"/>
          <w:b/>
          <w:color w:val="auto"/>
          <w:spacing w:val="-6"/>
          <w:highlight w:val="none"/>
        </w:rPr>
      </w:pPr>
      <w:r>
        <w:rPr>
          <w:rFonts w:hint="eastAsia" w:ascii="宋体" w:hAnsi="宋体" w:eastAsia="宋体" w:cs="宋体"/>
          <w:b/>
          <w:color w:val="auto"/>
          <w:sz w:val="30"/>
          <w:highlight w:val="none"/>
        </w:rPr>
        <w:t>一、技术规格响应表</w:t>
      </w:r>
    </w:p>
    <w:tbl>
      <w:tblPr>
        <w:tblStyle w:val="19"/>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247"/>
        <w:gridCol w:w="3118"/>
        <w:gridCol w:w="3118"/>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0" w:type="dxa"/>
            <w:vAlign w:val="center"/>
          </w:tcPr>
          <w:p>
            <w:pPr>
              <w:pageBreakBefore w:val="0"/>
              <w:kinsoku/>
              <w:wordWrap w:val="0"/>
              <w:overflowPunct/>
              <w:topLinePunct w:val="0"/>
              <w:bidi w:val="0"/>
              <w:spacing w:line="33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序号</w:t>
            </w:r>
          </w:p>
        </w:tc>
        <w:tc>
          <w:tcPr>
            <w:tcW w:w="1247" w:type="dxa"/>
            <w:vAlign w:val="center"/>
          </w:tcPr>
          <w:p>
            <w:pPr>
              <w:pageBreakBefore w:val="0"/>
              <w:kinsoku/>
              <w:wordWrap w:val="0"/>
              <w:overflowPunct/>
              <w:topLinePunct w:val="0"/>
              <w:bidi w:val="0"/>
              <w:spacing w:line="33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货物名称</w:t>
            </w:r>
          </w:p>
        </w:tc>
        <w:tc>
          <w:tcPr>
            <w:tcW w:w="3118" w:type="dxa"/>
            <w:vAlign w:val="center"/>
          </w:tcPr>
          <w:p>
            <w:pPr>
              <w:pageBreakBefore w:val="0"/>
              <w:kinsoku/>
              <w:wordWrap w:val="0"/>
              <w:overflowPunct/>
              <w:topLinePunct w:val="0"/>
              <w:bidi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技术参数及配置</w:t>
            </w:r>
            <w:r>
              <w:rPr>
                <w:rFonts w:hint="eastAsia" w:ascii="宋体" w:hAnsi="宋体" w:eastAsia="宋体" w:cs="宋体"/>
                <w:color w:val="auto"/>
                <w:sz w:val="24"/>
                <w:szCs w:val="24"/>
                <w:highlight w:val="none"/>
              </w:rPr>
              <w:t>要求</w:t>
            </w:r>
          </w:p>
        </w:tc>
        <w:tc>
          <w:tcPr>
            <w:tcW w:w="3118" w:type="dxa"/>
            <w:vAlign w:val="center"/>
          </w:tcPr>
          <w:p>
            <w:pPr>
              <w:pageBreakBefore w:val="0"/>
              <w:kinsoku/>
              <w:wordWrap w:val="0"/>
              <w:overflowPunct/>
              <w:topLinePunct w:val="0"/>
              <w:bidi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竞标</w:t>
            </w:r>
            <w:r>
              <w:rPr>
                <w:rFonts w:hint="eastAsia" w:ascii="宋体" w:hAnsi="宋体" w:eastAsia="宋体" w:cs="宋体"/>
                <w:color w:val="auto"/>
                <w:sz w:val="24"/>
                <w:szCs w:val="24"/>
                <w:highlight w:val="none"/>
                <w:lang w:eastAsia="zh-CN"/>
              </w:rPr>
              <w:t>技术参数及配置</w:t>
            </w:r>
            <w:r>
              <w:rPr>
                <w:rFonts w:hint="eastAsia" w:ascii="宋体" w:hAnsi="宋体" w:eastAsia="宋体" w:cs="宋体"/>
                <w:color w:val="auto"/>
                <w:sz w:val="24"/>
                <w:szCs w:val="24"/>
                <w:highlight w:val="none"/>
              </w:rPr>
              <w:t>要求</w:t>
            </w:r>
          </w:p>
        </w:tc>
        <w:tc>
          <w:tcPr>
            <w:tcW w:w="1434" w:type="dxa"/>
            <w:vAlign w:val="center"/>
          </w:tcPr>
          <w:p>
            <w:pPr>
              <w:pageBreakBefore w:val="0"/>
              <w:kinsoku/>
              <w:wordWrap w:val="0"/>
              <w:overflowPunct/>
              <w:topLinePunct w:val="0"/>
              <w:bidi w:val="0"/>
              <w:spacing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0" w:type="dxa"/>
            <w:vAlign w:val="center"/>
          </w:tcPr>
          <w:p>
            <w:pPr>
              <w:pageBreakBefore w:val="0"/>
              <w:kinsoku/>
              <w:wordWrap w:val="0"/>
              <w:overflowPunct/>
              <w:topLinePunct w:val="0"/>
              <w:bidi w:val="0"/>
              <w:spacing w:line="33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247" w:type="dxa"/>
            <w:vAlign w:val="center"/>
          </w:tcPr>
          <w:p>
            <w:pPr>
              <w:pageBreakBefore w:val="0"/>
              <w:kinsoku/>
              <w:wordWrap w:val="0"/>
              <w:overflowPunct/>
              <w:topLinePunct w:val="0"/>
              <w:bidi w:val="0"/>
              <w:spacing w:line="336" w:lineRule="auto"/>
              <w:jc w:val="center"/>
              <w:rPr>
                <w:rFonts w:hint="eastAsia" w:ascii="宋体" w:hAnsi="宋体" w:eastAsia="宋体" w:cs="宋体"/>
                <w:color w:val="auto"/>
                <w:sz w:val="24"/>
                <w:szCs w:val="24"/>
                <w:highlight w:val="none"/>
              </w:rPr>
            </w:pPr>
          </w:p>
        </w:tc>
        <w:tc>
          <w:tcPr>
            <w:tcW w:w="3118" w:type="dxa"/>
            <w:vAlign w:val="center"/>
          </w:tcPr>
          <w:p>
            <w:pPr>
              <w:pageBreakBefore w:val="0"/>
              <w:kinsoku/>
              <w:wordWrap w:val="0"/>
              <w:overflowPunct/>
              <w:topLinePunct w:val="0"/>
              <w:bidi w:val="0"/>
              <w:spacing w:line="336" w:lineRule="auto"/>
              <w:jc w:val="center"/>
              <w:rPr>
                <w:rFonts w:hint="eastAsia" w:ascii="宋体" w:hAnsi="宋体" w:eastAsia="宋体" w:cs="宋体"/>
                <w:color w:val="auto"/>
                <w:sz w:val="24"/>
                <w:szCs w:val="24"/>
                <w:highlight w:val="none"/>
              </w:rPr>
            </w:pPr>
          </w:p>
        </w:tc>
        <w:tc>
          <w:tcPr>
            <w:tcW w:w="3118" w:type="dxa"/>
            <w:vAlign w:val="center"/>
          </w:tcPr>
          <w:p>
            <w:pPr>
              <w:pageBreakBefore w:val="0"/>
              <w:kinsoku/>
              <w:wordWrap w:val="0"/>
              <w:overflowPunct/>
              <w:topLinePunct w:val="0"/>
              <w:bidi w:val="0"/>
              <w:spacing w:line="336" w:lineRule="auto"/>
              <w:jc w:val="center"/>
              <w:rPr>
                <w:rFonts w:hint="eastAsia" w:ascii="宋体" w:hAnsi="宋体" w:eastAsia="宋体" w:cs="宋体"/>
                <w:color w:val="auto"/>
                <w:sz w:val="24"/>
                <w:szCs w:val="24"/>
                <w:highlight w:val="none"/>
              </w:rPr>
            </w:pPr>
          </w:p>
        </w:tc>
        <w:tc>
          <w:tcPr>
            <w:tcW w:w="1434" w:type="dxa"/>
            <w:vAlign w:val="center"/>
          </w:tcPr>
          <w:p>
            <w:pPr>
              <w:pageBreakBefore w:val="0"/>
              <w:kinsoku/>
              <w:wordWrap w:val="0"/>
              <w:overflowPunct/>
              <w:topLinePunct w:val="0"/>
              <w:bidi w:val="0"/>
              <w:spacing w:line="336"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0" w:type="dxa"/>
            <w:vAlign w:val="center"/>
          </w:tcPr>
          <w:p>
            <w:pPr>
              <w:pageBreakBefore w:val="0"/>
              <w:kinsoku/>
              <w:wordWrap w:val="0"/>
              <w:overflowPunct/>
              <w:topLinePunct w:val="0"/>
              <w:bidi w:val="0"/>
              <w:spacing w:line="33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47" w:type="dxa"/>
            <w:vAlign w:val="center"/>
          </w:tcPr>
          <w:p>
            <w:pPr>
              <w:pageBreakBefore w:val="0"/>
              <w:kinsoku/>
              <w:wordWrap w:val="0"/>
              <w:overflowPunct/>
              <w:topLinePunct w:val="0"/>
              <w:bidi w:val="0"/>
              <w:spacing w:line="336" w:lineRule="auto"/>
              <w:jc w:val="center"/>
              <w:rPr>
                <w:rFonts w:hint="eastAsia" w:ascii="宋体" w:hAnsi="宋体" w:eastAsia="宋体" w:cs="宋体"/>
                <w:color w:val="auto"/>
                <w:sz w:val="24"/>
                <w:szCs w:val="24"/>
                <w:highlight w:val="none"/>
              </w:rPr>
            </w:pPr>
          </w:p>
        </w:tc>
        <w:tc>
          <w:tcPr>
            <w:tcW w:w="3118" w:type="dxa"/>
            <w:vAlign w:val="center"/>
          </w:tcPr>
          <w:p>
            <w:pPr>
              <w:pageBreakBefore w:val="0"/>
              <w:kinsoku/>
              <w:wordWrap w:val="0"/>
              <w:overflowPunct/>
              <w:topLinePunct w:val="0"/>
              <w:bidi w:val="0"/>
              <w:spacing w:line="336" w:lineRule="auto"/>
              <w:jc w:val="center"/>
              <w:rPr>
                <w:rFonts w:hint="eastAsia" w:ascii="宋体" w:hAnsi="宋体" w:eastAsia="宋体" w:cs="宋体"/>
                <w:color w:val="auto"/>
                <w:sz w:val="24"/>
                <w:szCs w:val="24"/>
                <w:highlight w:val="none"/>
              </w:rPr>
            </w:pPr>
          </w:p>
        </w:tc>
        <w:tc>
          <w:tcPr>
            <w:tcW w:w="3118" w:type="dxa"/>
            <w:vAlign w:val="center"/>
          </w:tcPr>
          <w:p>
            <w:pPr>
              <w:pageBreakBefore w:val="0"/>
              <w:kinsoku/>
              <w:wordWrap w:val="0"/>
              <w:overflowPunct/>
              <w:topLinePunct w:val="0"/>
              <w:bidi w:val="0"/>
              <w:spacing w:line="336" w:lineRule="auto"/>
              <w:jc w:val="center"/>
              <w:rPr>
                <w:rFonts w:hint="eastAsia" w:ascii="宋体" w:hAnsi="宋体" w:eastAsia="宋体" w:cs="宋体"/>
                <w:color w:val="auto"/>
                <w:sz w:val="24"/>
                <w:szCs w:val="24"/>
                <w:highlight w:val="none"/>
              </w:rPr>
            </w:pPr>
          </w:p>
        </w:tc>
        <w:tc>
          <w:tcPr>
            <w:tcW w:w="1434" w:type="dxa"/>
            <w:vAlign w:val="center"/>
          </w:tcPr>
          <w:p>
            <w:pPr>
              <w:pageBreakBefore w:val="0"/>
              <w:kinsoku/>
              <w:wordWrap w:val="0"/>
              <w:overflowPunct/>
              <w:topLinePunct w:val="0"/>
              <w:bidi w:val="0"/>
              <w:spacing w:line="336"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0" w:type="dxa"/>
            <w:vAlign w:val="center"/>
          </w:tcPr>
          <w:p>
            <w:pPr>
              <w:pageBreakBefore w:val="0"/>
              <w:kinsoku/>
              <w:wordWrap w:val="0"/>
              <w:overflowPunct/>
              <w:topLinePunct w:val="0"/>
              <w:bidi w:val="0"/>
              <w:spacing w:line="33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247" w:type="dxa"/>
            <w:vAlign w:val="center"/>
          </w:tcPr>
          <w:p>
            <w:pPr>
              <w:pageBreakBefore w:val="0"/>
              <w:kinsoku/>
              <w:wordWrap w:val="0"/>
              <w:overflowPunct/>
              <w:topLinePunct w:val="0"/>
              <w:bidi w:val="0"/>
              <w:spacing w:line="336" w:lineRule="auto"/>
              <w:jc w:val="center"/>
              <w:rPr>
                <w:rFonts w:hint="eastAsia" w:ascii="宋体" w:hAnsi="宋体" w:eastAsia="宋体" w:cs="宋体"/>
                <w:color w:val="auto"/>
                <w:sz w:val="24"/>
                <w:szCs w:val="24"/>
                <w:highlight w:val="none"/>
              </w:rPr>
            </w:pPr>
          </w:p>
        </w:tc>
        <w:tc>
          <w:tcPr>
            <w:tcW w:w="3118" w:type="dxa"/>
            <w:vAlign w:val="center"/>
          </w:tcPr>
          <w:p>
            <w:pPr>
              <w:pageBreakBefore w:val="0"/>
              <w:kinsoku/>
              <w:wordWrap w:val="0"/>
              <w:overflowPunct/>
              <w:topLinePunct w:val="0"/>
              <w:bidi w:val="0"/>
              <w:spacing w:line="336" w:lineRule="auto"/>
              <w:jc w:val="center"/>
              <w:rPr>
                <w:rFonts w:hint="eastAsia" w:ascii="宋体" w:hAnsi="宋体" w:eastAsia="宋体" w:cs="宋体"/>
                <w:color w:val="auto"/>
                <w:sz w:val="24"/>
                <w:szCs w:val="24"/>
                <w:highlight w:val="none"/>
              </w:rPr>
            </w:pPr>
          </w:p>
        </w:tc>
        <w:tc>
          <w:tcPr>
            <w:tcW w:w="3118" w:type="dxa"/>
            <w:vAlign w:val="center"/>
          </w:tcPr>
          <w:p>
            <w:pPr>
              <w:pageBreakBefore w:val="0"/>
              <w:kinsoku/>
              <w:wordWrap w:val="0"/>
              <w:overflowPunct/>
              <w:topLinePunct w:val="0"/>
              <w:bidi w:val="0"/>
              <w:spacing w:line="336" w:lineRule="auto"/>
              <w:jc w:val="center"/>
              <w:rPr>
                <w:rFonts w:hint="eastAsia" w:ascii="宋体" w:hAnsi="宋体" w:eastAsia="宋体" w:cs="宋体"/>
                <w:color w:val="auto"/>
                <w:sz w:val="24"/>
                <w:szCs w:val="24"/>
                <w:highlight w:val="none"/>
              </w:rPr>
            </w:pPr>
          </w:p>
        </w:tc>
        <w:tc>
          <w:tcPr>
            <w:tcW w:w="1434" w:type="dxa"/>
            <w:vAlign w:val="center"/>
          </w:tcPr>
          <w:p>
            <w:pPr>
              <w:pageBreakBefore w:val="0"/>
              <w:kinsoku/>
              <w:wordWrap w:val="0"/>
              <w:overflowPunct/>
              <w:topLinePunct w:val="0"/>
              <w:bidi w:val="0"/>
              <w:spacing w:line="336"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0" w:type="dxa"/>
            <w:vAlign w:val="center"/>
          </w:tcPr>
          <w:p>
            <w:pPr>
              <w:pageBreakBefore w:val="0"/>
              <w:kinsoku/>
              <w:wordWrap w:val="0"/>
              <w:overflowPunct/>
              <w:topLinePunct w:val="0"/>
              <w:bidi w:val="0"/>
              <w:spacing w:line="33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247" w:type="dxa"/>
            <w:vAlign w:val="center"/>
          </w:tcPr>
          <w:p>
            <w:pPr>
              <w:pageBreakBefore w:val="0"/>
              <w:kinsoku/>
              <w:wordWrap w:val="0"/>
              <w:overflowPunct/>
              <w:topLinePunct w:val="0"/>
              <w:bidi w:val="0"/>
              <w:spacing w:line="336" w:lineRule="auto"/>
              <w:jc w:val="center"/>
              <w:rPr>
                <w:rFonts w:hint="eastAsia" w:ascii="宋体" w:hAnsi="宋体" w:eastAsia="宋体" w:cs="宋体"/>
                <w:color w:val="auto"/>
                <w:sz w:val="24"/>
                <w:szCs w:val="24"/>
                <w:highlight w:val="none"/>
              </w:rPr>
            </w:pPr>
          </w:p>
        </w:tc>
        <w:tc>
          <w:tcPr>
            <w:tcW w:w="3118" w:type="dxa"/>
            <w:vAlign w:val="center"/>
          </w:tcPr>
          <w:p>
            <w:pPr>
              <w:pageBreakBefore w:val="0"/>
              <w:kinsoku/>
              <w:wordWrap w:val="0"/>
              <w:overflowPunct/>
              <w:topLinePunct w:val="0"/>
              <w:bidi w:val="0"/>
              <w:spacing w:line="336" w:lineRule="auto"/>
              <w:jc w:val="center"/>
              <w:rPr>
                <w:rFonts w:hint="eastAsia" w:ascii="宋体" w:hAnsi="宋体" w:eastAsia="宋体" w:cs="宋体"/>
                <w:color w:val="auto"/>
                <w:sz w:val="24"/>
                <w:szCs w:val="24"/>
                <w:highlight w:val="none"/>
              </w:rPr>
            </w:pPr>
          </w:p>
        </w:tc>
        <w:tc>
          <w:tcPr>
            <w:tcW w:w="3118" w:type="dxa"/>
            <w:vAlign w:val="center"/>
          </w:tcPr>
          <w:p>
            <w:pPr>
              <w:pageBreakBefore w:val="0"/>
              <w:kinsoku/>
              <w:wordWrap w:val="0"/>
              <w:overflowPunct/>
              <w:topLinePunct w:val="0"/>
              <w:bidi w:val="0"/>
              <w:spacing w:line="336" w:lineRule="auto"/>
              <w:jc w:val="center"/>
              <w:rPr>
                <w:rFonts w:hint="eastAsia" w:ascii="宋体" w:hAnsi="宋体" w:eastAsia="宋体" w:cs="宋体"/>
                <w:color w:val="auto"/>
                <w:sz w:val="24"/>
                <w:szCs w:val="24"/>
                <w:highlight w:val="none"/>
              </w:rPr>
            </w:pPr>
          </w:p>
        </w:tc>
        <w:tc>
          <w:tcPr>
            <w:tcW w:w="1434" w:type="dxa"/>
            <w:vAlign w:val="center"/>
          </w:tcPr>
          <w:p>
            <w:pPr>
              <w:pageBreakBefore w:val="0"/>
              <w:kinsoku/>
              <w:wordWrap w:val="0"/>
              <w:overflowPunct/>
              <w:topLinePunct w:val="0"/>
              <w:bidi w:val="0"/>
              <w:spacing w:line="336"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80" w:type="dxa"/>
            <w:vAlign w:val="center"/>
          </w:tcPr>
          <w:p>
            <w:pPr>
              <w:pageBreakBefore w:val="0"/>
              <w:kinsoku/>
              <w:wordWrap w:val="0"/>
              <w:overflowPunct/>
              <w:topLinePunct w:val="0"/>
              <w:bidi w:val="0"/>
              <w:spacing w:line="33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N</w:t>
            </w:r>
          </w:p>
        </w:tc>
        <w:tc>
          <w:tcPr>
            <w:tcW w:w="1247" w:type="dxa"/>
            <w:vAlign w:val="center"/>
          </w:tcPr>
          <w:p>
            <w:pPr>
              <w:pageBreakBefore w:val="0"/>
              <w:kinsoku/>
              <w:wordWrap w:val="0"/>
              <w:overflowPunct/>
              <w:topLinePunct w:val="0"/>
              <w:bidi w:val="0"/>
              <w:spacing w:line="336" w:lineRule="auto"/>
              <w:jc w:val="center"/>
              <w:rPr>
                <w:rFonts w:hint="eastAsia" w:ascii="宋体" w:hAnsi="宋体" w:eastAsia="宋体" w:cs="宋体"/>
                <w:color w:val="auto"/>
                <w:sz w:val="24"/>
                <w:szCs w:val="24"/>
                <w:highlight w:val="none"/>
              </w:rPr>
            </w:pPr>
          </w:p>
        </w:tc>
        <w:tc>
          <w:tcPr>
            <w:tcW w:w="3118" w:type="dxa"/>
            <w:vAlign w:val="center"/>
          </w:tcPr>
          <w:p>
            <w:pPr>
              <w:pageBreakBefore w:val="0"/>
              <w:kinsoku/>
              <w:wordWrap w:val="0"/>
              <w:overflowPunct/>
              <w:topLinePunct w:val="0"/>
              <w:bidi w:val="0"/>
              <w:spacing w:line="336" w:lineRule="auto"/>
              <w:jc w:val="center"/>
              <w:rPr>
                <w:rFonts w:hint="eastAsia" w:ascii="宋体" w:hAnsi="宋体" w:eastAsia="宋体" w:cs="宋体"/>
                <w:color w:val="auto"/>
                <w:sz w:val="24"/>
                <w:szCs w:val="24"/>
                <w:highlight w:val="none"/>
              </w:rPr>
            </w:pPr>
          </w:p>
        </w:tc>
        <w:tc>
          <w:tcPr>
            <w:tcW w:w="3118" w:type="dxa"/>
            <w:vAlign w:val="center"/>
          </w:tcPr>
          <w:p>
            <w:pPr>
              <w:pageBreakBefore w:val="0"/>
              <w:kinsoku/>
              <w:wordWrap w:val="0"/>
              <w:overflowPunct/>
              <w:topLinePunct w:val="0"/>
              <w:bidi w:val="0"/>
              <w:spacing w:line="336" w:lineRule="auto"/>
              <w:jc w:val="center"/>
              <w:rPr>
                <w:rFonts w:hint="eastAsia" w:ascii="宋体" w:hAnsi="宋体" w:eastAsia="宋体" w:cs="宋体"/>
                <w:color w:val="auto"/>
                <w:sz w:val="24"/>
                <w:szCs w:val="24"/>
                <w:highlight w:val="none"/>
              </w:rPr>
            </w:pPr>
          </w:p>
        </w:tc>
        <w:tc>
          <w:tcPr>
            <w:tcW w:w="1434" w:type="dxa"/>
            <w:vAlign w:val="center"/>
          </w:tcPr>
          <w:p>
            <w:pPr>
              <w:pageBreakBefore w:val="0"/>
              <w:kinsoku/>
              <w:wordWrap w:val="0"/>
              <w:overflowPunct/>
              <w:topLinePunct w:val="0"/>
              <w:bidi w:val="0"/>
              <w:spacing w:line="336" w:lineRule="auto"/>
              <w:jc w:val="center"/>
              <w:rPr>
                <w:rFonts w:hint="eastAsia" w:ascii="宋体" w:hAnsi="宋体" w:eastAsia="宋体" w:cs="宋体"/>
                <w:color w:val="auto"/>
                <w:sz w:val="24"/>
                <w:szCs w:val="24"/>
                <w:highlight w:val="none"/>
              </w:rPr>
            </w:pPr>
          </w:p>
        </w:tc>
      </w:tr>
    </w:tbl>
    <w:p>
      <w:pPr>
        <w:pStyle w:val="12"/>
        <w:pageBreakBefore w:val="0"/>
        <w:kinsoku/>
        <w:wordWrap w:val="0"/>
        <w:overflowPunct/>
        <w:topLinePunct w:val="0"/>
        <w:bidi w:val="0"/>
        <w:spacing w:before="240" w:line="336" w:lineRule="auto"/>
        <w:rPr>
          <w:rFonts w:hint="eastAsia" w:ascii="宋体" w:hAnsi="宋体" w:eastAsia="宋体" w:cs="宋体"/>
          <w:b/>
          <w:color w:val="auto"/>
          <w:highlight w:val="none"/>
        </w:rPr>
      </w:pPr>
      <w:r>
        <w:rPr>
          <w:rFonts w:hint="eastAsia" w:ascii="宋体" w:hAnsi="宋体" w:eastAsia="宋体" w:cs="宋体"/>
          <w:b/>
          <w:color w:val="auto"/>
          <w:highlight w:val="none"/>
        </w:rPr>
        <w:t>注：</w:t>
      </w:r>
    </w:p>
    <w:p>
      <w:pPr>
        <w:pStyle w:val="12"/>
        <w:pageBreakBefore w:val="0"/>
        <w:tabs>
          <w:tab w:val="left" w:pos="780"/>
        </w:tabs>
        <w:kinsoku/>
        <w:wordWrap w:val="0"/>
        <w:overflowPunct/>
        <w:topLinePunct w:val="0"/>
        <w:bidi w:val="0"/>
        <w:spacing w:before="240" w:line="336" w:lineRule="auto"/>
        <w:ind w:left="420"/>
        <w:rPr>
          <w:rFonts w:hint="eastAsia" w:ascii="宋体" w:hAnsi="宋体" w:eastAsia="宋体" w:cs="宋体"/>
          <w:bCs/>
          <w:color w:val="auto"/>
          <w:highlight w:val="none"/>
        </w:rPr>
      </w:pPr>
      <w:r>
        <w:rPr>
          <w:rFonts w:hint="eastAsia" w:ascii="宋体" w:hAnsi="宋体" w:eastAsia="宋体" w:cs="宋体"/>
          <w:bCs/>
          <w:color w:val="auto"/>
          <w:highlight w:val="none"/>
        </w:rPr>
        <w:t>1.竞标技术规格由供应商按照响应文件货物需求一览表对应的</w:t>
      </w:r>
      <w:r>
        <w:rPr>
          <w:rFonts w:hint="eastAsia" w:ascii="宋体" w:hAnsi="宋体" w:eastAsia="宋体" w:cs="宋体"/>
          <w:bCs/>
          <w:color w:val="auto"/>
          <w:highlight w:val="none"/>
          <w:lang w:eastAsia="zh-CN"/>
        </w:rPr>
        <w:t>技术参数及配置</w:t>
      </w:r>
      <w:r>
        <w:rPr>
          <w:rFonts w:hint="eastAsia" w:ascii="宋体" w:hAnsi="宋体" w:eastAsia="宋体" w:cs="宋体"/>
          <w:bCs/>
          <w:color w:val="auto"/>
          <w:highlight w:val="none"/>
        </w:rPr>
        <w:t>进行填写。</w:t>
      </w:r>
    </w:p>
    <w:p>
      <w:pPr>
        <w:pStyle w:val="12"/>
        <w:pageBreakBefore w:val="0"/>
        <w:tabs>
          <w:tab w:val="left" w:pos="780"/>
        </w:tabs>
        <w:kinsoku/>
        <w:wordWrap w:val="0"/>
        <w:overflowPunct/>
        <w:topLinePunct w:val="0"/>
        <w:bidi w:val="0"/>
        <w:spacing w:before="240" w:line="336" w:lineRule="auto"/>
        <w:ind w:left="420"/>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rPr>
        <w:t>.竞标技术规格与采购技术要求相同的为无偏离，竞标技术规格高于采购技术要求的为正偏离，低于采购技术要求的为负偏离。</w:t>
      </w:r>
    </w:p>
    <w:p>
      <w:pPr>
        <w:pageBreakBefore w:val="0"/>
        <w:kinsoku/>
        <w:wordWrap w:val="0"/>
        <w:overflowPunct/>
        <w:topLinePunct w:val="0"/>
        <w:bidi w:val="0"/>
        <w:spacing w:line="336" w:lineRule="auto"/>
        <w:rPr>
          <w:rFonts w:hint="eastAsia" w:ascii="宋体" w:hAnsi="宋体" w:eastAsia="宋体" w:cs="宋体"/>
          <w:color w:val="auto"/>
          <w:sz w:val="24"/>
          <w:szCs w:val="24"/>
          <w:highlight w:val="none"/>
        </w:rPr>
      </w:pPr>
    </w:p>
    <w:p>
      <w:pPr>
        <w:pStyle w:val="12"/>
        <w:pageBreakBefore w:val="0"/>
        <w:kinsoku/>
        <w:wordWrap w:val="0"/>
        <w:overflowPunct/>
        <w:topLinePunct w:val="0"/>
        <w:bidi w:val="0"/>
        <w:spacing w:before="240" w:line="336"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（单位名称并盖公章）</w:t>
      </w:r>
    </w:p>
    <w:p>
      <w:pPr>
        <w:pStyle w:val="12"/>
        <w:pageBreakBefore w:val="0"/>
        <w:kinsoku/>
        <w:wordWrap w:val="0"/>
        <w:overflowPunct/>
        <w:topLinePunct w:val="0"/>
        <w:bidi w:val="0"/>
        <w:spacing w:before="240"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法定代表人（负责人）或授权委托人：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pPr>
        <w:pStyle w:val="12"/>
        <w:pageBreakBefore w:val="0"/>
        <w:kinsoku/>
        <w:wordWrap w:val="0"/>
        <w:overflowPunct/>
        <w:topLinePunct w:val="0"/>
        <w:bidi w:val="0"/>
        <w:spacing w:before="240" w:line="33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ageBreakBefore w:val="0"/>
        <w:kinsoku/>
        <w:wordWrap w:val="0"/>
        <w:overflowPunct/>
        <w:topLinePunct w:val="0"/>
        <w:bidi w:val="0"/>
        <w:spacing w:line="336"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pStyle w:val="12"/>
        <w:pageBreakBefore w:val="0"/>
        <w:kinsoku/>
        <w:wordWrap w:val="0"/>
        <w:overflowPunct/>
        <w:topLinePunct w:val="0"/>
        <w:bidi w:val="0"/>
        <w:spacing w:before="240" w:line="336"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二、针对本项目的服务承诺方案</w:t>
      </w:r>
    </w:p>
    <w:p>
      <w:pPr>
        <w:pageBreakBefore w:val="0"/>
        <w:kinsoku/>
        <w:wordWrap w:val="0"/>
        <w:overflowPunct/>
        <w:topLinePunct w:val="0"/>
        <w:bidi w:val="0"/>
        <w:spacing w:line="336" w:lineRule="auto"/>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（格式自拟）</w:t>
      </w:r>
    </w:p>
    <w:p>
      <w:pPr>
        <w:pStyle w:val="26"/>
        <w:pageBreakBefore w:val="0"/>
        <w:kinsoku/>
        <w:wordWrap w:val="0"/>
        <w:overflowPunct/>
        <w:topLinePunct w:val="0"/>
        <w:bidi w:val="0"/>
        <w:spacing w:line="336" w:lineRule="auto"/>
        <w:ind w:firstLine="330"/>
        <w:rPr>
          <w:rFonts w:hint="eastAsia" w:ascii="宋体" w:hAnsi="宋体" w:eastAsia="宋体" w:cs="宋体"/>
          <w:color w:val="auto"/>
          <w:szCs w:val="20"/>
          <w:highlight w:val="none"/>
        </w:rPr>
      </w:pPr>
      <w:r>
        <w:rPr>
          <w:rFonts w:hint="eastAsia" w:ascii="宋体" w:hAnsi="宋体" w:eastAsia="宋体" w:cs="宋体"/>
          <w:color w:val="auto"/>
          <w:highlight w:val="none"/>
        </w:rPr>
        <w:br w:type="page"/>
      </w:r>
    </w:p>
    <w:p>
      <w:pPr>
        <w:pageBreakBefore w:val="0"/>
        <w:kinsoku/>
        <w:wordWrap w:val="0"/>
        <w:overflowPunct/>
        <w:topLinePunct w:val="0"/>
        <w:bidi w:val="0"/>
        <w:spacing w:line="336" w:lineRule="auto"/>
        <w:ind w:firstLine="480"/>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三、供应商认为需要说明的其它资料</w:t>
      </w:r>
    </w:p>
    <w:p>
      <w:pPr>
        <w:pageBreakBefore w:val="0"/>
        <w:kinsoku/>
        <w:wordWrap w:val="0"/>
        <w:overflowPunct/>
        <w:topLinePunct w:val="0"/>
        <w:bidi w:val="0"/>
        <w:spacing w:line="336" w:lineRule="auto"/>
        <w:ind w:firstLine="48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供应商认为需要提交的其它资料，如供应商获奖荣誉证书、质量认证证书、供应商简介、针对本项目所制定的保证措施及合理化建议等。</w:t>
      </w:r>
    </w:p>
    <w:p>
      <w:pPr>
        <w:pageBreakBefore w:val="0"/>
        <w:kinsoku/>
        <w:wordWrap w:val="0"/>
        <w:overflowPunct/>
        <w:topLinePunct w:val="0"/>
        <w:bidi w:val="0"/>
        <w:spacing w:line="336" w:lineRule="auto"/>
        <w:rPr>
          <w:rFonts w:hint="eastAsia" w:ascii="宋体" w:hAnsi="宋体" w:eastAsia="宋体" w:cs="宋体"/>
          <w:color w:val="auto"/>
          <w:sz w:val="24"/>
          <w:highlight w:val="none"/>
        </w:rPr>
      </w:pPr>
    </w:p>
    <w:p>
      <w:pPr>
        <w:pageBreakBefore w:val="0"/>
        <w:kinsoku/>
        <w:wordWrap w:val="0"/>
        <w:overflowPunct/>
        <w:topLinePunct w:val="0"/>
        <w:bidi w:val="0"/>
        <w:adjustRightInd/>
        <w:snapToGrid/>
        <w:spacing w:after="0" w:line="336"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ageBreakBefore w:val="0"/>
        <w:kinsoku/>
        <w:wordWrap w:val="0"/>
        <w:overflowPunct/>
        <w:topLinePunct w:val="0"/>
        <w:bidi w:val="0"/>
        <w:spacing w:line="336" w:lineRule="auto"/>
        <w:jc w:val="both"/>
        <w:rPr>
          <w:rFonts w:hint="eastAsia" w:ascii="宋体" w:hAnsi="宋体" w:eastAsia="宋体" w:cs="宋体"/>
          <w:b/>
          <w:color w:val="auto"/>
          <w:sz w:val="28"/>
          <w:szCs w:val="24"/>
          <w:highlight w:val="none"/>
        </w:rPr>
      </w:pPr>
      <w:r>
        <w:rPr>
          <w:rFonts w:hint="eastAsia" w:ascii="宋体" w:hAnsi="宋体" w:eastAsia="宋体" w:cs="宋体"/>
          <w:b/>
          <w:color w:val="auto"/>
          <w:sz w:val="28"/>
          <w:szCs w:val="24"/>
          <w:highlight w:val="none"/>
          <w:lang w:eastAsia="zh-CN"/>
        </w:rPr>
        <w:t>附件</w:t>
      </w:r>
      <w:r>
        <w:rPr>
          <w:rFonts w:hint="eastAsia" w:ascii="宋体" w:hAnsi="宋体" w:eastAsia="宋体" w:cs="宋体"/>
          <w:b/>
          <w:color w:val="auto"/>
          <w:sz w:val="28"/>
          <w:szCs w:val="24"/>
          <w:highlight w:val="none"/>
          <w:lang w:val="en-US" w:eastAsia="zh-CN"/>
        </w:rPr>
        <w:t>1</w:t>
      </w:r>
      <w:r>
        <w:rPr>
          <w:rFonts w:hint="eastAsia" w:ascii="宋体" w:hAnsi="宋体" w:eastAsia="宋体" w:cs="宋体"/>
          <w:b/>
          <w:color w:val="auto"/>
          <w:sz w:val="28"/>
          <w:szCs w:val="24"/>
          <w:highlight w:val="none"/>
          <w:lang w:eastAsia="zh-CN"/>
        </w:rPr>
        <w:t>：</w:t>
      </w:r>
      <w:r>
        <w:rPr>
          <w:rFonts w:hint="eastAsia" w:ascii="宋体" w:hAnsi="宋体" w:eastAsia="宋体" w:cs="宋体"/>
          <w:b/>
          <w:color w:val="auto"/>
          <w:sz w:val="28"/>
          <w:szCs w:val="24"/>
          <w:highlight w:val="none"/>
          <w:lang w:val="en-US" w:eastAsia="zh-CN"/>
        </w:rPr>
        <w:t xml:space="preserve">               </w:t>
      </w:r>
      <w:r>
        <w:rPr>
          <w:rFonts w:hint="eastAsia" w:ascii="宋体" w:hAnsi="宋体" w:eastAsia="宋体" w:cs="宋体"/>
          <w:b/>
          <w:color w:val="auto"/>
          <w:sz w:val="28"/>
          <w:szCs w:val="24"/>
          <w:highlight w:val="none"/>
        </w:rPr>
        <w:t>中小企业声明函（货物）</w:t>
      </w:r>
    </w:p>
    <w:p>
      <w:pPr>
        <w:pageBreakBefore w:val="0"/>
        <w:kinsoku/>
        <w:wordWrap w:val="0"/>
        <w:overflowPunct/>
        <w:topLinePunct w:val="0"/>
        <w:bidi w:val="0"/>
        <w:spacing w:line="336" w:lineRule="auto"/>
        <w:ind w:firstLine="560" w:firstLineChars="200"/>
        <w:rPr>
          <w:rFonts w:hint="eastAsia" w:ascii="宋体" w:hAnsi="宋体" w:eastAsia="宋体" w:cs="宋体"/>
          <w:b w:val="0"/>
          <w:bCs/>
          <w:color w:val="auto"/>
          <w:sz w:val="28"/>
          <w:szCs w:val="24"/>
          <w:highlight w:val="none"/>
        </w:rPr>
      </w:pPr>
      <w:r>
        <w:rPr>
          <w:rFonts w:hint="eastAsia" w:ascii="宋体" w:hAnsi="宋体" w:eastAsia="宋体" w:cs="宋体"/>
          <w:b w:val="0"/>
          <w:bCs/>
          <w:color w:val="auto"/>
          <w:sz w:val="28"/>
          <w:szCs w:val="24"/>
          <w:highlight w:val="none"/>
        </w:rPr>
        <w:t>本公司（联合体）郑重声明，根据《政府采购促进中小企业发展管理办法》（财库﹝2020﹞46 号）的规定，本公司（联合体）参加</w:t>
      </w:r>
      <w:r>
        <w:rPr>
          <w:rFonts w:hint="eastAsia" w:ascii="宋体" w:hAnsi="宋体" w:eastAsia="宋体" w:cs="宋体"/>
          <w:b w:val="0"/>
          <w:bCs/>
          <w:color w:val="auto"/>
          <w:sz w:val="28"/>
          <w:szCs w:val="24"/>
          <w:highlight w:val="none"/>
          <w:u w:val="single"/>
        </w:rPr>
        <w:t>（单位名称）</w:t>
      </w:r>
      <w:r>
        <w:rPr>
          <w:rFonts w:hint="eastAsia" w:ascii="宋体" w:hAnsi="宋体" w:eastAsia="宋体" w:cs="宋体"/>
          <w:b w:val="0"/>
          <w:bCs/>
          <w:color w:val="auto"/>
          <w:sz w:val="28"/>
          <w:szCs w:val="24"/>
          <w:highlight w:val="none"/>
        </w:rPr>
        <w:t>的</w:t>
      </w:r>
      <w:r>
        <w:rPr>
          <w:rFonts w:hint="eastAsia" w:ascii="宋体" w:hAnsi="宋体" w:eastAsia="宋体" w:cs="宋体"/>
          <w:b w:val="0"/>
          <w:bCs/>
          <w:color w:val="auto"/>
          <w:sz w:val="28"/>
          <w:szCs w:val="24"/>
          <w:highlight w:val="none"/>
          <w:u w:val="single"/>
        </w:rPr>
        <w:t>（项目名称）</w:t>
      </w:r>
      <w:r>
        <w:rPr>
          <w:rFonts w:hint="eastAsia" w:ascii="宋体" w:hAnsi="宋体" w:eastAsia="宋体" w:cs="宋体"/>
          <w:b w:val="0"/>
          <w:bCs/>
          <w:color w:val="auto"/>
          <w:sz w:val="28"/>
          <w:szCs w:val="24"/>
          <w:highlight w:val="none"/>
        </w:rPr>
        <w:t xml:space="preserve">采购活动，提供的货物全部由符合政策要求的中小企业制造。相关企业（含联合体中的中小企业、签订分包意向协议的中小企业） 的具体情况如下： </w:t>
      </w:r>
    </w:p>
    <w:p>
      <w:pPr>
        <w:pageBreakBefore w:val="0"/>
        <w:kinsoku/>
        <w:wordWrap w:val="0"/>
        <w:overflowPunct/>
        <w:topLinePunct w:val="0"/>
        <w:bidi w:val="0"/>
        <w:spacing w:line="336" w:lineRule="auto"/>
        <w:ind w:firstLine="560" w:firstLineChars="200"/>
        <w:rPr>
          <w:rFonts w:hint="eastAsia" w:ascii="宋体" w:hAnsi="宋体" w:eastAsia="宋体" w:cs="宋体"/>
          <w:b w:val="0"/>
          <w:bCs/>
          <w:color w:val="auto"/>
          <w:sz w:val="28"/>
          <w:szCs w:val="24"/>
          <w:highlight w:val="none"/>
        </w:rPr>
      </w:pPr>
      <w:r>
        <w:rPr>
          <w:rFonts w:hint="eastAsia" w:ascii="宋体" w:hAnsi="宋体" w:eastAsia="宋体" w:cs="宋体"/>
          <w:b w:val="0"/>
          <w:bCs/>
          <w:color w:val="auto"/>
          <w:sz w:val="28"/>
          <w:szCs w:val="24"/>
          <w:highlight w:val="none"/>
        </w:rPr>
        <w:t>1.</w:t>
      </w:r>
      <w:r>
        <w:rPr>
          <w:rFonts w:hint="eastAsia" w:ascii="宋体" w:hAnsi="宋体" w:eastAsia="宋体" w:cs="宋体"/>
          <w:b w:val="0"/>
          <w:bCs/>
          <w:color w:val="auto"/>
          <w:sz w:val="28"/>
          <w:szCs w:val="24"/>
          <w:highlight w:val="none"/>
          <w:u w:val="single"/>
        </w:rPr>
        <w:t xml:space="preserve"> （标的名称） </w:t>
      </w:r>
      <w:r>
        <w:rPr>
          <w:rFonts w:hint="eastAsia" w:ascii="宋体" w:hAnsi="宋体" w:eastAsia="宋体" w:cs="宋体"/>
          <w:b w:val="0"/>
          <w:bCs/>
          <w:color w:val="auto"/>
          <w:sz w:val="28"/>
          <w:szCs w:val="24"/>
          <w:highlight w:val="none"/>
        </w:rPr>
        <w:t>，属于</w:t>
      </w:r>
      <w:r>
        <w:rPr>
          <w:rFonts w:hint="eastAsia" w:ascii="宋体" w:hAnsi="宋体" w:eastAsia="宋体" w:cs="宋体"/>
          <w:b w:val="0"/>
          <w:bCs/>
          <w:color w:val="auto"/>
          <w:sz w:val="28"/>
          <w:szCs w:val="24"/>
          <w:highlight w:val="none"/>
          <w:u w:val="single"/>
        </w:rPr>
        <w:t>（采购文件中明确的所属行业）行业</w:t>
      </w:r>
      <w:r>
        <w:rPr>
          <w:rFonts w:hint="eastAsia" w:ascii="宋体" w:hAnsi="宋体" w:eastAsia="宋体" w:cs="宋体"/>
          <w:b w:val="0"/>
          <w:bCs/>
          <w:color w:val="auto"/>
          <w:sz w:val="28"/>
          <w:szCs w:val="24"/>
          <w:highlight w:val="none"/>
        </w:rPr>
        <w:t>；制造商为</w:t>
      </w:r>
      <w:r>
        <w:rPr>
          <w:rFonts w:hint="eastAsia" w:ascii="宋体" w:hAnsi="宋体" w:eastAsia="宋体" w:cs="宋体"/>
          <w:b w:val="0"/>
          <w:bCs/>
          <w:color w:val="auto"/>
          <w:sz w:val="28"/>
          <w:szCs w:val="24"/>
          <w:highlight w:val="none"/>
          <w:u w:val="single"/>
        </w:rPr>
        <w:t>（企业名称）</w:t>
      </w:r>
      <w:r>
        <w:rPr>
          <w:rFonts w:hint="eastAsia" w:ascii="宋体" w:hAnsi="宋体" w:eastAsia="宋体" w:cs="宋体"/>
          <w:b w:val="0"/>
          <w:bCs/>
          <w:color w:val="auto"/>
          <w:sz w:val="28"/>
          <w:szCs w:val="24"/>
          <w:highlight w:val="none"/>
        </w:rPr>
        <w:t>，从业人员</w:t>
      </w:r>
      <w:r>
        <w:rPr>
          <w:rFonts w:hint="eastAsia" w:ascii="宋体" w:hAnsi="宋体" w:eastAsia="宋体" w:cs="宋体"/>
          <w:b w:val="0"/>
          <w:bCs/>
          <w:color w:val="auto"/>
          <w:sz w:val="28"/>
          <w:szCs w:val="24"/>
          <w:highlight w:val="none"/>
          <w:u w:val="single"/>
          <w:lang w:val="en-US" w:eastAsia="zh-CN"/>
        </w:rPr>
        <w:t xml:space="preserve">    </w:t>
      </w:r>
      <w:r>
        <w:rPr>
          <w:rFonts w:hint="eastAsia" w:ascii="宋体" w:hAnsi="宋体" w:eastAsia="宋体" w:cs="宋体"/>
          <w:b w:val="0"/>
          <w:bCs/>
          <w:color w:val="auto"/>
          <w:sz w:val="28"/>
          <w:szCs w:val="24"/>
          <w:highlight w:val="none"/>
        </w:rPr>
        <w:t>人，营业收入为</w:t>
      </w:r>
      <w:r>
        <w:rPr>
          <w:rFonts w:hint="eastAsia" w:ascii="宋体" w:hAnsi="宋体" w:eastAsia="宋体" w:cs="宋体"/>
          <w:b w:val="0"/>
          <w:bCs/>
          <w:color w:val="auto"/>
          <w:sz w:val="28"/>
          <w:szCs w:val="24"/>
          <w:highlight w:val="none"/>
          <w:u w:val="single"/>
          <w:lang w:val="en-US" w:eastAsia="zh-CN"/>
        </w:rPr>
        <w:t xml:space="preserve">    </w:t>
      </w:r>
      <w:r>
        <w:rPr>
          <w:rFonts w:hint="eastAsia" w:ascii="宋体" w:hAnsi="宋体" w:eastAsia="宋体" w:cs="宋体"/>
          <w:b w:val="0"/>
          <w:bCs/>
          <w:color w:val="auto"/>
          <w:sz w:val="28"/>
          <w:szCs w:val="24"/>
          <w:highlight w:val="none"/>
        </w:rPr>
        <w:t>万元，资产总额为</w:t>
      </w:r>
      <w:r>
        <w:rPr>
          <w:rFonts w:hint="eastAsia" w:ascii="宋体" w:hAnsi="宋体" w:eastAsia="宋体" w:cs="宋体"/>
          <w:b w:val="0"/>
          <w:bCs/>
          <w:color w:val="auto"/>
          <w:sz w:val="28"/>
          <w:szCs w:val="24"/>
          <w:highlight w:val="none"/>
          <w:u w:val="single"/>
          <w:lang w:val="en-US" w:eastAsia="zh-CN"/>
        </w:rPr>
        <w:t xml:space="preserve">    </w:t>
      </w:r>
      <w:r>
        <w:rPr>
          <w:rFonts w:hint="eastAsia" w:ascii="宋体" w:hAnsi="宋体" w:eastAsia="宋体" w:cs="宋体"/>
          <w:b w:val="0"/>
          <w:bCs/>
          <w:color w:val="auto"/>
          <w:sz w:val="28"/>
          <w:szCs w:val="24"/>
          <w:highlight w:val="none"/>
        </w:rPr>
        <w:t>万元</w:t>
      </w:r>
      <w:r>
        <w:rPr>
          <w:rFonts w:hint="eastAsia" w:ascii="宋体" w:hAnsi="宋体" w:eastAsia="宋体" w:cs="宋体"/>
          <w:b w:val="0"/>
          <w:bCs/>
          <w:color w:val="auto"/>
          <w:sz w:val="28"/>
          <w:szCs w:val="24"/>
          <w:highlight w:val="none"/>
          <w:lang w:val="en-US" w:eastAsia="zh-CN"/>
        </w:rPr>
        <w:t>¹</w:t>
      </w:r>
      <w:r>
        <w:rPr>
          <w:rFonts w:hint="eastAsia" w:ascii="宋体" w:hAnsi="宋体" w:eastAsia="宋体" w:cs="宋体"/>
          <w:b w:val="0"/>
          <w:bCs/>
          <w:color w:val="auto"/>
          <w:sz w:val="28"/>
          <w:szCs w:val="24"/>
          <w:highlight w:val="none"/>
        </w:rPr>
        <w:t>，属于</w:t>
      </w:r>
      <w:r>
        <w:rPr>
          <w:rFonts w:hint="eastAsia" w:ascii="宋体" w:hAnsi="宋体" w:eastAsia="宋体" w:cs="宋体"/>
          <w:b w:val="0"/>
          <w:bCs/>
          <w:color w:val="auto"/>
          <w:sz w:val="28"/>
          <w:szCs w:val="24"/>
          <w:highlight w:val="none"/>
          <w:u w:val="single"/>
        </w:rPr>
        <w:t>（中型企业、小型企业、微型企业）</w:t>
      </w:r>
      <w:r>
        <w:rPr>
          <w:rFonts w:hint="eastAsia" w:ascii="宋体" w:hAnsi="宋体" w:eastAsia="宋体" w:cs="宋体"/>
          <w:b w:val="0"/>
          <w:bCs/>
          <w:color w:val="auto"/>
          <w:sz w:val="28"/>
          <w:szCs w:val="24"/>
          <w:highlight w:val="none"/>
        </w:rPr>
        <w:t xml:space="preserve">； </w:t>
      </w:r>
    </w:p>
    <w:p>
      <w:pPr>
        <w:pageBreakBefore w:val="0"/>
        <w:kinsoku/>
        <w:wordWrap w:val="0"/>
        <w:overflowPunct/>
        <w:topLinePunct w:val="0"/>
        <w:bidi w:val="0"/>
        <w:spacing w:line="336" w:lineRule="auto"/>
        <w:ind w:firstLine="560" w:firstLineChars="200"/>
        <w:rPr>
          <w:rFonts w:hint="eastAsia" w:ascii="宋体" w:hAnsi="宋体" w:eastAsia="宋体" w:cs="宋体"/>
          <w:b w:val="0"/>
          <w:bCs/>
          <w:color w:val="auto"/>
          <w:sz w:val="28"/>
          <w:szCs w:val="24"/>
          <w:highlight w:val="none"/>
        </w:rPr>
      </w:pPr>
      <w:r>
        <w:rPr>
          <w:rFonts w:hint="eastAsia" w:ascii="宋体" w:hAnsi="宋体" w:eastAsia="宋体" w:cs="宋体"/>
          <w:b w:val="0"/>
          <w:bCs/>
          <w:color w:val="auto"/>
          <w:sz w:val="28"/>
          <w:szCs w:val="24"/>
          <w:highlight w:val="none"/>
        </w:rPr>
        <w:t>2.</w:t>
      </w:r>
      <w:r>
        <w:rPr>
          <w:rFonts w:hint="eastAsia" w:ascii="宋体" w:hAnsi="宋体" w:eastAsia="宋体" w:cs="宋体"/>
          <w:b w:val="0"/>
          <w:bCs/>
          <w:color w:val="auto"/>
          <w:sz w:val="28"/>
          <w:szCs w:val="24"/>
          <w:highlight w:val="none"/>
          <w:u w:val="single"/>
        </w:rPr>
        <w:t xml:space="preserve"> （标的名称） </w:t>
      </w:r>
      <w:r>
        <w:rPr>
          <w:rFonts w:hint="eastAsia" w:ascii="宋体" w:hAnsi="宋体" w:eastAsia="宋体" w:cs="宋体"/>
          <w:b w:val="0"/>
          <w:bCs/>
          <w:color w:val="auto"/>
          <w:sz w:val="28"/>
          <w:szCs w:val="24"/>
          <w:highlight w:val="none"/>
        </w:rPr>
        <w:t>，属于</w:t>
      </w:r>
      <w:r>
        <w:rPr>
          <w:rFonts w:hint="eastAsia" w:ascii="宋体" w:hAnsi="宋体" w:eastAsia="宋体" w:cs="宋体"/>
          <w:b w:val="0"/>
          <w:bCs/>
          <w:color w:val="auto"/>
          <w:sz w:val="28"/>
          <w:szCs w:val="24"/>
          <w:highlight w:val="none"/>
          <w:u w:val="single"/>
        </w:rPr>
        <w:t>（采购文件中明确的所属行业）行业</w:t>
      </w:r>
      <w:r>
        <w:rPr>
          <w:rFonts w:hint="eastAsia" w:ascii="宋体" w:hAnsi="宋体" w:eastAsia="宋体" w:cs="宋体"/>
          <w:b w:val="0"/>
          <w:bCs/>
          <w:color w:val="auto"/>
          <w:sz w:val="28"/>
          <w:szCs w:val="24"/>
          <w:highlight w:val="none"/>
        </w:rPr>
        <w:t>；制造商为</w:t>
      </w:r>
      <w:r>
        <w:rPr>
          <w:rFonts w:hint="eastAsia" w:ascii="宋体" w:hAnsi="宋体" w:eastAsia="宋体" w:cs="宋体"/>
          <w:b w:val="0"/>
          <w:bCs/>
          <w:color w:val="auto"/>
          <w:sz w:val="28"/>
          <w:szCs w:val="24"/>
          <w:highlight w:val="none"/>
          <w:u w:val="single"/>
        </w:rPr>
        <w:t>（企业名称）</w:t>
      </w:r>
      <w:r>
        <w:rPr>
          <w:rFonts w:hint="eastAsia" w:ascii="宋体" w:hAnsi="宋体" w:eastAsia="宋体" w:cs="宋体"/>
          <w:b w:val="0"/>
          <w:bCs/>
          <w:color w:val="auto"/>
          <w:sz w:val="28"/>
          <w:szCs w:val="24"/>
          <w:highlight w:val="none"/>
        </w:rPr>
        <w:t>，从业人员</w:t>
      </w:r>
      <w:r>
        <w:rPr>
          <w:rFonts w:hint="eastAsia" w:ascii="宋体" w:hAnsi="宋体" w:eastAsia="宋体" w:cs="宋体"/>
          <w:b w:val="0"/>
          <w:bCs/>
          <w:color w:val="auto"/>
          <w:sz w:val="28"/>
          <w:szCs w:val="24"/>
          <w:highlight w:val="none"/>
          <w:u w:val="single"/>
          <w:lang w:val="en-US" w:eastAsia="zh-CN"/>
        </w:rPr>
        <w:t xml:space="preserve">   </w:t>
      </w:r>
      <w:r>
        <w:rPr>
          <w:rFonts w:hint="eastAsia" w:ascii="宋体" w:hAnsi="宋体" w:eastAsia="宋体" w:cs="宋体"/>
          <w:b w:val="0"/>
          <w:bCs/>
          <w:color w:val="auto"/>
          <w:sz w:val="28"/>
          <w:szCs w:val="24"/>
          <w:highlight w:val="none"/>
        </w:rPr>
        <w:t>人，营业收入为</w:t>
      </w:r>
      <w:r>
        <w:rPr>
          <w:rFonts w:hint="eastAsia" w:ascii="宋体" w:hAnsi="宋体" w:eastAsia="宋体" w:cs="宋体"/>
          <w:b w:val="0"/>
          <w:bCs/>
          <w:color w:val="auto"/>
          <w:sz w:val="28"/>
          <w:szCs w:val="24"/>
          <w:highlight w:val="none"/>
          <w:u w:val="single"/>
        </w:rPr>
        <w:t xml:space="preserve"> </w:t>
      </w:r>
      <w:r>
        <w:rPr>
          <w:rFonts w:hint="eastAsia" w:ascii="宋体" w:hAnsi="宋体" w:eastAsia="宋体" w:cs="宋体"/>
          <w:b w:val="0"/>
          <w:bCs/>
          <w:color w:val="auto"/>
          <w:sz w:val="28"/>
          <w:szCs w:val="24"/>
          <w:highlight w:val="none"/>
          <w:u w:val="single"/>
          <w:lang w:val="en-US" w:eastAsia="zh-CN"/>
        </w:rPr>
        <w:t xml:space="preserve">  </w:t>
      </w:r>
      <w:r>
        <w:rPr>
          <w:rFonts w:hint="eastAsia" w:ascii="宋体" w:hAnsi="宋体" w:eastAsia="宋体" w:cs="宋体"/>
          <w:b w:val="0"/>
          <w:bCs/>
          <w:color w:val="auto"/>
          <w:sz w:val="28"/>
          <w:szCs w:val="24"/>
          <w:highlight w:val="none"/>
        </w:rPr>
        <w:t>万元，资产总额为</w:t>
      </w:r>
      <w:r>
        <w:rPr>
          <w:rFonts w:hint="eastAsia" w:ascii="宋体" w:hAnsi="宋体" w:eastAsia="宋体" w:cs="宋体"/>
          <w:b w:val="0"/>
          <w:bCs/>
          <w:color w:val="auto"/>
          <w:sz w:val="28"/>
          <w:szCs w:val="24"/>
          <w:highlight w:val="none"/>
          <w:u w:val="single"/>
          <w:lang w:val="en-US" w:eastAsia="zh-CN"/>
        </w:rPr>
        <w:t xml:space="preserve">   </w:t>
      </w:r>
      <w:r>
        <w:rPr>
          <w:rFonts w:hint="eastAsia" w:ascii="宋体" w:hAnsi="宋体" w:eastAsia="宋体" w:cs="宋体"/>
          <w:b w:val="0"/>
          <w:bCs/>
          <w:color w:val="auto"/>
          <w:sz w:val="28"/>
          <w:szCs w:val="24"/>
          <w:highlight w:val="none"/>
        </w:rPr>
        <w:t>万元，属于</w:t>
      </w:r>
      <w:r>
        <w:rPr>
          <w:rFonts w:hint="eastAsia" w:ascii="宋体" w:hAnsi="宋体" w:eastAsia="宋体" w:cs="宋体"/>
          <w:b w:val="0"/>
          <w:bCs/>
          <w:color w:val="auto"/>
          <w:sz w:val="28"/>
          <w:szCs w:val="24"/>
          <w:highlight w:val="none"/>
          <w:u w:val="single"/>
        </w:rPr>
        <w:t>（中型企业、小型企业、微型企业）</w:t>
      </w:r>
      <w:r>
        <w:rPr>
          <w:rFonts w:hint="eastAsia" w:ascii="宋体" w:hAnsi="宋体" w:eastAsia="宋体" w:cs="宋体"/>
          <w:b w:val="0"/>
          <w:bCs/>
          <w:color w:val="auto"/>
          <w:sz w:val="28"/>
          <w:szCs w:val="24"/>
          <w:highlight w:val="none"/>
        </w:rPr>
        <w:t xml:space="preserve">； </w:t>
      </w:r>
    </w:p>
    <w:p>
      <w:pPr>
        <w:pageBreakBefore w:val="0"/>
        <w:kinsoku/>
        <w:wordWrap w:val="0"/>
        <w:overflowPunct/>
        <w:topLinePunct w:val="0"/>
        <w:bidi w:val="0"/>
        <w:spacing w:line="336" w:lineRule="auto"/>
        <w:ind w:firstLine="560" w:firstLineChars="200"/>
        <w:rPr>
          <w:rFonts w:hint="eastAsia" w:ascii="宋体" w:hAnsi="宋体" w:eastAsia="宋体" w:cs="宋体"/>
          <w:b w:val="0"/>
          <w:bCs/>
          <w:color w:val="auto"/>
          <w:sz w:val="28"/>
          <w:szCs w:val="24"/>
          <w:highlight w:val="none"/>
        </w:rPr>
      </w:pPr>
      <w:r>
        <w:rPr>
          <w:rFonts w:hint="eastAsia" w:ascii="宋体" w:hAnsi="宋体" w:eastAsia="宋体" w:cs="宋体"/>
          <w:b w:val="0"/>
          <w:bCs/>
          <w:color w:val="auto"/>
          <w:sz w:val="28"/>
          <w:szCs w:val="24"/>
          <w:highlight w:val="none"/>
        </w:rPr>
        <w:t>……</w:t>
      </w:r>
    </w:p>
    <w:p>
      <w:pPr>
        <w:pageBreakBefore w:val="0"/>
        <w:kinsoku/>
        <w:wordWrap w:val="0"/>
        <w:overflowPunct/>
        <w:topLinePunct w:val="0"/>
        <w:bidi w:val="0"/>
        <w:spacing w:line="336" w:lineRule="auto"/>
        <w:ind w:firstLine="560" w:firstLineChars="200"/>
        <w:rPr>
          <w:rFonts w:hint="eastAsia" w:ascii="宋体" w:hAnsi="宋体" w:eastAsia="宋体" w:cs="宋体"/>
          <w:b w:val="0"/>
          <w:bCs/>
          <w:color w:val="auto"/>
          <w:sz w:val="28"/>
          <w:szCs w:val="24"/>
          <w:highlight w:val="none"/>
        </w:rPr>
      </w:pPr>
      <w:r>
        <w:rPr>
          <w:rFonts w:hint="eastAsia" w:ascii="宋体" w:hAnsi="宋体" w:eastAsia="宋体" w:cs="宋体"/>
          <w:b w:val="0"/>
          <w:bCs/>
          <w:color w:val="auto"/>
          <w:sz w:val="28"/>
          <w:szCs w:val="24"/>
          <w:highlight w:val="none"/>
        </w:rPr>
        <w:t>以上企业，不属于大企业的分支机构，不存在控股股东为大企业的情形，也不存在与大企业的负责人为同一人的情形。</w:t>
      </w:r>
    </w:p>
    <w:p>
      <w:pPr>
        <w:pageBreakBefore w:val="0"/>
        <w:kinsoku/>
        <w:wordWrap w:val="0"/>
        <w:overflowPunct/>
        <w:topLinePunct w:val="0"/>
        <w:bidi w:val="0"/>
        <w:spacing w:line="336" w:lineRule="auto"/>
        <w:ind w:firstLine="560" w:firstLineChars="200"/>
        <w:rPr>
          <w:rFonts w:hint="eastAsia" w:ascii="宋体" w:hAnsi="宋体" w:eastAsia="宋体" w:cs="宋体"/>
          <w:b w:val="0"/>
          <w:bCs/>
          <w:color w:val="auto"/>
          <w:sz w:val="28"/>
          <w:szCs w:val="24"/>
          <w:highlight w:val="none"/>
        </w:rPr>
      </w:pPr>
      <w:r>
        <w:rPr>
          <w:rFonts w:hint="eastAsia" w:ascii="宋体" w:hAnsi="宋体" w:eastAsia="宋体" w:cs="宋体"/>
          <w:b w:val="0"/>
          <w:bCs/>
          <w:color w:val="auto"/>
          <w:sz w:val="28"/>
          <w:szCs w:val="24"/>
          <w:highlight w:val="none"/>
        </w:rPr>
        <w:t xml:space="preserve">本企业对上述声明内容的真实性负责。如有虚假，将依 法承担相应责任。 </w:t>
      </w:r>
    </w:p>
    <w:p>
      <w:pPr>
        <w:pStyle w:val="25"/>
        <w:pageBreakBefore w:val="0"/>
        <w:kinsoku/>
        <w:wordWrap w:val="0"/>
        <w:overflowPunct/>
        <w:topLinePunct w:val="0"/>
        <w:bidi w:val="0"/>
        <w:spacing w:line="336" w:lineRule="auto"/>
        <w:rPr>
          <w:rFonts w:hint="eastAsia" w:ascii="宋体" w:hAnsi="宋体" w:eastAsia="宋体" w:cs="宋体"/>
          <w:b w:val="0"/>
          <w:bCs/>
          <w:color w:val="auto"/>
          <w:sz w:val="28"/>
          <w:szCs w:val="24"/>
          <w:highlight w:val="none"/>
        </w:rPr>
      </w:pPr>
    </w:p>
    <w:p>
      <w:pPr>
        <w:pStyle w:val="25"/>
        <w:pageBreakBefore w:val="0"/>
        <w:kinsoku/>
        <w:wordWrap w:val="0"/>
        <w:overflowPunct/>
        <w:topLinePunct w:val="0"/>
        <w:bidi w:val="0"/>
        <w:spacing w:line="336" w:lineRule="auto"/>
        <w:rPr>
          <w:rFonts w:hint="eastAsia" w:ascii="宋体" w:hAnsi="宋体" w:eastAsia="宋体" w:cs="宋体"/>
          <w:b w:val="0"/>
          <w:bCs/>
          <w:color w:val="auto"/>
          <w:sz w:val="28"/>
          <w:szCs w:val="24"/>
          <w:highlight w:val="none"/>
        </w:rPr>
      </w:pPr>
    </w:p>
    <w:p>
      <w:pPr>
        <w:pageBreakBefore w:val="0"/>
        <w:kinsoku/>
        <w:wordWrap w:val="0"/>
        <w:overflowPunct/>
        <w:topLinePunct w:val="0"/>
        <w:bidi w:val="0"/>
        <w:spacing w:line="336" w:lineRule="auto"/>
        <w:ind w:firstLine="5320" w:firstLineChars="1900"/>
        <w:rPr>
          <w:rFonts w:hint="eastAsia" w:ascii="宋体" w:hAnsi="宋体" w:eastAsia="宋体" w:cs="宋体"/>
          <w:b w:val="0"/>
          <w:bCs/>
          <w:color w:val="auto"/>
          <w:sz w:val="28"/>
          <w:szCs w:val="24"/>
          <w:highlight w:val="none"/>
        </w:rPr>
      </w:pPr>
      <w:r>
        <w:rPr>
          <w:rFonts w:hint="eastAsia" w:ascii="宋体" w:hAnsi="宋体" w:eastAsia="宋体" w:cs="宋体"/>
          <w:b w:val="0"/>
          <w:bCs/>
          <w:color w:val="auto"/>
          <w:sz w:val="28"/>
          <w:szCs w:val="24"/>
          <w:highlight w:val="none"/>
        </w:rPr>
        <w:t xml:space="preserve">企业名称（盖章）： </w:t>
      </w:r>
    </w:p>
    <w:p>
      <w:pPr>
        <w:pageBreakBefore w:val="0"/>
        <w:kinsoku/>
        <w:wordWrap w:val="0"/>
        <w:overflowPunct/>
        <w:topLinePunct w:val="0"/>
        <w:bidi w:val="0"/>
        <w:spacing w:line="336" w:lineRule="auto"/>
        <w:ind w:firstLine="5320" w:firstLineChars="1900"/>
        <w:rPr>
          <w:rFonts w:hint="eastAsia" w:ascii="宋体" w:hAnsi="宋体" w:eastAsia="宋体" w:cs="宋体"/>
          <w:b w:val="0"/>
          <w:bCs/>
          <w:color w:val="auto"/>
          <w:sz w:val="28"/>
          <w:szCs w:val="24"/>
          <w:highlight w:val="none"/>
        </w:rPr>
      </w:pPr>
      <w:r>
        <w:rPr>
          <w:rFonts w:hint="eastAsia" w:ascii="宋体" w:hAnsi="宋体" w:eastAsia="宋体" w:cs="宋体"/>
          <w:b w:val="0"/>
          <w:bCs/>
          <w:color w:val="auto"/>
          <w:sz w:val="28"/>
          <w:szCs w:val="24"/>
          <w:highlight w:val="none"/>
        </w:rPr>
        <w:t xml:space="preserve">日 期： </w:t>
      </w:r>
    </w:p>
    <w:p>
      <w:pPr>
        <w:pageBreakBefore w:val="0"/>
        <w:kinsoku/>
        <w:wordWrap w:val="0"/>
        <w:overflowPunct/>
        <w:topLinePunct w:val="0"/>
        <w:bidi w:val="0"/>
        <w:spacing w:line="336" w:lineRule="auto"/>
        <w:ind w:firstLine="560" w:firstLineChars="200"/>
        <w:rPr>
          <w:rFonts w:hint="eastAsia" w:ascii="宋体" w:hAnsi="宋体" w:eastAsia="宋体" w:cs="宋体"/>
          <w:b/>
          <w:color w:val="auto"/>
          <w:sz w:val="28"/>
          <w:szCs w:val="24"/>
          <w:highlight w:val="none"/>
        </w:rPr>
      </w:pPr>
      <w:r>
        <w:rPr>
          <w:rFonts w:hint="eastAsia" w:ascii="宋体" w:hAnsi="宋体" w:eastAsia="宋体" w:cs="宋体"/>
          <w:b w:val="0"/>
          <w:bCs/>
          <w:color w:val="auto"/>
          <w:sz w:val="28"/>
          <w:szCs w:val="24"/>
          <w:highlight w:val="none"/>
          <w:lang w:eastAsia="zh-CN"/>
        </w:rPr>
        <w:t>注：</w:t>
      </w:r>
      <w:r>
        <w:rPr>
          <w:rFonts w:hint="eastAsia" w:ascii="宋体" w:hAnsi="宋体" w:eastAsia="宋体" w:cs="宋体"/>
          <w:b w:val="0"/>
          <w:bCs/>
          <w:color w:val="auto"/>
          <w:sz w:val="28"/>
          <w:szCs w:val="24"/>
          <w:highlight w:val="none"/>
          <w:lang w:val="en-US" w:eastAsia="zh-CN"/>
        </w:rPr>
        <w:t>¹</w:t>
      </w:r>
      <w:r>
        <w:rPr>
          <w:rFonts w:hint="eastAsia" w:ascii="宋体" w:hAnsi="宋体" w:eastAsia="宋体" w:cs="宋体"/>
          <w:b w:val="0"/>
          <w:bCs/>
          <w:color w:val="auto"/>
          <w:sz w:val="28"/>
          <w:szCs w:val="24"/>
          <w:highlight w:val="none"/>
        </w:rPr>
        <w:t>从业人员、营业收入、资产总额填报上一年度数据，无上一年度数据的新成立企业可不填报。</w:t>
      </w:r>
      <w:r>
        <w:rPr>
          <w:rFonts w:hint="eastAsia" w:ascii="宋体" w:hAnsi="宋体" w:eastAsia="宋体" w:cs="宋体"/>
          <w:b/>
          <w:color w:val="auto"/>
          <w:sz w:val="28"/>
          <w:szCs w:val="24"/>
          <w:highlight w:val="none"/>
        </w:rPr>
        <w:br w:type="page"/>
      </w:r>
    </w:p>
    <w:p>
      <w:pPr>
        <w:pageBreakBefore w:val="0"/>
        <w:kinsoku/>
        <w:wordWrap w:val="0"/>
        <w:overflowPunct/>
        <w:topLinePunct w:val="0"/>
        <w:bidi w:val="0"/>
        <w:spacing w:line="336" w:lineRule="auto"/>
        <w:jc w:val="both"/>
        <w:rPr>
          <w:rFonts w:hint="eastAsia" w:ascii="宋体" w:hAnsi="宋体" w:eastAsia="宋体" w:cs="宋体"/>
          <w:b/>
          <w:color w:val="auto"/>
          <w:spacing w:val="6"/>
          <w:sz w:val="24"/>
          <w:szCs w:val="24"/>
          <w:highlight w:val="none"/>
        </w:rPr>
      </w:pPr>
      <w:r>
        <w:rPr>
          <w:rFonts w:hint="eastAsia" w:ascii="宋体" w:hAnsi="宋体" w:eastAsia="宋体" w:cs="宋体"/>
          <w:b/>
          <w:color w:val="auto"/>
          <w:sz w:val="28"/>
          <w:szCs w:val="24"/>
          <w:highlight w:val="none"/>
          <w:lang w:eastAsia="zh-CN"/>
        </w:rPr>
        <w:t>附件</w:t>
      </w:r>
      <w:r>
        <w:rPr>
          <w:rFonts w:hint="eastAsia" w:ascii="宋体" w:hAnsi="宋体" w:eastAsia="宋体" w:cs="宋体"/>
          <w:b/>
          <w:color w:val="auto"/>
          <w:sz w:val="28"/>
          <w:szCs w:val="24"/>
          <w:highlight w:val="none"/>
          <w:lang w:val="en-US" w:eastAsia="zh-CN"/>
        </w:rPr>
        <w:t>2</w:t>
      </w:r>
      <w:r>
        <w:rPr>
          <w:rFonts w:hint="eastAsia" w:ascii="宋体" w:hAnsi="宋体" w:eastAsia="宋体" w:cs="宋体"/>
          <w:b/>
          <w:color w:val="auto"/>
          <w:sz w:val="28"/>
          <w:szCs w:val="24"/>
          <w:highlight w:val="none"/>
          <w:lang w:eastAsia="zh-CN"/>
        </w:rPr>
        <w:t>：</w:t>
      </w:r>
      <w:r>
        <w:rPr>
          <w:rFonts w:hint="eastAsia" w:ascii="宋体" w:hAnsi="宋体" w:eastAsia="宋体" w:cs="宋体"/>
          <w:b/>
          <w:color w:val="auto"/>
          <w:sz w:val="28"/>
          <w:szCs w:val="24"/>
          <w:highlight w:val="none"/>
          <w:lang w:val="en-US" w:eastAsia="zh-CN"/>
        </w:rPr>
        <w:t xml:space="preserve">             </w:t>
      </w:r>
      <w:r>
        <w:rPr>
          <w:rFonts w:hint="eastAsia" w:ascii="宋体" w:hAnsi="宋体" w:eastAsia="宋体" w:cs="宋体"/>
          <w:b/>
          <w:color w:val="auto"/>
          <w:sz w:val="28"/>
          <w:szCs w:val="24"/>
          <w:highlight w:val="none"/>
        </w:rPr>
        <w:t>残疾人福利性单位声明函（格式）</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p>
    <w:p>
      <w:pPr>
        <w:pageBreakBefore w:val="0"/>
        <w:kinsoku/>
        <w:wordWrap w:val="0"/>
        <w:overflowPunct/>
        <w:topLinePunct w:val="0"/>
        <w:bidi w:val="0"/>
        <w:spacing w:line="336" w:lineRule="auto"/>
        <w:ind w:firstLine="480" w:firstLineChars="200"/>
        <w:rPr>
          <w:rFonts w:hint="eastAsia" w:ascii="宋体" w:hAnsi="宋体" w:eastAsia="宋体" w:cs="宋体"/>
          <w:color w:val="auto"/>
          <w:sz w:val="24"/>
          <w:szCs w:val="24"/>
          <w:highlight w:val="none"/>
        </w:rPr>
      </w:pPr>
    </w:p>
    <w:p>
      <w:pPr>
        <w:pageBreakBefore w:val="0"/>
        <w:tabs>
          <w:tab w:val="left" w:pos="4860"/>
        </w:tabs>
        <w:kinsoku/>
        <w:wordWrap w:val="0"/>
        <w:overflowPunct/>
        <w:topLinePunct w:val="0"/>
        <w:bidi w:val="0"/>
        <w:spacing w:line="336" w:lineRule="auto"/>
        <w:ind w:right="156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单位名称（盖章）：</w:t>
      </w:r>
    </w:p>
    <w:p>
      <w:pPr>
        <w:pageBreakBefore w:val="0"/>
        <w:tabs>
          <w:tab w:val="left" w:pos="4860"/>
        </w:tabs>
        <w:kinsoku/>
        <w:wordWrap w:val="0"/>
        <w:overflowPunct/>
        <w:topLinePunct w:val="0"/>
        <w:bidi w:val="0"/>
        <w:spacing w:line="336" w:lineRule="auto"/>
        <w:ind w:right="156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w:t>
      </w:r>
    </w:p>
    <w:p>
      <w:pPr>
        <w:pageBreakBefore w:val="0"/>
        <w:kinsoku/>
        <w:wordWrap w:val="0"/>
        <w:overflowPunct/>
        <w:topLinePunct w:val="0"/>
        <w:bidi w:val="0"/>
        <w:spacing w:line="336" w:lineRule="auto"/>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br w:type="page"/>
      </w:r>
    </w:p>
    <w:p>
      <w:pPr>
        <w:pStyle w:val="26"/>
        <w:pageBreakBefore w:val="0"/>
        <w:kinsoku/>
        <w:wordWrap w:val="0"/>
        <w:overflowPunct/>
        <w:topLinePunct w:val="0"/>
        <w:bidi w:val="0"/>
        <w:spacing w:line="336" w:lineRule="auto"/>
        <w:ind w:left="0" w:leftChars="0" w:firstLine="0" w:firstLineChars="0"/>
        <w:jc w:val="both"/>
        <w:rPr>
          <w:rFonts w:hint="eastAsia" w:ascii="宋体" w:hAnsi="宋体" w:eastAsia="宋体" w:cs="宋体"/>
          <w:color w:val="auto"/>
          <w:sz w:val="52"/>
          <w:szCs w:val="52"/>
          <w:highlight w:val="none"/>
        </w:rPr>
      </w:pPr>
    </w:p>
    <w:p>
      <w:pPr>
        <w:pStyle w:val="26"/>
        <w:pageBreakBefore w:val="0"/>
        <w:kinsoku/>
        <w:wordWrap w:val="0"/>
        <w:overflowPunct/>
        <w:topLinePunct w:val="0"/>
        <w:bidi w:val="0"/>
        <w:spacing w:line="336" w:lineRule="auto"/>
        <w:ind w:left="0" w:leftChars="0" w:firstLine="0" w:firstLineChars="0"/>
        <w:jc w:val="both"/>
        <w:rPr>
          <w:rFonts w:hint="eastAsia" w:ascii="宋体" w:hAnsi="宋体" w:eastAsia="宋体" w:cs="宋体"/>
          <w:color w:val="auto"/>
          <w:sz w:val="52"/>
          <w:szCs w:val="52"/>
          <w:highlight w:val="none"/>
        </w:rPr>
      </w:pPr>
    </w:p>
    <w:p>
      <w:pPr>
        <w:pStyle w:val="26"/>
        <w:pageBreakBefore w:val="0"/>
        <w:kinsoku/>
        <w:wordWrap w:val="0"/>
        <w:overflowPunct/>
        <w:topLinePunct w:val="0"/>
        <w:bidi w:val="0"/>
        <w:spacing w:line="336" w:lineRule="auto"/>
        <w:ind w:firstLine="0" w:firstLineChars="0"/>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（签  章  页）</w:t>
      </w:r>
    </w:p>
    <w:p>
      <w:pPr>
        <w:pStyle w:val="26"/>
        <w:pageBreakBefore w:val="0"/>
        <w:kinsoku/>
        <w:wordWrap w:val="0"/>
        <w:overflowPunct/>
        <w:topLinePunct w:val="0"/>
        <w:bidi w:val="0"/>
        <w:spacing w:line="336" w:lineRule="auto"/>
        <w:ind w:firstLine="0" w:firstLineChars="0"/>
        <w:rPr>
          <w:rFonts w:hint="eastAsia" w:ascii="宋体" w:hAnsi="宋体" w:eastAsia="宋体" w:cs="宋体"/>
          <w:b/>
          <w:color w:val="auto"/>
          <w:sz w:val="36"/>
          <w:szCs w:val="36"/>
          <w:highlight w:val="none"/>
        </w:rPr>
      </w:pPr>
    </w:p>
    <w:p>
      <w:pPr>
        <w:pStyle w:val="26"/>
        <w:pageBreakBefore w:val="0"/>
        <w:kinsoku/>
        <w:wordWrap w:val="0"/>
        <w:overflowPunct/>
        <w:topLinePunct w:val="0"/>
        <w:bidi w:val="0"/>
        <w:spacing w:line="336" w:lineRule="auto"/>
        <w:ind w:firstLine="0" w:firstLineChars="0"/>
        <w:rPr>
          <w:rFonts w:hint="eastAsia" w:ascii="宋体" w:hAnsi="宋体" w:eastAsia="宋体" w:cs="宋体"/>
          <w:b/>
          <w:color w:val="auto"/>
          <w:sz w:val="36"/>
          <w:szCs w:val="36"/>
          <w:highlight w:val="none"/>
        </w:rPr>
      </w:pPr>
    </w:p>
    <w:p>
      <w:pPr>
        <w:pStyle w:val="26"/>
        <w:pageBreakBefore w:val="0"/>
        <w:kinsoku/>
        <w:wordWrap w:val="0"/>
        <w:overflowPunct/>
        <w:topLinePunct w:val="0"/>
        <w:bidi w:val="0"/>
        <w:spacing w:line="336" w:lineRule="auto"/>
        <w:ind w:firstLine="0" w:firstLineChars="0"/>
        <w:rPr>
          <w:rFonts w:hint="eastAsia" w:ascii="宋体" w:hAnsi="宋体" w:eastAsia="宋体" w:cs="宋体"/>
          <w:b/>
          <w:color w:val="auto"/>
          <w:sz w:val="36"/>
          <w:szCs w:val="36"/>
          <w:highlight w:val="none"/>
        </w:rPr>
      </w:pPr>
    </w:p>
    <w:p>
      <w:pPr>
        <w:pStyle w:val="26"/>
        <w:pageBreakBefore w:val="0"/>
        <w:kinsoku/>
        <w:wordWrap w:val="0"/>
        <w:overflowPunct/>
        <w:topLinePunct w:val="0"/>
        <w:bidi w:val="0"/>
        <w:spacing w:line="336" w:lineRule="auto"/>
        <w:ind w:firstLine="0" w:firstLineChars="0"/>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t>采购单位：</w:t>
      </w:r>
      <w:r>
        <w:rPr>
          <w:rFonts w:hint="eastAsia" w:ascii="宋体" w:hAnsi="宋体" w:eastAsia="宋体" w:cs="宋体"/>
          <w:b/>
          <w:bCs w:val="0"/>
          <w:color w:val="auto"/>
          <w:sz w:val="36"/>
          <w:szCs w:val="36"/>
          <w:highlight w:val="none"/>
          <w:lang w:eastAsia="zh-CN"/>
        </w:rPr>
        <w:t>隆林各族自治县桠杈镇人民政府</w:t>
      </w:r>
      <w:r>
        <w:rPr>
          <w:rFonts w:hint="eastAsia" w:ascii="宋体" w:hAnsi="宋体" w:eastAsia="宋体" w:cs="宋体"/>
          <w:b/>
          <w:bCs w:val="0"/>
          <w:color w:val="auto"/>
          <w:sz w:val="36"/>
          <w:szCs w:val="36"/>
          <w:highlight w:val="none"/>
        </w:rPr>
        <w:t>（盖章）</w:t>
      </w:r>
    </w:p>
    <w:p>
      <w:pPr>
        <w:pStyle w:val="26"/>
        <w:pageBreakBefore w:val="0"/>
        <w:kinsoku/>
        <w:wordWrap w:val="0"/>
        <w:overflowPunct/>
        <w:topLinePunct w:val="0"/>
        <w:bidi w:val="0"/>
        <w:spacing w:line="336" w:lineRule="auto"/>
        <w:ind w:firstLine="0" w:firstLineChars="0"/>
        <w:rPr>
          <w:rFonts w:hint="eastAsia" w:ascii="宋体" w:hAnsi="宋体" w:eastAsia="宋体" w:cs="宋体"/>
          <w:b/>
          <w:bCs w:val="0"/>
          <w:color w:val="auto"/>
          <w:sz w:val="36"/>
          <w:szCs w:val="36"/>
          <w:highlight w:val="none"/>
        </w:rPr>
      </w:pPr>
    </w:p>
    <w:p>
      <w:pPr>
        <w:pStyle w:val="26"/>
        <w:pageBreakBefore w:val="0"/>
        <w:kinsoku/>
        <w:wordWrap w:val="0"/>
        <w:overflowPunct/>
        <w:topLinePunct w:val="0"/>
        <w:bidi w:val="0"/>
        <w:spacing w:line="336" w:lineRule="auto"/>
        <w:ind w:firstLine="0" w:firstLineChars="0"/>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t>日    期：</w:t>
      </w:r>
      <w:r>
        <w:rPr>
          <w:rFonts w:hint="eastAsia" w:ascii="宋体" w:hAnsi="宋体" w:eastAsia="宋体" w:cs="宋体"/>
          <w:b/>
          <w:bCs w:val="0"/>
          <w:color w:val="auto"/>
          <w:sz w:val="36"/>
          <w:szCs w:val="36"/>
          <w:highlight w:val="none"/>
          <w:lang w:val="en-US" w:eastAsia="zh-CN"/>
        </w:rPr>
        <w:t>2021</w:t>
      </w:r>
      <w:r>
        <w:rPr>
          <w:rFonts w:hint="eastAsia" w:ascii="宋体" w:hAnsi="宋体" w:eastAsia="宋体" w:cs="宋体"/>
          <w:b/>
          <w:bCs w:val="0"/>
          <w:color w:val="auto"/>
          <w:sz w:val="36"/>
          <w:szCs w:val="36"/>
          <w:highlight w:val="none"/>
        </w:rPr>
        <w:t>年</w:t>
      </w:r>
      <w:r>
        <w:rPr>
          <w:rFonts w:hint="eastAsia" w:ascii="宋体" w:hAnsi="宋体" w:eastAsia="宋体" w:cs="宋体"/>
          <w:b/>
          <w:bCs w:val="0"/>
          <w:color w:val="auto"/>
          <w:sz w:val="36"/>
          <w:szCs w:val="36"/>
          <w:highlight w:val="none"/>
          <w:lang w:val="en-US" w:eastAsia="zh-CN"/>
        </w:rPr>
        <w:t>10</w:t>
      </w:r>
      <w:r>
        <w:rPr>
          <w:rFonts w:hint="eastAsia" w:ascii="宋体" w:hAnsi="宋体" w:eastAsia="宋体" w:cs="宋体"/>
          <w:b/>
          <w:bCs w:val="0"/>
          <w:color w:val="auto"/>
          <w:sz w:val="36"/>
          <w:szCs w:val="36"/>
          <w:highlight w:val="none"/>
        </w:rPr>
        <w:t>月</w:t>
      </w:r>
      <w:r>
        <w:rPr>
          <w:rFonts w:hint="eastAsia" w:ascii="宋体" w:hAnsi="宋体" w:eastAsia="宋体" w:cs="宋体"/>
          <w:b/>
          <w:bCs w:val="0"/>
          <w:color w:val="auto"/>
          <w:sz w:val="36"/>
          <w:szCs w:val="36"/>
          <w:highlight w:val="none"/>
          <w:lang w:val="en-US" w:eastAsia="zh-CN"/>
        </w:rPr>
        <w:t xml:space="preserve">  </w:t>
      </w:r>
      <w:r>
        <w:rPr>
          <w:rFonts w:hint="eastAsia" w:ascii="宋体" w:hAnsi="宋体" w:eastAsia="宋体" w:cs="宋体"/>
          <w:b/>
          <w:bCs w:val="0"/>
          <w:color w:val="auto"/>
          <w:sz w:val="36"/>
          <w:szCs w:val="36"/>
          <w:highlight w:val="none"/>
        </w:rPr>
        <w:t>日</w:t>
      </w:r>
    </w:p>
    <w:p>
      <w:pPr>
        <w:pStyle w:val="26"/>
        <w:pageBreakBefore w:val="0"/>
        <w:kinsoku/>
        <w:wordWrap w:val="0"/>
        <w:overflowPunct/>
        <w:topLinePunct w:val="0"/>
        <w:bidi w:val="0"/>
        <w:spacing w:line="336" w:lineRule="auto"/>
        <w:ind w:firstLine="0" w:firstLineChars="0"/>
        <w:rPr>
          <w:rFonts w:hint="eastAsia" w:ascii="宋体" w:hAnsi="宋体" w:eastAsia="宋体" w:cs="宋体"/>
          <w:b/>
          <w:bCs w:val="0"/>
          <w:color w:val="auto"/>
          <w:sz w:val="36"/>
          <w:szCs w:val="36"/>
          <w:highlight w:val="none"/>
        </w:rPr>
      </w:pPr>
    </w:p>
    <w:p>
      <w:pPr>
        <w:pStyle w:val="26"/>
        <w:pageBreakBefore w:val="0"/>
        <w:kinsoku/>
        <w:wordWrap w:val="0"/>
        <w:overflowPunct/>
        <w:topLinePunct w:val="0"/>
        <w:bidi w:val="0"/>
        <w:spacing w:line="336" w:lineRule="auto"/>
        <w:ind w:firstLine="0" w:firstLineChars="0"/>
        <w:rPr>
          <w:rFonts w:hint="eastAsia" w:ascii="宋体" w:hAnsi="宋体" w:eastAsia="宋体" w:cs="宋体"/>
          <w:b/>
          <w:bCs w:val="0"/>
          <w:color w:val="auto"/>
          <w:sz w:val="36"/>
          <w:szCs w:val="36"/>
          <w:highlight w:val="none"/>
        </w:rPr>
      </w:pPr>
    </w:p>
    <w:p>
      <w:pPr>
        <w:pStyle w:val="26"/>
        <w:pageBreakBefore w:val="0"/>
        <w:kinsoku/>
        <w:wordWrap w:val="0"/>
        <w:overflowPunct/>
        <w:topLinePunct w:val="0"/>
        <w:bidi w:val="0"/>
        <w:spacing w:line="336" w:lineRule="auto"/>
        <w:ind w:firstLine="0" w:firstLineChars="0"/>
        <w:rPr>
          <w:rFonts w:hint="eastAsia" w:ascii="宋体" w:hAnsi="宋体" w:eastAsia="宋体" w:cs="宋体"/>
          <w:b/>
          <w:bCs w:val="0"/>
          <w:color w:val="auto"/>
          <w:sz w:val="36"/>
          <w:szCs w:val="36"/>
          <w:highlight w:val="none"/>
        </w:rPr>
      </w:pPr>
    </w:p>
    <w:p>
      <w:pPr>
        <w:pStyle w:val="26"/>
        <w:pageBreakBefore w:val="0"/>
        <w:kinsoku/>
        <w:wordWrap w:val="0"/>
        <w:overflowPunct/>
        <w:topLinePunct w:val="0"/>
        <w:bidi w:val="0"/>
        <w:spacing w:line="336" w:lineRule="auto"/>
        <w:ind w:firstLine="0" w:firstLineChars="0"/>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t>采购代理机构：</w:t>
      </w:r>
      <w:r>
        <w:rPr>
          <w:rFonts w:hint="eastAsia" w:ascii="宋体" w:hAnsi="宋体" w:eastAsia="宋体" w:cs="宋体"/>
          <w:b/>
          <w:bCs w:val="0"/>
          <w:color w:val="auto"/>
          <w:sz w:val="36"/>
          <w:szCs w:val="36"/>
          <w:highlight w:val="none"/>
          <w:lang w:eastAsia="zh-CN"/>
        </w:rPr>
        <w:t>广西业隆工程管理服务有限公司</w:t>
      </w:r>
      <w:r>
        <w:rPr>
          <w:rFonts w:hint="eastAsia" w:ascii="宋体" w:hAnsi="宋体" w:eastAsia="宋体" w:cs="宋体"/>
          <w:b/>
          <w:bCs w:val="0"/>
          <w:color w:val="auto"/>
          <w:sz w:val="36"/>
          <w:szCs w:val="36"/>
          <w:highlight w:val="none"/>
        </w:rPr>
        <w:t>（盖章）</w:t>
      </w:r>
    </w:p>
    <w:p>
      <w:pPr>
        <w:pStyle w:val="26"/>
        <w:pageBreakBefore w:val="0"/>
        <w:kinsoku/>
        <w:wordWrap w:val="0"/>
        <w:overflowPunct/>
        <w:topLinePunct w:val="0"/>
        <w:bidi w:val="0"/>
        <w:spacing w:line="336" w:lineRule="auto"/>
        <w:ind w:firstLine="0" w:firstLineChars="0"/>
        <w:rPr>
          <w:rFonts w:hint="eastAsia" w:ascii="宋体" w:hAnsi="宋体" w:eastAsia="宋体" w:cs="宋体"/>
          <w:b/>
          <w:bCs w:val="0"/>
          <w:color w:val="auto"/>
          <w:sz w:val="36"/>
          <w:szCs w:val="36"/>
          <w:highlight w:val="none"/>
        </w:rPr>
      </w:pPr>
    </w:p>
    <w:p>
      <w:pPr>
        <w:pStyle w:val="26"/>
        <w:pageBreakBefore w:val="0"/>
        <w:kinsoku/>
        <w:wordWrap w:val="0"/>
        <w:overflowPunct/>
        <w:topLinePunct w:val="0"/>
        <w:bidi w:val="0"/>
        <w:spacing w:line="336" w:lineRule="auto"/>
        <w:ind w:firstLine="0" w:firstLineChars="0"/>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t>日    期：</w:t>
      </w:r>
      <w:r>
        <w:rPr>
          <w:rFonts w:hint="eastAsia" w:ascii="宋体" w:hAnsi="宋体" w:eastAsia="宋体" w:cs="宋体"/>
          <w:b/>
          <w:bCs w:val="0"/>
          <w:color w:val="auto"/>
          <w:sz w:val="36"/>
          <w:szCs w:val="36"/>
          <w:highlight w:val="none"/>
          <w:lang w:val="en-US" w:eastAsia="zh-CN"/>
        </w:rPr>
        <w:t>2021</w:t>
      </w:r>
      <w:r>
        <w:rPr>
          <w:rFonts w:hint="eastAsia" w:ascii="宋体" w:hAnsi="宋体" w:eastAsia="宋体" w:cs="宋体"/>
          <w:b/>
          <w:bCs w:val="0"/>
          <w:color w:val="auto"/>
          <w:sz w:val="36"/>
          <w:szCs w:val="36"/>
          <w:highlight w:val="none"/>
        </w:rPr>
        <w:t>年</w:t>
      </w:r>
      <w:r>
        <w:rPr>
          <w:rFonts w:hint="eastAsia" w:ascii="宋体" w:hAnsi="宋体" w:eastAsia="宋体" w:cs="宋体"/>
          <w:b/>
          <w:bCs w:val="0"/>
          <w:color w:val="auto"/>
          <w:sz w:val="36"/>
          <w:szCs w:val="36"/>
          <w:highlight w:val="none"/>
          <w:lang w:val="en-US" w:eastAsia="zh-CN"/>
        </w:rPr>
        <w:t>10</w:t>
      </w:r>
      <w:r>
        <w:rPr>
          <w:rFonts w:hint="eastAsia" w:ascii="宋体" w:hAnsi="宋体" w:eastAsia="宋体" w:cs="宋体"/>
          <w:b/>
          <w:bCs w:val="0"/>
          <w:color w:val="auto"/>
          <w:sz w:val="36"/>
          <w:szCs w:val="36"/>
          <w:highlight w:val="none"/>
        </w:rPr>
        <w:t>月</w:t>
      </w:r>
      <w:r>
        <w:rPr>
          <w:rFonts w:hint="eastAsia" w:ascii="宋体" w:hAnsi="宋体" w:eastAsia="宋体" w:cs="宋体"/>
          <w:b/>
          <w:bCs w:val="0"/>
          <w:color w:val="auto"/>
          <w:sz w:val="36"/>
          <w:szCs w:val="36"/>
          <w:highlight w:val="none"/>
          <w:lang w:val="en-US" w:eastAsia="zh-CN"/>
        </w:rPr>
        <w:t xml:space="preserve">  </w:t>
      </w:r>
      <w:r>
        <w:rPr>
          <w:rFonts w:hint="eastAsia" w:ascii="宋体" w:hAnsi="宋体" w:eastAsia="宋体" w:cs="宋体"/>
          <w:b/>
          <w:bCs w:val="0"/>
          <w:color w:val="auto"/>
          <w:sz w:val="36"/>
          <w:szCs w:val="36"/>
          <w:highlight w:val="none"/>
        </w:rPr>
        <w:t>日</w:t>
      </w:r>
    </w:p>
    <w:p>
      <w:pPr>
        <w:pStyle w:val="25"/>
        <w:pageBreakBefore w:val="0"/>
        <w:kinsoku/>
        <w:wordWrap w:val="0"/>
        <w:overflowPunct/>
        <w:topLinePunct w:val="0"/>
        <w:bidi w:val="0"/>
        <w:spacing w:line="336" w:lineRule="auto"/>
        <w:rPr>
          <w:rFonts w:hint="eastAsia" w:ascii="宋体" w:hAnsi="宋体" w:eastAsia="宋体" w:cs="宋体"/>
          <w:color w:val="auto"/>
          <w:highlight w:val="none"/>
        </w:rPr>
      </w:pPr>
    </w:p>
    <w:sectPr>
      <w:headerReference r:id="rId4" w:type="default"/>
      <w:footerReference r:id="rId5" w:type="default"/>
      <w:pgSz w:w="11906" w:h="16838"/>
      <w:pgMar w:top="1247" w:right="1361" w:bottom="1247" w:left="1361" w:header="850" w:footer="709" w:gutter="0"/>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宋体">
    <w:panose1 w:val="02010600030101010101"/>
    <w:charset w:val="86"/>
    <w:family w:val="auto"/>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jc w:val="right"/>
      <w:textAlignment w:val="baseline"/>
      <w:rPr>
        <w:rFonts w:hAnsi="Times New Roman"/>
        <w:sz w:val="18"/>
      </w:rPr>
    </w:pPr>
    <w:r>
      <w:rPr>
        <w:rFonts w:hAnsi="Times New Roman"/>
        <w:sz w:val="18"/>
      </w:rPr>
      <w:fldChar w:fldCharType="begin"/>
    </w:r>
    <w:r>
      <w:rPr>
        <w:rFonts w:hAnsi="Times New Roman"/>
        <w:sz w:val="18"/>
      </w:rPr>
      <w:instrText xml:space="preserve">PAGE</w:instrText>
    </w:r>
    <w:r>
      <w:rPr>
        <w:rFonts w:hAnsi="Times New Roman"/>
        <w:sz w:val="18"/>
      </w:rPr>
      <w:fldChar w:fldCharType="separate"/>
    </w:r>
    <w:r>
      <w:rPr>
        <w:rFonts w:hAnsi="Times New Roman"/>
        <w:sz w:val="18"/>
      </w:rPr>
      <w:t>4</w:t>
    </w:r>
    <w:r>
      <w:rPr>
        <w:rFonts w:hAnsi="Times New Roman"/>
        <w:sz w:val="18"/>
      </w:rPr>
      <w:fldChar w:fldCharType="end"/>
    </w:r>
  </w:p>
  <w:p>
    <w:pPr>
      <w:tabs>
        <w:tab w:val="center" w:pos="4153"/>
        <w:tab w:val="right" w:pos="8306"/>
      </w:tabs>
      <w:ind w:right="360"/>
      <w:jc w:val="right"/>
      <w:rPr>
        <w:rFonts w:hAnsi="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ageBreakBefore w:val="0"/>
      <w:pBdr>
        <w:bottom w:val="single" w:color="auto" w:sz="4" w:space="0"/>
      </w:pBdr>
      <w:kinsoku/>
      <w:wordWrap w:val="0"/>
      <w:overflowPunct/>
      <w:topLinePunct w:val="0"/>
      <w:bidi w:val="0"/>
      <w:jc w:val="center"/>
      <w:rPr>
        <w:b w:val="0"/>
        <w:bCs/>
        <w:sz w:val="18"/>
        <w:szCs w:val="18"/>
      </w:rPr>
    </w:pPr>
    <w:r>
      <w:rPr>
        <w:rFonts w:hint="eastAsia" w:ascii="宋体" w:hAnsi="宋体" w:eastAsia="宋体" w:cs="宋体"/>
        <w:b w:val="0"/>
        <w:bCs/>
        <w:sz w:val="18"/>
        <w:szCs w:val="18"/>
        <w:u w:val="none"/>
      </w:rPr>
      <w:t>项目名称：</w:t>
    </w:r>
    <w:r>
      <w:rPr>
        <w:rFonts w:hint="eastAsia" w:ascii="宋体" w:hAnsi="宋体" w:eastAsia="宋体" w:cs="宋体"/>
        <w:b w:val="0"/>
        <w:bCs/>
        <w:sz w:val="18"/>
        <w:szCs w:val="18"/>
        <w:u w:val="none"/>
        <w:lang w:eastAsia="zh-CN"/>
      </w:rPr>
      <w:t>隆林各族自治县桠杈镇坡羊脱贫奔康桑蚕产业园设备采购</w:t>
    </w:r>
    <w:r>
      <w:rPr>
        <w:rFonts w:hint="eastAsia" w:ascii="宋体" w:hAnsi="宋体" w:eastAsia="宋体" w:cs="宋体"/>
        <w:b w:val="0"/>
        <w:bCs/>
        <w:sz w:val="18"/>
        <w:szCs w:val="18"/>
        <w:u w:val="none"/>
        <w:lang w:val="en-US" w:eastAsia="zh-CN"/>
      </w:rPr>
      <w:t xml:space="preserve">      </w:t>
    </w:r>
    <w:r>
      <w:rPr>
        <w:rFonts w:hint="eastAsia" w:ascii="宋体" w:hAnsi="宋体" w:eastAsia="宋体" w:cs="宋体"/>
        <w:b w:val="0"/>
        <w:bCs/>
        <w:sz w:val="18"/>
        <w:szCs w:val="18"/>
        <w:u w:val="none"/>
      </w:rPr>
      <w:t>项目编号：</w:t>
    </w:r>
    <w:r>
      <w:rPr>
        <w:rFonts w:hint="eastAsia" w:ascii="宋体" w:hAnsi="宋体" w:eastAsia="宋体" w:cs="宋体"/>
        <w:b w:val="0"/>
        <w:bCs/>
        <w:sz w:val="18"/>
        <w:szCs w:val="18"/>
        <w:u w:val="none"/>
        <w:lang w:eastAsia="zh-CN"/>
      </w:rPr>
      <w:t>BSZC2021-J1-310283-GXYL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6E27F7"/>
    <w:multiLevelType w:val="singleLevel"/>
    <w:tmpl w:val="AF6E27F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373D5"/>
    <w:rsid w:val="000004C0"/>
    <w:rsid w:val="00001E2C"/>
    <w:rsid w:val="00007768"/>
    <w:rsid w:val="00016F18"/>
    <w:rsid w:val="000171AB"/>
    <w:rsid w:val="00026E25"/>
    <w:rsid w:val="000350E1"/>
    <w:rsid w:val="000404BC"/>
    <w:rsid w:val="00041B20"/>
    <w:rsid w:val="000443F0"/>
    <w:rsid w:val="000459E4"/>
    <w:rsid w:val="00046E7F"/>
    <w:rsid w:val="00051A80"/>
    <w:rsid w:val="000535D2"/>
    <w:rsid w:val="00053A4D"/>
    <w:rsid w:val="00062E81"/>
    <w:rsid w:val="00065D58"/>
    <w:rsid w:val="000673B7"/>
    <w:rsid w:val="000822E2"/>
    <w:rsid w:val="00091AB8"/>
    <w:rsid w:val="00094CB0"/>
    <w:rsid w:val="000A0684"/>
    <w:rsid w:val="000A4A52"/>
    <w:rsid w:val="000E0039"/>
    <w:rsid w:val="000E29A9"/>
    <w:rsid w:val="000E2E96"/>
    <w:rsid w:val="000E62CE"/>
    <w:rsid w:val="000E6BBE"/>
    <w:rsid w:val="000F6288"/>
    <w:rsid w:val="000F720E"/>
    <w:rsid w:val="0010547B"/>
    <w:rsid w:val="00106227"/>
    <w:rsid w:val="00107B00"/>
    <w:rsid w:val="001108EE"/>
    <w:rsid w:val="001218CD"/>
    <w:rsid w:val="00127156"/>
    <w:rsid w:val="001303F7"/>
    <w:rsid w:val="0013055A"/>
    <w:rsid w:val="00131F0E"/>
    <w:rsid w:val="00133E57"/>
    <w:rsid w:val="0013753C"/>
    <w:rsid w:val="00140674"/>
    <w:rsid w:val="00141F1A"/>
    <w:rsid w:val="001505FE"/>
    <w:rsid w:val="00173FDD"/>
    <w:rsid w:val="0017650D"/>
    <w:rsid w:val="00176588"/>
    <w:rsid w:val="0017710C"/>
    <w:rsid w:val="001800C8"/>
    <w:rsid w:val="00190005"/>
    <w:rsid w:val="00190AEE"/>
    <w:rsid w:val="00194D78"/>
    <w:rsid w:val="00196D5C"/>
    <w:rsid w:val="001A691A"/>
    <w:rsid w:val="001B1A7D"/>
    <w:rsid w:val="001B35D3"/>
    <w:rsid w:val="001C435A"/>
    <w:rsid w:val="001C5E0A"/>
    <w:rsid w:val="001C70C7"/>
    <w:rsid w:val="001D27E0"/>
    <w:rsid w:val="001D5766"/>
    <w:rsid w:val="001D5AC4"/>
    <w:rsid w:val="001D703F"/>
    <w:rsid w:val="001E1DD2"/>
    <w:rsid w:val="001E6AFC"/>
    <w:rsid w:val="0020416F"/>
    <w:rsid w:val="002139EA"/>
    <w:rsid w:val="002143EE"/>
    <w:rsid w:val="00220181"/>
    <w:rsid w:val="00224005"/>
    <w:rsid w:val="002274CC"/>
    <w:rsid w:val="00231BC4"/>
    <w:rsid w:val="0024278E"/>
    <w:rsid w:val="002450D4"/>
    <w:rsid w:val="00247593"/>
    <w:rsid w:val="00265956"/>
    <w:rsid w:val="00272634"/>
    <w:rsid w:val="002767BB"/>
    <w:rsid w:val="002832B5"/>
    <w:rsid w:val="0028568A"/>
    <w:rsid w:val="00290D73"/>
    <w:rsid w:val="00296A67"/>
    <w:rsid w:val="00297228"/>
    <w:rsid w:val="002A1720"/>
    <w:rsid w:val="002A554C"/>
    <w:rsid w:val="002B4548"/>
    <w:rsid w:val="002C08F8"/>
    <w:rsid w:val="002C201D"/>
    <w:rsid w:val="002C5AF9"/>
    <w:rsid w:val="002D1AD9"/>
    <w:rsid w:val="002D4036"/>
    <w:rsid w:val="002E3F5B"/>
    <w:rsid w:val="002E4992"/>
    <w:rsid w:val="002E67F7"/>
    <w:rsid w:val="002F0E51"/>
    <w:rsid w:val="00310A17"/>
    <w:rsid w:val="00315E58"/>
    <w:rsid w:val="00316A3C"/>
    <w:rsid w:val="00332171"/>
    <w:rsid w:val="00333606"/>
    <w:rsid w:val="0034576C"/>
    <w:rsid w:val="00347106"/>
    <w:rsid w:val="00361A83"/>
    <w:rsid w:val="0037238A"/>
    <w:rsid w:val="00380B50"/>
    <w:rsid w:val="00380F12"/>
    <w:rsid w:val="0039598A"/>
    <w:rsid w:val="003A09D9"/>
    <w:rsid w:val="003A2007"/>
    <w:rsid w:val="003C0501"/>
    <w:rsid w:val="003D35EC"/>
    <w:rsid w:val="003D3C39"/>
    <w:rsid w:val="003F2EA2"/>
    <w:rsid w:val="003F44DF"/>
    <w:rsid w:val="00400921"/>
    <w:rsid w:val="00404673"/>
    <w:rsid w:val="00406EBF"/>
    <w:rsid w:val="00407256"/>
    <w:rsid w:val="00420DC2"/>
    <w:rsid w:val="0042405F"/>
    <w:rsid w:val="0042546F"/>
    <w:rsid w:val="0042576C"/>
    <w:rsid w:val="004263C1"/>
    <w:rsid w:val="004268EF"/>
    <w:rsid w:val="00431A84"/>
    <w:rsid w:val="00433EFB"/>
    <w:rsid w:val="00434AB8"/>
    <w:rsid w:val="00443E2F"/>
    <w:rsid w:val="0047147C"/>
    <w:rsid w:val="00475290"/>
    <w:rsid w:val="004853EC"/>
    <w:rsid w:val="00487972"/>
    <w:rsid w:val="00492410"/>
    <w:rsid w:val="00495E91"/>
    <w:rsid w:val="00497FA8"/>
    <w:rsid w:val="004B18E1"/>
    <w:rsid w:val="004C472D"/>
    <w:rsid w:val="004C5719"/>
    <w:rsid w:val="004E1A09"/>
    <w:rsid w:val="004F3A48"/>
    <w:rsid w:val="004F6A73"/>
    <w:rsid w:val="004F78DE"/>
    <w:rsid w:val="00502273"/>
    <w:rsid w:val="005116B4"/>
    <w:rsid w:val="005134F7"/>
    <w:rsid w:val="0051447A"/>
    <w:rsid w:val="005224C3"/>
    <w:rsid w:val="00531A4A"/>
    <w:rsid w:val="00533210"/>
    <w:rsid w:val="0054094D"/>
    <w:rsid w:val="005430DF"/>
    <w:rsid w:val="005442A5"/>
    <w:rsid w:val="00546B6A"/>
    <w:rsid w:val="005576F4"/>
    <w:rsid w:val="005609D8"/>
    <w:rsid w:val="00560C25"/>
    <w:rsid w:val="00562873"/>
    <w:rsid w:val="00574268"/>
    <w:rsid w:val="00577729"/>
    <w:rsid w:val="00585571"/>
    <w:rsid w:val="00586970"/>
    <w:rsid w:val="00586A12"/>
    <w:rsid w:val="0059058B"/>
    <w:rsid w:val="005917D3"/>
    <w:rsid w:val="00597F90"/>
    <w:rsid w:val="005A43FA"/>
    <w:rsid w:val="005B09CE"/>
    <w:rsid w:val="005B4320"/>
    <w:rsid w:val="005B6CE5"/>
    <w:rsid w:val="005C5FC6"/>
    <w:rsid w:val="005D2438"/>
    <w:rsid w:val="005E16D0"/>
    <w:rsid w:val="005E521B"/>
    <w:rsid w:val="005F0368"/>
    <w:rsid w:val="006033A4"/>
    <w:rsid w:val="00603E82"/>
    <w:rsid w:val="006053EE"/>
    <w:rsid w:val="006141AD"/>
    <w:rsid w:val="0062499F"/>
    <w:rsid w:val="00631110"/>
    <w:rsid w:val="0063429A"/>
    <w:rsid w:val="00652C3D"/>
    <w:rsid w:val="006573E6"/>
    <w:rsid w:val="0066015C"/>
    <w:rsid w:val="00663890"/>
    <w:rsid w:val="0067160D"/>
    <w:rsid w:val="006743D0"/>
    <w:rsid w:val="006775C3"/>
    <w:rsid w:val="00685907"/>
    <w:rsid w:val="0069262C"/>
    <w:rsid w:val="00693ECF"/>
    <w:rsid w:val="0069746A"/>
    <w:rsid w:val="006A3C4C"/>
    <w:rsid w:val="006A6D32"/>
    <w:rsid w:val="006B28B7"/>
    <w:rsid w:val="006C4B6F"/>
    <w:rsid w:val="006E09CC"/>
    <w:rsid w:val="006E0F04"/>
    <w:rsid w:val="006F0395"/>
    <w:rsid w:val="006F0A53"/>
    <w:rsid w:val="006F4243"/>
    <w:rsid w:val="0070202B"/>
    <w:rsid w:val="00706ACC"/>
    <w:rsid w:val="00707BD9"/>
    <w:rsid w:val="00707E17"/>
    <w:rsid w:val="00710819"/>
    <w:rsid w:val="0071420E"/>
    <w:rsid w:val="00717295"/>
    <w:rsid w:val="007320AF"/>
    <w:rsid w:val="00744E71"/>
    <w:rsid w:val="0075683D"/>
    <w:rsid w:val="00760E50"/>
    <w:rsid w:val="007616BB"/>
    <w:rsid w:val="00762346"/>
    <w:rsid w:val="00767048"/>
    <w:rsid w:val="00772167"/>
    <w:rsid w:val="00775257"/>
    <w:rsid w:val="00780A82"/>
    <w:rsid w:val="00780E55"/>
    <w:rsid w:val="00780FC1"/>
    <w:rsid w:val="0079071A"/>
    <w:rsid w:val="00793A49"/>
    <w:rsid w:val="00796903"/>
    <w:rsid w:val="007976B2"/>
    <w:rsid w:val="007A5D15"/>
    <w:rsid w:val="007A7AC4"/>
    <w:rsid w:val="007C3172"/>
    <w:rsid w:val="007C45DB"/>
    <w:rsid w:val="007C63CC"/>
    <w:rsid w:val="007D5BE5"/>
    <w:rsid w:val="007D7907"/>
    <w:rsid w:val="007E4864"/>
    <w:rsid w:val="007E590B"/>
    <w:rsid w:val="007E6347"/>
    <w:rsid w:val="007E6B3A"/>
    <w:rsid w:val="007F2F8A"/>
    <w:rsid w:val="007F3D11"/>
    <w:rsid w:val="00817640"/>
    <w:rsid w:val="008231FC"/>
    <w:rsid w:val="0082740E"/>
    <w:rsid w:val="008369DA"/>
    <w:rsid w:val="00843809"/>
    <w:rsid w:val="008447A1"/>
    <w:rsid w:val="00844E10"/>
    <w:rsid w:val="00845A48"/>
    <w:rsid w:val="00850BB1"/>
    <w:rsid w:val="0085674C"/>
    <w:rsid w:val="00870820"/>
    <w:rsid w:val="0087259F"/>
    <w:rsid w:val="00872FA5"/>
    <w:rsid w:val="008822FB"/>
    <w:rsid w:val="008854C6"/>
    <w:rsid w:val="00891C22"/>
    <w:rsid w:val="00892CBB"/>
    <w:rsid w:val="008A6BD9"/>
    <w:rsid w:val="008B1621"/>
    <w:rsid w:val="008B700C"/>
    <w:rsid w:val="008C39E1"/>
    <w:rsid w:val="008D14E9"/>
    <w:rsid w:val="008E4EC8"/>
    <w:rsid w:val="008F0F3C"/>
    <w:rsid w:val="008F6C14"/>
    <w:rsid w:val="00900B57"/>
    <w:rsid w:val="00901024"/>
    <w:rsid w:val="00903111"/>
    <w:rsid w:val="0090423B"/>
    <w:rsid w:val="00904C4C"/>
    <w:rsid w:val="0092264F"/>
    <w:rsid w:val="009235E5"/>
    <w:rsid w:val="00925A84"/>
    <w:rsid w:val="00926473"/>
    <w:rsid w:val="0093082F"/>
    <w:rsid w:val="00937F32"/>
    <w:rsid w:val="00941D9C"/>
    <w:rsid w:val="00942F97"/>
    <w:rsid w:val="00954038"/>
    <w:rsid w:val="00955C7C"/>
    <w:rsid w:val="00960DDC"/>
    <w:rsid w:val="00964AA4"/>
    <w:rsid w:val="00964BDD"/>
    <w:rsid w:val="009666CD"/>
    <w:rsid w:val="0098426B"/>
    <w:rsid w:val="00986A9D"/>
    <w:rsid w:val="00996D59"/>
    <w:rsid w:val="009A7B1E"/>
    <w:rsid w:val="009D15DD"/>
    <w:rsid w:val="009D3744"/>
    <w:rsid w:val="009E1B78"/>
    <w:rsid w:val="009E6009"/>
    <w:rsid w:val="009E6330"/>
    <w:rsid w:val="009F357E"/>
    <w:rsid w:val="009F3D1D"/>
    <w:rsid w:val="00A02318"/>
    <w:rsid w:val="00A32758"/>
    <w:rsid w:val="00A45F4E"/>
    <w:rsid w:val="00A535C2"/>
    <w:rsid w:val="00A74FFE"/>
    <w:rsid w:val="00A821B2"/>
    <w:rsid w:val="00A86FC5"/>
    <w:rsid w:val="00AA0F92"/>
    <w:rsid w:val="00AA2D27"/>
    <w:rsid w:val="00AA625D"/>
    <w:rsid w:val="00AA6FA5"/>
    <w:rsid w:val="00AB54B4"/>
    <w:rsid w:val="00AB6D8C"/>
    <w:rsid w:val="00AC22BC"/>
    <w:rsid w:val="00AC5BB7"/>
    <w:rsid w:val="00AF39ED"/>
    <w:rsid w:val="00AF6EE0"/>
    <w:rsid w:val="00B00F48"/>
    <w:rsid w:val="00B206AB"/>
    <w:rsid w:val="00B257B6"/>
    <w:rsid w:val="00B34B45"/>
    <w:rsid w:val="00B35F22"/>
    <w:rsid w:val="00B51C8E"/>
    <w:rsid w:val="00B52356"/>
    <w:rsid w:val="00B6701E"/>
    <w:rsid w:val="00B67FE8"/>
    <w:rsid w:val="00B74CE3"/>
    <w:rsid w:val="00B7604B"/>
    <w:rsid w:val="00B7682B"/>
    <w:rsid w:val="00B84367"/>
    <w:rsid w:val="00B864E1"/>
    <w:rsid w:val="00B91F15"/>
    <w:rsid w:val="00B93541"/>
    <w:rsid w:val="00B964E1"/>
    <w:rsid w:val="00B96DF5"/>
    <w:rsid w:val="00BA3793"/>
    <w:rsid w:val="00BA65AF"/>
    <w:rsid w:val="00BC392C"/>
    <w:rsid w:val="00BE3DBB"/>
    <w:rsid w:val="00BE6A59"/>
    <w:rsid w:val="00C021AA"/>
    <w:rsid w:val="00C030FA"/>
    <w:rsid w:val="00C11E7B"/>
    <w:rsid w:val="00C121F8"/>
    <w:rsid w:val="00C16082"/>
    <w:rsid w:val="00C20E21"/>
    <w:rsid w:val="00C227A7"/>
    <w:rsid w:val="00C2288D"/>
    <w:rsid w:val="00C262F2"/>
    <w:rsid w:val="00C35BFF"/>
    <w:rsid w:val="00C37621"/>
    <w:rsid w:val="00C40E02"/>
    <w:rsid w:val="00C43050"/>
    <w:rsid w:val="00C519E9"/>
    <w:rsid w:val="00C55D83"/>
    <w:rsid w:val="00C63C26"/>
    <w:rsid w:val="00C67C60"/>
    <w:rsid w:val="00C7184A"/>
    <w:rsid w:val="00C75749"/>
    <w:rsid w:val="00C81BF0"/>
    <w:rsid w:val="00C8541A"/>
    <w:rsid w:val="00C87634"/>
    <w:rsid w:val="00C9258E"/>
    <w:rsid w:val="00C9363E"/>
    <w:rsid w:val="00C970C6"/>
    <w:rsid w:val="00CA011C"/>
    <w:rsid w:val="00CB59F4"/>
    <w:rsid w:val="00CB705B"/>
    <w:rsid w:val="00CC2BD1"/>
    <w:rsid w:val="00CC354E"/>
    <w:rsid w:val="00CD5199"/>
    <w:rsid w:val="00CD57F7"/>
    <w:rsid w:val="00CD6B37"/>
    <w:rsid w:val="00CE6B6B"/>
    <w:rsid w:val="00CE6CCD"/>
    <w:rsid w:val="00CF0D2C"/>
    <w:rsid w:val="00CF1972"/>
    <w:rsid w:val="00CF317B"/>
    <w:rsid w:val="00D045DD"/>
    <w:rsid w:val="00D04920"/>
    <w:rsid w:val="00D059C7"/>
    <w:rsid w:val="00D17DB4"/>
    <w:rsid w:val="00D247A6"/>
    <w:rsid w:val="00D249EA"/>
    <w:rsid w:val="00D43DEA"/>
    <w:rsid w:val="00D45236"/>
    <w:rsid w:val="00D51463"/>
    <w:rsid w:val="00D527C0"/>
    <w:rsid w:val="00D56CE0"/>
    <w:rsid w:val="00D65BBB"/>
    <w:rsid w:val="00D673CE"/>
    <w:rsid w:val="00D820B3"/>
    <w:rsid w:val="00D92250"/>
    <w:rsid w:val="00D94C9D"/>
    <w:rsid w:val="00DB2DC4"/>
    <w:rsid w:val="00DC6008"/>
    <w:rsid w:val="00DD1B19"/>
    <w:rsid w:val="00DE06EA"/>
    <w:rsid w:val="00DF4977"/>
    <w:rsid w:val="00E14055"/>
    <w:rsid w:val="00E221BF"/>
    <w:rsid w:val="00E24299"/>
    <w:rsid w:val="00E2634D"/>
    <w:rsid w:val="00E266C8"/>
    <w:rsid w:val="00E2680C"/>
    <w:rsid w:val="00E33B2B"/>
    <w:rsid w:val="00E41485"/>
    <w:rsid w:val="00E459E3"/>
    <w:rsid w:val="00E52ABC"/>
    <w:rsid w:val="00E52E60"/>
    <w:rsid w:val="00E55866"/>
    <w:rsid w:val="00E60C37"/>
    <w:rsid w:val="00E67A8A"/>
    <w:rsid w:val="00E73B84"/>
    <w:rsid w:val="00E80333"/>
    <w:rsid w:val="00E819CE"/>
    <w:rsid w:val="00E8407F"/>
    <w:rsid w:val="00E90707"/>
    <w:rsid w:val="00EA2A25"/>
    <w:rsid w:val="00EC08C5"/>
    <w:rsid w:val="00EC1B6B"/>
    <w:rsid w:val="00EC1E08"/>
    <w:rsid w:val="00ED1995"/>
    <w:rsid w:val="00ED3A9B"/>
    <w:rsid w:val="00EE6875"/>
    <w:rsid w:val="00EF4B58"/>
    <w:rsid w:val="00EF66A9"/>
    <w:rsid w:val="00EF66CD"/>
    <w:rsid w:val="00EF6FCF"/>
    <w:rsid w:val="00F054A3"/>
    <w:rsid w:val="00F12577"/>
    <w:rsid w:val="00F2636A"/>
    <w:rsid w:val="00F2758A"/>
    <w:rsid w:val="00F276DF"/>
    <w:rsid w:val="00F358D8"/>
    <w:rsid w:val="00F66DA2"/>
    <w:rsid w:val="00F66FBE"/>
    <w:rsid w:val="00F701F2"/>
    <w:rsid w:val="00F72832"/>
    <w:rsid w:val="00F77F4E"/>
    <w:rsid w:val="00F91AF3"/>
    <w:rsid w:val="00F93706"/>
    <w:rsid w:val="00F977F9"/>
    <w:rsid w:val="00FA37CA"/>
    <w:rsid w:val="00FA72F6"/>
    <w:rsid w:val="00FB57DE"/>
    <w:rsid w:val="00FB5D8D"/>
    <w:rsid w:val="00FB6E7B"/>
    <w:rsid w:val="00FB7A95"/>
    <w:rsid w:val="00FC4C7A"/>
    <w:rsid w:val="00FD31E8"/>
    <w:rsid w:val="00FE53EA"/>
    <w:rsid w:val="00FE63D7"/>
    <w:rsid w:val="00FF4C30"/>
    <w:rsid w:val="01066BCC"/>
    <w:rsid w:val="01070E57"/>
    <w:rsid w:val="010B034E"/>
    <w:rsid w:val="011C4865"/>
    <w:rsid w:val="012F40CB"/>
    <w:rsid w:val="013D4CD7"/>
    <w:rsid w:val="01521633"/>
    <w:rsid w:val="016B780C"/>
    <w:rsid w:val="018D1BD8"/>
    <w:rsid w:val="01B25933"/>
    <w:rsid w:val="01B63B31"/>
    <w:rsid w:val="01E45FC4"/>
    <w:rsid w:val="01FA7185"/>
    <w:rsid w:val="01FD0D91"/>
    <w:rsid w:val="02074223"/>
    <w:rsid w:val="02195634"/>
    <w:rsid w:val="02201A9F"/>
    <w:rsid w:val="02202CD1"/>
    <w:rsid w:val="02363117"/>
    <w:rsid w:val="02485B39"/>
    <w:rsid w:val="024A40F9"/>
    <w:rsid w:val="026E7B77"/>
    <w:rsid w:val="026F51FB"/>
    <w:rsid w:val="02B16C01"/>
    <w:rsid w:val="02DC1A7B"/>
    <w:rsid w:val="02DF1C96"/>
    <w:rsid w:val="03133CB0"/>
    <w:rsid w:val="03135BA2"/>
    <w:rsid w:val="03363EC9"/>
    <w:rsid w:val="03383B5C"/>
    <w:rsid w:val="033A096D"/>
    <w:rsid w:val="0358094D"/>
    <w:rsid w:val="036137D6"/>
    <w:rsid w:val="038063CE"/>
    <w:rsid w:val="039514BD"/>
    <w:rsid w:val="03995ECA"/>
    <w:rsid w:val="03C62B44"/>
    <w:rsid w:val="03D112A9"/>
    <w:rsid w:val="03DD3946"/>
    <w:rsid w:val="03EB2672"/>
    <w:rsid w:val="040C0AAB"/>
    <w:rsid w:val="040D38B4"/>
    <w:rsid w:val="0423467E"/>
    <w:rsid w:val="04466EE2"/>
    <w:rsid w:val="044E7BCA"/>
    <w:rsid w:val="04920922"/>
    <w:rsid w:val="04924514"/>
    <w:rsid w:val="04983055"/>
    <w:rsid w:val="04D21E72"/>
    <w:rsid w:val="052759B7"/>
    <w:rsid w:val="05361F24"/>
    <w:rsid w:val="05732005"/>
    <w:rsid w:val="0577052E"/>
    <w:rsid w:val="05AB7A67"/>
    <w:rsid w:val="05AD696B"/>
    <w:rsid w:val="05C44B5C"/>
    <w:rsid w:val="05CF4A95"/>
    <w:rsid w:val="05D53353"/>
    <w:rsid w:val="05D8511F"/>
    <w:rsid w:val="06186E87"/>
    <w:rsid w:val="06444628"/>
    <w:rsid w:val="06563065"/>
    <w:rsid w:val="067C44BF"/>
    <w:rsid w:val="069309A9"/>
    <w:rsid w:val="06A83B1B"/>
    <w:rsid w:val="06D86D46"/>
    <w:rsid w:val="06F01E94"/>
    <w:rsid w:val="07067B91"/>
    <w:rsid w:val="072E1CCA"/>
    <w:rsid w:val="07554779"/>
    <w:rsid w:val="079306C9"/>
    <w:rsid w:val="07B31F5C"/>
    <w:rsid w:val="07C26E73"/>
    <w:rsid w:val="07E82C09"/>
    <w:rsid w:val="083050A9"/>
    <w:rsid w:val="08544435"/>
    <w:rsid w:val="087C761B"/>
    <w:rsid w:val="08C42299"/>
    <w:rsid w:val="08C63C02"/>
    <w:rsid w:val="08E22B0C"/>
    <w:rsid w:val="08EC74D6"/>
    <w:rsid w:val="08F9402E"/>
    <w:rsid w:val="091A1FBE"/>
    <w:rsid w:val="09385561"/>
    <w:rsid w:val="093E512F"/>
    <w:rsid w:val="09677372"/>
    <w:rsid w:val="097C27A3"/>
    <w:rsid w:val="098E228B"/>
    <w:rsid w:val="09C71748"/>
    <w:rsid w:val="0A09042E"/>
    <w:rsid w:val="0A0C2428"/>
    <w:rsid w:val="0A2E7955"/>
    <w:rsid w:val="0A5B026D"/>
    <w:rsid w:val="0A66596F"/>
    <w:rsid w:val="0AA52273"/>
    <w:rsid w:val="0B3B0375"/>
    <w:rsid w:val="0B4560D7"/>
    <w:rsid w:val="0B5770AE"/>
    <w:rsid w:val="0B652839"/>
    <w:rsid w:val="0B7730BB"/>
    <w:rsid w:val="0B9259B3"/>
    <w:rsid w:val="0BA94EB3"/>
    <w:rsid w:val="0BBF3814"/>
    <w:rsid w:val="0BDD1B4E"/>
    <w:rsid w:val="0C033703"/>
    <w:rsid w:val="0C3A5389"/>
    <w:rsid w:val="0C555E30"/>
    <w:rsid w:val="0C743651"/>
    <w:rsid w:val="0C8A1191"/>
    <w:rsid w:val="0C956EA1"/>
    <w:rsid w:val="0C9B6F6D"/>
    <w:rsid w:val="0CBB6C91"/>
    <w:rsid w:val="0CC56F81"/>
    <w:rsid w:val="0CCE437E"/>
    <w:rsid w:val="0CDD57CC"/>
    <w:rsid w:val="0CF67D0F"/>
    <w:rsid w:val="0CF93286"/>
    <w:rsid w:val="0D1004D9"/>
    <w:rsid w:val="0D1E3249"/>
    <w:rsid w:val="0D490512"/>
    <w:rsid w:val="0D562680"/>
    <w:rsid w:val="0D631AAB"/>
    <w:rsid w:val="0DE6558C"/>
    <w:rsid w:val="0E137A96"/>
    <w:rsid w:val="0E493FBD"/>
    <w:rsid w:val="0E497518"/>
    <w:rsid w:val="0E7C0055"/>
    <w:rsid w:val="0E7F5B15"/>
    <w:rsid w:val="0EE42930"/>
    <w:rsid w:val="0EEA5542"/>
    <w:rsid w:val="0F016A62"/>
    <w:rsid w:val="0F18046C"/>
    <w:rsid w:val="0F247C4C"/>
    <w:rsid w:val="0F3C19CA"/>
    <w:rsid w:val="0F752E1B"/>
    <w:rsid w:val="0F80356F"/>
    <w:rsid w:val="0F9C63E0"/>
    <w:rsid w:val="0FCC33C2"/>
    <w:rsid w:val="0FE113B1"/>
    <w:rsid w:val="0FED1C75"/>
    <w:rsid w:val="0FF64A91"/>
    <w:rsid w:val="10143623"/>
    <w:rsid w:val="103D37C1"/>
    <w:rsid w:val="10544AA7"/>
    <w:rsid w:val="105E66C4"/>
    <w:rsid w:val="107844B1"/>
    <w:rsid w:val="10A523B8"/>
    <w:rsid w:val="10BB66BD"/>
    <w:rsid w:val="10FC628A"/>
    <w:rsid w:val="11101F61"/>
    <w:rsid w:val="11305D2E"/>
    <w:rsid w:val="113C7F26"/>
    <w:rsid w:val="116446A1"/>
    <w:rsid w:val="116E4B2F"/>
    <w:rsid w:val="1174199A"/>
    <w:rsid w:val="119B4DC8"/>
    <w:rsid w:val="11A24132"/>
    <w:rsid w:val="11BE5CD9"/>
    <w:rsid w:val="11E208BC"/>
    <w:rsid w:val="122C6E50"/>
    <w:rsid w:val="12332478"/>
    <w:rsid w:val="123A4681"/>
    <w:rsid w:val="12591110"/>
    <w:rsid w:val="126E6D35"/>
    <w:rsid w:val="12B143EC"/>
    <w:rsid w:val="12B64B71"/>
    <w:rsid w:val="12C454C4"/>
    <w:rsid w:val="12CA72E3"/>
    <w:rsid w:val="13CB2E9A"/>
    <w:rsid w:val="13CE71AD"/>
    <w:rsid w:val="13FF370A"/>
    <w:rsid w:val="141B5319"/>
    <w:rsid w:val="141C671E"/>
    <w:rsid w:val="143833B9"/>
    <w:rsid w:val="145257A4"/>
    <w:rsid w:val="145933FD"/>
    <w:rsid w:val="14C07170"/>
    <w:rsid w:val="14D303FA"/>
    <w:rsid w:val="14D604A6"/>
    <w:rsid w:val="14F46FEB"/>
    <w:rsid w:val="1510062B"/>
    <w:rsid w:val="1516257A"/>
    <w:rsid w:val="152262E7"/>
    <w:rsid w:val="152929EB"/>
    <w:rsid w:val="152D720F"/>
    <w:rsid w:val="154003CC"/>
    <w:rsid w:val="157F629D"/>
    <w:rsid w:val="15977ED7"/>
    <w:rsid w:val="159F050D"/>
    <w:rsid w:val="15B42BE8"/>
    <w:rsid w:val="15CB0F40"/>
    <w:rsid w:val="15E87C60"/>
    <w:rsid w:val="163A0B18"/>
    <w:rsid w:val="1642404B"/>
    <w:rsid w:val="16515647"/>
    <w:rsid w:val="16717A72"/>
    <w:rsid w:val="167B7BB0"/>
    <w:rsid w:val="168C3376"/>
    <w:rsid w:val="16B13F4F"/>
    <w:rsid w:val="16FE6B58"/>
    <w:rsid w:val="1729466D"/>
    <w:rsid w:val="172B4B12"/>
    <w:rsid w:val="17665706"/>
    <w:rsid w:val="1781007C"/>
    <w:rsid w:val="17942EB3"/>
    <w:rsid w:val="17A06F3F"/>
    <w:rsid w:val="17AB1BF3"/>
    <w:rsid w:val="17C05C6C"/>
    <w:rsid w:val="17CA03C5"/>
    <w:rsid w:val="17D242DE"/>
    <w:rsid w:val="17EB1E65"/>
    <w:rsid w:val="1822449E"/>
    <w:rsid w:val="182A13C4"/>
    <w:rsid w:val="182D64CC"/>
    <w:rsid w:val="184329E1"/>
    <w:rsid w:val="18491E30"/>
    <w:rsid w:val="188F6ACA"/>
    <w:rsid w:val="189A4AB8"/>
    <w:rsid w:val="18AB1925"/>
    <w:rsid w:val="18AE6FCC"/>
    <w:rsid w:val="18CA44E0"/>
    <w:rsid w:val="19144882"/>
    <w:rsid w:val="191F7521"/>
    <w:rsid w:val="19271D22"/>
    <w:rsid w:val="19561439"/>
    <w:rsid w:val="19562259"/>
    <w:rsid w:val="197056DD"/>
    <w:rsid w:val="197C0194"/>
    <w:rsid w:val="1982436F"/>
    <w:rsid w:val="19A80718"/>
    <w:rsid w:val="19A92E12"/>
    <w:rsid w:val="19CA3CC3"/>
    <w:rsid w:val="1A932FD8"/>
    <w:rsid w:val="1A9967FE"/>
    <w:rsid w:val="1AA10AFF"/>
    <w:rsid w:val="1AB46EB2"/>
    <w:rsid w:val="1AFC4062"/>
    <w:rsid w:val="1B0254D1"/>
    <w:rsid w:val="1B0434CD"/>
    <w:rsid w:val="1B077004"/>
    <w:rsid w:val="1B270949"/>
    <w:rsid w:val="1B9F6503"/>
    <w:rsid w:val="1BA201ED"/>
    <w:rsid w:val="1BA92763"/>
    <w:rsid w:val="1BAF7095"/>
    <w:rsid w:val="1BB35E27"/>
    <w:rsid w:val="1BC47086"/>
    <w:rsid w:val="1BE1636E"/>
    <w:rsid w:val="1C201AD3"/>
    <w:rsid w:val="1C5F7E39"/>
    <w:rsid w:val="1C62763D"/>
    <w:rsid w:val="1C920FE7"/>
    <w:rsid w:val="1D1E6351"/>
    <w:rsid w:val="1D620A6D"/>
    <w:rsid w:val="1D7F7A43"/>
    <w:rsid w:val="1D984E5D"/>
    <w:rsid w:val="1DB276F4"/>
    <w:rsid w:val="1DBF7D64"/>
    <w:rsid w:val="1DE918CC"/>
    <w:rsid w:val="1E3241A9"/>
    <w:rsid w:val="1E3A69DC"/>
    <w:rsid w:val="1E4B5F23"/>
    <w:rsid w:val="1E521166"/>
    <w:rsid w:val="1E762F5B"/>
    <w:rsid w:val="1E8D1D4B"/>
    <w:rsid w:val="1E922310"/>
    <w:rsid w:val="1EA81F2D"/>
    <w:rsid w:val="1EB24E59"/>
    <w:rsid w:val="1ECB414A"/>
    <w:rsid w:val="1F232D70"/>
    <w:rsid w:val="1F397A4C"/>
    <w:rsid w:val="1F3C347B"/>
    <w:rsid w:val="1F5D2D25"/>
    <w:rsid w:val="1F5F1175"/>
    <w:rsid w:val="1F9F3ABB"/>
    <w:rsid w:val="1FB15445"/>
    <w:rsid w:val="1FBF5685"/>
    <w:rsid w:val="1FFF4BC0"/>
    <w:rsid w:val="20246EC1"/>
    <w:rsid w:val="20414FD1"/>
    <w:rsid w:val="205522CC"/>
    <w:rsid w:val="205B7B39"/>
    <w:rsid w:val="206930B0"/>
    <w:rsid w:val="20A6217C"/>
    <w:rsid w:val="20AE2F4E"/>
    <w:rsid w:val="20B8448D"/>
    <w:rsid w:val="20BA428C"/>
    <w:rsid w:val="20CA3C9B"/>
    <w:rsid w:val="21022727"/>
    <w:rsid w:val="210D2E7B"/>
    <w:rsid w:val="21132E59"/>
    <w:rsid w:val="211B4D5E"/>
    <w:rsid w:val="21206937"/>
    <w:rsid w:val="212B4072"/>
    <w:rsid w:val="213909E0"/>
    <w:rsid w:val="21812E75"/>
    <w:rsid w:val="21E42143"/>
    <w:rsid w:val="21EB18DB"/>
    <w:rsid w:val="222A0BDB"/>
    <w:rsid w:val="22330CCC"/>
    <w:rsid w:val="22611789"/>
    <w:rsid w:val="226B177D"/>
    <w:rsid w:val="22A6528C"/>
    <w:rsid w:val="22D16CFA"/>
    <w:rsid w:val="23023C30"/>
    <w:rsid w:val="2317341E"/>
    <w:rsid w:val="235F26D1"/>
    <w:rsid w:val="2363309E"/>
    <w:rsid w:val="23887005"/>
    <w:rsid w:val="239C5339"/>
    <w:rsid w:val="23BC1B15"/>
    <w:rsid w:val="23C144F5"/>
    <w:rsid w:val="23C25AA3"/>
    <w:rsid w:val="23E85D13"/>
    <w:rsid w:val="23E86D68"/>
    <w:rsid w:val="23F41181"/>
    <w:rsid w:val="243D01C0"/>
    <w:rsid w:val="24415463"/>
    <w:rsid w:val="244C1308"/>
    <w:rsid w:val="24505B4C"/>
    <w:rsid w:val="24595CE9"/>
    <w:rsid w:val="24A618D3"/>
    <w:rsid w:val="24CB1BF9"/>
    <w:rsid w:val="24D907F6"/>
    <w:rsid w:val="25294F56"/>
    <w:rsid w:val="254C4AD1"/>
    <w:rsid w:val="254E2EC6"/>
    <w:rsid w:val="256232D2"/>
    <w:rsid w:val="25F92906"/>
    <w:rsid w:val="26057E1B"/>
    <w:rsid w:val="26105DEF"/>
    <w:rsid w:val="2618131E"/>
    <w:rsid w:val="263602D9"/>
    <w:rsid w:val="267E47FA"/>
    <w:rsid w:val="2688737F"/>
    <w:rsid w:val="26C241BB"/>
    <w:rsid w:val="26C62A83"/>
    <w:rsid w:val="26E40319"/>
    <w:rsid w:val="272D08D5"/>
    <w:rsid w:val="273C6A3A"/>
    <w:rsid w:val="27782EE9"/>
    <w:rsid w:val="278110D8"/>
    <w:rsid w:val="278D043E"/>
    <w:rsid w:val="27B1753C"/>
    <w:rsid w:val="27F32DFB"/>
    <w:rsid w:val="280074F4"/>
    <w:rsid w:val="281837AA"/>
    <w:rsid w:val="2858147D"/>
    <w:rsid w:val="28D01B06"/>
    <w:rsid w:val="28DA1AF0"/>
    <w:rsid w:val="28F2350E"/>
    <w:rsid w:val="28F40720"/>
    <w:rsid w:val="29013214"/>
    <w:rsid w:val="29393C15"/>
    <w:rsid w:val="29652C19"/>
    <w:rsid w:val="29721D96"/>
    <w:rsid w:val="29734A3A"/>
    <w:rsid w:val="29977133"/>
    <w:rsid w:val="29A87AA0"/>
    <w:rsid w:val="29EB064B"/>
    <w:rsid w:val="2A073D93"/>
    <w:rsid w:val="2A0A4323"/>
    <w:rsid w:val="2A125843"/>
    <w:rsid w:val="2A3537BF"/>
    <w:rsid w:val="2A40173C"/>
    <w:rsid w:val="2A5A5343"/>
    <w:rsid w:val="2A887D6B"/>
    <w:rsid w:val="2A92046A"/>
    <w:rsid w:val="2A9642B7"/>
    <w:rsid w:val="2A9F37F4"/>
    <w:rsid w:val="2AA324D4"/>
    <w:rsid w:val="2AAE6A96"/>
    <w:rsid w:val="2AB70300"/>
    <w:rsid w:val="2ACA5799"/>
    <w:rsid w:val="2AD53C0A"/>
    <w:rsid w:val="2AD72E9E"/>
    <w:rsid w:val="2AEA0FEE"/>
    <w:rsid w:val="2B0E039E"/>
    <w:rsid w:val="2B29692D"/>
    <w:rsid w:val="2B312F29"/>
    <w:rsid w:val="2B347714"/>
    <w:rsid w:val="2B3E642F"/>
    <w:rsid w:val="2B3E6E93"/>
    <w:rsid w:val="2B7049AD"/>
    <w:rsid w:val="2B7D43D1"/>
    <w:rsid w:val="2B984272"/>
    <w:rsid w:val="2BAC31EC"/>
    <w:rsid w:val="2BC036F0"/>
    <w:rsid w:val="2BD46588"/>
    <w:rsid w:val="2BD762E1"/>
    <w:rsid w:val="2BF45D8F"/>
    <w:rsid w:val="2C2B2669"/>
    <w:rsid w:val="2C2C09B2"/>
    <w:rsid w:val="2C2C65F3"/>
    <w:rsid w:val="2C3C6401"/>
    <w:rsid w:val="2C531C96"/>
    <w:rsid w:val="2C673625"/>
    <w:rsid w:val="2C6E0817"/>
    <w:rsid w:val="2C953B01"/>
    <w:rsid w:val="2C955931"/>
    <w:rsid w:val="2C9B0EC6"/>
    <w:rsid w:val="2CB34C3E"/>
    <w:rsid w:val="2CC5375C"/>
    <w:rsid w:val="2CDB41A0"/>
    <w:rsid w:val="2CF3509D"/>
    <w:rsid w:val="2D0B5D3C"/>
    <w:rsid w:val="2D14418F"/>
    <w:rsid w:val="2D1E7CAE"/>
    <w:rsid w:val="2D416C63"/>
    <w:rsid w:val="2D4B7EBD"/>
    <w:rsid w:val="2D7918CE"/>
    <w:rsid w:val="2D863B10"/>
    <w:rsid w:val="2D993283"/>
    <w:rsid w:val="2DA8185B"/>
    <w:rsid w:val="2DE43ED4"/>
    <w:rsid w:val="2DF1508E"/>
    <w:rsid w:val="2E0C1801"/>
    <w:rsid w:val="2E2F5248"/>
    <w:rsid w:val="2E595AAB"/>
    <w:rsid w:val="2E5B2E85"/>
    <w:rsid w:val="2E783B2F"/>
    <w:rsid w:val="2E88788A"/>
    <w:rsid w:val="2EA05451"/>
    <w:rsid w:val="2EA53773"/>
    <w:rsid w:val="2EDE28F2"/>
    <w:rsid w:val="2F1D4533"/>
    <w:rsid w:val="2F350035"/>
    <w:rsid w:val="2F675B00"/>
    <w:rsid w:val="2F7825DE"/>
    <w:rsid w:val="2F852AE8"/>
    <w:rsid w:val="2FDD705E"/>
    <w:rsid w:val="3030245A"/>
    <w:rsid w:val="30371F94"/>
    <w:rsid w:val="304115EE"/>
    <w:rsid w:val="305A5CC1"/>
    <w:rsid w:val="305E6126"/>
    <w:rsid w:val="305E6A65"/>
    <w:rsid w:val="3085556E"/>
    <w:rsid w:val="30A139F1"/>
    <w:rsid w:val="30A20998"/>
    <w:rsid w:val="30C41C87"/>
    <w:rsid w:val="31010417"/>
    <w:rsid w:val="31047FA5"/>
    <w:rsid w:val="310F45ED"/>
    <w:rsid w:val="31190629"/>
    <w:rsid w:val="31217DCE"/>
    <w:rsid w:val="31457FAD"/>
    <w:rsid w:val="31726008"/>
    <w:rsid w:val="318B5DF1"/>
    <w:rsid w:val="319F5AF3"/>
    <w:rsid w:val="31B03623"/>
    <w:rsid w:val="320E2CC5"/>
    <w:rsid w:val="321F2943"/>
    <w:rsid w:val="32394335"/>
    <w:rsid w:val="32414167"/>
    <w:rsid w:val="326966EF"/>
    <w:rsid w:val="326F1871"/>
    <w:rsid w:val="32E54A14"/>
    <w:rsid w:val="33133666"/>
    <w:rsid w:val="3315488B"/>
    <w:rsid w:val="331D3B5F"/>
    <w:rsid w:val="333E3C43"/>
    <w:rsid w:val="334017FA"/>
    <w:rsid w:val="334A4A00"/>
    <w:rsid w:val="335A2134"/>
    <w:rsid w:val="337942F8"/>
    <w:rsid w:val="338558E4"/>
    <w:rsid w:val="33862383"/>
    <w:rsid w:val="339733A7"/>
    <w:rsid w:val="339849F0"/>
    <w:rsid w:val="33BA53DA"/>
    <w:rsid w:val="33C55825"/>
    <w:rsid w:val="33D12E19"/>
    <w:rsid w:val="33D4418D"/>
    <w:rsid w:val="33F02D87"/>
    <w:rsid w:val="342C0779"/>
    <w:rsid w:val="346558B0"/>
    <w:rsid w:val="34964E12"/>
    <w:rsid w:val="349D513D"/>
    <w:rsid w:val="34A65614"/>
    <w:rsid w:val="34AC43E9"/>
    <w:rsid w:val="34B81617"/>
    <w:rsid w:val="34CC05FA"/>
    <w:rsid w:val="34FC7C98"/>
    <w:rsid w:val="3503696E"/>
    <w:rsid w:val="35814750"/>
    <w:rsid w:val="35C56224"/>
    <w:rsid w:val="35EE620D"/>
    <w:rsid w:val="3637058D"/>
    <w:rsid w:val="36447A0A"/>
    <w:rsid w:val="364F5910"/>
    <w:rsid w:val="36535910"/>
    <w:rsid w:val="3653733F"/>
    <w:rsid w:val="36545640"/>
    <w:rsid w:val="365F5D3B"/>
    <w:rsid w:val="3661055D"/>
    <w:rsid w:val="36AB1755"/>
    <w:rsid w:val="36D50FA3"/>
    <w:rsid w:val="36DF0939"/>
    <w:rsid w:val="36EB7F3F"/>
    <w:rsid w:val="37016A85"/>
    <w:rsid w:val="370258AC"/>
    <w:rsid w:val="37180413"/>
    <w:rsid w:val="3729656E"/>
    <w:rsid w:val="3737375E"/>
    <w:rsid w:val="3764311B"/>
    <w:rsid w:val="37874036"/>
    <w:rsid w:val="37B373D5"/>
    <w:rsid w:val="37C429B4"/>
    <w:rsid w:val="38110820"/>
    <w:rsid w:val="381818E8"/>
    <w:rsid w:val="381F70B8"/>
    <w:rsid w:val="382C31FF"/>
    <w:rsid w:val="38414DB4"/>
    <w:rsid w:val="384416C0"/>
    <w:rsid w:val="38546D43"/>
    <w:rsid w:val="386A1849"/>
    <w:rsid w:val="38B07232"/>
    <w:rsid w:val="38B83E5C"/>
    <w:rsid w:val="38E064CC"/>
    <w:rsid w:val="38F54A69"/>
    <w:rsid w:val="38F56856"/>
    <w:rsid w:val="39127D3D"/>
    <w:rsid w:val="3915033C"/>
    <w:rsid w:val="392E45D3"/>
    <w:rsid w:val="393F4861"/>
    <w:rsid w:val="394D3FEA"/>
    <w:rsid w:val="39516F9C"/>
    <w:rsid w:val="396A3053"/>
    <w:rsid w:val="396F43AC"/>
    <w:rsid w:val="397B117A"/>
    <w:rsid w:val="39812546"/>
    <w:rsid w:val="398227EB"/>
    <w:rsid w:val="39B02707"/>
    <w:rsid w:val="39B8058C"/>
    <w:rsid w:val="39EA0FB9"/>
    <w:rsid w:val="39EF20C1"/>
    <w:rsid w:val="39F60543"/>
    <w:rsid w:val="3A3545A0"/>
    <w:rsid w:val="3A4617F1"/>
    <w:rsid w:val="3A596CC4"/>
    <w:rsid w:val="3A650761"/>
    <w:rsid w:val="3A943217"/>
    <w:rsid w:val="3ADB5C9F"/>
    <w:rsid w:val="3B15391D"/>
    <w:rsid w:val="3B2623EB"/>
    <w:rsid w:val="3B3A64CC"/>
    <w:rsid w:val="3B6D1FE2"/>
    <w:rsid w:val="3BBE2205"/>
    <w:rsid w:val="3BCB6F0C"/>
    <w:rsid w:val="3BD0119A"/>
    <w:rsid w:val="3BD10616"/>
    <w:rsid w:val="3C2D4177"/>
    <w:rsid w:val="3C32287B"/>
    <w:rsid w:val="3C4450A2"/>
    <w:rsid w:val="3C49624C"/>
    <w:rsid w:val="3C8146CC"/>
    <w:rsid w:val="3C9173E5"/>
    <w:rsid w:val="3C9238C3"/>
    <w:rsid w:val="3C9F4D45"/>
    <w:rsid w:val="3CE25EE1"/>
    <w:rsid w:val="3D0F466D"/>
    <w:rsid w:val="3D54074D"/>
    <w:rsid w:val="3DC00E57"/>
    <w:rsid w:val="3DCF386B"/>
    <w:rsid w:val="3E16137A"/>
    <w:rsid w:val="3E41410E"/>
    <w:rsid w:val="3E5917B5"/>
    <w:rsid w:val="3E67120F"/>
    <w:rsid w:val="3E69087B"/>
    <w:rsid w:val="3E705382"/>
    <w:rsid w:val="3E966825"/>
    <w:rsid w:val="3EAF53EB"/>
    <w:rsid w:val="3EEB56F8"/>
    <w:rsid w:val="3F0D4149"/>
    <w:rsid w:val="3F1A7B4D"/>
    <w:rsid w:val="3F3D3931"/>
    <w:rsid w:val="3F4D3FC3"/>
    <w:rsid w:val="3F6C15F7"/>
    <w:rsid w:val="3F7C5DA0"/>
    <w:rsid w:val="3F880408"/>
    <w:rsid w:val="3F932E64"/>
    <w:rsid w:val="3FAC010A"/>
    <w:rsid w:val="3FB6696E"/>
    <w:rsid w:val="3FD40D86"/>
    <w:rsid w:val="3FE52CD4"/>
    <w:rsid w:val="3FF34CC1"/>
    <w:rsid w:val="400B4966"/>
    <w:rsid w:val="401529CA"/>
    <w:rsid w:val="401571C2"/>
    <w:rsid w:val="40172FB9"/>
    <w:rsid w:val="40275C32"/>
    <w:rsid w:val="406D5F2B"/>
    <w:rsid w:val="407B618C"/>
    <w:rsid w:val="40A60343"/>
    <w:rsid w:val="40BC36E5"/>
    <w:rsid w:val="40ED68A5"/>
    <w:rsid w:val="40F42577"/>
    <w:rsid w:val="40FE3EA8"/>
    <w:rsid w:val="411323D3"/>
    <w:rsid w:val="413F18C1"/>
    <w:rsid w:val="414E63C9"/>
    <w:rsid w:val="41523847"/>
    <w:rsid w:val="419978E8"/>
    <w:rsid w:val="419B0BB9"/>
    <w:rsid w:val="41A077A9"/>
    <w:rsid w:val="41C5320C"/>
    <w:rsid w:val="41EF3BE7"/>
    <w:rsid w:val="42170F69"/>
    <w:rsid w:val="422356F3"/>
    <w:rsid w:val="42360EC5"/>
    <w:rsid w:val="423D3A77"/>
    <w:rsid w:val="42410B16"/>
    <w:rsid w:val="42656023"/>
    <w:rsid w:val="426E47D4"/>
    <w:rsid w:val="427935BE"/>
    <w:rsid w:val="42875ABB"/>
    <w:rsid w:val="428C65FA"/>
    <w:rsid w:val="42C10D2A"/>
    <w:rsid w:val="42C817D0"/>
    <w:rsid w:val="42D84B57"/>
    <w:rsid w:val="42EE49E2"/>
    <w:rsid w:val="42F04FC5"/>
    <w:rsid w:val="430E6599"/>
    <w:rsid w:val="43127829"/>
    <w:rsid w:val="43147938"/>
    <w:rsid w:val="432823C0"/>
    <w:rsid w:val="4332714F"/>
    <w:rsid w:val="43435D4A"/>
    <w:rsid w:val="435322E2"/>
    <w:rsid w:val="435B1640"/>
    <w:rsid w:val="43643FAE"/>
    <w:rsid w:val="43655C83"/>
    <w:rsid w:val="43667628"/>
    <w:rsid w:val="437053E5"/>
    <w:rsid w:val="4387572E"/>
    <w:rsid w:val="439B2178"/>
    <w:rsid w:val="43A57933"/>
    <w:rsid w:val="43AC1A6E"/>
    <w:rsid w:val="43BC7A83"/>
    <w:rsid w:val="43BF075E"/>
    <w:rsid w:val="43D57304"/>
    <w:rsid w:val="43FB5548"/>
    <w:rsid w:val="44082FAF"/>
    <w:rsid w:val="44092ABD"/>
    <w:rsid w:val="44300E94"/>
    <w:rsid w:val="446533D3"/>
    <w:rsid w:val="44665318"/>
    <w:rsid w:val="447E0D9F"/>
    <w:rsid w:val="44A71ED2"/>
    <w:rsid w:val="44A76EAE"/>
    <w:rsid w:val="44AC1508"/>
    <w:rsid w:val="44BF583B"/>
    <w:rsid w:val="44E34649"/>
    <w:rsid w:val="44E4345A"/>
    <w:rsid w:val="44E528D5"/>
    <w:rsid w:val="45496447"/>
    <w:rsid w:val="457A37EA"/>
    <w:rsid w:val="45AD6F65"/>
    <w:rsid w:val="45B41D0E"/>
    <w:rsid w:val="45CA5D28"/>
    <w:rsid w:val="45CD4379"/>
    <w:rsid w:val="462A10F3"/>
    <w:rsid w:val="46331384"/>
    <w:rsid w:val="463C5CC7"/>
    <w:rsid w:val="46637B66"/>
    <w:rsid w:val="46A5631E"/>
    <w:rsid w:val="46DB0057"/>
    <w:rsid w:val="46EE2C98"/>
    <w:rsid w:val="46F04618"/>
    <w:rsid w:val="470D6C3B"/>
    <w:rsid w:val="47194487"/>
    <w:rsid w:val="473B018A"/>
    <w:rsid w:val="47436F02"/>
    <w:rsid w:val="475F72B7"/>
    <w:rsid w:val="475F7AC2"/>
    <w:rsid w:val="4768663D"/>
    <w:rsid w:val="477B5844"/>
    <w:rsid w:val="477D44E9"/>
    <w:rsid w:val="47874846"/>
    <w:rsid w:val="47BD144F"/>
    <w:rsid w:val="47BF6570"/>
    <w:rsid w:val="47C47759"/>
    <w:rsid w:val="47D5699A"/>
    <w:rsid w:val="47F036D1"/>
    <w:rsid w:val="480303F9"/>
    <w:rsid w:val="4845151B"/>
    <w:rsid w:val="485A7256"/>
    <w:rsid w:val="485D0713"/>
    <w:rsid w:val="48732D60"/>
    <w:rsid w:val="487F1775"/>
    <w:rsid w:val="48881C86"/>
    <w:rsid w:val="489A3F24"/>
    <w:rsid w:val="48A7019D"/>
    <w:rsid w:val="48C96D88"/>
    <w:rsid w:val="48E21E09"/>
    <w:rsid w:val="48E62BDE"/>
    <w:rsid w:val="49047BC8"/>
    <w:rsid w:val="490F2CE0"/>
    <w:rsid w:val="496C1475"/>
    <w:rsid w:val="4981774C"/>
    <w:rsid w:val="4A0E462F"/>
    <w:rsid w:val="4A7154B8"/>
    <w:rsid w:val="4A740EB5"/>
    <w:rsid w:val="4A8C0882"/>
    <w:rsid w:val="4A922EEF"/>
    <w:rsid w:val="4AA941CD"/>
    <w:rsid w:val="4AC54AF7"/>
    <w:rsid w:val="4B5E191C"/>
    <w:rsid w:val="4BC24335"/>
    <w:rsid w:val="4BDE2378"/>
    <w:rsid w:val="4BFB6794"/>
    <w:rsid w:val="4C181EBA"/>
    <w:rsid w:val="4C53084D"/>
    <w:rsid w:val="4C6E5DAE"/>
    <w:rsid w:val="4CBC1294"/>
    <w:rsid w:val="4CE76B61"/>
    <w:rsid w:val="4CEE7DF3"/>
    <w:rsid w:val="4CF14FAD"/>
    <w:rsid w:val="4D1661C4"/>
    <w:rsid w:val="4D193A14"/>
    <w:rsid w:val="4D2A46DB"/>
    <w:rsid w:val="4D2F5624"/>
    <w:rsid w:val="4D546D98"/>
    <w:rsid w:val="4D621F30"/>
    <w:rsid w:val="4D930569"/>
    <w:rsid w:val="4DA93541"/>
    <w:rsid w:val="4DB22D76"/>
    <w:rsid w:val="4DB93D25"/>
    <w:rsid w:val="4DBF11B4"/>
    <w:rsid w:val="4DCE4529"/>
    <w:rsid w:val="4E260880"/>
    <w:rsid w:val="4E2D2708"/>
    <w:rsid w:val="4E4428ED"/>
    <w:rsid w:val="4E505700"/>
    <w:rsid w:val="4E8A5C0A"/>
    <w:rsid w:val="4E8F5827"/>
    <w:rsid w:val="4E9A7F73"/>
    <w:rsid w:val="4ED16A1F"/>
    <w:rsid w:val="4EE07B0A"/>
    <w:rsid w:val="4EE95545"/>
    <w:rsid w:val="4F1828A8"/>
    <w:rsid w:val="4F1C0477"/>
    <w:rsid w:val="4F211DDD"/>
    <w:rsid w:val="4F36107D"/>
    <w:rsid w:val="4F3747CE"/>
    <w:rsid w:val="4F3E2BAC"/>
    <w:rsid w:val="4F4C199C"/>
    <w:rsid w:val="4F673607"/>
    <w:rsid w:val="4F6C2683"/>
    <w:rsid w:val="4F997ECA"/>
    <w:rsid w:val="4F9E5D74"/>
    <w:rsid w:val="4FB72333"/>
    <w:rsid w:val="4FBE2F56"/>
    <w:rsid w:val="4FD93526"/>
    <w:rsid w:val="502367FF"/>
    <w:rsid w:val="502E6EF4"/>
    <w:rsid w:val="504C6182"/>
    <w:rsid w:val="50766856"/>
    <w:rsid w:val="50785461"/>
    <w:rsid w:val="5080452C"/>
    <w:rsid w:val="5088602F"/>
    <w:rsid w:val="50917FA7"/>
    <w:rsid w:val="50A427F7"/>
    <w:rsid w:val="50B75C7F"/>
    <w:rsid w:val="50C22246"/>
    <w:rsid w:val="50CD058C"/>
    <w:rsid w:val="50EA2812"/>
    <w:rsid w:val="50ED3582"/>
    <w:rsid w:val="50F268C6"/>
    <w:rsid w:val="51045FFB"/>
    <w:rsid w:val="51136705"/>
    <w:rsid w:val="51536595"/>
    <w:rsid w:val="515B3FF7"/>
    <w:rsid w:val="515E4D57"/>
    <w:rsid w:val="51733650"/>
    <w:rsid w:val="518F4E48"/>
    <w:rsid w:val="51CA64E6"/>
    <w:rsid w:val="51D03F6B"/>
    <w:rsid w:val="51EB528C"/>
    <w:rsid w:val="51FD5D60"/>
    <w:rsid w:val="5262309C"/>
    <w:rsid w:val="52AE43E8"/>
    <w:rsid w:val="52CE4282"/>
    <w:rsid w:val="52DB217D"/>
    <w:rsid w:val="530D2C44"/>
    <w:rsid w:val="53312BB0"/>
    <w:rsid w:val="53727300"/>
    <w:rsid w:val="539328EC"/>
    <w:rsid w:val="53CB7AD4"/>
    <w:rsid w:val="53DA62F8"/>
    <w:rsid w:val="53EB642F"/>
    <w:rsid w:val="54227EB7"/>
    <w:rsid w:val="54337910"/>
    <w:rsid w:val="544057A1"/>
    <w:rsid w:val="54656C8F"/>
    <w:rsid w:val="548E4304"/>
    <w:rsid w:val="54AE785C"/>
    <w:rsid w:val="54D7656A"/>
    <w:rsid w:val="54EE1F4B"/>
    <w:rsid w:val="54FD1327"/>
    <w:rsid w:val="55021C17"/>
    <w:rsid w:val="552608A7"/>
    <w:rsid w:val="55370DAB"/>
    <w:rsid w:val="554F7DA0"/>
    <w:rsid w:val="55AF14F9"/>
    <w:rsid w:val="55BA1C42"/>
    <w:rsid w:val="55DE3BE4"/>
    <w:rsid w:val="55E213A5"/>
    <w:rsid w:val="55E45FFB"/>
    <w:rsid w:val="55E86561"/>
    <w:rsid w:val="55F126E8"/>
    <w:rsid w:val="55FA53AD"/>
    <w:rsid w:val="56103AD0"/>
    <w:rsid w:val="562473D9"/>
    <w:rsid w:val="562F52DF"/>
    <w:rsid w:val="56DB1806"/>
    <w:rsid w:val="56F121B6"/>
    <w:rsid w:val="56FC2FC8"/>
    <w:rsid w:val="57443717"/>
    <w:rsid w:val="57452F4C"/>
    <w:rsid w:val="57472724"/>
    <w:rsid w:val="576A4D6C"/>
    <w:rsid w:val="57F8565C"/>
    <w:rsid w:val="580E7C1B"/>
    <w:rsid w:val="58263812"/>
    <w:rsid w:val="587E57BA"/>
    <w:rsid w:val="58864817"/>
    <w:rsid w:val="58DA29CD"/>
    <w:rsid w:val="58EE4A7D"/>
    <w:rsid w:val="591A1146"/>
    <w:rsid w:val="593A55BA"/>
    <w:rsid w:val="59A3383F"/>
    <w:rsid w:val="59B1641D"/>
    <w:rsid w:val="59B47B5B"/>
    <w:rsid w:val="59E461DA"/>
    <w:rsid w:val="5A2B7631"/>
    <w:rsid w:val="5A474B52"/>
    <w:rsid w:val="5A504EE9"/>
    <w:rsid w:val="5A5963CB"/>
    <w:rsid w:val="5A6613D8"/>
    <w:rsid w:val="5A691975"/>
    <w:rsid w:val="5A7677A6"/>
    <w:rsid w:val="5A82359F"/>
    <w:rsid w:val="5A8A7290"/>
    <w:rsid w:val="5A963D1E"/>
    <w:rsid w:val="5A9B6087"/>
    <w:rsid w:val="5A9F657D"/>
    <w:rsid w:val="5ACF02B5"/>
    <w:rsid w:val="5AEB5A15"/>
    <w:rsid w:val="5AF91453"/>
    <w:rsid w:val="5B4D56EC"/>
    <w:rsid w:val="5BA91BFF"/>
    <w:rsid w:val="5BAA03F4"/>
    <w:rsid w:val="5BB26855"/>
    <w:rsid w:val="5BD305C9"/>
    <w:rsid w:val="5BDD5472"/>
    <w:rsid w:val="5C167855"/>
    <w:rsid w:val="5C1713EF"/>
    <w:rsid w:val="5C4220C0"/>
    <w:rsid w:val="5C5C49B1"/>
    <w:rsid w:val="5C713C0A"/>
    <w:rsid w:val="5C7A0975"/>
    <w:rsid w:val="5C7B035E"/>
    <w:rsid w:val="5CB76C1D"/>
    <w:rsid w:val="5CD90054"/>
    <w:rsid w:val="5CEC4983"/>
    <w:rsid w:val="5D102D70"/>
    <w:rsid w:val="5D122CF3"/>
    <w:rsid w:val="5D1C0125"/>
    <w:rsid w:val="5D24083A"/>
    <w:rsid w:val="5D2951DB"/>
    <w:rsid w:val="5D403B96"/>
    <w:rsid w:val="5D4D5B07"/>
    <w:rsid w:val="5D772357"/>
    <w:rsid w:val="5E000C85"/>
    <w:rsid w:val="5E160F25"/>
    <w:rsid w:val="5E4C5B50"/>
    <w:rsid w:val="5E72644D"/>
    <w:rsid w:val="5E947F61"/>
    <w:rsid w:val="5E9740B8"/>
    <w:rsid w:val="5EB11F12"/>
    <w:rsid w:val="5EBE15BC"/>
    <w:rsid w:val="5EEA5959"/>
    <w:rsid w:val="5EED0EA6"/>
    <w:rsid w:val="5EF55611"/>
    <w:rsid w:val="5EF57A3B"/>
    <w:rsid w:val="5F2569C4"/>
    <w:rsid w:val="5F3B116B"/>
    <w:rsid w:val="5F821F14"/>
    <w:rsid w:val="5FA07F0D"/>
    <w:rsid w:val="5FBB51D6"/>
    <w:rsid w:val="5FDE3A32"/>
    <w:rsid w:val="60454B41"/>
    <w:rsid w:val="6090308F"/>
    <w:rsid w:val="610A7DD7"/>
    <w:rsid w:val="61106CBB"/>
    <w:rsid w:val="613D2D02"/>
    <w:rsid w:val="61444F0F"/>
    <w:rsid w:val="61502EB7"/>
    <w:rsid w:val="61694D73"/>
    <w:rsid w:val="6172194F"/>
    <w:rsid w:val="61921EBF"/>
    <w:rsid w:val="61C25586"/>
    <w:rsid w:val="61C45B06"/>
    <w:rsid w:val="61D83866"/>
    <w:rsid w:val="620151AD"/>
    <w:rsid w:val="627436A3"/>
    <w:rsid w:val="62E36801"/>
    <w:rsid w:val="63022770"/>
    <w:rsid w:val="63056E97"/>
    <w:rsid w:val="63067BA9"/>
    <w:rsid w:val="631168A1"/>
    <w:rsid w:val="631B0D2B"/>
    <w:rsid w:val="633C2EB6"/>
    <w:rsid w:val="63461677"/>
    <w:rsid w:val="63625030"/>
    <w:rsid w:val="63AA0311"/>
    <w:rsid w:val="63C44A94"/>
    <w:rsid w:val="63D8423C"/>
    <w:rsid w:val="63DD598E"/>
    <w:rsid w:val="640778B0"/>
    <w:rsid w:val="641205EC"/>
    <w:rsid w:val="643529C2"/>
    <w:rsid w:val="6436754E"/>
    <w:rsid w:val="644A313B"/>
    <w:rsid w:val="64672FF6"/>
    <w:rsid w:val="646D3DBB"/>
    <w:rsid w:val="64891FAE"/>
    <w:rsid w:val="649455EE"/>
    <w:rsid w:val="64A61457"/>
    <w:rsid w:val="64EF0E16"/>
    <w:rsid w:val="650B7293"/>
    <w:rsid w:val="653157DE"/>
    <w:rsid w:val="655D5C3F"/>
    <w:rsid w:val="656D54F8"/>
    <w:rsid w:val="659C0901"/>
    <w:rsid w:val="65A400A7"/>
    <w:rsid w:val="65C63E47"/>
    <w:rsid w:val="65D91D0F"/>
    <w:rsid w:val="66026653"/>
    <w:rsid w:val="66183B37"/>
    <w:rsid w:val="661B58A9"/>
    <w:rsid w:val="6628013C"/>
    <w:rsid w:val="66386EA2"/>
    <w:rsid w:val="66450C78"/>
    <w:rsid w:val="66B919D9"/>
    <w:rsid w:val="66BA1323"/>
    <w:rsid w:val="66C638DF"/>
    <w:rsid w:val="66EC5EE9"/>
    <w:rsid w:val="66ED1880"/>
    <w:rsid w:val="66FA196E"/>
    <w:rsid w:val="66FE1BBB"/>
    <w:rsid w:val="67211BA6"/>
    <w:rsid w:val="67472C15"/>
    <w:rsid w:val="67704B1B"/>
    <w:rsid w:val="67C74C79"/>
    <w:rsid w:val="685B356F"/>
    <w:rsid w:val="6860373E"/>
    <w:rsid w:val="686076B7"/>
    <w:rsid w:val="68757A34"/>
    <w:rsid w:val="687B7A2D"/>
    <w:rsid w:val="687D0C0E"/>
    <w:rsid w:val="68D0464C"/>
    <w:rsid w:val="68E668E5"/>
    <w:rsid w:val="68EF64C6"/>
    <w:rsid w:val="68FC36D8"/>
    <w:rsid w:val="69080D81"/>
    <w:rsid w:val="69472B6A"/>
    <w:rsid w:val="695C66AD"/>
    <w:rsid w:val="69651A91"/>
    <w:rsid w:val="6990092E"/>
    <w:rsid w:val="69BF391E"/>
    <w:rsid w:val="69E51EEF"/>
    <w:rsid w:val="6A0B1521"/>
    <w:rsid w:val="6A0B7634"/>
    <w:rsid w:val="6A3877F5"/>
    <w:rsid w:val="6A477A76"/>
    <w:rsid w:val="6A6537D1"/>
    <w:rsid w:val="6AC67DF4"/>
    <w:rsid w:val="6AD915F9"/>
    <w:rsid w:val="6AEB5BFE"/>
    <w:rsid w:val="6AF63EE8"/>
    <w:rsid w:val="6B0E2C44"/>
    <w:rsid w:val="6B1D68CE"/>
    <w:rsid w:val="6B5105A0"/>
    <w:rsid w:val="6B5B4353"/>
    <w:rsid w:val="6B6521AB"/>
    <w:rsid w:val="6B6E31D8"/>
    <w:rsid w:val="6B920C47"/>
    <w:rsid w:val="6BD909FF"/>
    <w:rsid w:val="6BE74226"/>
    <w:rsid w:val="6BF05E62"/>
    <w:rsid w:val="6C0563C2"/>
    <w:rsid w:val="6C152265"/>
    <w:rsid w:val="6C166A6C"/>
    <w:rsid w:val="6C1D0D7B"/>
    <w:rsid w:val="6C4105BE"/>
    <w:rsid w:val="6C4F2171"/>
    <w:rsid w:val="6C5A6218"/>
    <w:rsid w:val="6C5B2507"/>
    <w:rsid w:val="6C744E16"/>
    <w:rsid w:val="6C8D55DA"/>
    <w:rsid w:val="6C9832B5"/>
    <w:rsid w:val="6CB871B9"/>
    <w:rsid w:val="6CC25F03"/>
    <w:rsid w:val="6CC9319C"/>
    <w:rsid w:val="6CDC7869"/>
    <w:rsid w:val="6CF54973"/>
    <w:rsid w:val="6D21439D"/>
    <w:rsid w:val="6D29252C"/>
    <w:rsid w:val="6D325FB2"/>
    <w:rsid w:val="6D39700E"/>
    <w:rsid w:val="6D494FFD"/>
    <w:rsid w:val="6D5F2D5C"/>
    <w:rsid w:val="6D6309C6"/>
    <w:rsid w:val="6DA619B1"/>
    <w:rsid w:val="6E080D69"/>
    <w:rsid w:val="6E45316E"/>
    <w:rsid w:val="6E6871BF"/>
    <w:rsid w:val="6E95493F"/>
    <w:rsid w:val="6EC66B31"/>
    <w:rsid w:val="6ECC6A47"/>
    <w:rsid w:val="6F1240F1"/>
    <w:rsid w:val="6F481D0B"/>
    <w:rsid w:val="6F492ECF"/>
    <w:rsid w:val="6F50244E"/>
    <w:rsid w:val="6F59011D"/>
    <w:rsid w:val="6F6649B7"/>
    <w:rsid w:val="6F967578"/>
    <w:rsid w:val="6FB177F2"/>
    <w:rsid w:val="6FC262C8"/>
    <w:rsid w:val="6FE24ABF"/>
    <w:rsid w:val="6FE7576C"/>
    <w:rsid w:val="6FEE2D0F"/>
    <w:rsid w:val="6FF37198"/>
    <w:rsid w:val="70122BD0"/>
    <w:rsid w:val="701333AE"/>
    <w:rsid w:val="702E75DB"/>
    <w:rsid w:val="704E656A"/>
    <w:rsid w:val="7068182B"/>
    <w:rsid w:val="707136BA"/>
    <w:rsid w:val="70914CEA"/>
    <w:rsid w:val="7098697E"/>
    <w:rsid w:val="70A25B19"/>
    <w:rsid w:val="70AD1805"/>
    <w:rsid w:val="70AD6EBC"/>
    <w:rsid w:val="70C36F27"/>
    <w:rsid w:val="70D7679D"/>
    <w:rsid w:val="70E5273C"/>
    <w:rsid w:val="70E54E59"/>
    <w:rsid w:val="70E73649"/>
    <w:rsid w:val="70EB39FC"/>
    <w:rsid w:val="71011752"/>
    <w:rsid w:val="71016179"/>
    <w:rsid w:val="718E7D1F"/>
    <w:rsid w:val="7194744D"/>
    <w:rsid w:val="71BA69BC"/>
    <w:rsid w:val="71C05D1C"/>
    <w:rsid w:val="71EC023A"/>
    <w:rsid w:val="71F5429F"/>
    <w:rsid w:val="71FF309E"/>
    <w:rsid w:val="720603D3"/>
    <w:rsid w:val="724E619F"/>
    <w:rsid w:val="72774FEF"/>
    <w:rsid w:val="7286263D"/>
    <w:rsid w:val="72D00D7E"/>
    <w:rsid w:val="72E065A9"/>
    <w:rsid w:val="72ED142E"/>
    <w:rsid w:val="7300767D"/>
    <w:rsid w:val="732A2833"/>
    <w:rsid w:val="738F6475"/>
    <w:rsid w:val="73A4483D"/>
    <w:rsid w:val="73AF1235"/>
    <w:rsid w:val="73BD132B"/>
    <w:rsid w:val="73E75D89"/>
    <w:rsid w:val="73FB2E29"/>
    <w:rsid w:val="7405294E"/>
    <w:rsid w:val="742E6243"/>
    <w:rsid w:val="743A70C8"/>
    <w:rsid w:val="7454219C"/>
    <w:rsid w:val="747B65C1"/>
    <w:rsid w:val="74900071"/>
    <w:rsid w:val="74BA24E4"/>
    <w:rsid w:val="74BD7D9E"/>
    <w:rsid w:val="74EE2E69"/>
    <w:rsid w:val="74F46A70"/>
    <w:rsid w:val="74FD72E9"/>
    <w:rsid w:val="750D7B5E"/>
    <w:rsid w:val="75115A13"/>
    <w:rsid w:val="75496B2D"/>
    <w:rsid w:val="75525078"/>
    <w:rsid w:val="757137E0"/>
    <w:rsid w:val="7573128B"/>
    <w:rsid w:val="7586335D"/>
    <w:rsid w:val="75935F82"/>
    <w:rsid w:val="75952454"/>
    <w:rsid w:val="75A637D7"/>
    <w:rsid w:val="75C2377E"/>
    <w:rsid w:val="75CC7A44"/>
    <w:rsid w:val="75D128EB"/>
    <w:rsid w:val="75F23DE8"/>
    <w:rsid w:val="75F3555F"/>
    <w:rsid w:val="75FC5F63"/>
    <w:rsid w:val="76515428"/>
    <w:rsid w:val="767C4964"/>
    <w:rsid w:val="768F26EA"/>
    <w:rsid w:val="76BB7BBF"/>
    <w:rsid w:val="76BF350D"/>
    <w:rsid w:val="76D3234E"/>
    <w:rsid w:val="76D32CA6"/>
    <w:rsid w:val="76D660A4"/>
    <w:rsid w:val="76ED315D"/>
    <w:rsid w:val="76F212DC"/>
    <w:rsid w:val="76F432EC"/>
    <w:rsid w:val="77033F22"/>
    <w:rsid w:val="770A0971"/>
    <w:rsid w:val="77185693"/>
    <w:rsid w:val="773E0DFF"/>
    <w:rsid w:val="775B6A36"/>
    <w:rsid w:val="775F50E7"/>
    <w:rsid w:val="77A40439"/>
    <w:rsid w:val="77AA3B08"/>
    <w:rsid w:val="77CA3F75"/>
    <w:rsid w:val="77DE536C"/>
    <w:rsid w:val="7801697B"/>
    <w:rsid w:val="781F1E6C"/>
    <w:rsid w:val="78364131"/>
    <w:rsid w:val="78631435"/>
    <w:rsid w:val="78837629"/>
    <w:rsid w:val="78A13902"/>
    <w:rsid w:val="78C0420C"/>
    <w:rsid w:val="78F12204"/>
    <w:rsid w:val="792018BB"/>
    <w:rsid w:val="79545501"/>
    <w:rsid w:val="79645E6F"/>
    <w:rsid w:val="797029C3"/>
    <w:rsid w:val="79727ED3"/>
    <w:rsid w:val="79D3245D"/>
    <w:rsid w:val="79FA34E6"/>
    <w:rsid w:val="7A0B29CC"/>
    <w:rsid w:val="7A2709BD"/>
    <w:rsid w:val="7A344966"/>
    <w:rsid w:val="7A3D2CD7"/>
    <w:rsid w:val="7A71250A"/>
    <w:rsid w:val="7A730C7B"/>
    <w:rsid w:val="7A770470"/>
    <w:rsid w:val="7AAE42A4"/>
    <w:rsid w:val="7ABA75C9"/>
    <w:rsid w:val="7AC25C62"/>
    <w:rsid w:val="7ACF113F"/>
    <w:rsid w:val="7AFA69AF"/>
    <w:rsid w:val="7B052100"/>
    <w:rsid w:val="7B1D795F"/>
    <w:rsid w:val="7B3121DA"/>
    <w:rsid w:val="7B330E1C"/>
    <w:rsid w:val="7B58722C"/>
    <w:rsid w:val="7B8D277A"/>
    <w:rsid w:val="7BD51B04"/>
    <w:rsid w:val="7C0D4C24"/>
    <w:rsid w:val="7C12470B"/>
    <w:rsid w:val="7C1377A3"/>
    <w:rsid w:val="7C1E0725"/>
    <w:rsid w:val="7C287747"/>
    <w:rsid w:val="7C2F2288"/>
    <w:rsid w:val="7C4C2C58"/>
    <w:rsid w:val="7C4F43F2"/>
    <w:rsid w:val="7C535BDC"/>
    <w:rsid w:val="7C6A173E"/>
    <w:rsid w:val="7C7E1F98"/>
    <w:rsid w:val="7C942367"/>
    <w:rsid w:val="7C9D2731"/>
    <w:rsid w:val="7CB51159"/>
    <w:rsid w:val="7CC344EA"/>
    <w:rsid w:val="7CDC02D8"/>
    <w:rsid w:val="7CF71DF7"/>
    <w:rsid w:val="7D007F4C"/>
    <w:rsid w:val="7D501E4E"/>
    <w:rsid w:val="7D5502D8"/>
    <w:rsid w:val="7D591285"/>
    <w:rsid w:val="7D704B31"/>
    <w:rsid w:val="7D7F3B02"/>
    <w:rsid w:val="7D8C4DDA"/>
    <w:rsid w:val="7DC73AC4"/>
    <w:rsid w:val="7DD45D0A"/>
    <w:rsid w:val="7DDB1D17"/>
    <w:rsid w:val="7DE251D4"/>
    <w:rsid w:val="7E2621E3"/>
    <w:rsid w:val="7E49615E"/>
    <w:rsid w:val="7E4E416B"/>
    <w:rsid w:val="7E4F517C"/>
    <w:rsid w:val="7E52625C"/>
    <w:rsid w:val="7E60479A"/>
    <w:rsid w:val="7E614C4A"/>
    <w:rsid w:val="7E623302"/>
    <w:rsid w:val="7EB92BB6"/>
    <w:rsid w:val="7ED06B82"/>
    <w:rsid w:val="7ED96AB0"/>
    <w:rsid w:val="7F280D75"/>
    <w:rsid w:val="7F351475"/>
    <w:rsid w:val="7F4827B2"/>
    <w:rsid w:val="7F8558BB"/>
    <w:rsid w:val="7F887CE9"/>
    <w:rsid w:val="7FAB445D"/>
    <w:rsid w:val="7FBF128D"/>
    <w:rsid w:val="7FDE49B7"/>
    <w:rsid w:val="7FEA1BCA"/>
    <w:rsid w:val="7FFE59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1"/>
    <w:basedOn w:val="1"/>
    <w:next w:val="1"/>
    <w:link w:val="44"/>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45"/>
    <w:semiHidden/>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6"/>
    <w:semiHidden/>
    <w:unhideWhenUsed/>
    <w:qFormat/>
    <w:locked/>
    <w:uiPriority w:val="0"/>
    <w:pPr>
      <w:keepNext/>
      <w:keepLines/>
      <w:spacing w:before="260" w:after="260" w:line="416" w:lineRule="auto"/>
      <w:outlineLvl w:val="2"/>
    </w:pPr>
    <w:rPr>
      <w:b/>
      <w:bCs/>
      <w:sz w:val="32"/>
      <w:szCs w:val="32"/>
    </w:rPr>
  </w:style>
  <w:style w:type="paragraph" w:styleId="6">
    <w:name w:val="heading 4"/>
    <w:basedOn w:val="1"/>
    <w:next w:val="1"/>
    <w:qFormat/>
    <w:locked/>
    <w:uiPriority w:val="0"/>
    <w:pPr>
      <w:keepNext/>
      <w:keepLines/>
      <w:widowControl/>
      <w:spacing w:before="280" w:beforeLines="0" w:after="290" w:afterLines="0" w:line="376" w:lineRule="auto"/>
      <w:jc w:val="left"/>
      <w:outlineLvl w:val="3"/>
    </w:pPr>
    <w:rPr>
      <w:rFonts w:ascii="Arial" w:hAnsi="Arial" w:eastAsia="黑体"/>
      <w:b/>
      <w:bCs/>
      <w:kern w:val="0"/>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locked/>
    <w:uiPriority w:val="39"/>
  </w:style>
  <w:style w:type="paragraph" w:styleId="7">
    <w:name w:val="Normal Indent"/>
    <w:basedOn w:val="1"/>
    <w:unhideWhenUsed/>
    <w:qFormat/>
    <w:uiPriority w:val="99"/>
    <w:pPr>
      <w:spacing w:line="360" w:lineRule="atLeast"/>
      <w:ind w:firstLine="420"/>
      <w:textAlignment w:val="baseline"/>
    </w:pPr>
    <w:rPr>
      <w:szCs w:val="20"/>
    </w:rPr>
  </w:style>
  <w:style w:type="paragraph" w:styleId="8">
    <w:name w:val="annotation text"/>
    <w:basedOn w:val="1"/>
    <w:link w:val="27"/>
    <w:qFormat/>
    <w:uiPriority w:val="99"/>
  </w:style>
  <w:style w:type="paragraph" w:styleId="9">
    <w:name w:val="Body Text"/>
    <w:basedOn w:val="1"/>
    <w:next w:val="1"/>
    <w:link w:val="28"/>
    <w:qFormat/>
    <w:uiPriority w:val="99"/>
    <w:pPr>
      <w:widowControl w:val="0"/>
      <w:adjustRightInd/>
      <w:snapToGrid/>
      <w:spacing w:after="0"/>
      <w:jc w:val="center"/>
    </w:pPr>
    <w:rPr>
      <w:rFonts w:ascii="Times New Roman" w:hAnsi="Times New Roman" w:eastAsia="宋体"/>
      <w:sz w:val="52"/>
      <w:szCs w:val="20"/>
    </w:rPr>
  </w:style>
  <w:style w:type="paragraph" w:styleId="10">
    <w:name w:val="Body Text Indent"/>
    <w:basedOn w:val="1"/>
    <w:qFormat/>
    <w:uiPriority w:val="0"/>
    <w:pPr>
      <w:spacing w:line="440" w:lineRule="exact"/>
      <w:ind w:firstLine="419" w:firstLineChars="196"/>
    </w:pPr>
    <w:rPr>
      <w:rFonts w:ascii="宋体" w:hAnsi="宋体" w:cs="Courier New"/>
      <w:spacing w:val="2"/>
    </w:rPr>
  </w:style>
  <w:style w:type="paragraph" w:styleId="11">
    <w:name w:val="toc 3"/>
    <w:basedOn w:val="1"/>
    <w:next w:val="1"/>
    <w:qFormat/>
    <w:locked/>
    <w:uiPriority w:val="0"/>
    <w:pPr>
      <w:ind w:left="840" w:leftChars="400"/>
    </w:pPr>
  </w:style>
  <w:style w:type="paragraph" w:styleId="12">
    <w:name w:val="Plain Text"/>
    <w:basedOn w:val="1"/>
    <w:next w:val="6"/>
    <w:link w:val="34"/>
    <w:qFormat/>
    <w:uiPriority w:val="0"/>
    <w:pPr>
      <w:widowControl w:val="0"/>
      <w:adjustRightInd/>
      <w:snapToGrid/>
      <w:spacing w:after="0"/>
      <w:jc w:val="both"/>
    </w:pPr>
    <w:rPr>
      <w:rFonts w:ascii="宋体" w:hAnsi="Calibri" w:eastAsia="宋体"/>
      <w:sz w:val="21"/>
      <w:szCs w:val="20"/>
    </w:rPr>
  </w:style>
  <w:style w:type="paragraph" w:styleId="13">
    <w:name w:val="Balloon Text"/>
    <w:basedOn w:val="1"/>
    <w:link w:val="33"/>
    <w:semiHidden/>
    <w:qFormat/>
    <w:uiPriority w:val="99"/>
    <w:rPr>
      <w:sz w:val="18"/>
      <w:szCs w:val="18"/>
    </w:rPr>
  </w:style>
  <w:style w:type="paragraph" w:styleId="14">
    <w:name w:val="footer"/>
    <w:basedOn w:val="1"/>
    <w:link w:val="30"/>
    <w:qFormat/>
    <w:uiPriority w:val="99"/>
    <w:pPr>
      <w:tabs>
        <w:tab w:val="center" w:pos="4153"/>
        <w:tab w:val="right" w:pos="8306"/>
      </w:tabs>
    </w:pPr>
    <w:rPr>
      <w:sz w:val="18"/>
      <w:szCs w:val="18"/>
    </w:rPr>
  </w:style>
  <w:style w:type="paragraph" w:styleId="15">
    <w:name w:val="header"/>
    <w:basedOn w:val="1"/>
    <w:link w:val="31"/>
    <w:qFormat/>
    <w:uiPriority w:val="99"/>
    <w:pPr>
      <w:pBdr>
        <w:bottom w:val="single" w:color="auto" w:sz="6" w:space="1"/>
      </w:pBdr>
      <w:tabs>
        <w:tab w:val="center" w:pos="4153"/>
        <w:tab w:val="right" w:pos="8306"/>
      </w:tabs>
      <w:jc w:val="center"/>
    </w:pPr>
    <w:rPr>
      <w:sz w:val="18"/>
      <w:szCs w:val="18"/>
    </w:rPr>
  </w:style>
  <w:style w:type="paragraph" w:styleId="16">
    <w:name w:val="toc 2"/>
    <w:basedOn w:val="1"/>
    <w:next w:val="1"/>
    <w:qFormat/>
    <w:locked/>
    <w:uiPriority w:val="39"/>
    <w:pPr>
      <w:ind w:left="420" w:leftChars="200"/>
    </w:pPr>
  </w:style>
  <w:style w:type="paragraph" w:styleId="17">
    <w:name w:val="Normal (Web)"/>
    <w:basedOn w:val="1"/>
    <w:next w:val="1"/>
    <w:qFormat/>
    <w:uiPriority w:val="99"/>
    <w:pPr>
      <w:adjustRightInd/>
      <w:snapToGrid/>
      <w:spacing w:before="280" w:after="280"/>
      <w:jc w:val="both"/>
    </w:pPr>
    <w:rPr>
      <w:rFonts w:ascii="宋体" w:hAnsi="Times New Roman" w:eastAsia="宋体"/>
      <w:sz w:val="24"/>
      <w:szCs w:val="20"/>
    </w:rPr>
  </w:style>
  <w:style w:type="paragraph" w:styleId="18">
    <w:name w:val="annotation subject"/>
    <w:basedOn w:val="8"/>
    <w:next w:val="8"/>
    <w:link w:val="32"/>
    <w:semiHidden/>
    <w:qFormat/>
    <w:uiPriority w:val="99"/>
    <w:rPr>
      <w:b/>
      <w:bCs/>
    </w:rPr>
  </w:style>
  <w:style w:type="table" w:styleId="20">
    <w:name w:val="Table Grid"/>
    <w:basedOn w:val="1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semiHidden/>
    <w:unhideWhenUsed/>
    <w:qFormat/>
    <w:uiPriority w:val="99"/>
    <w:rPr>
      <w:rFonts w:ascii="微软雅黑" w:hAnsi="微软雅黑" w:eastAsia="微软雅黑" w:cs="微软雅黑"/>
      <w:color w:val="02396F"/>
      <w:u w:val="single"/>
    </w:rPr>
  </w:style>
  <w:style w:type="character" w:styleId="23">
    <w:name w:val="Hyperlink"/>
    <w:basedOn w:val="21"/>
    <w:unhideWhenUsed/>
    <w:qFormat/>
    <w:uiPriority w:val="99"/>
    <w:rPr>
      <w:rFonts w:hint="eastAsia" w:ascii="微软雅黑" w:hAnsi="微软雅黑" w:eastAsia="微软雅黑" w:cs="微软雅黑"/>
      <w:color w:val="02396F"/>
      <w:u w:val="single"/>
    </w:rPr>
  </w:style>
  <w:style w:type="character" w:styleId="24">
    <w:name w:val="annotation reference"/>
    <w:basedOn w:val="21"/>
    <w:semiHidden/>
    <w:qFormat/>
    <w:uiPriority w:val="99"/>
    <w:rPr>
      <w:rFonts w:cs="Times New Roman"/>
      <w:sz w:val="21"/>
      <w:szCs w:val="21"/>
    </w:rPr>
  </w:style>
  <w:style w:type="paragraph" w:customStyle="1" w:styleId="2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6">
    <w:name w:val="表格文字"/>
    <w:basedOn w:val="1"/>
    <w:qFormat/>
    <w:uiPriority w:val="99"/>
    <w:pPr>
      <w:spacing w:before="25" w:after="25"/>
      <w:ind w:firstLine="315" w:firstLineChars="150"/>
    </w:pPr>
    <w:rPr>
      <w:bCs/>
      <w:color w:val="000000"/>
      <w:szCs w:val="21"/>
    </w:rPr>
  </w:style>
  <w:style w:type="character" w:customStyle="1" w:styleId="27">
    <w:name w:val="批注文字 Char"/>
    <w:basedOn w:val="21"/>
    <w:link w:val="8"/>
    <w:semiHidden/>
    <w:qFormat/>
    <w:locked/>
    <w:uiPriority w:val="99"/>
    <w:rPr>
      <w:rFonts w:ascii="Tahoma" w:hAnsi="Tahoma" w:eastAsia="微软雅黑" w:cs="Times New Roman"/>
      <w:kern w:val="0"/>
      <w:sz w:val="22"/>
    </w:rPr>
  </w:style>
  <w:style w:type="character" w:customStyle="1" w:styleId="28">
    <w:name w:val="正文文本 Char"/>
    <w:basedOn w:val="21"/>
    <w:link w:val="9"/>
    <w:semiHidden/>
    <w:qFormat/>
    <w:locked/>
    <w:uiPriority w:val="99"/>
    <w:rPr>
      <w:rFonts w:ascii="Tahoma" w:hAnsi="Tahoma" w:eastAsia="微软雅黑" w:cs="Times New Roman"/>
      <w:kern w:val="0"/>
      <w:sz w:val="22"/>
    </w:rPr>
  </w:style>
  <w:style w:type="character" w:customStyle="1" w:styleId="29">
    <w:name w:val="Plain Text Char"/>
    <w:basedOn w:val="21"/>
    <w:semiHidden/>
    <w:qFormat/>
    <w:locked/>
    <w:uiPriority w:val="99"/>
    <w:rPr>
      <w:rFonts w:ascii="宋体" w:hAnsi="Courier New" w:cs="Courier New"/>
      <w:kern w:val="0"/>
      <w:sz w:val="21"/>
      <w:szCs w:val="21"/>
    </w:rPr>
  </w:style>
  <w:style w:type="character" w:customStyle="1" w:styleId="30">
    <w:name w:val="页脚 Char"/>
    <w:basedOn w:val="21"/>
    <w:link w:val="14"/>
    <w:semiHidden/>
    <w:qFormat/>
    <w:locked/>
    <w:uiPriority w:val="99"/>
    <w:rPr>
      <w:rFonts w:ascii="Tahoma" w:hAnsi="Tahoma" w:eastAsia="微软雅黑" w:cs="Times New Roman"/>
      <w:kern w:val="0"/>
      <w:sz w:val="18"/>
      <w:szCs w:val="18"/>
    </w:rPr>
  </w:style>
  <w:style w:type="character" w:customStyle="1" w:styleId="31">
    <w:name w:val="页眉 Char"/>
    <w:basedOn w:val="21"/>
    <w:link w:val="15"/>
    <w:semiHidden/>
    <w:qFormat/>
    <w:locked/>
    <w:uiPriority w:val="99"/>
    <w:rPr>
      <w:rFonts w:ascii="Tahoma" w:hAnsi="Tahoma" w:eastAsia="微软雅黑" w:cs="Times New Roman"/>
      <w:kern w:val="0"/>
      <w:sz w:val="18"/>
      <w:szCs w:val="18"/>
    </w:rPr>
  </w:style>
  <w:style w:type="character" w:customStyle="1" w:styleId="32">
    <w:name w:val="批注主题 Char"/>
    <w:basedOn w:val="27"/>
    <w:link w:val="18"/>
    <w:semiHidden/>
    <w:qFormat/>
    <w:locked/>
    <w:uiPriority w:val="99"/>
    <w:rPr>
      <w:rFonts w:ascii="Tahoma" w:hAnsi="Tahoma" w:eastAsia="微软雅黑" w:cs="Times New Roman"/>
      <w:b/>
      <w:bCs/>
      <w:kern w:val="0"/>
      <w:sz w:val="22"/>
    </w:rPr>
  </w:style>
  <w:style w:type="character" w:customStyle="1" w:styleId="33">
    <w:name w:val="批注框文本 Char"/>
    <w:basedOn w:val="21"/>
    <w:link w:val="13"/>
    <w:semiHidden/>
    <w:qFormat/>
    <w:locked/>
    <w:uiPriority w:val="99"/>
    <w:rPr>
      <w:rFonts w:ascii="Tahoma" w:hAnsi="Tahoma" w:eastAsia="微软雅黑" w:cs="Times New Roman"/>
      <w:kern w:val="0"/>
      <w:sz w:val="2"/>
    </w:rPr>
  </w:style>
  <w:style w:type="character" w:customStyle="1" w:styleId="34">
    <w:name w:val="纯文本 Char"/>
    <w:link w:val="12"/>
    <w:qFormat/>
    <w:locked/>
    <w:uiPriority w:val="0"/>
    <w:rPr>
      <w:rFonts w:ascii="宋体" w:eastAsia="宋体"/>
      <w:sz w:val="21"/>
      <w:lang w:val="en-US" w:eastAsia="zh-CN"/>
    </w:rPr>
  </w:style>
  <w:style w:type="character" w:customStyle="1" w:styleId="35">
    <w:name w:val="gjfg"/>
    <w:basedOn w:val="21"/>
    <w:qFormat/>
    <w:uiPriority w:val="0"/>
  </w:style>
  <w:style w:type="character" w:customStyle="1" w:styleId="36">
    <w:name w:val="cfdate"/>
    <w:basedOn w:val="21"/>
    <w:qFormat/>
    <w:uiPriority w:val="0"/>
    <w:rPr>
      <w:color w:val="333333"/>
      <w:sz w:val="18"/>
      <w:szCs w:val="18"/>
    </w:rPr>
  </w:style>
  <w:style w:type="character" w:customStyle="1" w:styleId="37">
    <w:name w:val="displayarti"/>
    <w:basedOn w:val="21"/>
    <w:qFormat/>
    <w:uiPriority w:val="0"/>
    <w:rPr>
      <w:color w:val="FFFFFF"/>
      <w:shd w:val="clear" w:color="auto" w:fill="A00000"/>
    </w:rPr>
  </w:style>
  <w:style w:type="character" w:customStyle="1" w:styleId="38">
    <w:name w:val="redfilenumber"/>
    <w:basedOn w:val="21"/>
    <w:qFormat/>
    <w:uiPriority w:val="0"/>
    <w:rPr>
      <w:color w:val="BA2636"/>
      <w:sz w:val="18"/>
      <w:szCs w:val="18"/>
    </w:rPr>
  </w:style>
  <w:style w:type="character" w:customStyle="1" w:styleId="39">
    <w:name w:val="qxdate"/>
    <w:basedOn w:val="21"/>
    <w:qFormat/>
    <w:uiPriority w:val="0"/>
    <w:rPr>
      <w:color w:val="333333"/>
      <w:sz w:val="18"/>
      <w:szCs w:val="18"/>
    </w:rPr>
  </w:style>
  <w:style w:type="character" w:customStyle="1" w:styleId="40">
    <w:name w:val="redfilefwwh"/>
    <w:basedOn w:val="21"/>
    <w:qFormat/>
    <w:uiPriority w:val="0"/>
    <w:rPr>
      <w:color w:val="BA2636"/>
      <w:sz w:val="18"/>
      <w:szCs w:val="18"/>
    </w:rPr>
  </w:style>
  <w:style w:type="paragraph" w:customStyle="1" w:styleId="41">
    <w:name w:val="修订1"/>
    <w:hidden/>
    <w:unhideWhenUsed/>
    <w:qFormat/>
    <w:uiPriority w:val="99"/>
    <w:rPr>
      <w:rFonts w:ascii="Tahoma" w:hAnsi="Tahoma" w:eastAsia="微软雅黑" w:cs="Times New Roman"/>
      <w:sz w:val="22"/>
      <w:szCs w:val="22"/>
      <w:lang w:val="en-US" w:eastAsia="zh-CN" w:bidi="ar-SA"/>
    </w:rPr>
  </w:style>
  <w:style w:type="paragraph" w:customStyle="1" w:styleId="42">
    <w:name w:val="目录样式1"/>
    <w:basedOn w:val="1"/>
    <w:qFormat/>
    <w:uiPriority w:val="0"/>
    <w:pPr>
      <w:tabs>
        <w:tab w:val="left" w:pos="9214"/>
      </w:tabs>
      <w:spacing w:line="312" w:lineRule="auto"/>
      <w:ind w:right="423"/>
      <w:jc w:val="center"/>
    </w:pPr>
    <w:rPr>
      <w:rFonts w:ascii="宋体" w:hAnsi="宋体" w:eastAsia="宋体" w:cs="宋体"/>
      <w:b/>
      <w:sz w:val="32"/>
      <w:szCs w:val="24"/>
    </w:rPr>
  </w:style>
  <w:style w:type="paragraph" w:customStyle="1" w:styleId="43">
    <w:name w:val="目录样式2"/>
    <w:basedOn w:val="1"/>
    <w:qFormat/>
    <w:uiPriority w:val="0"/>
    <w:pPr>
      <w:keepNext/>
      <w:keepLines/>
      <w:spacing w:line="312" w:lineRule="auto"/>
      <w:jc w:val="center"/>
    </w:pPr>
    <w:rPr>
      <w:rFonts w:ascii="宋体" w:hAnsi="宋体" w:eastAsia="宋体"/>
      <w:b/>
      <w:sz w:val="28"/>
    </w:rPr>
  </w:style>
  <w:style w:type="character" w:customStyle="1" w:styleId="44">
    <w:name w:val="标题 1 Char"/>
    <w:basedOn w:val="21"/>
    <w:link w:val="3"/>
    <w:qFormat/>
    <w:uiPriority w:val="0"/>
    <w:rPr>
      <w:rFonts w:ascii="Tahoma" w:hAnsi="Tahoma" w:eastAsia="微软雅黑"/>
      <w:b/>
      <w:bCs/>
      <w:kern w:val="44"/>
      <w:sz w:val="44"/>
      <w:szCs w:val="44"/>
    </w:rPr>
  </w:style>
  <w:style w:type="character" w:customStyle="1" w:styleId="45">
    <w:name w:val="标题 2 Char"/>
    <w:basedOn w:val="21"/>
    <w:link w:val="4"/>
    <w:semiHidden/>
    <w:qFormat/>
    <w:uiPriority w:val="0"/>
    <w:rPr>
      <w:rFonts w:asciiTheme="majorHAnsi" w:hAnsiTheme="majorHAnsi" w:eastAsiaTheme="majorEastAsia" w:cstheme="majorBidi"/>
      <w:b/>
      <w:bCs/>
      <w:sz w:val="32"/>
      <w:szCs w:val="32"/>
    </w:rPr>
  </w:style>
  <w:style w:type="character" w:customStyle="1" w:styleId="46">
    <w:name w:val="标题 3 Char"/>
    <w:basedOn w:val="21"/>
    <w:link w:val="5"/>
    <w:semiHidden/>
    <w:qFormat/>
    <w:uiPriority w:val="0"/>
    <w:rPr>
      <w:rFonts w:ascii="Tahoma" w:hAnsi="Tahoma" w:eastAsia="微软雅黑"/>
      <w:b/>
      <w:bCs/>
      <w:sz w:val="32"/>
      <w:szCs w:val="32"/>
    </w:rPr>
  </w:style>
  <w:style w:type="character" w:customStyle="1" w:styleId="47">
    <w:name w:val="font101"/>
    <w:basedOn w:val="21"/>
    <w:qFormat/>
    <w:uiPriority w:val="0"/>
    <w:rPr>
      <w:rFonts w:hint="eastAsia" w:ascii="宋体" w:hAnsi="宋体" w:eastAsia="宋体" w:cs="宋体"/>
      <w:color w:val="000000"/>
      <w:sz w:val="20"/>
      <w:szCs w:val="20"/>
      <w:u w:val="none"/>
    </w:rPr>
  </w:style>
  <w:style w:type="character" w:customStyle="1" w:styleId="48">
    <w:name w:val="font11"/>
    <w:basedOn w:val="21"/>
    <w:qFormat/>
    <w:uiPriority w:val="0"/>
    <w:rPr>
      <w:rFonts w:ascii="Calibri" w:hAnsi="Calibri" w:cs="Calibri"/>
      <w:color w:val="000000"/>
      <w:sz w:val="20"/>
      <w:szCs w:val="20"/>
      <w:u w:val="none"/>
    </w:rPr>
  </w:style>
  <w:style w:type="character" w:customStyle="1" w:styleId="49">
    <w:name w:val="font121"/>
    <w:basedOn w:val="21"/>
    <w:qFormat/>
    <w:uiPriority w:val="0"/>
    <w:rPr>
      <w:rFonts w:hint="default" w:ascii="仿宋_GB2312" w:eastAsia="仿宋_GB2312" w:cs="仿宋_GB2312"/>
      <w:color w:val="000000"/>
      <w:sz w:val="24"/>
      <w:szCs w:val="24"/>
      <w:u w:val="none"/>
    </w:rPr>
  </w:style>
  <w:style w:type="character" w:customStyle="1" w:styleId="50">
    <w:name w:val="font81"/>
    <w:basedOn w:val="21"/>
    <w:qFormat/>
    <w:uiPriority w:val="0"/>
    <w:rPr>
      <w:rFonts w:ascii="宋体" w:hAnsi="宋体" w:eastAsia="宋体" w:cs="宋体"/>
      <w:color w:val="000000"/>
      <w:sz w:val="24"/>
      <w:szCs w:val="24"/>
      <w:u w:val="none"/>
    </w:rPr>
  </w:style>
  <w:style w:type="character" w:customStyle="1" w:styleId="51">
    <w:name w:val="font21"/>
    <w:basedOn w:val="21"/>
    <w:qFormat/>
    <w:uiPriority w:val="0"/>
    <w:rPr>
      <w:rFonts w:hint="default" w:ascii="仿宋_GB2312" w:eastAsia="仿宋_GB2312" w:cs="仿宋_GB2312"/>
      <w:color w:val="000000"/>
      <w:sz w:val="20"/>
      <w:szCs w:val="20"/>
      <w:u w:val="none"/>
    </w:rPr>
  </w:style>
  <w:style w:type="character" w:customStyle="1" w:styleId="52">
    <w:name w:val="font01"/>
    <w:basedOn w:val="21"/>
    <w:qFormat/>
    <w:uiPriority w:val="0"/>
    <w:rPr>
      <w:rFonts w:ascii="微软雅黑" w:hAnsi="微软雅黑" w:eastAsia="微软雅黑" w:cs="微软雅黑"/>
      <w:color w:val="000000"/>
      <w:sz w:val="20"/>
      <w:szCs w:val="20"/>
      <w:u w:val="none"/>
    </w:rPr>
  </w:style>
  <w:style w:type="paragraph" w:customStyle="1" w:styleId="53">
    <w:name w:val="Other|1"/>
    <w:basedOn w:val="1"/>
    <w:qFormat/>
    <w:uiPriority w:val="0"/>
    <w:pPr>
      <w:widowControl w:val="0"/>
      <w:shd w:val="clear" w:color="auto" w:fill="auto"/>
    </w:pPr>
    <w:rPr>
      <w:sz w:val="20"/>
      <w:szCs w:val="20"/>
      <w:u w:val="none"/>
      <w:shd w:val="clear" w:color="auto" w:fill="auto"/>
      <w:lang w:val="zh-TW" w:eastAsia="zh-TW" w:bidi="zh-TW"/>
    </w:rPr>
  </w:style>
  <w:style w:type="paragraph" w:styleId="54">
    <w:name w:val="List Paragraph"/>
    <w:basedOn w:val="1"/>
    <w:qFormat/>
    <w:uiPriority w:val="1"/>
    <w:pPr>
      <w:ind w:left="746" w:firstLine="419"/>
    </w:pPr>
    <w:rPr>
      <w:rFonts w:ascii="宋体" w:hAnsi="宋体" w:eastAsia="宋体" w:cs="宋体"/>
      <w:lang w:val="zh-CN" w:eastAsia="zh-CN" w:bidi="zh-CN"/>
    </w:rPr>
  </w:style>
  <w:style w:type="paragraph" w:customStyle="1" w:styleId="55">
    <w:name w:val="Table Paragraph"/>
    <w:basedOn w:val="1"/>
    <w:qFormat/>
    <w:uiPriority w:val="1"/>
    <w:rPr>
      <w:rFonts w:ascii="宋体" w:hAnsi="宋体" w:eastAsia="宋体" w:cs="宋体"/>
      <w:lang w:val="zh-CN" w:eastAsia="zh-CN" w:bidi="zh-CN"/>
    </w:rPr>
  </w:style>
  <w:style w:type="character" w:customStyle="1" w:styleId="56">
    <w:name w:val="font41"/>
    <w:basedOn w:val="21"/>
    <w:qFormat/>
    <w:uiPriority w:val="0"/>
    <w:rPr>
      <w:rFonts w:hint="eastAsia" w:ascii="宋体" w:hAnsi="宋体" w:eastAsia="宋体" w:cs="宋体"/>
      <w:color w:val="000000"/>
      <w:sz w:val="20"/>
      <w:szCs w:val="20"/>
      <w:u w:val="none"/>
      <w:vertAlign w:val="superscript"/>
    </w:rPr>
  </w:style>
  <w:style w:type="paragraph" w:customStyle="1" w:styleId="57">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28B531-9190-4C22-9DF0-411E67AC4EA9}">
  <ds:schemaRefs/>
</ds:datastoreItem>
</file>

<file path=docProps/app.xml><?xml version="1.0" encoding="utf-8"?>
<Properties xmlns="http://schemas.openxmlformats.org/officeDocument/2006/extended-properties" xmlns:vt="http://schemas.openxmlformats.org/officeDocument/2006/docPropsVTypes">
  <Template>Normal</Template>
  <Pages>47</Pages>
  <Words>3946</Words>
  <Characters>22497</Characters>
  <Lines>187</Lines>
  <Paragraphs>52</Paragraphs>
  <TotalTime>1</TotalTime>
  <ScaleCrop>false</ScaleCrop>
  <LinksUpToDate>false</LinksUpToDate>
  <CharactersWithSpaces>26391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2018-05-29T01:03:00Z</dcterms:created>
  <dc:creator>教头</dc:creator>
  <cp:lastModifiedBy>WPS_1528164593</cp:lastModifiedBy>
  <cp:lastPrinted>2021-01-28T09:23:00Z</cp:lastPrinted>
  <dcterms:modified xsi:type="dcterms:W3CDTF">2021-10-08T08:50:01Z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4EA44D757E4D401F9A7D8ADAB76851FF</vt:lpwstr>
  </property>
</Properties>
</file>